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A51" w:rsidRPr="00794C0E" w:rsidRDefault="004D3A51" w:rsidP="009D1692">
      <w:pPr>
        <w:tabs>
          <w:tab w:val="left" w:pos="1440"/>
          <w:tab w:val="left" w:pos="3060"/>
        </w:tabs>
        <w:spacing w:before="120" w:after="120" w:line="300" w:lineRule="exact"/>
        <w:jc w:val="center"/>
        <w:rPr>
          <w:rFonts w:cs="Arial"/>
          <w:smallCaps/>
          <w:sz w:val="24"/>
          <w:szCs w:val="24"/>
          <w:lang w:val="es-AR"/>
        </w:rPr>
      </w:pPr>
      <w:r w:rsidRPr="00794C0E">
        <w:rPr>
          <w:rFonts w:cs="Arial"/>
          <w:smallCaps/>
          <w:sz w:val="24"/>
          <w:szCs w:val="24"/>
          <w:lang w:val="es-AR"/>
        </w:rPr>
        <w:t>Documento del Banco Interamericano de Desarrollo</w:t>
      </w:r>
    </w:p>
    <w:p w:rsidR="00657EEA" w:rsidRPr="00794C0E" w:rsidRDefault="00657EEA" w:rsidP="009D1692">
      <w:pPr>
        <w:tabs>
          <w:tab w:val="left" w:pos="1440"/>
          <w:tab w:val="left" w:pos="3060"/>
        </w:tabs>
        <w:spacing w:before="120" w:after="120" w:line="300" w:lineRule="exact"/>
        <w:jc w:val="center"/>
        <w:rPr>
          <w:rFonts w:cs="Arial"/>
          <w:smallCaps/>
          <w:sz w:val="24"/>
          <w:szCs w:val="24"/>
          <w:lang w:val="es-AR"/>
        </w:rPr>
      </w:pPr>
    </w:p>
    <w:p w:rsidR="00657EEA" w:rsidRPr="00794C0E" w:rsidRDefault="00657EEA" w:rsidP="009D1692">
      <w:pPr>
        <w:tabs>
          <w:tab w:val="left" w:pos="1440"/>
          <w:tab w:val="left" w:pos="3060"/>
        </w:tabs>
        <w:spacing w:before="120" w:after="120" w:line="300" w:lineRule="exact"/>
        <w:jc w:val="center"/>
        <w:rPr>
          <w:rFonts w:cs="Arial"/>
          <w:smallCaps/>
          <w:sz w:val="24"/>
          <w:szCs w:val="24"/>
          <w:lang w:val="es-AR"/>
        </w:rPr>
      </w:pPr>
    </w:p>
    <w:p w:rsidR="00657EEA" w:rsidRPr="00794C0E" w:rsidRDefault="00657EEA" w:rsidP="009D1692">
      <w:pPr>
        <w:tabs>
          <w:tab w:val="left" w:pos="1440"/>
          <w:tab w:val="left" w:pos="3060"/>
        </w:tabs>
        <w:spacing w:before="120" w:after="120" w:line="300" w:lineRule="exact"/>
        <w:jc w:val="center"/>
        <w:rPr>
          <w:rFonts w:cs="Arial"/>
          <w:smallCaps/>
          <w:sz w:val="24"/>
          <w:szCs w:val="24"/>
          <w:lang w:val="es-AR"/>
        </w:rPr>
      </w:pPr>
    </w:p>
    <w:p w:rsidR="00764790" w:rsidRPr="00794C0E" w:rsidRDefault="00764790" w:rsidP="009D1692">
      <w:pPr>
        <w:tabs>
          <w:tab w:val="left" w:pos="1440"/>
          <w:tab w:val="left" w:pos="3060"/>
        </w:tabs>
        <w:spacing w:before="120" w:after="120" w:line="300" w:lineRule="exact"/>
        <w:jc w:val="center"/>
        <w:rPr>
          <w:rFonts w:cs="Arial"/>
          <w:smallCaps/>
          <w:sz w:val="24"/>
          <w:szCs w:val="24"/>
          <w:lang w:val="es-AR"/>
        </w:rPr>
      </w:pPr>
    </w:p>
    <w:p w:rsidR="00764790" w:rsidRPr="00794C0E" w:rsidRDefault="00764790" w:rsidP="009D1692">
      <w:pPr>
        <w:tabs>
          <w:tab w:val="left" w:pos="1440"/>
          <w:tab w:val="left" w:pos="3060"/>
        </w:tabs>
        <w:spacing w:before="120" w:after="120" w:line="300" w:lineRule="exact"/>
        <w:jc w:val="center"/>
        <w:rPr>
          <w:rFonts w:cs="Arial"/>
          <w:smallCaps/>
          <w:sz w:val="24"/>
          <w:szCs w:val="24"/>
          <w:lang w:val="es-AR"/>
        </w:rPr>
      </w:pPr>
    </w:p>
    <w:p w:rsidR="00657EEA" w:rsidRPr="00794C0E" w:rsidRDefault="00657EEA" w:rsidP="009D1692">
      <w:pPr>
        <w:tabs>
          <w:tab w:val="left" w:pos="1440"/>
          <w:tab w:val="left" w:pos="3060"/>
        </w:tabs>
        <w:spacing w:before="120" w:after="120" w:line="300" w:lineRule="exact"/>
        <w:jc w:val="center"/>
        <w:rPr>
          <w:rFonts w:cs="Arial"/>
          <w:smallCaps/>
          <w:sz w:val="24"/>
          <w:szCs w:val="24"/>
          <w:lang w:val="es-AR"/>
        </w:rPr>
      </w:pPr>
    </w:p>
    <w:p w:rsidR="004D3A51" w:rsidRPr="00794C0E" w:rsidRDefault="00B77AF5" w:rsidP="009D1692">
      <w:pPr>
        <w:tabs>
          <w:tab w:val="left" w:pos="1440"/>
          <w:tab w:val="left" w:pos="3060"/>
        </w:tabs>
        <w:spacing w:before="120" w:after="120" w:line="300" w:lineRule="exact"/>
        <w:jc w:val="center"/>
        <w:rPr>
          <w:rFonts w:cs="Arial"/>
          <w:b/>
          <w:smallCaps/>
          <w:sz w:val="24"/>
          <w:szCs w:val="24"/>
          <w:lang w:val="es-AR"/>
        </w:rPr>
      </w:pPr>
      <w:r w:rsidRPr="00794C0E">
        <w:rPr>
          <w:rFonts w:cs="Arial"/>
          <w:b/>
          <w:smallCaps/>
          <w:sz w:val="24"/>
          <w:szCs w:val="24"/>
          <w:lang w:val="es-AR"/>
        </w:rPr>
        <w:t>A</w:t>
      </w:r>
      <w:r w:rsidR="004D3A51" w:rsidRPr="00794C0E">
        <w:rPr>
          <w:rFonts w:cs="Arial"/>
          <w:b/>
          <w:smallCaps/>
          <w:sz w:val="24"/>
          <w:szCs w:val="24"/>
          <w:lang w:val="es-AR"/>
        </w:rPr>
        <w:t>rgentina</w:t>
      </w:r>
    </w:p>
    <w:p w:rsidR="004D3A51" w:rsidRPr="00794C0E" w:rsidRDefault="004D3A51" w:rsidP="009D1692">
      <w:pPr>
        <w:tabs>
          <w:tab w:val="left" w:pos="1440"/>
          <w:tab w:val="left" w:pos="3060"/>
        </w:tabs>
        <w:spacing w:before="120" w:after="120" w:line="300" w:lineRule="exact"/>
        <w:jc w:val="center"/>
        <w:rPr>
          <w:rFonts w:cs="Arial"/>
          <w:smallCaps/>
          <w:sz w:val="24"/>
          <w:szCs w:val="24"/>
          <w:lang w:val="es-AR"/>
        </w:rPr>
      </w:pPr>
    </w:p>
    <w:p w:rsidR="004D3A51" w:rsidRPr="00794C0E" w:rsidRDefault="004D3A51" w:rsidP="009D1692">
      <w:pPr>
        <w:tabs>
          <w:tab w:val="left" w:pos="1440"/>
          <w:tab w:val="left" w:pos="3060"/>
        </w:tabs>
        <w:spacing w:before="120" w:after="120" w:line="300" w:lineRule="exact"/>
        <w:jc w:val="center"/>
        <w:rPr>
          <w:rFonts w:cs="Arial"/>
          <w:smallCaps/>
          <w:sz w:val="24"/>
          <w:szCs w:val="24"/>
          <w:lang w:val="es-AR"/>
        </w:rPr>
      </w:pPr>
    </w:p>
    <w:p w:rsidR="004D3A51" w:rsidRPr="00794C0E" w:rsidRDefault="004D3A51" w:rsidP="009D1692">
      <w:pPr>
        <w:tabs>
          <w:tab w:val="left" w:pos="1440"/>
          <w:tab w:val="left" w:pos="3060"/>
        </w:tabs>
        <w:spacing w:before="120" w:after="120" w:line="300" w:lineRule="exact"/>
        <w:jc w:val="center"/>
        <w:rPr>
          <w:rFonts w:cs="Arial"/>
          <w:smallCaps/>
          <w:sz w:val="24"/>
          <w:szCs w:val="24"/>
          <w:lang w:val="es-AR"/>
        </w:rPr>
      </w:pPr>
    </w:p>
    <w:p w:rsidR="00AF6F7A" w:rsidRPr="00794C0E" w:rsidRDefault="00AF6F7A" w:rsidP="009D1692">
      <w:pPr>
        <w:tabs>
          <w:tab w:val="left" w:pos="1440"/>
          <w:tab w:val="left" w:pos="3060"/>
        </w:tabs>
        <w:jc w:val="center"/>
        <w:rPr>
          <w:rFonts w:cs="Arial"/>
          <w:smallCaps/>
          <w:sz w:val="22"/>
          <w:szCs w:val="22"/>
          <w:lang w:val="es-AR"/>
        </w:rPr>
      </w:pPr>
    </w:p>
    <w:p w:rsidR="00AF6F7A" w:rsidRPr="00794C0E" w:rsidRDefault="00AF6F7A" w:rsidP="009D1692">
      <w:pPr>
        <w:tabs>
          <w:tab w:val="left" w:pos="1440"/>
          <w:tab w:val="left" w:pos="3060"/>
        </w:tabs>
        <w:jc w:val="center"/>
        <w:rPr>
          <w:rFonts w:cs="Arial"/>
          <w:smallCaps/>
          <w:sz w:val="22"/>
          <w:szCs w:val="22"/>
          <w:lang w:val="es-AR"/>
        </w:rPr>
      </w:pPr>
    </w:p>
    <w:p w:rsidR="00AF6F7A" w:rsidRPr="00794C0E" w:rsidRDefault="00AF6F7A" w:rsidP="009D1692">
      <w:pPr>
        <w:pStyle w:val="Title"/>
        <w:rPr>
          <w:rFonts w:ascii="Arial" w:hAnsi="Arial" w:cs="Arial"/>
          <w:smallCaps/>
          <w:szCs w:val="22"/>
          <w:lang w:val="es-AR"/>
        </w:rPr>
      </w:pPr>
      <w:r w:rsidRPr="00794C0E">
        <w:rPr>
          <w:rFonts w:ascii="Arial" w:hAnsi="Arial" w:cs="Arial"/>
          <w:smallCaps/>
          <w:szCs w:val="22"/>
          <w:lang w:val="es-AR"/>
        </w:rPr>
        <w:t>Programa de Desarrollo y Fortalecimiento de la Gestión Provincial</w:t>
      </w:r>
    </w:p>
    <w:p w:rsidR="00AF6F7A" w:rsidRPr="00794C0E" w:rsidRDefault="00AF6F7A" w:rsidP="009D1692">
      <w:pPr>
        <w:tabs>
          <w:tab w:val="left" w:pos="1440"/>
          <w:tab w:val="left" w:pos="3060"/>
        </w:tabs>
        <w:spacing w:before="240"/>
        <w:jc w:val="center"/>
        <w:rPr>
          <w:rFonts w:cs="Arial"/>
          <w:b/>
          <w:smallCaps/>
          <w:sz w:val="22"/>
          <w:szCs w:val="22"/>
          <w:lang w:val="es-AR"/>
        </w:rPr>
      </w:pPr>
    </w:p>
    <w:p w:rsidR="00AF6F7A" w:rsidRPr="00794C0E" w:rsidRDefault="00AF6F7A" w:rsidP="009D1692">
      <w:pPr>
        <w:tabs>
          <w:tab w:val="left" w:pos="1440"/>
          <w:tab w:val="left" w:pos="3060"/>
        </w:tabs>
        <w:spacing w:before="240"/>
        <w:jc w:val="center"/>
        <w:rPr>
          <w:rFonts w:cs="Arial"/>
          <w:b/>
          <w:smallCaps/>
          <w:sz w:val="22"/>
          <w:szCs w:val="22"/>
          <w:lang w:val="es-AR"/>
        </w:rPr>
      </w:pPr>
    </w:p>
    <w:p w:rsidR="00AF6F7A" w:rsidRPr="00794C0E" w:rsidRDefault="00AF6F7A" w:rsidP="009D1692">
      <w:pPr>
        <w:tabs>
          <w:tab w:val="left" w:pos="1440"/>
          <w:tab w:val="left" w:pos="3060"/>
        </w:tabs>
        <w:jc w:val="center"/>
        <w:rPr>
          <w:rFonts w:cs="Arial"/>
          <w:b/>
          <w:smallCaps/>
          <w:sz w:val="22"/>
          <w:szCs w:val="22"/>
          <w:lang w:val="pt-BR"/>
        </w:rPr>
      </w:pPr>
      <w:r w:rsidRPr="00794C0E">
        <w:rPr>
          <w:rFonts w:cs="Arial"/>
          <w:b/>
          <w:smallCaps/>
          <w:sz w:val="22"/>
          <w:szCs w:val="22"/>
          <w:lang w:val="pt-BR"/>
        </w:rPr>
        <w:t>(AR-L1248)</w:t>
      </w:r>
    </w:p>
    <w:p w:rsidR="00AF6F7A" w:rsidRPr="00794C0E" w:rsidRDefault="00AF6F7A" w:rsidP="009D1692">
      <w:pPr>
        <w:tabs>
          <w:tab w:val="left" w:pos="1440"/>
          <w:tab w:val="left" w:pos="3060"/>
        </w:tabs>
        <w:jc w:val="center"/>
        <w:rPr>
          <w:rFonts w:cs="Arial"/>
          <w:smallCaps/>
          <w:sz w:val="22"/>
          <w:szCs w:val="22"/>
          <w:lang w:val="pt-BR"/>
        </w:rPr>
      </w:pPr>
    </w:p>
    <w:p w:rsidR="00AF6F7A" w:rsidRPr="00794C0E" w:rsidRDefault="00AF6F7A" w:rsidP="009D1692">
      <w:pPr>
        <w:tabs>
          <w:tab w:val="left" w:pos="1440"/>
          <w:tab w:val="left" w:pos="3060"/>
        </w:tabs>
        <w:jc w:val="center"/>
        <w:rPr>
          <w:rFonts w:cs="Arial"/>
          <w:smallCaps/>
          <w:sz w:val="22"/>
          <w:szCs w:val="22"/>
          <w:lang w:val="pt-BR"/>
        </w:rPr>
      </w:pPr>
    </w:p>
    <w:p w:rsidR="00273CFB" w:rsidRPr="00794C0E" w:rsidRDefault="00273CFB" w:rsidP="009D1692">
      <w:pPr>
        <w:tabs>
          <w:tab w:val="left" w:pos="1440"/>
          <w:tab w:val="left" w:pos="3060"/>
        </w:tabs>
        <w:spacing w:before="120" w:after="120" w:line="300" w:lineRule="exact"/>
        <w:jc w:val="center"/>
        <w:rPr>
          <w:rFonts w:cs="Arial"/>
          <w:b/>
          <w:smallCaps/>
          <w:sz w:val="24"/>
          <w:szCs w:val="24"/>
          <w:lang w:val="pt-BR"/>
        </w:rPr>
      </w:pPr>
    </w:p>
    <w:p w:rsidR="005F3E16" w:rsidRPr="00794C0E" w:rsidRDefault="00D30346" w:rsidP="009D1692">
      <w:pPr>
        <w:tabs>
          <w:tab w:val="left" w:pos="1440"/>
          <w:tab w:val="left" w:pos="3060"/>
        </w:tabs>
        <w:spacing w:before="120" w:after="120" w:line="300" w:lineRule="exact"/>
        <w:jc w:val="center"/>
        <w:rPr>
          <w:rFonts w:cs="Arial"/>
          <w:b/>
          <w:smallCaps/>
          <w:sz w:val="24"/>
          <w:szCs w:val="24"/>
          <w:lang w:val="pt-BR"/>
        </w:rPr>
      </w:pPr>
      <w:r w:rsidRPr="00794C0E">
        <w:rPr>
          <w:rFonts w:cs="Arial"/>
          <w:b/>
          <w:smallCaps/>
          <w:sz w:val="24"/>
          <w:szCs w:val="24"/>
          <w:lang w:val="pt-BR"/>
        </w:rPr>
        <w:t>Análisis</w:t>
      </w:r>
      <w:r w:rsidR="009705FE" w:rsidRPr="00794C0E">
        <w:rPr>
          <w:rFonts w:cs="Arial"/>
          <w:b/>
          <w:smallCaps/>
          <w:sz w:val="24"/>
          <w:szCs w:val="24"/>
          <w:lang w:val="pt-BR"/>
        </w:rPr>
        <w:t xml:space="preserve"> Económic</w:t>
      </w:r>
      <w:r w:rsidRPr="00794C0E">
        <w:rPr>
          <w:rFonts w:cs="Arial"/>
          <w:b/>
          <w:smallCaps/>
          <w:sz w:val="24"/>
          <w:szCs w:val="24"/>
          <w:lang w:val="pt-BR"/>
        </w:rPr>
        <w:t>o</w:t>
      </w:r>
    </w:p>
    <w:p w:rsidR="005F3E16" w:rsidRPr="00794C0E" w:rsidRDefault="005F3E16" w:rsidP="009D1692">
      <w:pPr>
        <w:tabs>
          <w:tab w:val="left" w:pos="1440"/>
          <w:tab w:val="left" w:pos="3060"/>
        </w:tabs>
        <w:spacing w:before="120" w:after="120" w:line="300" w:lineRule="exact"/>
        <w:jc w:val="center"/>
        <w:rPr>
          <w:rFonts w:cs="Arial"/>
          <w:smallCaps/>
          <w:sz w:val="24"/>
          <w:szCs w:val="24"/>
          <w:lang w:val="pt-BR"/>
        </w:rPr>
      </w:pPr>
    </w:p>
    <w:p w:rsidR="00764790" w:rsidRPr="00794C0E" w:rsidRDefault="00764790" w:rsidP="009D1692">
      <w:pPr>
        <w:tabs>
          <w:tab w:val="left" w:pos="1440"/>
          <w:tab w:val="left" w:pos="3060"/>
        </w:tabs>
        <w:spacing w:before="120" w:after="120" w:line="300" w:lineRule="exact"/>
        <w:jc w:val="center"/>
        <w:rPr>
          <w:rFonts w:cs="Arial"/>
          <w:smallCaps/>
          <w:sz w:val="24"/>
          <w:szCs w:val="24"/>
          <w:lang w:val="pt-BR"/>
        </w:rPr>
      </w:pPr>
    </w:p>
    <w:p w:rsidR="000C7DD3" w:rsidRPr="00794C0E" w:rsidRDefault="000C7DD3" w:rsidP="009D1692">
      <w:pPr>
        <w:tabs>
          <w:tab w:val="left" w:pos="1440"/>
          <w:tab w:val="left" w:pos="3060"/>
        </w:tabs>
        <w:spacing w:before="120" w:after="120" w:line="300" w:lineRule="exact"/>
        <w:jc w:val="center"/>
        <w:rPr>
          <w:rFonts w:cs="Arial"/>
          <w:smallCaps/>
          <w:sz w:val="24"/>
          <w:szCs w:val="24"/>
          <w:lang w:val="pt-BR"/>
        </w:rPr>
      </w:pPr>
    </w:p>
    <w:p w:rsidR="009705FE" w:rsidRPr="00794C0E" w:rsidRDefault="009705FE" w:rsidP="009D1692">
      <w:pPr>
        <w:tabs>
          <w:tab w:val="left" w:pos="1440"/>
          <w:tab w:val="left" w:pos="3060"/>
        </w:tabs>
        <w:spacing w:before="120" w:after="120" w:line="300" w:lineRule="exact"/>
        <w:jc w:val="center"/>
        <w:rPr>
          <w:rFonts w:cs="Arial"/>
          <w:smallCaps/>
          <w:sz w:val="24"/>
          <w:szCs w:val="24"/>
          <w:lang w:val="pt-BR"/>
        </w:rPr>
      </w:pPr>
    </w:p>
    <w:p w:rsidR="00657EEA" w:rsidRPr="00794C0E" w:rsidRDefault="00657EEA" w:rsidP="009D1692">
      <w:pPr>
        <w:tabs>
          <w:tab w:val="left" w:pos="1440"/>
          <w:tab w:val="left" w:pos="3060"/>
        </w:tabs>
        <w:spacing w:before="120" w:after="120" w:line="300" w:lineRule="exact"/>
        <w:jc w:val="center"/>
        <w:rPr>
          <w:rFonts w:cs="Arial"/>
          <w:smallCaps/>
          <w:sz w:val="24"/>
          <w:szCs w:val="24"/>
          <w:lang w:val="pt-BR"/>
        </w:rPr>
      </w:pPr>
    </w:p>
    <w:p w:rsidR="00657EEA" w:rsidRPr="00794C0E" w:rsidRDefault="00657EEA" w:rsidP="009D1692">
      <w:pPr>
        <w:tabs>
          <w:tab w:val="left" w:pos="1440"/>
          <w:tab w:val="left" w:pos="3060"/>
        </w:tabs>
        <w:spacing w:before="120" w:after="120" w:line="300" w:lineRule="exact"/>
        <w:jc w:val="center"/>
        <w:rPr>
          <w:rFonts w:cs="Arial"/>
          <w:smallCaps/>
          <w:sz w:val="24"/>
          <w:szCs w:val="24"/>
          <w:lang w:val="pt-BR"/>
        </w:rPr>
      </w:pPr>
    </w:p>
    <w:p w:rsidR="00326EAF" w:rsidRPr="00794C0E" w:rsidRDefault="00326EAF" w:rsidP="009D1692">
      <w:pPr>
        <w:tabs>
          <w:tab w:val="left" w:pos="1440"/>
          <w:tab w:val="left" w:pos="3060"/>
        </w:tabs>
        <w:spacing w:before="120" w:after="120" w:line="300" w:lineRule="exact"/>
        <w:jc w:val="center"/>
        <w:rPr>
          <w:rFonts w:cs="Arial"/>
          <w:smallCaps/>
          <w:sz w:val="24"/>
          <w:szCs w:val="24"/>
          <w:lang w:val="pt-BR"/>
        </w:rPr>
      </w:pPr>
      <w:r w:rsidRPr="00794C0E">
        <w:rPr>
          <w:rFonts w:cs="Arial"/>
          <w:smallCaps/>
          <w:sz w:val="24"/>
          <w:szCs w:val="24"/>
          <w:lang w:val="pt-BR"/>
        </w:rPr>
        <w:t>Sebastian Rocha</w:t>
      </w:r>
    </w:p>
    <w:p w:rsidR="00657EEA" w:rsidRPr="00794C0E" w:rsidRDefault="00224EB6" w:rsidP="009D1692">
      <w:pPr>
        <w:tabs>
          <w:tab w:val="left" w:pos="1440"/>
          <w:tab w:val="left" w:pos="3060"/>
        </w:tabs>
        <w:spacing w:before="120" w:after="120" w:line="300" w:lineRule="exact"/>
        <w:jc w:val="center"/>
        <w:rPr>
          <w:rFonts w:cs="Arial"/>
          <w:smallCaps/>
          <w:sz w:val="24"/>
          <w:szCs w:val="24"/>
          <w:lang w:val="pt-BR"/>
        </w:rPr>
      </w:pPr>
      <w:r w:rsidRPr="00794C0E">
        <w:rPr>
          <w:rFonts w:cs="Arial"/>
          <w:smallCaps/>
          <w:sz w:val="24"/>
          <w:szCs w:val="24"/>
          <w:lang w:val="pt-BR"/>
        </w:rPr>
        <w:t>Buenos Aires</w:t>
      </w:r>
      <w:r w:rsidR="000C7DD3" w:rsidRPr="00794C0E">
        <w:rPr>
          <w:rFonts w:cs="Arial"/>
          <w:smallCaps/>
          <w:sz w:val="24"/>
          <w:szCs w:val="24"/>
          <w:lang w:val="pt-BR"/>
        </w:rPr>
        <w:t xml:space="preserve">, </w:t>
      </w:r>
      <w:r w:rsidR="00AF6F7A" w:rsidRPr="00794C0E">
        <w:rPr>
          <w:rFonts w:cs="Arial"/>
          <w:smallCaps/>
          <w:sz w:val="24"/>
          <w:szCs w:val="24"/>
          <w:lang w:val="pt-BR"/>
        </w:rPr>
        <w:t xml:space="preserve">Agosto </w:t>
      </w:r>
      <w:r w:rsidR="000C7DD3" w:rsidRPr="00794C0E">
        <w:rPr>
          <w:rFonts w:cs="Arial"/>
          <w:smallCaps/>
          <w:sz w:val="24"/>
          <w:szCs w:val="24"/>
          <w:lang w:val="pt-BR"/>
        </w:rPr>
        <w:t>201</w:t>
      </w:r>
      <w:r w:rsidR="00326EAF" w:rsidRPr="00794C0E">
        <w:rPr>
          <w:rFonts w:cs="Arial"/>
          <w:smallCaps/>
          <w:sz w:val="24"/>
          <w:szCs w:val="24"/>
          <w:lang w:val="pt-BR"/>
        </w:rPr>
        <w:t>6</w:t>
      </w:r>
    </w:p>
    <w:p w:rsidR="00C006E6" w:rsidRPr="00794C0E" w:rsidRDefault="00C006E6" w:rsidP="009D1692">
      <w:pPr>
        <w:tabs>
          <w:tab w:val="left" w:pos="1440"/>
          <w:tab w:val="left" w:pos="3060"/>
        </w:tabs>
        <w:spacing w:before="120" w:after="120" w:line="300" w:lineRule="exact"/>
        <w:jc w:val="center"/>
        <w:rPr>
          <w:rFonts w:cs="Arial"/>
          <w:smallCaps/>
          <w:sz w:val="24"/>
          <w:szCs w:val="24"/>
          <w:lang w:val="pt-BR"/>
        </w:rPr>
        <w:sectPr w:rsidR="00C006E6" w:rsidRPr="00794C0E" w:rsidSect="003A5B5A">
          <w:footerReference w:type="even" r:id="rId9"/>
          <w:footerReference w:type="default" r:id="rId10"/>
          <w:footerReference w:type="first" r:id="rId11"/>
          <w:type w:val="continuous"/>
          <w:pgSz w:w="12240" w:h="15840" w:code="1"/>
          <w:pgMar w:top="1800" w:right="1440" w:bottom="1800" w:left="1440" w:header="720" w:footer="720" w:gutter="0"/>
          <w:pgNumType w:start="1"/>
          <w:cols w:space="720"/>
          <w:titlePg/>
          <w:docGrid w:linePitch="272"/>
        </w:sectPr>
      </w:pPr>
    </w:p>
    <w:p w:rsidR="00685536" w:rsidRPr="00794C0E" w:rsidRDefault="00685536" w:rsidP="009D1692">
      <w:pPr>
        <w:pStyle w:val="TOCHeading"/>
        <w:rPr>
          <w:rFonts w:ascii="Arial" w:hAnsi="Arial" w:cs="Arial"/>
          <w:i w:val="0"/>
          <w:color w:val="000000"/>
          <w:sz w:val="24"/>
          <w:szCs w:val="24"/>
          <w:lang w:val="es-AR"/>
        </w:rPr>
      </w:pPr>
      <w:r w:rsidRPr="00794C0E">
        <w:rPr>
          <w:rFonts w:ascii="Arial" w:hAnsi="Arial" w:cs="Arial"/>
          <w:i w:val="0"/>
          <w:color w:val="000000"/>
          <w:sz w:val="24"/>
          <w:szCs w:val="24"/>
          <w:lang w:val="es-AR"/>
        </w:rPr>
        <w:lastRenderedPageBreak/>
        <w:t>Contenido</w:t>
      </w:r>
    </w:p>
    <w:p w:rsidR="00B50375" w:rsidRPr="00794C0E" w:rsidRDefault="00B50375" w:rsidP="009D1692">
      <w:pPr>
        <w:rPr>
          <w:rFonts w:cs="Arial"/>
          <w:lang w:val="es-AR"/>
        </w:rPr>
      </w:pPr>
    </w:p>
    <w:p w:rsidR="00B50375" w:rsidRPr="00794C0E" w:rsidRDefault="00B50375" w:rsidP="009D1692">
      <w:pPr>
        <w:rPr>
          <w:rFonts w:cs="Arial"/>
          <w:lang w:val="es-AR"/>
        </w:rPr>
      </w:pPr>
    </w:p>
    <w:p w:rsidR="002C1F1B" w:rsidRPr="00794C0E" w:rsidRDefault="00F05458">
      <w:pPr>
        <w:pStyle w:val="TOC1"/>
        <w:rPr>
          <w:rFonts w:eastAsiaTheme="minorEastAsia" w:cs="Arial"/>
          <w:bCs w:val="0"/>
          <w:smallCaps w:val="0"/>
          <w:noProof/>
          <w:szCs w:val="22"/>
          <w:lang w:val="es-ES" w:eastAsia="es-ES"/>
        </w:rPr>
      </w:pPr>
      <w:r w:rsidRPr="00794C0E">
        <w:rPr>
          <w:rFonts w:cs="Arial"/>
          <w:b/>
          <w:bCs w:val="0"/>
          <w:caps/>
          <w:smallCaps w:val="0"/>
          <w:lang w:val="es-AR"/>
        </w:rPr>
        <w:fldChar w:fldCharType="begin"/>
      </w:r>
      <w:r w:rsidRPr="00794C0E">
        <w:rPr>
          <w:rFonts w:cs="Arial"/>
          <w:b/>
          <w:bCs w:val="0"/>
          <w:caps/>
          <w:smallCaps w:val="0"/>
          <w:lang w:val="es-AR"/>
        </w:rPr>
        <w:instrText xml:space="preserve"> TOC \o "1-3" \h \z \u </w:instrText>
      </w:r>
      <w:r w:rsidRPr="00794C0E">
        <w:rPr>
          <w:rFonts w:cs="Arial"/>
          <w:b/>
          <w:bCs w:val="0"/>
          <w:caps/>
          <w:smallCaps w:val="0"/>
          <w:lang w:val="es-AR"/>
        </w:rPr>
        <w:fldChar w:fldCharType="separate"/>
      </w:r>
      <w:hyperlink w:anchor="_Toc460335655" w:history="1">
        <w:r w:rsidR="002C1F1B" w:rsidRPr="00794C0E">
          <w:rPr>
            <w:rStyle w:val="Hyperlink"/>
            <w:rFonts w:cs="Arial"/>
            <w:noProof/>
            <w:lang w:val="es-AR" w:eastAsia="es-ES_tradnl"/>
          </w:rPr>
          <w:t>1.</w:t>
        </w:r>
        <w:r w:rsidR="002C1F1B" w:rsidRPr="00794C0E">
          <w:rPr>
            <w:rFonts w:eastAsiaTheme="minorEastAsia" w:cs="Arial"/>
            <w:bCs w:val="0"/>
            <w:smallCaps w:val="0"/>
            <w:noProof/>
            <w:szCs w:val="22"/>
            <w:lang w:val="es-ES" w:eastAsia="es-ES"/>
          </w:rPr>
          <w:tab/>
        </w:r>
        <w:r w:rsidR="002C1F1B" w:rsidRPr="00794C0E">
          <w:rPr>
            <w:rStyle w:val="Hyperlink"/>
            <w:rFonts w:cs="Arial"/>
            <w:noProof/>
            <w:lang w:val="es-AR"/>
          </w:rPr>
          <w:t>Introducción</w:t>
        </w:r>
        <w:r w:rsidR="002C1F1B" w:rsidRPr="00794C0E">
          <w:rPr>
            <w:rFonts w:cs="Arial"/>
            <w:noProof/>
            <w:webHidden/>
          </w:rPr>
          <w:tab/>
        </w:r>
        <w:r w:rsidR="002C1F1B" w:rsidRPr="00794C0E">
          <w:rPr>
            <w:rFonts w:cs="Arial"/>
            <w:noProof/>
            <w:webHidden/>
          </w:rPr>
          <w:fldChar w:fldCharType="begin"/>
        </w:r>
        <w:r w:rsidR="002C1F1B" w:rsidRPr="00794C0E">
          <w:rPr>
            <w:rFonts w:cs="Arial"/>
            <w:noProof/>
            <w:webHidden/>
          </w:rPr>
          <w:instrText xml:space="preserve"> PAGEREF _Toc460335655 \h </w:instrText>
        </w:r>
        <w:r w:rsidR="002C1F1B" w:rsidRPr="00794C0E">
          <w:rPr>
            <w:rFonts w:cs="Arial"/>
            <w:noProof/>
            <w:webHidden/>
          </w:rPr>
        </w:r>
        <w:r w:rsidR="002C1F1B" w:rsidRPr="00794C0E">
          <w:rPr>
            <w:rFonts w:cs="Arial"/>
            <w:noProof/>
            <w:webHidden/>
          </w:rPr>
          <w:fldChar w:fldCharType="separate"/>
        </w:r>
        <w:r w:rsidR="003A5B5A" w:rsidRPr="00794C0E">
          <w:rPr>
            <w:rFonts w:cs="Arial"/>
            <w:noProof/>
            <w:webHidden/>
          </w:rPr>
          <w:t>3</w:t>
        </w:r>
        <w:r w:rsidR="002C1F1B" w:rsidRPr="00794C0E">
          <w:rPr>
            <w:rFonts w:cs="Arial"/>
            <w:noProof/>
            <w:webHidden/>
          </w:rPr>
          <w:fldChar w:fldCharType="end"/>
        </w:r>
      </w:hyperlink>
    </w:p>
    <w:p w:rsidR="002C1F1B" w:rsidRPr="00794C0E" w:rsidRDefault="00794C0E">
      <w:pPr>
        <w:pStyle w:val="TOC1"/>
        <w:rPr>
          <w:rFonts w:eastAsiaTheme="minorEastAsia" w:cs="Arial"/>
          <w:bCs w:val="0"/>
          <w:smallCaps w:val="0"/>
          <w:noProof/>
          <w:szCs w:val="22"/>
          <w:lang w:val="es-ES" w:eastAsia="es-ES"/>
        </w:rPr>
      </w:pPr>
      <w:hyperlink w:anchor="_Toc460335656" w:history="1">
        <w:r w:rsidR="002C1F1B" w:rsidRPr="00794C0E">
          <w:rPr>
            <w:rStyle w:val="Hyperlink"/>
            <w:rFonts w:cs="Arial"/>
            <w:noProof/>
            <w:lang w:val="es-AR"/>
          </w:rPr>
          <w:t>2.</w:t>
        </w:r>
        <w:r w:rsidR="002C1F1B" w:rsidRPr="00794C0E">
          <w:rPr>
            <w:rFonts w:eastAsiaTheme="minorEastAsia" w:cs="Arial"/>
            <w:bCs w:val="0"/>
            <w:smallCaps w:val="0"/>
            <w:noProof/>
            <w:szCs w:val="22"/>
            <w:lang w:val="es-ES" w:eastAsia="es-ES"/>
          </w:rPr>
          <w:tab/>
        </w:r>
        <w:r w:rsidR="002C1F1B" w:rsidRPr="00794C0E">
          <w:rPr>
            <w:rStyle w:val="Hyperlink"/>
            <w:rFonts w:cs="Arial"/>
            <w:noProof/>
            <w:lang w:val="es-AR"/>
          </w:rPr>
          <w:t>Metodología y supuestos</w:t>
        </w:r>
        <w:r w:rsidR="002C1F1B" w:rsidRPr="00794C0E">
          <w:rPr>
            <w:rFonts w:cs="Arial"/>
            <w:noProof/>
            <w:webHidden/>
          </w:rPr>
          <w:tab/>
        </w:r>
        <w:r w:rsidR="002C1F1B" w:rsidRPr="00794C0E">
          <w:rPr>
            <w:rFonts w:cs="Arial"/>
            <w:noProof/>
            <w:webHidden/>
          </w:rPr>
          <w:fldChar w:fldCharType="begin"/>
        </w:r>
        <w:r w:rsidR="002C1F1B" w:rsidRPr="00794C0E">
          <w:rPr>
            <w:rFonts w:cs="Arial"/>
            <w:noProof/>
            <w:webHidden/>
          </w:rPr>
          <w:instrText xml:space="preserve"> PAGEREF _Toc460335656 \h </w:instrText>
        </w:r>
        <w:r w:rsidR="002C1F1B" w:rsidRPr="00794C0E">
          <w:rPr>
            <w:rFonts w:cs="Arial"/>
            <w:noProof/>
            <w:webHidden/>
          </w:rPr>
        </w:r>
        <w:r w:rsidR="002C1F1B" w:rsidRPr="00794C0E">
          <w:rPr>
            <w:rFonts w:cs="Arial"/>
            <w:noProof/>
            <w:webHidden/>
          </w:rPr>
          <w:fldChar w:fldCharType="separate"/>
        </w:r>
        <w:r w:rsidR="003A5B5A" w:rsidRPr="00794C0E">
          <w:rPr>
            <w:rFonts w:cs="Arial"/>
            <w:noProof/>
            <w:webHidden/>
          </w:rPr>
          <w:t>4</w:t>
        </w:r>
        <w:r w:rsidR="002C1F1B" w:rsidRPr="00794C0E">
          <w:rPr>
            <w:rFonts w:cs="Arial"/>
            <w:noProof/>
            <w:webHidden/>
          </w:rPr>
          <w:fldChar w:fldCharType="end"/>
        </w:r>
      </w:hyperlink>
    </w:p>
    <w:p w:rsidR="002C1F1B" w:rsidRPr="00794C0E" w:rsidRDefault="00794C0E">
      <w:pPr>
        <w:pStyle w:val="TOC1"/>
        <w:rPr>
          <w:rFonts w:eastAsiaTheme="minorEastAsia" w:cs="Arial"/>
          <w:bCs w:val="0"/>
          <w:smallCaps w:val="0"/>
          <w:noProof/>
          <w:szCs w:val="22"/>
          <w:lang w:val="es-ES" w:eastAsia="es-ES"/>
        </w:rPr>
      </w:pPr>
      <w:hyperlink w:anchor="_Toc460335657" w:history="1">
        <w:r w:rsidR="002C1F1B" w:rsidRPr="00794C0E">
          <w:rPr>
            <w:rStyle w:val="Hyperlink"/>
            <w:rFonts w:cs="Arial"/>
            <w:noProof/>
            <w:lang w:val="es-AR"/>
          </w:rPr>
          <w:t>3.</w:t>
        </w:r>
        <w:r w:rsidR="002C1F1B" w:rsidRPr="00794C0E">
          <w:rPr>
            <w:rFonts w:eastAsiaTheme="minorEastAsia" w:cs="Arial"/>
            <w:bCs w:val="0"/>
            <w:smallCaps w:val="0"/>
            <w:noProof/>
            <w:szCs w:val="22"/>
            <w:lang w:val="es-ES" w:eastAsia="es-ES"/>
          </w:rPr>
          <w:tab/>
        </w:r>
        <w:r w:rsidR="002C1F1B" w:rsidRPr="00794C0E">
          <w:rPr>
            <w:rStyle w:val="Hyperlink"/>
            <w:rFonts w:cs="Arial"/>
            <w:noProof/>
            <w:lang w:val="es-AR"/>
          </w:rPr>
          <w:t>Rentabilidad de las Intervenciones</w:t>
        </w:r>
        <w:r w:rsidR="002C1F1B" w:rsidRPr="00794C0E">
          <w:rPr>
            <w:rFonts w:cs="Arial"/>
            <w:noProof/>
            <w:webHidden/>
          </w:rPr>
          <w:tab/>
        </w:r>
        <w:r w:rsidR="002C1F1B" w:rsidRPr="00794C0E">
          <w:rPr>
            <w:rFonts w:cs="Arial"/>
            <w:noProof/>
            <w:webHidden/>
          </w:rPr>
          <w:fldChar w:fldCharType="begin"/>
        </w:r>
        <w:r w:rsidR="002C1F1B" w:rsidRPr="00794C0E">
          <w:rPr>
            <w:rFonts w:cs="Arial"/>
            <w:noProof/>
            <w:webHidden/>
          </w:rPr>
          <w:instrText xml:space="preserve"> PAGEREF _Toc460335657 \h </w:instrText>
        </w:r>
        <w:r w:rsidR="002C1F1B" w:rsidRPr="00794C0E">
          <w:rPr>
            <w:rFonts w:cs="Arial"/>
            <w:noProof/>
            <w:webHidden/>
          </w:rPr>
        </w:r>
        <w:r w:rsidR="002C1F1B" w:rsidRPr="00794C0E">
          <w:rPr>
            <w:rFonts w:cs="Arial"/>
            <w:noProof/>
            <w:webHidden/>
          </w:rPr>
          <w:fldChar w:fldCharType="separate"/>
        </w:r>
        <w:r w:rsidR="003A5B5A" w:rsidRPr="00794C0E">
          <w:rPr>
            <w:rFonts w:cs="Arial"/>
            <w:noProof/>
            <w:webHidden/>
          </w:rPr>
          <w:t>24</w:t>
        </w:r>
        <w:r w:rsidR="002C1F1B" w:rsidRPr="00794C0E">
          <w:rPr>
            <w:rFonts w:cs="Arial"/>
            <w:noProof/>
            <w:webHidden/>
          </w:rPr>
          <w:fldChar w:fldCharType="end"/>
        </w:r>
      </w:hyperlink>
    </w:p>
    <w:p w:rsidR="002C1F1B" w:rsidRPr="00794C0E" w:rsidRDefault="00794C0E">
      <w:pPr>
        <w:pStyle w:val="TOC1"/>
        <w:rPr>
          <w:rFonts w:eastAsiaTheme="minorEastAsia" w:cs="Arial"/>
          <w:bCs w:val="0"/>
          <w:smallCaps w:val="0"/>
          <w:noProof/>
          <w:szCs w:val="22"/>
          <w:lang w:val="es-ES" w:eastAsia="es-ES"/>
        </w:rPr>
      </w:pPr>
      <w:hyperlink w:anchor="_Toc460335658" w:history="1">
        <w:r w:rsidR="002C1F1B" w:rsidRPr="00794C0E">
          <w:rPr>
            <w:rStyle w:val="Hyperlink"/>
            <w:rFonts w:cs="Arial"/>
            <w:noProof/>
            <w:lang w:val="es-AR"/>
          </w:rPr>
          <w:t>4.</w:t>
        </w:r>
        <w:r w:rsidR="002C1F1B" w:rsidRPr="00794C0E">
          <w:rPr>
            <w:rFonts w:eastAsiaTheme="minorEastAsia" w:cs="Arial"/>
            <w:bCs w:val="0"/>
            <w:smallCaps w:val="0"/>
            <w:noProof/>
            <w:szCs w:val="22"/>
            <w:lang w:val="es-ES" w:eastAsia="es-ES"/>
          </w:rPr>
          <w:tab/>
        </w:r>
        <w:r w:rsidR="002C1F1B" w:rsidRPr="00794C0E">
          <w:rPr>
            <w:rStyle w:val="Hyperlink"/>
            <w:rFonts w:cs="Arial"/>
            <w:noProof/>
            <w:lang w:val="es-AR"/>
          </w:rPr>
          <w:t>Resumen de la Evaluación  y Conclusiones</w:t>
        </w:r>
        <w:r w:rsidR="002C1F1B" w:rsidRPr="00794C0E">
          <w:rPr>
            <w:rFonts w:cs="Arial"/>
            <w:noProof/>
            <w:webHidden/>
          </w:rPr>
          <w:tab/>
        </w:r>
        <w:r w:rsidR="002C1F1B" w:rsidRPr="00794C0E">
          <w:rPr>
            <w:rFonts w:cs="Arial"/>
            <w:noProof/>
            <w:webHidden/>
          </w:rPr>
          <w:fldChar w:fldCharType="begin"/>
        </w:r>
        <w:r w:rsidR="002C1F1B" w:rsidRPr="00794C0E">
          <w:rPr>
            <w:rFonts w:cs="Arial"/>
            <w:noProof/>
            <w:webHidden/>
          </w:rPr>
          <w:instrText xml:space="preserve"> PAGEREF _Toc460335658 \h </w:instrText>
        </w:r>
        <w:r w:rsidR="002C1F1B" w:rsidRPr="00794C0E">
          <w:rPr>
            <w:rFonts w:cs="Arial"/>
            <w:noProof/>
            <w:webHidden/>
          </w:rPr>
        </w:r>
        <w:r w:rsidR="002C1F1B" w:rsidRPr="00794C0E">
          <w:rPr>
            <w:rFonts w:cs="Arial"/>
            <w:noProof/>
            <w:webHidden/>
          </w:rPr>
          <w:fldChar w:fldCharType="separate"/>
        </w:r>
        <w:r w:rsidR="003A5B5A" w:rsidRPr="00794C0E">
          <w:rPr>
            <w:rFonts w:cs="Arial"/>
            <w:noProof/>
            <w:webHidden/>
          </w:rPr>
          <w:t>37</w:t>
        </w:r>
        <w:r w:rsidR="002C1F1B" w:rsidRPr="00794C0E">
          <w:rPr>
            <w:rFonts w:cs="Arial"/>
            <w:noProof/>
            <w:webHidden/>
          </w:rPr>
          <w:fldChar w:fldCharType="end"/>
        </w:r>
      </w:hyperlink>
    </w:p>
    <w:p w:rsidR="002C1F1B" w:rsidRPr="00794C0E" w:rsidRDefault="00794C0E">
      <w:pPr>
        <w:pStyle w:val="TOC1"/>
        <w:rPr>
          <w:rFonts w:eastAsiaTheme="minorEastAsia" w:cs="Arial"/>
          <w:bCs w:val="0"/>
          <w:smallCaps w:val="0"/>
          <w:noProof/>
          <w:szCs w:val="22"/>
          <w:lang w:val="es-ES" w:eastAsia="es-ES"/>
        </w:rPr>
      </w:pPr>
      <w:hyperlink w:anchor="_Toc460335659" w:history="1">
        <w:r w:rsidR="002C1F1B" w:rsidRPr="00794C0E">
          <w:rPr>
            <w:rStyle w:val="Hyperlink"/>
            <w:rFonts w:cs="Arial"/>
            <w:noProof/>
            <w:lang w:val="es-AR"/>
          </w:rPr>
          <w:t>Bibliografía y Fuentes</w:t>
        </w:r>
        <w:r w:rsidR="002C1F1B" w:rsidRPr="00794C0E">
          <w:rPr>
            <w:rFonts w:cs="Arial"/>
            <w:noProof/>
            <w:webHidden/>
          </w:rPr>
          <w:tab/>
        </w:r>
        <w:r w:rsidR="002C1F1B" w:rsidRPr="00794C0E">
          <w:rPr>
            <w:rFonts w:cs="Arial"/>
            <w:noProof/>
            <w:webHidden/>
          </w:rPr>
          <w:fldChar w:fldCharType="begin"/>
        </w:r>
        <w:r w:rsidR="002C1F1B" w:rsidRPr="00794C0E">
          <w:rPr>
            <w:rFonts w:cs="Arial"/>
            <w:noProof/>
            <w:webHidden/>
          </w:rPr>
          <w:instrText xml:space="preserve"> PAGEREF _Toc460335659 \h </w:instrText>
        </w:r>
        <w:r w:rsidR="002C1F1B" w:rsidRPr="00794C0E">
          <w:rPr>
            <w:rFonts w:cs="Arial"/>
            <w:noProof/>
            <w:webHidden/>
          </w:rPr>
        </w:r>
        <w:r w:rsidR="002C1F1B" w:rsidRPr="00794C0E">
          <w:rPr>
            <w:rFonts w:cs="Arial"/>
            <w:noProof/>
            <w:webHidden/>
          </w:rPr>
          <w:fldChar w:fldCharType="separate"/>
        </w:r>
        <w:r w:rsidR="003A5B5A" w:rsidRPr="00794C0E">
          <w:rPr>
            <w:rFonts w:cs="Arial"/>
            <w:noProof/>
            <w:webHidden/>
          </w:rPr>
          <w:t>39</w:t>
        </w:r>
        <w:r w:rsidR="002C1F1B" w:rsidRPr="00794C0E">
          <w:rPr>
            <w:rFonts w:cs="Arial"/>
            <w:noProof/>
            <w:webHidden/>
          </w:rPr>
          <w:fldChar w:fldCharType="end"/>
        </w:r>
      </w:hyperlink>
    </w:p>
    <w:p w:rsidR="00055DFD" w:rsidRPr="00794C0E" w:rsidRDefault="00F05458" w:rsidP="009D1692">
      <w:pPr>
        <w:spacing w:line="600" w:lineRule="auto"/>
        <w:rPr>
          <w:rFonts w:cs="Arial"/>
          <w:b/>
          <w:bCs/>
          <w:caps/>
          <w:lang w:val="es-AR"/>
        </w:rPr>
      </w:pPr>
      <w:r w:rsidRPr="00794C0E">
        <w:rPr>
          <w:rFonts w:cs="Arial"/>
          <w:b/>
          <w:bCs/>
          <w:caps/>
          <w:smallCaps/>
          <w:sz w:val="22"/>
          <w:lang w:val="es-AR"/>
        </w:rPr>
        <w:fldChar w:fldCharType="end"/>
      </w:r>
    </w:p>
    <w:p w:rsidR="00055DFD" w:rsidRPr="00794C0E" w:rsidRDefault="00055DFD" w:rsidP="009D1692">
      <w:pPr>
        <w:rPr>
          <w:rFonts w:cs="Arial"/>
          <w:b/>
          <w:bCs/>
          <w:caps/>
          <w:lang w:val="es-AR"/>
        </w:rPr>
      </w:pPr>
    </w:p>
    <w:p w:rsidR="00055DFD" w:rsidRPr="00794C0E" w:rsidRDefault="00055DFD" w:rsidP="009D1692">
      <w:pPr>
        <w:rPr>
          <w:rFonts w:cs="Arial"/>
          <w:b/>
          <w:bCs/>
          <w:caps/>
          <w:lang w:val="es-AR"/>
        </w:rPr>
      </w:pPr>
    </w:p>
    <w:p w:rsidR="00CC5162" w:rsidRPr="00794C0E" w:rsidRDefault="00CC5162" w:rsidP="009D1692">
      <w:pPr>
        <w:tabs>
          <w:tab w:val="left" w:pos="1440"/>
          <w:tab w:val="left" w:pos="3060"/>
        </w:tabs>
        <w:spacing w:before="120" w:after="120" w:line="300" w:lineRule="exact"/>
        <w:jc w:val="center"/>
        <w:rPr>
          <w:rFonts w:cs="Arial"/>
          <w:lang w:val="es-AR"/>
        </w:rPr>
        <w:sectPr w:rsidR="00CC5162" w:rsidRPr="00794C0E" w:rsidSect="00F44634">
          <w:footerReference w:type="default" r:id="rId12"/>
          <w:pgSz w:w="12240" w:h="15840" w:code="1"/>
          <w:pgMar w:top="1800" w:right="1440" w:bottom="1800" w:left="1440" w:header="720" w:footer="720" w:gutter="0"/>
          <w:cols w:space="720"/>
        </w:sectPr>
      </w:pPr>
    </w:p>
    <w:p w:rsidR="005F3E16" w:rsidRPr="00794C0E" w:rsidRDefault="00451BA3" w:rsidP="009D1692">
      <w:pPr>
        <w:tabs>
          <w:tab w:val="left" w:pos="1440"/>
          <w:tab w:val="left" w:pos="3060"/>
        </w:tabs>
        <w:spacing w:before="120" w:after="120" w:line="300" w:lineRule="exact"/>
        <w:jc w:val="center"/>
        <w:rPr>
          <w:rFonts w:cs="Arial"/>
          <w:b/>
          <w:smallCaps/>
          <w:sz w:val="24"/>
          <w:szCs w:val="24"/>
          <w:lang w:val="es-AR"/>
        </w:rPr>
      </w:pPr>
      <w:r w:rsidRPr="00794C0E">
        <w:rPr>
          <w:rFonts w:cs="Arial"/>
          <w:b/>
          <w:smallCaps/>
          <w:sz w:val="24"/>
          <w:szCs w:val="24"/>
          <w:lang w:val="es-AR"/>
        </w:rPr>
        <w:lastRenderedPageBreak/>
        <w:t>Evaluación Económica</w:t>
      </w:r>
    </w:p>
    <w:p w:rsidR="003118E1" w:rsidRPr="00794C0E" w:rsidRDefault="003118E1" w:rsidP="009D1692">
      <w:pPr>
        <w:pStyle w:val="Heading1"/>
        <w:numPr>
          <w:ilvl w:val="0"/>
          <w:numId w:val="4"/>
        </w:numPr>
        <w:ind w:left="0" w:firstLine="0"/>
        <w:jc w:val="left"/>
        <w:rPr>
          <w:rFonts w:ascii="Arial" w:hAnsi="Arial" w:cs="Arial"/>
          <w:bCs w:val="0"/>
          <w:i w:val="0"/>
          <w:lang w:val="es-AR" w:eastAsia="es-ES_tradnl"/>
        </w:rPr>
      </w:pPr>
      <w:bookmarkStart w:id="0" w:name="_Toc339982338"/>
      <w:bookmarkStart w:id="1" w:name="_Toc460335655"/>
      <w:r w:rsidRPr="00794C0E">
        <w:rPr>
          <w:rFonts w:ascii="Arial" w:hAnsi="Arial" w:cs="Arial"/>
          <w:i w:val="0"/>
          <w:lang w:val="es-AR"/>
        </w:rPr>
        <w:t>Introducción</w:t>
      </w:r>
      <w:bookmarkEnd w:id="0"/>
      <w:bookmarkEnd w:id="1"/>
    </w:p>
    <w:p w:rsidR="003118E1" w:rsidRPr="00794C0E" w:rsidRDefault="003118E1" w:rsidP="009D1692">
      <w:pPr>
        <w:autoSpaceDE w:val="0"/>
        <w:autoSpaceDN w:val="0"/>
        <w:adjustRightInd w:val="0"/>
        <w:jc w:val="both"/>
        <w:rPr>
          <w:rFonts w:cs="Arial"/>
          <w:bCs/>
          <w:sz w:val="22"/>
          <w:szCs w:val="22"/>
          <w:lang w:val="es-AR"/>
        </w:rPr>
      </w:pPr>
    </w:p>
    <w:p w:rsidR="003118E1" w:rsidRPr="00794C0E" w:rsidRDefault="003118E1" w:rsidP="009D1692">
      <w:pPr>
        <w:pStyle w:val="ListParagraph"/>
        <w:numPr>
          <w:ilvl w:val="1"/>
          <w:numId w:val="5"/>
        </w:numPr>
        <w:autoSpaceDE w:val="0"/>
        <w:autoSpaceDN w:val="0"/>
        <w:adjustRightInd w:val="0"/>
        <w:spacing w:after="120"/>
        <w:ind w:left="0" w:firstLine="0"/>
        <w:jc w:val="both"/>
        <w:rPr>
          <w:rFonts w:cs="Arial"/>
          <w:bCs/>
          <w:sz w:val="22"/>
          <w:szCs w:val="22"/>
          <w:lang w:val="es-AR"/>
        </w:rPr>
      </w:pPr>
      <w:bookmarkStart w:id="2" w:name="_Ref287964768"/>
      <w:r w:rsidRPr="00794C0E">
        <w:rPr>
          <w:rFonts w:cs="Arial"/>
          <w:bCs/>
          <w:sz w:val="22"/>
          <w:szCs w:val="22"/>
          <w:lang w:val="es-AR"/>
        </w:rPr>
        <w:t xml:space="preserve">El </w:t>
      </w:r>
      <w:r w:rsidRPr="00794C0E">
        <w:rPr>
          <w:rFonts w:cs="Arial"/>
          <w:b/>
          <w:bCs/>
          <w:sz w:val="22"/>
          <w:szCs w:val="22"/>
          <w:lang w:val="es-AR"/>
        </w:rPr>
        <w:t xml:space="preserve">Programa de Desarrollo </w:t>
      </w:r>
      <w:r w:rsidR="00AF6F7A" w:rsidRPr="00794C0E">
        <w:rPr>
          <w:rFonts w:cs="Arial"/>
          <w:b/>
          <w:bCs/>
          <w:sz w:val="22"/>
          <w:szCs w:val="22"/>
          <w:lang w:val="es-AR"/>
        </w:rPr>
        <w:t>y Fortalecimiento de la Gestión Provincial</w:t>
      </w:r>
      <w:r w:rsidR="003B1C74" w:rsidRPr="00794C0E">
        <w:rPr>
          <w:rFonts w:cs="Arial"/>
          <w:b/>
          <w:bCs/>
          <w:sz w:val="22"/>
          <w:szCs w:val="22"/>
          <w:lang w:val="es-AR"/>
        </w:rPr>
        <w:t xml:space="preserve"> AR-L1248</w:t>
      </w:r>
      <w:r w:rsidR="003B1C74" w:rsidRPr="00794C0E">
        <w:rPr>
          <w:rFonts w:cs="Arial"/>
          <w:bCs/>
          <w:sz w:val="22"/>
          <w:szCs w:val="22"/>
          <w:lang w:val="es-AR"/>
        </w:rPr>
        <w:t xml:space="preserve"> tiene por objeto contribuir al crecimiento del empleo provincial, a través de la mejora de la gestión de los ingresos, gastos y de la inversión pública, y la implementación proyectos de inversión. La operación </w:t>
      </w:r>
      <w:r w:rsidRPr="00794C0E">
        <w:rPr>
          <w:rFonts w:cs="Arial"/>
          <w:bCs/>
          <w:sz w:val="22"/>
          <w:szCs w:val="22"/>
          <w:lang w:val="es-AR"/>
        </w:rPr>
        <w:t xml:space="preserve">se ha definido mediante un </w:t>
      </w:r>
      <w:r w:rsidRPr="00794C0E">
        <w:rPr>
          <w:rFonts w:cs="Arial"/>
          <w:bCs/>
          <w:i/>
          <w:sz w:val="22"/>
          <w:szCs w:val="22"/>
          <w:lang w:val="es-AR"/>
        </w:rPr>
        <w:t>pari-passu</w:t>
      </w:r>
      <w:r w:rsidRPr="00794C0E">
        <w:rPr>
          <w:rFonts w:cs="Arial"/>
          <w:bCs/>
          <w:sz w:val="22"/>
          <w:szCs w:val="22"/>
          <w:lang w:val="es-AR"/>
        </w:rPr>
        <w:t xml:space="preserve"> del 8</w:t>
      </w:r>
      <w:r w:rsidR="003B1C74" w:rsidRPr="00794C0E">
        <w:rPr>
          <w:rFonts w:cs="Arial"/>
          <w:bCs/>
          <w:sz w:val="22"/>
          <w:szCs w:val="22"/>
          <w:lang w:val="es-AR"/>
        </w:rPr>
        <w:t>5</w:t>
      </w:r>
      <w:r w:rsidRPr="00794C0E">
        <w:rPr>
          <w:rFonts w:cs="Arial"/>
          <w:bCs/>
          <w:sz w:val="22"/>
          <w:szCs w:val="22"/>
          <w:lang w:val="es-AR"/>
        </w:rPr>
        <w:t xml:space="preserve"> % de aporte externo y del </w:t>
      </w:r>
      <w:r w:rsidR="003B1C74" w:rsidRPr="00794C0E">
        <w:rPr>
          <w:rFonts w:cs="Arial"/>
          <w:bCs/>
          <w:sz w:val="22"/>
          <w:szCs w:val="22"/>
          <w:lang w:val="es-AR"/>
        </w:rPr>
        <w:t>15</w:t>
      </w:r>
      <w:r w:rsidRPr="00794C0E">
        <w:rPr>
          <w:rFonts w:cs="Arial"/>
          <w:bCs/>
          <w:sz w:val="22"/>
          <w:szCs w:val="22"/>
          <w:lang w:val="es-AR"/>
        </w:rPr>
        <w:t xml:space="preserve">% de aporte local. El monto total del </w:t>
      </w:r>
      <w:r w:rsidR="003B1C74" w:rsidRPr="00794C0E">
        <w:rPr>
          <w:rFonts w:cs="Arial"/>
          <w:bCs/>
          <w:sz w:val="22"/>
          <w:szCs w:val="22"/>
          <w:lang w:val="es-AR"/>
        </w:rPr>
        <w:t xml:space="preserve">Programa se </w:t>
      </w:r>
      <w:r w:rsidRPr="00794C0E">
        <w:rPr>
          <w:rFonts w:cs="Arial"/>
          <w:bCs/>
          <w:sz w:val="22"/>
          <w:szCs w:val="22"/>
          <w:lang w:val="es-AR"/>
        </w:rPr>
        <w:t>estableció en U</w:t>
      </w:r>
      <w:r w:rsidR="003B1C74" w:rsidRPr="00794C0E">
        <w:rPr>
          <w:rFonts w:cs="Arial"/>
          <w:bCs/>
          <w:sz w:val="22"/>
          <w:szCs w:val="22"/>
          <w:lang w:val="es-AR"/>
        </w:rPr>
        <w:t>$S</w:t>
      </w:r>
      <w:r w:rsidRPr="00794C0E">
        <w:rPr>
          <w:rFonts w:cs="Arial"/>
          <w:bCs/>
          <w:sz w:val="22"/>
          <w:szCs w:val="22"/>
          <w:lang w:val="es-AR"/>
        </w:rPr>
        <w:t xml:space="preserve"> 1</w:t>
      </w:r>
      <w:r w:rsidR="003B1C74" w:rsidRPr="00794C0E">
        <w:rPr>
          <w:rFonts w:cs="Arial"/>
          <w:bCs/>
          <w:sz w:val="22"/>
          <w:szCs w:val="22"/>
          <w:lang w:val="es-AR"/>
        </w:rPr>
        <w:t>41.2</w:t>
      </w:r>
      <w:r w:rsidRPr="00794C0E">
        <w:rPr>
          <w:rFonts w:cs="Arial"/>
          <w:bCs/>
          <w:sz w:val="22"/>
          <w:szCs w:val="22"/>
          <w:lang w:val="es-AR"/>
        </w:rPr>
        <w:t xml:space="preserve"> millones</w:t>
      </w:r>
      <w:r w:rsidR="003B1C74" w:rsidRPr="00794C0E">
        <w:rPr>
          <w:rFonts w:cs="Arial"/>
          <w:bCs/>
          <w:sz w:val="22"/>
          <w:szCs w:val="22"/>
          <w:lang w:val="es-AR"/>
        </w:rPr>
        <w:t xml:space="preserve">, </w:t>
      </w:r>
      <w:bookmarkEnd w:id="2"/>
    </w:p>
    <w:p w:rsidR="003118E1" w:rsidRPr="00794C0E" w:rsidRDefault="003B1C74" w:rsidP="009D1692">
      <w:pPr>
        <w:pStyle w:val="ListParagraph"/>
        <w:numPr>
          <w:ilvl w:val="1"/>
          <w:numId w:val="5"/>
        </w:numPr>
        <w:ind w:left="0" w:firstLine="0"/>
        <w:jc w:val="both"/>
        <w:rPr>
          <w:rFonts w:cs="Arial"/>
          <w:bCs/>
          <w:sz w:val="22"/>
          <w:szCs w:val="22"/>
          <w:lang w:val="es-AR"/>
        </w:rPr>
      </w:pPr>
      <w:r w:rsidRPr="00794C0E">
        <w:rPr>
          <w:rFonts w:cs="Arial"/>
          <w:bCs/>
          <w:sz w:val="22"/>
          <w:szCs w:val="22"/>
          <w:lang w:val="es-AR"/>
        </w:rPr>
        <w:t>Para su ejecución se han diseñado dos</w:t>
      </w:r>
      <w:r w:rsidR="00334473" w:rsidRPr="00794C0E">
        <w:rPr>
          <w:rFonts w:cs="Arial"/>
          <w:bCs/>
          <w:sz w:val="22"/>
          <w:szCs w:val="22"/>
          <w:lang w:val="es-AR"/>
        </w:rPr>
        <w:t xml:space="preserve"> componentes</w:t>
      </w:r>
      <w:r w:rsidR="00334473" w:rsidRPr="00794C0E">
        <w:rPr>
          <w:rStyle w:val="FootnoteReference"/>
          <w:rFonts w:cs="Arial"/>
          <w:bCs/>
          <w:sz w:val="22"/>
          <w:szCs w:val="22"/>
          <w:lang w:val="es-AR"/>
        </w:rPr>
        <w:footnoteReference w:id="1"/>
      </w:r>
      <w:r w:rsidR="00334473" w:rsidRPr="00794C0E">
        <w:rPr>
          <w:rFonts w:cs="Arial"/>
          <w:bCs/>
          <w:sz w:val="22"/>
          <w:szCs w:val="22"/>
          <w:lang w:val="es-AR"/>
        </w:rPr>
        <w:t>:</w:t>
      </w:r>
    </w:p>
    <w:p w:rsidR="003118E1" w:rsidRPr="00794C0E" w:rsidRDefault="003118E1" w:rsidP="009D1692">
      <w:pPr>
        <w:pStyle w:val="ListParagraph"/>
        <w:ind w:left="0"/>
        <w:rPr>
          <w:rFonts w:cs="Arial"/>
          <w:bCs/>
          <w:sz w:val="22"/>
          <w:szCs w:val="22"/>
          <w:lang w:val="es-AR"/>
        </w:rPr>
      </w:pPr>
    </w:p>
    <w:p w:rsidR="003B1C74" w:rsidRPr="00794C0E" w:rsidRDefault="003B1C74" w:rsidP="009D1692">
      <w:pPr>
        <w:pStyle w:val="ListParagraph"/>
        <w:numPr>
          <w:ilvl w:val="1"/>
          <w:numId w:val="5"/>
        </w:numPr>
        <w:ind w:left="0" w:firstLine="0"/>
        <w:jc w:val="both"/>
        <w:rPr>
          <w:rFonts w:cs="Arial"/>
          <w:bCs/>
          <w:sz w:val="22"/>
          <w:szCs w:val="22"/>
          <w:lang w:val="es-AR"/>
        </w:rPr>
      </w:pPr>
      <w:r w:rsidRPr="00794C0E">
        <w:rPr>
          <w:rFonts w:cs="Arial"/>
          <w:bCs/>
          <w:sz w:val="22"/>
          <w:szCs w:val="22"/>
          <w:lang w:val="es-AR"/>
        </w:rPr>
        <w:t xml:space="preserve">El </w:t>
      </w:r>
      <w:r w:rsidRPr="00794C0E">
        <w:rPr>
          <w:rFonts w:cs="Arial"/>
          <w:b/>
          <w:bCs/>
          <w:sz w:val="22"/>
          <w:szCs w:val="22"/>
          <w:lang w:val="es-AR"/>
        </w:rPr>
        <w:t xml:space="preserve">Componente I </w:t>
      </w:r>
      <w:r w:rsidRPr="00794C0E">
        <w:rPr>
          <w:rFonts w:cs="Arial"/>
          <w:b/>
          <w:bCs/>
          <w:i/>
          <w:sz w:val="22"/>
          <w:szCs w:val="22"/>
          <w:lang w:val="es-AR"/>
        </w:rPr>
        <w:t xml:space="preserve">“Fortalecimiento de la administración tributaria y financiera, junto a la gestión de la inversión pública” </w:t>
      </w:r>
      <w:r w:rsidRPr="00794C0E">
        <w:rPr>
          <w:rFonts w:cs="Arial"/>
          <w:b/>
          <w:bCs/>
          <w:sz w:val="22"/>
          <w:szCs w:val="22"/>
          <w:lang w:val="es-AR"/>
        </w:rPr>
        <w:t xml:space="preserve">(US$42.8 millones), </w:t>
      </w:r>
      <w:r w:rsidRPr="00794C0E">
        <w:rPr>
          <w:rFonts w:cs="Arial"/>
          <w:bCs/>
          <w:sz w:val="22"/>
          <w:szCs w:val="22"/>
          <w:lang w:val="es-AR"/>
        </w:rPr>
        <w:t>tiene por objetivo</w:t>
      </w:r>
      <w:r w:rsidRPr="00794C0E">
        <w:rPr>
          <w:rFonts w:cs="Arial"/>
          <w:b/>
          <w:bCs/>
          <w:sz w:val="22"/>
          <w:szCs w:val="22"/>
          <w:lang w:val="es-AR"/>
        </w:rPr>
        <w:t xml:space="preserve"> </w:t>
      </w:r>
      <w:r w:rsidRPr="00794C0E">
        <w:rPr>
          <w:rFonts w:cs="Arial"/>
          <w:bCs/>
          <w:sz w:val="22"/>
          <w:szCs w:val="22"/>
          <w:lang w:val="es-AR"/>
        </w:rPr>
        <w:t xml:space="preserve">mejorar la autonomía fiscal de las provincias, junto a la eficiencia y efectividad del gasto público, a través del fortalecimiento de las capacidades provinciales relacionadas a la recaudación tributaria, la administración financiera y la gestión del ciclo de la inversión pública. </w:t>
      </w:r>
      <w:r w:rsidR="00334473" w:rsidRPr="00794C0E">
        <w:rPr>
          <w:rFonts w:cs="Arial"/>
          <w:bCs/>
          <w:sz w:val="22"/>
          <w:szCs w:val="22"/>
          <w:lang w:val="es-AR"/>
        </w:rPr>
        <w:t>Se com</w:t>
      </w:r>
      <w:r w:rsidRPr="00794C0E">
        <w:rPr>
          <w:rFonts w:cs="Arial"/>
          <w:bCs/>
          <w:sz w:val="22"/>
          <w:szCs w:val="22"/>
          <w:lang w:val="es-AR"/>
        </w:rPr>
        <w:t xml:space="preserve">pone de tres subcomponentes: </w:t>
      </w:r>
      <w:r w:rsidRPr="00794C0E">
        <w:rPr>
          <w:rFonts w:cs="Arial"/>
          <w:b/>
          <w:bCs/>
          <w:sz w:val="22"/>
          <w:szCs w:val="22"/>
          <w:lang w:val="es-AR"/>
        </w:rPr>
        <w:t>(i) Fortalecimiento de la Administración Tributaria y sistemas de Catastro (US$20 millones)</w:t>
      </w:r>
      <w:r w:rsidRPr="00794C0E">
        <w:rPr>
          <w:rFonts w:cs="Arial"/>
          <w:bCs/>
          <w:sz w:val="22"/>
          <w:szCs w:val="22"/>
          <w:lang w:val="es-AR"/>
        </w:rPr>
        <w:t xml:space="preserve">, que financiará la modernización de los Sistemas de Información Territorial; los Sistemas de Registros de la Propiedad; los Sistemas de Administración Tributaria; y el Sistema Integrado e Identificatorio de Catastro; </w:t>
      </w:r>
      <w:r w:rsidRPr="00794C0E">
        <w:rPr>
          <w:rFonts w:cs="Arial"/>
          <w:b/>
          <w:bCs/>
          <w:sz w:val="22"/>
          <w:szCs w:val="22"/>
          <w:lang w:val="es-AR"/>
        </w:rPr>
        <w:t>(ii) Fortalecimiento de la gestión financiera y del gasto público y de la inversión provincial (US$16 millones)</w:t>
      </w:r>
      <w:r w:rsidR="00334473" w:rsidRPr="00794C0E">
        <w:rPr>
          <w:rFonts w:cs="Arial"/>
          <w:bCs/>
          <w:sz w:val="22"/>
          <w:szCs w:val="22"/>
          <w:lang w:val="es-AR"/>
        </w:rPr>
        <w:t xml:space="preserve">, destinado al financiamiento de la </w:t>
      </w:r>
      <w:r w:rsidRPr="00794C0E">
        <w:rPr>
          <w:rFonts w:cs="Arial"/>
          <w:bCs/>
          <w:sz w:val="22"/>
          <w:szCs w:val="22"/>
          <w:lang w:val="es-AR"/>
        </w:rPr>
        <w:t xml:space="preserve">implementación y fortalecimiento de los Sistemas de Recursos Humanos y Planillas; </w:t>
      </w:r>
      <w:r w:rsidR="00334473" w:rsidRPr="00794C0E">
        <w:rPr>
          <w:rFonts w:cs="Arial"/>
          <w:bCs/>
          <w:sz w:val="22"/>
          <w:szCs w:val="22"/>
          <w:lang w:val="es-AR"/>
        </w:rPr>
        <w:t xml:space="preserve">el </w:t>
      </w:r>
      <w:r w:rsidRPr="00794C0E">
        <w:rPr>
          <w:rFonts w:cs="Arial"/>
          <w:bCs/>
          <w:sz w:val="22"/>
          <w:szCs w:val="22"/>
          <w:lang w:val="es-AR"/>
        </w:rPr>
        <w:t xml:space="preserve">fortalecimiento de los Sistemas de Administración Financiera y presupuesto por resultados; </w:t>
      </w:r>
      <w:r w:rsidR="00334473" w:rsidRPr="00794C0E">
        <w:rPr>
          <w:rFonts w:cs="Arial"/>
          <w:bCs/>
          <w:sz w:val="22"/>
          <w:szCs w:val="22"/>
          <w:lang w:val="es-AR"/>
        </w:rPr>
        <w:t xml:space="preserve">el </w:t>
      </w:r>
      <w:r w:rsidRPr="00794C0E">
        <w:rPr>
          <w:rFonts w:cs="Arial"/>
          <w:bCs/>
          <w:sz w:val="22"/>
          <w:szCs w:val="22"/>
          <w:lang w:val="es-AR"/>
        </w:rPr>
        <w:t xml:space="preserve">fortalecimiento de los Sistemas de Administración de Bienes; </w:t>
      </w:r>
      <w:r w:rsidR="00334473" w:rsidRPr="00794C0E">
        <w:rPr>
          <w:rFonts w:cs="Arial"/>
          <w:bCs/>
          <w:sz w:val="22"/>
          <w:szCs w:val="22"/>
          <w:lang w:val="es-AR"/>
        </w:rPr>
        <w:t xml:space="preserve">la </w:t>
      </w:r>
      <w:r w:rsidRPr="00794C0E">
        <w:rPr>
          <w:rFonts w:cs="Arial"/>
          <w:bCs/>
          <w:sz w:val="22"/>
          <w:szCs w:val="22"/>
          <w:lang w:val="es-AR"/>
        </w:rPr>
        <w:t xml:space="preserve">implementación de sistemas de E-compras; </w:t>
      </w:r>
      <w:r w:rsidR="00334473" w:rsidRPr="00794C0E">
        <w:rPr>
          <w:rFonts w:cs="Arial"/>
          <w:bCs/>
          <w:sz w:val="22"/>
          <w:szCs w:val="22"/>
          <w:lang w:val="es-AR"/>
        </w:rPr>
        <w:t>y</w:t>
      </w:r>
      <w:r w:rsidRPr="00794C0E">
        <w:rPr>
          <w:rFonts w:cs="Arial"/>
          <w:bCs/>
          <w:sz w:val="22"/>
          <w:szCs w:val="22"/>
          <w:lang w:val="es-AR"/>
        </w:rPr>
        <w:t xml:space="preserve"> </w:t>
      </w:r>
      <w:r w:rsidR="00334473" w:rsidRPr="00794C0E">
        <w:rPr>
          <w:rFonts w:cs="Arial"/>
          <w:bCs/>
          <w:sz w:val="22"/>
          <w:szCs w:val="22"/>
          <w:lang w:val="es-AR"/>
        </w:rPr>
        <w:t xml:space="preserve">la </w:t>
      </w:r>
      <w:r w:rsidRPr="00794C0E">
        <w:rPr>
          <w:rFonts w:cs="Arial"/>
          <w:bCs/>
          <w:sz w:val="22"/>
          <w:szCs w:val="22"/>
          <w:lang w:val="es-AR"/>
        </w:rPr>
        <w:t>implementación y fortalecimiento de Sistemas de Inversión Pública Provinciales</w:t>
      </w:r>
      <w:r w:rsidR="00334473" w:rsidRPr="00794C0E">
        <w:rPr>
          <w:rFonts w:cs="Arial"/>
          <w:bCs/>
          <w:sz w:val="22"/>
          <w:szCs w:val="22"/>
          <w:lang w:val="es-AR"/>
        </w:rPr>
        <w:t xml:space="preserve">; </w:t>
      </w:r>
      <w:r w:rsidR="00334473" w:rsidRPr="00794C0E">
        <w:rPr>
          <w:rFonts w:cs="Arial"/>
          <w:b/>
          <w:bCs/>
          <w:sz w:val="22"/>
          <w:szCs w:val="22"/>
          <w:lang w:val="es-AR"/>
        </w:rPr>
        <w:t xml:space="preserve">(iii) </w:t>
      </w:r>
      <w:r w:rsidRPr="00794C0E">
        <w:rPr>
          <w:rFonts w:cs="Arial"/>
          <w:b/>
          <w:bCs/>
          <w:sz w:val="22"/>
          <w:szCs w:val="22"/>
          <w:lang w:val="es-AR"/>
        </w:rPr>
        <w:t>Fortalecimiento del diseño del Federalismo Fiscal Argentino y sus Órganos Rectores. (US$6,8 millones)</w:t>
      </w:r>
      <w:r w:rsidR="00334473" w:rsidRPr="00794C0E">
        <w:rPr>
          <w:rFonts w:cs="Arial"/>
          <w:b/>
          <w:bCs/>
          <w:sz w:val="22"/>
          <w:szCs w:val="22"/>
          <w:lang w:val="es-AR"/>
        </w:rPr>
        <w:t xml:space="preserve">, que contempla llevar adelante </w:t>
      </w:r>
      <w:r w:rsidRPr="00794C0E">
        <w:rPr>
          <w:rFonts w:cs="Arial"/>
          <w:bCs/>
          <w:sz w:val="22"/>
          <w:szCs w:val="22"/>
          <w:lang w:val="es-AR"/>
        </w:rPr>
        <w:t>acciones transversales de fortalecimiento del Ministerio del Interior en su rol de coordinador de la mejora de la mejora del federalismo fiscal y la gestión provincial, incluyendo, entre otros, al Convenio Multilateral y el SYNTyS como entes vinculados con la recaudación y focalización de gasto en las provincias.</w:t>
      </w:r>
    </w:p>
    <w:p w:rsidR="003118E1" w:rsidRPr="00794C0E" w:rsidRDefault="003118E1" w:rsidP="009D1692">
      <w:pPr>
        <w:pStyle w:val="ListParagraph"/>
        <w:ind w:left="0"/>
        <w:jc w:val="both"/>
        <w:rPr>
          <w:rFonts w:cs="Arial"/>
          <w:bCs/>
          <w:sz w:val="22"/>
          <w:szCs w:val="22"/>
          <w:lang w:val="es-AR"/>
        </w:rPr>
      </w:pPr>
    </w:p>
    <w:p w:rsidR="00334473" w:rsidRPr="00794C0E" w:rsidRDefault="003118E1" w:rsidP="009D1692">
      <w:pPr>
        <w:pStyle w:val="ListParagraph"/>
        <w:numPr>
          <w:ilvl w:val="1"/>
          <w:numId w:val="5"/>
        </w:numPr>
        <w:ind w:left="0" w:firstLine="0"/>
        <w:jc w:val="both"/>
        <w:rPr>
          <w:rFonts w:cs="Arial"/>
          <w:bCs/>
          <w:sz w:val="22"/>
          <w:szCs w:val="22"/>
          <w:lang w:val="es-AR"/>
        </w:rPr>
      </w:pPr>
      <w:r w:rsidRPr="00794C0E">
        <w:rPr>
          <w:rFonts w:cs="Arial"/>
          <w:b/>
          <w:bCs/>
          <w:sz w:val="22"/>
          <w:szCs w:val="22"/>
          <w:lang w:val="es-AR"/>
        </w:rPr>
        <w:t xml:space="preserve">El Componente </w:t>
      </w:r>
      <w:r w:rsidR="00BE4717" w:rsidRPr="00794C0E">
        <w:rPr>
          <w:rFonts w:cs="Arial"/>
          <w:b/>
          <w:bCs/>
          <w:sz w:val="22"/>
          <w:szCs w:val="22"/>
          <w:lang w:val="es-AR"/>
        </w:rPr>
        <w:t>II</w:t>
      </w:r>
      <w:r w:rsidRPr="00794C0E">
        <w:rPr>
          <w:rFonts w:cs="Arial"/>
          <w:b/>
          <w:bCs/>
          <w:sz w:val="22"/>
          <w:szCs w:val="22"/>
          <w:lang w:val="es-AR"/>
        </w:rPr>
        <w:t xml:space="preserve"> </w:t>
      </w:r>
      <w:r w:rsidR="00334473" w:rsidRPr="00794C0E">
        <w:rPr>
          <w:rFonts w:cs="Arial"/>
          <w:b/>
          <w:bCs/>
          <w:sz w:val="22"/>
          <w:szCs w:val="22"/>
          <w:lang w:val="es-AR"/>
        </w:rPr>
        <w:t>“</w:t>
      </w:r>
      <w:r w:rsidR="00334473" w:rsidRPr="00794C0E">
        <w:rPr>
          <w:rFonts w:cs="Arial"/>
          <w:b/>
          <w:bCs/>
          <w:i/>
          <w:sz w:val="22"/>
          <w:szCs w:val="22"/>
          <w:lang w:val="es-AR"/>
        </w:rPr>
        <w:t>Inversiones para el desarrollo”</w:t>
      </w:r>
      <w:r w:rsidR="00334473" w:rsidRPr="00794C0E">
        <w:rPr>
          <w:rFonts w:cs="Arial"/>
          <w:b/>
          <w:bCs/>
          <w:sz w:val="22"/>
          <w:szCs w:val="22"/>
          <w:lang w:val="es-AR"/>
        </w:rPr>
        <w:t xml:space="preserve"> (US$96 millones</w:t>
      </w:r>
      <w:r w:rsidR="00334473" w:rsidRPr="00794C0E">
        <w:rPr>
          <w:rFonts w:cs="Arial"/>
          <w:bCs/>
          <w:sz w:val="22"/>
          <w:szCs w:val="22"/>
          <w:lang w:val="es-AR"/>
        </w:rPr>
        <w:t>), con el objeto de financiar inversiones en sectores estratégicos del programa de inversiones de las provincias para reducir los principales obstáculos para el crecimiento económico y generación de empleo privado, al mismo tiempo de incrementar el compromiso de las autoridades provinciales con la consecución de una mejor gestión de ingresos y mejora en la calidad del gasto público</w:t>
      </w:r>
      <w:r w:rsidR="00334473" w:rsidRPr="00794C0E">
        <w:rPr>
          <w:rStyle w:val="FootnoteReference"/>
          <w:rFonts w:cs="Arial"/>
          <w:bCs/>
          <w:sz w:val="22"/>
          <w:szCs w:val="22"/>
          <w:lang w:val="es-AR"/>
        </w:rPr>
        <w:footnoteReference w:id="2"/>
      </w:r>
      <w:r w:rsidR="00334473" w:rsidRPr="00794C0E">
        <w:rPr>
          <w:rFonts w:cs="Arial"/>
          <w:bCs/>
          <w:sz w:val="22"/>
          <w:szCs w:val="22"/>
          <w:lang w:val="es-AR"/>
        </w:rPr>
        <w:t>.</w:t>
      </w:r>
    </w:p>
    <w:p w:rsidR="00334473" w:rsidRPr="00794C0E" w:rsidRDefault="00334473" w:rsidP="009D1692">
      <w:pPr>
        <w:jc w:val="both"/>
        <w:rPr>
          <w:rFonts w:cs="Arial"/>
          <w:bCs/>
          <w:sz w:val="22"/>
          <w:szCs w:val="22"/>
          <w:lang w:val="es-AR"/>
        </w:rPr>
      </w:pPr>
    </w:p>
    <w:p w:rsidR="00C16712" w:rsidRPr="00794C0E" w:rsidRDefault="003118E1" w:rsidP="009D1692">
      <w:pPr>
        <w:pStyle w:val="ListParagraph"/>
        <w:numPr>
          <w:ilvl w:val="1"/>
          <w:numId w:val="5"/>
        </w:numPr>
        <w:ind w:left="0" w:firstLine="0"/>
        <w:jc w:val="both"/>
        <w:rPr>
          <w:rFonts w:cs="Arial"/>
          <w:bCs/>
          <w:sz w:val="22"/>
          <w:szCs w:val="22"/>
          <w:lang w:val="es-AR"/>
        </w:rPr>
      </w:pPr>
      <w:r w:rsidRPr="00794C0E">
        <w:rPr>
          <w:rFonts w:cs="Arial"/>
          <w:bCs/>
          <w:sz w:val="22"/>
          <w:szCs w:val="22"/>
          <w:lang w:val="es-AR"/>
        </w:rPr>
        <w:t xml:space="preserve">El </w:t>
      </w:r>
      <w:r w:rsidRPr="00794C0E">
        <w:rPr>
          <w:rFonts w:cs="Arial"/>
          <w:b/>
          <w:bCs/>
          <w:sz w:val="22"/>
          <w:szCs w:val="22"/>
          <w:lang w:val="es-AR"/>
        </w:rPr>
        <w:t>Análisis</w:t>
      </w:r>
      <w:r w:rsidRPr="00794C0E">
        <w:rPr>
          <w:rFonts w:cs="Arial"/>
          <w:bCs/>
          <w:sz w:val="22"/>
          <w:szCs w:val="22"/>
          <w:lang w:val="es-AR"/>
        </w:rPr>
        <w:t xml:space="preserve"> </w:t>
      </w:r>
      <w:r w:rsidRPr="00794C0E">
        <w:rPr>
          <w:rFonts w:cs="Arial"/>
          <w:b/>
          <w:bCs/>
          <w:sz w:val="22"/>
          <w:szCs w:val="22"/>
          <w:lang w:val="es-AR"/>
        </w:rPr>
        <w:t>Económico</w:t>
      </w:r>
      <w:r w:rsidR="00C16712" w:rsidRPr="00794C0E">
        <w:rPr>
          <w:rFonts w:cs="Arial"/>
          <w:b/>
          <w:bCs/>
          <w:i/>
          <w:sz w:val="22"/>
          <w:szCs w:val="22"/>
          <w:lang w:val="es-AR"/>
        </w:rPr>
        <w:t xml:space="preserve"> </w:t>
      </w:r>
      <w:r w:rsidRPr="00794C0E">
        <w:rPr>
          <w:rFonts w:cs="Arial"/>
          <w:b/>
          <w:bCs/>
          <w:sz w:val="22"/>
          <w:szCs w:val="22"/>
          <w:lang w:val="es-AR"/>
        </w:rPr>
        <w:t xml:space="preserve">se concentra en </w:t>
      </w:r>
      <w:r w:rsidR="00BE4717" w:rsidRPr="00794C0E">
        <w:rPr>
          <w:rFonts w:cs="Arial"/>
          <w:b/>
          <w:bCs/>
          <w:sz w:val="22"/>
          <w:szCs w:val="22"/>
          <w:lang w:val="es-AR"/>
        </w:rPr>
        <w:t>el 100 % del Componente I y el 3</w:t>
      </w:r>
      <w:r w:rsidR="0053029F" w:rsidRPr="00794C0E">
        <w:rPr>
          <w:rFonts w:cs="Arial"/>
          <w:b/>
          <w:bCs/>
          <w:sz w:val="22"/>
          <w:szCs w:val="22"/>
          <w:lang w:val="es-AR"/>
        </w:rPr>
        <w:t>7</w:t>
      </w:r>
      <w:r w:rsidR="00BE4717" w:rsidRPr="00794C0E">
        <w:rPr>
          <w:rFonts w:cs="Arial"/>
          <w:b/>
          <w:bCs/>
          <w:sz w:val="22"/>
          <w:szCs w:val="22"/>
          <w:lang w:val="es-AR"/>
        </w:rPr>
        <w:t>,</w:t>
      </w:r>
      <w:r w:rsidR="0053029F" w:rsidRPr="00794C0E">
        <w:rPr>
          <w:rFonts w:cs="Arial"/>
          <w:b/>
          <w:bCs/>
          <w:sz w:val="22"/>
          <w:szCs w:val="22"/>
          <w:lang w:val="es-AR"/>
        </w:rPr>
        <w:t>03</w:t>
      </w:r>
      <w:r w:rsidR="00BE4717" w:rsidRPr="00794C0E">
        <w:rPr>
          <w:rFonts w:cs="Arial"/>
          <w:b/>
          <w:bCs/>
          <w:sz w:val="22"/>
          <w:szCs w:val="22"/>
          <w:lang w:val="es-AR"/>
        </w:rPr>
        <w:t xml:space="preserve"> % del Componente II.</w:t>
      </w:r>
      <w:r w:rsidR="00BE4717" w:rsidRPr="00794C0E">
        <w:rPr>
          <w:rFonts w:cs="Arial"/>
          <w:b/>
          <w:bCs/>
          <w:i/>
          <w:sz w:val="22"/>
          <w:szCs w:val="22"/>
          <w:lang w:val="es-AR"/>
        </w:rPr>
        <w:t xml:space="preserve"> </w:t>
      </w:r>
      <w:r w:rsidR="00BE4717" w:rsidRPr="00794C0E">
        <w:rPr>
          <w:rFonts w:cs="Arial"/>
          <w:bCs/>
          <w:sz w:val="22"/>
          <w:szCs w:val="22"/>
          <w:lang w:val="es-AR"/>
        </w:rPr>
        <w:t xml:space="preserve">Cada uno de estos componentes se evalúan en forma separada. En el caso del </w:t>
      </w:r>
      <w:r w:rsidR="00C16712" w:rsidRPr="00794C0E">
        <w:rPr>
          <w:rFonts w:cs="Arial"/>
          <w:bCs/>
          <w:sz w:val="22"/>
          <w:szCs w:val="22"/>
          <w:lang w:val="es-AR"/>
        </w:rPr>
        <w:t>C</w:t>
      </w:r>
      <w:r w:rsidR="00BE4717" w:rsidRPr="00794C0E">
        <w:rPr>
          <w:rFonts w:cs="Arial"/>
          <w:bCs/>
          <w:sz w:val="22"/>
          <w:szCs w:val="22"/>
          <w:lang w:val="es-AR"/>
        </w:rPr>
        <w:t>omponente I, se realiza</w:t>
      </w:r>
      <w:r w:rsidR="00C16712" w:rsidRPr="00794C0E">
        <w:rPr>
          <w:rFonts w:cs="Arial"/>
          <w:bCs/>
          <w:sz w:val="22"/>
          <w:szCs w:val="22"/>
          <w:lang w:val="es-AR"/>
        </w:rPr>
        <w:t>n</w:t>
      </w:r>
      <w:r w:rsidR="00BE4717" w:rsidRPr="00794C0E">
        <w:rPr>
          <w:rFonts w:cs="Arial"/>
          <w:bCs/>
          <w:sz w:val="22"/>
          <w:szCs w:val="22"/>
          <w:lang w:val="es-AR"/>
        </w:rPr>
        <w:t xml:space="preserve"> </w:t>
      </w:r>
      <w:r w:rsidR="00C16712" w:rsidRPr="00794C0E">
        <w:rPr>
          <w:rFonts w:cs="Arial"/>
          <w:bCs/>
          <w:sz w:val="22"/>
          <w:szCs w:val="22"/>
          <w:lang w:val="es-AR"/>
        </w:rPr>
        <w:t>dos</w:t>
      </w:r>
      <w:r w:rsidR="00BE4717" w:rsidRPr="00794C0E">
        <w:rPr>
          <w:rFonts w:cs="Arial"/>
          <w:bCs/>
          <w:sz w:val="22"/>
          <w:szCs w:val="22"/>
          <w:lang w:val="es-AR"/>
        </w:rPr>
        <w:t xml:space="preserve"> análisis específico</w:t>
      </w:r>
      <w:r w:rsidR="00C16712" w:rsidRPr="00794C0E">
        <w:rPr>
          <w:rFonts w:cs="Arial"/>
          <w:bCs/>
          <w:sz w:val="22"/>
          <w:szCs w:val="22"/>
          <w:lang w:val="es-AR"/>
        </w:rPr>
        <w:t>s</w:t>
      </w:r>
      <w:r w:rsidR="00BE4717" w:rsidRPr="00794C0E">
        <w:rPr>
          <w:rFonts w:cs="Arial"/>
          <w:bCs/>
          <w:sz w:val="22"/>
          <w:szCs w:val="22"/>
          <w:lang w:val="es-AR"/>
        </w:rPr>
        <w:t xml:space="preserve"> a los fines de poder evaluar la rentabilidad de inversiones que tienen por objeto fortalecer la administración tributaria y el catastro provincial (Subcompon</w:t>
      </w:r>
      <w:r w:rsidR="00031E33" w:rsidRPr="00794C0E">
        <w:rPr>
          <w:rFonts w:cs="Arial"/>
          <w:bCs/>
          <w:sz w:val="22"/>
          <w:szCs w:val="22"/>
          <w:lang w:val="es-AR"/>
        </w:rPr>
        <w:t>e</w:t>
      </w:r>
      <w:r w:rsidR="00BE4717" w:rsidRPr="00794C0E">
        <w:rPr>
          <w:rFonts w:cs="Arial"/>
          <w:bCs/>
          <w:sz w:val="22"/>
          <w:szCs w:val="22"/>
          <w:lang w:val="es-AR"/>
        </w:rPr>
        <w:t>nte I.1)</w:t>
      </w:r>
      <w:r w:rsidR="00C16712" w:rsidRPr="00794C0E">
        <w:rPr>
          <w:rFonts w:cs="Arial"/>
          <w:bCs/>
          <w:sz w:val="22"/>
          <w:szCs w:val="22"/>
          <w:lang w:val="es-AR"/>
        </w:rPr>
        <w:t>,</w:t>
      </w:r>
      <w:r w:rsidR="00BE4717" w:rsidRPr="00794C0E">
        <w:rPr>
          <w:rFonts w:cs="Arial"/>
          <w:bCs/>
          <w:sz w:val="22"/>
          <w:szCs w:val="22"/>
          <w:lang w:val="es-AR"/>
        </w:rPr>
        <w:t xml:space="preserve"> </w:t>
      </w:r>
      <w:r w:rsidR="00C16712" w:rsidRPr="00794C0E">
        <w:rPr>
          <w:rFonts w:cs="Arial"/>
          <w:bCs/>
          <w:sz w:val="22"/>
          <w:szCs w:val="22"/>
          <w:lang w:val="es-AR"/>
        </w:rPr>
        <w:t xml:space="preserve">y por otra parte, evaluar </w:t>
      </w:r>
      <w:r w:rsidR="00BE4717" w:rsidRPr="00794C0E">
        <w:rPr>
          <w:rFonts w:cs="Arial"/>
          <w:bCs/>
          <w:sz w:val="22"/>
          <w:szCs w:val="22"/>
          <w:lang w:val="es-AR"/>
        </w:rPr>
        <w:t xml:space="preserve">las intervenciones destinadas </w:t>
      </w:r>
      <w:r w:rsidR="00BE4717" w:rsidRPr="00794C0E">
        <w:rPr>
          <w:rFonts w:cs="Arial"/>
          <w:bCs/>
          <w:sz w:val="22"/>
          <w:szCs w:val="22"/>
          <w:lang w:val="es-AR"/>
        </w:rPr>
        <w:lastRenderedPageBreak/>
        <w:t>a fortalecer la gestión financiera y del gasto público, así como el fortalecimiento del federalismo fiscal y la gestión en materia de sistemas de control de la recaudación y el gasto provinciales (Subcomponente I.2 y I.3)</w:t>
      </w:r>
      <w:r w:rsidR="00031E33" w:rsidRPr="00794C0E">
        <w:rPr>
          <w:rFonts w:cs="Arial"/>
          <w:bCs/>
          <w:sz w:val="22"/>
          <w:szCs w:val="22"/>
          <w:lang w:val="es-AR"/>
        </w:rPr>
        <w:t xml:space="preserve">. </w:t>
      </w:r>
      <w:r w:rsidR="00C16712" w:rsidRPr="00794C0E">
        <w:rPr>
          <w:rFonts w:cs="Arial"/>
          <w:bCs/>
          <w:sz w:val="22"/>
          <w:szCs w:val="22"/>
          <w:lang w:val="es-AR"/>
        </w:rPr>
        <w:t xml:space="preserve">Adicionalmente, </w:t>
      </w:r>
      <w:r w:rsidR="00E651B7" w:rsidRPr="00794C0E">
        <w:rPr>
          <w:rFonts w:cs="Arial"/>
          <w:bCs/>
          <w:sz w:val="22"/>
          <w:szCs w:val="22"/>
          <w:lang w:val="es-AR"/>
        </w:rPr>
        <w:t>se realiza un análisis de cuatro inversiones en infraestructura que se han identificado para ser financiadas mediante el Componente II, que cuentan con proyectos de factibilidad técnica y ambientales</w:t>
      </w:r>
      <w:r w:rsidR="003914B8" w:rsidRPr="00794C0E">
        <w:rPr>
          <w:rStyle w:val="FootnoteReference"/>
          <w:rFonts w:cs="Arial"/>
          <w:bCs/>
          <w:sz w:val="22"/>
          <w:szCs w:val="22"/>
          <w:lang w:val="es-AR"/>
        </w:rPr>
        <w:footnoteReference w:id="3"/>
      </w:r>
      <w:r w:rsidR="00E651B7" w:rsidRPr="00794C0E">
        <w:rPr>
          <w:rFonts w:cs="Arial"/>
          <w:bCs/>
          <w:sz w:val="22"/>
          <w:szCs w:val="22"/>
          <w:lang w:val="es-AR"/>
        </w:rPr>
        <w:t xml:space="preserve">, que abarcan sectores estratégicos para </w:t>
      </w:r>
      <w:r w:rsidR="00C16712" w:rsidRPr="00794C0E">
        <w:rPr>
          <w:rFonts w:cs="Arial"/>
          <w:bCs/>
          <w:sz w:val="22"/>
          <w:szCs w:val="22"/>
          <w:lang w:val="es-AR"/>
        </w:rPr>
        <w:t xml:space="preserve">impulsores del </w:t>
      </w:r>
      <w:r w:rsidR="00E651B7" w:rsidRPr="00794C0E">
        <w:rPr>
          <w:rFonts w:cs="Arial"/>
          <w:bCs/>
          <w:sz w:val="22"/>
          <w:szCs w:val="22"/>
          <w:lang w:val="es-AR"/>
        </w:rPr>
        <w:t>crecimiento económico y el empleo privado</w:t>
      </w:r>
      <w:r w:rsidR="00C16712" w:rsidRPr="00794C0E">
        <w:rPr>
          <w:rFonts w:cs="Arial"/>
          <w:bCs/>
          <w:sz w:val="22"/>
          <w:szCs w:val="22"/>
          <w:lang w:val="es-AR"/>
        </w:rPr>
        <w:t xml:space="preserve"> provincial.</w:t>
      </w:r>
    </w:p>
    <w:p w:rsidR="006B077A" w:rsidRPr="00794C0E" w:rsidRDefault="006B077A" w:rsidP="009D1692">
      <w:pPr>
        <w:pStyle w:val="ListParagraph"/>
        <w:ind w:left="0"/>
        <w:rPr>
          <w:rFonts w:cs="Arial"/>
          <w:bCs/>
          <w:sz w:val="22"/>
          <w:szCs w:val="22"/>
          <w:lang w:val="es-AR"/>
        </w:rPr>
      </w:pPr>
    </w:p>
    <w:p w:rsidR="006B077A" w:rsidRPr="00794C0E" w:rsidRDefault="006B077A" w:rsidP="009D1692">
      <w:pPr>
        <w:pStyle w:val="ListParagraph"/>
        <w:numPr>
          <w:ilvl w:val="1"/>
          <w:numId w:val="5"/>
        </w:numPr>
        <w:ind w:left="0" w:firstLine="0"/>
        <w:jc w:val="both"/>
        <w:rPr>
          <w:rFonts w:cs="Arial"/>
          <w:bCs/>
          <w:sz w:val="22"/>
          <w:szCs w:val="22"/>
          <w:lang w:val="es-AR"/>
        </w:rPr>
      </w:pPr>
      <w:r w:rsidRPr="00794C0E">
        <w:rPr>
          <w:rFonts w:cs="Arial"/>
          <w:bCs/>
          <w:sz w:val="22"/>
          <w:szCs w:val="22"/>
          <w:lang w:val="es-AR"/>
        </w:rPr>
        <w:t>La siguiente Tabla muestra la Matriz Financiera del Programa para todo el período de ejecución</w:t>
      </w:r>
    </w:p>
    <w:p w:rsidR="003F6A5E" w:rsidRPr="00794C0E" w:rsidRDefault="003F6A5E" w:rsidP="009D1692">
      <w:pPr>
        <w:pStyle w:val="ListParagraph"/>
        <w:ind w:left="0"/>
        <w:jc w:val="center"/>
        <w:rPr>
          <w:rFonts w:cs="Arial"/>
          <w:b/>
          <w:bCs/>
          <w:lang w:val="es-AR"/>
        </w:rPr>
      </w:pPr>
    </w:p>
    <w:p w:rsidR="002237EC" w:rsidRPr="00794C0E" w:rsidRDefault="006B077A" w:rsidP="009D1692">
      <w:pPr>
        <w:pStyle w:val="ListParagraph"/>
        <w:ind w:left="0"/>
        <w:jc w:val="center"/>
        <w:rPr>
          <w:rFonts w:cs="Arial"/>
          <w:b/>
          <w:bCs/>
          <w:lang w:val="es-AR"/>
        </w:rPr>
      </w:pPr>
      <w:r w:rsidRPr="00794C0E">
        <w:rPr>
          <w:rFonts w:cs="Arial"/>
          <w:b/>
          <w:bCs/>
          <w:lang w:val="es-AR"/>
        </w:rPr>
        <w:t>Tabla 1</w:t>
      </w:r>
      <w:r w:rsidR="003F6A5E" w:rsidRPr="00794C0E">
        <w:rPr>
          <w:rFonts w:cs="Arial"/>
          <w:b/>
          <w:bCs/>
          <w:lang w:val="es-AR"/>
        </w:rPr>
        <w:t xml:space="preserve">. </w:t>
      </w:r>
      <w:r w:rsidRPr="00794C0E">
        <w:rPr>
          <w:rFonts w:cs="Arial"/>
          <w:b/>
          <w:bCs/>
          <w:lang w:val="es-AR"/>
        </w:rPr>
        <w:t>Matriz de Financiamiento del Programa</w:t>
      </w:r>
    </w:p>
    <w:p w:rsidR="00AA7DA8" w:rsidRPr="00794C0E" w:rsidRDefault="00AA7DA8" w:rsidP="009D1692">
      <w:pPr>
        <w:pStyle w:val="ListParagraph"/>
        <w:ind w:left="0"/>
        <w:jc w:val="center"/>
        <w:rPr>
          <w:rFonts w:cs="Arial"/>
          <w:bCs/>
          <w:lang w:val="es-AR"/>
        </w:rPr>
      </w:pPr>
      <w:r w:rsidRPr="00794C0E">
        <w:rPr>
          <w:rFonts w:cs="Arial"/>
          <w:bCs/>
          <w:lang w:val="es-AR"/>
        </w:rPr>
        <w:t>En millones de U$D</w:t>
      </w:r>
    </w:p>
    <w:tbl>
      <w:tblPr>
        <w:tblW w:w="5000" w:type="pct"/>
        <w:jc w:val="center"/>
        <w:tblCellMar>
          <w:left w:w="70" w:type="dxa"/>
          <w:right w:w="70" w:type="dxa"/>
        </w:tblCellMar>
        <w:tblLook w:val="04A0" w:firstRow="1" w:lastRow="0" w:firstColumn="1" w:lastColumn="0" w:noHBand="0" w:noVBand="1"/>
      </w:tblPr>
      <w:tblGrid>
        <w:gridCol w:w="6688"/>
        <w:gridCol w:w="895"/>
        <w:gridCol w:w="878"/>
        <w:gridCol w:w="1039"/>
      </w:tblGrid>
      <w:tr w:rsidR="002237EC" w:rsidRPr="00794C0E" w:rsidTr="00104DA9">
        <w:trPr>
          <w:trHeight w:val="20"/>
          <w:jc w:val="center"/>
        </w:trPr>
        <w:tc>
          <w:tcPr>
            <w:tcW w:w="308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2237EC" w:rsidRPr="00794C0E" w:rsidRDefault="002237EC" w:rsidP="009D1692">
            <w:pPr>
              <w:jc w:val="center"/>
              <w:rPr>
                <w:rFonts w:cs="Arial"/>
                <w:b/>
                <w:bCs/>
                <w:color w:val="000000"/>
                <w:lang w:val="es-AR" w:eastAsia="es-ES"/>
              </w:rPr>
            </w:pPr>
            <w:r w:rsidRPr="00794C0E">
              <w:rPr>
                <w:rFonts w:cs="Arial"/>
                <w:b/>
                <w:bCs/>
                <w:color w:val="000000"/>
                <w:lang w:val="es-AR" w:eastAsia="es-ES"/>
              </w:rPr>
              <w:t>Componente</w:t>
            </w:r>
          </w:p>
        </w:tc>
        <w:tc>
          <w:tcPr>
            <w:tcW w:w="618"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237EC" w:rsidRPr="00794C0E" w:rsidRDefault="002237EC" w:rsidP="009D1692">
            <w:pPr>
              <w:ind w:right="-70"/>
              <w:jc w:val="center"/>
              <w:rPr>
                <w:rFonts w:cs="Arial"/>
                <w:b/>
                <w:bCs/>
                <w:color w:val="000000"/>
                <w:lang w:val="es-AR" w:eastAsia="es-ES"/>
              </w:rPr>
            </w:pPr>
            <w:r w:rsidRPr="00794C0E">
              <w:rPr>
                <w:rFonts w:cs="Arial"/>
                <w:b/>
                <w:bCs/>
                <w:color w:val="000000"/>
                <w:lang w:val="es-AR" w:eastAsia="es-ES"/>
              </w:rPr>
              <w:t>BID</w:t>
            </w:r>
          </w:p>
        </w:tc>
        <w:tc>
          <w:tcPr>
            <w:tcW w:w="60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237EC" w:rsidRPr="00794C0E" w:rsidRDefault="002237EC" w:rsidP="009D1692">
            <w:pPr>
              <w:ind w:right="-70"/>
              <w:jc w:val="center"/>
              <w:rPr>
                <w:rFonts w:cs="Arial"/>
                <w:b/>
                <w:bCs/>
                <w:color w:val="000000"/>
                <w:lang w:val="es-AR" w:eastAsia="es-ES"/>
              </w:rPr>
            </w:pPr>
            <w:r w:rsidRPr="00794C0E">
              <w:rPr>
                <w:rFonts w:cs="Arial"/>
                <w:b/>
                <w:bCs/>
                <w:color w:val="000000"/>
                <w:lang w:val="es-AR" w:eastAsia="es-ES"/>
              </w:rPr>
              <w:t>LOCAL</w:t>
            </w:r>
          </w:p>
        </w:tc>
        <w:tc>
          <w:tcPr>
            <w:tcW w:w="693"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2237EC" w:rsidRPr="00794C0E" w:rsidRDefault="002237EC" w:rsidP="009D1692">
            <w:pPr>
              <w:jc w:val="center"/>
              <w:rPr>
                <w:rFonts w:cs="Arial"/>
                <w:b/>
                <w:bCs/>
                <w:color w:val="000000"/>
                <w:lang w:val="es-AR" w:eastAsia="es-ES"/>
              </w:rPr>
            </w:pPr>
            <w:r w:rsidRPr="00794C0E">
              <w:rPr>
                <w:rFonts w:cs="Arial"/>
                <w:b/>
                <w:bCs/>
                <w:color w:val="000000"/>
                <w:lang w:val="es-AR" w:eastAsia="es-ES"/>
              </w:rPr>
              <w:t>TOTAL</w:t>
            </w:r>
          </w:p>
        </w:tc>
      </w:tr>
      <w:tr w:rsidR="002237EC" w:rsidRPr="00794C0E" w:rsidTr="00104DA9">
        <w:trPr>
          <w:trHeight w:val="20"/>
          <w:jc w:val="center"/>
        </w:trPr>
        <w:tc>
          <w:tcPr>
            <w:tcW w:w="3080" w:type="pct"/>
            <w:tcBorders>
              <w:top w:val="nil"/>
              <w:left w:val="single" w:sz="4" w:space="0" w:color="auto"/>
              <w:bottom w:val="single" w:sz="4" w:space="0" w:color="auto"/>
              <w:right w:val="single" w:sz="4" w:space="0" w:color="auto"/>
            </w:tcBorders>
            <w:shd w:val="clear" w:color="auto" w:fill="auto"/>
            <w:noWrap/>
            <w:vAlign w:val="center"/>
          </w:tcPr>
          <w:p w:rsidR="002237EC" w:rsidRPr="00794C0E" w:rsidRDefault="003F6A5E" w:rsidP="009D1692">
            <w:pPr>
              <w:rPr>
                <w:rFonts w:cs="Arial"/>
                <w:b/>
                <w:bCs/>
                <w:color w:val="000000"/>
                <w:lang w:val="es-AR" w:eastAsia="es-ES"/>
              </w:rPr>
            </w:pPr>
            <w:r w:rsidRPr="00794C0E">
              <w:rPr>
                <w:rFonts w:cs="Arial"/>
                <w:b/>
                <w:bCs/>
                <w:color w:val="000000"/>
                <w:lang w:val="es-AR" w:eastAsia="es-ES"/>
              </w:rPr>
              <w:t>1.</w:t>
            </w:r>
            <w:r w:rsidR="002237EC" w:rsidRPr="00794C0E">
              <w:rPr>
                <w:rFonts w:cs="Arial"/>
                <w:b/>
                <w:bCs/>
                <w:color w:val="000000"/>
                <w:lang w:val="es-AR" w:eastAsia="es-ES"/>
              </w:rPr>
              <w:t xml:space="preserve"> Fortalecimiento de la Administración Tributaria y Financiera</w:t>
            </w:r>
          </w:p>
        </w:tc>
        <w:tc>
          <w:tcPr>
            <w:tcW w:w="618" w:type="pct"/>
            <w:tcBorders>
              <w:top w:val="nil"/>
              <w:left w:val="nil"/>
              <w:bottom w:val="single" w:sz="4" w:space="0" w:color="auto"/>
              <w:right w:val="single" w:sz="4" w:space="0" w:color="auto"/>
            </w:tcBorders>
            <w:shd w:val="clear" w:color="auto" w:fill="auto"/>
            <w:noWrap/>
            <w:vAlign w:val="center"/>
          </w:tcPr>
          <w:p w:rsidR="002237EC" w:rsidRPr="00794C0E" w:rsidRDefault="002237EC" w:rsidP="009D1692">
            <w:pPr>
              <w:jc w:val="center"/>
              <w:rPr>
                <w:rFonts w:cs="Arial"/>
                <w:b/>
                <w:bCs/>
                <w:color w:val="000000"/>
                <w:lang w:val="es-AR" w:eastAsia="es-ES"/>
              </w:rPr>
            </w:pPr>
            <w:r w:rsidRPr="00794C0E">
              <w:rPr>
                <w:rFonts w:cs="Arial"/>
                <w:b/>
                <w:bCs/>
                <w:color w:val="000000"/>
                <w:lang w:val="es-AR" w:eastAsia="es-ES"/>
              </w:rPr>
              <w:t>36,4</w:t>
            </w:r>
          </w:p>
        </w:tc>
        <w:tc>
          <w:tcPr>
            <w:tcW w:w="609" w:type="pct"/>
            <w:tcBorders>
              <w:top w:val="nil"/>
              <w:left w:val="nil"/>
              <w:bottom w:val="single" w:sz="4" w:space="0" w:color="auto"/>
              <w:right w:val="single" w:sz="4" w:space="0" w:color="auto"/>
            </w:tcBorders>
            <w:shd w:val="clear" w:color="auto" w:fill="auto"/>
            <w:noWrap/>
            <w:vAlign w:val="center"/>
          </w:tcPr>
          <w:p w:rsidR="002237EC" w:rsidRPr="00794C0E" w:rsidRDefault="002237EC" w:rsidP="009D1692">
            <w:pPr>
              <w:jc w:val="center"/>
              <w:rPr>
                <w:rFonts w:cs="Arial"/>
                <w:b/>
                <w:bCs/>
                <w:color w:val="000000"/>
                <w:lang w:val="es-AR" w:eastAsia="es-ES"/>
              </w:rPr>
            </w:pPr>
            <w:r w:rsidRPr="00794C0E">
              <w:rPr>
                <w:rFonts w:cs="Arial"/>
                <w:b/>
                <w:bCs/>
                <w:color w:val="000000"/>
                <w:lang w:val="es-AR" w:eastAsia="es-ES"/>
              </w:rPr>
              <w:t>6,40</w:t>
            </w:r>
          </w:p>
        </w:tc>
        <w:tc>
          <w:tcPr>
            <w:tcW w:w="693" w:type="pct"/>
            <w:tcBorders>
              <w:top w:val="nil"/>
              <w:left w:val="nil"/>
              <w:bottom w:val="single" w:sz="4" w:space="0" w:color="auto"/>
              <w:right w:val="single" w:sz="4" w:space="0" w:color="auto"/>
            </w:tcBorders>
            <w:shd w:val="clear" w:color="auto" w:fill="auto"/>
            <w:noWrap/>
            <w:vAlign w:val="center"/>
          </w:tcPr>
          <w:p w:rsidR="002237EC" w:rsidRPr="00794C0E" w:rsidRDefault="002237EC" w:rsidP="009D1692">
            <w:pPr>
              <w:jc w:val="center"/>
              <w:rPr>
                <w:rFonts w:cs="Arial"/>
                <w:b/>
                <w:bCs/>
                <w:color w:val="000000"/>
                <w:lang w:val="es-AR" w:eastAsia="es-ES"/>
              </w:rPr>
            </w:pPr>
            <w:r w:rsidRPr="00794C0E">
              <w:rPr>
                <w:rFonts w:cs="Arial"/>
                <w:b/>
                <w:bCs/>
                <w:color w:val="000000"/>
                <w:lang w:val="es-AR" w:eastAsia="es-ES"/>
              </w:rPr>
              <w:t>42,8</w:t>
            </w:r>
          </w:p>
        </w:tc>
      </w:tr>
      <w:tr w:rsidR="002237EC" w:rsidRPr="00794C0E" w:rsidTr="00104DA9">
        <w:trPr>
          <w:trHeight w:val="20"/>
          <w:jc w:val="center"/>
        </w:trPr>
        <w:tc>
          <w:tcPr>
            <w:tcW w:w="3080" w:type="pct"/>
            <w:tcBorders>
              <w:top w:val="nil"/>
              <w:left w:val="single" w:sz="4" w:space="0" w:color="auto"/>
              <w:bottom w:val="single" w:sz="4" w:space="0" w:color="auto"/>
              <w:right w:val="single" w:sz="4" w:space="0" w:color="auto"/>
            </w:tcBorders>
            <w:shd w:val="clear" w:color="auto" w:fill="auto"/>
            <w:noWrap/>
            <w:vAlign w:val="center"/>
          </w:tcPr>
          <w:p w:rsidR="002237EC" w:rsidRPr="00794C0E" w:rsidRDefault="003F6A5E" w:rsidP="009D1692">
            <w:pPr>
              <w:rPr>
                <w:rFonts w:cs="Arial"/>
                <w:bCs/>
                <w:color w:val="000000"/>
                <w:lang w:val="es-AR" w:eastAsia="es-ES"/>
              </w:rPr>
            </w:pPr>
            <w:r w:rsidRPr="00794C0E">
              <w:rPr>
                <w:rFonts w:cs="Arial"/>
                <w:bCs/>
                <w:color w:val="000000"/>
                <w:lang w:val="es-AR" w:eastAsia="es-ES"/>
              </w:rPr>
              <w:t>1.1.</w:t>
            </w:r>
            <w:r w:rsidR="002237EC" w:rsidRPr="00794C0E">
              <w:rPr>
                <w:rFonts w:cs="Arial"/>
                <w:bCs/>
                <w:color w:val="000000"/>
                <w:lang w:val="es-AR" w:eastAsia="es-ES"/>
              </w:rPr>
              <w:t>Fortalecimiento de la Administración Tributaria y sistemas de Catastro</w:t>
            </w:r>
          </w:p>
        </w:tc>
        <w:tc>
          <w:tcPr>
            <w:tcW w:w="618" w:type="pct"/>
            <w:tcBorders>
              <w:top w:val="nil"/>
              <w:left w:val="nil"/>
              <w:bottom w:val="single" w:sz="4" w:space="0" w:color="auto"/>
              <w:right w:val="single" w:sz="4" w:space="0" w:color="auto"/>
            </w:tcBorders>
            <w:shd w:val="clear" w:color="auto" w:fill="auto"/>
            <w:noWrap/>
            <w:vAlign w:val="center"/>
          </w:tcPr>
          <w:p w:rsidR="002237EC" w:rsidRPr="00794C0E" w:rsidRDefault="002237EC" w:rsidP="009D1692">
            <w:pPr>
              <w:jc w:val="center"/>
              <w:rPr>
                <w:rFonts w:cs="Arial"/>
                <w:b/>
                <w:bCs/>
                <w:color w:val="000000"/>
                <w:lang w:val="es-AR" w:eastAsia="es-ES"/>
              </w:rPr>
            </w:pPr>
            <w:r w:rsidRPr="00794C0E">
              <w:rPr>
                <w:rFonts w:cs="Arial"/>
                <w:b/>
                <w:bCs/>
                <w:color w:val="000000"/>
                <w:lang w:val="es-AR" w:eastAsia="es-ES"/>
              </w:rPr>
              <w:t>17,0</w:t>
            </w:r>
          </w:p>
        </w:tc>
        <w:tc>
          <w:tcPr>
            <w:tcW w:w="609" w:type="pct"/>
            <w:tcBorders>
              <w:top w:val="nil"/>
              <w:left w:val="nil"/>
              <w:bottom w:val="single" w:sz="4" w:space="0" w:color="auto"/>
              <w:right w:val="single" w:sz="4" w:space="0" w:color="auto"/>
            </w:tcBorders>
            <w:shd w:val="clear" w:color="auto" w:fill="auto"/>
            <w:noWrap/>
            <w:vAlign w:val="center"/>
          </w:tcPr>
          <w:p w:rsidR="002237EC" w:rsidRPr="00794C0E" w:rsidRDefault="002237EC" w:rsidP="009D1692">
            <w:pPr>
              <w:jc w:val="center"/>
              <w:rPr>
                <w:rFonts w:cs="Arial"/>
                <w:b/>
                <w:bCs/>
                <w:color w:val="000000"/>
                <w:lang w:val="es-AR" w:eastAsia="es-ES"/>
              </w:rPr>
            </w:pPr>
            <w:r w:rsidRPr="00794C0E">
              <w:rPr>
                <w:rFonts w:cs="Arial"/>
                <w:b/>
                <w:bCs/>
                <w:color w:val="000000"/>
                <w:lang w:val="es-AR" w:eastAsia="es-ES"/>
              </w:rPr>
              <w:t>3,0</w:t>
            </w:r>
          </w:p>
        </w:tc>
        <w:tc>
          <w:tcPr>
            <w:tcW w:w="693" w:type="pct"/>
            <w:tcBorders>
              <w:top w:val="nil"/>
              <w:left w:val="nil"/>
              <w:bottom w:val="single" w:sz="4" w:space="0" w:color="auto"/>
              <w:right w:val="single" w:sz="4" w:space="0" w:color="auto"/>
            </w:tcBorders>
            <w:shd w:val="clear" w:color="auto" w:fill="auto"/>
            <w:noWrap/>
            <w:vAlign w:val="center"/>
          </w:tcPr>
          <w:p w:rsidR="002237EC" w:rsidRPr="00794C0E" w:rsidRDefault="002237EC" w:rsidP="009D1692">
            <w:pPr>
              <w:jc w:val="center"/>
              <w:rPr>
                <w:rFonts w:cs="Arial"/>
                <w:b/>
                <w:bCs/>
                <w:color w:val="000000"/>
                <w:lang w:val="es-AR" w:eastAsia="es-ES"/>
              </w:rPr>
            </w:pPr>
            <w:r w:rsidRPr="00794C0E">
              <w:rPr>
                <w:rFonts w:cs="Arial"/>
                <w:b/>
                <w:bCs/>
                <w:color w:val="000000"/>
                <w:lang w:val="es-AR" w:eastAsia="es-ES"/>
              </w:rPr>
              <w:t>20,0</w:t>
            </w:r>
          </w:p>
        </w:tc>
      </w:tr>
      <w:tr w:rsidR="002237EC" w:rsidRPr="00794C0E" w:rsidTr="00104DA9">
        <w:trPr>
          <w:trHeight w:val="20"/>
          <w:jc w:val="center"/>
        </w:trPr>
        <w:tc>
          <w:tcPr>
            <w:tcW w:w="3080" w:type="pct"/>
            <w:tcBorders>
              <w:top w:val="nil"/>
              <w:left w:val="single" w:sz="4" w:space="0" w:color="auto"/>
              <w:bottom w:val="single" w:sz="4" w:space="0" w:color="auto"/>
              <w:right w:val="single" w:sz="4" w:space="0" w:color="auto"/>
            </w:tcBorders>
            <w:shd w:val="clear" w:color="auto" w:fill="auto"/>
            <w:noWrap/>
            <w:vAlign w:val="center"/>
          </w:tcPr>
          <w:p w:rsidR="002237EC" w:rsidRPr="00794C0E" w:rsidRDefault="003F6A5E" w:rsidP="009D1692">
            <w:pPr>
              <w:rPr>
                <w:rFonts w:cs="Arial"/>
                <w:bCs/>
                <w:color w:val="000000"/>
                <w:lang w:val="es-AR" w:eastAsia="es-ES"/>
              </w:rPr>
            </w:pPr>
            <w:r w:rsidRPr="00794C0E">
              <w:rPr>
                <w:rFonts w:cs="Arial"/>
                <w:bCs/>
                <w:color w:val="000000"/>
                <w:lang w:val="es-AR" w:eastAsia="es-ES"/>
              </w:rPr>
              <w:t>1.2.</w:t>
            </w:r>
            <w:r w:rsidR="002237EC" w:rsidRPr="00794C0E">
              <w:rPr>
                <w:rFonts w:cs="Arial"/>
                <w:bCs/>
                <w:color w:val="000000"/>
                <w:lang w:val="es-AR" w:eastAsia="es-ES"/>
              </w:rPr>
              <w:t>Fortalecimiento de la Administración Financiera</w:t>
            </w:r>
          </w:p>
        </w:tc>
        <w:tc>
          <w:tcPr>
            <w:tcW w:w="618" w:type="pct"/>
            <w:tcBorders>
              <w:top w:val="nil"/>
              <w:left w:val="nil"/>
              <w:bottom w:val="single" w:sz="4" w:space="0" w:color="auto"/>
              <w:right w:val="single" w:sz="4" w:space="0" w:color="auto"/>
            </w:tcBorders>
            <w:shd w:val="clear" w:color="auto" w:fill="auto"/>
            <w:noWrap/>
            <w:vAlign w:val="center"/>
          </w:tcPr>
          <w:p w:rsidR="002237EC" w:rsidRPr="00794C0E" w:rsidRDefault="002237EC" w:rsidP="009D1692">
            <w:pPr>
              <w:jc w:val="center"/>
              <w:rPr>
                <w:rFonts w:cs="Arial"/>
                <w:b/>
                <w:bCs/>
                <w:color w:val="000000"/>
                <w:lang w:val="es-AR" w:eastAsia="es-ES"/>
              </w:rPr>
            </w:pPr>
            <w:r w:rsidRPr="00794C0E">
              <w:rPr>
                <w:rFonts w:cs="Arial"/>
                <w:b/>
                <w:bCs/>
                <w:color w:val="000000"/>
                <w:lang w:val="es-AR" w:eastAsia="es-ES"/>
              </w:rPr>
              <w:t>13,6</w:t>
            </w:r>
          </w:p>
        </w:tc>
        <w:tc>
          <w:tcPr>
            <w:tcW w:w="609" w:type="pct"/>
            <w:tcBorders>
              <w:top w:val="nil"/>
              <w:left w:val="nil"/>
              <w:bottom w:val="single" w:sz="4" w:space="0" w:color="auto"/>
              <w:right w:val="single" w:sz="4" w:space="0" w:color="auto"/>
            </w:tcBorders>
            <w:shd w:val="clear" w:color="auto" w:fill="auto"/>
            <w:noWrap/>
            <w:vAlign w:val="center"/>
          </w:tcPr>
          <w:p w:rsidR="002237EC" w:rsidRPr="00794C0E" w:rsidRDefault="002237EC" w:rsidP="009D1692">
            <w:pPr>
              <w:jc w:val="center"/>
              <w:rPr>
                <w:rFonts w:cs="Arial"/>
                <w:b/>
                <w:bCs/>
                <w:color w:val="000000"/>
                <w:lang w:val="es-AR" w:eastAsia="es-ES"/>
              </w:rPr>
            </w:pPr>
            <w:r w:rsidRPr="00794C0E">
              <w:rPr>
                <w:rFonts w:cs="Arial"/>
                <w:b/>
                <w:bCs/>
                <w:color w:val="000000"/>
                <w:lang w:val="es-AR" w:eastAsia="es-ES"/>
              </w:rPr>
              <w:t>2,4</w:t>
            </w:r>
          </w:p>
        </w:tc>
        <w:tc>
          <w:tcPr>
            <w:tcW w:w="693" w:type="pct"/>
            <w:tcBorders>
              <w:top w:val="nil"/>
              <w:left w:val="nil"/>
              <w:bottom w:val="single" w:sz="4" w:space="0" w:color="auto"/>
              <w:right w:val="single" w:sz="4" w:space="0" w:color="auto"/>
            </w:tcBorders>
            <w:shd w:val="clear" w:color="auto" w:fill="auto"/>
            <w:noWrap/>
            <w:vAlign w:val="center"/>
          </w:tcPr>
          <w:p w:rsidR="002237EC" w:rsidRPr="00794C0E" w:rsidRDefault="002237EC" w:rsidP="009D1692">
            <w:pPr>
              <w:jc w:val="center"/>
              <w:rPr>
                <w:rFonts w:cs="Arial"/>
                <w:b/>
                <w:bCs/>
                <w:color w:val="000000"/>
                <w:lang w:val="es-AR" w:eastAsia="es-ES"/>
              </w:rPr>
            </w:pPr>
            <w:r w:rsidRPr="00794C0E">
              <w:rPr>
                <w:rFonts w:cs="Arial"/>
                <w:b/>
                <w:bCs/>
                <w:color w:val="000000"/>
                <w:lang w:val="es-AR" w:eastAsia="es-ES"/>
              </w:rPr>
              <w:t>16,0</w:t>
            </w:r>
          </w:p>
        </w:tc>
      </w:tr>
      <w:tr w:rsidR="002237EC" w:rsidRPr="00794C0E" w:rsidTr="00104DA9">
        <w:trPr>
          <w:trHeight w:val="20"/>
          <w:jc w:val="center"/>
        </w:trPr>
        <w:tc>
          <w:tcPr>
            <w:tcW w:w="3080" w:type="pct"/>
            <w:tcBorders>
              <w:top w:val="nil"/>
              <w:left w:val="single" w:sz="4" w:space="0" w:color="auto"/>
              <w:bottom w:val="single" w:sz="4" w:space="0" w:color="auto"/>
              <w:right w:val="single" w:sz="4" w:space="0" w:color="auto"/>
            </w:tcBorders>
            <w:shd w:val="clear" w:color="auto" w:fill="auto"/>
            <w:noWrap/>
            <w:vAlign w:val="center"/>
          </w:tcPr>
          <w:p w:rsidR="002237EC" w:rsidRPr="00794C0E" w:rsidRDefault="003F6A5E" w:rsidP="009D1692">
            <w:pPr>
              <w:rPr>
                <w:rFonts w:cs="Arial"/>
                <w:bCs/>
                <w:color w:val="000000"/>
                <w:lang w:val="es-AR" w:eastAsia="es-ES"/>
              </w:rPr>
            </w:pPr>
            <w:r w:rsidRPr="00794C0E">
              <w:rPr>
                <w:rFonts w:cs="Arial"/>
                <w:bCs/>
                <w:color w:val="000000"/>
                <w:lang w:val="es-AR" w:eastAsia="es-ES"/>
              </w:rPr>
              <w:t>1.3.</w:t>
            </w:r>
            <w:r w:rsidR="002237EC" w:rsidRPr="00794C0E">
              <w:rPr>
                <w:rFonts w:cs="Arial"/>
                <w:bCs/>
                <w:color w:val="000000"/>
                <w:lang w:val="es-AR" w:eastAsia="es-ES"/>
              </w:rPr>
              <w:t xml:space="preserve"> Fortalecimiento del Federalismo y Órganos Rectores</w:t>
            </w:r>
          </w:p>
        </w:tc>
        <w:tc>
          <w:tcPr>
            <w:tcW w:w="618" w:type="pct"/>
            <w:tcBorders>
              <w:top w:val="nil"/>
              <w:left w:val="nil"/>
              <w:bottom w:val="single" w:sz="4" w:space="0" w:color="auto"/>
              <w:right w:val="single" w:sz="4" w:space="0" w:color="auto"/>
            </w:tcBorders>
            <w:shd w:val="clear" w:color="auto" w:fill="auto"/>
            <w:noWrap/>
            <w:vAlign w:val="center"/>
          </w:tcPr>
          <w:p w:rsidR="002237EC" w:rsidRPr="00794C0E" w:rsidRDefault="002237EC" w:rsidP="009D1692">
            <w:pPr>
              <w:jc w:val="center"/>
              <w:rPr>
                <w:rFonts w:cs="Arial"/>
                <w:b/>
                <w:bCs/>
                <w:color w:val="000000"/>
                <w:lang w:val="es-AR" w:eastAsia="es-ES"/>
              </w:rPr>
            </w:pPr>
            <w:r w:rsidRPr="00794C0E">
              <w:rPr>
                <w:rFonts w:cs="Arial"/>
                <w:b/>
                <w:bCs/>
                <w:color w:val="000000"/>
                <w:lang w:val="es-AR" w:eastAsia="es-ES"/>
              </w:rPr>
              <w:t>5,8</w:t>
            </w:r>
          </w:p>
        </w:tc>
        <w:tc>
          <w:tcPr>
            <w:tcW w:w="609" w:type="pct"/>
            <w:tcBorders>
              <w:top w:val="nil"/>
              <w:left w:val="nil"/>
              <w:bottom w:val="single" w:sz="4" w:space="0" w:color="auto"/>
              <w:right w:val="single" w:sz="4" w:space="0" w:color="auto"/>
            </w:tcBorders>
            <w:shd w:val="clear" w:color="auto" w:fill="auto"/>
            <w:noWrap/>
            <w:vAlign w:val="center"/>
          </w:tcPr>
          <w:p w:rsidR="002237EC" w:rsidRPr="00794C0E" w:rsidRDefault="002237EC" w:rsidP="009D1692">
            <w:pPr>
              <w:jc w:val="center"/>
              <w:rPr>
                <w:rFonts w:cs="Arial"/>
                <w:b/>
                <w:bCs/>
                <w:color w:val="000000"/>
                <w:lang w:val="es-AR" w:eastAsia="es-ES"/>
              </w:rPr>
            </w:pPr>
            <w:r w:rsidRPr="00794C0E">
              <w:rPr>
                <w:rFonts w:cs="Arial"/>
                <w:b/>
                <w:bCs/>
                <w:color w:val="000000"/>
                <w:lang w:val="es-AR" w:eastAsia="es-ES"/>
              </w:rPr>
              <w:t>1,0</w:t>
            </w:r>
          </w:p>
        </w:tc>
        <w:tc>
          <w:tcPr>
            <w:tcW w:w="693" w:type="pct"/>
            <w:tcBorders>
              <w:top w:val="nil"/>
              <w:left w:val="nil"/>
              <w:bottom w:val="single" w:sz="4" w:space="0" w:color="auto"/>
              <w:right w:val="single" w:sz="4" w:space="0" w:color="auto"/>
            </w:tcBorders>
            <w:shd w:val="clear" w:color="auto" w:fill="auto"/>
            <w:noWrap/>
            <w:vAlign w:val="center"/>
          </w:tcPr>
          <w:p w:rsidR="002237EC" w:rsidRPr="00794C0E" w:rsidRDefault="002237EC" w:rsidP="009D1692">
            <w:pPr>
              <w:jc w:val="center"/>
              <w:rPr>
                <w:rFonts w:cs="Arial"/>
                <w:b/>
                <w:bCs/>
                <w:color w:val="000000"/>
                <w:lang w:val="es-AR" w:eastAsia="es-ES"/>
              </w:rPr>
            </w:pPr>
            <w:r w:rsidRPr="00794C0E">
              <w:rPr>
                <w:rFonts w:cs="Arial"/>
                <w:b/>
                <w:bCs/>
                <w:color w:val="000000"/>
                <w:lang w:val="es-AR" w:eastAsia="es-ES"/>
              </w:rPr>
              <w:t>6,8</w:t>
            </w:r>
          </w:p>
        </w:tc>
      </w:tr>
      <w:tr w:rsidR="002237EC" w:rsidRPr="00794C0E" w:rsidTr="00104DA9">
        <w:trPr>
          <w:trHeight w:val="20"/>
          <w:jc w:val="center"/>
        </w:trPr>
        <w:tc>
          <w:tcPr>
            <w:tcW w:w="3080" w:type="pct"/>
            <w:tcBorders>
              <w:top w:val="nil"/>
              <w:left w:val="single" w:sz="4" w:space="0" w:color="auto"/>
              <w:bottom w:val="single" w:sz="4" w:space="0" w:color="auto"/>
              <w:right w:val="single" w:sz="4" w:space="0" w:color="auto"/>
            </w:tcBorders>
            <w:shd w:val="clear" w:color="auto" w:fill="auto"/>
            <w:noWrap/>
            <w:vAlign w:val="center"/>
          </w:tcPr>
          <w:p w:rsidR="002237EC" w:rsidRPr="00794C0E" w:rsidRDefault="003F6A5E" w:rsidP="009D1692">
            <w:pPr>
              <w:rPr>
                <w:rFonts w:cs="Arial"/>
                <w:b/>
                <w:bCs/>
                <w:color w:val="000000"/>
                <w:lang w:val="es-AR" w:eastAsia="es-ES"/>
              </w:rPr>
            </w:pPr>
            <w:r w:rsidRPr="00794C0E">
              <w:rPr>
                <w:rFonts w:cs="Arial"/>
                <w:b/>
                <w:bCs/>
                <w:color w:val="000000"/>
                <w:lang w:val="es-AR" w:eastAsia="es-ES"/>
              </w:rPr>
              <w:t>2.</w:t>
            </w:r>
            <w:r w:rsidR="002237EC" w:rsidRPr="00794C0E">
              <w:rPr>
                <w:rFonts w:cs="Arial"/>
                <w:b/>
                <w:bCs/>
                <w:color w:val="000000"/>
                <w:lang w:val="es-AR" w:eastAsia="es-ES"/>
              </w:rPr>
              <w:t xml:space="preserve"> Inversiones para el desarrollo</w:t>
            </w:r>
          </w:p>
        </w:tc>
        <w:tc>
          <w:tcPr>
            <w:tcW w:w="618" w:type="pct"/>
            <w:tcBorders>
              <w:top w:val="nil"/>
              <w:left w:val="nil"/>
              <w:bottom w:val="single" w:sz="4" w:space="0" w:color="auto"/>
              <w:right w:val="single" w:sz="4" w:space="0" w:color="auto"/>
            </w:tcBorders>
            <w:shd w:val="clear" w:color="auto" w:fill="auto"/>
            <w:noWrap/>
            <w:vAlign w:val="center"/>
          </w:tcPr>
          <w:p w:rsidR="002237EC" w:rsidRPr="00794C0E" w:rsidRDefault="002237EC" w:rsidP="009D1692">
            <w:pPr>
              <w:jc w:val="center"/>
              <w:rPr>
                <w:rFonts w:cs="Arial"/>
                <w:b/>
                <w:bCs/>
                <w:color w:val="000000"/>
                <w:lang w:val="es-AR" w:eastAsia="es-ES"/>
              </w:rPr>
            </w:pPr>
            <w:r w:rsidRPr="00794C0E">
              <w:rPr>
                <w:rFonts w:cs="Arial"/>
                <w:b/>
                <w:bCs/>
                <w:color w:val="000000"/>
                <w:lang w:val="es-AR" w:eastAsia="es-ES"/>
              </w:rPr>
              <w:t>81,6</w:t>
            </w:r>
          </w:p>
        </w:tc>
        <w:tc>
          <w:tcPr>
            <w:tcW w:w="609" w:type="pct"/>
            <w:tcBorders>
              <w:top w:val="nil"/>
              <w:left w:val="nil"/>
              <w:bottom w:val="single" w:sz="4" w:space="0" w:color="auto"/>
              <w:right w:val="single" w:sz="4" w:space="0" w:color="auto"/>
            </w:tcBorders>
            <w:shd w:val="clear" w:color="auto" w:fill="auto"/>
            <w:noWrap/>
            <w:vAlign w:val="center"/>
          </w:tcPr>
          <w:p w:rsidR="002237EC" w:rsidRPr="00794C0E" w:rsidRDefault="002237EC" w:rsidP="009D1692">
            <w:pPr>
              <w:jc w:val="center"/>
              <w:rPr>
                <w:rFonts w:cs="Arial"/>
                <w:b/>
                <w:bCs/>
                <w:color w:val="000000"/>
                <w:lang w:val="es-AR" w:eastAsia="es-ES"/>
              </w:rPr>
            </w:pPr>
            <w:r w:rsidRPr="00794C0E">
              <w:rPr>
                <w:rFonts w:cs="Arial"/>
                <w:b/>
                <w:bCs/>
                <w:color w:val="000000"/>
                <w:lang w:val="es-AR" w:eastAsia="es-ES"/>
              </w:rPr>
              <w:t>14,4</w:t>
            </w:r>
          </w:p>
        </w:tc>
        <w:tc>
          <w:tcPr>
            <w:tcW w:w="693" w:type="pct"/>
            <w:tcBorders>
              <w:top w:val="nil"/>
              <w:left w:val="nil"/>
              <w:bottom w:val="single" w:sz="4" w:space="0" w:color="auto"/>
              <w:right w:val="single" w:sz="4" w:space="0" w:color="auto"/>
            </w:tcBorders>
            <w:shd w:val="clear" w:color="auto" w:fill="auto"/>
            <w:noWrap/>
            <w:vAlign w:val="center"/>
          </w:tcPr>
          <w:p w:rsidR="002237EC" w:rsidRPr="00794C0E" w:rsidRDefault="002237EC" w:rsidP="009D1692">
            <w:pPr>
              <w:jc w:val="center"/>
              <w:rPr>
                <w:rFonts w:cs="Arial"/>
                <w:b/>
                <w:bCs/>
                <w:color w:val="000000"/>
                <w:lang w:val="es-AR" w:eastAsia="es-ES"/>
              </w:rPr>
            </w:pPr>
            <w:r w:rsidRPr="00794C0E">
              <w:rPr>
                <w:rFonts w:cs="Arial"/>
                <w:b/>
                <w:bCs/>
                <w:color w:val="000000"/>
                <w:lang w:val="es-AR" w:eastAsia="es-ES"/>
              </w:rPr>
              <w:t>96,0</w:t>
            </w:r>
          </w:p>
        </w:tc>
      </w:tr>
      <w:tr w:rsidR="002237EC" w:rsidRPr="00794C0E" w:rsidTr="00104DA9">
        <w:trPr>
          <w:trHeight w:val="20"/>
          <w:jc w:val="center"/>
        </w:trPr>
        <w:tc>
          <w:tcPr>
            <w:tcW w:w="3080" w:type="pct"/>
            <w:tcBorders>
              <w:top w:val="nil"/>
              <w:left w:val="single" w:sz="4" w:space="0" w:color="auto"/>
              <w:bottom w:val="single" w:sz="4" w:space="0" w:color="auto"/>
              <w:right w:val="single" w:sz="4" w:space="0" w:color="auto"/>
            </w:tcBorders>
            <w:shd w:val="clear" w:color="auto" w:fill="auto"/>
            <w:noWrap/>
            <w:vAlign w:val="center"/>
          </w:tcPr>
          <w:p w:rsidR="002237EC" w:rsidRPr="00794C0E" w:rsidRDefault="002237EC" w:rsidP="009D1692">
            <w:pPr>
              <w:rPr>
                <w:rFonts w:cs="Arial"/>
                <w:b/>
                <w:bCs/>
                <w:color w:val="000000"/>
                <w:lang w:val="es-AR" w:eastAsia="es-ES"/>
              </w:rPr>
            </w:pPr>
            <w:r w:rsidRPr="00794C0E">
              <w:rPr>
                <w:rFonts w:cs="Arial"/>
                <w:b/>
                <w:bCs/>
                <w:color w:val="000000"/>
                <w:lang w:val="es-AR" w:eastAsia="es-ES"/>
              </w:rPr>
              <w:t>Administración y Gestión del Programa</w:t>
            </w:r>
          </w:p>
        </w:tc>
        <w:tc>
          <w:tcPr>
            <w:tcW w:w="618" w:type="pct"/>
            <w:tcBorders>
              <w:top w:val="nil"/>
              <w:left w:val="nil"/>
              <w:bottom w:val="single" w:sz="4" w:space="0" w:color="auto"/>
              <w:right w:val="single" w:sz="4" w:space="0" w:color="auto"/>
            </w:tcBorders>
            <w:shd w:val="clear" w:color="auto" w:fill="auto"/>
            <w:noWrap/>
            <w:vAlign w:val="center"/>
          </w:tcPr>
          <w:p w:rsidR="002237EC" w:rsidRPr="00794C0E" w:rsidRDefault="002237EC" w:rsidP="009D1692">
            <w:pPr>
              <w:jc w:val="center"/>
              <w:rPr>
                <w:rFonts w:cs="Arial"/>
                <w:b/>
                <w:bCs/>
                <w:color w:val="000000"/>
                <w:lang w:val="es-AR" w:eastAsia="es-ES"/>
              </w:rPr>
            </w:pPr>
            <w:r w:rsidRPr="00794C0E">
              <w:rPr>
                <w:rFonts w:cs="Arial"/>
                <w:b/>
                <w:bCs/>
                <w:color w:val="000000"/>
                <w:lang w:val="es-AR" w:eastAsia="es-ES"/>
              </w:rPr>
              <w:t>2,0</w:t>
            </w:r>
          </w:p>
        </w:tc>
        <w:tc>
          <w:tcPr>
            <w:tcW w:w="609" w:type="pct"/>
            <w:tcBorders>
              <w:top w:val="nil"/>
              <w:left w:val="nil"/>
              <w:bottom w:val="single" w:sz="4" w:space="0" w:color="auto"/>
              <w:right w:val="single" w:sz="4" w:space="0" w:color="auto"/>
            </w:tcBorders>
            <w:shd w:val="clear" w:color="auto" w:fill="auto"/>
            <w:noWrap/>
            <w:vAlign w:val="center"/>
          </w:tcPr>
          <w:p w:rsidR="002237EC" w:rsidRPr="00794C0E" w:rsidRDefault="002237EC" w:rsidP="009D1692">
            <w:pPr>
              <w:jc w:val="center"/>
              <w:rPr>
                <w:rFonts w:cs="Arial"/>
                <w:b/>
                <w:bCs/>
                <w:color w:val="000000"/>
                <w:lang w:val="es-AR" w:eastAsia="es-ES"/>
              </w:rPr>
            </w:pPr>
            <w:r w:rsidRPr="00794C0E">
              <w:rPr>
                <w:rFonts w:cs="Arial"/>
                <w:b/>
                <w:bCs/>
                <w:color w:val="000000"/>
                <w:lang w:val="es-AR" w:eastAsia="es-ES"/>
              </w:rPr>
              <w:t>0,4</w:t>
            </w:r>
          </w:p>
        </w:tc>
        <w:tc>
          <w:tcPr>
            <w:tcW w:w="693" w:type="pct"/>
            <w:tcBorders>
              <w:top w:val="nil"/>
              <w:left w:val="nil"/>
              <w:bottom w:val="single" w:sz="4" w:space="0" w:color="auto"/>
              <w:right w:val="single" w:sz="4" w:space="0" w:color="auto"/>
            </w:tcBorders>
            <w:shd w:val="clear" w:color="auto" w:fill="auto"/>
            <w:noWrap/>
            <w:vAlign w:val="center"/>
          </w:tcPr>
          <w:p w:rsidR="002237EC" w:rsidRPr="00794C0E" w:rsidRDefault="002237EC" w:rsidP="009D1692">
            <w:pPr>
              <w:jc w:val="center"/>
              <w:rPr>
                <w:rFonts w:cs="Arial"/>
                <w:b/>
                <w:bCs/>
                <w:color w:val="000000"/>
                <w:lang w:val="es-AR" w:eastAsia="es-ES"/>
              </w:rPr>
            </w:pPr>
            <w:r w:rsidRPr="00794C0E">
              <w:rPr>
                <w:rFonts w:cs="Arial"/>
                <w:b/>
                <w:bCs/>
                <w:color w:val="000000"/>
                <w:lang w:val="es-AR" w:eastAsia="es-ES"/>
              </w:rPr>
              <w:t>2,4</w:t>
            </w:r>
          </w:p>
        </w:tc>
      </w:tr>
      <w:tr w:rsidR="002237EC" w:rsidRPr="00794C0E" w:rsidTr="00104DA9">
        <w:trPr>
          <w:trHeight w:val="20"/>
          <w:jc w:val="center"/>
        </w:trPr>
        <w:tc>
          <w:tcPr>
            <w:tcW w:w="3080"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2237EC" w:rsidRPr="00794C0E" w:rsidRDefault="002237EC" w:rsidP="009D1692">
            <w:pPr>
              <w:rPr>
                <w:rFonts w:cs="Arial"/>
                <w:b/>
                <w:bCs/>
                <w:color w:val="000000"/>
                <w:lang w:val="es-AR" w:eastAsia="es-ES"/>
              </w:rPr>
            </w:pPr>
            <w:r w:rsidRPr="00794C0E">
              <w:rPr>
                <w:rFonts w:cs="Arial"/>
                <w:b/>
                <w:bCs/>
                <w:color w:val="000000"/>
                <w:lang w:val="es-AR" w:eastAsia="es-ES"/>
              </w:rPr>
              <w:t>Total</w:t>
            </w:r>
          </w:p>
        </w:tc>
        <w:tc>
          <w:tcPr>
            <w:tcW w:w="618" w:type="pct"/>
            <w:tcBorders>
              <w:top w:val="nil"/>
              <w:left w:val="nil"/>
              <w:bottom w:val="single" w:sz="4" w:space="0" w:color="auto"/>
              <w:right w:val="single" w:sz="4" w:space="0" w:color="auto"/>
            </w:tcBorders>
            <w:shd w:val="clear" w:color="auto" w:fill="D9D9D9" w:themeFill="background1" w:themeFillShade="D9"/>
            <w:noWrap/>
            <w:vAlign w:val="center"/>
          </w:tcPr>
          <w:p w:rsidR="002237EC" w:rsidRPr="00794C0E" w:rsidRDefault="002237EC" w:rsidP="009D1692">
            <w:pPr>
              <w:jc w:val="center"/>
              <w:rPr>
                <w:rFonts w:cs="Arial"/>
                <w:b/>
                <w:bCs/>
                <w:color w:val="000000"/>
                <w:lang w:val="es-AR" w:eastAsia="es-ES"/>
              </w:rPr>
            </w:pPr>
            <w:r w:rsidRPr="00794C0E">
              <w:rPr>
                <w:rFonts w:cs="Arial"/>
                <w:b/>
                <w:bCs/>
                <w:color w:val="000000"/>
                <w:lang w:val="es-AR" w:eastAsia="es-ES"/>
              </w:rPr>
              <w:t>120,0</w:t>
            </w:r>
          </w:p>
        </w:tc>
        <w:tc>
          <w:tcPr>
            <w:tcW w:w="609" w:type="pct"/>
            <w:tcBorders>
              <w:top w:val="nil"/>
              <w:left w:val="nil"/>
              <w:bottom w:val="single" w:sz="4" w:space="0" w:color="auto"/>
              <w:right w:val="single" w:sz="4" w:space="0" w:color="auto"/>
            </w:tcBorders>
            <w:shd w:val="clear" w:color="auto" w:fill="D9D9D9" w:themeFill="background1" w:themeFillShade="D9"/>
            <w:noWrap/>
            <w:vAlign w:val="center"/>
          </w:tcPr>
          <w:p w:rsidR="002237EC" w:rsidRPr="00794C0E" w:rsidRDefault="002237EC" w:rsidP="009D1692">
            <w:pPr>
              <w:jc w:val="center"/>
              <w:rPr>
                <w:rFonts w:cs="Arial"/>
                <w:b/>
                <w:bCs/>
                <w:color w:val="000000"/>
                <w:lang w:val="es-AR" w:eastAsia="es-ES"/>
              </w:rPr>
            </w:pPr>
            <w:r w:rsidRPr="00794C0E">
              <w:rPr>
                <w:rFonts w:cs="Arial"/>
                <w:b/>
                <w:bCs/>
                <w:color w:val="000000"/>
                <w:lang w:val="es-AR" w:eastAsia="es-ES"/>
              </w:rPr>
              <w:t>21,2</w:t>
            </w:r>
          </w:p>
        </w:tc>
        <w:tc>
          <w:tcPr>
            <w:tcW w:w="693" w:type="pct"/>
            <w:tcBorders>
              <w:top w:val="nil"/>
              <w:left w:val="nil"/>
              <w:bottom w:val="single" w:sz="4" w:space="0" w:color="auto"/>
              <w:right w:val="single" w:sz="4" w:space="0" w:color="auto"/>
            </w:tcBorders>
            <w:shd w:val="clear" w:color="auto" w:fill="D9D9D9" w:themeFill="background1" w:themeFillShade="D9"/>
            <w:noWrap/>
            <w:vAlign w:val="center"/>
          </w:tcPr>
          <w:p w:rsidR="002237EC" w:rsidRPr="00794C0E" w:rsidRDefault="002237EC" w:rsidP="009D1692">
            <w:pPr>
              <w:jc w:val="center"/>
              <w:rPr>
                <w:rFonts w:cs="Arial"/>
                <w:b/>
                <w:bCs/>
                <w:color w:val="000000"/>
                <w:lang w:val="es-AR" w:eastAsia="es-ES"/>
              </w:rPr>
            </w:pPr>
            <w:r w:rsidRPr="00794C0E">
              <w:rPr>
                <w:rFonts w:cs="Arial"/>
                <w:b/>
                <w:bCs/>
                <w:color w:val="000000"/>
                <w:lang w:val="es-AR" w:eastAsia="es-ES"/>
              </w:rPr>
              <w:t>141,2</w:t>
            </w:r>
          </w:p>
        </w:tc>
      </w:tr>
    </w:tbl>
    <w:p w:rsidR="006B077A" w:rsidRPr="00794C0E" w:rsidRDefault="0010462F" w:rsidP="00CB13BB">
      <w:pPr>
        <w:ind w:left="851" w:hanging="142"/>
        <w:rPr>
          <w:rFonts w:cs="Arial"/>
          <w:bCs/>
          <w:lang w:val="es-AR"/>
        </w:rPr>
      </w:pPr>
      <w:r w:rsidRPr="00794C0E">
        <w:rPr>
          <w:rFonts w:cs="Arial"/>
          <w:bCs/>
          <w:lang w:val="es-AR"/>
        </w:rPr>
        <w:t xml:space="preserve"> Fuente: Matriz de Financiamiento del Programa</w:t>
      </w:r>
    </w:p>
    <w:p w:rsidR="002237EC" w:rsidRPr="00794C0E" w:rsidRDefault="002237EC" w:rsidP="009D1692">
      <w:pPr>
        <w:rPr>
          <w:rFonts w:cs="Arial"/>
          <w:b/>
          <w:bCs/>
          <w:iCs/>
          <w:sz w:val="22"/>
          <w:szCs w:val="22"/>
          <w:lang w:val="es-AR"/>
        </w:rPr>
      </w:pPr>
      <w:bookmarkStart w:id="3" w:name="_Toc339982341"/>
    </w:p>
    <w:p w:rsidR="003118E1" w:rsidRPr="00794C0E" w:rsidRDefault="003118E1" w:rsidP="009D1692">
      <w:pPr>
        <w:pStyle w:val="Heading1"/>
        <w:numPr>
          <w:ilvl w:val="0"/>
          <w:numId w:val="5"/>
        </w:numPr>
        <w:ind w:left="0" w:firstLine="0"/>
        <w:jc w:val="left"/>
        <w:rPr>
          <w:rFonts w:ascii="Arial" w:hAnsi="Arial" w:cs="Arial"/>
          <w:i w:val="0"/>
          <w:lang w:val="es-AR"/>
        </w:rPr>
      </w:pPr>
      <w:bookmarkStart w:id="4" w:name="_Toc460335656"/>
      <w:r w:rsidRPr="00794C0E">
        <w:rPr>
          <w:rFonts w:ascii="Arial" w:hAnsi="Arial" w:cs="Arial"/>
          <w:i w:val="0"/>
          <w:lang w:val="es-AR"/>
        </w:rPr>
        <w:t>Metodología y supuestos</w:t>
      </w:r>
      <w:bookmarkEnd w:id="3"/>
      <w:bookmarkEnd w:id="4"/>
      <w:r w:rsidRPr="00794C0E">
        <w:rPr>
          <w:rFonts w:ascii="Arial" w:hAnsi="Arial" w:cs="Arial"/>
          <w:i w:val="0"/>
          <w:lang w:val="es-AR"/>
        </w:rPr>
        <w:t xml:space="preserve"> </w:t>
      </w:r>
    </w:p>
    <w:p w:rsidR="003118E1" w:rsidRPr="00794C0E" w:rsidRDefault="003118E1" w:rsidP="009D1692">
      <w:pPr>
        <w:jc w:val="both"/>
        <w:rPr>
          <w:rFonts w:cs="Arial"/>
          <w:bCs/>
          <w:sz w:val="22"/>
          <w:szCs w:val="22"/>
          <w:lang w:val="es-AR" w:eastAsia="es-ES_tradnl"/>
        </w:rPr>
      </w:pPr>
    </w:p>
    <w:p w:rsidR="0080459D" w:rsidRPr="00794C0E" w:rsidRDefault="003118E1" w:rsidP="009D1692">
      <w:pPr>
        <w:pStyle w:val="ListParagraph"/>
        <w:numPr>
          <w:ilvl w:val="1"/>
          <w:numId w:val="5"/>
        </w:numPr>
        <w:autoSpaceDE w:val="0"/>
        <w:autoSpaceDN w:val="0"/>
        <w:adjustRightInd w:val="0"/>
        <w:ind w:left="0" w:firstLine="0"/>
        <w:jc w:val="both"/>
        <w:rPr>
          <w:rFonts w:cs="Arial"/>
          <w:bCs/>
          <w:sz w:val="22"/>
          <w:szCs w:val="22"/>
          <w:lang w:val="es-AR"/>
        </w:rPr>
      </w:pPr>
      <w:r w:rsidRPr="00794C0E">
        <w:rPr>
          <w:rFonts w:cs="Arial"/>
          <w:bCs/>
          <w:sz w:val="22"/>
          <w:szCs w:val="22"/>
          <w:lang w:val="es-AR"/>
        </w:rPr>
        <w:t xml:space="preserve">Para la evaluación del Programa se adoptó el método de Análisis de Costo- Beneficio que permite, a partir de la comparación de costos y beneficios resultantes de cada intervención, analizar su rentabilidad económica. La metodología requiere estimar los flujos económicos que cada proyecto genera al conjunto de la sociedad independientemente de quienes sean sus beneficiaros o financiadores. </w:t>
      </w:r>
      <w:r w:rsidR="0080459D" w:rsidRPr="00794C0E">
        <w:rPr>
          <w:rFonts w:cs="Arial"/>
          <w:bCs/>
          <w:sz w:val="22"/>
          <w:szCs w:val="22"/>
          <w:lang w:val="es-AR"/>
        </w:rPr>
        <w:t xml:space="preserve">El análisis evalúa </w:t>
      </w:r>
      <w:r w:rsidRPr="00794C0E">
        <w:rPr>
          <w:rFonts w:cs="Arial"/>
          <w:bCs/>
          <w:sz w:val="22"/>
          <w:szCs w:val="22"/>
          <w:lang w:val="es-AR"/>
        </w:rPr>
        <w:t xml:space="preserve">los </w:t>
      </w:r>
      <w:r w:rsidRPr="00794C0E">
        <w:rPr>
          <w:rFonts w:cs="Arial"/>
          <w:bCs/>
          <w:i/>
          <w:sz w:val="22"/>
          <w:szCs w:val="22"/>
          <w:lang w:val="es-AR"/>
        </w:rPr>
        <w:t>beneficios y costos incrementales</w:t>
      </w:r>
      <w:r w:rsidRPr="00794C0E">
        <w:rPr>
          <w:rFonts w:cs="Arial"/>
          <w:bCs/>
          <w:sz w:val="22"/>
          <w:szCs w:val="22"/>
          <w:lang w:val="es-AR"/>
        </w:rPr>
        <w:t xml:space="preserve"> de cada intervención del programa </w:t>
      </w:r>
      <w:r w:rsidR="0080459D" w:rsidRPr="00794C0E">
        <w:rPr>
          <w:rFonts w:cs="Arial"/>
          <w:bCs/>
          <w:sz w:val="22"/>
          <w:szCs w:val="22"/>
          <w:lang w:val="es-AR"/>
        </w:rPr>
        <w:t>de manera de l</w:t>
      </w:r>
      <w:r w:rsidRPr="00794C0E">
        <w:rPr>
          <w:rFonts w:cs="Arial"/>
          <w:bCs/>
          <w:sz w:val="22"/>
          <w:szCs w:val="22"/>
          <w:lang w:val="es-AR"/>
        </w:rPr>
        <w:t>a “situación con programa” con la que se hubiese dado en ausencia del mismo, la “situación sin programa”.</w:t>
      </w:r>
    </w:p>
    <w:p w:rsidR="0080459D" w:rsidRPr="00794C0E" w:rsidRDefault="0080459D" w:rsidP="009D1692">
      <w:pPr>
        <w:pStyle w:val="ListParagraph"/>
        <w:autoSpaceDE w:val="0"/>
        <w:autoSpaceDN w:val="0"/>
        <w:adjustRightInd w:val="0"/>
        <w:ind w:left="0"/>
        <w:jc w:val="both"/>
        <w:rPr>
          <w:rFonts w:cs="Arial"/>
          <w:bCs/>
          <w:sz w:val="22"/>
          <w:szCs w:val="22"/>
          <w:lang w:val="es-AR"/>
        </w:rPr>
      </w:pPr>
    </w:p>
    <w:p w:rsidR="003118E1" w:rsidRPr="00794C0E" w:rsidRDefault="003118E1" w:rsidP="009D1692">
      <w:pPr>
        <w:pStyle w:val="ListParagraph"/>
        <w:numPr>
          <w:ilvl w:val="1"/>
          <w:numId w:val="5"/>
        </w:numPr>
        <w:autoSpaceDE w:val="0"/>
        <w:autoSpaceDN w:val="0"/>
        <w:adjustRightInd w:val="0"/>
        <w:ind w:left="0" w:firstLine="0"/>
        <w:jc w:val="both"/>
        <w:rPr>
          <w:rFonts w:cs="Arial"/>
          <w:bCs/>
          <w:sz w:val="22"/>
          <w:szCs w:val="22"/>
          <w:lang w:val="es-AR"/>
        </w:rPr>
      </w:pPr>
      <w:r w:rsidRPr="00794C0E">
        <w:rPr>
          <w:rFonts w:cs="Arial"/>
          <w:bCs/>
          <w:sz w:val="22"/>
          <w:szCs w:val="22"/>
          <w:lang w:val="es-AR"/>
        </w:rPr>
        <w:t>En la identificación de los costos económicos se incluyó un porcentaje asociado a los costos de mantenimiento de las inversiones durante el período de ejecución, asociados a los resultados que se espera obtener con cada proyecto. Para aquellas inversiones que requieren de significativos costos de operación para su puesta en marcha y  funcionamiento, se realiz</w:t>
      </w:r>
      <w:r w:rsidR="003914B8" w:rsidRPr="00794C0E">
        <w:rPr>
          <w:rFonts w:cs="Arial"/>
          <w:bCs/>
          <w:sz w:val="22"/>
          <w:szCs w:val="22"/>
          <w:lang w:val="es-AR"/>
        </w:rPr>
        <w:t xml:space="preserve">aron </w:t>
      </w:r>
      <w:r w:rsidRPr="00794C0E">
        <w:rPr>
          <w:rFonts w:cs="Arial"/>
          <w:bCs/>
          <w:sz w:val="22"/>
          <w:szCs w:val="22"/>
          <w:lang w:val="es-AR"/>
        </w:rPr>
        <w:t>estimaci</w:t>
      </w:r>
      <w:r w:rsidR="003914B8" w:rsidRPr="00794C0E">
        <w:rPr>
          <w:rFonts w:cs="Arial"/>
          <w:bCs/>
          <w:sz w:val="22"/>
          <w:szCs w:val="22"/>
          <w:lang w:val="es-AR"/>
        </w:rPr>
        <w:t xml:space="preserve">ones </w:t>
      </w:r>
      <w:r w:rsidRPr="00794C0E">
        <w:rPr>
          <w:rFonts w:cs="Arial"/>
          <w:bCs/>
          <w:sz w:val="22"/>
          <w:szCs w:val="22"/>
          <w:lang w:val="es-AR"/>
        </w:rPr>
        <w:t>para imputarse a lo largo de la vida útil del proyecto. No se computan los costos de posibles externalidades negativas sobre el bienestar de algún grupo de la sociedad ya que, de acuerdo a la documentación suministrada por el Programa, no se las consideran n</w:t>
      </w:r>
      <w:r w:rsidR="003914B8" w:rsidRPr="00794C0E">
        <w:rPr>
          <w:rFonts w:cs="Arial"/>
          <w:bCs/>
          <w:sz w:val="22"/>
          <w:szCs w:val="22"/>
          <w:lang w:val="es-AR"/>
        </w:rPr>
        <w:t xml:space="preserve">i significativas ni permanentes. </w:t>
      </w:r>
      <w:r w:rsidRPr="00794C0E">
        <w:rPr>
          <w:rFonts w:cs="Arial"/>
          <w:bCs/>
          <w:sz w:val="22"/>
          <w:szCs w:val="22"/>
          <w:lang w:val="es-AR"/>
        </w:rPr>
        <w:t xml:space="preserve">Luego de evaluar los recursos insumidos </w:t>
      </w:r>
      <w:r w:rsidR="003914B8" w:rsidRPr="00794C0E">
        <w:rPr>
          <w:rFonts w:cs="Arial"/>
          <w:bCs/>
          <w:sz w:val="22"/>
          <w:szCs w:val="22"/>
          <w:lang w:val="es-AR"/>
        </w:rPr>
        <w:t xml:space="preserve">por cada inversión </w:t>
      </w:r>
      <w:r w:rsidRPr="00794C0E">
        <w:rPr>
          <w:rFonts w:cs="Arial"/>
          <w:bCs/>
          <w:sz w:val="22"/>
          <w:szCs w:val="22"/>
          <w:lang w:val="es-AR"/>
        </w:rPr>
        <w:t>se corrigieron los precios de mercado, para eliminar el efecto de impuestos y subsidios sobre el costo de las inversiones, y llegar a los precios económicos que reflejen el verdadero costo de oportunidad que los recursos tienen para la sociedad</w:t>
      </w:r>
      <w:r w:rsidRPr="00794C0E">
        <w:rPr>
          <w:rStyle w:val="FootnoteReference"/>
          <w:rFonts w:cs="Arial"/>
          <w:bCs/>
          <w:sz w:val="22"/>
          <w:szCs w:val="22"/>
          <w:lang w:val="es-AR"/>
        </w:rPr>
        <w:footnoteReference w:id="4"/>
      </w:r>
      <w:r w:rsidRPr="00794C0E">
        <w:rPr>
          <w:rFonts w:cs="Arial"/>
          <w:bCs/>
          <w:sz w:val="22"/>
          <w:szCs w:val="22"/>
          <w:lang w:val="es-AR"/>
        </w:rPr>
        <w:t xml:space="preserve">. </w:t>
      </w:r>
    </w:p>
    <w:p w:rsidR="003118E1" w:rsidRPr="00794C0E" w:rsidRDefault="003118E1" w:rsidP="009D1692">
      <w:pPr>
        <w:rPr>
          <w:rFonts w:cs="Arial"/>
          <w:bCs/>
          <w:sz w:val="22"/>
          <w:szCs w:val="22"/>
          <w:lang w:val="es-AR"/>
        </w:rPr>
      </w:pPr>
    </w:p>
    <w:p w:rsidR="00123A48" w:rsidRPr="00794C0E" w:rsidRDefault="003118E1" w:rsidP="009D1692">
      <w:pPr>
        <w:numPr>
          <w:ilvl w:val="1"/>
          <w:numId w:val="5"/>
        </w:numPr>
        <w:autoSpaceDE w:val="0"/>
        <w:autoSpaceDN w:val="0"/>
        <w:adjustRightInd w:val="0"/>
        <w:ind w:left="0" w:firstLine="0"/>
        <w:jc w:val="both"/>
        <w:rPr>
          <w:rFonts w:cs="Arial"/>
          <w:bCs/>
          <w:sz w:val="22"/>
          <w:szCs w:val="22"/>
          <w:lang w:val="es-AR"/>
        </w:rPr>
      </w:pPr>
      <w:r w:rsidRPr="00794C0E">
        <w:rPr>
          <w:rFonts w:cs="Arial"/>
          <w:bCs/>
          <w:sz w:val="22"/>
          <w:szCs w:val="22"/>
          <w:lang w:val="es-AR"/>
        </w:rPr>
        <w:lastRenderedPageBreak/>
        <w:t xml:space="preserve">Para la valuación de los beneficios económicos de las intervenciones propuestas, se utilizaron distintas metodologías de valorización dependiendo de </w:t>
      </w:r>
      <w:r w:rsidR="003914B8" w:rsidRPr="00794C0E">
        <w:rPr>
          <w:rFonts w:cs="Arial"/>
          <w:bCs/>
          <w:sz w:val="22"/>
          <w:szCs w:val="22"/>
          <w:lang w:val="es-AR"/>
        </w:rPr>
        <w:t>su</w:t>
      </w:r>
      <w:r w:rsidRPr="00794C0E">
        <w:rPr>
          <w:rFonts w:cs="Arial"/>
          <w:bCs/>
          <w:sz w:val="22"/>
          <w:szCs w:val="22"/>
          <w:lang w:val="es-AR"/>
        </w:rPr>
        <w:t xml:space="preserve"> naturaleza</w:t>
      </w:r>
      <w:r w:rsidR="003914B8" w:rsidRPr="00794C0E">
        <w:rPr>
          <w:rFonts w:cs="Arial"/>
          <w:bCs/>
          <w:sz w:val="22"/>
          <w:szCs w:val="22"/>
          <w:lang w:val="es-AR"/>
        </w:rPr>
        <w:t>.</w:t>
      </w:r>
      <w:r w:rsidRPr="00794C0E">
        <w:rPr>
          <w:rFonts w:cs="Arial"/>
          <w:bCs/>
          <w:sz w:val="22"/>
          <w:szCs w:val="22"/>
          <w:lang w:val="es-AR"/>
        </w:rPr>
        <w:t xml:space="preserve"> En todos los casos, </w:t>
      </w:r>
      <w:r w:rsidR="003914B8" w:rsidRPr="00794C0E">
        <w:rPr>
          <w:rFonts w:cs="Arial"/>
          <w:bCs/>
          <w:sz w:val="22"/>
          <w:szCs w:val="22"/>
          <w:lang w:val="es-AR"/>
        </w:rPr>
        <w:t xml:space="preserve">se han podido identificar </w:t>
      </w:r>
      <w:r w:rsidRPr="00794C0E">
        <w:rPr>
          <w:rFonts w:cs="Arial"/>
          <w:bCs/>
          <w:sz w:val="22"/>
          <w:szCs w:val="22"/>
          <w:lang w:val="es-AR"/>
        </w:rPr>
        <w:t>beneficios medibles que no se podrían lograr si estas intervenciones no tuvieran lugar</w:t>
      </w:r>
      <w:r w:rsidR="00123A48" w:rsidRPr="00794C0E">
        <w:rPr>
          <w:rFonts w:cs="Arial"/>
          <w:bCs/>
          <w:sz w:val="22"/>
          <w:szCs w:val="22"/>
          <w:lang w:val="es-AR"/>
        </w:rPr>
        <w:t>.</w:t>
      </w:r>
    </w:p>
    <w:p w:rsidR="003914B8" w:rsidRPr="00794C0E" w:rsidRDefault="003914B8" w:rsidP="009D1692">
      <w:pPr>
        <w:pStyle w:val="ListParagraph"/>
        <w:ind w:left="0"/>
        <w:rPr>
          <w:rFonts w:cs="Arial"/>
          <w:bCs/>
          <w:sz w:val="22"/>
          <w:szCs w:val="22"/>
          <w:lang w:val="es-AR"/>
        </w:rPr>
      </w:pPr>
    </w:p>
    <w:p w:rsidR="003914B8" w:rsidRPr="00794C0E" w:rsidRDefault="003914B8" w:rsidP="009D1692">
      <w:pPr>
        <w:numPr>
          <w:ilvl w:val="1"/>
          <w:numId w:val="5"/>
        </w:numPr>
        <w:autoSpaceDE w:val="0"/>
        <w:autoSpaceDN w:val="0"/>
        <w:adjustRightInd w:val="0"/>
        <w:ind w:left="0" w:firstLine="0"/>
        <w:jc w:val="both"/>
        <w:rPr>
          <w:rFonts w:cs="Arial"/>
          <w:bCs/>
          <w:sz w:val="22"/>
          <w:szCs w:val="22"/>
          <w:lang w:val="es-AR"/>
        </w:rPr>
      </w:pPr>
      <w:r w:rsidRPr="00794C0E">
        <w:rPr>
          <w:rFonts w:cs="Arial"/>
          <w:bCs/>
          <w:sz w:val="22"/>
          <w:szCs w:val="22"/>
          <w:lang w:val="es-AR"/>
        </w:rPr>
        <w:t xml:space="preserve">El horizonte de evaluación considerado fue de 25 años, utilizando una tasa de descuento de los flujos financieros del 12 % anual. Para medir la rentabilidad se calculó el Valor Actual Neto </w:t>
      </w:r>
      <w:r w:rsidR="006B077A" w:rsidRPr="00794C0E">
        <w:rPr>
          <w:rFonts w:cs="Arial"/>
          <w:bCs/>
          <w:sz w:val="22"/>
          <w:szCs w:val="22"/>
          <w:lang w:val="es-AR"/>
        </w:rPr>
        <w:t xml:space="preserve">(VAN) </w:t>
      </w:r>
      <w:r w:rsidRPr="00794C0E">
        <w:rPr>
          <w:rFonts w:cs="Arial"/>
          <w:bCs/>
          <w:sz w:val="22"/>
          <w:szCs w:val="22"/>
          <w:lang w:val="es-AR"/>
        </w:rPr>
        <w:t xml:space="preserve">y la Tasa Interna de Retorno </w:t>
      </w:r>
      <w:r w:rsidR="006B077A" w:rsidRPr="00794C0E">
        <w:rPr>
          <w:rFonts w:cs="Arial"/>
          <w:bCs/>
          <w:sz w:val="22"/>
          <w:szCs w:val="22"/>
          <w:lang w:val="es-AR"/>
        </w:rPr>
        <w:t xml:space="preserve">(TIR) </w:t>
      </w:r>
      <w:r w:rsidRPr="00794C0E">
        <w:rPr>
          <w:rFonts w:cs="Arial"/>
          <w:bCs/>
          <w:sz w:val="22"/>
          <w:szCs w:val="22"/>
          <w:lang w:val="es-AR"/>
        </w:rPr>
        <w:t>para cada intervención, y se realizaron análisis de sensibilidad de manera de forzar los resultados del modelo para verificar la certeza de los resultados antes cambios en los parámetros y supuestos considerados en la evaluación</w:t>
      </w:r>
      <w:r w:rsidRPr="00794C0E">
        <w:rPr>
          <w:rStyle w:val="FootnoteReference"/>
          <w:rFonts w:cs="Arial"/>
          <w:bCs/>
          <w:sz w:val="22"/>
          <w:szCs w:val="22"/>
          <w:lang w:val="es-AR"/>
        </w:rPr>
        <w:footnoteReference w:id="5"/>
      </w:r>
      <w:r w:rsidRPr="00794C0E">
        <w:rPr>
          <w:rFonts w:cs="Arial"/>
          <w:bCs/>
          <w:sz w:val="22"/>
          <w:szCs w:val="22"/>
          <w:lang w:val="es-AR"/>
        </w:rPr>
        <w:t xml:space="preserve"> </w:t>
      </w:r>
    </w:p>
    <w:p w:rsidR="00C16712" w:rsidRPr="00794C0E" w:rsidRDefault="00C16712" w:rsidP="009D1692">
      <w:pPr>
        <w:pStyle w:val="ListParagraph"/>
        <w:ind w:left="0"/>
        <w:rPr>
          <w:rFonts w:cs="Arial"/>
          <w:bCs/>
          <w:sz w:val="22"/>
          <w:szCs w:val="22"/>
          <w:lang w:val="es-AR"/>
        </w:rPr>
      </w:pPr>
    </w:p>
    <w:p w:rsidR="00C16712" w:rsidRPr="00794C0E" w:rsidRDefault="00C16712" w:rsidP="009D1692">
      <w:pPr>
        <w:jc w:val="both"/>
        <w:rPr>
          <w:rFonts w:cs="Arial"/>
          <w:b/>
          <w:bCs/>
          <w:sz w:val="22"/>
          <w:szCs w:val="22"/>
          <w:lang w:val="es-AR"/>
        </w:rPr>
      </w:pPr>
      <w:r w:rsidRPr="00794C0E">
        <w:rPr>
          <w:rFonts w:cs="Arial"/>
          <w:b/>
          <w:bCs/>
          <w:sz w:val="22"/>
          <w:szCs w:val="22"/>
          <w:lang w:val="es-AR"/>
        </w:rPr>
        <w:t xml:space="preserve">Administración </w:t>
      </w:r>
      <w:r w:rsidR="006801F4" w:rsidRPr="00794C0E">
        <w:rPr>
          <w:rFonts w:cs="Arial"/>
          <w:b/>
          <w:bCs/>
          <w:sz w:val="22"/>
          <w:szCs w:val="22"/>
          <w:lang w:val="es-AR"/>
        </w:rPr>
        <w:t>T</w:t>
      </w:r>
      <w:r w:rsidRPr="00794C0E">
        <w:rPr>
          <w:rFonts w:cs="Arial"/>
          <w:b/>
          <w:bCs/>
          <w:sz w:val="22"/>
          <w:szCs w:val="22"/>
          <w:lang w:val="es-AR"/>
        </w:rPr>
        <w:t>r</w:t>
      </w:r>
      <w:r w:rsidR="006801F4" w:rsidRPr="00794C0E">
        <w:rPr>
          <w:rFonts w:cs="Arial"/>
          <w:b/>
          <w:bCs/>
          <w:sz w:val="22"/>
          <w:szCs w:val="22"/>
          <w:lang w:val="es-AR"/>
        </w:rPr>
        <w:t>ibutaria y Catastral Provincial (ATCP)</w:t>
      </w:r>
    </w:p>
    <w:p w:rsidR="00C16712" w:rsidRPr="00794C0E" w:rsidRDefault="00C16712" w:rsidP="009D1692">
      <w:pPr>
        <w:jc w:val="both"/>
        <w:rPr>
          <w:rFonts w:cs="Arial"/>
          <w:b/>
          <w:bCs/>
          <w:sz w:val="22"/>
          <w:szCs w:val="22"/>
          <w:lang w:val="es-AR"/>
        </w:rPr>
      </w:pPr>
    </w:p>
    <w:p w:rsidR="002A742F" w:rsidRPr="00794C0E" w:rsidRDefault="00C16712" w:rsidP="009D1692">
      <w:pPr>
        <w:pStyle w:val="ListParagraph"/>
        <w:numPr>
          <w:ilvl w:val="1"/>
          <w:numId w:val="5"/>
        </w:numPr>
        <w:ind w:left="0" w:firstLine="0"/>
        <w:jc w:val="both"/>
        <w:rPr>
          <w:rFonts w:cs="Arial"/>
          <w:bCs/>
          <w:sz w:val="22"/>
          <w:szCs w:val="22"/>
          <w:lang w:val="es-AR"/>
        </w:rPr>
      </w:pPr>
      <w:r w:rsidRPr="00794C0E">
        <w:rPr>
          <w:rFonts w:cs="Arial"/>
          <w:bCs/>
          <w:sz w:val="22"/>
          <w:szCs w:val="22"/>
          <w:lang w:val="es-AR"/>
        </w:rPr>
        <w:t xml:space="preserve">Para evaluar la rentabilidad de las intervenciones destinadas al fortalecimiento de la administración del catastro provincial y la administración tributaria, se planteó como eje central para la determinación de los beneficios, el impacto que el Programa tendrá sobre la recaudación del Impuesto Inmobiliario Provincial en las cuatro provincias beneficiarias. Los beneficios son el resultado de la brecha de recaudación lograda entre la </w:t>
      </w:r>
      <w:r w:rsidR="00725D8D" w:rsidRPr="00794C0E">
        <w:rPr>
          <w:rFonts w:cs="Arial"/>
          <w:bCs/>
          <w:sz w:val="22"/>
          <w:szCs w:val="22"/>
          <w:lang w:val="es-AR"/>
        </w:rPr>
        <w:t>situación con programa vs la situación sin programa.</w:t>
      </w:r>
    </w:p>
    <w:p w:rsidR="002A742F" w:rsidRPr="00794C0E" w:rsidRDefault="002A742F" w:rsidP="009D1692">
      <w:pPr>
        <w:pStyle w:val="ListParagraph"/>
        <w:ind w:left="0"/>
        <w:jc w:val="both"/>
        <w:rPr>
          <w:rFonts w:cs="Arial"/>
          <w:bCs/>
          <w:sz w:val="22"/>
          <w:szCs w:val="22"/>
          <w:lang w:val="es-AR"/>
        </w:rPr>
      </w:pPr>
    </w:p>
    <w:p w:rsidR="002A742F" w:rsidRPr="00794C0E" w:rsidRDefault="00725D8D" w:rsidP="009D1692">
      <w:pPr>
        <w:pStyle w:val="ListParagraph"/>
        <w:numPr>
          <w:ilvl w:val="1"/>
          <w:numId w:val="5"/>
        </w:numPr>
        <w:ind w:left="0" w:firstLine="0"/>
        <w:jc w:val="both"/>
        <w:rPr>
          <w:rFonts w:cs="Arial"/>
          <w:bCs/>
          <w:sz w:val="22"/>
          <w:szCs w:val="22"/>
          <w:lang w:val="es-AR"/>
        </w:rPr>
      </w:pPr>
      <w:r w:rsidRPr="00794C0E">
        <w:rPr>
          <w:rFonts w:cs="Arial"/>
          <w:bCs/>
          <w:sz w:val="22"/>
          <w:szCs w:val="22"/>
          <w:lang w:val="es-AR"/>
        </w:rPr>
        <w:t>Para ello, en base a información de fuentes oficiales</w:t>
      </w:r>
      <w:r w:rsidRPr="00794C0E">
        <w:rPr>
          <w:rStyle w:val="FootnoteReference"/>
          <w:rFonts w:cs="Arial"/>
          <w:bCs/>
          <w:sz w:val="22"/>
          <w:szCs w:val="22"/>
          <w:lang w:val="es-AR"/>
        </w:rPr>
        <w:footnoteReference w:id="6"/>
      </w:r>
      <w:r w:rsidRPr="00794C0E">
        <w:rPr>
          <w:rFonts w:cs="Arial"/>
          <w:bCs/>
          <w:sz w:val="22"/>
          <w:szCs w:val="22"/>
          <w:lang w:val="es-AR"/>
        </w:rPr>
        <w:t>, se proyectó la recaudación para las cuatro provincias, sobre la base de la recaudación de los últimos 10 años. En su estimación (situación sin programa), se tomó en consideración la baja performance del Impuesto Inmobiliario en relación al agregado de la Recaudación del Sistema Tributario de cada jurisdicción, mediante un modelo tendencial logarítmico, que era el que mejor ajustaba los datos históricos para realizar estimaciones puntuales en cada uno de los años considerados en el horizonte de evaluación.</w:t>
      </w:r>
    </w:p>
    <w:p w:rsidR="002A742F" w:rsidRPr="00794C0E" w:rsidRDefault="002A742F" w:rsidP="009D1692">
      <w:pPr>
        <w:pStyle w:val="ListParagraph"/>
        <w:ind w:left="0"/>
        <w:rPr>
          <w:rFonts w:cs="Arial"/>
          <w:bCs/>
          <w:sz w:val="22"/>
          <w:szCs w:val="22"/>
          <w:lang w:val="es-AR"/>
        </w:rPr>
      </w:pPr>
    </w:p>
    <w:p w:rsidR="002A742F" w:rsidRPr="00794C0E" w:rsidRDefault="00725D8D" w:rsidP="009D1692">
      <w:pPr>
        <w:pStyle w:val="ListParagraph"/>
        <w:numPr>
          <w:ilvl w:val="1"/>
          <w:numId w:val="5"/>
        </w:numPr>
        <w:ind w:left="0" w:firstLine="0"/>
        <w:jc w:val="both"/>
        <w:rPr>
          <w:rFonts w:cs="Arial"/>
          <w:bCs/>
          <w:sz w:val="22"/>
          <w:szCs w:val="22"/>
          <w:lang w:val="es-AR"/>
        </w:rPr>
      </w:pPr>
      <w:r w:rsidRPr="00794C0E">
        <w:rPr>
          <w:rFonts w:cs="Arial"/>
          <w:bCs/>
          <w:sz w:val="22"/>
          <w:szCs w:val="22"/>
          <w:lang w:val="es-AR"/>
        </w:rPr>
        <w:t xml:space="preserve">Para estimar la recaudación “con programa”, se utilizó el crecimiento de la recaudación de las provincias que han implementado profundas reformas del catastro y de la administración tributaria en cuanto a la especie de tributos sobre inmuebles, de manera de utilizarlas como </w:t>
      </w:r>
      <w:r w:rsidR="004A6FDC" w:rsidRPr="00794C0E">
        <w:rPr>
          <w:rFonts w:cs="Arial"/>
          <w:bCs/>
          <w:sz w:val="22"/>
          <w:szCs w:val="22"/>
          <w:lang w:val="es-AR"/>
        </w:rPr>
        <w:t>contrafactual</w:t>
      </w:r>
      <w:r w:rsidRPr="00794C0E">
        <w:rPr>
          <w:rFonts w:cs="Arial"/>
          <w:bCs/>
          <w:sz w:val="22"/>
          <w:szCs w:val="22"/>
          <w:lang w:val="es-AR"/>
        </w:rPr>
        <w:t xml:space="preserve">. En términos generales, </w:t>
      </w:r>
      <w:r w:rsidR="00D94DE2" w:rsidRPr="00794C0E">
        <w:rPr>
          <w:rFonts w:cs="Arial"/>
          <w:bCs/>
          <w:sz w:val="22"/>
          <w:szCs w:val="22"/>
          <w:lang w:val="es-AR"/>
        </w:rPr>
        <w:t xml:space="preserve">considerando sólo el último dato anual para </w:t>
      </w:r>
      <w:r w:rsidRPr="00794C0E">
        <w:rPr>
          <w:rFonts w:cs="Arial"/>
          <w:bCs/>
          <w:sz w:val="22"/>
          <w:szCs w:val="22"/>
          <w:lang w:val="es-AR"/>
        </w:rPr>
        <w:t xml:space="preserve">provincias beneficiaras del programa </w:t>
      </w:r>
      <w:r w:rsidR="00D94DE2" w:rsidRPr="00794C0E">
        <w:rPr>
          <w:rFonts w:cs="Arial"/>
          <w:bCs/>
          <w:sz w:val="22"/>
          <w:szCs w:val="22"/>
          <w:lang w:val="es-AR"/>
        </w:rPr>
        <w:t xml:space="preserve">(año 2015), la participación de la recaudación del impuesto inmobiliario respecto al total de la recaudación, oscila </w:t>
      </w:r>
      <w:r w:rsidRPr="00794C0E">
        <w:rPr>
          <w:rFonts w:cs="Arial"/>
          <w:bCs/>
          <w:sz w:val="22"/>
          <w:szCs w:val="22"/>
          <w:lang w:val="es-AR"/>
        </w:rPr>
        <w:t xml:space="preserve">entre el </w:t>
      </w:r>
      <w:r w:rsidR="00D94DE2" w:rsidRPr="00794C0E">
        <w:rPr>
          <w:rFonts w:cs="Arial"/>
          <w:bCs/>
          <w:sz w:val="22"/>
          <w:szCs w:val="22"/>
          <w:lang w:val="es-AR"/>
        </w:rPr>
        <w:t xml:space="preserve">1,25 % (Salta) y 4,16 % (Corrientes), en cuanto el promedio de las provincias utilizadas como </w:t>
      </w:r>
      <w:r w:rsidR="00D94DE2" w:rsidRPr="00794C0E">
        <w:rPr>
          <w:rFonts w:cs="Arial"/>
          <w:bCs/>
          <w:i/>
          <w:sz w:val="22"/>
          <w:szCs w:val="22"/>
          <w:lang w:val="es-AR"/>
        </w:rPr>
        <w:t>contrafactual</w:t>
      </w:r>
      <w:r w:rsidR="00D94DE2" w:rsidRPr="00794C0E">
        <w:rPr>
          <w:rFonts w:cs="Arial"/>
          <w:bCs/>
          <w:sz w:val="22"/>
          <w:szCs w:val="22"/>
          <w:lang w:val="es-AR"/>
        </w:rPr>
        <w:t xml:space="preserve"> alcanzan el 7,6 %</w:t>
      </w:r>
      <w:r w:rsidR="0010462F" w:rsidRPr="00794C0E">
        <w:rPr>
          <w:rFonts w:cs="Arial"/>
          <w:bCs/>
          <w:sz w:val="22"/>
          <w:szCs w:val="22"/>
          <w:lang w:val="es-AR"/>
        </w:rPr>
        <w:t xml:space="preserve"> </w:t>
      </w:r>
      <w:r w:rsidR="0010462F" w:rsidRPr="00794C0E">
        <w:rPr>
          <w:rStyle w:val="FootnoteReference"/>
          <w:rFonts w:cs="Arial"/>
          <w:bCs/>
          <w:sz w:val="22"/>
          <w:szCs w:val="22"/>
          <w:lang w:val="es-AR"/>
        </w:rPr>
        <w:footnoteReference w:id="7"/>
      </w:r>
      <w:r w:rsidR="0010462F" w:rsidRPr="00794C0E">
        <w:rPr>
          <w:rFonts w:cs="Arial"/>
          <w:bCs/>
          <w:sz w:val="22"/>
          <w:szCs w:val="22"/>
          <w:vertAlign w:val="superscript"/>
          <w:lang w:val="es-AR"/>
        </w:rPr>
        <w:t>-</w:t>
      </w:r>
      <w:r w:rsidR="00104483" w:rsidRPr="00794C0E">
        <w:rPr>
          <w:rStyle w:val="FootnoteReference"/>
          <w:rFonts w:cs="Arial"/>
          <w:bCs/>
          <w:sz w:val="22"/>
          <w:szCs w:val="22"/>
          <w:lang w:val="es-AR"/>
        </w:rPr>
        <w:footnoteReference w:id="8"/>
      </w:r>
      <w:r w:rsidR="00D94DE2" w:rsidRPr="00794C0E">
        <w:rPr>
          <w:rFonts w:cs="Arial"/>
          <w:bCs/>
          <w:sz w:val="22"/>
          <w:szCs w:val="22"/>
          <w:lang w:val="es-AR"/>
        </w:rPr>
        <w:t xml:space="preserve">. El supuesto en las proyecciones “con programa” se apoya en la idea de que al </w:t>
      </w:r>
      <w:r w:rsidR="00D94DE2" w:rsidRPr="00794C0E">
        <w:rPr>
          <w:rFonts w:cs="Arial"/>
          <w:bCs/>
          <w:sz w:val="22"/>
          <w:szCs w:val="22"/>
          <w:lang w:val="es-AR"/>
        </w:rPr>
        <w:lastRenderedPageBreak/>
        <w:t xml:space="preserve">menos, la reforma llevará a que la brecha entre estos dos escenarios (min 1,25 - max7,6), se vaya acortando con la ejecución del Programa. </w:t>
      </w:r>
      <w:r w:rsidR="001C0E05" w:rsidRPr="00794C0E">
        <w:rPr>
          <w:rFonts w:cs="Arial"/>
          <w:bCs/>
          <w:sz w:val="22"/>
          <w:szCs w:val="22"/>
          <w:lang w:val="es-AR"/>
        </w:rPr>
        <w:t>Es más, la evolución decreciente de los últimos años en dichos guarismos, podría acentuarse de no implementar una reforma del sistema de catastro y administración tributaria vigentes</w:t>
      </w:r>
      <w:r w:rsidR="001C0E05" w:rsidRPr="00794C0E">
        <w:rPr>
          <w:rStyle w:val="FootnoteReference"/>
          <w:rFonts w:cs="Arial"/>
          <w:bCs/>
          <w:sz w:val="22"/>
          <w:szCs w:val="22"/>
          <w:lang w:val="es-AR"/>
        </w:rPr>
        <w:footnoteReference w:id="9"/>
      </w:r>
      <w:r w:rsidR="001C0E05" w:rsidRPr="00794C0E">
        <w:rPr>
          <w:rFonts w:cs="Arial"/>
          <w:bCs/>
          <w:sz w:val="22"/>
          <w:szCs w:val="22"/>
          <w:lang w:val="es-AR"/>
        </w:rPr>
        <w:t xml:space="preserve">. </w:t>
      </w:r>
      <w:r w:rsidR="00D94DE2" w:rsidRPr="00794C0E">
        <w:rPr>
          <w:rFonts w:cs="Arial"/>
          <w:bCs/>
          <w:sz w:val="22"/>
          <w:szCs w:val="22"/>
          <w:lang w:val="es-AR"/>
        </w:rPr>
        <w:t>Existe una extensa literatura que fortalece la utilización de este supuesto, brindando evidencia del impacto que generan estas intervenciones sobre la recaudación del impuesto inmobiliario</w:t>
      </w:r>
      <w:r w:rsidR="00D94DE2" w:rsidRPr="00794C0E">
        <w:rPr>
          <w:rStyle w:val="FootnoteReference"/>
          <w:rFonts w:cs="Arial"/>
          <w:bCs/>
          <w:sz w:val="22"/>
          <w:szCs w:val="22"/>
          <w:lang w:val="es-AR"/>
        </w:rPr>
        <w:footnoteReference w:id="10"/>
      </w:r>
      <w:r w:rsidR="00D94DE2" w:rsidRPr="00794C0E">
        <w:rPr>
          <w:rFonts w:cs="Arial"/>
          <w:bCs/>
          <w:sz w:val="22"/>
          <w:szCs w:val="22"/>
          <w:lang w:val="es-AR"/>
        </w:rPr>
        <w:t>.</w:t>
      </w:r>
      <w:r w:rsidR="001C0E05" w:rsidRPr="00794C0E">
        <w:rPr>
          <w:rFonts w:cs="Arial"/>
          <w:bCs/>
          <w:sz w:val="22"/>
          <w:szCs w:val="22"/>
          <w:lang w:val="es-AR"/>
        </w:rPr>
        <w:t xml:space="preserve"> </w:t>
      </w:r>
      <w:r w:rsidR="00D94DE2" w:rsidRPr="00794C0E">
        <w:rPr>
          <w:rFonts w:cs="Arial"/>
          <w:bCs/>
          <w:sz w:val="22"/>
          <w:szCs w:val="22"/>
          <w:lang w:val="es-AR"/>
        </w:rPr>
        <w:t>Es evidente que se espera que el impacto de la reforma sea gradual, lo que denota que la brecha no será disminuía al primer año de implementar el programa.</w:t>
      </w:r>
    </w:p>
    <w:p w:rsidR="002A742F" w:rsidRPr="00794C0E" w:rsidRDefault="002A742F" w:rsidP="009D1692">
      <w:pPr>
        <w:pStyle w:val="ListParagraph"/>
        <w:ind w:left="0"/>
        <w:jc w:val="both"/>
        <w:rPr>
          <w:rFonts w:cs="Arial"/>
          <w:bCs/>
          <w:sz w:val="22"/>
          <w:szCs w:val="22"/>
          <w:lang w:val="es-AR"/>
        </w:rPr>
      </w:pPr>
    </w:p>
    <w:p w:rsidR="00D94DE2" w:rsidRPr="00794C0E" w:rsidRDefault="00D94DE2" w:rsidP="009D1692">
      <w:pPr>
        <w:pStyle w:val="ListParagraph"/>
        <w:numPr>
          <w:ilvl w:val="1"/>
          <w:numId w:val="5"/>
        </w:numPr>
        <w:ind w:left="0" w:firstLine="0"/>
        <w:jc w:val="both"/>
        <w:rPr>
          <w:rFonts w:cs="Arial"/>
          <w:bCs/>
          <w:sz w:val="22"/>
          <w:szCs w:val="22"/>
          <w:lang w:val="es-AR"/>
        </w:rPr>
      </w:pPr>
      <w:r w:rsidRPr="00794C0E">
        <w:rPr>
          <w:rFonts w:cs="Arial"/>
          <w:bCs/>
          <w:sz w:val="22"/>
          <w:szCs w:val="22"/>
          <w:lang w:val="es-AR"/>
        </w:rPr>
        <w:t>Formalmente, el flujo de beneficios</w:t>
      </w:r>
      <w:r w:rsidR="004A6FDC" w:rsidRPr="00794C0E">
        <w:rPr>
          <w:rFonts w:cs="Arial"/>
          <w:bCs/>
          <w:sz w:val="22"/>
          <w:szCs w:val="22"/>
          <w:lang w:val="es-AR"/>
        </w:rPr>
        <w:t xml:space="preserve"> (B</w:t>
      </w:r>
      <w:r w:rsidR="00C1402E" w:rsidRPr="00794C0E">
        <w:rPr>
          <w:rFonts w:cs="Arial"/>
          <w:bCs/>
          <w:sz w:val="22"/>
          <w:szCs w:val="22"/>
          <w:vertAlign w:val="subscript"/>
          <w:lang w:val="es-AR"/>
        </w:rPr>
        <w:t>1</w:t>
      </w:r>
      <w:r w:rsidR="004A6FDC" w:rsidRPr="00794C0E">
        <w:rPr>
          <w:rFonts w:cs="Arial"/>
          <w:bCs/>
          <w:sz w:val="22"/>
          <w:szCs w:val="22"/>
          <w:lang w:val="es-AR"/>
        </w:rPr>
        <w:t>)</w:t>
      </w:r>
      <w:r w:rsidRPr="00794C0E">
        <w:rPr>
          <w:rFonts w:cs="Arial"/>
          <w:bCs/>
          <w:sz w:val="22"/>
          <w:szCs w:val="22"/>
          <w:lang w:val="es-AR"/>
        </w:rPr>
        <w:t xml:space="preserve"> </w:t>
      </w:r>
      <w:r w:rsidR="00C633D2" w:rsidRPr="00794C0E">
        <w:rPr>
          <w:rFonts w:cs="Arial"/>
          <w:bCs/>
          <w:sz w:val="22"/>
          <w:szCs w:val="22"/>
          <w:lang w:val="es-AR"/>
        </w:rPr>
        <w:t>para todo el período bajo análisis para cada una de las cuatro provincias</w:t>
      </w:r>
      <w:r w:rsidR="004A6FDC" w:rsidRPr="00794C0E">
        <w:rPr>
          <w:rFonts w:cs="Arial"/>
          <w:bCs/>
          <w:sz w:val="22"/>
          <w:szCs w:val="22"/>
          <w:lang w:val="es-AR"/>
        </w:rPr>
        <w:t xml:space="preserve"> en donde se realiza la reforma</w:t>
      </w:r>
      <w:r w:rsidR="0097147C" w:rsidRPr="00794C0E">
        <w:rPr>
          <w:rFonts w:cs="Arial"/>
          <w:bCs/>
          <w:sz w:val="22"/>
          <w:szCs w:val="22"/>
          <w:lang w:val="es-AR"/>
        </w:rPr>
        <w:t>, viene dado por:</w:t>
      </w:r>
    </w:p>
    <w:p w:rsidR="00C633D2" w:rsidRPr="00794C0E" w:rsidRDefault="00C633D2" w:rsidP="009D1692">
      <w:pPr>
        <w:jc w:val="both"/>
        <w:rPr>
          <w:rFonts w:cs="Arial"/>
          <w:bCs/>
          <w:sz w:val="22"/>
          <w:szCs w:val="22"/>
          <w:lang w:val="es-AR"/>
        </w:rPr>
      </w:pPr>
    </w:p>
    <w:p w:rsidR="009B6CA0" w:rsidRPr="00794C0E" w:rsidRDefault="00794C0E" w:rsidP="009D1692">
      <w:pPr>
        <w:jc w:val="center"/>
        <w:rPr>
          <w:rFonts w:cs="Arial"/>
          <w:bCs/>
          <w:i/>
          <w:sz w:val="28"/>
          <w:szCs w:val="28"/>
          <w:lang w:val="es-AR"/>
        </w:rPr>
      </w:pPr>
      <m:oMathPara>
        <m:oMath>
          <m:sSub>
            <m:sSubPr>
              <m:ctrlPr>
                <w:rPr>
                  <w:rFonts w:ascii="Cambria Math" w:hAnsi="Cambria Math" w:cs="Arial"/>
                  <w:bCs/>
                  <w:i/>
                  <w:sz w:val="24"/>
                  <w:szCs w:val="24"/>
                  <w:lang w:val="es-AR"/>
                </w:rPr>
              </m:ctrlPr>
            </m:sSubPr>
            <m:e>
              <m:r>
                <w:rPr>
                  <w:rFonts w:ascii="Cambria Math" w:hAnsi="Cambria Math" w:cs="Arial"/>
                  <w:sz w:val="24"/>
                  <w:szCs w:val="24"/>
                  <w:lang w:val="es-AR"/>
                </w:rPr>
                <m:t>B</m:t>
              </m:r>
            </m:e>
            <m:sub>
              <m:r>
                <w:rPr>
                  <w:rFonts w:ascii="Cambria Math" w:hAnsi="Cambria Math" w:cs="Arial"/>
                  <w:sz w:val="24"/>
                  <w:szCs w:val="24"/>
                  <w:lang w:val="es-AR"/>
                </w:rPr>
                <m:t>1</m:t>
              </m:r>
            </m:sub>
          </m:sSub>
          <m:r>
            <w:rPr>
              <w:rFonts w:ascii="Cambria Math" w:hAnsi="Cambria Math" w:cs="Arial"/>
              <w:sz w:val="24"/>
              <w:szCs w:val="24"/>
              <w:lang w:val="es-AR"/>
            </w:rPr>
            <m:t>=</m:t>
          </m:r>
          <m:nary>
            <m:naryPr>
              <m:chr m:val="∑"/>
              <m:limLoc m:val="subSup"/>
              <m:ctrlPr>
                <w:rPr>
                  <w:rFonts w:ascii="Cambria Math" w:hAnsi="Cambria Math" w:cs="Arial"/>
                  <w:bCs/>
                  <w:i/>
                  <w:sz w:val="24"/>
                  <w:szCs w:val="24"/>
                  <w:lang w:val="es-AR"/>
                </w:rPr>
              </m:ctrlPr>
            </m:naryPr>
            <m:sub>
              <m:r>
                <w:rPr>
                  <w:rFonts w:ascii="Cambria Math" w:hAnsi="Cambria Math" w:cs="Arial"/>
                  <w:sz w:val="24"/>
                  <w:szCs w:val="24"/>
                  <w:lang w:val="es-AR"/>
                </w:rPr>
                <m:t>t=0</m:t>
              </m:r>
            </m:sub>
            <m:sup>
              <m:r>
                <w:rPr>
                  <w:rFonts w:ascii="Cambria Math" w:hAnsi="Cambria Math" w:cs="Arial"/>
                  <w:sz w:val="24"/>
                  <w:szCs w:val="24"/>
                  <w:lang w:val="es-AR"/>
                </w:rPr>
                <m:t>n</m:t>
              </m:r>
            </m:sup>
            <m:e>
              <m:sSup>
                <m:sSupPr>
                  <m:ctrlPr>
                    <w:rPr>
                      <w:rFonts w:ascii="Cambria Math" w:hAnsi="Cambria Math" w:cs="Arial"/>
                      <w:bCs/>
                      <w:i/>
                      <w:sz w:val="24"/>
                      <w:szCs w:val="24"/>
                      <w:lang w:val="es-AR"/>
                    </w:rPr>
                  </m:ctrlPr>
                </m:sSupPr>
                <m:e>
                  <m:d>
                    <m:dPr>
                      <m:ctrlPr>
                        <w:rPr>
                          <w:rFonts w:ascii="Cambria Math" w:hAnsi="Cambria Math" w:cs="Arial"/>
                          <w:bCs/>
                          <w:i/>
                          <w:sz w:val="24"/>
                          <w:szCs w:val="24"/>
                          <w:lang w:val="es-AR"/>
                        </w:rPr>
                      </m:ctrlPr>
                    </m:dPr>
                    <m:e>
                      <m:sSub>
                        <m:sSubPr>
                          <m:ctrlPr>
                            <w:rPr>
                              <w:rFonts w:ascii="Cambria Math" w:hAnsi="Cambria Math" w:cs="Arial"/>
                              <w:bCs/>
                              <w:i/>
                              <w:sz w:val="24"/>
                              <w:szCs w:val="24"/>
                              <w:lang w:val="es-AR"/>
                            </w:rPr>
                          </m:ctrlPr>
                        </m:sSubPr>
                        <m:e>
                          <m:r>
                            <w:rPr>
                              <w:rFonts w:ascii="Cambria Math" w:hAnsi="Cambria Math" w:cs="Arial"/>
                              <w:sz w:val="24"/>
                              <w:szCs w:val="24"/>
                              <w:lang w:val="es-AR"/>
                            </w:rPr>
                            <m:t>α</m:t>
                          </m:r>
                        </m:e>
                        <m:sub>
                          <m:r>
                            <w:rPr>
                              <w:rFonts w:ascii="Cambria Math" w:hAnsi="Cambria Math" w:cs="Arial"/>
                              <w:sz w:val="24"/>
                              <w:szCs w:val="24"/>
                              <w:lang w:val="es-AR"/>
                            </w:rPr>
                            <m:t xml:space="preserve">t+1 </m:t>
                          </m:r>
                        </m:sub>
                      </m:sSub>
                      <m:r>
                        <w:rPr>
                          <w:rFonts w:ascii="Cambria Math" w:hAnsi="Cambria Math" w:cs="Arial"/>
                          <w:sz w:val="24"/>
                          <w:szCs w:val="24"/>
                          <w:lang w:val="es-AR"/>
                        </w:rPr>
                        <m:t>*</m:t>
                      </m:r>
                      <m:sSub>
                        <m:sSubPr>
                          <m:ctrlPr>
                            <w:rPr>
                              <w:rFonts w:ascii="Cambria Math" w:hAnsi="Cambria Math" w:cs="Arial"/>
                              <w:bCs/>
                              <w:i/>
                              <w:sz w:val="24"/>
                              <w:szCs w:val="24"/>
                              <w:lang w:val="es-AR"/>
                            </w:rPr>
                          </m:ctrlPr>
                        </m:sSubPr>
                        <m:e>
                          <m:r>
                            <w:rPr>
                              <w:rFonts w:ascii="Cambria Math" w:hAnsi="Cambria Math" w:cs="Arial"/>
                              <w:sz w:val="24"/>
                              <w:szCs w:val="24"/>
                              <w:lang w:val="es-AR"/>
                            </w:rPr>
                            <m:t>Inm</m:t>
                          </m:r>
                        </m:e>
                        <m:sub>
                          <m:r>
                            <w:rPr>
                              <w:rFonts w:ascii="Cambria Math" w:hAnsi="Cambria Math" w:cs="Arial"/>
                              <w:sz w:val="24"/>
                              <w:szCs w:val="24"/>
                              <w:lang w:val="es-AR"/>
                            </w:rPr>
                            <m:t>t</m:t>
                          </m:r>
                        </m:sub>
                      </m:sSub>
                    </m:e>
                  </m:d>
                </m:e>
                <m:sup>
                  <m:r>
                    <w:rPr>
                      <w:rFonts w:ascii="Cambria Math" w:hAnsi="Cambria Math" w:cs="Arial"/>
                      <w:sz w:val="24"/>
                      <w:szCs w:val="24"/>
                      <w:lang w:val="es-AR"/>
                    </w:rPr>
                    <m:t>cp</m:t>
                  </m:r>
                </m:sup>
              </m:sSup>
            </m:e>
          </m:nary>
          <m:r>
            <w:rPr>
              <w:rFonts w:ascii="Cambria Math" w:hAnsi="Cambria Math" w:cs="Arial"/>
              <w:sz w:val="24"/>
              <w:szCs w:val="24"/>
              <w:lang w:val="es-AR"/>
            </w:rPr>
            <m:t>-</m:t>
          </m:r>
          <m:sSup>
            <m:sSupPr>
              <m:ctrlPr>
                <w:rPr>
                  <w:rFonts w:ascii="Cambria Math" w:hAnsi="Cambria Math" w:cs="Arial"/>
                  <w:bCs/>
                  <w:i/>
                  <w:sz w:val="24"/>
                  <w:szCs w:val="24"/>
                  <w:lang w:val="es-AR"/>
                </w:rPr>
              </m:ctrlPr>
            </m:sSupPr>
            <m:e>
              <m:d>
                <m:dPr>
                  <m:ctrlPr>
                    <w:rPr>
                      <w:rFonts w:ascii="Cambria Math" w:hAnsi="Cambria Math" w:cs="Arial"/>
                      <w:bCs/>
                      <w:i/>
                      <w:sz w:val="24"/>
                      <w:szCs w:val="24"/>
                      <w:lang w:val="es-AR"/>
                    </w:rPr>
                  </m:ctrlPr>
                </m:dPr>
                <m:e>
                  <m:sSub>
                    <m:sSubPr>
                      <m:ctrlPr>
                        <w:rPr>
                          <w:rFonts w:ascii="Cambria Math" w:hAnsi="Cambria Math" w:cs="Arial"/>
                          <w:bCs/>
                          <w:i/>
                          <w:sz w:val="24"/>
                          <w:szCs w:val="24"/>
                          <w:lang w:val="es-AR"/>
                        </w:rPr>
                      </m:ctrlPr>
                    </m:sSubPr>
                    <m:e>
                      <m:r>
                        <w:rPr>
                          <w:rFonts w:ascii="Cambria Math" w:hAnsi="Cambria Math" w:cs="Arial"/>
                          <w:sz w:val="24"/>
                          <w:szCs w:val="24"/>
                          <w:lang w:val="es-AR"/>
                        </w:rPr>
                        <m:t>α</m:t>
                      </m:r>
                    </m:e>
                    <m:sub>
                      <m:r>
                        <w:rPr>
                          <w:rFonts w:ascii="Cambria Math" w:hAnsi="Cambria Math" w:cs="Arial"/>
                          <w:sz w:val="24"/>
                          <w:szCs w:val="24"/>
                          <w:lang w:val="es-AR"/>
                        </w:rPr>
                        <m:t xml:space="preserve">t+1 </m:t>
                      </m:r>
                    </m:sub>
                  </m:sSub>
                  <m:r>
                    <w:rPr>
                      <w:rFonts w:ascii="Cambria Math" w:hAnsi="Cambria Math" w:cs="Arial"/>
                      <w:sz w:val="24"/>
                      <w:szCs w:val="24"/>
                      <w:lang w:val="es-AR"/>
                    </w:rPr>
                    <m:t>*</m:t>
                  </m:r>
                  <m:sSub>
                    <m:sSubPr>
                      <m:ctrlPr>
                        <w:rPr>
                          <w:rFonts w:ascii="Cambria Math" w:hAnsi="Cambria Math" w:cs="Arial"/>
                          <w:bCs/>
                          <w:i/>
                          <w:sz w:val="24"/>
                          <w:szCs w:val="24"/>
                          <w:lang w:val="es-AR"/>
                        </w:rPr>
                      </m:ctrlPr>
                    </m:sSubPr>
                    <m:e>
                      <m:r>
                        <w:rPr>
                          <w:rFonts w:ascii="Cambria Math" w:hAnsi="Cambria Math" w:cs="Arial"/>
                          <w:sz w:val="24"/>
                          <w:szCs w:val="24"/>
                          <w:lang w:val="es-AR"/>
                        </w:rPr>
                        <m:t>Inm</m:t>
                      </m:r>
                    </m:e>
                    <m:sub>
                      <m:r>
                        <w:rPr>
                          <w:rFonts w:ascii="Cambria Math" w:hAnsi="Cambria Math" w:cs="Arial"/>
                          <w:sz w:val="24"/>
                          <w:szCs w:val="24"/>
                          <w:lang w:val="es-AR"/>
                        </w:rPr>
                        <m:t>t</m:t>
                      </m:r>
                    </m:sub>
                  </m:sSub>
                </m:e>
              </m:d>
            </m:e>
            <m:sup>
              <m:r>
                <w:rPr>
                  <w:rFonts w:ascii="Cambria Math" w:hAnsi="Cambria Math" w:cs="Arial"/>
                  <w:sz w:val="24"/>
                  <w:szCs w:val="24"/>
                  <w:lang w:val="es-AR"/>
                </w:rPr>
                <m:t>sp</m:t>
              </m:r>
            </m:sup>
          </m:sSup>
        </m:oMath>
      </m:oMathPara>
    </w:p>
    <w:p w:rsidR="00C16712" w:rsidRPr="00794C0E" w:rsidRDefault="00C16712" w:rsidP="009D1692">
      <w:pPr>
        <w:jc w:val="center"/>
        <w:rPr>
          <w:rFonts w:cs="Arial"/>
          <w:bCs/>
          <w:i/>
          <w:sz w:val="28"/>
          <w:szCs w:val="28"/>
          <w:lang w:val="es-AR"/>
        </w:rPr>
      </w:pPr>
    </w:p>
    <w:p w:rsidR="00F9605B" w:rsidRPr="00794C0E" w:rsidRDefault="00C633D2" w:rsidP="00CB13BB">
      <w:pPr>
        <w:jc w:val="both"/>
        <w:rPr>
          <w:rFonts w:cs="Arial"/>
          <w:sz w:val="22"/>
          <w:szCs w:val="22"/>
          <w:lang w:val="es-AR"/>
        </w:rPr>
      </w:pPr>
      <w:bookmarkStart w:id="5" w:name="_Toc339982346"/>
      <w:r w:rsidRPr="00794C0E">
        <w:rPr>
          <w:rFonts w:cs="Arial"/>
          <w:sz w:val="22"/>
          <w:szCs w:val="22"/>
          <w:lang w:val="es-AR"/>
        </w:rPr>
        <w:t>donde</w:t>
      </w:r>
      <w:r w:rsidR="004A6FDC" w:rsidRPr="00794C0E">
        <w:rPr>
          <w:rFonts w:cs="Arial"/>
          <w:sz w:val="22"/>
          <w:szCs w:val="22"/>
          <w:lang w:val="es-AR"/>
        </w:rPr>
        <w:t>,</w:t>
      </w:r>
      <w:r w:rsidRPr="00794C0E">
        <w:rPr>
          <w:rFonts w:cs="Arial"/>
          <w:sz w:val="22"/>
          <w:szCs w:val="22"/>
          <w:lang w:val="es-AR"/>
        </w:rPr>
        <w:t xml:space="preserve"> </w:t>
      </w:r>
      <w:r w:rsidRPr="00794C0E">
        <w:rPr>
          <w:rFonts w:cs="Arial"/>
          <w:sz w:val="22"/>
          <w:szCs w:val="22"/>
          <w:lang w:val="es-AR"/>
        </w:rPr>
        <w:t></w:t>
      </w:r>
      <w:r w:rsidRPr="00794C0E">
        <w:rPr>
          <w:rFonts w:cs="Arial"/>
          <w:sz w:val="22"/>
          <w:szCs w:val="22"/>
          <w:vertAlign w:val="subscript"/>
          <w:lang w:val="es-AR"/>
        </w:rPr>
        <w:t xml:space="preserve"> t+1</w:t>
      </w:r>
      <w:r w:rsidRPr="00794C0E">
        <w:rPr>
          <w:rFonts w:cs="Arial"/>
          <w:sz w:val="22"/>
          <w:szCs w:val="22"/>
          <w:lang w:val="es-AR"/>
        </w:rPr>
        <w:t xml:space="preserve"> </w:t>
      </w:r>
      <w:r w:rsidR="004A6FDC" w:rsidRPr="00794C0E">
        <w:rPr>
          <w:rFonts w:cs="Arial"/>
          <w:sz w:val="22"/>
          <w:szCs w:val="22"/>
          <w:lang w:val="es-AR"/>
        </w:rPr>
        <w:t xml:space="preserve"> es la partición del Im</w:t>
      </w:r>
      <w:r w:rsidRPr="00794C0E">
        <w:rPr>
          <w:rFonts w:cs="Arial"/>
          <w:sz w:val="22"/>
          <w:szCs w:val="22"/>
          <w:lang w:val="es-AR"/>
        </w:rPr>
        <w:t xml:space="preserve">puesto </w:t>
      </w:r>
      <w:r w:rsidR="004A6FDC" w:rsidRPr="00794C0E">
        <w:rPr>
          <w:rFonts w:cs="Arial"/>
          <w:sz w:val="22"/>
          <w:szCs w:val="22"/>
          <w:lang w:val="es-AR"/>
        </w:rPr>
        <w:t>I</w:t>
      </w:r>
      <w:r w:rsidRPr="00794C0E">
        <w:rPr>
          <w:rFonts w:cs="Arial"/>
          <w:sz w:val="22"/>
          <w:szCs w:val="22"/>
          <w:lang w:val="es-AR"/>
        </w:rPr>
        <w:t>nmobiliari</w:t>
      </w:r>
      <w:r w:rsidR="004A6FDC" w:rsidRPr="00794C0E">
        <w:rPr>
          <w:rFonts w:cs="Arial"/>
          <w:sz w:val="22"/>
          <w:szCs w:val="22"/>
          <w:lang w:val="es-AR"/>
        </w:rPr>
        <w:t xml:space="preserve">o sobre la recaudación provincial total para el período </w:t>
      </w:r>
      <w:r w:rsidR="004A6FDC" w:rsidRPr="00794C0E">
        <w:rPr>
          <w:rFonts w:cs="Arial"/>
          <w:i/>
          <w:sz w:val="22"/>
          <w:szCs w:val="22"/>
          <w:lang w:val="es-AR"/>
        </w:rPr>
        <w:t>t+1</w:t>
      </w:r>
      <w:r w:rsidR="004A6FDC" w:rsidRPr="00794C0E">
        <w:rPr>
          <w:rFonts w:cs="Arial"/>
          <w:sz w:val="22"/>
          <w:szCs w:val="22"/>
          <w:lang w:val="es-AR"/>
        </w:rPr>
        <w:t xml:space="preserve">, </w:t>
      </w:r>
      <w:r w:rsidR="004A6FDC" w:rsidRPr="00794C0E">
        <w:rPr>
          <w:rFonts w:cs="Arial"/>
          <w:i/>
          <w:sz w:val="22"/>
          <w:szCs w:val="22"/>
          <w:lang w:val="es-AR"/>
        </w:rPr>
        <w:t>Inm</w:t>
      </w:r>
      <w:r w:rsidR="004A6FDC" w:rsidRPr="00794C0E">
        <w:rPr>
          <w:rFonts w:cs="Arial"/>
          <w:i/>
          <w:sz w:val="22"/>
          <w:szCs w:val="22"/>
          <w:vertAlign w:val="subscript"/>
          <w:lang w:val="es-AR"/>
        </w:rPr>
        <w:t xml:space="preserve"> t</w:t>
      </w:r>
      <w:r w:rsidR="004A6FDC" w:rsidRPr="00794C0E">
        <w:rPr>
          <w:rFonts w:cs="Arial"/>
          <w:sz w:val="22"/>
          <w:szCs w:val="22"/>
          <w:lang w:val="es-AR"/>
        </w:rPr>
        <w:t xml:space="preserve"> es la recaudación del Impuesto Inmobiliario en el</w:t>
      </w:r>
      <w:r w:rsidR="00CB13BB" w:rsidRPr="00794C0E">
        <w:rPr>
          <w:rFonts w:cs="Arial"/>
          <w:sz w:val="22"/>
          <w:szCs w:val="22"/>
          <w:lang w:val="es-AR"/>
        </w:rPr>
        <w:t xml:space="preserve"> </w:t>
      </w:r>
      <w:r w:rsidR="004A6FDC" w:rsidRPr="00794C0E">
        <w:rPr>
          <w:rFonts w:cs="Arial"/>
          <w:sz w:val="22"/>
          <w:szCs w:val="22"/>
          <w:lang w:val="es-AR"/>
        </w:rPr>
        <w:t xml:space="preserve">período </w:t>
      </w:r>
      <w:r w:rsidR="004A6FDC" w:rsidRPr="00794C0E">
        <w:rPr>
          <w:rFonts w:cs="Arial"/>
          <w:i/>
          <w:sz w:val="22"/>
          <w:szCs w:val="22"/>
          <w:lang w:val="es-AR"/>
        </w:rPr>
        <w:t>t</w:t>
      </w:r>
      <w:r w:rsidR="004A6FDC" w:rsidRPr="00794C0E">
        <w:rPr>
          <w:rFonts w:cs="Arial"/>
          <w:sz w:val="22"/>
          <w:szCs w:val="22"/>
          <w:lang w:val="es-AR"/>
        </w:rPr>
        <w:t>. Los beneficios se calculan como el diferencial en la recaudación entre la situación con proyecto vs sin proyecto</w:t>
      </w:r>
      <w:r w:rsidR="004A6FDC" w:rsidRPr="00794C0E">
        <w:rPr>
          <w:rStyle w:val="FootnoteReference"/>
          <w:rFonts w:cs="Arial"/>
          <w:sz w:val="22"/>
          <w:szCs w:val="22"/>
          <w:lang w:val="es-AR"/>
        </w:rPr>
        <w:footnoteReference w:id="11"/>
      </w:r>
      <w:r w:rsidR="002A742F" w:rsidRPr="00794C0E">
        <w:rPr>
          <w:rFonts w:cs="Arial"/>
          <w:sz w:val="22"/>
          <w:szCs w:val="22"/>
          <w:lang w:val="es-AR"/>
        </w:rPr>
        <w:t>.</w:t>
      </w:r>
    </w:p>
    <w:p w:rsidR="00CB13BB" w:rsidRPr="00794C0E" w:rsidRDefault="00CB13BB" w:rsidP="00CB13BB">
      <w:pPr>
        <w:jc w:val="both"/>
        <w:rPr>
          <w:rFonts w:cs="Arial"/>
          <w:sz w:val="22"/>
          <w:szCs w:val="22"/>
          <w:lang w:val="es-AR"/>
        </w:rPr>
      </w:pPr>
    </w:p>
    <w:p w:rsidR="006B077A" w:rsidRDefault="006B077A" w:rsidP="009D1692">
      <w:pPr>
        <w:pStyle w:val="ListParagraph"/>
        <w:numPr>
          <w:ilvl w:val="1"/>
          <w:numId w:val="5"/>
        </w:numPr>
        <w:ind w:left="0" w:firstLine="0"/>
        <w:jc w:val="both"/>
        <w:rPr>
          <w:rFonts w:cs="Arial"/>
          <w:sz w:val="22"/>
          <w:szCs w:val="22"/>
          <w:lang w:val="es-AR"/>
        </w:rPr>
      </w:pPr>
      <w:r w:rsidRPr="00794C0E">
        <w:rPr>
          <w:rFonts w:cs="Arial"/>
          <w:sz w:val="22"/>
          <w:szCs w:val="22"/>
          <w:lang w:val="es-AR"/>
        </w:rPr>
        <w:t>Para la determinación de los costos, se imputaron a cada año los montos de las intervenciones previstas según la curva de inversión del Programa. Los costos reexpresados a precios sociales</w:t>
      </w:r>
      <w:r w:rsidRPr="00794C0E">
        <w:rPr>
          <w:rStyle w:val="FootnoteReference"/>
          <w:rFonts w:cs="Arial"/>
          <w:sz w:val="22"/>
          <w:szCs w:val="22"/>
          <w:lang w:val="es-AR"/>
        </w:rPr>
        <w:footnoteReference w:id="12"/>
      </w:r>
      <w:r w:rsidRPr="00794C0E">
        <w:rPr>
          <w:rFonts w:cs="Arial"/>
          <w:sz w:val="22"/>
          <w:szCs w:val="22"/>
          <w:lang w:val="es-AR"/>
        </w:rPr>
        <w:t xml:space="preserve"> ascienden a U$S 13,96 millones para los 5 años en que se proyecta la intervención. Adicionalmente, se prevé que las inversiones tienen asociado un costo de mantenimiento/operación estimado en el 3% anual</w:t>
      </w:r>
      <w:r w:rsidRPr="00794C0E">
        <w:rPr>
          <w:rStyle w:val="FootnoteReference"/>
          <w:rFonts w:cs="Arial"/>
          <w:sz w:val="22"/>
          <w:szCs w:val="22"/>
          <w:lang w:val="es-AR"/>
        </w:rPr>
        <w:footnoteReference w:id="13"/>
      </w:r>
      <w:r w:rsidRPr="00794C0E">
        <w:rPr>
          <w:rFonts w:cs="Arial"/>
          <w:sz w:val="22"/>
          <w:szCs w:val="22"/>
          <w:lang w:val="es-AR"/>
        </w:rPr>
        <w:t>.</w:t>
      </w:r>
    </w:p>
    <w:p w:rsidR="00794C0E" w:rsidRDefault="00794C0E" w:rsidP="00794C0E">
      <w:pPr>
        <w:jc w:val="both"/>
        <w:rPr>
          <w:rFonts w:cs="Arial"/>
          <w:sz w:val="22"/>
          <w:szCs w:val="22"/>
          <w:lang w:val="es-AR"/>
        </w:rPr>
      </w:pPr>
    </w:p>
    <w:p w:rsidR="00794C0E" w:rsidRDefault="00794C0E" w:rsidP="00794C0E">
      <w:pPr>
        <w:jc w:val="both"/>
        <w:rPr>
          <w:rFonts w:cs="Arial"/>
          <w:sz w:val="22"/>
          <w:szCs w:val="22"/>
          <w:lang w:val="es-AR"/>
        </w:rPr>
      </w:pPr>
    </w:p>
    <w:p w:rsidR="00794C0E" w:rsidRPr="00794C0E" w:rsidRDefault="00794C0E" w:rsidP="00794C0E">
      <w:pPr>
        <w:jc w:val="both"/>
        <w:rPr>
          <w:rFonts w:cs="Arial"/>
          <w:sz w:val="22"/>
          <w:szCs w:val="22"/>
          <w:lang w:val="es-AR"/>
        </w:rPr>
      </w:pPr>
    </w:p>
    <w:p w:rsidR="00CB13BB" w:rsidRPr="00794C0E" w:rsidRDefault="00CB13BB" w:rsidP="009D1692">
      <w:pPr>
        <w:jc w:val="both"/>
        <w:rPr>
          <w:rFonts w:cs="Arial"/>
          <w:b/>
          <w:bCs/>
          <w:sz w:val="22"/>
          <w:szCs w:val="22"/>
          <w:lang w:val="es-AR"/>
        </w:rPr>
      </w:pPr>
    </w:p>
    <w:p w:rsidR="00AA7DA8" w:rsidRPr="00794C0E" w:rsidRDefault="00AA7DA8" w:rsidP="009D1692">
      <w:pPr>
        <w:jc w:val="both"/>
        <w:rPr>
          <w:rFonts w:cs="Arial"/>
          <w:b/>
          <w:bCs/>
          <w:sz w:val="22"/>
          <w:szCs w:val="22"/>
          <w:lang w:val="es-AR"/>
        </w:rPr>
      </w:pPr>
      <w:r w:rsidRPr="00794C0E">
        <w:rPr>
          <w:rFonts w:cs="Arial"/>
          <w:b/>
          <w:bCs/>
          <w:sz w:val="22"/>
          <w:szCs w:val="22"/>
          <w:lang w:val="es-AR"/>
        </w:rPr>
        <w:lastRenderedPageBreak/>
        <w:t>Gestión Financiera y Eficiencia del Gasto Público (GFEGP)</w:t>
      </w:r>
    </w:p>
    <w:p w:rsidR="00AA7DA8" w:rsidRPr="00794C0E" w:rsidRDefault="00AA7DA8" w:rsidP="009D1692">
      <w:pPr>
        <w:jc w:val="both"/>
        <w:rPr>
          <w:rFonts w:cs="Arial"/>
          <w:b/>
          <w:bCs/>
          <w:sz w:val="22"/>
          <w:szCs w:val="22"/>
          <w:lang w:val="es-AR"/>
        </w:rPr>
      </w:pPr>
    </w:p>
    <w:p w:rsidR="00974284" w:rsidRPr="00794C0E" w:rsidRDefault="00974284" w:rsidP="009D1692">
      <w:pPr>
        <w:pStyle w:val="ListParagraph"/>
        <w:numPr>
          <w:ilvl w:val="1"/>
          <w:numId w:val="5"/>
        </w:numPr>
        <w:ind w:left="0" w:firstLine="0"/>
        <w:jc w:val="both"/>
        <w:rPr>
          <w:rFonts w:cs="Arial"/>
          <w:bCs/>
          <w:sz w:val="22"/>
          <w:szCs w:val="22"/>
          <w:lang w:val="es-AR"/>
        </w:rPr>
      </w:pPr>
      <w:r w:rsidRPr="00794C0E">
        <w:rPr>
          <w:rFonts w:cs="Arial"/>
          <w:bCs/>
          <w:sz w:val="22"/>
          <w:szCs w:val="22"/>
          <w:lang w:val="es-AR"/>
        </w:rPr>
        <w:t xml:space="preserve">El programa permitió, como se ha mencionado en la introducción, identificar indicadores de impacto que sean medibles y verificable, asociados a la intervenciones relacionadas con los subcomponentes 1.2 y 1.3, que han sido previstas para mejorar la administración financiera y la eficiencia del gasto. Ambos ítem de la Matriz de Financiamiento generarán considerables impactos sobre los sistemas de </w:t>
      </w:r>
      <w:r w:rsidR="003D016D" w:rsidRPr="00794C0E">
        <w:rPr>
          <w:rFonts w:cs="Arial"/>
          <w:bCs/>
          <w:sz w:val="22"/>
          <w:szCs w:val="22"/>
          <w:lang w:val="es-AR"/>
        </w:rPr>
        <w:t xml:space="preserve">identificación de beneficios fiscales y del </w:t>
      </w:r>
      <w:r w:rsidRPr="00794C0E">
        <w:rPr>
          <w:rFonts w:cs="Arial"/>
          <w:bCs/>
          <w:sz w:val="22"/>
          <w:szCs w:val="22"/>
          <w:lang w:val="es-AR"/>
        </w:rPr>
        <w:t xml:space="preserve">control del gasto, en donde uno de los principales beneficios que se prevén es el ahorro de prestaciones que se registran a través del Sistema </w:t>
      </w:r>
      <w:r w:rsidR="003D016D" w:rsidRPr="00794C0E">
        <w:rPr>
          <w:rFonts w:cs="Arial"/>
          <w:bCs/>
          <w:sz w:val="22"/>
          <w:szCs w:val="22"/>
          <w:lang w:val="es-AR"/>
        </w:rPr>
        <w:t>de Identificación Nacional Tributaria y Social (S</w:t>
      </w:r>
      <w:r w:rsidRPr="00794C0E">
        <w:rPr>
          <w:rFonts w:cs="Arial"/>
          <w:bCs/>
          <w:sz w:val="22"/>
          <w:szCs w:val="22"/>
          <w:lang w:val="es-AR"/>
        </w:rPr>
        <w:t>INTYS</w:t>
      </w:r>
      <w:r w:rsidR="003D016D" w:rsidRPr="00794C0E">
        <w:rPr>
          <w:rFonts w:cs="Arial"/>
          <w:bCs/>
          <w:sz w:val="22"/>
          <w:szCs w:val="22"/>
          <w:lang w:val="es-AR"/>
        </w:rPr>
        <w:t>) dependiente de Presidencia de la Nación</w:t>
      </w:r>
      <w:r w:rsidRPr="00794C0E">
        <w:rPr>
          <w:rFonts w:cs="Arial"/>
          <w:bCs/>
          <w:sz w:val="22"/>
          <w:szCs w:val="22"/>
          <w:lang w:val="es-AR"/>
        </w:rPr>
        <w:t>.</w:t>
      </w:r>
    </w:p>
    <w:p w:rsidR="00974284" w:rsidRPr="00794C0E" w:rsidRDefault="00974284" w:rsidP="009D1692">
      <w:pPr>
        <w:pStyle w:val="ListParagraph"/>
        <w:ind w:left="0"/>
        <w:jc w:val="both"/>
        <w:rPr>
          <w:rFonts w:cs="Arial"/>
          <w:bCs/>
          <w:sz w:val="22"/>
          <w:szCs w:val="22"/>
          <w:lang w:val="es-AR"/>
        </w:rPr>
      </w:pPr>
    </w:p>
    <w:p w:rsidR="00974284" w:rsidRPr="00794C0E" w:rsidRDefault="00974284" w:rsidP="009D1692">
      <w:pPr>
        <w:pStyle w:val="ListParagraph"/>
        <w:numPr>
          <w:ilvl w:val="1"/>
          <w:numId w:val="5"/>
        </w:numPr>
        <w:ind w:left="0" w:firstLine="0"/>
        <w:jc w:val="both"/>
        <w:rPr>
          <w:rFonts w:cs="Arial"/>
          <w:bCs/>
          <w:sz w:val="22"/>
          <w:szCs w:val="22"/>
          <w:lang w:val="es-AR"/>
        </w:rPr>
      </w:pPr>
      <w:r w:rsidRPr="00794C0E">
        <w:rPr>
          <w:rFonts w:cs="Arial"/>
          <w:bCs/>
          <w:sz w:val="22"/>
          <w:szCs w:val="22"/>
          <w:lang w:val="es-AR"/>
        </w:rPr>
        <w:t>Según estimaciones del Gobierno Nacional, en la actualidad el SINTYS dependiente, registra el otorgamiento de beneficios que presentan serias anomalías en cuanto a superposición de prestaciones, incompatibilidades respecto a los beneficiarios de las prestaciones que actualmente realiza, y beneficios que se continúan otorgando cuando deberían haberse dado de baja</w:t>
      </w:r>
      <w:r w:rsidRPr="00794C0E">
        <w:rPr>
          <w:rStyle w:val="FootnoteReference"/>
          <w:rFonts w:cs="Arial"/>
          <w:bCs/>
          <w:sz w:val="22"/>
          <w:szCs w:val="22"/>
          <w:lang w:val="es-AR"/>
        </w:rPr>
        <w:footnoteReference w:id="14"/>
      </w:r>
      <w:r w:rsidRPr="00794C0E">
        <w:rPr>
          <w:rFonts w:cs="Arial"/>
          <w:bCs/>
          <w:sz w:val="22"/>
          <w:szCs w:val="22"/>
          <w:lang w:val="es-AR"/>
        </w:rPr>
        <w:t>.</w:t>
      </w:r>
    </w:p>
    <w:p w:rsidR="00974284" w:rsidRPr="00794C0E" w:rsidRDefault="00974284" w:rsidP="009D1692">
      <w:pPr>
        <w:pStyle w:val="ListParagraph"/>
        <w:ind w:left="0"/>
        <w:rPr>
          <w:rFonts w:cs="Arial"/>
          <w:bCs/>
          <w:sz w:val="22"/>
          <w:szCs w:val="22"/>
          <w:lang w:val="es-AR"/>
        </w:rPr>
      </w:pPr>
    </w:p>
    <w:p w:rsidR="00974284" w:rsidRPr="00794C0E" w:rsidRDefault="00974284" w:rsidP="009D1692">
      <w:pPr>
        <w:pStyle w:val="ListParagraph"/>
        <w:numPr>
          <w:ilvl w:val="1"/>
          <w:numId w:val="5"/>
        </w:numPr>
        <w:ind w:left="0" w:firstLine="0"/>
        <w:jc w:val="both"/>
        <w:rPr>
          <w:rFonts w:cs="Arial"/>
          <w:bCs/>
          <w:sz w:val="22"/>
          <w:szCs w:val="22"/>
          <w:lang w:val="es-AR"/>
        </w:rPr>
      </w:pPr>
      <w:r w:rsidRPr="00794C0E">
        <w:rPr>
          <w:rFonts w:cs="Arial"/>
          <w:bCs/>
          <w:sz w:val="22"/>
          <w:szCs w:val="22"/>
          <w:lang w:val="es-AR"/>
        </w:rPr>
        <w:t>Para las cuatro provincias beneficiarias del Programa, se han podido realizar estimaciones respecto al ahorro que el Gobierno Nacional generará en su presupuesto instrumentando sistemas de información en coordinación con los gobierno</w:t>
      </w:r>
      <w:r w:rsidR="00EC0BEE" w:rsidRPr="00794C0E">
        <w:rPr>
          <w:rFonts w:cs="Arial"/>
          <w:bCs/>
          <w:sz w:val="22"/>
          <w:szCs w:val="22"/>
          <w:lang w:val="es-AR"/>
        </w:rPr>
        <w:t>s</w:t>
      </w:r>
      <w:r w:rsidRPr="00794C0E">
        <w:rPr>
          <w:rFonts w:cs="Arial"/>
          <w:bCs/>
          <w:sz w:val="22"/>
          <w:szCs w:val="22"/>
          <w:lang w:val="es-AR"/>
        </w:rPr>
        <w:t xml:space="preserve"> provinciales, de manera de corregir las irregularidades en el otorgamiento de beneficios vigentes. </w:t>
      </w:r>
    </w:p>
    <w:p w:rsidR="00974284" w:rsidRPr="00794C0E" w:rsidRDefault="00974284" w:rsidP="009D1692">
      <w:pPr>
        <w:pStyle w:val="ListParagraph"/>
        <w:ind w:left="0"/>
        <w:rPr>
          <w:rFonts w:cs="Arial"/>
          <w:bCs/>
          <w:sz w:val="22"/>
          <w:szCs w:val="22"/>
          <w:lang w:val="es-AR"/>
        </w:rPr>
      </w:pPr>
    </w:p>
    <w:p w:rsidR="001247C7" w:rsidRPr="00794C0E" w:rsidRDefault="00E158BB" w:rsidP="009D1692">
      <w:pPr>
        <w:pStyle w:val="ListParagraph"/>
        <w:numPr>
          <w:ilvl w:val="1"/>
          <w:numId w:val="5"/>
        </w:numPr>
        <w:ind w:left="0" w:firstLine="0"/>
        <w:jc w:val="both"/>
        <w:rPr>
          <w:rFonts w:cs="Arial"/>
          <w:bCs/>
          <w:sz w:val="22"/>
          <w:szCs w:val="22"/>
          <w:lang w:val="es-AR"/>
        </w:rPr>
      </w:pPr>
      <w:r w:rsidRPr="00794C0E">
        <w:rPr>
          <w:rFonts w:cs="Arial"/>
          <w:bCs/>
          <w:sz w:val="22"/>
          <w:szCs w:val="22"/>
          <w:lang w:val="es-AR"/>
        </w:rPr>
        <w:t>Para determinar los beneficios</w:t>
      </w:r>
      <w:r w:rsidR="00CD0CC6" w:rsidRPr="00794C0E">
        <w:rPr>
          <w:rFonts w:cs="Arial"/>
          <w:bCs/>
          <w:sz w:val="22"/>
          <w:szCs w:val="22"/>
          <w:lang w:val="es-AR"/>
        </w:rPr>
        <w:t>,</w:t>
      </w:r>
      <w:r w:rsidRPr="00794C0E">
        <w:rPr>
          <w:rFonts w:cs="Arial"/>
          <w:bCs/>
          <w:sz w:val="22"/>
          <w:szCs w:val="22"/>
          <w:lang w:val="es-AR"/>
        </w:rPr>
        <w:t xml:space="preserve"> se tomó la referencia de los ahorros que </w:t>
      </w:r>
      <w:r w:rsidR="00CF7EC9" w:rsidRPr="00794C0E">
        <w:rPr>
          <w:rFonts w:cs="Arial"/>
          <w:bCs/>
          <w:sz w:val="22"/>
          <w:szCs w:val="22"/>
          <w:lang w:val="es-AR"/>
        </w:rPr>
        <w:t xml:space="preserve">se lograron el </w:t>
      </w:r>
      <w:r w:rsidRPr="00794C0E">
        <w:rPr>
          <w:rFonts w:cs="Arial"/>
          <w:bCs/>
          <w:sz w:val="22"/>
          <w:szCs w:val="22"/>
          <w:lang w:val="es-AR"/>
        </w:rPr>
        <w:t xml:space="preserve">año 2015, sin que exista un proyecto que mejore el sistema de cruzamiento de información de las bases de datos del </w:t>
      </w:r>
      <w:r w:rsidR="001247C7" w:rsidRPr="00794C0E">
        <w:rPr>
          <w:rFonts w:cs="Arial"/>
          <w:bCs/>
          <w:sz w:val="22"/>
          <w:szCs w:val="22"/>
          <w:lang w:val="es-AR"/>
        </w:rPr>
        <w:t xml:space="preserve">SINTyS en </w:t>
      </w:r>
      <w:r w:rsidRPr="00794C0E">
        <w:rPr>
          <w:rFonts w:cs="Arial"/>
          <w:bCs/>
          <w:sz w:val="22"/>
          <w:szCs w:val="22"/>
          <w:lang w:val="es-AR"/>
        </w:rPr>
        <w:t xml:space="preserve">su relación con los sistemas de información en las provincias que serán beneficiarias del Programa. </w:t>
      </w:r>
      <w:r w:rsidR="00CD0CC6" w:rsidRPr="00794C0E">
        <w:rPr>
          <w:rFonts w:cs="Arial"/>
          <w:bCs/>
          <w:sz w:val="22"/>
          <w:szCs w:val="22"/>
          <w:lang w:val="es-AR"/>
        </w:rPr>
        <w:t>Según e</w:t>
      </w:r>
      <w:r w:rsidRPr="00794C0E">
        <w:rPr>
          <w:rFonts w:cs="Arial"/>
          <w:bCs/>
          <w:sz w:val="22"/>
          <w:szCs w:val="22"/>
          <w:lang w:val="es-AR"/>
        </w:rPr>
        <w:t xml:space="preserve">l impacto promedio para el año 2015, </w:t>
      </w:r>
      <w:r w:rsidR="00CF7EC9" w:rsidRPr="00794C0E">
        <w:rPr>
          <w:rFonts w:cs="Arial"/>
          <w:bCs/>
          <w:sz w:val="22"/>
          <w:szCs w:val="22"/>
          <w:lang w:val="es-AR"/>
        </w:rPr>
        <w:t>se estimaron ahorro</w:t>
      </w:r>
      <w:r w:rsidR="00477B81" w:rsidRPr="00794C0E">
        <w:rPr>
          <w:rFonts w:cs="Arial"/>
          <w:bCs/>
          <w:sz w:val="22"/>
          <w:szCs w:val="22"/>
          <w:lang w:val="es-AR"/>
        </w:rPr>
        <w:t>s</w:t>
      </w:r>
      <w:r w:rsidR="00CF7EC9" w:rsidRPr="00794C0E">
        <w:rPr>
          <w:rFonts w:cs="Arial"/>
          <w:bCs/>
          <w:sz w:val="22"/>
          <w:szCs w:val="22"/>
          <w:lang w:val="es-AR"/>
        </w:rPr>
        <w:t xml:space="preserve"> por U$S </w:t>
      </w:r>
      <w:r w:rsidR="00EB73F4" w:rsidRPr="00794C0E">
        <w:rPr>
          <w:rFonts w:cs="Arial"/>
          <w:bCs/>
          <w:sz w:val="22"/>
          <w:szCs w:val="22"/>
          <w:lang w:val="es-AR"/>
        </w:rPr>
        <w:t xml:space="preserve">4,53 </w:t>
      </w:r>
      <w:r w:rsidR="00CD0CC6" w:rsidRPr="00794C0E">
        <w:rPr>
          <w:rFonts w:cs="Arial"/>
          <w:bCs/>
          <w:sz w:val="22"/>
          <w:szCs w:val="22"/>
          <w:lang w:val="es-AR"/>
        </w:rPr>
        <w:t>millones  aproximadamente, y a partir de allí se proyectaron ahorros hasta el año en que el programa podría generar correcciones en su totalidad.</w:t>
      </w:r>
    </w:p>
    <w:p w:rsidR="00CF7EC9" w:rsidRPr="00794C0E" w:rsidRDefault="00CF7EC9" w:rsidP="009D1692">
      <w:pPr>
        <w:pStyle w:val="ListParagraph"/>
        <w:ind w:left="0"/>
        <w:jc w:val="both"/>
        <w:rPr>
          <w:rFonts w:cs="Arial"/>
          <w:bCs/>
          <w:sz w:val="22"/>
          <w:szCs w:val="22"/>
          <w:lang w:val="es-AR"/>
        </w:rPr>
      </w:pPr>
    </w:p>
    <w:p w:rsidR="00CD0CC6" w:rsidRPr="00794C0E" w:rsidRDefault="00CD0CC6" w:rsidP="009D1692">
      <w:pPr>
        <w:pStyle w:val="ListParagraph"/>
        <w:numPr>
          <w:ilvl w:val="1"/>
          <w:numId w:val="5"/>
        </w:numPr>
        <w:ind w:left="0" w:firstLine="0"/>
        <w:jc w:val="both"/>
        <w:rPr>
          <w:rFonts w:cs="Arial"/>
          <w:bCs/>
          <w:sz w:val="22"/>
          <w:szCs w:val="22"/>
          <w:lang w:val="es-AR"/>
        </w:rPr>
      </w:pPr>
      <w:r w:rsidRPr="00794C0E">
        <w:rPr>
          <w:rFonts w:cs="Arial"/>
          <w:bCs/>
          <w:sz w:val="22"/>
          <w:szCs w:val="22"/>
          <w:lang w:val="es-AR"/>
        </w:rPr>
        <w:t xml:space="preserve">Estos ahorros, se determinan tomando como variable de </w:t>
      </w:r>
      <w:r w:rsidR="001247C7" w:rsidRPr="00794C0E">
        <w:rPr>
          <w:rFonts w:cs="Arial"/>
          <w:bCs/>
          <w:sz w:val="22"/>
          <w:szCs w:val="22"/>
          <w:lang w:val="es-AR"/>
        </w:rPr>
        <w:t xml:space="preserve">crecimiento del </w:t>
      </w:r>
      <w:r w:rsidRPr="00794C0E">
        <w:rPr>
          <w:rFonts w:cs="Arial"/>
          <w:bCs/>
          <w:sz w:val="22"/>
          <w:szCs w:val="22"/>
          <w:lang w:val="es-AR"/>
        </w:rPr>
        <w:t>SINTYS,</w:t>
      </w:r>
      <w:r w:rsidR="001247C7" w:rsidRPr="00794C0E">
        <w:rPr>
          <w:rFonts w:cs="Arial"/>
          <w:bCs/>
          <w:sz w:val="22"/>
          <w:szCs w:val="22"/>
          <w:lang w:val="es-AR"/>
        </w:rPr>
        <w:t xml:space="preserve"> la cantidad de intercambios de información realizados, y la tasa esperada de aumento de organismos interconectados/bases integradas/solicitud de intercambios de información</w:t>
      </w:r>
      <w:r w:rsidRPr="00794C0E">
        <w:rPr>
          <w:rFonts w:cs="Arial"/>
          <w:bCs/>
          <w:sz w:val="22"/>
          <w:szCs w:val="22"/>
          <w:lang w:val="es-AR"/>
        </w:rPr>
        <w:t xml:space="preserve">. Se espera que los cruzamientos de información por la implementación de sistemas que relacionen las bases de datos provinciales con el sistema nacional, logren un ahorro </w:t>
      </w:r>
      <w:r w:rsidR="001F75DB" w:rsidRPr="00794C0E">
        <w:rPr>
          <w:rFonts w:cs="Arial"/>
          <w:bCs/>
          <w:sz w:val="22"/>
          <w:szCs w:val="22"/>
          <w:lang w:val="es-AR"/>
        </w:rPr>
        <w:t xml:space="preserve">significativo </w:t>
      </w:r>
      <w:r w:rsidR="00165E41" w:rsidRPr="00794C0E">
        <w:rPr>
          <w:rFonts w:cs="Arial"/>
          <w:bCs/>
          <w:sz w:val="22"/>
          <w:szCs w:val="22"/>
          <w:lang w:val="es-AR"/>
        </w:rPr>
        <w:t xml:space="preserve">el primer año de implementado el proyecto, y luego se generen ahorros a tasas decrecientes </w:t>
      </w:r>
      <w:r w:rsidRPr="00794C0E">
        <w:rPr>
          <w:rFonts w:cs="Arial"/>
          <w:bCs/>
          <w:sz w:val="22"/>
          <w:szCs w:val="22"/>
          <w:lang w:val="es-AR"/>
        </w:rPr>
        <w:t>hasta su corrección plena</w:t>
      </w:r>
      <w:r w:rsidR="00165E41" w:rsidRPr="00794C0E">
        <w:rPr>
          <w:rFonts w:cs="Arial"/>
          <w:bCs/>
          <w:sz w:val="22"/>
          <w:szCs w:val="22"/>
          <w:lang w:val="es-AR"/>
        </w:rPr>
        <w:t xml:space="preserve"> recién en el año 1</w:t>
      </w:r>
      <w:r w:rsidR="00A56B77" w:rsidRPr="00794C0E">
        <w:rPr>
          <w:rFonts w:cs="Arial"/>
          <w:bCs/>
          <w:sz w:val="22"/>
          <w:szCs w:val="22"/>
          <w:lang w:val="es-AR"/>
        </w:rPr>
        <w:t>5</w:t>
      </w:r>
      <w:r w:rsidRPr="00794C0E">
        <w:rPr>
          <w:rFonts w:cs="Arial"/>
          <w:bCs/>
          <w:sz w:val="22"/>
          <w:szCs w:val="22"/>
          <w:lang w:val="es-AR"/>
        </w:rPr>
        <w:t xml:space="preserve">, para poder afianzar el sistema de intercambio de información con las provincias, brindando una herramienta de mejora de gestión y focalización de las </w:t>
      </w:r>
      <w:r w:rsidR="001F75DB" w:rsidRPr="00794C0E">
        <w:rPr>
          <w:rFonts w:cs="Arial"/>
          <w:bCs/>
          <w:sz w:val="22"/>
          <w:szCs w:val="22"/>
          <w:lang w:val="es-AR"/>
        </w:rPr>
        <w:t>políticas sociales provinciales</w:t>
      </w:r>
      <w:r w:rsidR="00165E41" w:rsidRPr="00794C0E">
        <w:rPr>
          <w:rFonts w:cs="Arial"/>
          <w:bCs/>
          <w:sz w:val="22"/>
          <w:szCs w:val="22"/>
          <w:lang w:val="es-AR"/>
        </w:rPr>
        <w:t>.</w:t>
      </w:r>
    </w:p>
    <w:p w:rsidR="00CD0CC6" w:rsidRPr="00794C0E" w:rsidRDefault="00CD0CC6" w:rsidP="009D1692">
      <w:pPr>
        <w:pStyle w:val="ListParagraph"/>
        <w:ind w:left="0"/>
        <w:jc w:val="both"/>
        <w:rPr>
          <w:rFonts w:cs="Arial"/>
          <w:bCs/>
          <w:sz w:val="22"/>
          <w:szCs w:val="22"/>
          <w:lang w:val="es-AR"/>
        </w:rPr>
      </w:pPr>
    </w:p>
    <w:p w:rsidR="00CD0CC6" w:rsidRPr="00794C0E" w:rsidRDefault="00CD0CC6" w:rsidP="009D1692">
      <w:pPr>
        <w:pStyle w:val="ListParagraph"/>
        <w:numPr>
          <w:ilvl w:val="1"/>
          <w:numId w:val="5"/>
        </w:numPr>
        <w:ind w:left="0" w:firstLine="0"/>
        <w:jc w:val="both"/>
        <w:rPr>
          <w:rFonts w:cs="Arial"/>
          <w:bCs/>
          <w:sz w:val="22"/>
          <w:szCs w:val="22"/>
          <w:lang w:val="es-AR"/>
        </w:rPr>
      </w:pPr>
      <w:r w:rsidRPr="00794C0E">
        <w:rPr>
          <w:rFonts w:cs="Arial"/>
          <w:bCs/>
          <w:sz w:val="22"/>
          <w:szCs w:val="22"/>
          <w:lang w:val="es-AR"/>
        </w:rPr>
        <w:t>Formalmente, el flujo de beneficios se determina según la siguiente ecuación:</w:t>
      </w:r>
    </w:p>
    <w:p w:rsidR="00A640D2" w:rsidRPr="00794C0E" w:rsidRDefault="001247C7" w:rsidP="00104DA9">
      <w:pPr>
        <w:pStyle w:val="ListParagraph"/>
        <w:ind w:left="0"/>
        <w:jc w:val="both"/>
        <w:rPr>
          <w:rFonts w:cs="Arial"/>
          <w:b/>
          <w:bCs/>
          <w:sz w:val="22"/>
          <w:szCs w:val="22"/>
          <w:lang w:val="es-AR"/>
        </w:rPr>
      </w:pPr>
      <w:r w:rsidRPr="00794C0E">
        <w:rPr>
          <w:rFonts w:cs="Arial"/>
          <w:bCs/>
          <w:sz w:val="22"/>
          <w:szCs w:val="22"/>
          <w:lang w:val="es-AR"/>
        </w:rPr>
        <w:t> </w:t>
      </w:r>
    </w:p>
    <w:p w:rsidR="00EC0BEE" w:rsidRPr="00794C0E" w:rsidRDefault="00794C0E" w:rsidP="009D1692">
      <w:pPr>
        <w:jc w:val="both"/>
        <w:rPr>
          <w:rFonts w:cs="Arial"/>
          <w:b/>
          <w:bCs/>
          <w:sz w:val="22"/>
          <w:szCs w:val="22"/>
          <w:lang w:val="es-AR"/>
        </w:rPr>
      </w:pPr>
      <m:oMathPara>
        <m:oMath>
          <m:sSub>
            <m:sSubPr>
              <m:ctrlPr>
                <w:rPr>
                  <w:rFonts w:ascii="Cambria Math" w:hAnsi="Cambria Math" w:cs="Arial"/>
                  <w:bCs/>
                  <w:i/>
                  <w:sz w:val="24"/>
                  <w:szCs w:val="24"/>
                  <w:lang w:val="es-AR"/>
                </w:rPr>
              </m:ctrlPr>
            </m:sSubPr>
            <m:e>
              <m:r>
                <w:rPr>
                  <w:rFonts w:ascii="Cambria Math" w:hAnsi="Cambria Math" w:cs="Arial"/>
                  <w:sz w:val="24"/>
                  <w:szCs w:val="24"/>
                  <w:lang w:val="es-AR"/>
                </w:rPr>
                <m:t>B</m:t>
              </m:r>
            </m:e>
            <m:sub>
              <m:r>
                <w:rPr>
                  <w:rFonts w:ascii="Cambria Math" w:hAnsi="Cambria Math" w:cs="Arial"/>
                  <w:sz w:val="24"/>
                  <w:szCs w:val="24"/>
                  <w:lang w:val="es-AR"/>
                </w:rPr>
                <m:t>2</m:t>
              </m:r>
            </m:sub>
          </m:sSub>
          <m:r>
            <w:rPr>
              <w:rFonts w:ascii="Cambria Math" w:hAnsi="Cambria Math" w:cs="Arial"/>
              <w:sz w:val="24"/>
              <w:szCs w:val="24"/>
              <w:lang w:val="es-AR"/>
            </w:rPr>
            <m:t>=</m:t>
          </m:r>
          <m:nary>
            <m:naryPr>
              <m:chr m:val="∑"/>
              <m:limLoc m:val="subSup"/>
              <m:ctrlPr>
                <w:rPr>
                  <w:rFonts w:ascii="Cambria Math" w:hAnsi="Cambria Math" w:cs="Arial"/>
                  <w:bCs/>
                  <w:i/>
                  <w:sz w:val="24"/>
                  <w:szCs w:val="24"/>
                  <w:lang w:val="es-AR"/>
                </w:rPr>
              </m:ctrlPr>
            </m:naryPr>
            <m:sub>
              <m:r>
                <w:rPr>
                  <w:rFonts w:ascii="Cambria Math" w:hAnsi="Cambria Math" w:cs="Arial"/>
                  <w:sz w:val="24"/>
                  <w:szCs w:val="24"/>
                  <w:lang w:val="es-AR"/>
                </w:rPr>
                <m:t>t=0</m:t>
              </m:r>
            </m:sub>
            <m:sup>
              <m:r>
                <w:rPr>
                  <w:rFonts w:ascii="Cambria Math" w:hAnsi="Cambria Math" w:cs="Arial"/>
                  <w:sz w:val="24"/>
                  <w:szCs w:val="24"/>
                  <w:lang w:val="es-AR"/>
                </w:rPr>
                <m:t>n=t+15</m:t>
              </m:r>
            </m:sup>
            <m:e>
              <m:sSub>
                <m:sSubPr>
                  <m:ctrlPr>
                    <w:rPr>
                      <w:rFonts w:ascii="Cambria Math" w:hAnsi="Cambria Math" w:cs="Arial"/>
                      <w:bCs/>
                      <w:i/>
                      <w:sz w:val="24"/>
                      <w:szCs w:val="24"/>
                      <w:lang w:val="es-AR"/>
                    </w:rPr>
                  </m:ctrlPr>
                </m:sSubPr>
                <m:e>
                  <m:r>
                    <w:rPr>
                      <w:rFonts w:ascii="Cambria Math" w:hAnsi="Cambria Math" w:cs="Arial"/>
                      <w:sz w:val="24"/>
                      <w:szCs w:val="24"/>
                      <w:lang w:val="es-AR"/>
                    </w:rPr>
                    <m:t>A</m:t>
                  </m:r>
                </m:e>
                <m:sub>
                  <m:r>
                    <w:rPr>
                      <w:rFonts w:ascii="Cambria Math" w:hAnsi="Cambria Math" w:cs="Arial"/>
                      <w:sz w:val="24"/>
                      <w:szCs w:val="24"/>
                      <w:lang w:val="es-AR"/>
                    </w:rPr>
                    <m:t xml:space="preserve">i </m:t>
                  </m:r>
                </m:sub>
              </m:sSub>
            </m:e>
          </m:nary>
          <m:sSub>
            <m:sSubPr>
              <m:ctrlPr>
                <w:rPr>
                  <w:rFonts w:ascii="Cambria Math" w:hAnsi="Cambria Math" w:cs="Arial"/>
                  <w:bCs/>
                  <w:i/>
                  <w:sz w:val="24"/>
                  <w:szCs w:val="24"/>
                  <w:lang w:val="es-AR"/>
                </w:rPr>
              </m:ctrlPr>
            </m:sSubPr>
            <m:e>
              <m:r>
                <w:rPr>
                  <w:rFonts w:ascii="Cambria Math" w:hAnsi="Cambria Math" w:cs="Arial"/>
                  <w:sz w:val="24"/>
                  <w:szCs w:val="24"/>
                  <w:lang w:val="es-AR"/>
                </w:rPr>
                <m:t>t</m:t>
              </m:r>
            </m:e>
            <m:sub>
              <m:r>
                <w:rPr>
                  <w:rFonts w:ascii="Cambria Math" w:hAnsi="Cambria Math" w:cs="Arial"/>
                  <w:sz w:val="24"/>
                  <w:szCs w:val="24"/>
                  <w:lang w:val="es-AR"/>
                </w:rPr>
                <m:t>i</m:t>
              </m:r>
            </m:sub>
          </m:sSub>
        </m:oMath>
      </m:oMathPara>
    </w:p>
    <w:p w:rsidR="002B60F1" w:rsidRPr="00794C0E" w:rsidRDefault="002B60F1" w:rsidP="009D1692">
      <w:pPr>
        <w:jc w:val="both"/>
        <w:rPr>
          <w:rFonts w:cs="Arial"/>
          <w:b/>
          <w:bCs/>
          <w:sz w:val="22"/>
          <w:szCs w:val="22"/>
          <w:lang w:val="es-AR"/>
        </w:rPr>
      </w:pPr>
    </w:p>
    <w:p w:rsidR="002B60F1" w:rsidRPr="00794C0E" w:rsidRDefault="002B60F1" w:rsidP="009D1692">
      <w:pPr>
        <w:jc w:val="both"/>
        <w:rPr>
          <w:rFonts w:cs="Arial"/>
          <w:bCs/>
          <w:sz w:val="22"/>
          <w:szCs w:val="22"/>
          <w:lang w:val="es-AR"/>
        </w:rPr>
      </w:pPr>
      <w:r w:rsidRPr="00794C0E">
        <w:rPr>
          <w:rFonts w:cs="Arial"/>
          <w:bCs/>
          <w:sz w:val="22"/>
          <w:szCs w:val="22"/>
          <w:lang w:val="es-AR"/>
        </w:rPr>
        <w:lastRenderedPageBreak/>
        <w:t xml:space="preserve">donde </w:t>
      </w:r>
      <w:r w:rsidRPr="00794C0E">
        <w:rPr>
          <w:rFonts w:cs="Arial"/>
          <w:bCs/>
          <w:i/>
          <w:sz w:val="22"/>
          <w:szCs w:val="22"/>
          <w:lang w:val="es-AR"/>
        </w:rPr>
        <w:t>A</w:t>
      </w:r>
      <w:r w:rsidRPr="00794C0E">
        <w:rPr>
          <w:rFonts w:cs="Arial"/>
          <w:bCs/>
          <w:i/>
          <w:sz w:val="22"/>
          <w:szCs w:val="22"/>
          <w:vertAlign w:val="subscript"/>
          <w:lang w:val="es-AR"/>
        </w:rPr>
        <w:t>i</w:t>
      </w:r>
      <w:r w:rsidRPr="00794C0E">
        <w:rPr>
          <w:rFonts w:cs="Arial"/>
          <w:bCs/>
          <w:sz w:val="22"/>
          <w:szCs w:val="22"/>
          <w:lang w:val="es-AR"/>
        </w:rPr>
        <w:t xml:space="preserve">, es el ahorro </w:t>
      </w:r>
      <w:r w:rsidR="00AA2F76" w:rsidRPr="00794C0E">
        <w:rPr>
          <w:rFonts w:cs="Arial"/>
          <w:bCs/>
          <w:sz w:val="22"/>
          <w:szCs w:val="22"/>
          <w:lang w:val="es-AR"/>
        </w:rPr>
        <w:t xml:space="preserve">incremental </w:t>
      </w:r>
      <w:r w:rsidRPr="00794C0E">
        <w:rPr>
          <w:rFonts w:cs="Arial"/>
          <w:bCs/>
          <w:sz w:val="22"/>
          <w:szCs w:val="22"/>
          <w:lang w:val="es-AR"/>
        </w:rPr>
        <w:t>que se logra en cada provincia por</w:t>
      </w:r>
      <w:r w:rsidR="00477B81" w:rsidRPr="00794C0E">
        <w:rPr>
          <w:rFonts w:cs="Arial"/>
          <w:bCs/>
          <w:sz w:val="22"/>
          <w:szCs w:val="22"/>
          <w:lang w:val="es-AR"/>
        </w:rPr>
        <w:t xml:space="preserve"> la implementación del programa;</w:t>
      </w:r>
      <w:r w:rsidRPr="00794C0E">
        <w:rPr>
          <w:rFonts w:cs="Arial"/>
          <w:bCs/>
          <w:sz w:val="22"/>
          <w:szCs w:val="22"/>
          <w:lang w:val="es-AR"/>
        </w:rPr>
        <w:t xml:space="preserve"> </w:t>
      </w:r>
      <w:r w:rsidR="00165E41" w:rsidRPr="00794C0E">
        <w:rPr>
          <w:rFonts w:cs="Arial"/>
          <w:bCs/>
          <w:i/>
          <w:sz w:val="22"/>
          <w:szCs w:val="22"/>
          <w:lang w:val="es-AR"/>
        </w:rPr>
        <w:t>t</w:t>
      </w:r>
      <w:r w:rsidR="00165E41" w:rsidRPr="00794C0E">
        <w:rPr>
          <w:rFonts w:cs="Arial"/>
          <w:bCs/>
          <w:i/>
          <w:sz w:val="22"/>
          <w:szCs w:val="22"/>
          <w:vertAlign w:val="subscript"/>
          <w:lang w:val="es-AR"/>
        </w:rPr>
        <w:t>i</w:t>
      </w:r>
      <w:r w:rsidR="00165E41" w:rsidRPr="00794C0E">
        <w:rPr>
          <w:rFonts w:cs="Arial"/>
          <w:bCs/>
          <w:sz w:val="22"/>
          <w:szCs w:val="22"/>
          <w:lang w:val="es-AR"/>
        </w:rPr>
        <w:t xml:space="preserve"> es la tasas de ahorros generados sobre el año anterior </w:t>
      </w:r>
      <w:r w:rsidR="00165E41" w:rsidRPr="00794C0E">
        <w:rPr>
          <w:rFonts w:cs="Arial"/>
          <w:bCs/>
          <w:i/>
          <w:sz w:val="22"/>
          <w:szCs w:val="22"/>
          <w:lang w:val="es-AR"/>
        </w:rPr>
        <w:t>(t-1)</w:t>
      </w:r>
      <w:r w:rsidR="00165E41" w:rsidRPr="00794C0E">
        <w:rPr>
          <w:rFonts w:cs="Arial"/>
          <w:bCs/>
          <w:sz w:val="22"/>
          <w:szCs w:val="22"/>
          <w:lang w:val="es-AR"/>
        </w:rPr>
        <w:t xml:space="preserve">; </w:t>
      </w:r>
      <w:r w:rsidR="004B3759" w:rsidRPr="00794C0E">
        <w:rPr>
          <w:rFonts w:cs="Arial"/>
          <w:bCs/>
          <w:i/>
          <w:sz w:val="22"/>
          <w:szCs w:val="22"/>
          <w:lang w:val="es-AR"/>
        </w:rPr>
        <w:t>n</w:t>
      </w:r>
      <w:r w:rsidR="00165E41" w:rsidRPr="00794C0E">
        <w:rPr>
          <w:rFonts w:cs="Arial"/>
          <w:bCs/>
          <w:i/>
          <w:sz w:val="22"/>
          <w:szCs w:val="22"/>
          <w:lang w:val="es-AR"/>
        </w:rPr>
        <w:t xml:space="preserve"> </w:t>
      </w:r>
      <w:r w:rsidR="00165E41" w:rsidRPr="00794C0E">
        <w:rPr>
          <w:rFonts w:cs="Arial"/>
          <w:bCs/>
          <w:sz w:val="22"/>
          <w:szCs w:val="22"/>
          <w:lang w:val="es-AR"/>
        </w:rPr>
        <w:t>es la cantidad de años</w:t>
      </w:r>
      <w:r w:rsidRPr="00794C0E">
        <w:rPr>
          <w:rFonts w:cs="Arial"/>
          <w:bCs/>
          <w:sz w:val="22"/>
          <w:szCs w:val="22"/>
          <w:lang w:val="es-AR"/>
        </w:rPr>
        <w:t xml:space="preserve"> hasta </w:t>
      </w:r>
      <w:r w:rsidR="001F75DB" w:rsidRPr="00794C0E">
        <w:rPr>
          <w:rFonts w:cs="Arial"/>
          <w:bCs/>
          <w:sz w:val="22"/>
          <w:szCs w:val="22"/>
          <w:lang w:val="es-AR"/>
        </w:rPr>
        <w:t>donde se generan ahorros significativos.</w:t>
      </w:r>
    </w:p>
    <w:p w:rsidR="002B60F1" w:rsidRPr="00794C0E" w:rsidRDefault="002B60F1" w:rsidP="009D1692">
      <w:pPr>
        <w:jc w:val="both"/>
        <w:rPr>
          <w:rFonts w:cs="Arial"/>
          <w:bCs/>
          <w:sz w:val="22"/>
          <w:szCs w:val="22"/>
          <w:lang w:val="es-AR"/>
        </w:rPr>
      </w:pPr>
    </w:p>
    <w:p w:rsidR="00EC0BEE" w:rsidRPr="00794C0E" w:rsidRDefault="00022906" w:rsidP="009D1692">
      <w:pPr>
        <w:pStyle w:val="ListParagraph"/>
        <w:numPr>
          <w:ilvl w:val="1"/>
          <w:numId w:val="5"/>
        </w:numPr>
        <w:ind w:left="0" w:firstLine="0"/>
        <w:jc w:val="both"/>
        <w:rPr>
          <w:rFonts w:cs="Arial"/>
          <w:bCs/>
          <w:sz w:val="22"/>
          <w:szCs w:val="22"/>
          <w:lang w:val="es-AR"/>
        </w:rPr>
      </w:pPr>
      <w:r w:rsidRPr="00794C0E">
        <w:rPr>
          <w:rFonts w:cs="Arial"/>
          <w:bCs/>
          <w:sz w:val="22"/>
          <w:szCs w:val="22"/>
          <w:lang w:val="es-AR"/>
        </w:rPr>
        <w:t xml:space="preserve">El costo que involucra ambos subcomponentes reeexpresados a precios sociales representan U$S </w:t>
      </w:r>
      <w:r w:rsidR="002B60F1" w:rsidRPr="00794C0E">
        <w:rPr>
          <w:rFonts w:cs="Arial"/>
          <w:bCs/>
          <w:sz w:val="22"/>
          <w:szCs w:val="22"/>
          <w:lang w:val="es-AR"/>
        </w:rPr>
        <w:t>15,91, contemplándose cos</w:t>
      </w:r>
      <w:r w:rsidR="00DE0E8B" w:rsidRPr="00794C0E">
        <w:rPr>
          <w:rFonts w:cs="Arial"/>
          <w:bCs/>
          <w:sz w:val="22"/>
          <w:szCs w:val="22"/>
          <w:lang w:val="es-AR"/>
        </w:rPr>
        <w:t>tos de mantenimiento por</w:t>
      </w:r>
      <w:r w:rsidR="002B60F1" w:rsidRPr="00794C0E">
        <w:rPr>
          <w:rFonts w:cs="Arial"/>
          <w:bCs/>
          <w:sz w:val="22"/>
          <w:szCs w:val="22"/>
          <w:lang w:val="es-AR"/>
        </w:rPr>
        <w:t xml:space="preserve"> la implementación de las reformas por </w:t>
      </w:r>
      <w:r w:rsidR="00DE0E8B" w:rsidRPr="00794C0E">
        <w:rPr>
          <w:rFonts w:cs="Arial"/>
          <w:bCs/>
          <w:sz w:val="22"/>
          <w:szCs w:val="22"/>
          <w:lang w:val="es-AR"/>
        </w:rPr>
        <w:t xml:space="preserve"> U$S </w:t>
      </w:r>
      <w:r w:rsidR="002B60F1" w:rsidRPr="00794C0E">
        <w:rPr>
          <w:rFonts w:cs="Arial"/>
          <w:bCs/>
          <w:sz w:val="22"/>
          <w:szCs w:val="22"/>
          <w:lang w:val="es-AR"/>
        </w:rPr>
        <w:t>0,</w:t>
      </w:r>
      <w:r w:rsidR="00AA2F76" w:rsidRPr="00794C0E">
        <w:rPr>
          <w:rFonts w:cs="Arial"/>
          <w:bCs/>
          <w:sz w:val="22"/>
          <w:szCs w:val="22"/>
          <w:lang w:val="es-AR"/>
        </w:rPr>
        <w:t>48</w:t>
      </w:r>
      <w:r w:rsidR="002B60F1" w:rsidRPr="00794C0E">
        <w:rPr>
          <w:rFonts w:cs="Arial"/>
          <w:bCs/>
          <w:sz w:val="22"/>
          <w:szCs w:val="22"/>
          <w:lang w:val="es-AR"/>
        </w:rPr>
        <w:t xml:space="preserve"> por año (</w:t>
      </w:r>
      <w:r w:rsidR="00AA2F76" w:rsidRPr="00794C0E">
        <w:rPr>
          <w:rFonts w:cs="Arial"/>
          <w:bCs/>
          <w:sz w:val="22"/>
          <w:szCs w:val="22"/>
          <w:lang w:val="es-AR"/>
        </w:rPr>
        <w:t>3</w:t>
      </w:r>
      <w:r w:rsidR="002B60F1" w:rsidRPr="00794C0E">
        <w:rPr>
          <w:rFonts w:cs="Arial"/>
          <w:bCs/>
          <w:sz w:val="22"/>
          <w:szCs w:val="22"/>
          <w:lang w:val="es-AR"/>
        </w:rPr>
        <w:t xml:space="preserve"> %)</w:t>
      </w:r>
    </w:p>
    <w:p w:rsidR="00EB73F4" w:rsidRPr="00794C0E" w:rsidRDefault="00EB73F4" w:rsidP="009D1692">
      <w:pPr>
        <w:rPr>
          <w:rFonts w:cs="Arial"/>
          <w:b/>
          <w:bCs/>
          <w:sz w:val="22"/>
          <w:szCs w:val="22"/>
          <w:lang w:val="es-AR"/>
        </w:rPr>
      </w:pPr>
    </w:p>
    <w:p w:rsidR="00974284" w:rsidRPr="00794C0E" w:rsidRDefault="00974284" w:rsidP="009D1692">
      <w:pPr>
        <w:rPr>
          <w:rFonts w:cs="Arial"/>
          <w:b/>
          <w:bCs/>
          <w:sz w:val="22"/>
          <w:szCs w:val="22"/>
          <w:lang w:val="es-AR"/>
        </w:rPr>
      </w:pPr>
      <w:r w:rsidRPr="00794C0E">
        <w:rPr>
          <w:rFonts w:cs="Arial"/>
          <w:b/>
          <w:bCs/>
          <w:sz w:val="22"/>
          <w:szCs w:val="22"/>
          <w:lang w:val="es-AR"/>
        </w:rPr>
        <w:t>Inversiones Provinciales</w:t>
      </w:r>
    </w:p>
    <w:p w:rsidR="00974284" w:rsidRPr="00794C0E" w:rsidRDefault="00974284" w:rsidP="009D1692">
      <w:pPr>
        <w:jc w:val="both"/>
        <w:rPr>
          <w:rFonts w:cs="Arial"/>
          <w:b/>
          <w:bCs/>
          <w:sz w:val="22"/>
          <w:szCs w:val="22"/>
          <w:lang w:val="es-AR"/>
        </w:rPr>
      </w:pPr>
    </w:p>
    <w:p w:rsidR="00974284" w:rsidRPr="00794C0E" w:rsidRDefault="00974284" w:rsidP="009D1692">
      <w:pPr>
        <w:pStyle w:val="ListParagraph"/>
        <w:numPr>
          <w:ilvl w:val="1"/>
          <w:numId w:val="5"/>
        </w:numPr>
        <w:ind w:left="0" w:firstLine="0"/>
        <w:jc w:val="both"/>
        <w:rPr>
          <w:rFonts w:cs="Arial"/>
          <w:bCs/>
          <w:sz w:val="22"/>
          <w:szCs w:val="22"/>
          <w:lang w:val="es-AR"/>
        </w:rPr>
      </w:pPr>
      <w:r w:rsidRPr="00794C0E">
        <w:rPr>
          <w:rFonts w:cs="Arial"/>
          <w:bCs/>
          <w:sz w:val="22"/>
          <w:szCs w:val="22"/>
          <w:lang w:val="es-AR"/>
        </w:rPr>
        <w:t>Para dimensionar el análisis económico del componente de inversiones, se han identificado 5 proyectos de interés de sectores estratégicos como fuera mencionado en la introducción. Los proyectos se describen resumidamente en la siguiente Tabla</w:t>
      </w:r>
    </w:p>
    <w:p w:rsidR="00974284" w:rsidRPr="00794C0E" w:rsidRDefault="00974284" w:rsidP="009D1692">
      <w:pPr>
        <w:jc w:val="both"/>
        <w:rPr>
          <w:rFonts w:cs="Arial"/>
          <w:b/>
          <w:bCs/>
          <w:sz w:val="22"/>
          <w:szCs w:val="22"/>
          <w:lang w:val="es-AR"/>
        </w:rPr>
      </w:pPr>
      <w:r w:rsidRPr="00794C0E">
        <w:rPr>
          <w:rFonts w:cs="Arial"/>
          <w:b/>
          <w:bCs/>
          <w:sz w:val="22"/>
          <w:szCs w:val="22"/>
          <w:lang w:val="es-AR"/>
        </w:rPr>
        <w:t xml:space="preserve"> </w:t>
      </w:r>
    </w:p>
    <w:p w:rsidR="006801F4" w:rsidRPr="00794C0E" w:rsidRDefault="00974284" w:rsidP="009D1692">
      <w:pPr>
        <w:jc w:val="center"/>
        <w:rPr>
          <w:rFonts w:cs="Arial"/>
          <w:b/>
          <w:lang w:val="es-AR"/>
        </w:rPr>
      </w:pPr>
      <w:r w:rsidRPr="00794C0E">
        <w:rPr>
          <w:rFonts w:cs="Arial"/>
          <w:b/>
          <w:lang w:val="es-AR"/>
        </w:rPr>
        <w:t xml:space="preserve">Tabla </w:t>
      </w:r>
      <w:r w:rsidR="00C278D7" w:rsidRPr="00794C0E">
        <w:rPr>
          <w:rFonts w:cs="Arial"/>
          <w:b/>
          <w:lang w:val="es-AR"/>
        </w:rPr>
        <w:t>2</w:t>
      </w:r>
      <w:r w:rsidRPr="00794C0E">
        <w:rPr>
          <w:rFonts w:cs="Arial"/>
          <w:b/>
          <w:lang w:val="es-AR"/>
        </w:rPr>
        <w:t>.</w:t>
      </w:r>
      <w:r w:rsidR="003F6A5E" w:rsidRPr="00794C0E">
        <w:rPr>
          <w:rFonts w:cs="Arial"/>
          <w:b/>
          <w:lang w:val="es-AR"/>
        </w:rPr>
        <w:t xml:space="preserve"> </w:t>
      </w:r>
      <w:r w:rsidRPr="00794C0E">
        <w:rPr>
          <w:rFonts w:cs="Arial"/>
          <w:b/>
          <w:lang w:val="es-AR"/>
        </w:rPr>
        <w:t>Proyectos de Inversión</w:t>
      </w:r>
    </w:p>
    <w:p w:rsidR="00974284" w:rsidRPr="00794C0E" w:rsidRDefault="00EC0BEE" w:rsidP="009D1692">
      <w:pPr>
        <w:jc w:val="center"/>
        <w:rPr>
          <w:rFonts w:cs="Arial"/>
          <w:lang w:val="es-AR"/>
        </w:rPr>
      </w:pPr>
      <w:r w:rsidRPr="00794C0E">
        <w:rPr>
          <w:rFonts w:cs="Arial"/>
          <w:lang w:val="es-AR"/>
        </w:rPr>
        <w:t>En U$S</w:t>
      </w:r>
    </w:p>
    <w:tbl>
      <w:tblPr>
        <w:tblW w:w="6579" w:type="dxa"/>
        <w:jc w:val="center"/>
        <w:tblCellMar>
          <w:left w:w="70" w:type="dxa"/>
          <w:right w:w="70" w:type="dxa"/>
        </w:tblCellMar>
        <w:tblLook w:val="04A0" w:firstRow="1" w:lastRow="0" w:firstColumn="1" w:lastColumn="0" w:noHBand="0" w:noVBand="1"/>
      </w:tblPr>
      <w:tblGrid>
        <w:gridCol w:w="1200"/>
        <w:gridCol w:w="3933"/>
        <w:gridCol w:w="1446"/>
      </w:tblGrid>
      <w:tr w:rsidR="00EC0BEE" w:rsidRPr="00794C0E" w:rsidTr="003F6A5E">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C0BEE" w:rsidRPr="00794C0E" w:rsidRDefault="00EC0BEE" w:rsidP="009D1692">
            <w:pPr>
              <w:jc w:val="center"/>
              <w:rPr>
                <w:rFonts w:cs="Arial"/>
                <w:b/>
                <w:bCs/>
                <w:color w:val="000000"/>
                <w:lang w:val="es-AR" w:eastAsia="es-ES"/>
              </w:rPr>
            </w:pPr>
            <w:r w:rsidRPr="00794C0E">
              <w:rPr>
                <w:rFonts w:cs="Arial"/>
                <w:b/>
                <w:bCs/>
                <w:color w:val="000000"/>
                <w:lang w:val="es-AR" w:eastAsia="es-ES"/>
              </w:rPr>
              <w:t>Provincia</w:t>
            </w:r>
          </w:p>
        </w:tc>
        <w:tc>
          <w:tcPr>
            <w:tcW w:w="3933" w:type="dxa"/>
            <w:tcBorders>
              <w:top w:val="single" w:sz="4" w:space="0" w:color="auto"/>
              <w:left w:val="nil"/>
              <w:bottom w:val="single" w:sz="4" w:space="0" w:color="auto"/>
              <w:right w:val="single" w:sz="4" w:space="0" w:color="auto"/>
            </w:tcBorders>
            <w:shd w:val="clear" w:color="000000" w:fill="D9D9D9"/>
            <w:vAlign w:val="center"/>
            <w:hideMark/>
          </w:tcPr>
          <w:p w:rsidR="00EC0BEE" w:rsidRPr="00794C0E" w:rsidRDefault="00EC0BEE" w:rsidP="009D1692">
            <w:pPr>
              <w:jc w:val="center"/>
              <w:rPr>
                <w:rFonts w:cs="Arial"/>
                <w:b/>
                <w:bCs/>
                <w:color w:val="000000"/>
                <w:lang w:val="es-AR" w:eastAsia="es-ES"/>
              </w:rPr>
            </w:pPr>
            <w:r w:rsidRPr="00794C0E">
              <w:rPr>
                <w:rFonts w:cs="Arial"/>
                <w:b/>
                <w:bCs/>
                <w:color w:val="000000"/>
                <w:lang w:val="es-AR" w:eastAsia="es-ES"/>
              </w:rPr>
              <w:t>Denominación</w:t>
            </w:r>
          </w:p>
        </w:tc>
        <w:tc>
          <w:tcPr>
            <w:tcW w:w="1446" w:type="dxa"/>
            <w:tcBorders>
              <w:top w:val="single" w:sz="4" w:space="0" w:color="auto"/>
              <w:left w:val="nil"/>
              <w:bottom w:val="single" w:sz="4" w:space="0" w:color="auto"/>
              <w:right w:val="single" w:sz="4" w:space="0" w:color="auto"/>
            </w:tcBorders>
            <w:shd w:val="clear" w:color="000000" w:fill="D9D9D9"/>
            <w:vAlign w:val="center"/>
            <w:hideMark/>
          </w:tcPr>
          <w:p w:rsidR="00EC0BEE" w:rsidRPr="00794C0E" w:rsidRDefault="00EC0BEE" w:rsidP="009D1692">
            <w:pPr>
              <w:jc w:val="center"/>
              <w:rPr>
                <w:rFonts w:cs="Arial"/>
                <w:b/>
                <w:bCs/>
                <w:color w:val="000000"/>
                <w:lang w:val="es-AR" w:eastAsia="es-ES"/>
              </w:rPr>
            </w:pPr>
            <w:r w:rsidRPr="00794C0E">
              <w:rPr>
                <w:rFonts w:cs="Arial"/>
                <w:b/>
                <w:bCs/>
                <w:color w:val="000000"/>
                <w:lang w:val="es-AR" w:eastAsia="es-ES"/>
              </w:rPr>
              <w:t>Monto</w:t>
            </w:r>
          </w:p>
        </w:tc>
      </w:tr>
      <w:tr w:rsidR="00EC0BEE" w:rsidRPr="00794C0E" w:rsidTr="003F6A5E">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C0BEE" w:rsidRPr="00794C0E" w:rsidRDefault="00EC0BEE" w:rsidP="009D1692">
            <w:pPr>
              <w:jc w:val="center"/>
              <w:rPr>
                <w:rFonts w:cs="Arial"/>
                <w:color w:val="000000"/>
                <w:lang w:val="es-AR" w:eastAsia="es-ES"/>
              </w:rPr>
            </w:pPr>
            <w:r w:rsidRPr="00794C0E">
              <w:rPr>
                <w:rFonts w:cs="Arial"/>
                <w:color w:val="000000"/>
                <w:lang w:val="es-AR" w:eastAsia="es-ES"/>
              </w:rPr>
              <w:t>Corrientes</w:t>
            </w:r>
          </w:p>
        </w:tc>
        <w:tc>
          <w:tcPr>
            <w:tcW w:w="3933" w:type="dxa"/>
            <w:tcBorders>
              <w:top w:val="nil"/>
              <w:left w:val="nil"/>
              <w:bottom w:val="single" w:sz="4" w:space="0" w:color="auto"/>
              <w:right w:val="single" w:sz="4" w:space="0" w:color="auto"/>
            </w:tcBorders>
            <w:shd w:val="clear" w:color="auto" w:fill="auto"/>
            <w:vAlign w:val="center"/>
            <w:hideMark/>
          </w:tcPr>
          <w:p w:rsidR="00EC0BEE" w:rsidRPr="00794C0E" w:rsidRDefault="00D979B2" w:rsidP="00D979B2">
            <w:pPr>
              <w:rPr>
                <w:rFonts w:cs="Arial"/>
                <w:color w:val="000000"/>
                <w:lang w:val="es-AR" w:eastAsia="es-ES"/>
              </w:rPr>
            </w:pPr>
            <w:r w:rsidRPr="00794C0E">
              <w:rPr>
                <w:rFonts w:cs="Arial"/>
                <w:color w:val="000000"/>
                <w:lang w:val="es-AR" w:eastAsia="es-ES"/>
              </w:rPr>
              <w:t>Gasoducto Curuzú Cuatiá</w:t>
            </w:r>
          </w:p>
        </w:tc>
        <w:tc>
          <w:tcPr>
            <w:tcW w:w="1446" w:type="dxa"/>
            <w:tcBorders>
              <w:top w:val="nil"/>
              <w:left w:val="nil"/>
              <w:bottom w:val="single" w:sz="4" w:space="0" w:color="auto"/>
              <w:right w:val="single" w:sz="4" w:space="0" w:color="auto"/>
            </w:tcBorders>
            <w:shd w:val="clear" w:color="auto" w:fill="auto"/>
            <w:vAlign w:val="center"/>
            <w:hideMark/>
          </w:tcPr>
          <w:p w:rsidR="00EC0BEE" w:rsidRPr="00794C0E" w:rsidRDefault="00EC0BEE" w:rsidP="009D1692">
            <w:pPr>
              <w:jc w:val="right"/>
              <w:rPr>
                <w:rFonts w:cs="Arial"/>
                <w:color w:val="000000"/>
                <w:lang w:val="es-AR" w:eastAsia="es-ES"/>
              </w:rPr>
            </w:pPr>
            <w:r w:rsidRPr="00794C0E">
              <w:rPr>
                <w:rFonts w:cs="Arial"/>
                <w:color w:val="000000"/>
                <w:lang w:val="es-AR" w:eastAsia="es-ES"/>
              </w:rPr>
              <w:t xml:space="preserve">   15.200.000 </w:t>
            </w:r>
          </w:p>
        </w:tc>
      </w:tr>
      <w:tr w:rsidR="00EC0BEE" w:rsidRPr="00794C0E" w:rsidTr="003F6A5E">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C0BEE" w:rsidRPr="00794C0E" w:rsidRDefault="00EC0BEE" w:rsidP="009D1692">
            <w:pPr>
              <w:jc w:val="center"/>
              <w:rPr>
                <w:rFonts w:cs="Arial"/>
                <w:color w:val="000000"/>
                <w:lang w:val="es-AR" w:eastAsia="es-ES"/>
              </w:rPr>
            </w:pPr>
            <w:r w:rsidRPr="00794C0E">
              <w:rPr>
                <w:rFonts w:cs="Arial"/>
                <w:color w:val="000000"/>
                <w:lang w:val="es-AR" w:eastAsia="es-ES"/>
              </w:rPr>
              <w:t>Salta</w:t>
            </w:r>
          </w:p>
        </w:tc>
        <w:tc>
          <w:tcPr>
            <w:tcW w:w="3933" w:type="dxa"/>
            <w:tcBorders>
              <w:top w:val="nil"/>
              <w:left w:val="nil"/>
              <w:bottom w:val="single" w:sz="4" w:space="0" w:color="auto"/>
              <w:right w:val="single" w:sz="4" w:space="0" w:color="auto"/>
            </w:tcBorders>
            <w:shd w:val="clear" w:color="auto" w:fill="auto"/>
            <w:vAlign w:val="center"/>
            <w:hideMark/>
          </w:tcPr>
          <w:p w:rsidR="00EC0BEE" w:rsidRPr="00794C0E" w:rsidRDefault="00EC0BEE" w:rsidP="009D1692">
            <w:pPr>
              <w:rPr>
                <w:rFonts w:cs="Arial"/>
                <w:color w:val="000000"/>
                <w:lang w:val="es-AR" w:eastAsia="es-ES"/>
              </w:rPr>
            </w:pPr>
            <w:r w:rsidRPr="00794C0E">
              <w:rPr>
                <w:rFonts w:cs="Arial"/>
                <w:color w:val="000000"/>
                <w:lang w:val="es-AR" w:eastAsia="es-ES"/>
              </w:rPr>
              <w:t>Estación Transformadora San Agustín</w:t>
            </w:r>
          </w:p>
        </w:tc>
        <w:tc>
          <w:tcPr>
            <w:tcW w:w="1446" w:type="dxa"/>
            <w:tcBorders>
              <w:top w:val="nil"/>
              <w:left w:val="nil"/>
              <w:bottom w:val="single" w:sz="4" w:space="0" w:color="auto"/>
              <w:right w:val="single" w:sz="4" w:space="0" w:color="auto"/>
            </w:tcBorders>
            <w:shd w:val="clear" w:color="auto" w:fill="auto"/>
            <w:vAlign w:val="center"/>
            <w:hideMark/>
          </w:tcPr>
          <w:p w:rsidR="00EC0BEE" w:rsidRPr="00794C0E" w:rsidRDefault="00EC0BEE" w:rsidP="009D1692">
            <w:pPr>
              <w:jc w:val="right"/>
              <w:rPr>
                <w:rFonts w:cs="Arial"/>
                <w:color w:val="000000"/>
                <w:lang w:val="es-AR" w:eastAsia="es-ES"/>
              </w:rPr>
            </w:pPr>
            <w:r w:rsidRPr="00794C0E">
              <w:rPr>
                <w:rFonts w:cs="Arial"/>
                <w:color w:val="000000"/>
                <w:lang w:val="es-AR" w:eastAsia="es-ES"/>
              </w:rPr>
              <w:t xml:space="preserve">     4.900.000 </w:t>
            </w:r>
          </w:p>
        </w:tc>
      </w:tr>
      <w:tr w:rsidR="00EC0BEE" w:rsidRPr="00794C0E" w:rsidTr="003F6A5E">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EC0BEE" w:rsidRPr="00794C0E" w:rsidRDefault="00EC0BEE" w:rsidP="009D1692">
            <w:pPr>
              <w:jc w:val="center"/>
              <w:rPr>
                <w:rFonts w:cs="Arial"/>
                <w:color w:val="000000"/>
                <w:lang w:val="es-AR" w:eastAsia="es-ES"/>
              </w:rPr>
            </w:pPr>
            <w:r w:rsidRPr="00794C0E">
              <w:rPr>
                <w:rFonts w:cs="Arial"/>
                <w:color w:val="000000"/>
                <w:lang w:val="es-AR" w:eastAsia="es-ES"/>
              </w:rPr>
              <w:t>Salta</w:t>
            </w:r>
          </w:p>
        </w:tc>
        <w:tc>
          <w:tcPr>
            <w:tcW w:w="3933" w:type="dxa"/>
            <w:tcBorders>
              <w:top w:val="nil"/>
              <w:left w:val="nil"/>
              <w:bottom w:val="single" w:sz="4" w:space="0" w:color="auto"/>
              <w:right w:val="single" w:sz="4" w:space="0" w:color="auto"/>
            </w:tcBorders>
            <w:shd w:val="clear" w:color="auto" w:fill="auto"/>
            <w:vAlign w:val="center"/>
            <w:hideMark/>
          </w:tcPr>
          <w:p w:rsidR="00EC0BEE" w:rsidRPr="00794C0E" w:rsidRDefault="00EC0BEE" w:rsidP="009D1692">
            <w:pPr>
              <w:rPr>
                <w:rFonts w:cs="Arial"/>
                <w:color w:val="000000"/>
                <w:lang w:val="es-AR" w:eastAsia="es-ES"/>
              </w:rPr>
            </w:pPr>
            <w:r w:rsidRPr="00794C0E">
              <w:rPr>
                <w:rFonts w:cs="Arial"/>
                <w:color w:val="000000"/>
                <w:lang w:val="es-AR" w:eastAsia="es-ES"/>
              </w:rPr>
              <w:t>Parque Industrial</w:t>
            </w:r>
          </w:p>
        </w:tc>
        <w:tc>
          <w:tcPr>
            <w:tcW w:w="1446" w:type="dxa"/>
            <w:tcBorders>
              <w:top w:val="nil"/>
              <w:left w:val="nil"/>
              <w:bottom w:val="single" w:sz="4" w:space="0" w:color="auto"/>
              <w:right w:val="single" w:sz="4" w:space="0" w:color="auto"/>
            </w:tcBorders>
            <w:shd w:val="clear" w:color="auto" w:fill="auto"/>
            <w:vAlign w:val="center"/>
            <w:hideMark/>
          </w:tcPr>
          <w:p w:rsidR="00EC0BEE" w:rsidRPr="00794C0E" w:rsidRDefault="00EC0BEE" w:rsidP="009D1692">
            <w:pPr>
              <w:jc w:val="right"/>
              <w:rPr>
                <w:rFonts w:cs="Arial"/>
                <w:color w:val="000000"/>
                <w:lang w:val="es-AR" w:eastAsia="es-ES"/>
              </w:rPr>
            </w:pPr>
            <w:r w:rsidRPr="00794C0E">
              <w:rPr>
                <w:rFonts w:cs="Arial"/>
                <w:color w:val="000000"/>
                <w:lang w:val="es-AR" w:eastAsia="es-ES"/>
              </w:rPr>
              <w:t xml:space="preserve">     4.162.595 </w:t>
            </w:r>
          </w:p>
        </w:tc>
      </w:tr>
      <w:tr w:rsidR="003F6A5E" w:rsidRPr="00794C0E" w:rsidTr="003F6A5E">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3F6A5E" w:rsidRPr="00794C0E" w:rsidRDefault="003F6A5E" w:rsidP="00E72BAC">
            <w:pPr>
              <w:jc w:val="center"/>
              <w:rPr>
                <w:rFonts w:cs="Arial"/>
                <w:color w:val="000000"/>
                <w:lang w:val="es-AR" w:eastAsia="es-ES"/>
              </w:rPr>
            </w:pPr>
            <w:r w:rsidRPr="00794C0E">
              <w:rPr>
                <w:rFonts w:cs="Arial"/>
                <w:color w:val="000000"/>
                <w:lang w:val="es-AR" w:eastAsia="es-ES"/>
              </w:rPr>
              <w:t>Salta</w:t>
            </w:r>
          </w:p>
        </w:tc>
        <w:tc>
          <w:tcPr>
            <w:tcW w:w="3933" w:type="dxa"/>
            <w:tcBorders>
              <w:top w:val="nil"/>
              <w:left w:val="nil"/>
              <w:bottom w:val="single" w:sz="4" w:space="0" w:color="auto"/>
              <w:right w:val="single" w:sz="4" w:space="0" w:color="auto"/>
            </w:tcBorders>
            <w:shd w:val="clear" w:color="auto" w:fill="auto"/>
            <w:vAlign w:val="center"/>
            <w:hideMark/>
          </w:tcPr>
          <w:p w:rsidR="003F6A5E" w:rsidRPr="00794C0E" w:rsidRDefault="003F6A5E" w:rsidP="00E72BAC">
            <w:pPr>
              <w:rPr>
                <w:rFonts w:cs="Arial"/>
                <w:color w:val="000000"/>
                <w:lang w:val="pt-BR" w:eastAsia="es-ES"/>
              </w:rPr>
            </w:pPr>
            <w:r w:rsidRPr="00794C0E">
              <w:rPr>
                <w:rFonts w:cs="Arial"/>
                <w:color w:val="000000"/>
                <w:lang w:val="pt-BR" w:eastAsia="es-ES"/>
              </w:rPr>
              <w:t>Obras sobre Ruta Prov. Nº 8</w:t>
            </w:r>
          </w:p>
        </w:tc>
        <w:tc>
          <w:tcPr>
            <w:tcW w:w="1446" w:type="dxa"/>
            <w:tcBorders>
              <w:top w:val="nil"/>
              <w:left w:val="nil"/>
              <w:bottom w:val="single" w:sz="4" w:space="0" w:color="auto"/>
              <w:right w:val="single" w:sz="4" w:space="0" w:color="auto"/>
            </w:tcBorders>
            <w:shd w:val="clear" w:color="auto" w:fill="auto"/>
            <w:vAlign w:val="center"/>
            <w:hideMark/>
          </w:tcPr>
          <w:p w:rsidR="003F6A5E" w:rsidRPr="00794C0E" w:rsidRDefault="003F6A5E" w:rsidP="00E72BAC">
            <w:pPr>
              <w:jc w:val="right"/>
              <w:rPr>
                <w:rFonts w:cs="Arial"/>
                <w:color w:val="000000"/>
                <w:lang w:val="es-AR" w:eastAsia="es-ES"/>
              </w:rPr>
            </w:pPr>
            <w:r w:rsidRPr="00794C0E">
              <w:rPr>
                <w:rFonts w:cs="Arial"/>
                <w:color w:val="000000"/>
                <w:lang w:val="es-AR" w:eastAsia="es-ES"/>
              </w:rPr>
              <w:t>11.288.358</w:t>
            </w:r>
          </w:p>
        </w:tc>
      </w:tr>
      <w:tr w:rsidR="00EC0BEE" w:rsidRPr="00794C0E" w:rsidTr="003F6A5E">
        <w:trPr>
          <w:trHeight w:val="269"/>
          <w:jc w:val="center"/>
        </w:trPr>
        <w:tc>
          <w:tcPr>
            <w:tcW w:w="5133"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EC0BEE" w:rsidRPr="00794C0E" w:rsidRDefault="00EC0BEE" w:rsidP="009D1692">
            <w:pPr>
              <w:jc w:val="center"/>
              <w:rPr>
                <w:rFonts w:cs="Arial"/>
                <w:b/>
                <w:bCs/>
                <w:i/>
                <w:iCs/>
                <w:color w:val="000000"/>
                <w:lang w:val="es-AR" w:eastAsia="es-ES"/>
              </w:rPr>
            </w:pPr>
            <w:r w:rsidRPr="00794C0E">
              <w:rPr>
                <w:rFonts w:cs="Arial"/>
                <w:b/>
                <w:bCs/>
                <w:i/>
                <w:iCs/>
                <w:color w:val="000000"/>
                <w:lang w:val="es-AR" w:eastAsia="es-ES"/>
              </w:rPr>
              <w:t>Totales</w:t>
            </w:r>
          </w:p>
        </w:tc>
        <w:tc>
          <w:tcPr>
            <w:tcW w:w="1446" w:type="dxa"/>
            <w:tcBorders>
              <w:top w:val="nil"/>
              <w:left w:val="nil"/>
              <w:bottom w:val="single" w:sz="4" w:space="0" w:color="auto"/>
              <w:right w:val="single" w:sz="4" w:space="0" w:color="auto"/>
            </w:tcBorders>
            <w:shd w:val="clear" w:color="000000" w:fill="D9D9D9"/>
            <w:noWrap/>
            <w:vAlign w:val="bottom"/>
            <w:hideMark/>
          </w:tcPr>
          <w:p w:rsidR="00EC0BEE" w:rsidRPr="00794C0E" w:rsidRDefault="00A640D2" w:rsidP="0053029F">
            <w:pPr>
              <w:jc w:val="right"/>
              <w:rPr>
                <w:rFonts w:cs="Arial"/>
                <w:b/>
                <w:bCs/>
                <w:i/>
                <w:iCs/>
                <w:color w:val="000000"/>
                <w:sz w:val="22"/>
                <w:szCs w:val="22"/>
                <w:lang w:val="es-AR" w:eastAsia="es-ES"/>
              </w:rPr>
            </w:pPr>
            <w:r w:rsidRPr="00794C0E">
              <w:rPr>
                <w:rFonts w:cs="Arial"/>
                <w:b/>
                <w:bCs/>
                <w:i/>
                <w:iCs/>
                <w:color w:val="000000"/>
                <w:sz w:val="22"/>
                <w:szCs w:val="22"/>
                <w:lang w:val="es-AR" w:eastAsia="es-ES"/>
              </w:rPr>
              <w:t>3</w:t>
            </w:r>
            <w:r w:rsidR="0053029F" w:rsidRPr="00794C0E">
              <w:rPr>
                <w:rFonts w:cs="Arial"/>
                <w:b/>
                <w:bCs/>
                <w:i/>
                <w:iCs/>
                <w:color w:val="000000"/>
                <w:sz w:val="22"/>
                <w:szCs w:val="22"/>
                <w:lang w:val="es-AR" w:eastAsia="es-ES"/>
              </w:rPr>
              <w:t>5.350</w:t>
            </w:r>
            <w:r w:rsidR="00EC0BEE" w:rsidRPr="00794C0E">
              <w:rPr>
                <w:rFonts w:cs="Arial"/>
                <w:b/>
                <w:bCs/>
                <w:i/>
                <w:iCs/>
                <w:color w:val="000000"/>
                <w:sz w:val="22"/>
                <w:szCs w:val="22"/>
                <w:lang w:val="es-AR" w:eastAsia="es-ES"/>
              </w:rPr>
              <w:t>.</w:t>
            </w:r>
            <w:r w:rsidR="0053029F" w:rsidRPr="00794C0E">
              <w:rPr>
                <w:rFonts w:cs="Arial"/>
                <w:b/>
                <w:bCs/>
                <w:i/>
                <w:iCs/>
                <w:color w:val="000000"/>
                <w:sz w:val="22"/>
                <w:szCs w:val="22"/>
                <w:lang w:val="es-AR" w:eastAsia="es-ES"/>
              </w:rPr>
              <w:t>953</w:t>
            </w:r>
          </w:p>
        </w:tc>
      </w:tr>
      <w:tr w:rsidR="00EC0BEE" w:rsidRPr="00794C0E" w:rsidTr="003F6A5E">
        <w:trPr>
          <w:trHeight w:val="300"/>
          <w:jc w:val="center"/>
        </w:trPr>
        <w:tc>
          <w:tcPr>
            <w:tcW w:w="5133"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EC0BEE" w:rsidRPr="00794C0E" w:rsidRDefault="00EC0BEE" w:rsidP="009D1692">
            <w:pPr>
              <w:jc w:val="center"/>
              <w:rPr>
                <w:rFonts w:cs="Arial"/>
                <w:b/>
                <w:bCs/>
                <w:i/>
                <w:iCs/>
                <w:color w:val="000000"/>
                <w:lang w:val="es-AR" w:eastAsia="es-ES"/>
              </w:rPr>
            </w:pPr>
            <w:r w:rsidRPr="00794C0E">
              <w:rPr>
                <w:rFonts w:cs="Arial"/>
                <w:b/>
                <w:bCs/>
                <w:i/>
                <w:iCs/>
                <w:color w:val="000000"/>
                <w:lang w:val="es-AR" w:eastAsia="es-ES"/>
              </w:rPr>
              <w:t>% sobre Componente</w:t>
            </w:r>
          </w:p>
        </w:tc>
        <w:tc>
          <w:tcPr>
            <w:tcW w:w="1446" w:type="dxa"/>
            <w:tcBorders>
              <w:top w:val="nil"/>
              <w:left w:val="nil"/>
              <w:bottom w:val="single" w:sz="4" w:space="0" w:color="auto"/>
              <w:right w:val="single" w:sz="4" w:space="0" w:color="auto"/>
            </w:tcBorders>
            <w:shd w:val="clear" w:color="000000" w:fill="D9D9D9"/>
            <w:noWrap/>
            <w:vAlign w:val="bottom"/>
            <w:hideMark/>
          </w:tcPr>
          <w:p w:rsidR="00EC0BEE" w:rsidRPr="00794C0E" w:rsidRDefault="00EC0BEE" w:rsidP="0053029F">
            <w:pPr>
              <w:jc w:val="right"/>
              <w:rPr>
                <w:rFonts w:cs="Arial"/>
                <w:b/>
                <w:bCs/>
                <w:i/>
                <w:iCs/>
                <w:color w:val="000000"/>
                <w:sz w:val="22"/>
                <w:szCs w:val="22"/>
                <w:lang w:val="es-AR" w:eastAsia="es-ES"/>
              </w:rPr>
            </w:pPr>
            <w:r w:rsidRPr="00794C0E">
              <w:rPr>
                <w:rFonts w:cs="Arial"/>
                <w:b/>
                <w:bCs/>
                <w:i/>
                <w:iCs/>
                <w:color w:val="000000"/>
                <w:sz w:val="22"/>
                <w:szCs w:val="22"/>
                <w:lang w:val="es-AR" w:eastAsia="es-ES"/>
              </w:rPr>
              <w:t>3</w:t>
            </w:r>
            <w:r w:rsidR="0053029F" w:rsidRPr="00794C0E">
              <w:rPr>
                <w:rFonts w:cs="Arial"/>
                <w:b/>
                <w:bCs/>
                <w:i/>
                <w:iCs/>
                <w:color w:val="000000"/>
                <w:sz w:val="22"/>
                <w:szCs w:val="22"/>
                <w:lang w:val="es-AR" w:eastAsia="es-ES"/>
              </w:rPr>
              <w:t>7,03</w:t>
            </w:r>
            <w:r w:rsidRPr="00794C0E">
              <w:rPr>
                <w:rFonts w:cs="Arial"/>
                <w:b/>
                <w:bCs/>
                <w:i/>
                <w:iCs/>
                <w:color w:val="000000"/>
                <w:sz w:val="22"/>
                <w:szCs w:val="22"/>
                <w:lang w:val="es-AR" w:eastAsia="es-ES"/>
              </w:rPr>
              <w:t>%</w:t>
            </w:r>
          </w:p>
        </w:tc>
      </w:tr>
    </w:tbl>
    <w:p w:rsidR="00EC0BEE" w:rsidRPr="00794C0E" w:rsidRDefault="00477B81" w:rsidP="009D1692">
      <w:pPr>
        <w:rPr>
          <w:rFonts w:cs="Arial"/>
          <w:lang w:val="es-AR"/>
        </w:rPr>
      </w:pPr>
      <w:r w:rsidRPr="00794C0E">
        <w:rPr>
          <w:rFonts w:cs="Arial"/>
          <w:lang w:val="es-AR"/>
        </w:rPr>
        <w:t xml:space="preserve">               </w:t>
      </w:r>
      <w:r w:rsidR="00556B7D" w:rsidRPr="00794C0E">
        <w:rPr>
          <w:rFonts w:cs="Arial"/>
          <w:lang w:val="es-AR"/>
        </w:rPr>
        <w:t xml:space="preserve">  </w:t>
      </w:r>
      <w:r w:rsidRPr="00794C0E">
        <w:rPr>
          <w:rFonts w:cs="Arial"/>
          <w:lang w:val="es-AR"/>
        </w:rPr>
        <w:t>Fuente: Elaboración Propia en base a identificación de inversiones a evaluar</w:t>
      </w:r>
    </w:p>
    <w:p w:rsidR="00EC0BEE" w:rsidRPr="00794C0E" w:rsidRDefault="00EC0BEE" w:rsidP="009D1692">
      <w:pPr>
        <w:jc w:val="center"/>
        <w:rPr>
          <w:rFonts w:cs="Arial"/>
          <w:b/>
          <w:sz w:val="22"/>
          <w:szCs w:val="22"/>
          <w:lang w:val="es-AR"/>
        </w:rPr>
      </w:pPr>
    </w:p>
    <w:p w:rsidR="00974284" w:rsidRPr="00794C0E" w:rsidRDefault="00A640D2" w:rsidP="009D1692">
      <w:pPr>
        <w:pStyle w:val="ListParagraph"/>
        <w:numPr>
          <w:ilvl w:val="0"/>
          <w:numId w:val="6"/>
        </w:numPr>
        <w:ind w:left="0" w:firstLine="0"/>
        <w:jc w:val="both"/>
        <w:rPr>
          <w:rFonts w:cs="Arial"/>
          <w:b/>
          <w:bCs/>
          <w:sz w:val="22"/>
          <w:szCs w:val="22"/>
          <w:lang w:val="es-AR"/>
        </w:rPr>
      </w:pPr>
      <w:r w:rsidRPr="00794C0E">
        <w:rPr>
          <w:rFonts w:cs="Arial"/>
          <w:b/>
          <w:bCs/>
          <w:sz w:val="22"/>
          <w:szCs w:val="22"/>
          <w:lang w:val="es-AR"/>
        </w:rPr>
        <w:t>Red de Gas Natural del Sur</w:t>
      </w:r>
      <w:r w:rsidR="004100EA" w:rsidRPr="00794C0E">
        <w:rPr>
          <w:rFonts w:cs="Arial"/>
          <w:b/>
          <w:bCs/>
          <w:sz w:val="22"/>
          <w:szCs w:val="22"/>
          <w:lang w:val="es-AR"/>
        </w:rPr>
        <w:t xml:space="preserve"> de Corrientes</w:t>
      </w:r>
      <w:r w:rsidRPr="00794C0E">
        <w:rPr>
          <w:rFonts w:cs="Arial"/>
          <w:b/>
          <w:bCs/>
          <w:sz w:val="22"/>
          <w:szCs w:val="22"/>
          <w:lang w:val="es-AR"/>
        </w:rPr>
        <w:t xml:space="preserve"> (RGNS)</w:t>
      </w:r>
      <w:r w:rsidR="00D979B2" w:rsidRPr="00794C0E">
        <w:rPr>
          <w:rFonts w:cs="Arial"/>
          <w:b/>
          <w:bCs/>
          <w:sz w:val="22"/>
          <w:szCs w:val="22"/>
          <w:lang w:val="es-AR"/>
        </w:rPr>
        <w:t xml:space="preserve"> tramo</w:t>
      </w:r>
      <w:r w:rsidR="00D60F9C" w:rsidRPr="00794C0E">
        <w:rPr>
          <w:rFonts w:cs="Arial"/>
          <w:b/>
          <w:bCs/>
          <w:sz w:val="22"/>
          <w:szCs w:val="22"/>
          <w:lang w:val="es-AR"/>
        </w:rPr>
        <w:t xml:space="preserve"> Colonia Libertad a</w:t>
      </w:r>
      <w:r w:rsidR="00D979B2" w:rsidRPr="00794C0E">
        <w:rPr>
          <w:rFonts w:cs="Arial"/>
          <w:b/>
          <w:bCs/>
          <w:sz w:val="22"/>
          <w:szCs w:val="22"/>
          <w:lang w:val="es-AR"/>
        </w:rPr>
        <w:t xml:space="preserve"> Curuzú Cuatiá</w:t>
      </w:r>
    </w:p>
    <w:p w:rsidR="00A640D2" w:rsidRPr="00794C0E" w:rsidRDefault="00A640D2" w:rsidP="009D1692">
      <w:pPr>
        <w:jc w:val="both"/>
        <w:rPr>
          <w:rFonts w:cs="Arial"/>
          <w:b/>
          <w:bCs/>
          <w:sz w:val="22"/>
          <w:szCs w:val="22"/>
          <w:lang w:val="es-AR"/>
        </w:rPr>
      </w:pPr>
    </w:p>
    <w:p w:rsidR="00A640D2" w:rsidRPr="00794C0E" w:rsidRDefault="00A640D2" w:rsidP="009D1692">
      <w:pPr>
        <w:jc w:val="both"/>
        <w:rPr>
          <w:rFonts w:cs="Arial"/>
          <w:bCs/>
          <w:sz w:val="22"/>
          <w:szCs w:val="22"/>
          <w:u w:val="single"/>
          <w:lang w:val="es-AR"/>
        </w:rPr>
      </w:pPr>
      <w:r w:rsidRPr="00794C0E">
        <w:rPr>
          <w:rFonts w:cs="Arial"/>
          <w:bCs/>
          <w:sz w:val="22"/>
          <w:szCs w:val="22"/>
          <w:u w:val="single"/>
          <w:lang w:val="es-AR"/>
        </w:rPr>
        <w:t>Descripción</w:t>
      </w:r>
    </w:p>
    <w:p w:rsidR="00A640D2" w:rsidRPr="00794C0E" w:rsidRDefault="00A640D2" w:rsidP="009D1692">
      <w:pPr>
        <w:jc w:val="both"/>
        <w:rPr>
          <w:rFonts w:cs="Arial"/>
          <w:b/>
          <w:bCs/>
          <w:sz w:val="22"/>
          <w:szCs w:val="22"/>
          <w:lang w:val="es-AR"/>
        </w:rPr>
      </w:pPr>
    </w:p>
    <w:p w:rsidR="00A435BC" w:rsidRPr="00794C0E" w:rsidRDefault="00A640D2" w:rsidP="009D1692">
      <w:pPr>
        <w:pStyle w:val="ListParagraph"/>
        <w:numPr>
          <w:ilvl w:val="1"/>
          <w:numId w:val="5"/>
        </w:numPr>
        <w:ind w:left="0" w:firstLine="0"/>
        <w:jc w:val="both"/>
        <w:rPr>
          <w:rFonts w:cs="Arial"/>
          <w:b/>
          <w:bCs/>
          <w:sz w:val="22"/>
          <w:szCs w:val="22"/>
          <w:lang w:val="es-AR"/>
        </w:rPr>
      </w:pPr>
      <w:r w:rsidRPr="00794C0E">
        <w:rPr>
          <w:rFonts w:cs="Arial"/>
          <w:bCs/>
          <w:sz w:val="22"/>
          <w:szCs w:val="22"/>
          <w:lang w:val="es-AR"/>
        </w:rPr>
        <w:t>El proyecto comprende la construcción, instalación, pruebas y puesta en gas de un Gasoducto de aproximación desde Estación de Medición de TGN en Colonia Libertad hasta la Estación de Regulación Primaria de Curuzú Cuatiá</w:t>
      </w:r>
      <w:r w:rsidR="00227812" w:rsidRPr="00794C0E">
        <w:rPr>
          <w:rFonts w:cs="Arial"/>
          <w:bCs/>
          <w:sz w:val="22"/>
          <w:szCs w:val="22"/>
          <w:lang w:val="es-AR"/>
        </w:rPr>
        <w:t xml:space="preserve"> en la Provincia de Corrientes. Como parte del proyecto se prevén </w:t>
      </w:r>
      <w:r w:rsidRPr="00794C0E">
        <w:rPr>
          <w:rFonts w:cs="Arial"/>
          <w:bCs/>
          <w:sz w:val="22"/>
          <w:szCs w:val="22"/>
          <w:lang w:val="es-AR"/>
        </w:rPr>
        <w:t xml:space="preserve">obras complementarias, en cañería de acero según plano anteproyecto Nº PLG-133-CUZ-B04 Rev. C, que operará a una presión de diseño de 74 bar M y cuyas características y dimensiones aproximadas son 34.610 mts de longitud, con un diámetro Ø: 8” y un espesor de: 5,6 mm de acero API 5LX 52.  Las instalaciones a diseñar y construir comprende asimismo la mano de obra y materiales para la construcción de la obra civil, montaje y pruebas de trampa lanzadora y receptora de scraper sin válvula de bloqueo de línea y una </w:t>
      </w:r>
      <w:r w:rsidR="00A435BC" w:rsidRPr="00794C0E">
        <w:rPr>
          <w:rFonts w:cs="Arial"/>
          <w:bCs/>
          <w:sz w:val="22"/>
          <w:szCs w:val="22"/>
          <w:lang w:val="es-AR"/>
        </w:rPr>
        <w:t>válvula de bloqueo por rotura.</w:t>
      </w:r>
    </w:p>
    <w:p w:rsidR="00227812" w:rsidRPr="00794C0E" w:rsidRDefault="00227812" w:rsidP="009D1692">
      <w:pPr>
        <w:pStyle w:val="ListParagraph"/>
        <w:ind w:left="0"/>
        <w:jc w:val="both"/>
        <w:rPr>
          <w:rFonts w:cs="Arial"/>
          <w:b/>
          <w:bCs/>
          <w:sz w:val="22"/>
          <w:szCs w:val="22"/>
          <w:lang w:val="es-AR"/>
        </w:rPr>
      </w:pPr>
    </w:p>
    <w:p w:rsidR="00227812" w:rsidRPr="00794C0E" w:rsidRDefault="00227812" w:rsidP="009D1692">
      <w:pPr>
        <w:pStyle w:val="ListParagraph"/>
        <w:numPr>
          <w:ilvl w:val="1"/>
          <w:numId w:val="5"/>
        </w:numPr>
        <w:ind w:left="0" w:firstLine="0"/>
        <w:jc w:val="both"/>
        <w:rPr>
          <w:rFonts w:cs="Arial"/>
          <w:b/>
          <w:bCs/>
          <w:sz w:val="22"/>
          <w:szCs w:val="22"/>
          <w:lang w:val="es-AR"/>
        </w:rPr>
      </w:pPr>
      <w:r w:rsidRPr="00794C0E">
        <w:rPr>
          <w:rFonts w:cs="Arial"/>
          <w:bCs/>
          <w:sz w:val="22"/>
          <w:szCs w:val="22"/>
          <w:lang w:val="es-AR"/>
        </w:rPr>
        <w:t>El proyecto se georreferencia según el siguiente mapa</w:t>
      </w:r>
      <w:r w:rsidR="000717B9" w:rsidRPr="00794C0E">
        <w:rPr>
          <w:rFonts w:cs="Arial"/>
          <w:bCs/>
          <w:sz w:val="22"/>
          <w:szCs w:val="22"/>
          <w:lang w:val="es-AR"/>
        </w:rPr>
        <w:t>, que representa el tramo que va desde la localidad de Colonia Libertad a Curuzú Cuatía sobre la Ruta Provincial Nº 25</w:t>
      </w:r>
      <w:r w:rsidR="000D0A8C" w:rsidRPr="00794C0E">
        <w:rPr>
          <w:rFonts w:cs="Arial"/>
          <w:bCs/>
          <w:sz w:val="22"/>
          <w:szCs w:val="22"/>
          <w:lang w:val="es-AR"/>
        </w:rPr>
        <w:t>. El proyecto comprende un segundo tramo va desde Curuzú Cuatía hasta Mercedes que no es parte del presente proyecto. Se espera que la inversión adicional genere beneficios incrementales aún mayores a los previstos, ya que en el consumo de gas domiciliario, la población de Mercedes es la más representativa respecto al total de localidades beneficiarias.</w:t>
      </w:r>
    </w:p>
    <w:p w:rsidR="00957267" w:rsidRPr="00794C0E" w:rsidRDefault="00957267" w:rsidP="00957267">
      <w:pPr>
        <w:pStyle w:val="ListParagraph"/>
        <w:ind w:left="360"/>
        <w:jc w:val="center"/>
        <w:rPr>
          <w:rFonts w:cs="Arial"/>
          <w:b/>
          <w:lang w:val="es-AR"/>
        </w:rPr>
      </w:pPr>
      <w:r w:rsidRPr="00794C0E">
        <w:rPr>
          <w:rFonts w:cs="Arial"/>
          <w:b/>
          <w:lang w:val="es-AR"/>
        </w:rPr>
        <w:lastRenderedPageBreak/>
        <w:t>Ubicación Geográfica</w:t>
      </w:r>
    </w:p>
    <w:p w:rsidR="00227812" w:rsidRPr="00794C0E" w:rsidRDefault="00366D68" w:rsidP="000717B9">
      <w:pPr>
        <w:pStyle w:val="ListParagraph"/>
        <w:ind w:left="0"/>
        <w:jc w:val="center"/>
        <w:rPr>
          <w:rFonts w:cs="Arial"/>
          <w:b/>
          <w:bCs/>
          <w:sz w:val="22"/>
          <w:szCs w:val="22"/>
          <w:lang w:val="es-AR"/>
        </w:rPr>
      </w:pPr>
      <w:r w:rsidRPr="00794C0E">
        <w:rPr>
          <w:rFonts w:cs="Arial"/>
          <w:b/>
          <w:bCs/>
          <w:noProof/>
          <w:sz w:val="22"/>
          <w:szCs w:val="22"/>
          <w:lang w:val="es-ES_tradnl" w:eastAsia="es-ES_tradnl"/>
        </w:rPr>
        <w:drawing>
          <wp:inline distT="0" distB="0" distL="0" distR="0" wp14:anchorId="2C0D985C" wp14:editId="209ADCC3">
            <wp:extent cx="5379055" cy="33432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0916" cy="3344431"/>
                    </a:xfrm>
                    <a:prstGeom prst="rect">
                      <a:avLst/>
                    </a:prstGeom>
                    <a:noFill/>
                    <a:ln>
                      <a:noFill/>
                    </a:ln>
                  </pic:spPr>
                </pic:pic>
              </a:graphicData>
            </a:graphic>
          </wp:inline>
        </w:drawing>
      </w:r>
    </w:p>
    <w:p w:rsidR="00F7049D" w:rsidRPr="00794C0E" w:rsidRDefault="00F7049D" w:rsidP="009D1692">
      <w:pPr>
        <w:pStyle w:val="ListParagraph"/>
        <w:ind w:left="0"/>
        <w:jc w:val="both"/>
        <w:rPr>
          <w:rFonts w:cs="Arial"/>
          <w:b/>
          <w:bCs/>
          <w:sz w:val="22"/>
          <w:szCs w:val="22"/>
          <w:lang w:val="es-AR"/>
        </w:rPr>
      </w:pPr>
    </w:p>
    <w:p w:rsidR="002823E3" w:rsidRPr="00794C0E" w:rsidRDefault="0032537D" w:rsidP="002823E3">
      <w:pPr>
        <w:pStyle w:val="ListParagraph"/>
        <w:numPr>
          <w:ilvl w:val="1"/>
          <w:numId w:val="5"/>
        </w:numPr>
        <w:ind w:left="0" w:firstLine="0"/>
        <w:jc w:val="both"/>
        <w:rPr>
          <w:rFonts w:cs="Arial"/>
          <w:bCs/>
          <w:sz w:val="22"/>
          <w:szCs w:val="22"/>
          <w:lang w:val="es-AR"/>
        </w:rPr>
      </w:pPr>
      <w:r w:rsidRPr="00794C0E">
        <w:rPr>
          <w:rFonts w:cs="Arial"/>
          <w:bCs/>
          <w:sz w:val="22"/>
          <w:szCs w:val="22"/>
          <w:lang w:val="es-AR"/>
        </w:rPr>
        <w:t>Las inversiones permitirán asistir con la provisión de gas domiciliario (residencial) a 9.001</w:t>
      </w:r>
      <w:r w:rsidRPr="00794C0E">
        <w:rPr>
          <w:rStyle w:val="FootnoteReference"/>
          <w:rFonts w:cs="Arial"/>
          <w:bCs/>
          <w:sz w:val="22"/>
          <w:szCs w:val="22"/>
          <w:lang w:val="es-AR"/>
        </w:rPr>
        <w:footnoteReference w:id="15"/>
      </w:r>
      <w:r w:rsidRPr="00794C0E">
        <w:rPr>
          <w:rFonts w:cs="Arial"/>
          <w:bCs/>
          <w:sz w:val="22"/>
          <w:szCs w:val="22"/>
          <w:lang w:val="es-AR"/>
        </w:rPr>
        <w:t xml:space="preserve"> familias (45.004 habitantes) principalmente en dos localidades (CuruzúCuatía y Colonia Libertad); y provisión de gas natural a cinco industrias: Maderera, Citrícolas, Arrocera, Hilandería. Los datos se estimaron en base a datos poblacionales fuente INDEC y las solicitudes de demanda de provisión por la demanda de solicitud que realizan las empresas de las seis industrias según datos del año 2015.</w:t>
      </w:r>
    </w:p>
    <w:p w:rsidR="0010168F" w:rsidRPr="00794C0E" w:rsidRDefault="0010168F" w:rsidP="0010168F">
      <w:pPr>
        <w:jc w:val="both"/>
        <w:rPr>
          <w:rFonts w:cs="Arial"/>
          <w:bCs/>
          <w:sz w:val="22"/>
          <w:szCs w:val="22"/>
          <w:u w:val="single"/>
          <w:lang w:val="es-AR"/>
        </w:rPr>
      </w:pPr>
      <w:r w:rsidRPr="00794C0E">
        <w:rPr>
          <w:rFonts w:cs="Arial"/>
          <w:bCs/>
          <w:sz w:val="22"/>
          <w:szCs w:val="22"/>
          <w:u w:val="single"/>
          <w:lang w:val="es-AR"/>
        </w:rPr>
        <w:t>Supuestos críticos para la</w:t>
      </w:r>
      <w:r w:rsidR="00356941" w:rsidRPr="00794C0E">
        <w:rPr>
          <w:rFonts w:cs="Arial"/>
          <w:bCs/>
          <w:sz w:val="22"/>
          <w:szCs w:val="22"/>
          <w:u w:val="single"/>
          <w:lang w:val="es-AR"/>
        </w:rPr>
        <w:t xml:space="preserve"> determinación de los costos y beneficios</w:t>
      </w:r>
    </w:p>
    <w:p w:rsidR="0010168F" w:rsidRPr="00794C0E" w:rsidRDefault="0010168F" w:rsidP="009D1692">
      <w:pPr>
        <w:pStyle w:val="ListParagraph"/>
        <w:ind w:left="0"/>
        <w:jc w:val="both"/>
        <w:rPr>
          <w:rFonts w:cs="Arial"/>
          <w:bCs/>
          <w:sz w:val="22"/>
          <w:szCs w:val="22"/>
          <w:lang w:val="es-AR"/>
        </w:rPr>
      </w:pPr>
    </w:p>
    <w:p w:rsidR="0032537D" w:rsidRPr="00794C0E" w:rsidRDefault="0032537D" w:rsidP="0032537D">
      <w:pPr>
        <w:pStyle w:val="ListParagraph"/>
        <w:numPr>
          <w:ilvl w:val="1"/>
          <w:numId w:val="5"/>
        </w:numPr>
        <w:ind w:left="0" w:right="-50" w:firstLine="0"/>
        <w:jc w:val="both"/>
        <w:rPr>
          <w:rFonts w:cs="Arial"/>
          <w:bCs/>
          <w:sz w:val="22"/>
          <w:szCs w:val="22"/>
          <w:lang w:val="es-AR"/>
        </w:rPr>
      </w:pPr>
      <w:r w:rsidRPr="00794C0E">
        <w:rPr>
          <w:rFonts w:cs="Arial"/>
          <w:bCs/>
          <w:sz w:val="22"/>
          <w:szCs w:val="22"/>
          <w:lang w:val="es-AR"/>
        </w:rPr>
        <w:t>Para la valuación de los beneficios se recurrió al enfoque de eficiencia económica</w:t>
      </w:r>
      <w:r w:rsidRPr="00794C0E">
        <w:rPr>
          <w:rStyle w:val="FootnoteReference"/>
          <w:rFonts w:cs="Arial"/>
          <w:bCs/>
          <w:sz w:val="22"/>
          <w:szCs w:val="22"/>
          <w:lang w:val="es-AR"/>
        </w:rPr>
        <w:footnoteReference w:id="16"/>
      </w:r>
      <w:r w:rsidRPr="00794C0E">
        <w:rPr>
          <w:rFonts w:cs="Arial"/>
          <w:bCs/>
          <w:sz w:val="22"/>
          <w:szCs w:val="22"/>
          <w:lang w:val="es-AR"/>
        </w:rPr>
        <w:t>. El mismo está basado en tres postulados que miden el cambio en el bienestar que experimenta un individuo o una sociedad al cambiar el consumo y producción de un bien. En este enfoque, la curva de demanda de un bien representa la máxima disposición a pagar de un individuo por consumir distintas unidades del bien; por lo tanto, el área bajo la curva de demanda refleja el cambio en el bienestar del individuo, o conjunto de individuos, al variar el consumo del bien, es decir el beneficio bruto por el consumo de ese bien. La diferencia entre la disposición a pagar por el producto y el monto que efectivamente se paga se denomina excedente del consumidor y representa el beneficio neto para los compradores, expresado en unidades monetarias.</w:t>
      </w:r>
    </w:p>
    <w:p w:rsidR="0032537D" w:rsidRPr="00794C0E" w:rsidRDefault="0032537D" w:rsidP="0032537D">
      <w:pPr>
        <w:pStyle w:val="ListParagraph"/>
        <w:ind w:left="0" w:right="-50"/>
        <w:jc w:val="both"/>
        <w:rPr>
          <w:rFonts w:cs="Arial"/>
          <w:bCs/>
          <w:sz w:val="22"/>
          <w:szCs w:val="22"/>
          <w:lang w:val="es-AR"/>
        </w:rPr>
      </w:pPr>
    </w:p>
    <w:p w:rsidR="0032537D" w:rsidRPr="00794C0E" w:rsidRDefault="0032537D" w:rsidP="0032537D">
      <w:pPr>
        <w:pStyle w:val="ListParagraph"/>
        <w:numPr>
          <w:ilvl w:val="1"/>
          <w:numId w:val="5"/>
        </w:numPr>
        <w:ind w:left="0" w:firstLine="0"/>
        <w:jc w:val="both"/>
        <w:rPr>
          <w:rFonts w:cs="Arial"/>
          <w:bCs/>
          <w:sz w:val="22"/>
          <w:szCs w:val="22"/>
          <w:lang w:val="es-AR"/>
        </w:rPr>
      </w:pPr>
      <w:r w:rsidRPr="00794C0E">
        <w:rPr>
          <w:rFonts w:cs="Arial"/>
          <w:bCs/>
          <w:sz w:val="22"/>
          <w:szCs w:val="22"/>
          <w:lang w:val="es-AR"/>
        </w:rPr>
        <w:t xml:space="preserve">Los principales beneficios que se identifican por la realización de proyectos son calculados a nivel industria y a nivel residencial: (i) liberación de recursos, relacionado con la sustitución de fuentes de abastecimiento (gas en garrafa, leña, etc.) que se utiliza en la situación sin proyecto y que, por efecto del proyecto, son reemplazadas por un sistema de </w:t>
      </w:r>
      <w:r w:rsidRPr="00794C0E">
        <w:rPr>
          <w:rFonts w:cs="Arial"/>
          <w:bCs/>
          <w:sz w:val="22"/>
          <w:szCs w:val="22"/>
          <w:lang w:val="es-AR"/>
        </w:rPr>
        <w:lastRenderedPageBreak/>
        <w:t>producción y distribución (red de gas natural), cuyo costo de aprovisionamiento es menor; (ii) mayor consumo de gas: se derivan de una mayor oferta de gas para su consumo en el área del proyecto.</w:t>
      </w:r>
    </w:p>
    <w:p w:rsidR="0032537D" w:rsidRPr="00794C0E" w:rsidRDefault="0032537D" w:rsidP="0032537D">
      <w:pPr>
        <w:pStyle w:val="ListParagraph"/>
        <w:ind w:left="0"/>
        <w:rPr>
          <w:rFonts w:cs="Arial"/>
          <w:bCs/>
          <w:sz w:val="22"/>
          <w:szCs w:val="22"/>
          <w:lang w:val="es-AR"/>
        </w:rPr>
      </w:pPr>
    </w:p>
    <w:p w:rsidR="0032537D" w:rsidRPr="00794C0E" w:rsidRDefault="0032537D" w:rsidP="0032537D">
      <w:pPr>
        <w:pStyle w:val="ListParagraph"/>
        <w:numPr>
          <w:ilvl w:val="1"/>
          <w:numId w:val="5"/>
        </w:numPr>
        <w:ind w:left="0" w:firstLine="0"/>
        <w:jc w:val="both"/>
        <w:rPr>
          <w:rFonts w:cs="Arial"/>
          <w:bCs/>
          <w:sz w:val="22"/>
          <w:szCs w:val="22"/>
          <w:lang w:val="es-AR"/>
        </w:rPr>
      </w:pPr>
      <w:r w:rsidRPr="00794C0E">
        <w:rPr>
          <w:rFonts w:cs="Arial"/>
          <w:bCs/>
          <w:sz w:val="22"/>
          <w:szCs w:val="22"/>
          <w:lang w:val="es-AR"/>
        </w:rPr>
        <w:t>Es posible estimar la curva de demanda conociendo al menos dos puntos de consumo - precio: (i) consumo y precio sin acceso al servicio (situación sin proyecto: precio de la garrafa y consumo); (ii) consumo y precio con acceso al servicio (situación con proyecto: precio del m</w:t>
      </w:r>
      <w:r w:rsidRPr="00794C0E">
        <w:rPr>
          <w:rFonts w:cs="Arial"/>
          <w:bCs/>
          <w:sz w:val="22"/>
          <w:szCs w:val="22"/>
          <w:vertAlign w:val="superscript"/>
          <w:lang w:val="es-AR"/>
        </w:rPr>
        <w:t>3</w:t>
      </w:r>
      <w:r w:rsidRPr="00794C0E">
        <w:rPr>
          <w:rFonts w:cs="Arial"/>
          <w:bCs/>
          <w:sz w:val="22"/>
          <w:szCs w:val="22"/>
          <w:lang w:val="es-AR"/>
        </w:rPr>
        <w:t>)</w:t>
      </w:r>
      <w:r w:rsidRPr="00794C0E">
        <w:rPr>
          <w:rStyle w:val="FootnoteReference"/>
          <w:rFonts w:cs="Arial"/>
          <w:bCs/>
          <w:sz w:val="22"/>
          <w:szCs w:val="22"/>
          <w:lang w:val="es-AR"/>
        </w:rPr>
        <w:footnoteReference w:id="17"/>
      </w:r>
    </w:p>
    <w:p w:rsidR="0032537D" w:rsidRPr="00794C0E" w:rsidRDefault="0032537D" w:rsidP="0032537D">
      <w:pPr>
        <w:jc w:val="both"/>
        <w:rPr>
          <w:rFonts w:cs="Arial"/>
          <w:color w:val="000000"/>
          <w:sz w:val="22"/>
          <w:szCs w:val="22"/>
          <w:lang w:val="es-AR" w:eastAsia="es-AR"/>
        </w:rPr>
      </w:pPr>
    </w:p>
    <w:p w:rsidR="0032537D" w:rsidRPr="00794C0E" w:rsidRDefault="0032537D" w:rsidP="0032537D">
      <w:pPr>
        <w:jc w:val="both"/>
        <w:rPr>
          <w:rFonts w:cs="Arial"/>
          <w:color w:val="000000"/>
          <w:sz w:val="22"/>
          <w:szCs w:val="22"/>
          <w:u w:val="single"/>
          <w:lang w:val="es-AR" w:eastAsia="es-AR"/>
        </w:rPr>
      </w:pPr>
      <w:r w:rsidRPr="00794C0E">
        <w:rPr>
          <w:rFonts w:cs="Arial"/>
          <w:color w:val="000000"/>
          <w:sz w:val="22"/>
          <w:szCs w:val="22"/>
          <w:u w:val="single"/>
          <w:lang w:val="es-AR" w:eastAsia="es-AR"/>
        </w:rPr>
        <w:t>Usuarios Residenciales</w:t>
      </w:r>
    </w:p>
    <w:p w:rsidR="0032537D" w:rsidRPr="00794C0E" w:rsidRDefault="0032537D" w:rsidP="0032537D">
      <w:pPr>
        <w:jc w:val="both"/>
        <w:rPr>
          <w:rFonts w:cs="Arial"/>
          <w:sz w:val="22"/>
          <w:szCs w:val="22"/>
          <w:lang w:val="es-AR" w:eastAsia="es-AR"/>
        </w:rPr>
      </w:pPr>
    </w:p>
    <w:p w:rsidR="0032537D" w:rsidRPr="00794C0E" w:rsidRDefault="0032537D" w:rsidP="0032537D">
      <w:pPr>
        <w:pStyle w:val="ListParagraph"/>
        <w:numPr>
          <w:ilvl w:val="1"/>
          <w:numId w:val="5"/>
        </w:numPr>
        <w:ind w:left="0" w:firstLine="0"/>
        <w:jc w:val="both"/>
        <w:rPr>
          <w:rFonts w:cs="Arial"/>
          <w:sz w:val="22"/>
          <w:szCs w:val="22"/>
          <w:lang w:val="es-AR" w:eastAsia="es-AR"/>
        </w:rPr>
      </w:pPr>
      <w:r w:rsidRPr="00794C0E">
        <w:rPr>
          <w:rFonts w:cs="Arial"/>
          <w:color w:val="000000"/>
          <w:sz w:val="22"/>
          <w:szCs w:val="22"/>
          <w:lang w:val="es-AR" w:eastAsia="es-AR"/>
        </w:rPr>
        <w:t>Los beneficios económicos</w:t>
      </w:r>
      <w:r w:rsidRPr="00794C0E">
        <w:rPr>
          <w:rStyle w:val="FootnoteReference"/>
          <w:rFonts w:cs="Arial"/>
          <w:color w:val="000000"/>
          <w:sz w:val="22"/>
          <w:szCs w:val="22"/>
          <w:lang w:val="es-AR" w:eastAsia="es-AR"/>
        </w:rPr>
        <w:footnoteReference w:id="18"/>
      </w:r>
      <w:r w:rsidRPr="00794C0E">
        <w:rPr>
          <w:rFonts w:cs="Arial"/>
          <w:color w:val="000000"/>
          <w:sz w:val="22"/>
          <w:szCs w:val="22"/>
          <w:lang w:val="es-AR" w:eastAsia="es-AR"/>
        </w:rPr>
        <w:t xml:space="preserve"> se cuantificaron estimando la curva de demanda. Para la determinación del primer par ordenado de </w:t>
      </w:r>
      <w:r w:rsidRPr="00794C0E">
        <w:rPr>
          <w:rFonts w:cs="Arial"/>
          <w:i/>
          <w:color w:val="000000"/>
          <w:sz w:val="22"/>
          <w:szCs w:val="22"/>
          <w:lang w:val="es-AR" w:eastAsia="es-AR"/>
        </w:rPr>
        <w:t>consumo-precio</w:t>
      </w:r>
      <w:r w:rsidRPr="00794C0E">
        <w:rPr>
          <w:rFonts w:cs="Arial"/>
          <w:color w:val="000000"/>
          <w:sz w:val="22"/>
          <w:szCs w:val="22"/>
          <w:lang w:val="es-AR" w:eastAsia="es-AR"/>
        </w:rPr>
        <w:t xml:space="preserve"> se tomó como referencia a la situación sin proyecto. Las familias a ser beneficiarias, se abastecen de gas de formas alternativa, principalmente mediante gas envasado. En base a los datos provistos por el Gobierno de la Provincia de Corrientes, se consumen 770.506 (m</w:t>
      </w:r>
      <w:r w:rsidRPr="00794C0E">
        <w:rPr>
          <w:rFonts w:cs="Arial"/>
          <w:color w:val="000000"/>
          <w:sz w:val="22"/>
          <w:szCs w:val="22"/>
          <w:vertAlign w:val="superscript"/>
          <w:lang w:val="es-AR" w:eastAsia="es-AR"/>
        </w:rPr>
        <w:t>3</w:t>
      </w:r>
      <w:r w:rsidRPr="00794C0E">
        <w:rPr>
          <w:rFonts w:cs="Arial"/>
          <w:color w:val="000000"/>
          <w:sz w:val="22"/>
          <w:szCs w:val="22"/>
          <w:lang w:val="es-AR" w:eastAsia="es-AR"/>
        </w:rPr>
        <w:t>/mes) a un costo de 6,86</w:t>
      </w:r>
      <w:r w:rsidRPr="00794C0E">
        <w:rPr>
          <w:rStyle w:val="FootnoteReference"/>
          <w:rFonts w:cs="Arial"/>
          <w:color w:val="000000"/>
          <w:sz w:val="22"/>
          <w:szCs w:val="22"/>
          <w:lang w:val="es-AR" w:eastAsia="es-AR"/>
        </w:rPr>
        <w:footnoteReference w:id="19"/>
      </w:r>
      <w:r w:rsidRPr="00794C0E">
        <w:rPr>
          <w:rFonts w:cs="Arial"/>
          <w:color w:val="000000"/>
          <w:sz w:val="22"/>
          <w:szCs w:val="22"/>
          <w:lang w:val="es-AR" w:eastAsia="es-AR"/>
        </w:rPr>
        <w:t xml:space="preserve"> $/m</w:t>
      </w:r>
      <w:r w:rsidRPr="00794C0E">
        <w:rPr>
          <w:rFonts w:cs="Arial"/>
          <w:color w:val="000000"/>
          <w:sz w:val="22"/>
          <w:szCs w:val="22"/>
          <w:vertAlign w:val="superscript"/>
          <w:lang w:val="es-AR" w:eastAsia="es-AR"/>
        </w:rPr>
        <w:t>3</w:t>
      </w:r>
      <w:r w:rsidRPr="00794C0E">
        <w:rPr>
          <w:rFonts w:cs="Arial"/>
          <w:color w:val="000000"/>
          <w:sz w:val="22"/>
          <w:szCs w:val="22"/>
          <w:lang w:val="es-AR" w:eastAsia="es-AR"/>
        </w:rPr>
        <w:t>.Para el cálculo del segundo punto de la curva de demanda se tomó el precio del m</w:t>
      </w:r>
      <w:r w:rsidRPr="00794C0E">
        <w:rPr>
          <w:rFonts w:cs="Arial"/>
          <w:color w:val="000000"/>
          <w:sz w:val="22"/>
          <w:szCs w:val="22"/>
          <w:vertAlign w:val="superscript"/>
          <w:lang w:val="es-AR" w:eastAsia="es-AR"/>
        </w:rPr>
        <w:t xml:space="preserve">3 </w:t>
      </w:r>
      <w:r w:rsidRPr="00794C0E">
        <w:rPr>
          <w:rFonts w:cs="Arial"/>
          <w:color w:val="000000"/>
          <w:sz w:val="22"/>
          <w:szCs w:val="22"/>
          <w:lang w:val="es-AR" w:eastAsia="es-AR"/>
        </w:rPr>
        <w:t>en base al Resolución ENARGAS N° I/3728</w:t>
      </w:r>
      <w:r w:rsidRPr="00794C0E">
        <w:rPr>
          <w:rStyle w:val="FootnoteReference"/>
          <w:rFonts w:cs="Arial"/>
          <w:color w:val="000000"/>
          <w:sz w:val="22"/>
          <w:szCs w:val="22"/>
          <w:lang w:val="es-AR" w:eastAsia="es-AR"/>
        </w:rPr>
        <w:footnoteReference w:id="20"/>
      </w:r>
      <w:r w:rsidRPr="00794C0E">
        <w:rPr>
          <w:rFonts w:cs="Arial"/>
          <w:color w:val="000000"/>
          <w:sz w:val="22"/>
          <w:szCs w:val="22"/>
          <w:lang w:val="es-AR" w:eastAsia="es-AR"/>
        </w:rPr>
        <w:t>, de 2,790 $/m</w:t>
      </w:r>
      <w:r w:rsidRPr="00794C0E">
        <w:rPr>
          <w:rFonts w:cs="Arial"/>
          <w:color w:val="000000"/>
          <w:sz w:val="22"/>
          <w:szCs w:val="22"/>
          <w:vertAlign w:val="superscript"/>
          <w:lang w:val="es-AR" w:eastAsia="es-AR"/>
        </w:rPr>
        <w:t>3</w:t>
      </w:r>
      <w:r w:rsidR="000D0A8C" w:rsidRPr="00794C0E">
        <w:rPr>
          <w:rFonts w:cs="Arial"/>
          <w:color w:val="000000"/>
          <w:sz w:val="22"/>
          <w:szCs w:val="22"/>
          <w:lang w:val="es-AR" w:eastAsia="es-AR"/>
        </w:rPr>
        <w:t>, lo que evidencia un precio significativamente menor respecto a la provisión de gas por garrafa (- $4,07 por m</w:t>
      </w:r>
      <w:r w:rsidR="000D0A8C" w:rsidRPr="00794C0E">
        <w:rPr>
          <w:rFonts w:cs="Arial"/>
          <w:color w:val="000000"/>
          <w:sz w:val="22"/>
          <w:szCs w:val="22"/>
          <w:vertAlign w:val="superscript"/>
          <w:lang w:val="es-AR" w:eastAsia="es-AR"/>
        </w:rPr>
        <w:t>3</w:t>
      </w:r>
      <w:r w:rsidR="000D0A8C" w:rsidRPr="00794C0E">
        <w:rPr>
          <w:rFonts w:cs="Arial"/>
          <w:color w:val="000000"/>
          <w:sz w:val="22"/>
          <w:szCs w:val="22"/>
          <w:lang w:val="es-AR" w:eastAsia="es-AR"/>
        </w:rPr>
        <w:t>)</w:t>
      </w:r>
      <w:r w:rsidR="000D0A8C" w:rsidRPr="00794C0E">
        <w:rPr>
          <w:rStyle w:val="FootnoteReference"/>
          <w:rFonts w:cs="Arial"/>
          <w:color w:val="000000"/>
          <w:sz w:val="22"/>
          <w:szCs w:val="22"/>
          <w:lang w:val="es-AR" w:eastAsia="es-AR"/>
        </w:rPr>
        <w:footnoteReference w:id="21"/>
      </w:r>
      <w:r w:rsidR="000D0A8C" w:rsidRPr="00794C0E">
        <w:rPr>
          <w:rFonts w:cs="Arial"/>
          <w:color w:val="000000"/>
          <w:sz w:val="22"/>
          <w:szCs w:val="22"/>
          <w:lang w:val="es-AR" w:eastAsia="es-AR"/>
        </w:rPr>
        <w:t>.</w:t>
      </w:r>
    </w:p>
    <w:p w:rsidR="0032537D" w:rsidRPr="00794C0E" w:rsidRDefault="0032537D" w:rsidP="0032537D">
      <w:pPr>
        <w:pStyle w:val="ListParagraph"/>
        <w:ind w:left="0"/>
        <w:jc w:val="both"/>
        <w:rPr>
          <w:rFonts w:cs="Arial"/>
          <w:sz w:val="22"/>
          <w:szCs w:val="22"/>
          <w:lang w:val="es-AR" w:eastAsia="es-AR"/>
        </w:rPr>
      </w:pPr>
    </w:p>
    <w:p w:rsidR="0032537D" w:rsidRPr="00794C0E" w:rsidRDefault="0032537D" w:rsidP="0032537D">
      <w:pPr>
        <w:pStyle w:val="ListParagraph"/>
        <w:numPr>
          <w:ilvl w:val="1"/>
          <w:numId w:val="5"/>
        </w:numPr>
        <w:ind w:left="0" w:firstLine="0"/>
        <w:jc w:val="both"/>
        <w:rPr>
          <w:rFonts w:cs="Arial"/>
          <w:sz w:val="22"/>
          <w:szCs w:val="22"/>
          <w:lang w:val="es-AR" w:eastAsia="es-AR"/>
        </w:rPr>
      </w:pPr>
      <w:r w:rsidRPr="00794C0E">
        <w:rPr>
          <w:rFonts w:cs="Arial"/>
          <w:sz w:val="22"/>
          <w:szCs w:val="22"/>
          <w:lang w:val="es-AR" w:eastAsia="es-AR"/>
        </w:rPr>
        <w:t>En el Gráfico 1 se muestra la estimación de la demanda sobre la base de los datos y supuestos descriptos.</w:t>
      </w:r>
    </w:p>
    <w:p w:rsidR="0032537D" w:rsidRPr="00794C0E" w:rsidRDefault="0032537D" w:rsidP="0032537D">
      <w:pPr>
        <w:jc w:val="center"/>
        <w:rPr>
          <w:rFonts w:cs="Arial"/>
          <w:b/>
          <w:lang w:val="es-AR" w:eastAsia="es-AR"/>
        </w:rPr>
      </w:pPr>
      <w:r w:rsidRPr="00794C0E">
        <w:rPr>
          <w:rFonts w:cs="Arial"/>
          <w:b/>
          <w:lang w:val="es-AR" w:eastAsia="es-AR"/>
        </w:rPr>
        <w:t>Gráfico 1. Demanda de Gas – m</w:t>
      </w:r>
      <w:r w:rsidRPr="00794C0E">
        <w:rPr>
          <w:rFonts w:cs="Arial"/>
          <w:b/>
          <w:vertAlign w:val="superscript"/>
          <w:lang w:val="es-AR" w:eastAsia="es-AR"/>
        </w:rPr>
        <w:t>3</w:t>
      </w:r>
      <w:r w:rsidRPr="00794C0E">
        <w:rPr>
          <w:rFonts w:cs="Arial"/>
          <w:b/>
          <w:lang w:val="es-AR" w:eastAsia="es-AR"/>
        </w:rPr>
        <w:t xml:space="preserve"> por vivienda por día</w:t>
      </w:r>
    </w:p>
    <w:p w:rsidR="0032537D" w:rsidRPr="00794C0E" w:rsidRDefault="0032537D" w:rsidP="00794C0E">
      <w:pPr>
        <w:jc w:val="center"/>
        <w:rPr>
          <w:rFonts w:cs="Arial"/>
          <w:noProof/>
          <w:lang w:val="es-ES" w:eastAsia="es-ES"/>
        </w:rPr>
      </w:pPr>
      <w:r w:rsidRPr="00794C0E">
        <w:rPr>
          <w:rFonts w:cs="Arial"/>
          <w:noProof/>
          <w:lang w:val="es-ES_tradnl" w:eastAsia="es-ES_tradnl"/>
        </w:rPr>
        <w:drawing>
          <wp:inline distT="0" distB="0" distL="0" distR="0" wp14:anchorId="7013E86C" wp14:editId="46C8714B">
            <wp:extent cx="3009900" cy="1609725"/>
            <wp:effectExtent l="0" t="0" r="19050" b="9525"/>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2537D" w:rsidRPr="00794C0E" w:rsidRDefault="0032537D" w:rsidP="00794C0E">
      <w:pPr>
        <w:ind w:left="90"/>
        <w:rPr>
          <w:rFonts w:cs="Arial"/>
          <w:color w:val="000000"/>
          <w:lang w:val="es-AR" w:eastAsia="es-AR"/>
        </w:rPr>
      </w:pPr>
      <w:r w:rsidRPr="00794C0E">
        <w:rPr>
          <w:rFonts w:cs="Arial"/>
          <w:color w:val="000000"/>
          <w:sz w:val="18"/>
          <w:lang w:val="es-AR" w:eastAsia="es-AR"/>
        </w:rPr>
        <w:t>Fuente: Elaboración propia en base a datos de ENERGAS, Gobierno de la Provincia de Corrientes, INDEC</w:t>
      </w:r>
      <w:r w:rsidRPr="00794C0E">
        <w:rPr>
          <w:rFonts w:cs="Arial"/>
          <w:color w:val="000000"/>
          <w:lang w:val="es-AR" w:eastAsia="es-AR"/>
        </w:rPr>
        <w:t>.</w:t>
      </w:r>
    </w:p>
    <w:p w:rsidR="0032537D" w:rsidRPr="00794C0E" w:rsidRDefault="0032537D" w:rsidP="0032537D">
      <w:pPr>
        <w:pStyle w:val="ListParagraph"/>
        <w:numPr>
          <w:ilvl w:val="1"/>
          <w:numId w:val="5"/>
        </w:numPr>
        <w:ind w:left="0" w:firstLine="0"/>
        <w:jc w:val="both"/>
        <w:rPr>
          <w:rFonts w:cs="Arial"/>
          <w:sz w:val="22"/>
          <w:szCs w:val="22"/>
          <w:lang w:val="es-AR" w:eastAsia="es-AR"/>
        </w:rPr>
      </w:pPr>
      <w:r w:rsidRPr="00794C0E">
        <w:rPr>
          <w:rFonts w:cs="Arial"/>
          <w:sz w:val="22"/>
          <w:szCs w:val="22"/>
          <w:lang w:val="es-AR" w:eastAsia="es-AR"/>
        </w:rPr>
        <w:lastRenderedPageBreak/>
        <w:t>Sobre la base de las estimaciones, es posible calcular los beneficios mediante el análisis de eficiencia descripto, calculando las ganancias por excedentes del consumidor, según el siguiente Gráfico.</w:t>
      </w:r>
    </w:p>
    <w:p w:rsidR="0032537D" w:rsidRPr="00794C0E" w:rsidRDefault="0032537D">
      <w:pPr>
        <w:rPr>
          <w:rFonts w:cs="Arial"/>
          <w:b/>
          <w:lang w:val="es-AR" w:eastAsia="es-AR"/>
        </w:rPr>
      </w:pPr>
    </w:p>
    <w:p w:rsidR="0032537D" w:rsidRPr="00794C0E" w:rsidRDefault="0032537D" w:rsidP="0032537D">
      <w:pPr>
        <w:pStyle w:val="ListParagraph"/>
        <w:ind w:left="0"/>
        <w:jc w:val="center"/>
        <w:rPr>
          <w:rFonts w:cs="Arial"/>
          <w:b/>
          <w:lang w:val="es-AR" w:eastAsia="es-AR"/>
        </w:rPr>
      </w:pPr>
      <w:r w:rsidRPr="00794C0E">
        <w:rPr>
          <w:rFonts w:cs="Arial"/>
          <w:b/>
          <w:lang w:val="es-AR" w:eastAsia="es-AR"/>
        </w:rPr>
        <w:t>Gráfico 2. Beneficios por Excedente del Consumidor por vivienda.</w:t>
      </w:r>
    </w:p>
    <w:p w:rsidR="0032537D" w:rsidRPr="00794C0E" w:rsidRDefault="0032537D" w:rsidP="0032537D">
      <w:pPr>
        <w:jc w:val="center"/>
        <w:rPr>
          <w:rFonts w:cs="Arial"/>
          <w:noProof/>
          <w:color w:val="000000"/>
          <w:sz w:val="24"/>
          <w:szCs w:val="24"/>
          <w:lang w:val="es-ES" w:eastAsia="es-ES"/>
        </w:rPr>
      </w:pPr>
    </w:p>
    <w:p w:rsidR="0032537D" w:rsidRPr="00794C0E" w:rsidRDefault="0032537D" w:rsidP="0032537D">
      <w:pPr>
        <w:jc w:val="center"/>
        <w:rPr>
          <w:rFonts w:cs="Arial"/>
          <w:noProof/>
          <w:color w:val="000000"/>
          <w:sz w:val="24"/>
          <w:szCs w:val="24"/>
          <w:lang w:val="es-ES" w:eastAsia="es-ES"/>
        </w:rPr>
      </w:pPr>
      <w:r w:rsidRPr="00794C0E">
        <w:rPr>
          <w:rFonts w:cs="Arial"/>
          <w:noProof/>
          <w:szCs w:val="24"/>
          <w:lang w:val="es-ES_tradnl" w:eastAsia="es-ES_tradnl"/>
        </w:rPr>
        <w:drawing>
          <wp:inline distT="0" distB="0" distL="0" distR="0" wp14:anchorId="12AF200B" wp14:editId="636CF8A5">
            <wp:extent cx="3973663" cy="2085793"/>
            <wp:effectExtent l="0" t="0" r="825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979471" cy="2088842"/>
                    </a:xfrm>
                    <a:prstGeom prst="rect">
                      <a:avLst/>
                    </a:prstGeom>
                    <a:noFill/>
                    <a:ln w="9525">
                      <a:noFill/>
                      <a:miter lim="800000"/>
                      <a:headEnd/>
                      <a:tailEnd/>
                    </a:ln>
                  </pic:spPr>
                </pic:pic>
              </a:graphicData>
            </a:graphic>
          </wp:inline>
        </w:drawing>
      </w:r>
    </w:p>
    <w:p w:rsidR="0032537D" w:rsidRPr="00794C0E" w:rsidRDefault="0032537D" w:rsidP="0032537D">
      <w:pPr>
        <w:spacing w:after="240"/>
        <w:ind w:left="993" w:right="801"/>
        <w:rPr>
          <w:rFonts w:cs="Arial"/>
          <w:color w:val="000000"/>
          <w:lang w:val="es-AR" w:eastAsia="es-AR"/>
        </w:rPr>
      </w:pPr>
      <w:r w:rsidRPr="00794C0E">
        <w:rPr>
          <w:rFonts w:cs="Arial"/>
          <w:color w:val="000000"/>
          <w:lang w:val="es-AR" w:eastAsia="es-AR"/>
        </w:rPr>
        <w:t>Fuente: Elaboración propia en base a datos de ENERGAS, Gobierno de la Provincia de Corrientes, INDEC.</w:t>
      </w:r>
    </w:p>
    <w:p w:rsidR="0032537D" w:rsidRPr="00794C0E" w:rsidRDefault="0032537D" w:rsidP="0032537D">
      <w:pPr>
        <w:rPr>
          <w:rFonts w:cs="Arial"/>
          <w:color w:val="000000"/>
          <w:sz w:val="22"/>
          <w:szCs w:val="22"/>
          <w:u w:val="single"/>
          <w:lang w:val="es-AR" w:eastAsia="es-AR"/>
        </w:rPr>
      </w:pPr>
      <w:r w:rsidRPr="00794C0E">
        <w:rPr>
          <w:rFonts w:cs="Arial"/>
          <w:color w:val="000000"/>
          <w:sz w:val="22"/>
          <w:szCs w:val="22"/>
          <w:u w:val="single"/>
          <w:lang w:val="es-AR" w:eastAsia="es-AR"/>
        </w:rPr>
        <w:t>Usuarios Industriales</w:t>
      </w:r>
      <w:r w:rsidRPr="00794C0E">
        <w:rPr>
          <w:rStyle w:val="FootnoteReference"/>
          <w:rFonts w:cs="Arial"/>
          <w:color w:val="000000"/>
          <w:sz w:val="22"/>
          <w:szCs w:val="22"/>
          <w:u w:val="single"/>
          <w:lang w:val="es-AR" w:eastAsia="es-AR"/>
        </w:rPr>
        <w:footnoteReference w:id="22"/>
      </w:r>
    </w:p>
    <w:p w:rsidR="0032537D" w:rsidRPr="00794C0E" w:rsidRDefault="0032537D" w:rsidP="0032537D">
      <w:pPr>
        <w:pStyle w:val="ListParagraph"/>
        <w:ind w:left="0"/>
        <w:rPr>
          <w:rFonts w:cs="Arial"/>
          <w:sz w:val="22"/>
          <w:szCs w:val="22"/>
          <w:lang w:val="es-AR" w:eastAsia="es-AR"/>
        </w:rPr>
      </w:pPr>
    </w:p>
    <w:p w:rsidR="0032537D" w:rsidRPr="00794C0E" w:rsidRDefault="0032537D" w:rsidP="0032537D">
      <w:pPr>
        <w:pStyle w:val="ListParagraph"/>
        <w:numPr>
          <w:ilvl w:val="1"/>
          <w:numId w:val="5"/>
        </w:numPr>
        <w:ind w:left="0" w:firstLine="0"/>
        <w:jc w:val="both"/>
        <w:rPr>
          <w:rFonts w:cs="Arial"/>
          <w:color w:val="000000"/>
          <w:sz w:val="22"/>
          <w:szCs w:val="22"/>
          <w:lang w:val="es-AR" w:eastAsia="es-AR"/>
        </w:rPr>
      </w:pPr>
      <w:r w:rsidRPr="00794C0E">
        <w:rPr>
          <w:rFonts w:cs="Arial"/>
          <w:color w:val="000000"/>
          <w:sz w:val="22"/>
          <w:szCs w:val="22"/>
          <w:lang w:val="es-AR" w:eastAsia="es-AR"/>
        </w:rPr>
        <w:t xml:space="preserve">Para la determinación del primer par ordenado de </w:t>
      </w:r>
      <w:r w:rsidRPr="00794C0E">
        <w:rPr>
          <w:rFonts w:cs="Arial"/>
          <w:i/>
          <w:color w:val="000000"/>
          <w:sz w:val="22"/>
          <w:szCs w:val="22"/>
          <w:lang w:val="es-AR" w:eastAsia="es-AR"/>
        </w:rPr>
        <w:t>consumo-precio</w:t>
      </w:r>
      <w:r w:rsidRPr="00794C0E">
        <w:rPr>
          <w:rFonts w:cs="Arial"/>
          <w:color w:val="000000"/>
          <w:sz w:val="22"/>
          <w:szCs w:val="22"/>
          <w:lang w:val="es-AR" w:eastAsia="es-AR"/>
        </w:rPr>
        <w:t xml:space="preserve"> se tomó como referencia a la situación sin proyecto. En base a los datos provistos por la Secretaría de Obras y Servicios Públicos de la Provincia de Corrientes, se consumen 216.000 (m</w:t>
      </w:r>
      <w:r w:rsidRPr="00794C0E">
        <w:rPr>
          <w:rFonts w:cs="Arial"/>
          <w:color w:val="000000"/>
          <w:sz w:val="22"/>
          <w:szCs w:val="22"/>
          <w:vertAlign w:val="superscript"/>
          <w:lang w:val="es-AR" w:eastAsia="es-AR"/>
        </w:rPr>
        <w:t>3</w:t>
      </w:r>
      <w:r w:rsidRPr="00794C0E">
        <w:rPr>
          <w:rFonts w:cs="Arial"/>
          <w:color w:val="000000"/>
          <w:sz w:val="22"/>
          <w:szCs w:val="22"/>
          <w:lang w:val="es-AR" w:eastAsia="es-AR"/>
        </w:rPr>
        <w:t>/mes) a un costo de 3,90 $/m</w:t>
      </w:r>
      <w:r w:rsidRPr="00794C0E">
        <w:rPr>
          <w:rFonts w:cs="Arial"/>
          <w:color w:val="000000"/>
          <w:sz w:val="22"/>
          <w:szCs w:val="22"/>
          <w:vertAlign w:val="superscript"/>
          <w:lang w:val="es-AR" w:eastAsia="es-AR"/>
        </w:rPr>
        <w:t>3</w:t>
      </w:r>
      <w:r w:rsidRPr="00794C0E">
        <w:rPr>
          <w:rFonts w:cs="Arial"/>
          <w:color w:val="000000"/>
          <w:sz w:val="22"/>
          <w:szCs w:val="22"/>
          <w:lang w:val="es-AR" w:eastAsia="es-AR"/>
        </w:rPr>
        <w:t>. Para el cálculo del segundo punto, se supuso que el consumo de las empresas aumentaría un 30%</w:t>
      </w:r>
      <w:r w:rsidRPr="00794C0E">
        <w:rPr>
          <w:rStyle w:val="FootnoteReference"/>
          <w:rFonts w:cs="Arial"/>
          <w:color w:val="000000"/>
          <w:sz w:val="22"/>
          <w:szCs w:val="22"/>
          <w:lang w:val="es-AR" w:eastAsia="es-AR"/>
        </w:rPr>
        <w:footnoteReference w:id="23"/>
      </w:r>
      <w:r w:rsidRPr="00794C0E">
        <w:rPr>
          <w:rFonts w:cs="Arial"/>
          <w:color w:val="000000"/>
          <w:sz w:val="22"/>
          <w:szCs w:val="22"/>
          <w:lang w:val="es-AR" w:eastAsia="es-AR"/>
        </w:rPr>
        <w:t>. El precio 0,65 $/m</w:t>
      </w:r>
      <w:r w:rsidRPr="00794C0E">
        <w:rPr>
          <w:rFonts w:cs="Arial"/>
          <w:color w:val="000000"/>
          <w:sz w:val="22"/>
          <w:szCs w:val="22"/>
          <w:vertAlign w:val="superscript"/>
          <w:lang w:val="es-AR" w:eastAsia="es-AR"/>
        </w:rPr>
        <w:t>3</w:t>
      </w:r>
      <w:r w:rsidRPr="00794C0E">
        <w:rPr>
          <w:rFonts w:cs="Arial"/>
          <w:color w:val="000000"/>
          <w:sz w:val="22"/>
          <w:szCs w:val="22"/>
          <w:lang w:val="es-AR" w:eastAsia="es-AR"/>
        </w:rPr>
        <w:t>, se obtuvo en relación al precio que recibe subvención a los sectores industriales</w:t>
      </w:r>
    </w:p>
    <w:p w:rsidR="0032537D" w:rsidRPr="00794C0E" w:rsidRDefault="0032537D" w:rsidP="0032537D">
      <w:pPr>
        <w:pStyle w:val="ListParagraph"/>
        <w:ind w:left="0"/>
        <w:jc w:val="both"/>
        <w:rPr>
          <w:rFonts w:cs="Arial"/>
          <w:b/>
          <w:lang w:val="es-AR" w:eastAsia="es-AR"/>
        </w:rPr>
      </w:pPr>
    </w:p>
    <w:p w:rsidR="0032537D" w:rsidRPr="00794C0E" w:rsidRDefault="0032537D" w:rsidP="0032537D">
      <w:pPr>
        <w:jc w:val="center"/>
        <w:rPr>
          <w:rFonts w:cs="Arial"/>
          <w:b/>
          <w:lang w:val="es-AR" w:eastAsia="es-AR"/>
        </w:rPr>
      </w:pPr>
      <w:r w:rsidRPr="00794C0E">
        <w:rPr>
          <w:rFonts w:cs="Arial"/>
          <w:b/>
          <w:lang w:val="es-AR" w:eastAsia="es-AR"/>
        </w:rPr>
        <w:t>Gráfico 3. Demanda de Gas Usuarios Industriales – en m</w:t>
      </w:r>
      <w:r w:rsidRPr="00794C0E">
        <w:rPr>
          <w:rFonts w:cs="Arial"/>
          <w:b/>
          <w:vertAlign w:val="superscript"/>
          <w:lang w:val="es-AR" w:eastAsia="es-AR"/>
        </w:rPr>
        <w:t>3</w:t>
      </w:r>
      <w:r w:rsidRPr="00794C0E">
        <w:rPr>
          <w:rFonts w:cs="Arial"/>
          <w:b/>
          <w:lang w:val="es-AR" w:eastAsia="es-AR"/>
        </w:rPr>
        <w:t xml:space="preserve"> por día</w:t>
      </w:r>
    </w:p>
    <w:p w:rsidR="0032537D" w:rsidRPr="00794C0E" w:rsidRDefault="0032537D" w:rsidP="0032537D">
      <w:pPr>
        <w:pStyle w:val="ListParagraph"/>
        <w:ind w:left="0"/>
        <w:jc w:val="center"/>
        <w:rPr>
          <w:rFonts w:cs="Arial"/>
          <w:noProof/>
          <w:sz w:val="22"/>
          <w:szCs w:val="22"/>
          <w:lang w:val="es-ES" w:eastAsia="es-ES"/>
        </w:rPr>
      </w:pPr>
      <w:r w:rsidRPr="00794C0E">
        <w:rPr>
          <w:rFonts w:cs="Arial"/>
          <w:noProof/>
          <w:sz w:val="22"/>
          <w:szCs w:val="22"/>
          <w:lang w:val="es-ES_tradnl" w:eastAsia="es-ES_tradnl"/>
        </w:rPr>
        <w:drawing>
          <wp:inline distT="0" distB="0" distL="0" distR="0" wp14:anchorId="668BCA0D" wp14:editId="1BD33515">
            <wp:extent cx="2962275" cy="173789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0847" cy="1748791"/>
                    </a:xfrm>
                    <a:prstGeom prst="rect">
                      <a:avLst/>
                    </a:prstGeom>
                    <a:noFill/>
                  </pic:spPr>
                </pic:pic>
              </a:graphicData>
            </a:graphic>
          </wp:inline>
        </w:drawing>
      </w:r>
    </w:p>
    <w:p w:rsidR="0032537D" w:rsidRPr="00794C0E" w:rsidRDefault="0032537D" w:rsidP="0032537D">
      <w:pPr>
        <w:spacing w:after="240"/>
        <w:ind w:left="1134" w:right="801"/>
        <w:rPr>
          <w:rFonts w:cs="Arial"/>
          <w:color w:val="000000"/>
          <w:lang w:val="es-AR" w:eastAsia="es-AR"/>
        </w:rPr>
      </w:pPr>
      <w:r w:rsidRPr="00794C0E">
        <w:rPr>
          <w:rFonts w:cs="Arial"/>
          <w:color w:val="000000"/>
          <w:lang w:val="es-AR" w:eastAsia="es-AR"/>
        </w:rPr>
        <w:t xml:space="preserve">Fuente: Elaboración propia en base a datos de ENERGAS, Gobierno de la Provincia de Corrientes, </w:t>
      </w:r>
    </w:p>
    <w:p w:rsidR="0032537D" w:rsidRPr="00794C0E" w:rsidRDefault="0032537D" w:rsidP="0032537D">
      <w:pPr>
        <w:pStyle w:val="ListParagraph"/>
        <w:ind w:left="0"/>
        <w:jc w:val="center"/>
        <w:rPr>
          <w:rFonts w:cs="Arial"/>
          <w:b/>
          <w:lang w:val="es-AR" w:eastAsia="es-AR"/>
        </w:rPr>
      </w:pPr>
      <w:r w:rsidRPr="00794C0E">
        <w:rPr>
          <w:rFonts w:cs="Arial"/>
          <w:b/>
          <w:lang w:val="es-AR" w:eastAsia="es-AR"/>
        </w:rPr>
        <w:lastRenderedPageBreak/>
        <w:t>Gráfico 4. Beneficios por Excedente de las Industrias</w:t>
      </w:r>
    </w:p>
    <w:p w:rsidR="0032537D" w:rsidRPr="00794C0E" w:rsidRDefault="0032537D" w:rsidP="0032537D">
      <w:pPr>
        <w:pStyle w:val="ListParagraph"/>
        <w:ind w:left="0"/>
        <w:jc w:val="center"/>
        <w:rPr>
          <w:rFonts w:cs="Arial"/>
          <w:sz w:val="22"/>
          <w:szCs w:val="22"/>
          <w:lang w:val="es-AR" w:eastAsia="es-AR"/>
        </w:rPr>
      </w:pPr>
    </w:p>
    <w:p w:rsidR="0032537D" w:rsidRPr="00794C0E" w:rsidRDefault="0032537D" w:rsidP="0032537D">
      <w:pPr>
        <w:jc w:val="center"/>
        <w:rPr>
          <w:rFonts w:cs="Arial"/>
          <w:lang w:val="es-ES"/>
        </w:rPr>
      </w:pPr>
      <w:r w:rsidRPr="00794C0E">
        <w:rPr>
          <w:rFonts w:cs="Arial"/>
          <w:noProof/>
          <w:lang w:val="es-ES_tradnl" w:eastAsia="es-ES_tradnl"/>
        </w:rPr>
        <w:drawing>
          <wp:inline distT="0" distB="0" distL="0" distR="0" wp14:anchorId="10A830BC" wp14:editId="1F62686D">
            <wp:extent cx="4221583" cy="2477589"/>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4419" cy="2485122"/>
                    </a:xfrm>
                    <a:prstGeom prst="rect">
                      <a:avLst/>
                    </a:prstGeom>
                    <a:noFill/>
                  </pic:spPr>
                </pic:pic>
              </a:graphicData>
            </a:graphic>
          </wp:inline>
        </w:drawing>
      </w:r>
    </w:p>
    <w:p w:rsidR="0032537D" w:rsidRPr="00794C0E" w:rsidRDefault="0032537D" w:rsidP="0032537D">
      <w:pPr>
        <w:spacing w:after="240"/>
        <w:ind w:left="851" w:right="801"/>
        <w:rPr>
          <w:rFonts w:cs="Arial"/>
          <w:color w:val="000000"/>
          <w:lang w:val="es-AR" w:eastAsia="es-AR"/>
        </w:rPr>
      </w:pPr>
      <w:r w:rsidRPr="00794C0E">
        <w:rPr>
          <w:rFonts w:cs="Arial"/>
          <w:color w:val="000000"/>
          <w:lang w:val="es-AR" w:eastAsia="es-AR"/>
        </w:rPr>
        <w:t>Fuente: Elaboración propia en base a datos de ENERGAS, Gobierno de la Provincia de Corrientes.</w:t>
      </w:r>
    </w:p>
    <w:p w:rsidR="00FF4F77" w:rsidRPr="00794C0E" w:rsidRDefault="00FF4F77" w:rsidP="009D1692">
      <w:pPr>
        <w:pStyle w:val="ListParagraph"/>
        <w:numPr>
          <w:ilvl w:val="1"/>
          <w:numId w:val="5"/>
        </w:numPr>
        <w:ind w:left="0" w:firstLine="0"/>
        <w:jc w:val="both"/>
        <w:rPr>
          <w:rFonts w:cs="Arial"/>
          <w:bCs/>
          <w:sz w:val="22"/>
          <w:szCs w:val="22"/>
          <w:lang w:val="es-AR"/>
        </w:rPr>
      </w:pPr>
      <w:r w:rsidRPr="00794C0E">
        <w:rPr>
          <w:rFonts w:cs="Arial"/>
          <w:bCs/>
          <w:sz w:val="22"/>
          <w:szCs w:val="22"/>
          <w:lang w:val="es-AR"/>
        </w:rPr>
        <w:t xml:space="preserve">Los beneficios </w:t>
      </w:r>
      <w:r w:rsidR="00C757B9" w:rsidRPr="00794C0E">
        <w:rPr>
          <w:rFonts w:cs="Arial"/>
          <w:bCs/>
          <w:sz w:val="22"/>
          <w:szCs w:val="22"/>
          <w:lang w:val="es-AR"/>
        </w:rPr>
        <w:t xml:space="preserve">para el primer año </w:t>
      </w:r>
      <w:r w:rsidRPr="00794C0E">
        <w:rPr>
          <w:rFonts w:cs="Arial"/>
          <w:bCs/>
          <w:sz w:val="22"/>
          <w:szCs w:val="22"/>
          <w:lang w:val="es-AR"/>
        </w:rPr>
        <w:t>pueden expresar formalmente mediante la siguiente ecuación</w:t>
      </w:r>
    </w:p>
    <w:p w:rsidR="00FF4F77" w:rsidRPr="00794C0E" w:rsidRDefault="00FF4F77" w:rsidP="009D1692">
      <w:pPr>
        <w:jc w:val="both"/>
        <w:rPr>
          <w:rFonts w:cs="Arial"/>
          <w:bCs/>
          <w:sz w:val="22"/>
          <w:szCs w:val="22"/>
          <w:lang w:val="es-AR"/>
        </w:rPr>
      </w:pPr>
    </w:p>
    <w:p w:rsidR="00FF4F77" w:rsidRPr="00794C0E" w:rsidRDefault="00794C0E" w:rsidP="009D1692">
      <w:pPr>
        <w:jc w:val="both"/>
        <w:rPr>
          <w:rFonts w:cs="Arial"/>
          <w:bCs/>
          <w:sz w:val="22"/>
          <w:szCs w:val="22"/>
          <w:lang w:val="es-AR"/>
        </w:rPr>
      </w:pPr>
      <m:oMathPara>
        <m:oMath>
          <m:sSub>
            <m:sSubPr>
              <m:ctrlPr>
                <w:rPr>
                  <w:rFonts w:ascii="Cambria Math" w:hAnsi="Cambria Math" w:cs="Arial"/>
                  <w:bCs/>
                  <w:i/>
                  <w:sz w:val="24"/>
                  <w:szCs w:val="24"/>
                  <w:lang w:val="es-AR"/>
                </w:rPr>
              </m:ctrlPr>
            </m:sSubPr>
            <m:e>
              <m:r>
                <w:rPr>
                  <w:rFonts w:ascii="Cambria Math" w:hAnsi="Cambria Math" w:cs="Arial"/>
                  <w:sz w:val="24"/>
                  <w:szCs w:val="24"/>
                  <w:lang w:val="es-AR"/>
                </w:rPr>
                <m:t>B</m:t>
              </m:r>
            </m:e>
            <m:sub>
              <m:r>
                <w:rPr>
                  <w:rFonts w:ascii="Cambria Math" w:hAnsi="Cambria Math" w:cs="Arial"/>
                  <w:sz w:val="24"/>
                  <w:szCs w:val="24"/>
                  <w:lang w:val="es-AR"/>
                </w:rPr>
                <m:t>3</m:t>
              </m:r>
            </m:sub>
          </m:sSub>
          <m:r>
            <w:rPr>
              <w:rFonts w:ascii="Cambria Math" w:hAnsi="Cambria Math" w:cs="Arial"/>
              <w:sz w:val="24"/>
              <w:szCs w:val="24"/>
              <w:lang w:val="es-AR"/>
            </w:rPr>
            <m:t>=α*</m:t>
          </m:r>
          <m:sSub>
            <m:sSubPr>
              <m:ctrlPr>
                <w:rPr>
                  <w:rFonts w:ascii="Cambria Math" w:hAnsi="Cambria Math" w:cs="Arial"/>
                  <w:i/>
                  <w:sz w:val="24"/>
                  <w:szCs w:val="24"/>
                  <w:lang w:val="es-AR"/>
                </w:rPr>
              </m:ctrlPr>
            </m:sSubPr>
            <m:e>
              <m:r>
                <w:rPr>
                  <w:rFonts w:ascii="Cambria Math" w:hAnsi="Cambria Math" w:cs="Arial"/>
                  <w:sz w:val="24"/>
                  <w:szCs w:val="24"/>
                  <w:lang w:val="es-AR"/>
                </w:rPr>
                <m:t>∆E</m:t>
              </m:r>
            </m:e>
            <m:sub>
              <m:r>
                <w:rPr>
                  <w:rFonts w:ascii="Cambria Math" w:hAnsi="Cambria Math" w:cs="Arial"/>
                  <w:sz w:val="24"/>
                  <w:szCs w:val="24"/>
                  <w:lang w:val="es-AR"/>
                </w:rPr>
                <m:t>ur</m:t>
              </m:r>
            </m:sub>
          </m:sSub>
          <m:r>
            <w:rPr>
              <w:rFonts w:ascii="Cambria Math" w:hAnsi="Cambria Math" w:cs="Arial"/>
              <w:sz w:val="24"/>
              <w:szCs w:val="24"/>
              <w:lang w:val="es-AR"/>
            </w:rPr>
            <m:t>*+</m:t>
          </m:r>
          <m:sSub>
            <m:sSubPr>
              <m:ctrlPr>
                <w:rPr>
                  <w:rFonts w:ascii="Cambria Math" w:hAnsi="Cambria Math" w:cs="Arial"/>
                  <w:bCs/>
                  <w:i/>
                  <w:sz w:val="24"/>
                  <w:szCs w:val="24"/>
                  <w:lang w:val="es-AR"/>
                </w:rPr>
              </m:ctrlPr>
            </m:sSubPr>
            <m:e>
              <m:r>
                <w:rPr>
                  <w:rFonts w:ascii="Cambria Math" w:hAnsi="Cambria Math" w:cs="Arial"/>
                  <w:sz w:val="24"/>
                  <w:szCs w:val="24"/>
                  <w:lang w:val="es-AR"/>
                </w:rPr>
                <m:t>∆E</m:t>
              </m:r>
            </m:e>
            <m:sub>
              <m:r>
                <w:rPr>
                  <w:rFonts w:ascii="Cambria Math" w:hAnsi="Cambria Math" w:cs="Arial"/>
                  <w:sz w:val="24"/>
                  <w:szCs w:val="24"/>
                  <w:lang w:val="es-AR"/>
                </w:rPr>
                <m:t>ui</m:t>
              </m:r>
            </m:sub>
          </m:sSub>
        </m:oMath>
      </m:oMathPara>
    </w:p>
    <w:p w:rsidR="000D1CAF" w:rsidRPr="00794C0E" w:rsidRDefault="000D1CAF" w:rsidP="009D1692">
      <w:pPr>
        <w:jc w:val="both"/>
        <w:rPr>
          <w:rFonts w:cs="Arial"/>
          <w:bCs/>
          <w:sz w:val="22"/>
          <w:szCs w:val="22"/>
          <w:lang w:val="es-AR"/>
        </w:rPr>
      </w:pPr>
    </w:p>
    <w:p w:rsidR="00F7049D" w:rsidRPr="00794C0E" w:rsidRDefault="00F7049D" w:rsidP="009D1692">
      <w:pPr>
        <w:jc w:val="both"/>
        <w:rPr>
          <w:rFonts w:cs="Arial"/>
          <w:bCs/>
          <w:sz w:val="22"/>
          <w:szCs w:val="22"/>
          <w:lang w:val="es-AR"/>
        </w:rPr>
      </w:pPr>
      <w:r w:rsidRPr="00794C0E">
        <w:rPr>
          <w:rFonts w:cs="Arial"/>
          <w:bCs/>
          <w:sz w:val="22"/>
          <w:szCs w:val="22"/>
          <w:lang w:val="es-AR"/>
        </w:rPr>
        <w:t xml:space="preserve">donde, </w:t>
      </w:r>
      <w:r w:rsidR="00FF6212" w:rsidRPr="00794C0E">
        <w:rPr>
          <w:rFonts w:cs="Arial"/>
          <w:bCs/>
          <w:sz w:val="22"/>
          <w:szCs w:val="22"/>
          <w:lang w:val="es-AR"/>
        </w:rPr>
        <w:t xml:space="preserve"> es el porcentaje en que penetra en los hogares el uso de gas natural el primer año, </w:t>
      </w:r>
      <w:r w:rsidRPr="00794C0E">
        <w:rPr>
          <w:rFonts w:cs="Arial"/>
          <w:bCs/>
          <w:i/>
          <w:sz w:val="22"/>
          <w:szCs w:val="22"/>
          <w:lang w:val="es-AR"/>
        </w:rPr>
        <w:t>E</w:t>
      </w:r>
      <w:r w:rsidRPr="00794C0E">
        <w:rPr>
          <w:rFonts w:cs="Arial"/>
          <w:bCs/>
          <w:i/>
          <w:sz w:val="22"/>
          <w:szCs w:val="22"/>
          <w:vertAlign w:val="subscript"/>
          <w:lang w:val="es-AR"/>
        </w:rPr>
        <w:t>ur</w:t>
      </w:r>
      <w:r w:rsidRPr="00794C0E">
        <w:rPr>
          <w:rFonts w:cs="Arial"/>
          <w:bCs/>
          <w:sz w:val="22"/>
          <w:szCs w:val="22"/>
          <w:lang w:val="es-AR"/>
        </w:rPr>
        <w:t xml:space="preserve"> es el incremento del excedente del consumidor para los residentes beneficiarios por la provisión de gas domiciliario residencial; y </w:t>
      </w:r>
      <w:r w:rsidRPr="00794C0E">
        <w:rPr>
          <w:rFonts w:cs="Arial"/>
          <w:bCs/>
          <w:i/>
          <w:sz w:val="22"/>
          <w:szCs w:val="22"/>
          <w:lang w:val="es-AR"/>
        </w:rPr>
        <w:t>E</w:t>
      </w:r>
      <w:r w:rsidRPr="00794C0E">
        <w:rPr>
          <w:rFonts w:cs="Arial"/>
          <w:bCs/>
          <w:i/>
          <w:sz w:val="22"/>
          <w:szCs w:val="22"/>
          <w:vertAlign w:val="subscript"/>
          <w:lang w:val="es-AR"/>
        </w:rPr>
        <w:t>ui</w:t>
      </w:r>
      <w:r w:rsidRPr="00794C0E">
        <w:rPr>
          <w:rFonts w:cs="Arial"/>
          <w:bCs/>
          <w:sz w:val="22"/>
          <w:szCs w:val="22"/>
          <w:vertAlign w:val="subscript"/>
          <w:lang w:val="es-AR"/>
        </w:rPr>
        <w:t xml:space="preserve"> </w:t>
      </w:r>
      <w:r w:rsidRPr="00794C0E">
        <w:rPr>
          <w:rFonts w:cs="Arial"/>
          <w:bCs/>
          <w:sz w:val="22"/>
          <w:szCs w:val="22"/>
          <w:lang w:val="es-AR"/>
        </w:rPr>
        <w:t>el incremento del excedente para las industrias que serán beneficiarias de la provisión de gas natural.</w:t>
      </w:r>
    </w:p>
    <w:p w:rsidR="00F7049D" w:rsidRPr="00794C0E" w:rsidRDefault="00F7049D" w:rsidP="009D1692">
      <w:pPr>
        <w:jc w:val="both"/>
        <w:rPr>
          <w:rFonts w:cs="Arial"/>
          <w:bCs/>
          <w:sz w:val="22"/>
          <w:szCs w:val="22"/>
          <w:lang w:val="es-AR"/>
        </w:rPr>
      </w:pPr>
    </w:p>
    <w:p w:rsidR="00C757B9" w:rsidRPr="00794C0E" w:rsidRDefault="001247C7" w:rsidP="009D1692">
      <w:pPr>
        <w:pStyle w:val="ListParagraph"/>
        <w:numPr>
          <w:ilvl w:val="1"/>
          <w:numId w:val="5"/>
        </w:numPr>
        <w:ind w:left="0" w:firstLine="0"/>
        <w:jc w:val="both"/>
        <w:rPr>
          <w:rFonts w:cs="Arial"/>
          <w:bCs/>
          <w:sz w:val="22"/>
          <w:szCs w:val="22"/>
          <w:lang w:val="es-AR"/>
        </w:rPr>
      </w:pPr>
      <w:r w:rsidRPr="00794C0E">
        <w:rPr>
          <w:rFonts w:cs="Arial"/>
          <w:bCs/>
          <w:sz w:val="22"/>
          <w:szCs w:val="22"/>
          <w:lang w:val="es-AR"/>
        </w:rPr>
        <w:t>A los fines de estimar una penetración para el servicio, de darse una situac</w:t>
      </w:r>
      <w:r w:rsidR="000F1272" w:rsidRPr="00794C0E">
        <w:rPr>
          <w:rFonts w:cs="Arial"/>
          <w:bCs/>
          <w:sz w:val="22"/>
          <w:szCs w:val="22"/>
          <w:lang w:val="es-AR"/>
        </w:rPr>
        <w:t>ión similar a otros puntos del país, s</w:t>
      </w:r>
      <w:r w:rsidRPr="00794C0E">
        <w:rPr>
          <w:rFonts w:cs="Arial"/>
          <w:bCs/>
          <w:sz w:val="22"/>
          <w:szCs w:val="22"/>
          <w:lang w:val="es-AR"/>
        </w:rPr>
        <w:t xml:space="preserve">e estima que, la penetración en los hogares </w:t>
      </w:r>
      <w:r w:rsidR="00FF6212" w:rsidRPr="00794C0E">
        <w:rPr>
          <w:rFonts w:cs="Arial"/>
          <w:bCs/>
          <w:sz w:val="22"/>
          <w:szCs w:val="22"/>
          <w:lang w:val="es-AR"/>
        </w:rPr>
        <w:t>no ocurre automáticamente en el 100 %</w:t>
      </w:r>
      <w:r w:rsidR="00C757B9" w:rsidRPr="00794C0E">
        <w:rPr>
          <w:rFonts w:cs="Arial"/>
          <w:bCs/>
          <w:sz w:val="22"/>
          <w:szCs w:val="22"/>
          <w:lang w:val="es-AR"/>
        </w:rPr>
        <w:t xml:space="preserve"> el primer año</w:t>
      </w:r>
      <w:r w:rsidRPr="00794C0E">
        <w:rPr>
          <w:rFonts w:cs="Arial"/>
          <w:bCs/>
          <w:sz w:val="22"/>
          <w:szCs w:val="22"/>
          <w:lang w:val="es-AR"/>
        </w:rPr>
        <w:t xml:space="preserve">, </w:t>
      </w:r>
      <w:r w:rsidR="00FF6212" w:rsidRPr="00794C0E">
        <w:rPr>
          <w:rFonts w:cs="Arial"/>
          <w:bCs/>
          <w:sz w:val="22"/>
          <w:szCs w:val="22"/>
          <w:lang w:val="es-AR"/>
        </w:rPr>
        <w:t xml:space="preserve">sino que esta efecto es paulatino, como se ha observado en las </w:t>
      </w:r>
      <w:r w:rsidRPr="00794C0E">
        <w:rPr>
          <w:rFonts w:cs="Arial"/>
          <w:bCs/>
          <w:sz w:val="22"/>
          <w:szCs w:val="22"/>
          <w:lang w:val="es-AR"/>
        </w:rPr>
        <w:t>provincias</w:t>
      </w:r>
      <w:r w:rsidR="00FF6212" w:rsidRPr="00794C0E">
        <w:rPr>
          <w:rFonts w:cs="Arial"/>
          <w:bCs/>
          <w:sz w:val="22"/>
          <w:szCs w:val="22"/>
          <w:lang w:val="es-AR"/>
        </w:rPr>
        <w:t xml:space="preserve"> de Entre Ríos, </w:t>
      </w:r>
      <w:r w:rsidRPr="00794C0E">
        <w:rPr>
          <w:rFonts w:cs="Arial"/>
          <w:bCs/>
          <w:sz w:val="22"/>
          <w:szCs w:val="22"/>
          <w:lang w:val="es-AR"/>
        </w:rPr>
        <w:t>Córdoba y Tucumán</w:t>
      </w:r>
      <w:r w:rsidR="00C757B9" w:rsidRPr="00794C0E">
        <w:rPr>
          <w:rStyle w:val="FootnoteReference"/>
          <w:rFonts w:cs="Arial"/>
          <w:bCs/>
          <w:sz w:val="22"/>
          <w:szCs w:val="22"/>
          <w:lang w:val="es-AR"/>
        </w:rPr>
        <w:footnoteReference w:id="24"/>
      </w:r>
    </w:p>
    <w:p w:rsidR="001247C7" w:rsidRPr="00794C0E" w:rsidRDefault="001247C7" w:rsidP="009D1692">
      <w:pPr>
        <w:jc w:val="both"/>
        <w:rPr>
          <w:rFonts w:cs="Arial"/>
          <w:bCs/>
          <w:sz w:val="22"/>
          <w:szCs w:val="22"/>
          <w:lang w:val="es-AR"/>
        </w:rPr>
      </w:pPr>
    </w:p>
    <w:p w:rsidR="002567DC" w:rsidRPr="00794C0E" w:rsidRDefault="002567DC" w:rsidP="002567DC">
      <w:pPr>
        <w:pStyle w:val="ListParagraph"/>
        <w:numPr>
          <w:ilvl w:val="1"/>
          <w:numId w:val="5"/>
        </w:numPr>
        <w:ind w:left="0" w:firstLine="0"/>
        <w:jc w:val="both"/>
        <w:rPr>
          <w:rFonts w:cs="Arial"/>
          <w:bCs/>
          <w:sz w:val="22"/>
          <w:szCs w:val="22"/>
          <w:lang w:val="es-AR"/>
        </w:rPr>
      </w:pPr>
      <w:r w:rsidRPr="00794C0E">
        <w:rPr>
          <w:rFonts w:cs="Arial"/>
          <w:bCs/>
          <w:sz w:val="22"/>
          <w:szCs w:val="22"/>
          <w:lang w:val="es-AR"/>
        </w:rPr>
        <w:t xml:space="preserve">Los costos de las inversiones a precios </w:t>
      </w:r>
      <w:r w:rsidR="004100EA" w:rsidRPr="00794C0E">
        <w:rPr>
          <w:rFonts w:cs="Arial"/>
          <w:bCs/>
          <w:sz w:val="22"/>
          <w:szCs w:val="22"/>
          <w:lang w:val="es-AR"/>
        </w:rPr>
        <w:t>de mercado ascienden a un estimado de US$15.2 millones</w:t>
      </w:r>
      <w:r w:rsidR="004100EA" w:rsidRPr="00794C0E">
        <w:rPr>
          <w:rStyle w:val="FootnoteReference"/>
          <w:rFonts w:cs="Arial"/>
          <w:bCs/>
          <w:sz w:val="22"/>
          <w:szCs w:val="22"/>
          <w:lang w:val="es-AR"/>
        </w:rPr>
        <w:footnoteReference w:id="25"/>
      </w:r>
      <w:r w:rsidR="004100EA" w:rsidRPr="00794C0E">
        <w:rPr>
          <w:rFonts w:cs="Arial"/>
          <w:bCs/>
          <w:sz w:val="22"/>
          <w:szCs w:val="22"/>
          <w:lang w:val="es-AR"/>
        </w:rPr>
        <w:t xml:space="preserve">, que en costos </w:t>
      </w:r>
      <w:r w:rsidRPr="00794C0E">
        <w:rPr>
          <w:rFonts w:cs="Arial"/>
          <w:bCs/>
          <w:sz w:val="22"/>
          <w:szCs w:val="22"/>
          <w:lang w:val="es-AR"/>
        </w:rPr>
        <w:t xml:space="preserve">sociales </w:t>
      </w:r>
      <w:r w:rsidR="004100EA" w:rsidRPr="00794C0E">
        <w:rPr>
          <w:rFonts w:cs="Arial"/>
          <w:bCs/>
          <w:sz w:val="22"/>
          <w:szCs w:val="22"/>
          <w:lang w:val="es-AR"/>
        </w:rPr>
        <w:t>representan</w:t>
      </w:r>
      <w:r w:rsidRPr="00794C0E">
        <w:rPr>
          <w:rFonts w:cs="Arial"/>
          <w:bCs/>
          <w:sz w:val="22"/>
          <w:szCs w:val="22"/>
          <w:lang w:val="es-AR"/>
        </w:rPr>
        <w:t xml:space="preserve"> $10,61 millones que serán ejecutados en el año 0 (2016), y los costos de mantenimiento se prevén en U$S 0,32 millones al año</w:t>
      </w:r>
      <w:r w:rsidR="00B32AF2" w:rsidRPr="00794C0E">
        <w:rPr>
          <w:rFonts w:cs="Arial"/>
          <w:bCs/>
          <w:sz w:val="22"/>
          <w:szCs w:val="22"/>
          <w:lang w:val="es-AR"/>
        </w:rPr>
        <w:t xml:space="preserve"> y adicionalmente se prevé un costo de conexión residencial de US$1 millones</w:t>
      </w:r>
      <w:r w:rsidRPr="00794C0E">
        <w:rPr>
          <w:rFonts w:cs="Arial"/>
          <w:bCs/>
          <w:sz w:val="22"/>
          <w:szCs w:val="22"/>
          <w:lang w:val="es-AR"/>
        </w:rPr>
        <w:t>.</w:t>
      </w:r>
    </w:p>
    <w:p w:rsidR="002567DC" w:rsidRPr="00794C0E" w:rsidRDefault="002567DC">
      <w:pPr>
        <w:rPr>
          <w:rFonts w:cs="Arial"/>
          <w:b/>
          <w:bCs/>
          <w:sz w:val="22"/>
          <w:szCs w:val="22"/>
          <w:lang w:val="es-AR"/>
        </w:rPr>
      </w:pPr>
    </w:p>
    <w:p w:rsidR="00FF4F77" w:rsidRPr="00794C0E" w:rsidRDefault="00FF4F77" w:rsidP="009D1692">
      <w:pPr>
        <w:pStyle w:val="ListParagraph"/>
        <w:numPr>
          <w:ilvl w:val="0"/>
          <w:numId w:val="6"/>
        </w:numPr>
        <w:ind w:left="0" w:firstLine="0"/>
        <w:jc w:val="both"/>
        <w:rPr>
          <w:rFonts w:cs="Arial"/>
          <w:b/>
          <w:bCs/>
          <w:sz w:val="22"/>
          <w:szCs w:val="22"/>
          <w:lang w:val="es-AR"/>
        </w:rPr>
      </w:pPr>
      <w:r w:rsidRPr="00794C0E">
        <w:rPr>
          <w:rFonts w:cs="Arial"/>
          <w:b/>
          <w:bCs/>
          <w:sz w:val="22"/>
          <w:szCs w:val="22"/>
          <w:lang w:val="es-AR"/>
        </w:rPr>
        <w:t>Es</w:t>
      </w:r>
      <w:r w:rsidR="00DE69B9" w:rsidRPr="00794C0E">
        <w:rPr>
          <w:rFonts w:cs="Arial"/>
          <w:b/>
          <w:bCs/>
          <w:sz w:val="22"/>
          <w:szCs w:val="22"/>
          <w:lang w:val="es-AR"/>
        </w:rPr>
        <w:t>tación Transformadora San Agustí</w:t>
      </w:r>
      <w:r w:rsidRPr="00794C0E">
        <w:rPr>
          <w:rFonts w:cs="Arial"/>
          <w:b/>
          <w:bCs/>
          <w:sz w:val="22"/>
          <w:szCs w:val="22"/>
          <w:lang w:val="es-AR"/>
        </w:rPr>
        <w:t>n (ETSA)</w:t>
      </w:r>
    </w:p>
    <w:p w:rsidR="00FF4F77" w:rsidRPr="00794C0E" w:rsidRDefault="00FF4F77" w:rsidP="009D1692">
      <w:pPr>
        <w:pStyle w:val="ListParagraph"/>
        <w:ind w:left="0"/>
        <w:rPr>
          <w:rFonts w:cs="Arial"/>
          <w:b/>
          <w:bCs/>
          <w:sz w:val="22"/>
          <w:szCs w:val="22"/>
          <w:lang w:val="es-AR"/>
        </w:rPr>
      </w:pPr>
    </w:p>
    <w:p w:rsidR="001247C7" w:rsidRPr="00794C0E" w:rsidRDefault="001247C7" w:rsidP="009D1692">
      <w:pPr>
        <w:jc w:val="both"/>
        <w:rPr>
          <w:rFonts w:cs="Arial"/>
          <w:bCs/>
          <w:sz w:val="22"/>
          <w:szCs w:val="22"/>
          <w:u w:val="single"/>
          <w:lang w:val="es-AR"/>
        </w:rPr>
      </w:pPr>
      <w:r w:rsidRPr="00794C0E">
        <w:rPr>
          <w:rFonts w:cs="Arial"/>
          <w:bCs/>
          <w:sz w:val="22"/>
          <w:szCs w:val="22"/>
          <w:u w:val="single"/>
          <w:lang w:val="es-AR"/>
        </w:rPr>
        <w:lastRenderedPageBreak/>
        <w:t>Descripción</w:t>
      </w:r>
    </w:p>
    <w:p w:rsidR="001247C7" w:rsidRPr="00794C0E" w:rsidRDefault="001247C7" w:rsidP="009D1692">
      <w:pPr>
        <w:jc w:val="both"/>
        <w:rPr>
          <w:rFonts w:cs="Arial"/>
          <w:bCs/>
          <w:sz w:val="22"/>
          <w:szCs w:val="22"/>
          <w:highlight w:val="yellow"/>
          <w:lang w:val="es-AR"/>
        </w:rPr>
      </w:pPr>
    </w:p>
    <w:p w:rsidR="0010168F" w:rsidRPr="00794C0E" w:rsidRDefault="001247C7" w:rsidP="0010168F">
      <w:pPr>
        <w:pStyle w:val="ListParagraph"/>
        <w:numPr>
          <w:ilvl w:val="1"/>
          <w:numId w:val="5"/>
        </w:numPr>
        <w:ind w:left="0" w:firstLine="0"/>
        <w:jc w:val="both"/>
        <w:rPr>
          <w:rFonts w:cs="Arial"/>
          <w:b/>
          <w:bCs/>
          <w:sz w:val="22"/>
          <w:szCs w:val="22"/>
          <w:lang w:val="es-AR"/>
        </w:rPr>
      </w:pPr>
      <w:r w:rsidRPr="00794C0E">
        <w:rPr>
          <w:rFonts w:cs="Arial"/>
          <w:bCs/>
          <w:sz w:val="22"/>
          <w:szCs w:val="22"/>
          <w:lang w:val="es-AR"/>
        </w:rPr>
        <w:t>El proyecto contempla la construcción de una estación transformadora de 132 Kv/33 Kv/13,2 Kv con una potencia instalada de 30 MVA. El mismo cuenta con dos campos de línea y uno de transformación de alta tensión y dos campos de 33 Kv y cuatro campos de 13,2 KV.</w:t>
      </w:r>
      <w:r w:rsidR="00C757B9" w:rsidRPr="00794C0E">
        <w:rPr>
          <w:rFonts w:cs="Arial"/>
          <w:bCs/>
          <w:sz w:val="22"/>
          <w:szCs w:val="22"/>
          <w:lang w:val="es-AR"/>
        </w:rPr>
        <w:t xml:space="preserve"> </w:t>
      </w:r>
    </w:p>
    <w:p w:rsidR="0010168F" w:rsidRPr="00794C0E" w:rsidRDefault="0010168F" w:rsidP="0010168F">
      <w:pPr>
        <w:pStyle w:val="ListParagraph"/>
        <w:ind w:left="0"/>
        <w:jc w:val="both"/>
        <w:rPr>
          <w:rFonts w:cs="Arial"/>
          <w:b/>
          <w:bCs/>
          <w:sz w:val="22"/>
          <w:szCs w:val="22"/>
          <w:lang w:val="es-AR"/>
        </w:rPr>
      </w:pPr>
    </w:p>
    <w:p w:rsidR="00C53064" w:rsidRPr="00794C0E" w:rsidRDefault="0010168F" w:rsidP="00C53064">
      <w:pPr>
        <w:pStyle w:val="ListParagraph"/>
        <w:numPr>
          <w:ilvl w:val="1"/>
          <w:numId w:val="5"/>
        </w:numPr>
        <w:ind w:left="0" w:firstLine="0"/>
        <w:jc w:val="both"/>
        <w:rPr>
          <w:rFonts w:cs="Arial"/>
          <w:b/>
          <w:bCs/>
          <w:sz w:val="22"/>
          <w:szCs w:val="22"/>
          <w:lang w:val="es-AR"/>
        </w:rPr>
      </w:pPr>
      <w:r w:rsidRPr="00794C0E">
        <w:rPr>
          <w:rFonts w:cs="Arial"/>
          <w:bCs/>
          <w:sz w:val="22"/>
          <w:szCs w:val="22"/>
          <w:lang w:val="es-AR"/>
        </w:rPr>
        <w:t>Las obras de infraestructuras se georreferencian según el siguiente mapa, que se extiende desde</w:t>
      </w:r>
      <w:r w:rsidR="00C53064" w:rsidRPr="00794C0E">
        <w:rPr>
          <w:rFonts w:cs="Arial"/>
          <w:bCs/>
          <w:sz w:val="22"/>
          <w:szCs w:val="22"/>
          <w:lang w:val="es-AR"/>
        </w:rPr>
        <w:t xml:space="preserve"> la Central Cabra Corra</w:t>
      </w:r>
      <w:r w:rsidRPr="00794C0E">
        <w:rPr>
          <w:rFonts w:cs="Arial"/>
          <w:bCs/>
          <w:sz w:val="22"/>
          <w:szCs w:val="22"/>
          <w:lang w:val="es-AR"/>
        </w:rPr>
        <w:t xml:space="preserve"> </w:t>
      </w:r>
      <w:r w:rsidR="00C53064" w:rsidRPr="00794C0E">
        <w:rPr>
          <w:rFonts w:cs="Arial"/>
          <w:bCs/>
          <w:sz w:val="22"/>
          <w:szCs w:val="22"/>
          <w:lang w:val="es-AR"/>
        </w:rPr>
        <w:t>hacia la Estación Transformadora del Este de Salta (Tramo 1) y hasta la Estación el Carril (Tramo 2)</w:t>
      </w:r>
    </w:p>
    <w:p w:rsidR="00C53064" w:rsidRPr="00794C0E" w:rsidRDefault="00C53064" w:rsidP="00C53064">
      <w:pPr>
        <w:pStyle w:val="ListParagraph"/>
        <w:rPr>
          <w:rFonts w:cs="Arial"/>
          <w:b/>
          <w:bCs/>
          <w:sz w:val="22"/>
          <w:szCs w:val="22"/>
          <w:lang w:val="es-AR"/>
        </w:rPr>
      </w:pPr>
    </w:p>
    <w:p w:rsidR="00104DA9" w:rsidRPr="00794C0E" w:rsidRDefault="00104DA9" w:rsidP="00957267">
      <w:pPr>
        <w:pStyle w:val="ListParagraph"/>
        <w:ind w:left="360"/>
        <w:jc w:val="center"/>
        <w:rPr>
          <w:rFonts w:cs="Arial"/>
          <w:b/>
          <w:lang w:val="es-AR"/>
        </w:rPr>
      </w:pPr>
    </w:p>
    <w:p w:rsidR="00957267" w:rsidRPr="00794C0E" w:rsidRDefault="00957267" w:rsidP="00957267">
      <w:pPr>
        <w:pStyle w:val="ListParagraph"/>
        <w:ind w:left="360"/>
        <w:jc w:val="center"/>
        <w:rPr>
          <w:rFonts w:cs="Arial"/>
          <w:b/>
          <w:lang w:val="es-AR"/>
        </w:rPr>
      </w:pPr>
      <w:r w:rsidRPr="00794C0E">
        <w:rPr>
          <w:rFonts w:cs="Arial"/>
          <w:b/>
          <w:lang w:val="es-AR"/>
        </w:rPr>
        <w:t>Ubicación Geográfica</w:t>
      </w:r>
    </w:p>
    <w:p w:rsidR="008331FE" w:rsidRPr="00794C0E" w:rsidRDefault="00C53064" w:rsidP="00C53064">
      <w:pPr>
        <w:pStyle w:val="ListParagraph"/>
        <w:ind w:left="0"/>
        <w:jc w:val="center"/>
        <w:rPr>
          <w:rFonts w:cs="Arial"/>
          <w:b/>
          <w:bCs/>
          <w:sz w:val="22"/>
          <w:szCs w:val="22"/>
          <w:lang w:val="es-AR"/>
        </w:rPr>
      </w:pPr>
      <w:r w:rsidRPr="00794C0E">
        <w:rPr>
          <w:rFonts w:cs="Arial"/>
          <w:b/>
          <w:bCs/>
          <w:noProof/>
          <w:sz w:val="22"/>
          <w:szCs w:val="22"/>
          <w:lang w:val="es-ES_tradnl" w:eastAsia="es-ES_tradnl"/>
        </w:rPr>
        <mc:AlternateContent>
          <mc:Choice Requires="wpg">
            <w:drawing>
              <wp:anchor distT="0" distB="0" distL="114300" distR="114300" simplePos="0" relativeHeight="251659264" behindDoc="0" locked="0" layoutInCell="1" allowOverlap="1" wp14:anchorId="1D4CE60E" wp14:editId="2A22735D">
                <wp:simplePos x="0" y="0"/>
                <wp:positionH relativeFrom="column">
                  <wp:posOffset>291465</wp:posOffset>
                </wp:positionH>
                <wp:positionV relativeFrom="paragraph">
                  <wp:posOffset>2076810</wp:posOffset>
                </wp:positionV>
                <wp:extent cx="3902075" cy="2409190"/>
                <wp:effectExtent l="0" t="0" r="22225" b="29210"/>
                <wp:wrapNone/>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2075" cy="2409190"/>
                          <a:chOff x="0" y="0"/>
                          <a:chExt cx="6145" cy="3794"/>
                        </a:xfrm>
                      </wpg:grpSpPr>
                      <wps:wsp>
                        <wps:cNvPr id="12" name="Text Box 5"/>
                        <wps:cNvSpPr txBox="1">
                          <a:spLocks noChangeArrowheads="1"/>
                        </wps:cNvSpPr>
                        <wps:spPr bwMode="auto">
                          <a:xfrm>
                            <a:off x="4401" y="0"/>
                            <a:ext cx="1745" cy="684"/>
                          </a:xfrm>
                          <a:prstGeom prst="rect">
                            <a:avLst/>
                          </a:prstGeom>
                          <a:noFill/>
                          <a:ln w="12700" cap="flat" cmpd="sng">
                            <a:solidFill>
                              <a:srgbClr val="FF00FF"/>
                            </a:solidFill>
                            <a:miter lim="800000"/>
                            <a:headEnd/>
                            <a:tailEnd/>
                          </a:ln>
                          <a:extLst>
                            <a:ext uri="{909E8E84-426E-40DD-AFC4-6F175D3DCCD1}">
                              <a14:hiddenFill xmlns:a14="http://schemas.microsoft.com/office/drawing/2010/main">
                                <a:solidFill>
                                  <a:srgbClr val="FFFFFF"/>
                                </a:solidFill>
                              </a14:hiddenFill>
                            </a:ext>
                          </a:extLst>
                        </wps:spPr>
                        <wps:txbx>
                          <w:txbxContent>
                            <w:p w:rsidR="00104DA9" w:rsidRDefault="00104DA9">
                              <w:pPr>
                                <w:rPr>
                                  <w:b/>
                                  <w:bCs/>
                                  <w:lang w:val="es-AR"/>
                                </w:rPr>
                              </w:pPr>
                              <w:r>
                                <w:rPr>
                                  <w:b/>
                                  <w:bCs/>
                                  <w:color w:val="FF00FF"/>
                                  <w:lang w:val="es-AR"/>
                                </w:rPr>
                                <w:t>LAT Salta Este - Cabra Corral</w:t>
                              </w:r>
                            </w:p>
                          </w:txbxContent>
                        </wps:txbx>
                        <wps:bodyPr rot="0" vert="horz" wrap="square" lIns="91439" tIns="45719" rIns="91439" bIns="45719" anchor="t" anchorCtr="0" upright="1">
                          <a:noAutofit/>
                        </wps:bodyPr>
                      </wps:wsp>
                      <wps:wsp>
                        <wps:cNvPr id="13" name="Text Box 5"/>
                        <wps:cNvSpPr txBox="1">
                          <a:spLocks noChangeArrowheads="1"/>
                        </wps:cNvSpPr>
                        <wps:spPr bwMode="auto">
                          <a:xfrm>
                            <a:off x="0" y="3082"/>
                            <a:ext cx="1544" cy="713"/>
                          </a:xfrm>
                          <a:prstGeom prst="rect">
                            <a:avLst/>
                          </a:prstGeom>
                          <a:noFill/>
                          <a:ln w="12700" cap="flat" cmpd="sng">
                            <a:solidFill>
                              <a:srgbClr val="FF00FF"/>
                            </a:solidFill>
                            <a:miter lim="800000"/>
                            <a:headEnd/>
                            <a:tailEnd/>
                          </a:ln>
                          <a:extLst>
                            <a:ext uri="{909E8E84-426E-40DD-AFC4-6F175D3DCCD1}">
                              <a14:hiddenFill xmlns:a14="http://schemas.microsoft.com/office/drawing/2010/main">
                                <a:solidFill>
                                  <a:srgbClr val="FFFFFF"/>
                                </a:solidFill>
                              </a14:hiddenFill>
                            </a:ext>
                          </a:extLst>
                        </wps:spPr>
                        <wps:txbx>
                          <w:txbxContent>
                            <w:p w:rsidR="00104DA9" w:rsidRDefault="00104DA9">
                              <w:pPr>
                                <w:rPr>
                                  <w:b/>
                                  <w:bCs/>
                                  <w:lang w:val="es-AR"/>
                                </w:rPr>
                              </w:pPr>
                              <w:r>
                                <w:rPr>
                                  <w:b/>
                                  <w:bCs/>
                                  <w:color w:val="FF00FF"/>
                                  <w:lang w:val="es-AR"/>
                                </w:rPr>
                                <w:t>LAT Caril - Cabra Corral</w:t>
                              </w:r>
                            </w:p>
                          </w:txbxContent>
                        </wps:txbx>
                        <wps:bodyPr rot="0" vert="horz" wrap="square" lIns="91439" tIns="45719" rIns="91439" bIns="45719" anchor="t" anchorCtr="0" upright="1">
                          <a:noAutofit/>
                        </wps:bodyPr>
                      </wps:wsp>
                      <wps:wsp>
                        <wps:cNvPr id="14" name="Line 8"/>
                        <wps:cNvCnPr/>
                        <wps:spPr bwMode="auto">
                          <a:xfrm flipV="1">
                            <a:off x="1574" y="2702"/>
                            <a:ext cx="1356" cy="443"/>
                          </a:xfrm>
                          <a:prstGeom prst="line">
                            <a:avLst/>
                          </a:prstGeom>
                          <a:noFill/>
                          <a:ln w="15875" cap="flat" cmpd="sng">
                            <a:solidFill>
                              <a:srgbClr val="FF00FF"/>
                            </a:solidFill>
                            <a:round/>
                            <a:headEnd/>
                            <a:tailEnd type="triangle" w="med" len="med"/>
                          </a:ln>
                          <a:extLst>
                            <a:ext uri="{909E8E84-426E-40DD-AFC4-6F175D3DCCD1}">
                              <a14:hiddenFill xmlns:a14="http://schemas.microsoft.com/office/drawing/2010/main">
                                <a:noFill/>
                              </a14:hiddenFill>
                            </a:ext>
                          </a:extLst>
                        </wps:spPr>
                        <wps:bodyPr/>
                      </wps:wsp>
                      <wps:wsp>
                        <wps:cNvPr id="15" name="Line 8"/>
                        <wps:cNvCnPr/>
                        <wps:spPr bwMode="auto">
                          <a:xfrm flipH="1">
                            <a:off x="3344" y="126"/>
                            <a:ext cx="1050" cy="369"/>
                          </a:xfrm>
                          <a:prstGeom prst="line">
                            <a:avLst/>
                          </a:prstGeom>
                          <a:noFill/>
                          <a:ln w="15875" cap="flat" cmpd="sng">
                            <a:solidFill>
                              <a:srgbClr val="FF00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1" o:spid="_x0000_s1026" style="position:absolute;left:0;text-align:left;margin-left:22.95pt;margin-top:163.55pt;width:307.25pt;height:189.7pt;z-index:251659264" coordsize="6145,3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">
                <v:shapetype id="_x0000_t202" coordsize="21600,21600" o:spt="202" path="m,l,21600r21600,l21600,xe">
                  <v:stroke joinstyle="miter"/>
                  <v:path gradientshapeok="t" o:connecttype="rect"/>
                </v:shapetype>
                <v:shape id="Text Box 5" o:spid="_x0000_s1027" type="#_x0000_t202" style="position:absolute;left:4401;width:1745;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VDvb0A&#10;AADbAAAADwAAAGRycy9kb3ducmV2LnhtbERPTYvCMBC9C/6HMIIX0VQRkWoUcVkQb+qy5yEZ22Az&#10;KU3U6q83guBtHu9zluvWVeJGTbCeFYxHGQhi7Y3lQsHf6Xc4BxEissHKMyl4UID1qttZYm78nQ90&#10;O8ZCpBAOOSooY6xzKYMuyWEY+Zo4cWffOIwJNoU0Dd5TuKvkJMtm0qHl1FBiTduS9OV4dQpCsJiZ&#10;uH+0+BzvB/ZH/x+mWql+r90sQERq41f8ce9Mmj+B9y/pALl6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yVDvb0AAADbAAAADwAAAAAAAAAAAAAAAACYAgAAZHJzL2Rvd25yZXYu&#10;eG1sUEsFBgAAAAAEAAQA9QAAAIIDAAAAAA==&#10;" filled="f" strokecolor="fuchsia" strokeweight="1pt">
                  <v:textbox inset="2.53997mm,1.27mm,2.53997mm,1.27mm">
                    <w:txbxContent>
                      <w:p w:rsidR="00104DA9" w:rsidRDefault="00104DA9">
                        <w:pPr>
                          <w:rPr>
                            <w:b/>
                            <w:bCs/>
                            <w:lang w:val="es-AR"/>
                          </w:rPr>
                        </w:pPr>
                        <w:r>
                          <w:rPr>
                            <w:b/>
                            <w:bCs/>
                            <w:color w:val="FF00FF"/>
                            <w:lang w:val="es-AR"/>
                          </w:rPr>
                          <w:t>LAT Salta Este - Cabra Corral</w:t>
                        </w:r>
                      </w:p>
                    </w:txbxContent>
                  </v:textbox>
                </v:shape>
                <v:shape id="Text Box 5" o:spid="_x0000_s1028" type="#_x0000_t202" style="position:absolute;top:3082;width:1544;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mJr8A&#10;AADbAAAADwAAAGRycy9kb3ducmV2LnhtbERPS4vCMBC+C/sfwix4kW3qg2WpRlkUQbz5YM9DMrZh&#10;m0lpolZ/vREEb/PxPWe26FwtLtQG61nBMMtBEGtvLJcKjof11w+IEJEN1p5JwY0CLOYfvRkWxl95&#10;R5d9LEUK4VCggirGppAy6Iochsw3xIk7+dZhTLAtpWnxmsJdLUd5/i0dWk4NFTa0rEj/789OQQgW&#10;cxO3tw7vw+3ArvTfbqKV6n92v1MQkbr4Fr/cG5Pmj+H5SzpAz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aeYmvwAAANsAAAAPAAAAAAAAAAAAAAAAAJgCAABkcnMvZG93bnJl&#10;di54bWxQSwUGAAAAAAQABAD1AAAAhAMAAAAA&#10;" filled="f" strokecolor="fuchsia" strokeweight="1pt">
                  <v:textbox inset="2.53997mm,1.27mm,2.53997mm,1.27mm">
                    <w:txbxContent>
                      <w:p w:rsidR="00104DA9" w:rsidRDefault="00104DA9">
                        <w:pPr>
                          <w:rPr>
                            <w:b/>
                            <w:bCs/>
                            <w:lang w:val="es-AR"/>
                          </w:rPr>
                        </w:pPr>
                        <w:r>
                          <w:rPr>
                            <w:b/>
                            <w:bCs/>
                            <w:color w:val="FF00FF"/>
                            <w:lang w:val="es-AR"/>
                          </w:rPr>
                          <w:t>LAT Caril - Cabra Corral</w:t>
                        </w:r>
                      </w:p>
                    </w:txbxContent>
                  </v:textbox>
                </v:shape>
                <v:line id="Line 8" o:spid="_x0000_s1029" style="position:absolute;flip:y;visibility:visible;mso-wrap-style:square" from="1574,2702" to="2930,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t0Tb8AAADbAAAADwAAAGRycy9kb3ducmV2LnhtbERPTYvCMBC9C/sfwgjeNFVXkWqURXDx&#10;avXibWjGpNhMShNtd3/9RljwNo/3OZtd72rxpDZUnhVMJxkI4tLrio2Cy/kwXoEIEVlj7ZkU/FCA&#10;3fZjsMFc+45P9CyiESmEQ44KbIxNLmUoLTkME98QJ+7mW4cxwdZI3WKXwl0tZ1m2lA4rTg0WG9pb&#10;Ku/Fwym4SzO/rb7rwl8Xv509n7pruTRKjYb91xpEpD6+xf/uo07zP+H1SzpAb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4t0Tb8AAADbAAAADwAAAAAAAAAAAAAAAACh&#10;AgAAZHJzL2Rvd25yZXYueG1sUEsFBgAAAAAEAAQA+QAAAI0DAAAAAA==&#10;" strokecolor="fuchsia" strokeweight="1.25pt">
                  <v:stroke endarrow="block"/>
                </v:line>
                <v:line id="Line 8" o:spid="_x0000_s1030" style="position:absolute;flip:x;visibility:visible;mso-wrap-style:square" from="3344,126" to="439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fR1r4AAADbAAAADwAAAGRycy9kb3ducmV2LnhtbERPTYvCMBC9C/6HMAveNF1FkWoUEVa8&#10;Wr14G5oxKTaT0mRt9debhQVv83ifs972rhYPakPlWcH3JANBXHpdsVFwOf+MlyBCRNZYeyYFTwqw&#10;3QwHa8y17/hEjyIakUI45KjAxtjkUobSksMw8Q1x4m6+dRgTbI3ULXYp3NVymmUL6bDi1GCxob2l&#10;8l78OgV3aWa35aEu/HX+6uz51F3LhVFq9NXvViAi9fEj/ncfdZo/h79f0gFy8w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x9HWvgAAANsAAAAPAAAAAAAAAAAAAAAAAKEC&#10;AABkcnMvZG93bnJldi54bWxQSwUGAAAAAAQABAD5AAAAjAMAAAAA&#10;" strokecolor="fuchsia" strokeweight="1.25pt">
                  <v:stroke endarrow="block"/>
                </v:line>
              </v:group>
            </w:pict>
          </mc:Fallback>
        </mc:AlternateContent>
      </w:r>
      <w:r w:rsidRPr="00794C0E">
        <w:rPr>
          <w:rFonts w:cs="Arial"/>
          <w:noProof/>
          <w:lang w:val="es-ES_tradnl" w:eastAsia="es-ES_tradnl"/>
        </w:rPr>
        <mc:AlternateContent>
          <mc:Choice Requires="wpg">
            <w:drawing>
              <wp:anchor distT="0" distB="0" distL="114300" distR="114300" simplePos="0" relativeHeight="251658240" behindDoc="0" locked="0" layoutInCell="1" allowOverlap="1" wp14:anchorId="06B08D2E" wp14:editId="3E24E1BF">
                <wp:simplePos x="0" y="0"/>
                <wp:positionH relativeFrom="column">
                  <wp:posOffset>1484184</wp:posOffset>
                </wp:positionH>
                <wp:positionV relativeFrom="paragraph">
                  <wp:posOffset>714341</wp:posOffset>
                </wp:positionV>
                <wp:extent cx="1333500" cy="3689985"/>
                <wp:effectExtent l="0" t="0" r="19050" b="24765"/>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3689985"/>
                          <a:chOff x="0" y="0"/>
                          <a:chExt cx="2530" cy="7660"/>
                        </a:xfrm>
                      </wpg:grpSpPr>
                      <wps:wsp>
                        <wps:cNvPr id="8" name="Line 2"/>
                        <wps:cNvCnPr/>
                        <wps:spPr bwMode="auto">
                          <a:xfrm flipH="1">
                            <a:off x="1030" y="0"/>
                            <a:ext cx="100" cy="2480"/>
                          </a:xfrm>
                          <a:prstGeom prst="line">
                            <a:avLst/>
                          </a:prstGeom>
                          <a:noFill/>
                          <a:ln w="22225" cap="flat" cmpd="sng">
                            <a:solidFill>
                              <a:srgbClr val="FF0000"/>
                            </a:solidFill>
                            <a:round/>
                            <a:headEnd/>
                            <a:tailEnd/>
                          </a:ln>
                          <a:extLst>
                            <a:ext uri="{909E8E84-426E-40DD-AFC4-6F175D3DCCD1}">
                              <a14:hiddenFill xmlns:a14="http://schemas.microsoft.com/office/drawing/2010/main">
                                <a:noFill/>
                              </a14:hiddenFill>
                            </a:ext>
                          </a:extLst>
                        </wps:spPr>
                        <wps:bodyPr/>
                      </wps:wsp>
                      <wps:wsp>
                        <wps:cNvPr id="9" name="Line 2"/>
                        <wps:cNvCnPr/>
                        <wps:spPr bwMode="auto">
                          <a:xfrm>
                            <a:off x="1029" y="2471"/>
                            <a:ext cx="1500" cy="5161"/>
                          </a:xfrm>
                          <a:prstGeom prst="line">
                            <a:avLst/>
                          </a:prstGeom>
                          <a:noFill/>
                          <a:ln w="22225" cap="flat" cmpd="sng">
                            <a:solidFill>
                              <a:srgbClr val="FF0000"/>
                            </a:solidFill>
                            <a:round/>
                            <a:headEnd/>
                            <a:tailEnd/>
                          </a:ln>
                          <a:extLst>
                            <a:ext uri="{909E8E84-426E-40DD-AFC4-6F175D3DCCD1}">
                              <a14:hiddenFill xmlns:a14="http://schemas.microsoft.com/office/drawing/2010/main">
                                <a:noFill/>
                              </a14:hiddenFill>
                            </a:ext>
                          </a:extLst>
                        </wps:spPr>
                        <wps:bodyPr/>
                      </wps:wsp>
                      <wps:wsp>
                        <wps:cNvPr id="10" name="Line 2"/>
                        <wps:cNvCnPr/>
                        <wps:spPr bwMode="auto">
                          <a:xfrm>
                            <a:off x="0" y="4142"/>
                            <a:ext cx="2531" cy="3519"/>
                          </a:xfrm>
                          <a:prstGeom prst="line">
                            <a:avLst/>
                          </a:prstGeom>
                          <a:noFill/>
                          <a:ln w="22225" cap="flat" cmpd="sng">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7" o:spid="_x0000_s1026" style="position:absolute;margin-left:116.85pt;margin-top:56.25pt;width:105pt;height:290.55pt;z-index:251658240" coordsize="2530,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">
                <v:line id="Line 2" o:spid="_x0000_s1027" style="position:absolute;flip:x;visibility:visible;mso-wrap-style:square" from="1030,0" to="1130,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JsYsIAAADaAAAADwAAAGRycy9kb3ducmV2LnhtbERPW0vDMBR+F/YfwhnsRVxqwTK6ZaNs&#10;FIYguAtzj4fm2BSbk9LEtv578yD4+PHdN7vJtmKg3jeOFTwvExDEldMN1wqul/JpBcIHZI2tY1Lw&#10;Qx5229nDBnPtRj7RcA61iCHsc1RgQuhyKX1lyKJfuo44cp+utxgi7GupexxjuG1lmiSZtNhwbDDY&#10;0d5Q9XX+tgruxfvHKXt88y9FWWH9eriZLL0ptZhPxRpEoCn8i//cR60gbo1X4g2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JsYsIAAADaAAAADwAAAAAAAAAAAAAA&#10;AAChAgAAZHJzL2Rvd25yZXYueG1sUEsFBgAAAAAEAAQA+QAAAJADAAAAAA==&#10;" strokecolor="red" strokeweight="1.75pt"/>
                <v:line id="Line 2" o:spid="_x0000_s1028" style="position:absolute;visibility:visible;mso-wrap-style:square" from="1029,2471" to="2529,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swccIAAADaAAAADwAAAGRycy9kb3ducmV2LnhtbESPT4vCMBTE7wt+h/AEb9tUD7JWo4gi&#10;WDyt1j/HR/Nsi81LaWKt336zsLDHYWZ+wyxWvalFR62rLCsYRzEI4tzqigsF2Wn3+QXCeWSNtWVS&#10;8CYHq+XgY4GJti/+pu7oCxEg7BJUUHrfJFK6vCSDLrINcfDutjXog2wLqVt8Bbip5SSOp9JgxWGh&#10;xIY2JeWP49MoaDK5dYdUr6+uPu/T7DbRXXpRajTs13MQnnr/H/5r77WCGfxeCTdA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swccIAAADaAAAADwAAAAAAAAAAAAAA&#10;AAChAgAAZHJzL2Rvd25yZXYueG1sUEsFBgAAAAAEAAQA+QAAAJADAAAAAA==&#10;" strokecolor="red" strokeweight="1.75pt"/>
                <v:line id="Line 2" o:spid="_x0000_s1029" style="position:absolute;visibility:visible;mso-wrap-style:square" from="0,4142" to="2531,7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cqPsMAAADbAAAADwAAAGRycy9kb3ducmV2LnhtbESPQWvCQBCF7wX/wzJCb81GD1Kiq0hF&#10;MHhS09rjkJ0modnZkF1j+u+dQ8HbDO/Ne9+sNqNr1UB9aDwbmCUpKOLS24YrA8Vl//YOKkRki61n&#10;MvBHATbrycsKM+vvfKLhHCslIRwyNFDH2GVah7ImhyHxHbFoP753GGXtK217vEu4a/U8TRfaYcPS&#10;UGNHHzWVv+ebM9AVeheOud1eQ/t5yIvvuR3yL2Nep+N2CSrSGJ/m/+uDFXyhl19kA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nKj7DAAAA2wAAAA8AAAAAAAAAAAAA&#10;AAAAoQIAAGRycy9kb3ducmV2LnhtbFBLBQYAAAAABAAEAPkAAACRAwAAAAA=&#10;" strokecolor="red" strokeweight="1.75pt"/>
              </v:group>
            </w:pict>
          </mc:Fallback>
        </mc:AlternateContent>
      </w:r>
      <w:r w:rsidRPr="00794C0E">
        <w:rPr>
          <w:rFonts w:cs="Arial"/>
          <w:noProof/>
          <w:lang w:val="es-ES_tradnl" w:eastAsia="es-ES_tradnl"/>
        </w:rPr>
        <w:drawing>
          <wp:inline distT="0" distB="0" distL="0" distR="0" wp14:anchorId="27F53388" wp14:editId="04C6A567">
            <wp:extent cx="4819015" cy="4954905"/>
            <wp:effectExtent l="0" t="0" r="635" b="0"/>
            <wp:docPr id="6" name="Imagen 6" descr="UBICACION GEOGRFIC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BICACION GEOGRFICA 3"/>
                    <pic:cNvPicPr>
                      <a:picLocks noChangeAspect="1" noChangeArrowheads="1"/>
                    </pic:cNvPicPr>
                  </pic:nvPicPr>
                  <pic:blipFill>
                    <a:blip r:embed="rId18">
                      <a:extLst>
                        <a:ext uri="{28A0092B-C50C-407E-A947-70E740481C1C}">
                          <a14:useLocalDpi xmlns:a14="http://schemas.microsoft.com/office/drawing/2010/main" val="0"/>
                        </a:ext>
                      </a:extLst>
                    </a:blip>
                    <a:srcRect r="39917"/>
                    <a:stretch>
                      <a:fillRect/>
                    </a:stretch>
                  </pic:blipFill>
                  <pic:spPr bwMode="auto">
                    <a:xfrm>
                      <a:off x="0" y="0"/>
                      <a:ext cx="4819015" cy="4954905"/>
                    </a:xfrm>
                    <a:prstGeom prst="rect">
                      <a:avLst/>
                    </a:prstGeom>
                    <a:noFill/>
                    <a:ln>
                      <a:noFill/>
                    </a:ln>
                  </pic:spPr>
                </pic:pic>
              </a:graphicData>
            </a:graphic>
          </wp:inline>
        </w:drawing>
      </w:r>
    </w:p>
    <w:p w:rsidR="00C53064" w:rsidRPr="00794C0E" w:rsidRDefault="00C53064" w:rsidP="009D1692">
      <w:pPr>
        <w:pStyle w:val="ListParagraph"/>
        <w:ind w:left="0"/>
        <w:jc w:val="both"/>
        <w:rPr>
          <w:rFonts w:cs="Arial"/>
          <w:b/>
          <w:bCs/>
          <w:sz w:val="22"/>
          <w:szCs w:val="22"/>
          <w:lang w:val="es-AR"/>
        </w:rPr>
      </w:pPr>
    </w:p>
    <w:p w:rsidR="0010168F" w:rsidRPr="00794C0E" w:rsidRDefault="0010168F" w:rsidP="0010168F">
      <w:pPr>
        <w:pStyle w:val="ListParagraph"/>
        <w:numPr>
          <w:ilvl w:val="1"/>
          <w:numId w:val="5"/>
        </w:numPr>
        <w:ind w:left="0" w:firstLine="0"/>
        <w:jc w:val="both"/>
        <w:rPr>
          <w:rFonts w:cs="Arial"/>
          <w:b/>
          <w:bCs/>
          <w:sz w:val="22"/>
          <w:szCs w:val="22"/>
          <w:lang w:val="es-AR"/>
        </w:rPr>
      </w:pPr>
      <w:r w:rsidRPr="00794C0E">
        <w:rPr>
          <w:rFonts w:cs="Arial"/>
          <w:bCs/>
          <w:sz w:val="22"/>
          <w:szCs w:val="22"/>
          <w:lang w:val="es-AR"/>
        </w:rPr>
        <w:t xml:space="preserve">La inversión permitirá incrementar la demanda de los emprendimientos agro-ganaderos de la zona sudeste del Valle de Lerma por medio del incremento de la oferta eléctrica que garantice el normal crecimiento comprometido de las industrias y establecimientos agroindustriales radicados en la zona. La situación eléctrica actual no permite satisfacer la </w:t>
      </w:r>
      <w:r w:rsidRPr="00794C0E">
        <w:rPr>
          <w:rFonts w:cs="Arial"/>
          <w:bCs/>
          <w:sz w:val="22"/>
          <w:szCs w:val="22"/>
          <w:lang w:val="es-AR"/>
        </w:rPr>
        <w:lastRenderedPageBreak/>
        <w:t>necesidad requerida por los emprendimientos agrícolas del lugar, con la calidad de servicio y producto técnico de la infraestructura eléctrica, imprescindibles para este tipo de actividad. Las actividades que se desarrollan en la zona son: Avícola, Porcina, Láctea; Tabaco, Especias, Agrícola, Frigorífica.</w:t>
      </w:r>
    </w:p>
    <w:p w:rsidR="0010168F" w:rsidRPr="00794C0E" w:rsidRDefault="0010168F" w:rsidP="0010168F">
      <w:pPr>
        <w:jc w:val="both"/>
        <w:rPr>
          <w:rFonts w:cs="Arial"/>
          <w:bCs/>
          <w:sz w:val="22"/>
          <w:szCs w:val="22"/>
          <w:u w:val="single"/>
          <w:lang w:val="es-AR"/>
        </w:rPr>
      </w:pPr>
    </w:p>
    <w:p w:rsidR="0010168F" w:rsidRPr="00794C0E" w:rsidRDefault="0010168F" w:rsidP="0010168F">
      <w:pPr>
        <w:jc w:val="both"/>
        <w:rPr>
          <w:rFonts w:cs="Arial"/>
          <w:bCs/>
          <w:sz w:val="22"/>
          <w:szCs w:val="22"/>
          <w:u w:val="single"/>
          <w:lang w:val="es-AR"/>
        </w:rPr>
      </w:pPr>
      <w:r w:rsidRPr="00794C0E">
        <w:rPr>
          <w:rFonts w:cs="Arial"/>
          <w:bCs/>
          <w:sz w:val="22"/>
          <w:szCs w:val="22"/>
          <w:u w:val="single"/>
          <w:lang w:val="es-AR"/>
        </w:rPr>
        <w:t xml:space="preserve">Determinación </w:t>
      </w:r>
      <w:r w:rsidR="00356941" w:rsidRPr="00794C0E">
        <w:rPr>
          <w:rFonts w:cs="Arial"/>
          <w:bCs/>
          <w:sz w:val="22"/>
          <w:szCs w:val="22"/>
          <w:u w:val="single"/>
          <w:lang w:val="es-AR"/>
        </w:rPr>
        <w:t xml:space="preserve">costos y </w:t>
      </w:r>
      <w:r w:rsidRPr="00794C0E">
        <w:rPr>
          <w:rFonts w:cs="Arial"/>
          <w:bCs/>
          <w:sz w:val="22"/>
          <w:szCs w:val="22"/>
          <w:u w:val="single"/>
          <w:lang w:val="es-AR"/>
        </w:rPr>
        <w:t>beneficios</w:t>
      </w:r>
    </w:p>
    <w:p w:rsidR="0010168F" w:rsidRPr="00794C0E" w:rsidRDefault="0010168F" w:rsidP="009D1692">
      <w:pPr>
        <w:pStyle w:val="ListParagraph"/>
        <w:ind w:left="0"/>
        <w:jc w:val="both"/>
        <w:rPr>
          <w:rFonts w:cs="Arial"/>
          <w:b/>
          <w:bCs/>
          <w:sz w:val="22"/>
          <w:szCs w:val="22"/>
          <w:lang w:val="es-AR"/>
        </w:rPr>
      </w:pPr>
    </w:p>
    <w:p w:rsidR="00337EFD" w:rsidRPr="00794C0E" w:rsidRDefault="0010168F" w:rsidP="00337EFD">
      <w:pPr>
        <w:pStyle w:val="ListParagraph"/>
        <w:numPr>
          <w:ilvl w:val="1"/>
          <w:numId w:val="5"/>
        </w:numPr>
        <w:ind w:left="0" w:firstLine="0"/>
        <w:jc w:val="both"/>
        <w:rPr>
          <w:rFonts w:cs="Arial"/>
          <w:lang w:val="es-AR"/>
        </w:rPr>
      </w:pPr>
      <w:r w:rsidRPr="00794C0E">
        <w:rPr>
          <w:rFonts w:cs="Arial"/>
          <w:bCs/>
          <w:sz w:val="22"/>
          <w:szCs w:val="22"/>
          <w:lang w:val="es-AR"/>
        </w:rPr>
        <w:t xml:space="preserve">Los beneficios se monetizaron en función de la cantidad de industrias (y empresas) que el proyecto </w:t>
      </w:r>
      <w:r w:rsidR="00DF29E3" w:rsidRPr="00794C0E">
        <w:rPr>
          <w:rFonts w:cs="Arial"/>
          <w:bCs/>
          <w:sz w:val="22"/>
          <w:szCs w:val="22"/>
          <w:lang w:val="es-AR"/>
        </w:rPr>
        <w:t xml:space="preserve">de electrificación en zonas rurales </w:t>
      </w:r>
      <w:r w:rsidRPr="00794C0E">
        <w:rPr>
          <w:rFonts w:cs="Arial"/>
          <w:bCs/>
          <w:sz w:val="22"/>
          <w:szCs w:val="22"/>
          <w:lang w:val="es-AR"/>
        </w:rPr>
        <w:t>generará, de manera de calcular el potencial que las empresas alcanzarán en los incrementos de producción asociados al mejoramiento de la infraestructura.</w:t>
      </w:r>
      <w:r w:rsidR="00337EFD" w:rsidRPr="00794C0E">
        <w:rPr>
          <w:rFonts w:cs="Arial"/>
          <w:bCs/>
          <w:sz w:val="22"/>
          <w:szCs w:val="22"/>
          <w:lang w:val="es-AR"/>
        </w:rPr>
        <w:t xml:space="preserve"> Para ello determinó la diferencia entre la producción que se espera con la implementación del proyecto en relación a la proyección sin proyecto.</w:t>
      </w:r>
    </w:p>
    <w:p w:rsidR="00337EFD" w:rsidRPr="00794C0E" w:rsidRDefault="00337EFD" w:rsidP="00337EFD">
      <w:pPr>
        <w:pStyle w:val="ListParagraph"/>
        <w:ind w:left="0"/>
        <w:jc w:val="both"/>
        <w:rPr>
          <w:rFonts w:cs="Arial"/>
          <w:lang w:val="es-AR"/>
        </w:rPr>
      </w:pPr>
    </w:p>
    <w:p w:rsidR="00337EFD" w:rsidRPr="00794C0E" w:rsidRDefault="00337EFD" w:rsidP="00337EFD">
      <w:pPr>
        <w:pStyle w:val="ListParagraph"/>
        <w:numPr>
          <w:ilvl w:val="1"/>
          <w:numId w:val="5"/>
        </w:numPr>
        <w:ind w:left="0" w:firstLine="0"/>
        <w:jc w:val="both"/>
        <w:rPr>
          <w:rFonts w:cs="Arial"/>
          <w:bCs/>
          <w:sz w:val="22"/>
          <w:szCs w:val="22"/>
          <w:lang w:val="es-AR"/>
        </w:rPr>
      </w:pPr>
      <w:r w:rsidRPr="00794C0E">
        <w:rPr>
          <w:rFonts w:cs="Arial"/>
          <w:bCs/>
          <w:sz w:val="22"/>
          <w:szCs w:val="22"/>
          <w:lang w:val="es-AR"/>
        </w:rPr>
        <w:t>Para la situación sin proyecto, se utilizaron los volúmenes actuales de producción de las empresas de la zona, provistos por los relevamientos realizados por la Dirección Provincial de Industria de la Provincia de Salta, para el conjunto de empresas a ser beneficiadas.</w:t>
      </w:r>
    </w:p>
    <w:p w:rsidR="00337EFD" w:rsidRPr="00794C0E" w:rsidRDefault="00337EFD" w:rsidP="00337EFD">
      <w:pPr>
        <w:pStyle w:val="ListParagraph"/>
        <w:ind w:left="0"/>
        <w:jc w:val="both"/>
        <w:rPr>
          <w:rFonts w:cs="Arial"/>
          <w:lang w:val="es-AR"/>
        </w:rPr>
      </w:pPr>
    </w:p>
    <w:p w:rsidR="00337EFD" w:rsidRPr="00794C0E" w:rsidRDefault="00337EFD" w:rsidP="00337EFD">
      <w:pPr>
        <w:jc w:val="center"/>
        <w:rPr>
          <w:rFonts w:cs="Arial"/>
          <w:b/>
          <w:lang w:val="es-AR"/>
        </w:rPr>
      </w:pPr>
      <w:r w:rsidRPr="00794C0E">
        <w:rPr>
          <w:rFonts w:cs="Arial"/>
          <w:b/>
          <w:lang w:val="es-AR"/>
        </w:rPr>
        <w:t xml:space="preserve">Tabla </w:t>
      </w:r>
      <w:r w:rsidR="00C278D7" w:rsidRPr="00794C0E">
        <w:rPr>
          <w:rFonts w:cs="Arial"/>
          <w:b/>
          <w:lang w:val="es-AR"/>
        </w:rPr>
        <w:t>3</w:t>
      </w:r>
      <w:r w:rsidRPr="00794C0E">
        <w:rPr>
          <w:rFonts w:cs="Arial"/>
          <w:b/>
          <w:lang w:val="es-AR"/>
        </w:rPr>
        <w:t>. Empresas Potencialmente Beneficiarios</w:t>
      </w:r>
    </w:p>
    <w:p w:rsidR="00337EFD" w:rsidRPr="00794C0E" w:rsidRDefault="00337EFD" w:rsidP="00337EFD">
      <w:pPr>
        <w:jc w:val="center"/>
        <w:rPr>
          <w:rFonts w:cs="Arial"/>
          <w:lang w:val="es-AR"/>
        </w:rPr>
      </w:pPr>
      <w:r w:rsidRPr="00794C0E">
        <w:rPr>
          <w:rFonts w:cs="Arial"/>
          <w:lang w:val="es-AR"/>
        </w:rPr>
        <w:t>Situación Sin Proyecto</w:t>
      </w:r>
    </w:p>
    <w:tbl>
      <w:tblPr>
        <w:tblW w:w="5000" w:type="pct"/>
        <w:jc w:val="center"/>
        <w:tblCellMar>
          <w:left w:w="70" w:type="dxa"/>
          <w:right w:w="70" w:type="dxa"/>
        </w:tblCellMar>
        <w:tblLook w:val="04A0" w:firstRow="1" w:lastRow="0" w:firstColumn="1" w:lastColumn="0" w:noHBand="0" w:noVBand="1"/>
      </w:tblPr>
      <w:tblGrid>
        <w:gridCol w:w="3056"/>
        <w:gridCol w:w="2643"/>
        <w:gridCol w:w="2005"/>
        <w:gridCol w:w="1796"/>
      </w:tblGrid>
      <w:tr w:rsidR="00337EFD" w:rsidRPr="00794C0E" w:rsidTr="00104DA9">
        <w:trPr>
          <w:trHeight w:val="20"/>
          <w:jc w:val="center"/>
        </w:trPr>
        <w:tc>
          <w:tcPr>
            <w:tcW w:w="16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37EFD" w:rsidRPr="00794C0E" w:rsidRDefault="00337EFD" w:rsidP="00F06B79">
            <w:pPr>
              <w:jc w:val="center"/>
              <w:rPr>
                <w:rFonts w:cs="Arial"/>
                <w:b/>
                <w:bCs/>
                <w:color w:val="000000"/>
                <w:lang w:val="es-AR" w:eastAsia="es-ES"/>
              </w:rPr>
            </w:pPr>
            <w:r w:rsidRPr="00794C0E">
              <w:rPr>
                <w:rFonts w:cs="Arial"/>
                <w:b/>
                <w:bCs/>
                <w:color w:val="000000"/>
                <w:lang w:val="es-AR" w:eastAsia="es-ES"/>
              </w:rPr>
              <w:t>Empresa</w:t>
            </w:r>
          </w:p>
        </w:tc>
        <w:tc>
          <w:tcPr>
            <w:tcW w:w="139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37EFD" w:rsidRPr="00794C0E" w:rsidRDefault="00337EFD" w:rsidP="00F06B79">
            <w:pPr>
              <w:jc w:val="center"/>
              <w:rPr>
                <w:rFonts w:cs="Arial"/>
                <w:b/>
                <w:bCs/>
                <w:color w:val="000000"/>
                <w:lang w:val="es-AR" w:eastAsia="es-ES"/>
              </w:rPr>
            </w:pPr>
            <w:r w:rsidRPr="00794C0E">
              <w:rPr>
                <w:rFonts w:cs="Arial"/>
                <w:b/>
                <w:bCs/>
                <w:color w:val="000000"/>
                <w:lang w:val="es-AR" w:eastAsia="es-ES"/>
              </w:rPr>
              <w:t>Rubro</w:t>
            </w:r>
          </w:p>
        </w:tc>
        <w:tc>
          <w:tcPr>
            <w:tcW w:w="105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37EFD" w:rsidRPr="00794C0E" w:rsidRDefault="00337EFD" w:rsidP="00F06B79">
            <w:pPr>
              <w:jc w:val="center"/>
              <w:rPr>
                <w:rFonts w:cs="Arial"/>
                <w:b/>
                <w:bCs/>
                <w:color w:val="000000"/>
                <w:lang w:val="es-AR" w:eastAsia="es-ES"/>
              </w:rPr>
            </w:pPr>
            <w:r w:rsidRPr="00794C0E">
              <w:rPr>
                <w:rFonts w:cs="Arial"/>
                <w:b/>
                <w:bCs/>
                <w:color w:val="000000"/>
                <w:lang w:val="es-AR" w:eastAsia="es-ES"/>
              </w:rPr>
              <w:t>Unidad de Medida</w:t>
            </w:r>
          </w:p>
        </w:tc>
        <w:tc>
          <w:tcPr>
            <w:tcW w:w="94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37EFD" w:rsidRPr="00794C0E" w:rsidRDefault="00337EFD" w:rsidP="00F06B79">
            <w:pPr>
              <w:jc w:val="center"/>
              <w:rPr>
                <w:rFonts w:cs="Arial"/>
                <w:b/>
                <w:bCs/>
                <w:color w:val="000000"/>
                <w:lang w:val="es-AR" w:eastAsia="es-ES"/>
              </w:rPr>
            </w:pPr>
            <w:r w:rsidRPr="00794C0E">
              <w:rPr>
                <w:rFonts w:cs="Arial"/>
                <w:b/>
                <w:bCs/>
                <w:color w:val="000000"/>
                <w:lang w:val="es-AR" w:eastAsia="es-ES"/>
              </w:rPr>
              <w:t xml:space="preserve">Volumen de Producción </w:t>
            </w:r>
          </w:p>
        </w:tc>
      </w:tr>
      <w:tr w:rsidR="00337EFD" w:rsidRPr="00794C0E" w:rsidTr="00794C0E">
        <w:trPr>
          <w:trHeight w:val="288"/>
          <w:jc w:val="center"/>
        </w:trPr>
        <w:tc>
          <w:tcPr>
            <w:tcW w:w="1609" w:type="pct"/>
            <w:tcBorders>
              <w:top w:val="nil"/>
              <w:left w:val="single" w:sz="4" w:space="0" w:color="auto"/>
              <w:bottom w:val="single" w:sz="4" w:space="0" w:color="auto"/>
              <w:right w:val="single" w:sz="4" w:space="0" w:color="auto"/>
            </w:tcBorders>
            <w:shd w:val="clear" w:color="auto" w:fill="auto"/>
            <w:vAlign w:val="center"/>
            <w:hideMark/>
          </w:tcPr>
          <w:p w:rsidR="00337EFD" w:rsidRPr="00794C0E" w:rsidRDefault="00337EFD" w:rsidP="007A6E48">
            <w:pPr>
              <w:rPr>
                <w:rFonts w:cs="Arial"/>
                <w:color w:val="000000"/>
                <w:lang w:val="es-AR" w:eastAsia="es-ES"/>
              </w:rPr>
            </w:pPr>
            <w:r w:rsidRPr="00794C0E">
              <w:rPr>
                <w:rFonts w:cs="Arial"/>
                <w:color w:val="000000"/>
                <w:lang w:val="es-AR" w:eastAsia="es-ES"/>
              </w:rPr>
              <w:t>BOSCH S.R.L</w:t>
            </w:r>
          </w:p>
        </w:tc>
        <w:tc>
          <w:tcPr>
            <w:tcW w:w="1391" w:type="pct"/>
            <w:tcBorders>
              <w:top w:val="nil"/>
              <w:left w:val="nil"/>
              <w:bottom w:val="single" w:sz="4" w:space="0" w:color="auto"/>
              <w:right w:val="single" w:sz="4" w:space="0" w:color="auto"/>
            </w:tcBorders>
            <w:shd w:val="clear" w:color="auto" w:fill="auto"/>
            <w:vAlign w:val="center"/>
            <w:hideMark/>
          </w:tcPr>
          <w:p w:rsidR="00337EFD" w:rsidRPr="00794C0E" w:rsidRDefault="00337EFD" w:rsidP="00F06B79">
            <w:pPr>
              <w:jc w:val="center"/>
              <w:rPr>
                <w:rFonts w:cs="Arial"/>
                <w:color w:val="000000"/>
                <w:lang w:val="es-AR" w:eastAsia="es-ES"/>
              </w:rPr>
            </w:pPr>
            <w:r w:rsidRPr="00794C0E">
              <w:rPr>
                <w:rFonts w:cs="Arial"/>
                <w:color w:val="000000"/>
                <w:lang w:val="es-AR" w:eastAsia="es-ES"/>
              </w:rPr>
              <w:t>Curtido orgánico de cueros</w:t>
            </w:r>
          </w:p>
        </w:tc>
        <w:tc>
          <w:tcPr>
            <w:tcW w:w="1055" w:type="pct"/>
            <w:tcBorders>
              <w:top w:val="nil"/>
              <w:left w:val="nil"/>
              <w:bottom w:val="single" w:sz="4" w:space="0" w:color="auto"/>
              <w:right w:val="single" w:sz="4" w:space="0" w:color="auto"/>
            </w:tcBorders>
            <w:shd w:val="clear" w:color="auto" w:fill="auto"/>
            <w:vAlign w:val="center"/>
            <w:hideMark/>
          </w:tcPr>
          <w:p w:rsidR="00337EFD" w:rsidRPr="00794C0E" w:rsidRDefault="00337EFD" w:rsidP="00337EFD">
            <w:pPr>
              <w:jc w:val="center"/>
              <w:rPr>
                <w:rFonts w:cs="Arial"/>
                <w:color w:val="000000"/>
                <w:lang w:val="es-AR" w:eastAsia="es-ES"/>
              </w:rPr>
            </w:pPr>
            <w:r w:rsidRPr="00794C0E">
              <w:rPr>
                <w:rFonts w:cs="Arial"/>
                <w:color w:val="000000"/>
                <w:lang w:val="es-AR" w:eastAsia="es-ES"/>
              </w:rPr>
              <w:t>Vaquetas</w:t>
            </w:r>
          </w:p>
        </w:tc>
        <w:tc>
          <w:tcPr>
            <w:tcW w:w="945" w:type="pct"/>
            <w:tcBorders>
              <w:top w:val="nil"/>
              <w:left w:val="nil"/>
              <w:bottom w:val="single" w:sz="4" w:space="0" w:color="auto"/>
              <w:right w:val="single" w:sz="4" w:space="0" w:color="auto"/>
            </w:tcBorders>
            <w:shd w:val="clear" w:color="auto" w:fill="auto"/>
            <w:vAlign w:val="center"/>
            <w:hideMark/>
          </w:tcPr>
          <w:p w:rsidR="00337EFD" w:rsidRPr="00794C0E" w:rsidRDefault="00337EFD" w:rsidP="00337EFD">
            <w:pPr>
              <w:jc w:val="right"/>
              <w:rPr>
                <w:rFonts w:cs="Arial"/>
                <w:color w:val="000000"/>
                <w:lang w:val="es-AR" w:eastAsia="es-ES"/>
              </w:rPr>
            </w:pPr>
            <w:r w:rsidRPr="00794C0E">
              <w:rPr>
                <w:rFonts w:cs="Arial"/>
                <w:color w:val="000000"/>
                <w:lang w:val="es-AR" w:eastAsia="es-ES"/>
              </w:rPr>
              <w:t xml:space="preserve">              12.000</w:t>
            </w:r>
          </w:p>
        </w:tc>
      </w:tr>
      <w:tr w:rsidR="00337EFD" w:rsidRPr="00794C0E" w:rsidTr="00794C0E">
        <w:trPr>
          <w:trHeight w:val="288"/>
          <w:jc w:val="center"/>
        </w:trPr>
        <w:tc>
          <w:tcPr>
            <w:tcW w:w="1609" w:type="pct"/>
            <w:vMerge w:val="restart"/>
            <w:tcBorders>
              <w:top w:val="nil"/>
              <w:left w:val="single" w:sz="4" w:space="0" w:color="auto"/>
              <w:bottom w:val="single" w:sz="4" w:space="0" w:color="auto"/>
              <w:right w:val="single" w:sz="4" w:space="0" w:color="auto"/>
            </w:tcBorders>
            <w:shd w:val="clear" w:color="auto" w:fill="auto"/>
            <w:vAlign w:val="center"/>
            <w:hideMark/>
          </w:tcPr>
          <w:p w:rsidR="00337EFD" w:rsidRPr="00794C0E" w:rsidRDefault="00337EFD" w:rsidP="00F06B79">
            <w:pPr>
              <w:rPr>
                <w:rFonts w:cs="Arial"/>
                <w:color w:val="000000"/>
                <w:lang w:val="es-AR" w:eastAsia="es-ES"/>
              </w:rPr>
            </w:pPr>
            <w:r w:rsidRPr="00794C0E">
              <w:rPr>
                <w:rFonts w:cs="Arial"/>
                <w:color w:val="000000"/>
                <w:lang w:val="es-AR" w:eastAsia="es-ES"/>
              </w:rPr>
              <w:t xml:space="preserve">MARCELO USANDIVARAS </w:t>
            </w:r>
          </w:p>
        </w:tc>
        <w:tc>
          <w:tcPr>
            <w:tcW w:w="1391" w:type="pct"/>
            <w:vMerge w:val="restart"/>
            <w:tcBorders>
              <w:top w:val="nil"/>
              <w:left w:val="single" w:sz="4" w:space="0" w:color="auto"/>
              <w:bottom w:val="single" w:sz="4" w:space="0" w:color="auto"/>
              <w:right w:val="single" w:sz="4" w:space="0" w:color="auto"/>
            </w:tcBorders>
            <w:shd w:val="clear" w:color="auto" w:fill="auto"/>
            <w:vAlign w:val="center"/>
            <w:hideMark/>
          </w:tcPr>
          <w:p w:rsidR="00337EFD" w:rsidRPr="00794C0E" w:rsidRDefault="00337EFD" w:rsidP="00F06B79">
            <w:pPr>
              <w:jc w:val="center"/>
              <w:rPr>
                <w:rFonts w:cs="Arial"/>
                <w:color w:val="000000"/>
                <w:lang w:val="es-AR" w:eastAsia="es-ES"/>
              </w:rPr>
            </w:pPr>
            <w:r w:rsidRPr="00794C0E">
              <w:rPr>
                <w:rFonts w:cs="Arial"/>
                <w:color w:val="000000"/>
                <w:lang w:val="es-AR" w:eastAsia="es-ES"/>
              </w:rPr>
              <w:t>Lácteos</w:t>
            </w:r>
          </w:p>
        </w:tc>
        <w:tc>
          <w:tcPr>
            <w:tcW w:w="1055" w:type="pct"/>
            <w:tcBorders>
              <w:top w:val="nil"/>
              <w:left w:val="nil"/>
              <w:bottom w:val="nil"/>
              <w:right w:val="single" w:sz="4" w:space="0" w:color="auto"/>
            </w:tcBorders>
            <w:shd w:val="clear" w:color="auto" w:fill="auto"/>
            <w:vAlign w:val="center"/>
            <w:hideMark/>
          </w:tcPr>
          <w:p w:rsidR="00337EFD" w:rsidRPr="00794C0E" w:rsidRDefault="00337EFD" w:rsidP="00F06B79">
            <w:pPr>
              <w:jc w:val="center"/>
              <w:rPr>
                <w:rFonts w:cs="Arial"/>
                <w:color w:val="000000"/>
                <w:lang w:val="es-AR" w:eastAsia="es-ES"/>
              </w:rPr>
            </w:pPr>
            <w:r w:rsidRPr="00794C0E">
              <w:rPr>
                <w:rFonts w:cs="Arial"/>
                <w:color w:val="000000"/>
                <w:lang w:val="es-AR" w:eastAsia="es-ES"/>
              </w:rPr>
              <w:t>Litros Leche</w:t>
            </w:r>
          </w:p>
        </w:tc>
        <w:tc>
          <w:tcPr>
            <w:tcW w:w="945" w:type="pct"/>
            <w:tcBorders>
              <w:top w:val="nil"/>
              <w:left w:val="nil"/>
              <w:bottom w:val="single" w:sz="4" w:space="0" w:color="auto"/>
              <w:right w:val="single" w:sz="4" w:space="0" w:color="auto"/>
            </w:tcBorders>
            <w:shd w:val="clear" w:color="auto" w:fill="auto"/>
            <w:vAlign w:val="center"/>
            <w:hideMark/>
          </w:tcPr>
          <w:p w:rsidR="00337EFD" w:rsidRPr="00794C0E" w:rsidRDefault="00337EFD" w:rsidP="00337EFD">
            <w:pPr>
              <w:jc w:val="right"/>
              <w:rPr>
                <w:rFonts w:cs="Arial"/>
                <w:color w:val="000000"/>
                <w:lang w:val="es-AR" w:eastAsia="es-ES"/>
              </w:rPr>
            </w:pPr>
            <w:r w:rsidRPr="00794C0E">
              <w:rPr>
                <w:rFonts w:cs="Arial"/>
                <w:color w:val="000000"/>
                <w:lang w:val="es-AR" w:eastAsia="es-ES"/>
              </w:rPr>
              <w:t>6.000</w:t>
            </w:r>
          </w:p>
        </w:tc>
      </w:tr>
      <w:tr w:rsidR="00337EFD" w:rsidRPr="00794C0E" w:rsidTr="00794C0E">
        <w:trPr>
          <w:trHeight w:val="288"/>
          <w:jc w:val="center"/>
        </w:trPr>
        <w:tc>
          <w:tcPr>
            <w:tcW w:w="1609" w:type="pct"/>
            <w:vMerge/>
            <w:tcBorders>
              <w:top w:val="nil"/>
              <w:left w:val="single" w:sz="4" w:space="0" w:color="auto"/>
              <w:bottom w:val="single" w:sz="4" w:space="0" w:color="auto"/>
              <w:right w:val="single" w:sz="4" w:space="0" w:color="auto"/>
            </w:tcBorders>
            <w:vAlign w:val="center"/>
            <w:hideMark/>
          </w:tcPr>
          <w:p w:rsidR="00337EFD" w:rsidRPr="00794C0E" w:rsidRDefault="00337EFD" w:rsidP="00F06B79">
            <w:pPr>
              <w:rPr>
                <w:rFonts w:cs="Arial"/>
                <w:color w:val="000000"/>
                <w:lang w:val="es-AR" w:eastAsia="es-ES"/>
              </w:rPr>
            </w:pPr>
          </w:p>
        </w:tc>
        <w:tc>
          <w:tcPr>
            <w:tcW w:w="1391" w:type="pct"/>
            <w:vMerge/>
            <w:tcBorders>
              <w:top w:val="nil"/>
              <w:left w:val="single" w:sz="4" w:space="0" w:color="auto"/>
              <w:bottom w:val="single" w:sz="4" w:space="0" w:color="auto"/>
              <w:right w:val="single" w:sz="4" w:space="0" w:color="auto"/>
            </w:tcBorders>
            <w:vAlign w:val="center"/>
            <w:hideMark/>
          </w:tcPr>
          <w:p w:rsidR="00337EFD" w:rsidRPr="00794C0E" w:rsidRDefault="00337EFD" w:rsidP="00F06B79">
            <w:pPr>
              <w:rPr>
                <w:rFonts w:cs="Arial"/>
                <w:color w:val="000000"/>
                <w:lang w:val="es-AR" w:eastAsia="es-ES"/>
              </w:rPr>
            </w:pPr>
          </w:p>
        </w:tc>
        <w:tc>
          <w:tcPr>
            <w:tcW w:w="1055" w:type="pct"/>
            <w:tcBorders>
              <w:top w:val="single" w:sz="4" w:space="0" w:color="auto"/>
              <w:left w:val="nil"/>
              <w:bottom w:val="nil"/>
              <w:right w:val="single" w:sz="4" w:space="0" w:color="auto"/>
            </w:tcBorders>
            <w:shd w:val="clear" w:color="auto" w:fill="auto"/>
            <w:vAlign w:val="center"/>
            <w:hideMark/>
          </w:tcPr>
          <w:p w:rsidR="00337EFD" w:rsidRPr="00794C0E" w:rsidRDefault="00337EFD" w:rsidP="00337EFD">
            <w:pPr>
              <w:jc w:val="center"/>
              <w:rPr>
                <w:rFonts w:cs="Arial"/>
                <w:color w:val="000000"/>
                <w:lang w:val="es-AR" w:eastAsia="es-ES"/>
              </w:rPr>
            </w:pPr>
            <w:r w:rsidRPr="00794C0E">
              <w:rPr>
                <w:rFonts w:cs="Arial"/>
                <w:color w:val="000000"/>
                <w:lang w:val="es-AR" w:eastAsia="es-ES"/>
              </w:rPr>
              <w:t>Litros Yogurt</w:t>
            </w:r>
          </w:p>
        </w:tc>
        <w:tc>
          <w:tcPr>
            <w:tcW w:w="945" w:type="pct"/>
            <w:tcBorders>
              <w:top w:val="nil"/>
              <w:left w:val="nil"/>
              <w:bottom w:val="single" w:sz="4" w:space="0" w:color="auto"/>
              <w:right w:val="single" w:sz="4" w:space="0" w:color="auto"/>
            </w:tcBorders>
            <w:shd w:val="clear" w:color="auto" w:fill="auto"/>
            <w:vAlign w:val="center"/>
            <w:hideMark/>
          </w:tcPr>
          <w:p w:rsidR="00337EFD" w:rsidRPr="00794C0E" w:rsidRDefault="00337EFD" w:rsidP="00337EFD">
            <w:pPr>
              <w:jc w:val="right"/>
              <w:rPr>
                <w:rFonts w:cs="Arial"/>
                <w:color w:val="000000"/>
                <w:lang w:val="es-AR" w:eastAsia="es-ES"/>
              </w:rPr>
            </w:pPr>
            <w:r w:rsidRPr="00794C0E">
              <w:rPr>
                <w:rFonts w:cs="Arial"/>
                <w:color w:val="000000"/>
                <w:lang w:val="es-AR" w:eastAsia="es-ES"/>
              </w:rPr>
              <w:t>715.253</w:t>
            </w:r>
          </w:p>
        </w:tc>
      </w:tr>
      <w:tr w:rsidR="00337EFD" w:rsidRPr="00794C0E" w:rsidTr="00794C0E">
        <w:trPr>
          <w:trHeight w:val="288"/>
          <w:jc w:val="center"/>
        </w:trPr>
        <w:tc>
          <w:tcPr>
            <w:tcW w:w="1609" w:type="pct"/>
            <w:tcBorders>
              <w:top w:val="nil"/>
              <w:left w:val="single" w:sz="4" w:space="0" w:color="auto"/>
              <w:bottom w:val="single" w:sz="4" w:space="0" w:color="auto"/>
              <w:right w:val="single" w:sz="4" w:space="0" w:color="auto"/>
            </w:tcBorders>
            <w:shd w:val="clear" w:color="auto" w:fill="auto"/>
            <w:vAlign w:val="center"/>
            <w:hideMark/>
          </w:tcPr>
          <w:p w:rsidR="00337EFD" w:rsidRPr="00794C0E" w:rsidRDefault="00337EFD" w:rsidP="00F06B79">
            <w:pPr>
              <w:rPr>
                <w:rFonts w:cs="Arial"/>
                <w:color w:val="000000"/>
                <w:lang w:val="es-AR" w:eastAsia="es-ES"/>
              </w:rPr>
            </w:pPr>
            <w:r w:rsidRPr="00794C0E">
              <w:rPr>
                <w:rFonts w:cs="Arial"/>
                <w:color w:val="000000"/>
                <w:lang w:val="es-AR" w:eastAsia="es-ES"/>
              </w:rPr>
              <w:t>PROLACSA S.A.</w:t>
            </w:r>
          </w:p>
        </w:tc>
        <w:tc>
          <w:tcPr>
            <w:tcW w:w="1391" w:type="pct"/>
            <w:tcBorders>
              <w:top w:val="nil"/>
              <w:left w:val="nil"/>
              <w:bottom w:val="single" w:sz="4" w:space="0" w:color="auto"/>
              <w:right w:val="single" w:sz="4" w:space="0" w:color="auto"/>
            </w:tcBorders>
            <w:shd w:val="clear" w:color="auto" w:fill="auto"/>
            <w:vAlign w:val="center"/>
            <w:hideMark/>
          </w:tcPr>
          <w:p w:rsidR="00337EFD" w:rsidRPr="00794C0E" w:rsidRDefault="00337EFD" w:rsidP="00F06B79">
            <w:pPr>
              <w:jc w:val="center"/>
              <w:rPr>
                <w:rFonts w:cs="Arial"/>
                <w:color w:val="000000"/>
                <w:lang w:val="es-AR" w:eastAsia="es-ES"/>
              </w:rPr>
            </w:pPr>
            <w:r w:rsidRPr="00794C0E">
              <w:rPr>
                <w:rFonts w:cs="Arial"/>
                <w:color w:val="000000"/>
                <w:lang w:val="es-AR" w:eastAsia="es-ES"/>
              </w:rPr>
              <w:t>Lácteos</w:t>
            </w:r>
          </w:p>
        </w:tc>
        <w:tc>
          <w:tcPr>
            <w:tcW w:w="1055" w:type="pct"/>
            <w:tcBorders>
              <w:top w:val="single" w:sz="4" w:space="0" w:color="auto"/>
              <w:left w:val="nil"/>
              <w:bottom w:val="single" w:sz="4" w:space="0" w:color="auto"/>
              <w:right w:val="single" w:sz="4" w:space="0" w:color="auto"/>
            </w:tcBorders>
            <w:shd w:val="clear" w:color="auto" w:fill="auto"/>
            <w:vAlign w:val="center"/>
            <w:hideMark/>
          </w:tcPr>
          <w:p w:rsidR="00337EFD" w:rsidRPr="00794C0E" w:rsidRDefault="00337EFD" w:rsidP="00F06B79">
            <w:pPr>
              <w:jc w:val="center"/>
              <w:rPr>
                <w:rFonts w:cs="Arial"/>
                <w:color w:val="000000"/>
                <w:lang w:val="es-AR" w:eastAsia="es-ES"/>
              </w:rPr>
            </w:pPr>
            <w:r w:rsidRPr="00794C0E">
              <w:rPr>
                <w:rFonts w:cs="Arial"/>
                <w:color w:val="000000"/>
                <w:lang w:val="es-AR" w:eastAsia="es-ES"/>
              </w:rPr>
              <w:t>Ton</w:t>
            </w:r>
            <w:r w:rsidR="007A6E48" w:rsidRPr="00794C0E">
              <w:rPr>
                <w:rFonts w:cs="Arial"/>
                <w:color w:val="000000"/>
                <w:lang w:val="es-AR" w:eastAsia="es-ES"/>
              </w:rPr>
              <w:t>elada</w:t>
            </w:r>
          </w:p>
        </w:tc>
        <w:tc>
          <w:tcPr>
            <w:tcW w:w="945" w:type="pct"/>
            <w:tcBorders>
              <w:top w:val="nil"/>
              <w:left w:val="nil"/>
              <w:bottom w:val="single" w:sz="4" w:space="0" w:color="auto"/>
              <w:right w:val="single" w:sz="4" w:space="0" w:color="auto"/>
            </w:tcBorders>
            <w:shd w:val="clear" w:color="auto" w:fill="auto"/>
            <w:vAlign w:val="center"/>
            <w:hideMark/>
          </w:tcPr>
          <w:p w:rsidR="00337EFD" w:rsidRPr="00794C0E" w:rsidRDefault="00337EFD" w:rsidP="00337EFD">
            <w:pPr>
              <w:jc w:val="right"/>
              <w:rPr>
                <w:rFonts w:cs="Arial"/>
                <w:color w:val="000000"/>
                <w:lang w:val="es-AR" w:eastAsia="es-ES"/>
              </w:rPr>
            </w:pPr>
            <w:r w:rsidRPr="00794C0E">
              <w:rPr>
                <w:rFonts w:cs="Arial"/>
                <w:color w:val="000000"/>
                <w:lang w:val="es-AR" w:eastAsia="es-ES"/>
              </w:rPr>
              <w:t>4.980</w:t>
            </w:r>
          </w:p>
        </w:tc>
      </w:tr>
      <w:tr w:rsidR="00337EFD" w:rsidRPr="00794C0E" w:rsidTr="00794C0E">
        <w:trPr>
          <w:trHeight w:val="288"/>
          <w:jc w:val="center"/>
        </w:trPr>
        <w:tc>
          <w:tcPr>
            <w:tcW w:w="1609" w:type="pct"/>
            <w:tcBorders>
              <w:top w:val="nil"/>
              <w:left w:val="single" w:sz="4" w:space="0" w:color="auto"/>
              <w:bottom w:val="single" w:sz="4" w:space="0" w:color="auto"/>
              <w:right w:val="single" w:sz="4" w:space="0" w:color="auto"/>
            </w:tcBorders>
            <w:shd w:val="clear" w:color="auto" w:fill="auto"/>
            <w:vAlign w:val="center"/>
            <w:hideMark/>
          </w:tcPr>
          <w:p w:rsidR="00337EFD" w:rsidRPr="00794C0E" w:rsidRDefault="00337EFD" w:rsidP="00F06B79">
            <w:pPr>
              <w:rPr>
                <w:rFonts w:cs="Arial"/>
                <w:color w:val="000000"/>
                <w:lang w:val="es-AR" w:eastAsia="es-ES"/>
              </w:rPr>
            </w:pPr>
            <w:r w:rsidRPr="00794C0E">
              <w:rPr>
                <w:rFonts w:cs="Arial"/>
                <w:color w:val="000000"/>
                <w:lang w:val="es-AR" w:eastAsia="es-ES"/>
              </w:rPr>
              <w:t>AGROPECUARIA LA AURELIA S.R.L.</w:t>
            </w:r>
          </w:p>
        </w:tc>
        <w:tc>
          <w:tcPr>
            <w:tcW w:w="1391" w:type="pct"/>
            <w:vMerge w:val="restart"/>
            <w:tcBorders>
              <w:top w:val="nil"/>
              <w:left w:val="single" w:sz="4" w:space="0" w:color="auto"/>
              <w:bottom w:val="single" w:sz="4" w:space="0" w:color="auto"/>
              <w:right w:val="single" w:sz="4" w:space="0" w:color="auto"/>
            </w:tcBorders>
            <w:shd w:val="clear" w:color="auto" w:fill="auto"/>
            <w:vAlign w:val="center"/>
            <w:hideMark/>
          </w:tcPr>
          <w:p w:rsidR="00337EFD" w:rsidRPr="00794C0E" w:rsidRDefault="00337EFD" w:rsidP="00F06B79">
            <w:pPr>
              <w:jc w:val="center"/>
              <w:rPr>
                <w:rFonts w:cs="Arial"/>
                <w:color w:val="000000"/>
                <w:lang w:val="es-AR" w:eastAsia="es-ES"/>
              </w:rPr>
            </w:pPr>
          </w:p>
          <w:p w:rsidR="00337EFD" w:rsidRPr="00794C0E" w:rsidRDefault="00337EFD" w:rsidP="00F06B79">
            <w:pPr>
              <w:jc w:val="center"/>
              <w:rPr>
                <w:rFonts w:cs="Arial"/>
                <w:color w:val="000000"/>
                <w:lang w:val="es-AR" w:eastAsia="es-ES"/>
              </w:rPr>
            </w:pPr>
          </w:p>
          <w:p w:rsidR="00337EFD" w:rsidRPr="00794C0E" w:rsidRDefault="00337EFD" w:rsidP="00F06B79">
            <w:pPr>
              <w:jc w:val="center"/>
              <w:rPr>
                <w:rFonts w:cs="Arial"/>
                <w:color w:val="000000"/>
                <w:lang w:val="es-AR" w:eastAsia="es-ES"/>
              </w:rPr>
            </w:pPr>
            <w:r w:rsidRPr="00794C0E">
              <w:rPr>
                <w:rFonts w:cs="Arial"/>
                <w:color w:val="000000"/>
                <w:lang w:val="es-AR" w:eastAsia="es-ES"/>
              </w:rPr>
              <w:t>Tabaco</w:t>
            </w:r>
          </w:p>
        </w:tc>
        <w:tc>
          <w:tcPr>
            <w:tcW w:w="1055" w:type="pct"/>
            <w:vMerge w:val="restart"/>
            <w:tcBorders>
              <w:top w:val="nil"/>
              <w:left w:val="single" w:sz="4" w:space="0" w:color="auto"/>
              <w:bottom w:val="single" w:sz="4" w:space="0" w:color="000000"/>
              <w:right w:val="single" w:sz="4" w:space="0" w:color="auto"/>
            </w:tcBorders>
            <w:shd w:val="clear" w:color="auto" w:fill="auto"/>
            <w:vAlign w:val="center"/>
            <w:hideMark/>
          </w:tcPr>
          <w:p w:rsidR="00337EFD" w:rsidRPr="00794C0E" w:rsidRDefault="00337EFD" w:rsidP="00F06B79">
            <w:pPr>
              <w:jc w:val="center"/>
              <w:rPr>
                <w:rFonts w:cs="Arial"/>
                <w:color w:val="000000"/>
                <w:lang w:val="es-AR" w:eastAsia="es-ES"/>
              </w:rPr>
            </w:pPr>
          </w:p>
          <w:p w:rsidR="00337EFD" w:rsidRPr="00794C0E" w:rsidRDefault="00337EFD" w:rsidP="00F06B79">
            <w:pPr>
              <w:jc w:val="center"/>
              <w:rPr>
                <w:rFonts w:cs="Arial"/>
                <w:color w:val="000000"/>
                <w:lang w:val="es-AR" w:eastAsia="es-ES"/>
              </w:rPr>
            </w:pPr>
          </w:p>
          <w:p w:rsidR="00337EFD" w:rsidRPr="00794C0E" w:rsidRDefault="00337EFD" w:rsidP="00F06B79">
            <w:pPr>
              <w:jc w:val="center"/>
              <w:rPr>
                <w:rFonts w:cs="Arial"/>
                <w:color w:val="000000"/>
                <w:lang w:val="es-AR" w:eastAsia="es-ES"/>
              </w:rPr>
            </w:pPr>
            <w:r w:rsidRPr="00794C0E">
              <w:rPr>
                <w:rFonts w:cs="Arial"/>
                <w:color w:val="000000"/>
                <w:lang w:val="es-AR" w:eastAsia="es-ES"/>
              </w:rPr>
              <w:t>Kg</w:t>
            </w:r>
          </w:p>
        </w:tc>
        <w:tc>
          <w:tcPr>
            <w:tcW w:w="945" w:type="pct"/>
            <w:vMerge w:val="restart"/>
            <w:tcBorders>
              <w:top w:val="nil"/>
              <w:left w:val="single" w:sz="4" w:space="0" w:color="auto"/>
              <w:bottom w:val="single" w:sz="4" w:space="0" w:color="000000"/>
              <w:right w:val="single" w:sz="4" w:space="0" w:color="auto"/>
            </w:tcBorders>
            <w:shd w:val="clear" w:color="auto" w:fill="auto"/>
            <w:vAlign w:val="center"/>
            <w:hideMark/>
          </w:tcPr>
          <w:p w:rsidR="00337EFD" w:rsidRPr="00794C0E" w:rsidRDefault="00337EFD" w:rsidP="00337EFD">
            <w:pPr>
              <w:jc w:val="right"/>
              <w:rPr>
                <w:rFonts w:cs="Arial"/>
                <w:color w:val="000000"/>
                <w:lang w:val="es-AR" w:eastAsia="es-ES"/>
              </w:rPr>
            </w:pPr>
          </w:p>
          <w:p w:rsidR="00337EFD" w:rsidRPr="00794C0E" w:rsidRDefault="00337EFD" w:rsidP="00337EFD">
            <w:pPr>
              <w:jc w:val="right"/>
              <w:rPr>
                <w:rFonts w:cs="Arial"/>
                <w:color w:val="000000"/>
                <w:lang w:val="es-AR" w:eastAsia="es-ES"/>
              </w:rPr>
            </w:pPr>
          </w:p>
          <w:p w:rsidR="00337EFD" w:rsidRPr="00794C0E" w:rsidRDefault="00337EFD" w:rsidP="00337EFD">
            <w:pPr>
              <w:jc w:val="right"/>
              <w:rPr>
                <w:rFonts w:cs="Arial"/>
                <w:color w:val="000000"/>
                <w:lang w:val="es-AR" w:eastAsia="es-ES"/>
              </w:rPr>
            </w:pPr>
            <w:r w:rsidRPr="00794C0E">
              <w:rPr>
                <w:rFonts w:cs="Arial"/>
                <w:color w:val="000000"/>
                <w:lang w:val="es-AR" w:eastAsia="es-ES"/>
              </w:rPr>
              <w:t>338.275</w:t>
            </w:r>
          </w:p>
        </w:tc>
      </w:tr>
      <w:tr w:rsidR="00337EFD" w:rsidRPr="00794C0E" w:rsidTr="00794C0E">
        <w:trPr>
          <w:trHeight w:val="288"/>
          <w:jc w:val="center"/>
        </w:trPr>
        <w:tc>
          <w:tcPr>
            <w:tcW w:w="1609" w:type="pct"/>
            <w:tcBorders>
              <w:top w:val="nil"/>
              <w:left w:val="single" w:sz="4" w:space="0" w:color="auto"/>
              <w:bottom w:val="single" w:sz="4" w:space="0" w:color="auto"/>
              <w:right w:val="single" w:sz="4" w:space="0" w:color="auto"/>
            </w:tcBorders>
            <w:shd w:val="clear" w:color="auto" w:fill="auto"/>
            <w:vAlign w:val="center"/>
            <w:hideMark/>
          </w:tcPr>
          <w:p w:rsidR="00337EFD" w:rsidRPr="00794C0E" w:rsidRDefault="00337EFD" w:rsidP="00F06B79">
            <w:pPr>
              <w:rPr>
                <w:rFonts w:cs="Arial"/>
                <w:color w:val="000000"/>
                <w:lang w:val="es-AR" w:eastAsia="es-ES"/>
              </w:rPr>
            </w:pPr>
            <w:r w:rsidRPr="00794C0E">
              <w:rPr>
                <w:rFonts w:cs="Arial"/>
                <w:color w:val="000000"/>
                <w:lang w:val="es-AR" w:eastAsia="es-ES"/>
              </w:rPr>
              <w:t>LOS REMANSOS SA</w:t>
            </w:r>
          </w:p>
        </w:tc>
        <w:tc>
          <w:tcPr>
            <w:tcW w:w="1391" w:type="pct"/>
            <w:vMerge/>
            <w:tcBorders>
              <w:top w:val="nil"/>
              <w:left w:val="single" w:sz="4" w:space="0" w:color="auto"/>
              <w:bottom w:val="single" w:sz="4" w:space="0" w:color="auto"/>
              <w:right w:val="single" w:sz="4" w:space="0" w:color="auto"/>
            </w:tcBorders>
            <w:vAlign w:val="center"/>
            <w:hideMark/>
          </w:tcPr>
          <w:p w:rsidR="00337EFD" w:rsidRPr="00794C0E" w:rsidRDefault="00337EFD" w:rsidP="00F06B79">
            <w:pPr>
              <w:rPr>
                <w:rFonts w:cs="Arial"/>
                <w:color w:val="000000"/>
                <w:lang w:val="es-AR" w:eastAsia="es-ES"/>
              </w:rPr>
            </w:pPr>
          </w:p>
        </w:tc>
        <w:tc>
          <w:tcPr>
            <w:tcW w:w="1055" w:type="pct"/>
            <w:vMerge/>
            <w:tcBorders>
              <w:top w:val="nil"/>
              <w:left w:val="single" w:sz="4" w:space="0" w:color="auto"/>
              <w:bottom w:val="single" w:sz="4" w:space="0" w:color="000000"/>
              <w:right w:val="single" w:sz="4" w:space="0" w:color="auto"/>
            </w:tcBorders>
            <w:vAlign w:val="center"/>
            <w:hideMark/>
          </w:tcPr>
          <w:p w:rsidR="00337EFD" w:rsidRPr="00794C0E" w:rsidRDefault="00337EFD" w:rsidP="00F06B79">
            <w:pPr>
              <w:rPr>
                <w:rFonts w:cs="Arial"/>
                <w:color w:val="000000"/>
                <w:lang w:val="es-AR" w:eastAsia="es-ES"/>
              </w:rPr>
            </w:pPr>
          </w:p>
        </w:tc>
        <w:tc>
          <w:tcPr>
            <w:tcW w:w="945" w:type="pct"/>
            <w:vMerge/>
            <w:tcBorders>
              <w:top w:val="nil"/>
              <w:left w:val="single" w:sz="4" w:space="0" w:color="auto"/>
              <w:bottom w:val="single" w:sz="4" w:space="0" w:color="000000"/>
              <w:right w:val="single" w:sz="4" w:space="0" w:color="auto"/>
            </w:tcBorders>
            <w:vAlign w:val="center"/>
            <w:hideMark/>
          </w:tcPr>
          <w:p w:rsidR="00337EFD" w:rsidRPr="00794C0E" w:rsidRDefault="00337EFD" w:rsidP="00F06B79">
            <w:pPr>
              <w:rPr>
                <w:rFonts w:cs="Arial"/>
                <w:color w:val="000000"/>
                <w:lang w:val="es-AR" w:eastAsia="es-ES"/>
              </w:rPr>
            </w:pPr>
          </w:p>
        </w:tc>
      </w:tr>
      <w:tr w:rsidR="00337EFD" w:rsidRPr="00794C0E" w:rsidTr="00794C0E">
        <w:trPr>
          <w:trHeight w:val="288"/>
          <w:jc w:val="center"/>
        </w:trPr>
        <w:tc>
          <w:tcPr>
            <w:tcW w:w="1609" w:type="pct"/>
            <w:tcBorders>
              <w:top w:val="nil"/>
              <w:left w:val="single" w:sz="4" w:space="0" w:color="auto"/>
              <w:bottom w:val="single" w:sz="4" w:space="0" w:color="auto"/>
              <w:right w:val="single" w:sz="4" w:space="0" w:color="auto"/>
            </w:tcBorders>
            <w:shd w:val="clear" w:color="auto" w:fill="auto"/>
            <w:vAlign w:val="center"/>
            <w:hideMark/>
          </w:tcPr>
          <w:p w:rsidR="00337EFD" w:rsidRPr="00794C0E" w:rsidRDefault="00337EFD" w:rsidP="00F06B79">
            <w:pPr>
              <w:rPr>
                <w:rFonts w:cs="Arial"/>
                <w:color w:val="000000"/>
                <w:lang w:val="es-AR" w:eastAsia="es-ES"/>
              </w:rPr>
            </w:pPr>
            <w:r w:rsidRPr="00794C0E">
              <w:rPr>
                <w:rFonts w:cs="Arial"/>
                <w:color w:val="000000"/>
                <w:lang w:val="es-AR" w:eastAsia="es-ES"/>
              </w:rPr>
              <w:t>SUMALAO SA</w:t>
            </w:r>
          </w:p>
        </w:tc>
        <w:tc>
          <w:tcPr>
            <w:tcW w:w="1391" w:type="pct"/>
            <w:vMerge/>
            <w:tcBorders>
              <w:top w:val="nil"/>
              <w:left w:val="single" w:sz="4" w:space="0" w:color="auto"/>
              <w:bottom w:val="single" w:sz="4" w:space="0" w:color="auto"/>
              <w:right w:val="single" w:sz="4" w:space="0" w:color="auto"/>
            </w:tcBorders>
            <w:vAlign w:val="center"/>
            <w:hideMark/>
          </w:tcPr>
          <w:p w:rsidR="00337EFD" w:rsidRPr="00794C0E" w:rsidRDefault="00337EFD" w:rsidP="00F06B79">
            <w:pPr>
              <w:rPr>
                <w:rFonts w:cs="Arial"/>
                <w:color w:val="000000"/>
                <w:lang w:val="es-AR" w:eastAsia="es-ES"/>
              </w:rPr>
            </w:pPr>
          </w:p>
        </w:tc>
        <w:tc>
          <w:tcPr>
            <w:tcW w:w="1055" w:type="pct"/>
            <w:vMerge/>
            <w:tcBorders>
              <w:top w:val="nil"/>
              <w:left w:val="single" w:sz="4" w:space="0" w:color="auto"/>
              <w:bottom w:val="single" w:sz="4" w:space="0" w:color="000000"/>
              <w:right w:val="single" w:sz="4" w:space="0" w:color="auto"/>
            </w:tcBorders>
            <w:vAlign w:val="center"/>
            <w:hideMark/>
          </w:tcPr>
          <w:p w:rsidR="00337EFD" w:rsidRPr="00794C0E" w:rsidRDefault="00337EFD" w:rsidP="00F06B79">
            <w:pPr>
              <w:rPr>
                <w:rFonts w:cs="Arial"/>
                <w:color w:val="000000"/>
                <w:lang w:val="es-AR" w:eastAsia="es-ES"/>
              </w:rPr>
            </w:pPr>
          </w:p>
        </w:tc>
        <w:tc>
          <w:tcPr>
            <w:tcW w:w="945" w:type="pct"/>
            <w:vMerge/>
            <w:tcBorders>
              <w:top w:val="nil"/>
              <w:left w:val="single" w:sz="4" w:space="0" w:color="auto"/>
              <w:bottom w:val="single" w:sz="4" w:space="0" w:color="000000"/>
              <w:right w:val="single" w:sz="4" w:space="0" w:color="auto"/>
            </w:tcBorders>
            <w:vAlign w:val="center"/>
            <w:hideMark/>
          </w:tcPr>
          <w:p w:rsidR="00337EFD" w:rsidRPr="00794C0E" w:rsidRDefault="00337EFD" w:rsidP="00F06B79">
            <w:pPr>
              <w:rPr>
                <w:rFonts w:cs="Arial"/>
                <w:color w:val="000000"/>
                <w:lang w:val="es-AR" w:eastAsia="es-ES"/>
              </w:rPr>
            </w:pPr>
          </w:p>
        </w:tc>
      </w:tr>
      <w:tr w:rsidR="00337EFD" w:rsidRPr="00794C0E" w:rsidTr="00794C0E">
        <w:trPr>
          <w:trHeight w:val="288"/>
          <w:jc w:val="center"/>
        </w:trPr>
        <w:tc>
          <w:tcPr>
            <w:tcW w:w="1609" w:type="pct"/>
            <w:tcBorders>
              <w:top w:val="nil"/>
              <w:left w:val="single" w:sz="4" w:space="0" w:color="auto"/>
              <w:bottom w:val="single" w:sz="4" w:space="0" w:color="auto"/>
              <w:right w:val="single" w:sz="4" w:space="0" w:color="auto"/>
            </w:tcBorders>
            <w:shd w:val="clear" w:color="auto" w:fill="auto"/>
            <w:vAlign w:val="center"/>
            <w:hideMark/>
          </w:tcPr>
          <w:p w:rsidR="00337EFD" w:rsidRPr="00794C0E" w:rsidRDefault="00337EFD" w:rsidP="00F06B79">
            <w:pPr>
              <w:rPr>
                <w:rFonts w:cs="Arial"/>
                <w:color w:val="000000"/>
                <w:lang w:val="es-AR" w:eastAsia="es-ES"/>
              </w:rPr>
            </w:pPr>
            <w:r w:rsidRPr="00794C0E">
              <w:rPr>
                <w:rFonts w:cs="Arial"/>
                <w:color w:val="000000"/>
                <w:lang w:val="es-AR" w:eastAsia="es-ES"/>
              </w:rPr>
              <w:t>LA CAÑADITA SA</w:t>
            </w:r>
          </w:p>
        </w:tc>
        <w:tc>
          <w:tcPr>
            <w:tcW w:w="1391" w:type="pct"/>
            <w:vMerge/>
            <w:tcBorders>
              <w:top w:val="nil"/>
              <w:left w:val="single" w:sz="4" w:space="0" w:color="auto"/>
              <w:bottom w:val="single" w:sz="4" w:space="0" w:color="auto"/>
              <w:right w:val="single" w:sz="4" w:space="0" w:color="auto"/>
            </w:tcBorders>
            <w:vAlign w:val="center"/>
            <w:hideMark/>
          </w:tcPr>
          <w:p w:rsidR="00337EFD" w:rsidRPr="00794C0E" w:rsidRDefault="00337EFD" w:rsidP="00F06B79">
            <w:pPr>
              <w:rPr>
                <w:rFonts w:cs="Arial"/>
                <w:color w:val="000000"/>
                <w:lang w:val="es-AR" w:eastAsia="es-ES"/>
              </w:rPr>
            </w:pPr>
          </w:p>
        </w:tc>
        <w:tc>
          <w:tcPr>
            <w:tcW w:w="1055" w:type="pct"/>
            <w:vMerge/>
            <w:tcBorders>
              <w:top w:val="nil"/>
              <w:left w:val="single" w:sz="4" w:space="0" w:color="auto"/>
              <w:bottom w:val="single" w:sz="4" w:space="0" w:color="000000"/>
              <w:right w:val="single" w:sz="4" w:space="0" w:color="auto"/>
            </w:tcBorders>
            <w:vAlign w:val="center"/>
            <w:hideMark/>
          </w:tcPr>
          <w:p w:rsidR="00337EFD" w:rsidRPr="00794C0E" w:rsidRDefault="00337EFD" w:rsidP="00F06B79">
            <w:pPr>
              <w:rPr>
                <w:rFonts w:cs="Arial"/>
                <w:color w:val="000000"/>
                <w:lang w:val="es-AR" w:eastAsia="es-ES"/>
              </w:rPr>
            </w:pPr>
          </w:p>
        </w:tc>
        <w:tc>
          <w:tcPr>
            <w:tcW w:w="945" w:type="pct"/>
            <w:vMerge/>
            <w:tcBorders>
              <w:top w:val="nil"/>
              <w:left w:val="single" w:sz="4" w:space="0" w:color="auto"/>
              <w:bottom w:val="single" w:sz="4" w:space="0" w:color="000000"/>
              <w:right w:val="single" w:sz="4" w:space="0" w:color="auto"/>
            </w:tcBorders>
            <w:vAlign w:val="center"/>
            <w:hideMark/>
          </w:tcPr>
          <w:p w:rsidR="00337EFD" w:rsidRPr="00794C0E" w:rsidRDefault="00337EFD" w:rsidP="00F06B79">
            <w:pPr>
              <w:rPr>
                <w:rFonts w:cs="Arial"/>
                <w:color w:val="000000"/>
                <w:lang w:val="es-AR" w:eastAsia="es-ES"/>
              </w:rPr>
            </w:pPr>
          </w:p>
        </w:tc>
      </w:tr>
      <w:tr w:rsidR="00337EFD" w:rsidRPr="00794C0E" w:rsidTr="00794C0E">
        <w:trPr>
          <w:trHeight w:val="288"/>
          <w:jc w:val="center"/>
        </w:trPr>
        <w:tc>
          <w:tcPr>
            <w:tcW w:w="1609" w:type="pct"/>
            <w:tcBorders>
              <w:top w:val="nil"/>
              <w:left w:val="single" w:sz="4" w:space="0" w:color="auto"/>
              <w:bottom w:val="single" w:sz="4" w:space="0" w:color="auto"/>
              <w:right w:val="single" w:sz="4" w:space="0" w:color="auto"/>
            </w:tcBorders>
            <w:shd w:val="clear" w:color="auto" w:fill="auto"/>
            <w:vAlign w:val="center"/>
            <w:hideMark/>
          </w:tcPr>
          <w:p w:rsidR="00337EFD" w:rsidRPr="00794C0E" w:rsidRDefault="00337EFD" w:rsidP="00F06B79">
            <w:pPr>
              <w:rPr>
                <w:rFonts w:cs="Arial"/>
                <w:color w:val="000000"/>
                <w:lang w:val="es-AR" w:eastAsia="es-ES"/>
              </w:rPr>
            </w:pPr>
            <w:r w:rsidRPr="00794C0E">
              <w:rPr>
                <w:rFonts w:cs="Arial"/>
                <w:color w:val="000000"/>
                <w:lang w:val="es-AR" w:eastAsia="es-ES"/>
              </w:rPr>
              <w:t>FIDEICOMISO CENTRO COMUNITARIO</w:t>
            </w:r>
          </w:p>
        </w:tc>
        <w:tc>
          <w:tcPr>
            <w:tcW w:w="1391" w:type="pct"/>
            <w:tcBorders>
              <w:top w:val="nil"/>
              <w:left w:val="nil"/>
              <w:bottom w:val="single" w:sz="4" w:space="0" w:color="auto"/>
              <w:right w:val="single" w:sz="4" w:space="0" w:color="auto"/>
            </w:tcBorders>
            <w:shd w:val="clear" w:color="auto" w:fill="auto"/>
            <w:vAlign w:val="center"/>
            <w:hideMark/>
          </w:tcPr>
          <w:p w:rsidR="00337EFD" w:rsidRPr="00794C0E" w:rsidRDefault="00337EFD" w:rsidP="00F06B79">
            <w:pPr>
              <w:jc w:val="center"/>
              <w:rPr>
                <w:rFonts w:cs="Arial"/>
                <w:color w:val="000000"/>
                <w:lang w:val="es-AR" w:eastAsia="es-ES"/>
              </w:rPr>
            </w:pPr>
            <w:r w:rsidRPr="00794C0E">
              <w:rPr>
                <w:rFonts w:cs="Arial"/>
                <w:color w:val="000000"/>
                <w:lang w:val="es-AR" w:eastAsia="es-ES"/>
              </w:rPr>
              <w:t>Estufado de Tabaco</w:t>
            </w:r>
          </w:p>
        </w:tc>
        <w:tc>
          <w:tcPr>
            <w:tcW w:w="1055" w:type="pct"/>
            <w:tcBorders>
              <w:top w:val="nil"/>
              <w:left w:val="nil"/>
              <w:bottom w:val="single" w:sz="4" w:space="0" w:color="auto"/>
              <w:right w:val="single" w:sz="4" w:space="0" w:color="auto"/>
            </w:tcBorders>
            <w:shd w:val="clear" w:color="auto" w:fill="auto"/>
            <w:vAlign w:val="center"/>
            <w:hideMark/>
          </w:tcPr>
          <w:p w:rsidR="00337EFD" w:rsidRPr="00794C0E" w:rsidRDefault="00337EFD" w:rsidP="00F06B79">
            <w:pPr>
              <w:jc w:val="center"/>
              <w:rPr>
                <w:rFonts w:cs="Arial"/>
                <w:color w:val="000000"/>
                <w:lang w:val="es-AR" w:eastAsia="es-ES"/>
              </w:rPr>
            </w:pPr>
            <w:r w:rsidRPr="00794C0E">
              <w:rPr>
                <w:rFonts w:cs="Arial"/>
                <w:color w:val="000000"/>
                <w:lang w:val="es-AR" w:eastAsia="es-ES"/>
              </w:rPr>
              <w:t>Kg</w:t>
            </w:r>
          </w:p>
        </w:tc>
        <w:tc>
          <w:tcPr>
            <w:tcW w:w="945" w:type="pct"/>
            <w:tcBorders>
              <w:top w:val="nil"/>
              <w:left w:val="nil"/>
              <w:bottom w:val="single" w:sz="4" w:space="0" w:color="auto"/>
              <w:right w:val="single" w:sz="4" w:space="0" w:color="auto"/>
            </w:tcBorders>
            <w:shd w:val="clear" w:color="auto" w:fill="auto"/>
            <w:vAlign w:val="center"/>
            <w:hideMark/>
          </w:tcPr>
          <w:p w:rsidR="00337EFD" w:rsidRPr="00794C0E" w:rsidRDefault="00337EFD" w:rsidP="00337EFD">
            <w:pPr>
              <w:jc w:val="right"/>
              <w:rPr>
                <w:rFonts w:cs="Arial"/>
                <w:color w:val="000000"/>
                <w:lang w:val="es-AR" w:eastAsia="es-ES"/>
              </w:rPr>
            </w:pPr>
            <w:r w:rsidRPr="00794C0E">
              <w:rPr>
                <w:rFonts w:cs="Arial"/>
                <w:color w:val="000000"/>
                <w:lang w:val="es-AR" w:eastAsia="es-ES"/>
              </w:rPr>
              <w:t>480.000</w:t>
            </w:r>
          </w:p>
        </w:tc>
      </w:tr>
    </w:tbl>
    <w:p w:rsidR="00337EFD" w:rsidRPr="00794C0E" w:rsidRDefault="00556B7D" w:rsidP="00337EFD">
      <w:pPr>
        <w:jc w:val="both"/>
        <w:rPr>
          <w:rFonts w:cs="Arial"/>
          <w:lang w:val="es-AR"/>
        </w:rPr>
      </w:pPr>
      <w:r w:rsidRPr="00794C0E">
        <w:rPr>
          <w:rFonts w:cs="Arial"/>
          <w:lang w:val="es-AR"/>
        </w:rPr>
        <w:t xml:space="preserve">   </w:t>
      </w:r>
      <w:r w:rsidR="00337EFD" w:rsidRPr="00794C0E">
        <w:rPr>
          <w:rFonts w:cs="Arial"/>
          <w:lang w:val="es-AR"/>
        </w:rPr>
        <w:t>Fuentes: Dirección Provincial de Industria de la Provincia de Salta</w:t>
      </w:r>
    </w:p>
    <w:p w:rsidR="00337EFD" w:rsidRPr="00794C0E" w:rsidRDefault="00337EFD" w:rsidP="00337EFD">
      <w:pPr>
        <w:jc w:val="both"/>
        <w:rPr>
          <w:rFonts w:cs="Arial"/>
          <w:lang w:val="es-AR"/>
        </w:rPr>
      </w:pPr>
    </w:p>
    <w:p w:rsidR="00337EFD" w:rsidRPr="00794C0E" w:rsidRDefault="00337EFD" w:rsidP="00337EFD">
      <w:pPr>
        <w:jc w:val="both"/>
        <w:rPr>
          <w:rFonts w:cs="Arial"/>
          <w:lang w:val="es-AR"/>
        </w:rPr>
      </w:pPr>
    </w:p>
    <w:p w:rsidR="00337EFD" w:rsidRPr="00794C0E" w:rsidRDefault="00337EFD" w:rsidP="007A6E48">
      <w:pPr>
        <w:pStyle w:val="ListParagraph"/>
        <w:numPr>
          <w:ilvl w:val="1"/>
          <w:numId w:val="5"/>
        </w:numPr>
        <w:ind w:left="0" w:firstLine="0"/>
        <w:jc w:val="both"/>
        <w:rPr>
          <w:rFonts w:cs="Arial"/>
          <w:bCs/>
          <w:sz w:val="22"/>
          <w:szCs w:val="22"/>
          <w:lang w:val="es-AR"/>
        </w:rPr>
      </w:pPr>
      <w:r w:rsidRPr="00794C0E">
        <w:rPr>
          <w:rFonts w:cs="Arial"/>
          <w:bCs/>
          <w:sz w:val="22"/>
          <w:szCs w:val="22"/>
          <w:lang w:val="es-AR"/>
        </w:rPr>
        <w:t>Con la implementación de la Estación Transformadora los productores de las diversas industria</w:t>
      </w:r>
      <w:r w:rsidR="007A6E48" w:rsidRPr="00794C0E">
        <w:rPr>
          <w:rFonts w:cs="Arial"/>
          <w:bCs/>
          <w:sz w:val="22"/>
          <w:szCs w:val="22"/>
          <w:lang w:val="es-AR"/>
        </w:rPr>
        <w:t xml:space="preserve">s podrían elevar su producción según los siguientes guarismos, basados en estudios realizados por la Dirección Provincial de Industria y las estimaciones realizadas </w:t>
      </w:r>
      <w:r w:rsidR="00DF29E3" w:rsidRPr="00794C0E">
        <w:rPr>
          <w:rFonts w:cs="Arial"/>
          <w:bCs/>
          <w:sz w:val="22"/>
          <w:szCs w:val="22"/>
          <w:lang w:val="es-AR"/>
        </w:rPr>
        <w:t>respecto a su potencial productivo según tipo de industria.</w:t>
      </w:r>
    </w:p>
    <w:p w:rsidR="00794C0E" w:rsidRPr="00794C0E" w:rsidRDefault="00794C0E" w:rsidP="00794C0E">
      <w:pPr>
        <w:pStyle w:val="ListParagraph"/>
        <w:ind w:left="0"/>
        <w:jc w:val="both"/>
        <w:rPr>
          <w:rFonts w:cs="Arial"/>
          <w:bCs/>
          <w:sz w:val="22"/>
          <w:szCs w:val="22"/>
          <w:lang w:val="es-AR"/>
        </w:rPr>
      </w:pPr>
    </w:p>
    <w:p w:rsidR="00794C0E" w:rsidRPr="00794C0E" w:rsidRDefault="00794C0E" w:rsidP="00794C0E">
      <w:pPr>
        <w:pStyle w:val="ListParagraph"/>
        <w:ind w:left="0"/>
        <w:jc w:val="both"/>
        <w:rPr>
          <w:rFonts w:cs="Arial"/>
          <w:bCs/>
          <w:sz w:val="22"/>
          <w:szCs w:val="22"/>
          <w:lang w:val="es-AR"/>
        </w:rPr>
      </w:pPr>
    </w:p>
    <w:p w:rsidR="00794C0E" w:rsidRPr="00794C0E" w:rsidRDefault="00794C0E" w:rsidP="00794C0E">
      <w:pPr>
        <w:pStyle w:val="ListParagraph"/>
        <w:ind w:left="0"/>
        <w:jc w:val="both"/>
        <w:rPr>
          <w:rFonts w:cs="Arial"/>
          <w:bCs/>
          <w:sz w:val="22"/>
          <w:szCs w:val="22"/>
          <w:lang w:val="es-AR"/>
        </w:rPr>
      </w:pPr>
    </w:p>
    <w:p w:rsidR="00794C0E" w:rsidRPr="00794C0E" w:rsidRDefault="00794C0E" w:rsidP="00794C0E">
      <w:pPr>
        <w:pStyle w:val="ListParagraph"/>
        <w:ind w:left="0"/>
        <w:jc w:val="both"/>
        <w:rPr>
          <w:rFonts w:cs="Arial"/>
          <w:bCs/>
          <w:sz w:val="22"/>
          <w:szCs w:val="22"/>
          <w:lang w:val="es-AR"/>
        </w:rPr>
      </w:pPr>
    </w:p>
    <w:p w:rsidR="00794C0E" w:rsidRPr="00794C0E" w:rsidRDefault="00794C0E" w:rsidP="00794C0E">
      <w:pPr>
        <w:pStyle w:val="ListParagraph"/>
        <w:ind w:left="0"/>
        <w:jc w:val="both"/>
        <w:rPr>
          <w:rFonts w:cs="Arial"/>
          <w:bCs/>
          <w:sz w:val="22"/>
          <w:szCs w:val="22"/>
          <w:lang w:val="es-AR"/>
        </w:rPr>
      </w:pPr>
    </w:p>
    <w:p w:rsidR="00794C0E" w:rsidRPr="00794C0E" w:rsidRDefault="00794C0E" w:rsidP="00794C0E">
      <w:pPr>
        <w:pStyle w:val="ListParagraph"/>
        <w:ind w:left="0"/>
        <w:jc w:val="both"/>
        <w:rPr>
          <w:rFonts w:cs="Arial"/>
          <w:bCs/>
          <w:sz w:val="22"/>
          <w:szCs w:val="22"/>
          <w:lang w:val="es-AR"/>
        </w:rPr>
      </w:pPr>
    </w:p>
    <w:p w:rsidR="00794C0E" w:rsidRPr="00794C0E" w:rsidRDefault="00794C0E" w:rsidP="00794C0E">
      <w:pPr>
        <w:pStyle w:val="ListParagraph"/>
        <w:ind w:left="0"/>
        <w:jc w:val="both"/>
        <w:rPr>
          <w:rFonts w:cs="Arial"/>
          <w:bCs/>
          <w:sz w:val="22"/>
          <w:szCs w:val="22"/>
          <w:lang w:val="es-AR"/>
        </w:rPr>
      </w:pPr>
    </w:p>
    <w:p w:rsidR="00794C0E" w:rsidRPr="00794C0E" w:rsidRDefault="00794C0E" w:rsidP="00794C0E">
      <w:pPr>
        <w:pStyle w:val="ListParagraph"/>
        <w:ind w:left="0"/>
        <w:jc w:val="both"/>
        <w:rPr>
          <w:rFonts w:cs="Arial"/>
          <w:bCs/>
          <w:sz w:val="22"/>
          <w:szCs w:val="22"/>
          <w:lang w:val="es-AR"/>
        </w:rPr>
      </w:pPr>
    </w:p>
    <w:p w:rsidR="00104DA9" w:rsidRPr="00794C0E" w:rsidRDefault="00104DA9" w:rsidP="004F7B12">
      <w:pPr>
        <w:jc w:val="center"/>
        <w:rPr>
          <w:rFonts w:cs="Arial"/>
          <w:b/>
          <w:lang w:val="es-AR"/>
        </w:rPr>
      </w:pPr>
    </w:p>
    <w:p w:rsidR="004F7B12" w:rsidRPr="00794C0E" w:rsidRDefault="004F7B12" w:rsidP="004F7B12">
      <w:pPr>
        <w:jc w:val="center"/>
        <w:rPr>
          <w:rFonts w:cs="Arial"/>
          <w:b/>
          <w:lang w:val="es-AR"/>
        </w:rPr>
      </w:pPr>
      <w:r w:rsidRPr="00794C0E">
        <w:rPr>
          <w:rFonts w:cs="Arial"/>
          <w:b/>
          <w:lang w:val="es-AR"/>
        </w:rPr>
        <w:lastRenderedPageBreak/>
        <w:t xml:space="preserve">Tabla </w:t>
      </w:r>
      <w:r w:rsidR="00C278D7" w:rsidRPr="00794C0E">
        <w:rPr>
          <w:rFonts w:cs="Arial"/>
          <w:b/>
          <w:lang w:val="es-AR"/>
        </w:rPr>
        <w:t>4</w:t>
      </w:r>
      <w:r w:rsidR="00CB13BB" w:rsidRPr="00794C0E">
        <w:rPr>
          <w:rFonts w:cs="Arial"/>
          <w:b/>
          <w:lang w:val="es-AR"/>
        </w:rPr>
        <w:t>.</w:t>
      </w:r>
      <w:r w:rsidRPr="00794C0E">
        <w:rPr>
          <w:rFonts w:cs="Arial"/>
          <w:b/>
          <w:lang w:val="es-AR"/>
        </w:rPr>
        <w:t xml:space="preserve"> Industrias Beneficiarias</w:t>
      </w:r>
    </w:p>
    <w:p w:rsidR="004F7B12" w:rsidRPr="00794C0E" w:rsidRDefault="004F7B12" w:rsidP="004F7B12">
      <w:pPr>
        <w:jc w:val="center"/>
        <w:rPr>
          <w:rFonts w:cs="Arial"/>
          <w:lang w:val="es-AR"/>
        </w:rPr>
      </w:pPr>
      <w:r w:rsidRPr="00794C0E">
        <w:rPr>
          <w:rFonts w:cs="Arial"/>
          <w:lang w:val="es-AR"/>
        </w:rPr>
        <w:t>Situación Con Proyecto</w:t>
      </w:r>
    </w:p>
    <w:tbl>
      <w:tblPr>
        <w:tblW w:w="8494" w:type="dxa"/>
        <w:jc w:val="center"/>
        <w:tblCellMar>
          <w:left w:w="70" w:type="dxa"/>
          <w:right w:w="70" w:type="dxa"/>
        </w:tblCellMar>
        <w:tblLook w:val="04A0" w:firstRow="1" w:lastRow="0" w:firstColumn="1" w:lastColumn="0" w:noHBand="0" w:noVBand="1"/>
      </w:tblPr>
      <w:tblGrid>
        <w:gridCol w:w="1688"/>
        <w:gridCol w:w="1676"/>
        <w:gridCol w:w="1685"/>
        <w:gridCol w:w="1685"/>
        <w:gridCol w:w="1760"/>
      </w:tblGrid>
      <w:tr w:rsidR="004F7B12" w:rsidRPr="00794C0E" w:rsidTr="00F06B79">
        <w:trPr>
          <w:trHeight w:val="900"/>
          <w:jc w:val="center"/>
        </w:trPr>
        <w:tc>
          <w:tcPr>
            <w:tcW w:w="16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F7B12" w:rsidRPr="00794C0E" w:rsidRDefault="004F7B12" w:rsidP="00F06B79">
            <w:pPr>
              <w:jc w:val="center"/>
              <w:rPr>
                <w:rFonts w:cs="Arial"/>
                <w:b/>
                <w:bCs/>
                <w:color w:val="000000"/>
                <w:lang w:val="es-AR" w:eastAsia="es-ES"/>
              </w:rPr>
            </w:pPr>
            <w:r w:rsidRPr="00794C0E">
              <w:rPr>
                <w:rFonts w:cs="Arial"/>
                <w:b/>
                <w:bCs/>
                <w:color w:val="000000"/>
                <w:lang w:val="es-AR" w:eastAsia="es-ES"/>
              </w:rPr>
              <w:t>Rubro</w:t>
            </w:r>
          </w:p>
          <w:p w:rsidR="004F7B12" w:rsidRPr="00794C0E" w:rsidRDefault="004F7B12" w:rsidP="00F06B79">
            <w:pPr>
              <w:jc w:val="center"/>
              <w:rPr>
                <w:rFonts w:cs="Arial"/>
                <w:b/>
                <w:bCs/>
                <w:color w:val="000000"/>
                <w:lang w:val="es-AR" w:eastAsia="es-ES"/>
              </w:rPr>
            </w:pPr>
          </w:p>
        </w:tc>
        <w:tc>
          <w:tcPr>
            <w:tcW w:w="1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F7B12" w:rsidRPr="00794C0E" w:rsidRDefault="004F7B12" w:rsidP="00F06B79">
            <w:pPr>
              <w:jc w:val="center"/>
              <w:rPr>
                <w:rFonts w:cs="Arial"/>
                <w:b/>
                <w:bCs/>
                <w:color w:val="000000"/>
                <w:lang w:val="es-AR" w:eastAsia="es-ES"/>
              </w:rPr>
            </w:pPr>
            <w:r w:rsidRPr="00794C0E">
              <w:rPr>
                <w:rFonts w:cs="Arial"/>
                <w:b/>
                <w:bCs/>
                <w:color w:val="000000"/>
                <w:lang w:val="es-AR" w:eastAsia="es-ES"/>
              </w:rPr>
              <w:t>Unidad de Medida</w:t>
            </w:r>
          </w:p>
        </w:tc>
        <w:tc>
          <w:tcPr>
            <w:tcW w:w="1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F7B12" w:rsidRPr="00794C0E" w:rsidRDefault="004F7B12" w:rsidP="00F06B79">
            <w:pPr>
              <w:jc w:val="center"/>
              <w:rPr>
                <w:rFonts w:cs="Arial"/>
                <w:b/>
                <w:bCs/>
                <w:color w:val="000000"/>
                <w:lang w:val="es-AR" w:eastAsia="es-ES"/>
              </w:rPr>
            </w:pPr>
            <w:r w:rsidRPr="00794C0E">
              <w:rPr>
                <w:rFonts w:cs="Arial"/>
                <w:b/>
                <w:bCs/>
                <w:color w:val="000000"/>
                <w:lang w:val="es-AR" w:eastAsia="es-ES"/>
              </w:rPr>
              <w:t xml:space="preserve">Volumen de Producción </w:t>
            </w:r>
          </w:p>
        </w:tc>
        <w:tc>
          <w:tcPr>
            <w:tcW w:w="168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F7B12" w:rsidRPr="00794C0E" w:rsidRDefault="004F7B12" w:rsidP="00F06B79">
            <w:pPr>
              <w:jc w:val="center"/>
              <w:rPr>
                <w:rFonts w:cs="Arial"/>
                <w:b/>
                <w:bCs/>
                <w:color w:val="000000"/>
                <w:lang w:val="es-AR" w:eastAsia="es-ES"/>
              </w:rPr>
            </w:pPr>
            <w:r w:rsidRPr="00794C0E">
              <w:rPr>
                <w:rFonts w:cs="Arial"/>
                <w:b/>
                <w:bCs/>
                <w:color w:val="000000"/>
                <w:lang w:val="es-AR" w:eastAsia="es-ES"/>
              </w:rPr>
              <w:t>Aumento de Producción Estimado en %</w:t>
            </w:r>
          </w:p>
        </w:tc>
        <w:tc>
          <w:tcPr>
            <w:tcW w:w="17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F7B12" w:rsidRPr="00794C0E" w:rsidRDefault="004F7B12" w:rsidP="00F06B79">
            <w:pPr>
              <w:jc w:val="center"/>
              <w:rPr>
                <w:rFonts w:cs="Arial"/>
                <w:b/>
                <w:bCs/>
                <w:color w:val="000000"/>
                <w:lang w:val="es-AR" w:eastAsia="es-ES"/>
              </w:rPr>
            </w:pPr>
            <w:r w:rsidRPr="00794C0E">
              <w:rPr>
                <w:rFonts w:cs="Arial"/>
                <w:b/>
                <w:bCs/>
                <w:color w:val="000000"/>
                <w:lang w:val="es-AR" w:eastAsia="es-ES"/>
              </w:rPr>
              <w:t>Incremento de producción por Año</w:t>
            </w:r>
          </w:p>
        </w:tc>
      </w:tr>
      <w:tr w:rsidR="004F7B12" w:rsidRPr="00794C0E" w:rsidTr="00F06B79">
        <w:trPr>
          <w:trHeight w:val="300"/>
          <w:jc w:val="center"/>
        </w:trPr>
        <w:tc>
          <w:tcPr>
            <w:tcW w:w="1688" w:type="dxa"/>
            <w:tcBorders>
              <w:top w:val="nil"/>
              <w:left w:val="single" w:sz="4" w:space="0" w:color="auto"/>
              <w:bottom w:val="single" w:sz="4" w:space="0" w:color="auto"/>
              <w:right w:val="single" w:sz="4" w:space="0" w:color="auto"/>
            </w:tcBorders>
          </w:tcPr>
          <w:p w:rsidR="004F7B12" w:rsidRPr="00794C0E" w:rsidRDefault="004F7B12" w:rsidP="00F06B79">
            <w:pPr>
              <w:jc w:val="center"/>
              <w:rPr>
                <w:rFonts w:cs="Arial"/>
                <w:b/>
                <w:bCs/>
                <w:color w:val="000000"/>
                <w:lang w:val="es-AR" w:eastAsia="es-ES"/>
              </w:rPr>
            </w:pPr>
            <w:r w:rsidRPr="00794C0E">
              <w:rPr>
                <w:rFonts w:cs="Arial"/>
                <w:color w:val="000000"/>
                <w:lang w:val="es-AR" w:eastAsia="es-ES"/>
              </w:rPr>
              <w:t>Curtido orgánico de cueros</w:t>
            </w:r>
          </w:p>
        </w:tc>
        <w:tc>
          <w:tcPr>
            <w:tcW w:w="1676" w:type="dxa"/>
            <w:tcBorders>
              <w:top w:val="nil"/>
              <w:left w:val="single" w:sz="4" w:space="0" w:color="auto"/>
              <w:bottom w:val="single" w:sz="4" w:space="0" w:color="auto"/>
              <w:right w:val="single" w:sz="4" w:space="0" w:color="auto"/>
            </w:tcBorders>
            <w:vAlign w:val="center"/>
          </w:tcPr>
          <w:p w:rsidR="004F7B12" w:rsidRPr="00794C0E" w:rsidRDefault="004F7B12" w:rsidP="00F06B79">
            <w:pPr>
              <w:jc w:val="center"/>
              <w:rPr>
                <w:rFonts w:cs="Arial"/>
                <w:color w:val="000000"/>
                <w:lang w:val="es-AR" w:eastAsia="es-ES"/>
              </w:rPr>
            </w:pPr>
            <w:r w:rsidRPr="00794C0E">
              <w:rPr>
                <w:rFonts w:cs="Arial"/>
                <w:color w:val="000000"/>
                <w:lang w:val="es-AR" w:eastAsia="es-ES"/>
              </w:rPr>
              <w:t>Vaquetas</w:t>
            </w:r>
          </w:p>
        </w:tc>
        <w:tc>
          <w:tcPr>
            <w:tcW w:w="1685" w:type="dxa"/>
            <w:tcBorders>
              <w:top w:val="nil"/>
              <w:left w:val="single" w:sz="4" w:space="0" w:color="auto"/>
              <w:bottom w:val="single" w:sz="4" w:space="0" w:color="auto"/>
              <w:right w:val="single" w:sz="4" w:space="0" w:color="auto"/>
            </w:tcBorders>
            <w:shd w:val="clear" w:color="auto" w:fill="auto"/>
            <w:vAlign w:val="center"/>
            <w:hideMark/>
          </w:tcPr>
          <w:p w:rsidR="004F7B12" w:rsidRPr="00794C0E" w:rsidRDefault="004F7B12" w:rsidP="00F06B79">
            <w:pPr>
              <w:jc w:val="center"/>
              <w:rPr>
                <w:rFonts w:cs="Arial"/>
                <w:b/>
                <w:bCs/>
                <w:color w:val="000000"/>
                <w:lang w:val="es-AR" w:eastAsia="es-ES"/>
              </w:rPr>
            </w:pPr>
            <w:r w:rsidRPr="00794C0E">
              <w:rPr>
                <w:rFonts w:cs="Arial"/>
                <w:b/>
                <w:bCs/>
                <w:color w:val="000000"/>
                <w:lang w:val="es-AR" w:eastAsia="es-ES"/>
              </w:rPr>
              <w:t>12.000</w:t>
            </w:r>
          </w:p>
        </w:tc>
        <w:tc>
          <w:tcPr>
            <w:tcW w:w="1685" w:type="dxa"/>
            <w:tcBorders>
              <w:top w:val="nil"/>
              <w:left w:val="nil"/>
              <w:bottom w:val="single" w:sz="4" w:space="0" w:color="auto"/>
              <w:right w:val="single" w:sz="4" w:space="0" w:color="auto"/>
            </w:tcBorders>
            <w:shd w:val="clear" w:color="auto" w:fill="auto"/>
            <w:vAlign w:val="center"/>
            <w:hideMark/>
          </w:tcPr>
          <w:p w:rsidR="004F7B12" w:rsidRPr="00794C0E" w:rsidRDefault="004F7B12" w:rsidP="00F06B79">
            <w:pPr>
              <w:jc w:val="center"/>
              <w:rPr>
                <w:rFonts w:cs="Arial"/>
                <w:color w:val="000000"/>
                <w:lang w:val="es-AR" w:eastAsia="es-ES"/>
              </w:rPr>
            </w:pPr>
            <w:r w:rsidRPr="00794C0E">
              <w:rPr>
                <w:rFonts w:cs="Arial"/>
                <w:color w:val="000000"/>
                <w:lang w:val="es-AR" w:eastAsia="es-ES"/>
              </w:rPr>
              <w:t>15%</w:t>
            </w:r>
          </w:p>
        </w:tc>
        <w:tc>
          <w:tcPr>
            <w:tcW w:w="1760" w:type="dxa"/>
            <w:tcBorders>
              <w:top w:val="nil"/>
              <w:left w:val="nil"/>
              <w:bottom w:val="single" w:sz="4" w:space="0" w:color="auto"/>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AR" w:eastAsia="es-ES"/>
              </w:rPr>
            </w:pPr>
            <w:r w:rsidRPr="00794C0E">
              <w:rPr>
                <w:rFonts w:cs="Arial"/>
                <w:b/>
                <w:bCs/>
                <w:color w:val="000000"/>
                <w:lang w:val="es-AR" w:eastAsia="es-ES"/>
              </w:rPr>
              <w:t>1.800</w:t>
            </w:r>
          </w:p>
        </w:tc>
      </w:tr>
      <w:tr w:rsidR="004F7B12" w:rsidRPr="00794C0E" w:rsidTr="00F06B79">
        <w:trPr>
          <w:trHeight w:val="300"/>
          <w:jc w:val="center"/>
        </w:trPr>
        <w:tc>
          <w:tcPr>
            <w:tcW w:w="1688" w:type="dxa"/>
            <w:vMerge w:val="restart"/>
            <w:tcBorders>
              <w:top w:val="nil"/>
              <w:left w:val="single" w:sz="4" w:space="0" w:color="auto"/>
              <w:right w:val="single" w:sz="4" w:space="0" w:color="auto"/>
            </w:tcBorders>
            <w:vAlign w:val="center"/>
          </w:tcPr>
          <w:p w:rsidR="004F7B12" w:rsidRPr="00794C0E" w:rsidRDefault="004F7B12" w:rsidP="00F06B79">
            <w:pPr>
              <w:jc w:val="center"/>
              <w:rPr>
                <w:rFonts w:cs="Arial"/>
                <w:b/>
                <w:bCs/>
                <w:color w:val="000000"/>
                <w:lang w:val="es-AR" w:eastAsia="es-ES"/>
              </w:rPr>
            </w:pPr>
            <w:r w:rsidRPr="00794C0E">
              <w:rPr>
                <w:rFonts w:cs="Arial"/>
                <w:color w:val="000000"/>
                <w:lang w:val="es-AR" w:eastAsia="es-ES"/>
              </w:rPr>
              <w:t>Lácteos</w:t>
            </w:r>
          </w:p>
        </w:tc>
        <w:tc>
          <w:tcPr>
            <w:tcW w:w="1676" w:type="dxa"/>
            <w:tcBorders>
              <w:top w:val="nil"/>
              <w:left w:val="single" w:sz="4" w:space="0" w:color="auto"/>
              <w:bottom w:val="single" w:sz="4" w:space="0" w:color="auto"/>
              <w:right w:val="single" w:sz="4" w:space="0" w:color="auto"/>
            </w:tcBorders>
            <w:vAlign w:val="center"/>
          </w:tcPr>
          <w:p w:rsidR="004F7B12" w:rsidRPr="00794C0E" w:rsidRDefault="004F7B12" w:rsidP="00F06B79">
            <w:pPr>
              <w:jc w:val="center"/>
              <w:rPr>
                <w:rFonts w:cs="Arial"/>
                <w:color w:val="000000"/>
                <w:lang w:val="es-AR" w:eastAsia="es-ES"/>
              </w:rPr>
            </w:pPr>
            <w:r w:rsidRPr="00794C0E">
              <w:rPr>
                <w:rFonts w:cs="Arial"/>
                <w:color w:val="000000"/>
                <w:lang w:val="es-AR" w:eastAsia="es-ES"/>
              </w:rPr>
              <w:t>Litros Leche</w:t>
            </w:r>
          </w:p>
        </w:tc>
        <w:tc>
          <w:tcPr>
            <w:tcW w:w="1685" w:type="dxa"/>
            <w:tcBorders>
              <w:top w:val="nil"/>
              <w:left w:val="single" w:sz="4" w:space="0" w:color="auto"/>
              <w:bottom w:val="single" w:sz="4" w:space="0" w:color="auto"/>
              <w:right w:val="single" w:sz="4" w:space="0" w:color="auto"/>
            </w:tcBorders>
            <w:shd w:val="clear" w:color="auto" w:fill="auto"/>
            <w:vAlign w:val="center"/>
            <w:hideMark/>
          </w:tcPr>
          <w:p w:rsidR="004F7B12" w:rsidRPr="00794C0E" w:rsidRDefault="004F7B12" w:rsidP="00F06B79">
            <w:pPr>
              <w:jc w:val="center"/>
              <w:rPr>
                <w:rFonts w:cs="Arial"/>
                <w:b/>
                <w:bCs/>
                <w:color w:val="000000"/>
                <w:lang w:val="es-AR" w:eastAsia="es-ES"/>
              </w:rPr>
            </w:pPr>
            <w:r w:rsidRPr="00794C0E">
              <w:rPr>
                <w:rFonts w:cs="Arial"/>
                <w:b/>
                <w:bCs/>
                <w:color w:val="000000"/>
                <w:lang w:val="es-AR" w:eastAsia="es-ES"/>
              </w:rPr>
              <w:t>6.000</w:t>
            </w:r>
          </w:p>
        </w:tc>
        <w:tc>
          <w:tcPr>
            <w:tcW w:w="1685" w:type="dxa"/>
            <w:vMerge w:val="restart"/>
            <w:tcBorders>
              <w:top w:val="nil"/>
              <w:left w:val="single" w:sz="4" w:space="0" w:color="auto"/>
              <w:bottom w:val="single" w:sz="4" w:space="0" w:color="auto"/>
              <w:right w:val="single" w:sz="4" w:space="0" w:color="auto"/>
            </w:tcBorders>
            <w:shd w:val="clear" w:color="auto" w:fill="auto"/>
            <w:vAlign w:val="center"/>
            <w:hideMark/>
          </w:tcPr>
          <w:p w:rsidR="004F7B12" w:rsidRPr="00794C0E" w:rsidRDefault="004F7B12" w:rsidP="00F06B79">
            <w:pPr>
              <w:jc w:val="center"/>
              <w:rPr>
                <w:rFonts w:cs="Arial"/>
                <w:color w:val="000000"/>
                <w:lang w:val="es-AR" w:eastAsia="es-ES"/>
              </w:rPr>
            </w:pPr>
            <w:r w:rsidRPr="00794C0E">
              <w:rPr>
                <w:rFonts w:cs="Arial"/>
                <w:color w:val="000000"/>
                <w:lang w:val="es-AR" w:eastAsia="es-ES"/>
              </w:rPr>
              <w:t>25%</w:t>
            </w:r>
          </w:p>
        </w:tc>
        <w:tc>
          <w:tcPr>
            <w:tcW w:w="1760" w:type="dxa"/>
            <w:tcBorders>
              <w:top w:val="nil"/>
              <w:left w:val="nil"/>
              <w:bottom w:val="single" w:sz="4" w:space="0" w:color="auto"/>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AR" w:eastAsia="es-ES"/>
              </w:rPr>
            </w:pPr>
            <w:r w:rsidRPr="00794C0E">
              <w:rPr>
                <w:rFonts w:cs="Arial"/>
                <w:b/>
                <w:bCs/>
                <w:color w:val="000000"/>
                <w:lang w:val="es-AR" w:eastAsia="es-ES"/>
              </w:rPr>
              <w:t>1.500</w:t>
            </w:r>
          </w:p>
        </w:tc>
      </w:tr>
      <w:tr w:rsidR="004F7B12" w:rsidRPr="00794C0E" w:rsidTr="00F06B79">
        <w:trPr>
          <w:trHeight w:val="300"/>
          <w:jc w:val="center"/>
        </w:trPr>
        <w:tc>
          <w:tcPr>
            <w:tcW w:w="1688" w:type="dxa"/>
            <w:vMerge/>
            <w:tcBorders>
              <w:left w:val="single" w:sz="4" w:space="0" w:color="auto"/>
              <w:bottom w:val="single" w:sz="4" w:space="0" w:color="auto"/>
              <w:right w:val="single" w:sz="4" w:space="0" w:color="auto"/>
            </w:tcBorders>
          </w:tcPr>
          <w:p w:rsidR="004F7B12" w:rsidRPr="00794C0E" w:rsidRDefault="004F7B12" w:rsidP="00F06B79">
            <w:pPr>
              <w:jc w:val="center"/>
              <w:rPr>
                <w:rFonts w:cs="Arial"/>
                <w:b/>
                <w:bCs/>
                <w:color w:val="000000"/>
                <w:lang w:val="es-AR" w:eastAsia="es-ES"/>
              </w:rPr>
            </w:pPr>
          </w:p>
        </w:tc>
        <w:tc>
          <w:tcPr>
            <w:tcW w:w="1676" w:type="dxa"/>
            <w:tcBorders>
              <w:top w:val="single" w:sz="4" w:space="0" w:color="auto"/>
              <w:left w:val="single" w:sz="4" w:space="0" w:color="auto"/>
              <w:bottom w:val="single" w:sz="4" w:space="0" w:color="auto"/>
              <w:right w:val="single" w:sz="4" w:space="0" w:color="auto"/>
            </w:tcBorders>
            <w:vAlign w:val="center"/>
          </w:tcPr>
          <w:p w:rsidR="004F7B12" w:rsidRPr="00794C0E" w:rsidRDefault="004F7B12" w:rsidP="00F06B79">
            <w:pPr>
              <w:jc w:val="center"/>
              <w:rPr>
                <w:rFonts w:cs="Arial"/>
                <w:color w:val="000000"/>
                <w:lang w:val="es-AR" w:eastAsia="es-ES"/>
              </w:rPr>
            </w:pPr>
            <w:r w:rsidRPr="00794C0E">
              <w:rPr>
                <w:rFonts w:cs="Arial"/>
                <w:color w:val="000000"/>
                <w:lang w:val="es-AR" w:eastAsia="es-ES"/>
              </w:rPr>
              <w:t>Litros Yogurt</w:t>
            </w:r>
            <w:r w:rsidRPr="00794C0E">
              <w:rPr>
                <w:rStyle w:val="FootnoteReference"/>
                <w:rFonts w:cs="Arial"/>
                <w:color w:val="000000"/>
                <w:lang w:val="es-AR" w:eastAsia="es-ES"/>
              </w:rPr>
              <w:footnoteReference w:id="26"/>
            </w:r>
          </w:p>
        </w:tc>
        <w:tc>
          <w:tcPr>
            <w:tcW w:w="1685" w:type="dxa"/>
            <w:tcBorders>
              <w:top w:val="nil"/>
              <w:left w:val="single" w:sz="4" w:space="0" w:color="auto"/>
              <w:bottom w:val="single" w:sz="4" w:space="0" w:color="auto"/>
              <w:right w:val="single" w:sz="4" w:space="0" w:color="auto"/>
            </w:tcBorders>
            <w:shd w:val="clear" w:color="auto" w:fill="auto"/>
            <w:vAlign w:val="center"/>
            <w:hideMark/>
          </w:tcPr>
          <w:p w:rsidR="004F7B12" w:rsidRPr="00794C0E" w:rsidRDefault="004F7B12" w:rsidP="00F06B79">
            <w:pPr>
              <w:jc w:val="center"/>
              <w:rPr>
                <w:rFonts w:cs="Arial"/>
                <w:b/>
                <w:bCs/>
                <w:color w:val="000000"/>
                <w:lang w:val="es-AR" w:eastAsia="es-ES"/>
              </w:rPr>
            </w:pPr>
            <w:r w:rsidRPr="00794C0E">
              <w:rPr>
                <w:rFonts w:cs="Arial"/>
                <w:b/>
                <w:bCs/>
                <w:color w:val="000000"/>
                <w:lang w:val="es-AR" w:eastAsia="es-ES"/>
              </w:rPr>
              <w:t>715.253</w:t>
            </w:r>
          </w:p>
        </w:tc>
        <w:tc>
          <w:tcPr>
            <w:tcW w:w="1685" w:type="dxa"/>
            <w:vMerge/>
            <w:tcBorders>
              <w:top w:val="nil"/>
              <w:left w:val="single" w:sz="4" w:space="0" w:color="auto"/>
              <w:bottom w:val="single" w:sz="4" w:space="0" w:color="auto"/>
              <w:right w:val="single" w:sz="4" w:space="0" w:color="auto"/>
            </w:tcBorders>
            <w:vAlign w:val="center"/>
            <w:hideMark/>
          </w:tcPr>
          <w:p w:rsidR="004F7B12" w:rsidRPr="00794C0E" w:rsidRDefault="004F7B12" w:rsidP="00F06B79">
            <w:pPr>
              <w:rPr>
                <w:rFonts w:cs="Arial"/>
                <w:color w:val="000000"/>
                <w:lang w:val="es-AR" w:eastAsia="es-ES"/>
              </w:rPr>
            </w:pPr>
          </w:p>
        </w:tc>
        <w:tc>
          <w:tcPr>
            <w:tcW w:w="1760" w:type="dxa"/>
            <w:tcBorders>
              <w:top w:val="nil"/>
              <w:left w:val="nil"/>
              <w:bottom w:val="single" w:sz="4" w:space="0" w:color="auto"/>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AR" w:eastAsia="es-ES"/>
              </w:rPr>
            </w:pPr>
            <w:r w:rsidRPr="00794C0E">
              <w:rPr>
                <w:rFonts w:cs="Arial"/>
                <w:b/>
                <w:bCs/>
                <w:color w:val="000000"/>
                <w:lang w:val="es-AR" w:eastAsia="es-ES"/>
              </w:rPr>
              <w:t>178.813</w:t>
            </w:r>
          </w:p>
        </w:tc>
      </w:tr>
      <w:tr w:rsidR="004F7B12" w:rsidRPr="00794C0E" w:rsidTr="00F048C4">
        <w:trPr>
          <w:trHeight w:val="300"/>
          <w:jc w:val="center"/>
        </w:trPr>
        <w:tc>
          <w:tcPr>
            <w:tcW w:w="1688" w:type="dxa"/>
            <w:tcBorders>
              <w:top w:val="nil"/>
              <w:left w:val="single" w:sz="4" w:space="0" w:color="auto"/>
              <w:bottom w:val="single" w:sz="4" w:space="0" w:color="auto"/>
              <w:right w:val="single" w:sz="4" w:space="0" w:color="auto"/>
            </w:tcBorders>
          </w:tcPr>
          <w:p w:rsidR="004F7B12" w:rsidRPr="00794C0E" w:rsidRDefault="004F7B12" w:rsidP="00F06B79">
            <w:pPr>
              <w:jc w:val="center"/>
              <w:rPr>
                <w:rFonts w:cs="Arial"/>
                <w:b/>
                <w:bCs/>
                <w:color w:val="000000"/>
                <w:lang w:val="es-AR" w:eastAsia="es-ES"/>
              </w:rPr>
            </w:pPr>
            <w:r w:rsidRPr="00794C0E">
              <w:rPr>
                <w:rFonts w:cs="Arial"/>
                <w:color w:val="000000"/>
                <w:lang w:val="es-AR" w:eastAsia="es-ES"/>
              </w:rPr>
              <w:t>Lácteos</w:t>
            </w:r>
          </w:p>
        </w:tc>
        <w:tc>
          <w:tcPr>
            <w:tcW w:w="1676" w:type="dxa"/>
            <w:tcBorders>
              <w:top w:val="single" w:sz="4" w:space="0" w:color="auto"/>
              <w:left w:val="single" w:sz="4" w:space="0" w:color="auto"/>
              <w:bottom w:val="single" w:sz="4" w:space="0" w:color="auto"/>
              <w:right w:val="single" w:sz="4" w:space="0" w:color="auto"/>
            </w:tcBorders>
            <w:vAlign w:val="center"/>
          </w:tcPr>
          <w:p w:rsidR="004F7B12" w:rsidRPr="00794C0E" w:rsidRDefault="004F7B12" w:rsidP="00F06B79">
            <w:pPr>
              <w:jc w:val="center"/>
              <w:rPr>
                <w:rFonts w:cs="Arial"/>
                <w:color w:val="000000"/>
                <w:lang w:val="es-AR" w:eastAsia="es-ES"/>
              </w:rPr>
            </w:pPr>
            <w:r w:rsidRPr="00794C0E">
              <w:rPr>
                <w:rFonts w:cs="Arial"/>
                <w:color w:val="000000"/>
                <w:lang w:val="es-AR" w:eastAsia="es-ES"/>
              </w:rPr>
              <w:t>Ton</w:t>
            </w:r>
          </w:p>
        </w:tc>
        <w:tc>
          <w:tcPr>
            <w:tcW w:w="1685" w:type="dxa"/>
            <w:tcBorders>
              <w:top w:val="nil"/>
              <w:left w:val="single" w:sz="4" w:space="0" w:color="auto"/>
              <w:bottom w:val="single" w:sz="4" w:space="0" w:color="auto"/>
              <w:right w:val="single" w:sz="4" w:space="0" w:color="auto"/>
            </w:tcBorders>
            <w:shd w:val="clear" w:color="auto" w:fill="auto"/>
            <w:vAlign w:val="center"/>
            <w:hideMark/>
          </w:tcPr>
          <w:p w:rsidR="004F7B12" w:rsidRPr="00794C0E" w:rsidRDefault="004F7B12" w:rsidP="00F06B79">
            <w:pPr>
              <w:jc w:val="center"/>
              <w:rPr>
                <w:rFonts w:cs="Arial"/>
                <w:b/>
                <w:bCs/>
                <w:color w:val="000000"/>
                <w:lang w:val="es-AR" w:eastAsia="es-ES"/>
              </w:rPr>
            </w:pPr>
            <w:r w:rsidRPr="00794C0E">
              <w:rPr>
                <w:rFonts w:cs="Arial"/>
                <w:b/>
                <w:bCs/>
                <w:color w:val="000000"/>
                <w:lang w:val="es-AR" w:eastAsia="es-ES"/>
              </w:rPr>
              <w:t>4.980</w:t>
            </w:r>
          </w:p>
        </w:tc>
        <w:tc>
          <w:tcPr>
            <w:tcW w:w="1685" w:type="dxa"/>
            <w:tcBorders>
              <w:top w:val="nil"/>
              <w:left w:val="nil"/>
              <w:bottom w:val="single" w:sz="4" w:space="0" w:color="auto"/>
              <w:right w:val="single" w:sz="4" w:space="0" w:color="auto"/>
            </w:tcBorders>
            <w:shd w:val="clear" w:color="auto" w:fill="auto"/>
            <w:vAlign w:val="center"/>
            <w:hideMark/>
          </w:tcPr>
          <w:p w:rsidR="004F7B12" w:rsidRPr="00794C0E" w:rsidRDefault="004F7B12" w:rsidP="00F06B79">
            <w:pPr>
              <w:jc w:val="center"/>
              <w:rPr>
                <w:rFonts w:cs="Arial"/>
                <w:color w:val="000000"/>
                <w:lang w:val="es-AR" w:eastAsia="es-ES"/>
              </w:rPr>
            </w:pPr>
            <w:r w:rsidRPr="00794C0E">
              <w:rPr>
                <w:rFonts w:cs="Arial"/>
                <w:color w:val="000000"/>
                <w:lang w:val="es-AR" w:eastAsia="es-ES"/>
              </w:rPr>
              <w:t>20%</w:t>
            </w:r>
          </w:p>
        </w:tc>
        <w:tc>
          <w:tcPr>
            <w:tcW w:w="1760" w:type="dxa"/>
            <w:tcBorders>
              <w:top w:val="nil"/>
              <w:left w:val="nil"/>
              <w:bottom w:val="single" w:sz="4" w:space="0" w:color="auto"/>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AR" w:eastAsia="es-ES"/>
              </w:rPr>
            </w:pPr>
            <w:r w:rsidRPr="00794C0E">
              <w:rPr>
                <w:rFonts w:cs="Arial"/>
                <w:b/>
                <w:bCs/>
                <w:color w:val="000000"/>
                <w:lang w:val="es-AR" w:eastAsia="es-ES"/>
              </w:rPr>
              <w:t>827</w:t>
            </w:r>
          </w:p>
        </w:tc>
      </w:tr>
      <w:tr w:rsidR="004F7B12" w:rsidRPr="00794C0E" w:rsidTr="00F048C4">
        <w:trPr>
          <w:trHeight w:val="1220"/>
          <w:jc w:val="center"/>
        </w:trPr>
        <w:tc>
          <w:tcPr>
            <w:tcW w:w="1688" w:type="dxa"/>
            <w:tcBorders>
              <w:top w:val="single" w:sz="4" w:space="0" w:color="auto"/>
              <w:left w:val="single" w:sz="4" w:space="0" w:color="auto"/>
              <w:bottom w:val="single" w:sz="4" w:space="0" w:color="auto"/>
              <w:right w:val="single" w:sz="4" w:space="0" w:color="auto"/>
            </w:tcBorders>
            <w:vAlign w:val="center"/>
          </w:tcPr>
          <w:p w:rsidR="004F7B12" w:rsidRPr="00794C0E" w:rsidRDefault="004F7B12" w:rsidP="00F06B79">
            <w:pPr>
              <w:jc w:val="center"/>
              <w:rPr>
                <w:rFonts w:cs="Arial"/>
                <w:b/>
                <w:bCs/>
                <w:color w:val="000000"/>
                <w:lang w:val="es-AR" w:eastAsia="es-ES"/>
              </w:rPr>
            </w:pPr>
            <w:r w:rsidRPr="00794C0E">
              <w:rPr>
                <w:rFonts w:cs="Arial"/>
                <w:color w:val="000000"/>
                <w:lang w:val="es-AR" w:eastAsia="es-ES"/>
              </w:rPr>
              <w:t>Tabaco</w:t>
            </w:r>
          </w:p>
        </w:tc>
        <w:tc>
          <w:tcPr>
            <w:tcW w:w="1676" w:type="dxa"/>
            <w:tcBorders>
              <w:top w:val="single" w:sz="4" w:space="0" w:color="auto"/>
              <w:left w:val="single" w:sz="4" w:space="0" w:color="auto"/>
              <w:bottom w:val="single" w:sz="4" w:space="0" w:color="auto"/>
              <w:right w:val="single" w:sz="4" w:space="0" w:color="auto"/>
            </w:tcBorders>
            <w:vAlign w:val="center"/>
          </w:tcPr>
          <w:p w:rsidR="004F7B12" w:rsidRPr="00794C0E" w:rsidRDefault="004F7B12" w:rsidP="00F06B79">
            <w:pPr>
              <w:jc w:val="center"/>
              <w:rPr>
                <w:rFonts w:cs="Arial"/>
                <w:color w:val="000000"/>
                <w:lang w:val="es-AR" w:eastAsia="es-ES"/>
              </w:rPr>
            </w:pPr>
            <w:r w:rsidRPr="00794C0E">
              <w:rPr>
                <w:rFonts w:cs="Arial"/>
                <w:color w:val="000000"/>
                <w:lang w:val="es-AR" w:eastAsia="es-ES"/>
              </w:rPr>
              <w:t>Kg</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B12" w:rsidRPr="00794C0E" w:rsidRDefault="004F7B12" w:rsidP="00F06B79">
            <w:pPr>
              <w:jc w:val="center"/>
              <w:rPr>
                <w:rFonts w:cs="Arial"/>
                <w:b/>
                <w:bCs/>
                <w:color w:val="000000"/>
                <w:lang w:val="es-AR" w:eastAsia="es-ES"/>
              </w:rPr>
            </w:pPr>
            <w:r w:rsidRPr="00794C0E">
              <w:rPr>
                <w:rFonts w:cs="Arial"/>
                <w:b/>
                <w:bCs/>
                <w:color w:val="000000"/>
                <w:lang w:val="es-AR" w:eastAsia="es-ES"/>
              </w:rPr>
              <w:t>338.275</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B12" w:rsidRPr="00794C0E" w:rsidRDefault="004F7B12" w:rsidP="00F06B79">
            <w:pPr>
              <w:jc w:val="center"/>
              <w:rPr>
                <w:rFonts w:cs="Arial"/>
                <w:color w:val="000000"/>
                <w:lang w:val="es-AR" w:eastAsia="es-ES"/>
              </w:rPr>
            </w:pPr>
            <w:r w:rsidRPr="00794C0E">
              <w:rPr>
                <w:rFonts w:cs="Arial"/>
                <w:color w:val="000000"/>
                <w:lang w:val="es-AR" w:eastAsia="es-ES"/>
              </w:rPr>
              <w:t>25%</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AR" w:eastAsia="es-ES"/>
              </w:rPr>
            </w:pPr>
            <w:r w:rsidRPr="00794C0E">
              <w:rPr>
                <w:rFonts w:cs="Arial"/>
                <w:b/>
                <w:bCs/>
                <w:color w:val="000000"/>
                <w:lang w:val="es-AR" w:eastAsia="es-ES"/>
              </w:rPr>
              <w:t>84.569</w:t>
            </w:r>
          </w:p>
        </w:tc>
      </w:tr>
      <w:tr w:rsidR="004F7B12" w:rsidRPr="00794C0E" w:rsidTr="00F048C4">
        <w:trPr>
          <w:trHeight w:val="600"/>
          <w:jc w:val="center"/>
        </w:trPr>
        <w:tc>
          <w:tcPr>
            <w:tcW w:w="1688" w:type="dxa"/>
            <w:tcBorders>
              <w:top w:val="single" w:sz="4" w:space="0" w:color="auto"/>
              <w:left w:val="single" w:sz="4" w:space="0" w:color="auto"/>
              <w:bottom w:val="single" w:sz="4" w:space="0" w:color="auto"/>
              <w:right w:val="single" w:sz="4" w:space="0" w:color="auto"/>
            </w:tcBorders>
          </w:tcPr>
          <w:p w:rsidR="004F7B12" w:rsidRPr="00794C0E" w:rsidRDefault="004F7B12" w:rsidP="00F06B79">
            <w:pPr>
              <w:jc w:val="center"/>
              <w:rPr>
                <w:rFonts w:cs="Arial"/>
                <w:b/>
                <w:bCs/>
                <w:color w:val="000000"/>
                <w:lang w:val="es-AR" w:eastAsia="es-ES"/>
              </w:rPr>
            </w:pPr>
            <w:r w:rsidRPr="00794C0E">
              <w:rPr>
                <w:rFonts w:cs="Arial"/>
                <w:color w:val="000000"/>
                <w:lang w:val="es-AR" w:eastAsia="es-ES"/>
              </w:rPr>
              <w:t>Estufado de Tabaco</w:t>
            </w:r>
          </w:p>
        </w:tc>
        <w:tc>
          <w:tcPr>
            <w:tcW w:w="1676" w:type="dxa"/>
            <w:tcBorders>
              <w:top w:val="single" w:sz="4" w:space="0" w:color="auto"/>
              <w:left w:val="single" w:sz="4" w:space="0" w:color="auto"/>
              <w:bottom w:val="single" w:sz="4" w:space="0" w:color="auto"/>
              <w:right w:val="single" w:sz="4" w:space="0" w:color="auto"/>
            </w:tcBorders>
            <w:vAlign w:val="center"/>
          </w:tcPr>
          <w:p w:rsidR="004F7B12" w:rsidRPr="00794C0E" w:rsidRDefault="004F7B12" w:rsidP="00F06B79">
            <w:pPr>
              <w:jc w:val="center"/>
              <w:rPr>
                <w:rFonts w:cs="Arial"/>
                <w:color w:val="000000"/>
                <w:lang w:val="es-AR" w:eastAsia="es-ES"/>
              </w:rPr>
            </w:pPr>
            <w:r w:rsidRPr="00794C0E">
              <w:rPr>
                <w:rFonts w:cs="Arial"/>
                <w:color w:val="000000"/>
                <w:lang w:val="es-AR" w:eastAsia="es-ES"/>
              </w:rPr>
              <w:t>Kg</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7B12" w:rsidRPr="00794C0E" w:rsidRDefault="004F7B12" w:rsidP="00F06B79">
            <w:pPr>
              <w:jc w:val="center"/>
              <w:rPr>
                <w:rFonts w:cs="Arial"/>
                <w:b/>
                <w:bCs/>
                <w:color w:val="000000"/>
                <w:lang w:val="es-AR" w:eastAsia="es-ES"/>
              </w:rPr>
            </w:pPr>
            <w:r w:rsidRPr="00794C0E">
              <w:rPr>
                <w:rFonts w:cs="Arial"/>
                <w:b/>
                <w:bCs/>
                <w:color w:val="000000"/>
                <w:lang w:val="es-AR" w:eastAsia="es-ES"/>
              </w:rPr>
              <w:t>480.000</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rsidR="004F7B12" w:rsidRPr="00794C0E" w:rsidRDefault="004F7B12" w:rsidP="00F06B79">
            <w:pPr>
              <w:jc w:val="center"/>
              <w:rPr>
                <w:rFonts w:cs="Arial"/>
                <w:color w:val="000000"/>
                <w:lang w:val="es-AR" w:eastAsia="es-ES"/>
              </w:rPr>
            </w:pPr>
            <w:r w:rsidRPr="00794C0E">
              <w:rPr>
                <w:rFonts w:cs="Arial"/>
                <w:color w:val="000000"/>
                <w:lang w:val="es-AR" w:eastAsia="es-ES"/>
              </w:rPr>
              <w:t>30%</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AR" w:eastAsia="es-ES"/>
              </w:rPr>
            </w:pPr>
            <w:r w:rsidRPr="00794C0E">
              <w:rPr>
                <w:rFonts w:cs="Arial"/>
                <w:b/>
                <w:bCs/>
                <w:color w:val="000000"/>
                <w:lang w:val="es-AR" w:eastAsia="es-ES"/>
              </w:rPr>
              <w:t>144.000</w:t>
            </w:r>
          </w:p>
        </w:tc>
      </w:tr>
    </w:tbl>
    <w:p w:rsidR="004F7B12" w:rsidRPr="00794C0E" w:rsidRDefault="004F7B12" w:rsidP="004F7B12">
      <w:pPr>
        <w:jc w:val="both"/>
        <w:rPr>
          <w:rFonts w:cs="Arial"/>
          <w:lang w:val="es-AR"/>
        </w:rPr>
      </w:pPr>
      <w:r w:rsidRPr="00794C0E">
        <w:rPr>
          <w:rFonts w:cs="Arial"/>
          <w:lang w:val="es-AR"/>
        </w:rPr>
        <w:t xml:space="preserve">Fuentes: Estimaciones propias en base a Dirección Provincial de Industria de la Provincia de Salta y fuentes de información que se detallaron. </w:t>
      </w:r>
    </w:p>
    <w:p w:rsidR="007A6E48" w:rsidRPr="00794C0E" w:rsidRDefault="007A6E48" w:rsidP="00337EFD">
      <w:pPr>
        <w:jc w:val="both"/>
        <w:rPr>
          <w:rFonts w:cs="Arial"/>
          <w:highlight w:val="yellow"/>
          <w:lang w:val="es-AR"/>
        </w:rPr>
      </w:pPr>
    </w:p>
    <w:p w:rsidR="00306152" w:rsidRPr="00794C0E" w:rsidRDefault="00306152" w:rsidP="00306152">
      <w:pPr>
        <w:pStyle w:val="ListParagraph"/>
        <w:numPr>
          <w:ilvl w:val="1"/>
          <w:numId w:val="5"/>
        </w:numPr>
        <w:ind w:left="0" w:firstLine="0"/>
        <w:jc w:val="both"/>
        <w:rPr>
          <w:rFonts w:cs="Arial"/>
          <w:bCs/>
          <w:sz w:val="22"/>
          <w:szCs w:val="22"/>
          <w:lang w:val="es-AR"/>
        </w:rPr>
      </w:pPr>
      <w:r w:rsidRPr="00794C0E">
        <w:rPr>
          <w:rFonts w:cs="Arial"/>
          <w:bCs/>
          <w:sz w:val="22"/>
          <w:szCs w:val="22"/>
          <w:lang w:val="es-AR"/>
        </w:rPr>
        <w:t xml:space="preserve">El flujo de beneficios para el proyecto se puede formalizar según la siguiente expresión: </w:t>
      </w:r>
    </w:p>
    <w:p w:rsidR="00306152" w:rsidRPr="00794C0E" w:rsidRDefault="00306152" w:rsidP="00337EFD">
      <w:pPr>
        <w:jc w:val="both"/>
        <w:rPr>
          <w:rFonts w:cs="Arial"/>
          <w:highlight w:val="yellow"/>
          <w:lang w:val="es-AR"/>
        </w:rPr>
      </w:pPr>
    </w:p>
    <w:p w:rsidR="00306152" w:rsidRPr="00794C0E" w:rsidRDefault="00794C0E" w:rsidP="00337EFD">
      <w:pPr>
        <w:jc w:val="both"/>
        <w:rPr>
          <w:rFonts w:cs="Arial"/>
          <w:highlight w:val="yellow"/>
          <w:lang w:val="es-AR"/>
        </w:rPr>
      </w:pPr>
      <m:oMathPara>
        <m:oMath>
          <m:sSub>
            <m:sSubPr>
              <m:ctrlPr>
                <w:rPr>
                  <w:rFonts w:ascii="Cambria Math" w:hAnsi="Cambria Math" w:cs="Arial"/>
                  <w:bCs/>
                  <w:i/>
                  <w:sz w:val="24"/>
                  <w:szCs w:val="24"/>
                  <w:lang w:val="es-AR"/>
                </w:rPr>
              </m:ctrlPr>
            </m:sSubPr>
            <m:e>
              <m:r>
                <w:rPr>
                  <w:rFonts w:ascii="Cambria Math" w:hAnsi="Cambria Math" w:cs="Arial"/>
                  <w:sz w:val="24"/>
                  <w:szCs w:val="24"/>
                  <w:lang w:val="es-AR"/>
                </w:rPr>
                <m:t>B</m:t>
              </m:r>
            </m:e>
            <m:sub>
              <m:r>
                <w:rPr>
                  <w:rFonts w:ascii="Cambria Math" w:hAnsi="Cambria Math" w:cs="Arial"/>
                  <w:sz w:val="24"/>
                  <w:szCs w:val="24"/>
                  <w:lang w:val="es-AR"/>
                </w:rPr>
                <m:t>5</m:t>
              </m:r>
            </m:sub>
          </m:sSub>
          <m:r>
            <w:rPr>
              <w:rFonts w:ascii="Cambria Math" w:hAnsi="Cambria Math" w:cs="Arial"/>
              <w:sz w:val="24"/>
              <w:szCs w:val="24"/>
              <w:lang w:val="es-AR"/>
            </w:rPr>
            <m:t>=</m:t>
          </m:r>
          <m:nary>
            <m:naryPr>
              <m:chr m:val="∑"/>
              <m:limLoc m:val="subSup"/>
              <m:ctrlPr>
                <w:rPr>
                  <w:rFonts w:ascii="Cambria Math" w:hAnsi="Cambria Math" w:cs="Arial"/>
                  <w:bCs/>
                  <w:i/>
                  <w:sz w:val="24"/>
                  <w:szCs w:val="24"/>
                  <w:lang w:val="es-AR"/>
                </w:rPr>
              </m:ctrlPr>
            </m:naryPr>
            <m:sub>
              <m:r>
                <w:rPr>
                  <w:rFonts w:ascii="Cambria Math" w:hAnsi="Cambria Math" w:cs="Arial"/>
                  <w:sz w:val="24"/>
                  <w:szCs w:val="24"/>
                  <w:lang w:val="es-AR"/>
                </w:rPr>
                <m:t>t=0</m:t>
              </m:r>
            </m:sub>
            <m:sup>
              <m:r>
                <w:rPr>
                  <w:rFonts w:ascii="Cambria Math" w:hAnsi="Cambria Math" w:cs="Arial"/>
                  <w:sz w:val="24"/>
                  <w:szCs w:val="24"/>
                  <w:lang w:val="es-AR"/>
                </w:rPr>
                <m:t>n</m:t>
              </m:r>
            </m:sup>
            <m:e>
              <m:sSub>
                <m:sSubPr>
                  <m:ctrlPr>
                    <w:rPr>
                      <w:rFonts w:ascii="Cambria Math" w:hAnsi="Cambria Math" w:cs="Arial"/>
                      <w:bCs/>
                      <w:i/>
                      <w:sz w:val="24"/>
                      <w:szCs w:val="24"/>
                      <w:lang w:val="es-AR"/>
                    </w:rPr>
                  </m:ctrlPr>
                </m:sSubPr>
                <m:e>
                  <m:sSub>
                    <m:sSubPr>
                      <m:ctrlPr>
                        <w:rPr>
                          <w:rFonts w:ascii="Cambria Math" w:hAnsi="Cambria Math" w:cs="Arial"/>
                          <w:i/>
                          <w:sz w:val="24"/>
                          <w:szCs w:val="24"/>
                          <w:lang w:val="es-AR"/>
                        </w:rPr>
                      </m:ctrlPr>
                    </m:sSubPr>
                    <m:e>
                      <m:r>
                        <w:rPr>
                          <w:rFonts w:ascii="Cambria Math" w:hAnsi="Cambria Math" w:cs="Arial"/>
                          <w:sz w:val="24"/>
                          <w:szCs w:val="24"/>
                          <w:lang w:val="es-AR"/>
                        </w:rPr>
                        <m:t>∆Q</m:t>
                      </m:r>
                    </m:e>
                    <m:sub>
                      <m:r>
                        <w:rPr>
                          <w:rFonts w:ascii="Cambria Math" w:hAnsi="Cambria Math" w:cs="Arial"/>
                          <w:sz w:val="24"/>
                          <w:szCs w:val="24"/>
                          <w:lang w:val="es-AR"/>
                        </w:rPr>
                        <m:t>i</m:t>
                      </m:r>
                    </m:sub>
                  </m:sSub>
                  <m:r>
                    <w:rPr>
                      <w:rFonts w:ascii="Cambria Math" w:hAnsi="Cambria Math" w:cs="Arial"/>
                      <w:sz w:val="24"/>
                      <w:szCs w:val="24"/>
                      <w:lang w:val="es-AR"/>
                    </w:rPr>
                    <m:t>*P</m:t>
                  </m:r>
                </m:e>
                <m:sub>
                  <m:r>
                    <w:rPr>
                      <w:rFonts w:ascii="Cambria Math" w:hAnsi="Cambria Math" w:cs="Arial"/>
                      <w:sz w:val="24"/>
                      <w:szCs w:val="24"/>
                      <w:lang w:val="es-AR"/>
                    </w:rPr>
                    <m:t>i</m:t>
                  </m:r>
                </m:sub>
              </m:sSub>
              <m:r>
                <w:rPr>
                  <w:rFonts w:ascii="Cambria Math" w:hAnsi="Cambria Math" w:cs="Arial"/>
                  <w:sz w:val="24"/>
                  <w:szCs w:val="24"/>
                  <w:lang w:val="es-AR"/>
                </w:rPr>
                <m:t>*</m:t>
              </m:r>
            </m:e>
          </m:nary>
          <m:sSub>
            <m:sSubPr>
              <m:ctrlPr>
                <w:rPr>
                  <w:rFonts w:ascii="Cambria Math" w:hAnsi="Cambria Math" w:cs="Arial"/>
                  <w:bCs/>
                  <w:i/>
                  <w:sz w:val="24"/>
                  <w:szCs w:val="24"/>
                  <w:lang w:val="es-AR"/>
                </w:rPr>
              </m:ctrlPr>
            </m:sSubPr>
            <m:e>
              <m:r>
                <w:rPr>
                  <w:rFonts w:ascii="Cambria Math" w:hAnsi="Cambria Math" w:cs="Arial"/>
                  <w:sz w:val="24"/>
                  <w:szCs w:val="24"/>
                  <w:lang w:val="es-AR"/>
                </w:rPr>
                <m:t>t</m:t>
              </m:r>
            </m:e>
            <m:sub>
              <m:r>
                <w:rPr>
                  <w:rFonts w:ascii="Cambria Math" w:hAnsi="Cambria Math" w:cs="Arial"/>
                  <w:sz w:val="24"/>
                  <w:szCs w:val="24"/>
                  <w:lang w:val="es-AR"/>
                </w:rPr>
                <m:t>i</m:t>
              </m:r>
            </m:sub>
          </m:sSub>
        </m:oMath>
      </m:oMathPara>
    </w:p>
    <w:p w:rsidR="00414489" w:rsidRPr="00794C0E" w:rsidRDefault="00414489" w:rsidP="00337EFD">
      <w:pPr>
        <w:jc w:val="both"/>
        <w:rPr>
          <w:rFonts w:cs="Arial"/>
          <w:lang w:val="es-AR"/>
        </w:rPr>
      </w:pPr>
    </w:p>
    <w:p w:rsidR="00306152" w:rsidRPr="00794C0E" w:rsidRDefault="000D0102" w:rsidP="00337EFD">
      <w:pPr>
        <w:jc w:val="both"/>
        <w:rPr>
          <w:rFonts w:cs="Arial"/>
          <w:highlight w:val="yellow"/>
          <w:lang w:val="es-AR"/>
        </w:rPr>
      </w:pPr>
      <w:r w:rsidRPr="00794C0E">
        <w:rPr>
          <w:rFonts w:cs="Arial"/>
          <w:sz w:val="22"/>
          <w:szCs w:val="22"/>
          <w:lang w:val="es-AR"/>
        </w:rPr>
        <w:t>d</w:t>
      </w:r>
      <w:r w:rsidR="00306152" w:rsidRPr="00794C0E">
        <w:rPr>
          <w:rFonts w:cs="Arial"/>
          <w:sz w:val="22"/>
          <w:szCs w:val="22"/>
          <w:lang w:val="es-AR"/>
        </w:rPr>
        <w:t xml:space="preserve">onde </w:t>
      </w:r>
      <w:r w:rsidR="00306152" w:rsidRPr="00794C0E">
        <w:rPr>
          <w:rFonts w:cs="Arial"/>
          <w:i/>
          <w:sz w:val="22"/>
          <w:szCs w:val="22"/>
          <w:lang w:val="es-AR"/>
        </w:rPr>
        <w:t>Q</w:t>
      </w:r>
      <w:r w:rsidR="00306152" w:rsidRPr="00794C0E">
        <w:rPr>
          <w:rFonts w:cs="Arial"/>
          <w:i/>
          <w:sz w:val="22"/>
          <w:szCs w:val="22"/>
          <w:vertAlign w:val="subscript"/>
          <w:lang w:val="es-AR"/>
        </w:rPr>
        <w:t>i</w:t>
      </w:r>
      <w:r w:rsidR="00306152" w:rsidRPr="00794C0E">
        <w:rPr>
          <w:rFonts w:cs="Arial"/>
          <w:i/>
          <w:sz w:val="22"/>
          <w:szCs w:val="22"/>
          <w:lang w:val="es-AR"/>
        </w:rPr>
        <w:t xml:space="preserve"> </w:t>
      </w:r>
      <w:r w:rsidRPr="00794C0E">
        <w:rPr>
          <w:rFonts w:cs="Arial"/>
          <w:i/>
          <w:sz w:val="22"/>
          <w:szCs w:val="22"/>
          <w:lang w:val="es-AR"/>
        </w:rPr>
        <w:t xml:space="preserve"> </w:t>
      </w:r>
      <w:r w:rsidR="00306152" w:rsidRPr="00794C0E">
        <w:rPr>
          <w:rFonts w:cs="Arial"/>
          <w:sz w:val="22"/>
          <w:szCs w:val="22"/>
          <w:lang w:val="es-AR"/>
        </w:rPr>
        <w:t xml:space="preserve">es el incremento de la producción que se generará en las empresas de la industria </w:t>
      </w:r>
      <w:r w:rsidR="00306152" w:rsidRPr="00794C0E">
        <w:rPr>
          <w:rFonts w:cs="Arial"/>
          <w:i/>
          <w:sz w:val="22"/>
          <w:szCs w:val="22"/>
          <w:lang w:val="es-AR"/>
        </w:rPr>
        <w:t>i</w:t>
      </w:r>
      <w:r w:rsidR="00306152" w:rsidRPr="00794C0E">
        <w:rPr>
          <w:rFonts w:cs="Arial"/>
          <w:sz w:val="22"/>
          <w:szCs w:val="22"/>
          <w:lang w:val="es-AR"/>
        </w:rPr>
        <w:t xml:space="preserve">; </w:t>
      </w:r>
      <w:r w:rsidR="00306152" w:rsidRPr="00794C0E">
        <w:rPr>
          <w:rFonts w:cs="Arial"/>
          <w:i/>
          <w:sz w:val="22"/>
          <w:szCs w:val="22"/>
          <w:lang w:val="es-AR"/>
        </w:rPr>
        <w:t>P</w:t>
      </w:r>
      <w:r w:rsidR="00306152" w:rsidRPr="00794C0E">
        <w:rPr>
          <w:rFonts w:cs="Arial"/>
          <w:i/>
          <w:sz w:val="22"/>
          <w:szCs w:val="22"/>
          <w:vertAlign w:val="subscript"/>
          <w:lang w:val="es-AR"/>
        </w:rPr>
        <w:t>i</w:t>
      </w:r>
      <w:r w:rsidR="00306152" w:rsidRPr="00794C0E">
        <w:rPr>
          <w:rFonts w:cs="Arial"/>
          <w:sz w:val="22"/>
          <w:szCs w:val="22"/>
          <w:lang w:val="es-AR"/>
        </w:rPr>
        <w:t xml:space="preserve"> el precio mercado nivel mayorista del bien que la industria comercializa; </w:t>
      </w:r>
      <w:r w:rsidR="00F433CD" w:rsidRPr="00794C0E">
        <w:rPr>
          <w:rFonts w:cs="Arial"/>
          <w:i/>
          <w:sz w:val="22"/>
          <w:szCs w:val="22"/>
          <w:lang w:val="es-AR"/>
        </w:rPr>
        <w:t>t</w:t>
      </w:r>
      <w:r w:rsidR="00F433CD" w:rsidRPr="00794C0E">
        <w:rPr>
          <w:rFonts w:cs="Arial"/>
          <w:i/>
          <w:sz w:val="22"/>
          <w:szCs w:val="22"/>
          <w:vertAlign w:val="subscript"/>
          <w:lang w:val="es-AR"/>
        </w:rPr>
        <w:t>i</w:t>
      </w:r>
      <w:r w:rsidR="00F433CD" w:rsidRPr="00794C0E">
        <w:rPr>
          <w:rFonts w:cs="Arial"/>
          <w:sz w:val="22"/>
          <w:szCs w:val="22"/>
          <w:vertAlign w:val="subscript"/>
          <w:lang w:val="es-AR"/>
        </w:rPr>
        <w:t xml:space="preserve"> </w:t>
      </w:r>
      <w:r w:rsidR="00A56B77" w:rsidRPr="00794C0E">
        <w:rPr>
          <w:rFonts w:cs="Arial"/>
          <w:sz w:val="22"/>
          <w:szCs w:val="22"/>
          <w:lang w:val="es-AR"/>
        </w:rPr>
        <w:t>es la tasa</w:t>
      </w:r>
      <w:r w:rsidR="00F433CD" w:rsidRPr="00794C0E">
        <w:rPr>
          <w:rFonts w:cs="Arial"/>
          <w:sz w:val="22"/>
          <w:szCs w:val="22"/>
          <w:lang w:val="es-AR"/>
        </w:rPr>
        <w:t xml:space="preserve"> de crecimiento para la producción por industria; </w:t>
      </w:r>
      <w:r w:rsidR="00306152" w:rsidRPr="00794C0E">
        <w:rPr>
          <w:rFonts w:cs="Arial"/>
          <w:i/>
          <w:sz w:val="22"/>
          <w:szCs w:val="22"/>
          <w:lang w:val="es-AR"/>
        </w:rPr>
        <w:t>n</w:t>
      </w:r>
      <w:r w:rsidR="00306152" w:rsidRPr="00794C0E">
        <w:rPr>
          <w:rFonts w:cs="Arial"/>
          <w:sz w:val="22"/>
          <w:szCs w:val="22"/>
          <w:lang w:val="es-AR"/>
        </w:rPr>
        <w:t xml:space="preserve"> el período para el que se proyectan los beneficios</w:t>
      </w:r>
      <w:r w:rsidRPr="00794C0E">
        <w:rPr>
          <w:rStyle w:val="FootnoteReference"/>
          <w:rFonts w:cs="Arial"/>
          <w:lang w:val="es-AR"/>
        </w:rPr>
        <w:footnoteReference w:id="27"/>
      </w:r>
      <w:r w:rsidR="00306152" w:rsidRPr="00794C0E">
        <w:rPr>
          <w:rFonts w:cs="Arial"/>
          <w:lang w:val="es-AR"/>
        </w:rPr>
        <w:t>.</w:t>
      </w:r>
    </w:p>
    <w:p w:rsidR="00306152" w:rsidRPr="00794C0E" w:rsidRDefault="00306152" w:rsidP="00337EFD">
      <w:pPr>
        <w:jc w:val="both"/>
        <w:rPr>
          <w:rFonts w:cs="Arial"/>
          <w:highlight w:val="yellow"/>
          <w:lang w:val="es-AR"/>
        </w:rPr>
      </w:pPr>
    </w:p>
    <w:p w:rsidR="00337EFD" w:rsidRDefault="004F7B12" w:rsidP="004F7B12">
      <w:pPr>
        <w:pStyle w:val="ListParagraph"/>
        <w:numPr>
          <w:ilvl w:val="1"/>
          <w:numId w:val="5"/>
        </w:numPr>
        <w:ind w:left="0" w:firstLine="0"/>
        <w:jc w:val="both"/>
        <w:rPr>
          <w:rFonts w:cs="Arial"/>
          <w:bCs/>
          <w:sz w:val="22"/>
          <w:szCs w:val="22"/>
          <w:lang w:val="es-AR"/>
        </w:rPr>
      </w:pPr>
      <w:r w:rsidRPr="00794C0E">
        <w:rPr>
          <w:rFonts w:cs="Arial"/>
          <w:bCs/>
          <w:sz w:val="22"/>
          <w:szCs w:val="22"/>
          <w:lang w:val="es-AR"/>
        </w:rPr>
        <w:t xml:space="preserve">Para los costos se utilizan las inversiones que surgen de los proyectos de factibilidad provistos por la Provincia, según las condiciones de los pliegos y documento ejecutivo para la realización de la licitación de la obra, cuyo precio de referencia a precios </w:t>
      </w:r>
      <w:r w:rsidR="007F4A16" w:rsidRPr="00794C0E">
        <w:rPr>
          <w:rFonts w:cs="Arial"/>
          <w:bCs/>
          <w:sz w:val="22"/>
          <w:szCs w:val="22"/>
          <w:lang w:val="es-AR"/>
        </w:rPr>
        <w:t>de mercado ascienden a US$4,964,000</w:t>
      </w:r>
      <w:r w:rsidR="007F4A16" w:rsidRPr="00794C0E">
        <w:rPr>
          <w:rStyle w:val="FootnoteReference"/>
          <w:rFonts w:cs="Arial"/>
          <w:bCs/>
          <w:sz w:val="22"/>
          <w:szCs w:val="22"/>
          <w:lang w:val="es-AR"/>
        </w:rPr>
        <w:footnoteReference w:id="28"/>
      </w:r>
      <w:r w:rsidR="007F4A16" w:rsidRPr="00794C0E">
        <w:rPr>
          <w:rFonts w:cs="Arial"/>
          <w:bCs/>
          <w:sz w:val="22"/>
          <w:szCs w:val="22"/>
          <w:lang w:val="es-AR"/>
        </w:rPr>
        <w:t xml:space="preserve"> que a precios </w:t>
      </w:r>
      <w:r w:rsidRPr="00794C0E">
        <w:rPr>
          <w:rFonts w:cs="Arial"/>
          <w:bCs/>
          <w:sz w:val="22"/>
          <w:szCs w:val="22"/>
          <w:lang w:val="es-AR"/>
        </w:rPr>
        <w:t xml:space="preserve">sociales </w:t>
      </w:r>
      <w:r w:rsidR="007F4A16" w:rsidRPr="00794C0E">
        <w:rPr>
          <w:rFonts w:cs="Arial"/>
          <w:bCs/>
          <w:sz w:val="22"/>
          <w:szCs w:val="22"/>
          <w:lang w:val="es-AR"/>
        </w:rPr>
        <w:t>equivalen</w:t>
      </w:r>
      <w:r w:rsidRPr="00794C0E">
        <w:rPr>
          <w:rFonts w:cs="Arial"/>
          <w:bCs/>
          <w:sz w:val="22"/>
          <w:szCs w:val="22"/>
          <w:lang w:val="es-AR"/>
        </w:rPr>
        <w:t xml:space="preserve"> a U$S 3.420.200. Se prevé ejecutar la obra en un período de dos años. Los costos de </w:t>
      </w:r>
      <w:r w:rsidR="00337EFD" w:rsidRPr="00794C0E">
        <w:rPr>
          <w:rFonts w:cs="Arial"/>
          <w:bCs/>
          <w:sz w:val="22"/>
          <w:szCs w:val="22"/>
          <w:lang w:val="es-AR"/>
        </w:rPr>
        <w:t>mantenimiento</w:t>
      </w:r>
      <w:r w:rsidRPr="00794C0E">
        <w:rPr>
          <w:rFonts w:cs="Arial"/>
          <w:bCs/>
          <w:sz w:val="22"/>
          <w:szCs w:val="22"/>
          <w:lang w:val="es-AR"/>
        </w:rPr>
        <w:t xml:space="preserve"> y operación representan el </w:t>
      </w:r>
      <w:r w:rsidR="00337EFD" w:rsidRPr="00794C0E">
        <w:rPr>
          <w:rFonts w:cs="Arial"/>
          <w:bCs/>
          <w:sz w:val="22"/>
          <w:szCs w:val="22"/>
          <w:lang w:val="es-AR"/>
        </w:rPr>
        <w:t>4% de la inversión</w:t>
      </w:r>
      <w:r w:rsidRPr="00794C0E">
        <w:rPr>
          <w:rFonts w:cs="Arial"/>
          <w:bCs/>
          <w:sz w:val="22"/>
          <w:szCs w:val="22"/>
          <w:lang w:val="es-AR"/>
        </w:rPr>
        <w:t>.</w:t>
      </w:r>
    </w:p>
    <w:p w:rsidR="00794C0E" w:rsidRDefault="00794C0E" w:rsidP="00794C0E">
      <w:pPr>
        <w:jc w:val="both"/>
        <w:rPr>
          <w:rFonts w:cs="Arial"/>
          <w:bCs/>
          <w:sz w:val="22"/>
          <w:szCs w:val="22"/>
          <w:lang w:val="es-AR"/>
        </w:rPr>
      </w:pPr>
    </w:p>
    <w:p w:rsidR="00794C0E" w:rsidRPr="00794C0E" w:rsidRDefault="00794C0E" w:rsidP="00794C0E">
      <w:pPr>
        <w:jc w:val="both"/>
        <w:rPr>
          <w:rFonts w:cs="Arial"/>
          <w:bCs/>
          <w:sz w:val="22"/>
          <w:szCs w:val="22"/>
          <w:lang w:val="es-AR"/>
        </w:rPr>
      </w:pPr>
    </w:p>
    <w:p w:rsidR="00104DA9" w:rsidRPr="00794C0E" w:rsidRDefault="00104DA9" w:rsidP="00104DA9">
      <w:pPr>
        <w:pStyle w:val="ListParagraph"/>
        <w:ind w:left="0"/>
        <w:jc w:val="both"/>
        <w:rPr>
          <w:rFonts w:cs="Arial"/>
          <w:bCs/>
          <w:sz w:val="22"/>
          <w:szCs w:val="22"/>
          <w:lang w:val="es-AR"/>
        </w:rPr>
      </w:pPr>
    </w:p>
    <w:p w:rsidR="00FF4F77" w:rsidRPr="00794C0E" w:rsidRDefault="004F7B12" w:rsidP="009D1692">
      <w:pPr>
        <w:pStyle w:val="ListParagraph"/>
        <w:numPr>
          <w:ilvl w:val="0"/>
          <w:numId w:val="6"/>
        </w:numPr>
        <w:ind w:left="0" w:firstLine="0"/>
        <w:jc w:val="both"/>
        <w:rPr>
          <w:rFonts w:cs="Arial"/>
          <w:b/>
          <w:bCs/>
          <w:sz w:val="22"/>
          <w:szCs w:val="22"/>
          <w:lang w:val="es-AR"/>
        </w:rPr>
      </w:pPr>
      <w:r w:rsidRPr="00794C0E">
        <w:rPr>
          <w:rFonts w:cs="Arial"/>
          <w:b/>
          <w:bCs/>
          <w:sz w:val="22"/>
          <w:szCs w:val="22"/>
          <w:lang w:val="es-AR"/>
        </w:rPr>
        <w:lastRenderedPageBreak/>
        <w:t>Parque</w:t>
      </w:r>
      <w:r w:rsidR="00FF4F77" w:rsidRPr="00794C0E">
        <w:rPr>
          <w:rFonts w:cs="Arial"/>
          <w:b/>
          <w:bCs/>
          <w:sz w:val="22"/>
          <w:szCs w:val="22"/>
          <w:lang w:val="es-AR"/>
        </w:rPr>
        <w:t xml:space="preserve"> Industrial de Salta (PISA)</w:t>
      </w:r>
    </w:p>
    <w:p w:rsidR="001247C7" w:rsidRPr="00794C0E" w:rsidRDefault="001247C7" w:rsidP="009D1692">
      <w:pPr>
        <w:jc w:val="both"/>
        <w:rPr>
          <w:rFonts w:cs="Arial"/>
          <w:bCs/>
          <w:sz w:val="22"/>
          <w:szCs w:val="22"/>
          <w:highlight w:val="yellow"/>
          <w:u w:val="single"/>
          <w:lang w:val="es-AR"/>
        </w:rPr>
      </w:pPr>
    </w:p>
    <w:p w:rsidR="001247C7" w:rsidRPr="00794C0E" w:rsidRDefault="001247C7" w:rsidP="009D1692">
      <w:pPr>
        <w:jc w:val="both"/>
        <w:rPr>
          <w:rFonts w:cs="Arial"/>
          <w:bCs/>
          <w:sz w:val="22"/>
          <w:szCs w:val="22"/>
          <w:u w:val="single"/>
          <w:lang w:val="es-AR"/>
        </w:rPr>
      </w:pPr>
      <w:r w:rsidRPr="00794C0E">
        <w:rPr>
          <w:rFonts w:cs="Arial"/>
          <w:bCs/>
          <w:sz w:val="22"/>
          <w:szCs w:val="22"/>
          <w:u w:val="single"/>
          <w:lang w:val="es-AR"/>
        </w:rPr>
        <w:t>Descripción</w:t>
      </w:r>
    </w:p>
    <w:p w:rsidR="00637583" w:rsidRPr="00794C0E" w:rsidRDefault="00637583" w:rsidP="009D1692">
      <w:pPr>
        <w:rPr>
          <w:rFonts w:cs="Arial"/>
          <w:bCs/>
          <w:sz w:val="22"/>
          <w:szCs w:val="22"/>
          <w:lang w:val="es-AR"/>
        </w:rPr>
      </w:pPr>
    </w:p>
    <w:p w:rsidR="00DB50C4" w:rsidRPr="00794C0E" w:rsidRDefault="00DB50C4" w:rsidP="00DB50C4">
      <w:pPr>
        <w:pStyle w:val="ListParagraph"/>
        <w:numPr>
          <w:ilvl w:val="1"/>
          <w:numId w:val="5"/>
        </w:numPr>
        <w:ind w:left="0" w:firstLine="0"/>
        <w:jc w:val="both"/>
        <w:rPr>
          <w:rFonts w:cs="Arial"/>
          <w:bCs/>
          <w:sz w:val="22"/>
          <w:szCs w:val="22"/>
          <w:lang w:val="es-AR"/>
        </w:rPr>
      </w:pPr>
      <w:r w:rsidRPr="00794C0E">
        <w:rPr>
          <w:rFonts w:cs="Arial"/>
          <w:bCs/>
          <w:sz w:val="22"/>
          <w:szCs w:val="22"/>
          <w:lang w:val="es-AR"/>
        </w:rPr>
        <w:t xml:space="preserve">La intervención del proyecto en cuestión, implica la realización de obras de infraestructura en el Parque Industrial de la localidad de Salta. El parque se encuentra </w:t>
      </w:r>
      <w:r w:rsidR="009F76C2" w:rsidRPr="00794C0E">
        <w:rPr>
          <w:rFonts w:cs="Arial"/>
          <w:bCs/>
          <w:sz w:val="22"/>
          <w:szCs w:val="22"/>
          <w:lang w:val="es-AR"/>
        </w:rPr>
        <w:t>mismo se encuentra emplazado en el sector sudeste de la ciudad sobre la Ruta Provincial 39</w:t>
      </w:r>
      <w:r w:rsidRPr="00794C0E">
        <w:rPr>
          <w:rFonts w:cs="Arial"/>
          <w:bCs/>
          <w:sz w:val="22"/>
          <w:szCs w:val="22"/>
          <w:lang w:val="es-AR"/>
        </w:rPr>
        <w:t>.</w:t>
      </w:r>
    </w:p>
    <w:p w:rsidR="00DB50C4" w:rsidRPr="00794C0E" w:rsidRDefault="00DB50C4" w:rsidP="00DB50C4">
      <w:pPr>
        <w:pStyle w:val="ListParagraph"/>
        <w:ind w:left="0"/>
        <w:jc w:val="both"/>
        <w:rPr>
          <w:rFonts w:cs="Arial"/>
          <w:bCs/>
          <w:sz w:val="22"/>
          <w:szCs w:val="22"/>
          <w:lang w:val="es-AR"/>
        </w:rPr>
      </w:pPr>
    </w:p>
    <w:p w:rsidR="00E33D6F" w:rsidRPr="00794C0E" w:rsidRDefault="00DB50C4" w:rsidP="00DB50C4">
      <w:pPr>
        <w:pStyle w:val="ListParagraph"/>
        <w:numPr>
          <w:ilvl w:val="1"/>
          <w:numId w:val="5"/>
        </w:numPr>
        <w:ind w:left="0" w:firstLine="0"/>
        <w:jc w:val="both"/>
        <w:rPr>
          <w:rFonts w:cs="Arial"/>
          <w:bCs/>
          <w:sz w:val="22"/>
          <w:szCs w:val="22"/>
          <w:lang w:val="es-AR"/>
        </w:rPr>
      </w:pPr>
      <w:r w:rsidRPr="00794C0E">
        <w:rPr>
          <w:rFonts w:cs="Arial"/>
          <w:bCs/>
          <w:sz w:val="22"/>
          <w:szCs w:val="22"/>
          <w:lang w:val="es-AR"/>
        </w:rPr>
        <w:t>El parque está de</w:t>
      </w:r>
      <w:r w:rsidR="009F76C2" w:rsidRPr="00794C0E">
        <w:rPr>
          <w:rFonts w:cs="Arial"/>
          <w:bCs/>
          <w:sz w:val="22"/>
          <w:szCs w:val="22"/>
          <w:lang w:val="es-AR"/>
        </w:rPr>
        <w:t>limit</w:t>
      </w:r>
      <w:r w:rsidRPr="00794C0E">
        <w:rPr>
          <w:rFonts w:cs="Arial"/>
          <w:bCs/>
          <w:sz w:val="22"/>
          <w:szCs w:val="22"/>
          <w:lang w:val="es-AR"/>
        </w:rPr>
        <w:t xml:space="preserve">ado por </w:t>
      </w:r>
      <w:r w:rsidR="009F76C2" w:rsidRPr="00794C0E">
        <w:rPr>
          <w:rFonts w:cs="Arial"/>
          <w:bCs/>
          <w:sz w:val="22"/>
          <w:szCs w:val="22"/>
          <w:lang w:val="es-AR"/>
        </w:rPr>
        <w:t xml:space="preserve">el cordón de las sierras Mojotoro hacia el Este y el Río Arenales hacia el Oeste. </w:t>
      </w:r>
      <w:r w:rsidRPr="00794C0E">
        <w:rPr>
          <w:rFonts w:cs="Arial"/>
          <w:bCs/>
          <w:sz w:val="22"/>
          <w:szCs w:val="22"/>
          <w:lang w:val="es-AR"/>
        </w:rPr>
        <w:t xml:space="preserve">El area del parque abarca </w:t>
      </w:r>
      <w:r w:rsidR="009F76C2" w:rsidRPr="00794C0E">
        <w:rPr>
          <w:rFonts w:cs="Arial"/>
          <w:bCs/>
          <w:sz w:val="22"/>
          <w:szCs w:val="22"/>
          <w:lang w:val="es-AR"/>
        </w:rPr>
        <w:t>aproximadamente 500 ha. teniendo en cuenta el “cinturón ecológico” que lo circunda</w:t>
      </w:r>
      <w:r w:rsidRPr="00794C0E">
        <w:rPr>
          <w:rFonts w:cs="Arial"/>
          <w:bCs/>
          <w:sz w:val="22"/>
          <w:szCs w:val="22"/>
          <w:lang w:val="es-AR"/>
        </w:rPr>
        <w:t xml:space="preserve">, pero sólo 170 hectáreas </w:t>
      </w:r>
      <w:r w:rsidR="009F76C2" w:rsidRPr="00794C0E">
        <w:rPr>
          <w:rFonts w:cs="Arial"/>
          <w:bCs/>
          <w:sz w:val="22"/>
          <w:szCs w:val="22"/>
          <w:lang w:val="es-AR"/>
        </w:rPr>
        <w:t>se encuentran habilitadas y conforman la parte efectivamente activa del Parque Industrial 138 h</w:t>
      </w:r>
      <w:r w:rsidRPr="00794C0E">
        <w:rPr>
          <w:rFonts w:cs="Arial"/>
          <w:bCs/>
          <w:sz w:val="22"/>
          <w:szCs w:val="22"/>
          <w:lang w:val="es-AR"/>
        </w:rPr>
        <w:t xml:space="preserve">ectáreas </w:t>
      </w:r>
      <w:r w:rsidR="009F76C2" w:rsidRPr="00794C0E">
        <w:rPr>
          <w:rFonts w:cs="Arial"/>
          <w:bCs/>
          <w:sz w:val="22"/>
          <w:szCs w:val="22"/>
          <w:lang w:val="es-AR"/>
        </w:rPr>
        <w:t xml:space="preserve">destinadas </w:t>
      </w:r>
      <w:r w:rsidRPr="00794C0E">
        <w:rPr>
          <w:rFonts w:cs="Arial"/>
          <w:bCs/>
          <w:sz w:val="22"/>
          <w:szCs w:val="22"/>
          <w:lang w:val="es-AR"/>
        </w:rPr>
        <w:t>a la</w:t>
      </w:r>
      <w:r w:rsidR="009F76C2" w:rsidRPr="00794C0E">
        <w:rPr>
          <w:rFonts w:cs="Arial"/>
          <w:bCs/>
          <w:sz w:val="22"/>
          <w:szCs w:val="22"/>
          <w:lang w:val="es-AR"/>
        </w:rPr>
        <w:t xml:space="preserve"> radicación industrial y las restantes 32 </w:t>
      </w:r>
      <w:r w:rsidRPr="00794C0E">
        <w:rPr>
          <w:rFonts w:cs="Arial"/>
          <w:bCs/>
          <w:sz w:val="22"/>
          <w:szCs w:val="22"/>
          <w:lang w:val="es-AR"/>
        </w:rPr>
        <w:t xml:space="preserve">hectáreas </w:t>
      </w:r>
      <w:r w:rsidR="009F76C2" w:rsidRPr="00794C0E">
        <w:rPr>
          <w:rFonts w:cs="Arial"/>
          <w:bCs/>
          <w:sz w:val="22"/>
          <w:szCs w:val="22"/>
          <w:lang w:val="es-AR"/>
        </w:rPr>
        <w:t xml:space="preserve"> conforman las superficies comunes que comprenden calles, veredas, pozos de agua, Centro Administrativo, espacios verdes, ochavas, </w:t>
      </w:r>
      <w:r w:rsidRPr="00794C0E">
        <w:rPr>
          <w:rFonts w:cs="Arial"/>
          <w:bCs/>
          <w:sz w:val="22"/>
          <w:szCs w:val="22"/>
          <w:lang w:val="es-AR"/>
        </w:rPr>
        <w:t>entre otros.</w:t>
      </w:r>
    </w:p>
    <w:p w:rsidR="00104DA9" w:rsidRPr="00794C0E" w:rsidRDefault="00104DA9" w:rsidP="00957267">
      <w:pPr>
        <w:pStyle w:val="ListParagraph"/>
        <w:ind w:left="360"/>
        <w:jc w:val="center"/>
        <w:rPr>
          <w:rFonts w:cs="Arial"/>
          <w:b/>
          <w:lang w:val="es-AR"/>
        </w:rPr>
      </w:pPr>
    </w:p>
    <w:p w:rsidR="00637583" w:rsidRPr="00794C0E" w:rsidRDefault="00957267" w:rsidP="00957267">
      <w:pPr>
        <w:pStyle w:val="ListParagraph"/>
        <w:ind w:left="360"/>
        <w:jc w:val="center"/>
        <w:rPr>
          <w:rFonts w:cs="Arial"/>
          <w:b/>
          <w:lang w:val="es-AR"/>
        </w:rPr>
      </w:pPr>
      <w:r w:rsidRPr="00794C0E">
        <w:rPr>
          <w:rFonts w:cs="Arial"/>
          <w:b/>
          <w:lang w:val="es-AR"/>
        </w:rPr>
        <w:t>Ubicación Geográfica</w:t>
      </w:r>
    </w:p>
    <w:p w:rsidR="00DB50C4" w:rsidRPr="00794C0E" w:rsidRDefault="0056266B" w:rsidP="00104DA9">
      <w:pPr>
        <w:jc w:val="center"/>
        <w:rPr>
          <w:rFonts w:cs="Arial"/>
          <w:bCs/>
          <w:sz w:val="22"/>
          <w:szCs w:val="22"/>
          <w:lang w:val="es-AR"/>
        </w:rPr>
      </w:pPr>
      <w:r w:rsidRPr="00794C0E">
        <w:rPr>
          <w:rFonts w:cs="Arial"/>
          <w:bCs/>
          <w:noProof/>
          <w:sz w:val="22"/>
          <w:szCs w:val="22"/>
          <w:lang w:val="es-ES_tradnl" w:eastAsia="es-ES_tradnl"/>
        </w:rPr>
        <w:drawing>
          <wp:inline distT="0" distB="0" distL="0" distR="0" wp14:anchorId="53C40E59" wp14:editId="2367536F">
            <wp:extent cx="4093705" cy="2276475"/>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1985" cy="2281079"/>
                    </a:xfrm>
                    <a:prstGeom prst="rect">
                      <a:avLst/>
                    </a:prstGeom>
                    <a:noFill/>
                    <a:ln>
                      <a:noFill/>
                    </a:ln>
                  </pic:spPr>
                </pic:pic>
              </a:graphicData>
            </a:graphic>
          </wp:inline>
        </w:drawing>
      </w:r>
    </w:p>
    <w:p w:rsidR="0056266B" w:rsidRPr="00794C0E" w:rsidRDefault="0056266B" w:rsidP="009D1692">
      <w:pPr>
        <w:rPr>
          <w:rFonts w:cs="Arial"/>
          <w:bCs/>
          <w:sz w:val="22"/>
          <w:szCs w:val="22"/>
          <w:u w:val="single"/>
          <w:lang w:val="es-AR"/>
        </w:rPr>
      </w:pPr>
    </w:p>
    <w:p w:rsidR="00DB50C4" w:rsidRPr="00794C0E" w:rsidRDefault="00356941" w:rsidP="00406FDF">
      <w:pPr>
        <w:pStyle w:val="ListParagraph"/>
        <w:numPr>
          <w:ilvl w:val="1"/>
          <w:numId w:val="5"/>
        </w:numPr>
        <w:ind w:left="0" w:firstLine="0"/>
        <w:jc w:val="both"/>
        <w:rPr>
          <w:rFonts w:cs="Arial"/>
          <w:bCs/>
          <w:sz w:val="22"/>
          <w:szCs w:val="22"/>
          <w:lang w:val="es-AR"/>
        </w:rPr>
      </w:pPr>
      <w:r w:rsidRPr="00794C0E">
        <w:rPr>
          <w:rFonts w:cs="Arial"/>
          <w:bCs/>
          <w:sz w:val="22"/>
          <w:szCs w:val="22"/>
          <w:lang w:val="es-AR"/>
        </w:rPr>
        <w:t>Las obras previstas junto al presupuesto de las inversiones por tipo se exponen a continuación</w:t>
      </w:r>
      <w:r w:rsidR="0056266B" w:rsidRPr="00794C0E">
        <w:rPr>
          <w:rFonts w:cs="Arial"/>
          <w:bCs/>
          <w:sz w:val="22"/>
          <w:szCs w:val="22"/>
          <w:lang w:val="es-AR"/>
        </w:rPr>
        <w:t>.</w:t>
      </w:r>
    </w:p>
    <w:p w:rsidR="00786631" w:rsidRPr="00794C0E" w:rsidRDefault="00786631">
      <w:pPr>
        <w:rPr>
          <w:rFonts w:cs="Arial"/>
          <w:b/>
          <w:bCs/>
          <w:lang w:val="es-AR"/>
        </w:rPr>
      </w:pPr>
    </w:p>
    <w:p w:rsidR="00356941" w:rsidRPr="00794C0E" w:rsidRDefault="00356941" w:rsidP="00356941">
      <w:pPr>
        <w:jc w:val="center"/>
        <w:rPr>
          <w:rFonts w:cs="Arial"/>
          <w:b/>
          <w:bCs/>
          <w:lang w:val="es-AR"/>
        </w:rPr>
      </w:pPr>
      <w:r w:rsidRPr="00794C0E">
        <w:rPr>
          <w:rFonts w:cs="Arial"/>
          <w:b/>
          <w:bCs/>
          <w:lang w:val="es-AR"/>
        </w:rPr>
        <w:t xml:space="preserve">Tabla </w:t>
      </w:r>
      <w:r w:rsidR="00C278D7" w:rsidRPr="00794C0E">
        <w:rPr>
          <w:rFonts w:cs="Arial"/>
          <w:b/>
          <w:bCs/>
          <w:lang w:val="es-AR"/>
        </w:rPr>
        <w:t xml:space="preserve">5. </w:t>
      </w:r>
      <w:r w:rsidRPr="00794C0E">
        <w:rPr>
          <w:rFonts w:cs="Arial"/>
          <w:b/>
          <w:bCs/>
          <w:lang w:val="es-AR"/>
        </w:rPr>
        <w:t xml:space="preserve"> Detalle de </w:t>
      </w:r>
      <w:r w:rsidR="00CB13BB" w:rsidRPr="00794C0E">
        <w:rPr>
          <w:rFonts w:cs="Arial"/>
          <w:b/>
          <w:bCs/>
          <w:lang w:val="es-AR"/>
        </w:rPr>
        <w:t xml:space="preserve">los costos de las </w:t>
      </w:r>
      <w:r w:rsidRPr="00794C0E">
        <w:rPr>
          <w:rFonts w:cs="Arial"/>
          <w:b/>
          <w:bCs/>
          <w:lang w:val="es-AR"/>
        </w:rPr>
        <w:t>obras de Infraestructura</w:t>
      </w:r>
    </w:p>
    <w:tbl>
      <w:tblPr>
        <w:tblW w:w="8760" w:type="dxa"/>
        <w:tblInd w:w="55" w:type="dxa"/>
        <w:tblCellMar>
          <w:left w:w="70" w:type="dxa"/>
          <w:right w:w="70" w:type="dxa"/>
        </w:tblCellMar>
        <w:tblLook w:val="04A0" w:firstRow="1" w:lastRow="0" w:firstColumn="1" w:lastColumn="0" w:noHBand="0" w:noVBand="1"/>
      </w:tblPr>
      <w:tblGrid>
        <w:gridCol w:w="7120"/>
        <w:gridCol w:w="1640"/>
      </w:tblGrid>
      <w:tr w:rsidR="00356941" w:rsidRPr="00794C0E" w:rsidTr="00104DA9">
        <w:trPr>
          <w:trHeight w:val="20"/>
        </w:trPr>
        <w:tc>
          <w:tcPr>
            <w:tcW w:w="712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56941" w:rsidRPr="00794C0E" w:rsidRDefault="00356941" w:rsidP="00356941">
            <w:pPr>
              <w:jc w:val="center"/>
              <w:rPr>
                <w:rFonts w:cs="Arial"/>
                <w:b/>
                <w:bCs/>
                <w:color w:val="000000"/>
                <w:lang w:val="es-ES" w:eastAsia="es-ES"/>
              </w:rPr>
            </w:pPr>
            <w:r w:rsidRPr="00794C0E">
              <w:rPr>
                <w:rFonts w:cs="Arial"/>
                <w:b/>
                <w:bCs/>
                <w:color w:val="000000"/>
                <w:lang w:val="es-ES" w:eastAsia="es-ES"/>
              </w:rPr>
              <w:t>Conceptos</w:t>
            </w:r>
          </w:p>
        </w:tc>
        <w:tc>
          <w:tcPr>
            <w:tcW w:w="1640" w:type="dxa"/>
            <w:tcBorders>
              <w:top w:val="single" w:sz="4" w:space="0" w:color="auto"/>
              <w:left w:val="nil"/>
              <w:bottom w:val="single" w:sz="4" w:space="0" w:color="auto"/>
              <w:right w:val="single" w:sz="4" w:space="0" w:color="auto"/>
            </w:tcBorders>
            <w:shd w:val="clear" w:color="000000" w:fill="D9D9D9"/>
            <w:noWrap/>
            <w:vAlign w:val="bottom"/>
            <w:hideMark/>
          </w:tcPr>
          <w:p w:rsidR="00356941" w:rsidRPr="00794C0E" w:rsidRDefault="00356941" w:rsidP="00356941">
            <w:pPr>
              <w:jc w:val="center"/>
              <w:rPr>
                <w:rFonts w:cs="Arial"/>
                <w:b/>
                <w:bCs/>
                <w:color w:val="000000"/>
                <w:lang w:val="es-ES" w:eastAsia="es-ES"/>
              </w:rPr>
            </w:pPr>
            <w:r w:rsidRPr="00794C0E">
              <w:rPr>
                <w:rFonts w:cs="Arial"/>
                <w:b/>
                <w:bCs/>
                <w:color w:val="000000"/>
                <w:lang w:val="es-ES" w:eastAsia="es-ES"/>
              </w:rPr>
              <w:t xml:space="preserve"> U$S </w:t>
            </w:r>
          </w:p>
        </w:tc>
      </w:tr>
      <w:tr w:rsidR="00356941" w:rsidRPr="00794C0E" w:rsidTr="00104DA9">
        <w:trPr>
          <w:trHeight w:val="20"/>
        </w:trPr>
        <w:tc>
          <w:tcPr>
            <w:tcW w:w="7120" w:type="dxa"/>
            <w:tcBorders>
              <w:top w:val="nil"/>
              <w:left w:val="single" w:sz="4" w:space="0" w:color="auto"/>
              <w:bottom w:val="single" w:sz="4" w:space="0" w:color="auto"/>
              <w:right w:val="single" w:sz="4" w:space="0" w:color="auto"/>
            </w:tcBorders>
            <w:shd w:val="clear" w:color="auto" w:fill="auto"/>
            <w:vAlign w:val="center"/>
            <w:hideMark/>
          </w:tcPr>
          <w:p w:rsidR="00356941" w:rsidRPr="00794C0E" w:rsidRDefault="00356941" w:rsidP="00356941">
            <w:pPr>
              <w:rPr>
                <w:rFonts w:cs="Arial"/>
                <w:color w:val="000000"/>
                <w:lang w:val="es-ES" w:eastAsia="es-ES"/>
              </w:rPr>
            </w:pPr>
            <w:r w:rsidRPr="00794C0E">
              <w:rPr>
                <w:rFonts w:cs="Arial"/>
                <w:color w:val="000000"/>
                <w:lang w:val="es-ES" w:eastAsia="es-ES"/>
              </w:rPr>
              <w:t xml:space="preserve">Nueva Red de Agua: Completar la red de agua en su primera y segunda etapa. </w:t>
            </w:r>
          </w:p>
        </w:tc>
        <w:tc>
          <w:tcPr>
            <w:tcW w:w="1640" w:type="dxa"/>
            <w:tcBorders>
              <w:top w:val="nil"/>
              <w:left w:val="nil"/>
              <w:bottom w:val="single" w:sz="4" w:space="0" w:color="auto"/>
              <w:right w:val="single" w:sz="4" w:space="0" w:color="auto"/>
            </w:tcBorders>
            <w:shd w:val="clear" w:color="auto" w:fill="auto"/>
            <w:noWrap/>
            <w:vAlign w:val="bottom"/>
            <w:hideMark/>
          </w:tcPr>
          <w:p w:rsidR="00356941" w:rsidRPr="00794C0E" w:rsidRDefault="00356941" w:rsidP="00356941">
            <w:pPr>
              <w:rPr>
                <w:rFonts w:cs="Arial"/>
                <w:color w:val="000000"/>
                <w:lang w:val="es-ES" w:eastAsia="es-ES"/>
              </w:rPr>
            </w:pPr>
            <w:r w:rsidRPr="00794C0E">
              <w:rPr>
                <w:rFonts w:cs="Arial"/>
                <w:color w:val="000000"/>
                <w:lang w:val="es-ES" w:eastAsia="es-ES"/>
              </w:rPr>
              <w:t xml:space="preserve">           233.333   </w:t>
            </w:r>
          </w:p>
        </w:tc>
      </w:tr>
      <w:tr w:rsidR="00356941" w:rsidRPr="00794C0E" w:rsidTr="00104DA9">
        <w:trPr>
          <w:trHeight w:val="20"/>
        </w:trPr>
        <w:tc>
          <w:tcPr>
            <w:tcW w:w="7120" w:type="dxa"/>
            <w:tcBorders>
              <w:top w:val="nil"/>
              <w:left w:val="single" w:sz="4" w:space="0" w:color="auto"/>
              <w:bottom w:val="single" w:sz="4" w:space="0" w:color="auto"/>
              <w:right w:val="single" w:sz="4" w:space="0" w:color="auto"/>
            </w:tcBorders>
            <w:shd w:val="clear" w:color="auto" w:fill="auto"/>
            <w:vAlign w:val="center"/>
            <w:hideMark/>
          </w:tcPr>
          <w:p w:rsidR="00356941" w:rsidRPr="00794C0E" w:rsidRDefault="00356941" w:rsidP="00356941">
            <w:pPr>
              <w:rPr>
                <w:rFonts w:cs="Arial"/>
                <w:color w:val="000000"/>
                <w:lang w:val="es-ES" w:eastAsia="es-ES"/>
              </w:rPr>
            </w:pPr>
            <w:r w:rsidRPr="00794C0E">
              <w:rPr>
                <w:rFonts w:cs="Arial"/>
                <w:color w:val="000000"/>
                <w:lang w:val="es-ES" w:eastAsia="es-ES"/>
              </w:rPr>
              <w:t>Canales Desagües Pluviales (3 canales)</w:t>
            </w:r>
          </w:p>
        </w:tc>
        <w:tc>
          <w:tcPr>
            <w:tcW w:w="1640" w:type="dxa"/>
            <w:tcBorders>
              <w:top w:val="nil"/>
              <w:left w:val="nil"/>
              <w:bottom w:val="single" w:sz="4" w:space="0" w:color="auto"/>
              <w:right w:val="single" w:sz="4" w:space="0" w:color="auto"/>
            </w:tcBorders>
            <w:shd w:val="clear" w:color="auto" w:fill="auto"/>
            <w:noWrap/>
            <w:vAlign w:val="bottom"/>
            <w:hideMark/>
          </w:tcPr>
          <w:p w:rsidR="00356941" w:rsidRPr="00794C0E" w:rsidRDefault="00356941" w:rsidP="00356941">
            <w:pPr>
              <w:rPr>
                <w:rFonts w:cs="Arial"/>
                <w:color w:val="000000"/>
                <w:lang w:val="es-ES" w:eastAsia="es-ES"/>
              </w:rPr>
            </w:pPr>
            <w:r w:rsidRPr="00794C0E">
              <w:rPr>
                <w:rFonts w:cs="Arial"/>
                <w:color w:val="000000"/>
                <w:lang w:val="es-ES" w:eastAsia="es-ES"/>
              </w:rPr>
              <w:t xml:space="preserve">           800.000   </w:t>
            </w:r>
          </w:p>
        </w:tc>
      </w:tr>
      <w:tr w:rsidR="00356941" w:rsidRPr="00794C0E" w:rsidTr="00104DA9">
        <w:trPr>
          <w:trHeight w:val="20"/>
        </w:trPr>
        <w:tc>
          <w:tcPr>
            <w:tcW w:w="7120" w:type="dxa"/>
            <w:tcBorders>
              <w:top w:val="nil"/>
              <w:left w:val="single" w:sz="4" w:space="0" w:color="auto"/>
              <w:bottom w:val="single" w:sz="4" w:space="0" w:color="auto"/>
              <w:right w:val="single" w:sz="4" w:space="0" w:color="auto"/>
            </w:tcBorders>
            <w:shd w:val="clear" w:color="auto" w:fill="auto"/>
            <w:vAlign w:val="center"/>
            <w:hideMark/>
          </w:tcPr>
          <w:p w:rsidR="00356941" w:rsidRPr="00794C0E" w:rsidRDefault="00356941" w:rsidP="00356941">
            <w:pPr>
              <w:rPr>
                <w:rFonts w:cs="Arial"/>
                <w:color w:val="000000"/>
                <w:lang w:val="es-ES" w:eastAsia="es-ES"/>
              </w:rPr>
            </w:pPr>
            <w:r w:rsidRPr="00794C0E">
              <w:rPr>
                <w:rFonts w:cs="Arial"/>
                <w:color w:val="000000"/>
                <w:lang w:val="es-ES" w:eastAsia="es-ES"/>
              </w:rPr>
              <w:t>Apertura de calles</w:t>
            </w:r>
          </w:p>
        </w:tc>
        <w:tc>
          <w:tcPr>
            <w:tcW w:w="1640" w:type="dxa"/>
            <w:tcBorders>
              <w:top w:val="nil"/>
              <w:left w:val="nil"/>
              <w:bottom w:val="single" w:sz="4" w:space="0" w:color="auto"/>
              <w:right w:val="single" w:sz="4" w:space="0" w:color="auto"/>
            </w:tcBorders>
            <w:shd w:val="clear" w:color="auto" w:fill="auto"/>
            <w:noWrap/>
            <w:vAlign w:val="bottom"/>
            <w:hideMark/>
          </w:tcPr>
          <w:p w:rsidR="00356941" w:rsidRPr="00794C0E" w:rsidRDefault="00356941" w:rsidP="00356941">
            <w:pPr>
              <w:rPr>
                <w:rFonts w:cs="Arial"/>
                <w:color w:val="000000"/>
                <w:lang w:val="es-ES" w:eastAsia="es-ES"/>
              </w:rPr>
            </w:pPr>
            <w:r w:rsidRPr="00794C0E">
              <w:rPr>
                <w:rFonts w:cs="Arial"/>
                <w:color w:val="000000"/>
                <w:lang w:val="es-ES" w:eastAsia="es-ES"/>
              </w:rPr>
              <w:t xml:space="preserve">           200.000   </w:t>
            </w:r>
          </w:p>
        </w:tc>
      </w:tr>
      <w:tr w:rsidR="00356941" w:rsidRPr="00794C0E" w:rsidTr="00104DA9">
        <w:trPr>
          <w:trHeight w:val="20"/>
        </w:trPr>
        <w:tc>
          <w:tcPr>
            <w:tcW w:w="7120" w:type="dxa"/>
            <w:tcBorders>
              <w:top w:val="nil"/>
              <w:left w:val="single" w:sz="4" w:space="0" w:color="auto"/>
              <w:bottom w:val="single" w:sz="4" w:space="0" w:color="auto"/>
              <w:right w:val="single" w:sz="4" w:space="0" w:color="auto"/>
            </w:tcBorders>
            <w:shd w:val="clear" w:color="auto" w:fill="auto"/>
            <w:vAlign w:val="center"/>
            <w:hideMark/>
          </w:tcPr>
          <w:p w:rsidR="00356941" w:rsidRPr="00794C0E" w:rsidRDefault="00356941" w:rsidP="00356941">
            <w:pPr>
              <w:rPr>
                <w:rFonts w:cs="Arial"/>
                <w:color w:val="222222"/>
                <w:lang w:val="es-ES" w:eastAsia="es-ES"/>
              </w:rPr>
            </w:pPr>
            <w:r w:rsidRPr="00794C0E">
              <w:rPr>
                <w:rFonts w:cs="Arial"/>
                <w:color w:val="222222"/>
                <w:lang w:val="es-ES" w:eastAsia="es-ES"/>
              </w:rPr>
              <w:t>Red de Iluminación</w:t>
            </w:r>
          </w:p>
        </w:tc>
        <w:tc>
          <w:tcPr>
            <w:tcW w:w="1640" w:type="dxa"/>
            <w:tcBorders>
              <w:top w:val="nil"/>
              <w:left w:val="nil"/>
              <w:bottom w:val="single" w:sz="4" w:space="0" w:color="auto"/>
              <w:right w:val="single" w:sz="4" w:space="0" w:color="auto"/>
            </w:tcBorders>
            <w:shd w:val="clear" w:color="auto" w:fill="auto"/>
            <w:noWrap/>
            <w:vAlign w:val="bottom"/>
            <w:hideMark/>
          </w:tcPr>
          <w:p w:rsidR="00356941" w:rsidRPr="00794C0E" w:rsidRDefault="00356941" w:rsidP="00356941">
            <w:pPr>
              <w:rPr>
                <w:rFonts w:cs="Arial"/>
                <w:color w:val="000000"/>
                <w:lang w:val="es-ES" w:eastAsia="es-ES"/>
              </w:rPr>
            </w:pPr>
            <w:r w:rsidRPr="00794C0E">
              <w:rPr>
                <w:rFonts w:cs="Arial"/>
                <w:color w:val="000000"/>
                <w:lang w:val="es-ES" w:eastAsia="es-ES"/>
              </w:rPr>
              <w:t xml:space="preserve">           266.667   </w:t>
            </w:r>
          </w:p>
        </w:tc>
      </w:tr>
      <w:tr w:rsidR="00356941" w:rsidRPr="00794C0E" w:rsidTr="00104DA9">
        <w:trPr>
          <w:trHeight w:val="20"/>
        </w:trPr>
        <w:tc>
          <w:tcPr>
            <w:tcW w:w="7120" w:type="dxa"/>
            <w:tcBorders>
              <w:top w:val="nil"/>
              <w:left w:val="single" w:sz="4" w:space="0" w:color="auto"/>
              <w:bottom w:val="single" w:sz="4" w:space="0" w:color="auto"/>
              <w:right w:val="single" w:sz="4" w:space="0" w:color="auto"/>
            </w:tcBorders>
            <w:shd w:val="clear" w:color="auto" w:fill="auto"/>
            <w:vAlign w:val="center"/>
            <w:hideMark/>
          </w:tcPr>
          <w:p w:rsidR="00356941" w:rsidRPr="00794C0E" w:rsidRDefault="00356941" w:rsidP="00356941">
            <w:pPr>
              <w:rPr>
                <w:rFonts w:cs="Arial"/>
                <w:color w:val="222222"/>
                <w:lang w:val="es-ES" w:eastAsia="es-ES"/>
              </w:rPr>
            </w:pPr>
            <w:r w:rsidRPr="00794C0E">
              <w:rPr>
                <w:rFonts w:cs="Arial"/>
                <w:color w:val="222222"/>
                <w:lang w:val="es-ES" w:eastAsia="es-ES"/>
              </w:rPr>
              <w:t>Cordón Cuneta</w:t>
            </w:r>
          </w:p>
        </w:tc>
        <w:tc>
          <w:tcPr>
            <w:tcW w:w="1640" w:type="dxa"/>
            <w:tcBorders>
              <w:top w:val="nil"/>
              <w:left w:val="nil"/>
              <w:bottom w:val="single" w:sz="4" w:space="0" w:color="auto"/>
              <w:right w:val="single" w:sz="4" w:space="0" w:color="auto"/>
            </w:tcBorders>
            <w:shd w:val="clear" w:color="auto" w:fill="auto"/>
            <w:noWrap/>
            <w:vAlign w:val="bottom"/>
            <w:hideMark/>
          </w:tcPr>
          <w:p w:rsidR="00356941" w:rsidRPr="00794C0E" w:rsidRDefault="00356941" w:rsidP="00356941">
            <w:pPr>
              <w:rPr>
                <w:rFonts w:cs="Arial"/>
                <w:color w:val="000000"/>
                <w:lang w:val="es-ES" w:eastAsia="es-ES"/>
              </w:rPr>
            </w:pPr>
            <w:r w:rsidRPr="00794C0E">
              <w:rPr>
                <w:rFonts w:cs="Arial"/>
                <w:color w:val="000000"/>
                <w:lang w:val="es-ES" w:eastAsia="es-ES"/>
              </w:rPr>
              <w:t xml:space="preserve">           540.467   </w:t>
            </w:r>
          </w:p>
        </w:tc>
      </w:tr>
      <w:tr w:rsidR="00356941" w:rsidRPr="00794C0E" w:rsidTr="00104DA9">
        <w:trPr>
          <w:trHeight w:val="20"/>
        </w:trPr>
        <w:tc>
          <w:tcPr>
            <w:tcW w:w="7120" w:type="dxa"/>
            <w:tcBorders>
              <w:top w:val="nil"/>
              <w:left w:val="single" w:sz="4" w:space="0" w:color="auto"/>
              <w:bottom w:val="single" w:sz="4" w:space="0" w:color="auto"/>
              <w:right w:val="single" w:sz="4" w:space="0" w:color="auto"/>
            </w:tcBorders>
            <w:shd w:val="clear" w:color="auto" w:fill="auto"/>
            <w:vAlign w:val="center"/>
            <w:hideMark/>
          </w:tcPr>
          <w:p w:rsidR="00356941" w:rsidRPr="00794C0E" w:rsidRDefault="00356941" w:rsidP="00356941">
            <w:pPr>
              <w:rPr>
                <w:rFonts w:cs="Arial"/>
                <w:color w:val="222222"/>
                <w:lang w:val="pt-BR" w:eastAsia="es-ES"/>
              </w:rPr>
            </w:pPr>
            <w:r w:rsidRPr="00794C0E">
              <w:rPr>
                <w:rFonts w:cs="Arial"/>
                <w:color w:val="222222"/>
                <w:lang w:val="pt-BR" w:eastAsia="es-ES"/>
              </w:rPr>
              <w:t>Pavimento de Hormigón Elaborado (aprox 10 km)</w:t>
            </w:r>
          </w:p>
        </w:tc>
        <w:tc>
          <w:tcPr>
            <w:tcW w:w="1640" w:type="dxa"/>
            <w:tcBorders>
              <w:top w:val="nil"/>
              <w:left w:val="nil"/>
              <w:bottom w:val="single" w:sz="4" w:space="0" w:color="auto"/>
              <w:right w:val="single" w:sz="4" w:space="0" w:color="auto"/>
            </w:tcBorders>
            <w:shd w:val="clear" w:color="auto" w:fill="auto"/>
            <w:noWrap/>
            <w:vAlign w:val="bottom"/>
            <w:hideMark/>
          </w:tcPr>
          <w:p w:rsidR="00356941" w:rsidRPr="00794C0E" w:rsidRDefault="00356941" w:rsidP="00356941">
            <w:pPr>
              <w:rPr>
                <w:rFonts w:cs="Arial"/>
                <w:color w:val="000000"/>
                <w:lang w:val="es-ES" w:eastAsia="es-ES"/>
              </w:rPr>
            </w:pPr>
            <w:r w:rsidRPr="00794C0E">
              <w:rPr>
                <w:rFonts w:cs="Arial"/>
                <w:color w:val="000000"/>
                <w:lang w:val="pt-BR" w:eastAsia="es-ES"/>
              </w:rPr>
              <w:t xml:space="preserve">           </w:t>
            </w:r>
            <w:r w:rsidRPr="00794C0E">
              <w:rPr>
                <w:rFonts w:cs="Arial"/>
                <w:color w:val="000000"/>
                <w:lang w:val="es-ES" w:eastAsia="es-ES"/>
              </w:rPr>
              <w:t xml:space="preserve">722.128   </w:t>
            </w:r>
          </w:p>
        </w:tc>
      </w:tr>
      <w:tr w:rsidR="00356941" w:rsidRPr="00794C0E" w:rsidTr="00104DA9">
        <w:trPr>
          <w:trHeight w:val="20"/>
        </w:trPr>
        <w:tc>
          <w:tcPr>
            <w:tcW w:w="7120" w:type="dxa"/>
            <w:tcBorders>
              <w:top w:val="nil"/>
              <w:left w:val="single" w:sz="4" w:space="0" w:color="auto"/>
              <w:bottom w:val="single" w:sz="4" w:space="0" w:color="auto"/>
              <w:right w:val="single" w:sz="4" w:space="0" w:color="auto"/>
            </w:tcBorders>
            <w:shd w:val="clear" w:color="auto" w:fill="auto"/>
            <w:vAlign w:val="center"/>
            <w:hideMark/>
          </w:tcPr>
          <w:p w:rsidR="00356941" w:rsidRPr="00794C0E" w:rsidRDefault="00356941" w:rsidP="00356941">
            <w:pPr>
              <w:rPr>
                <w:rFonts w:cs="Arial"/>
                <w:color w:val="222222"/>
                <w:lang w:val="es-ES" w:eastAsia="es-ES"/>
              </w:rPr>
            </w:pPr>
            <w:r w:rsidRPr="00794C0E">
              <w:rPr>
                <w:rFonts w:cs="Arial"/>
                <w:color w:val="222222"/>
                <w:lang w:val="es-ES" w:eastAsia="es-ES"/>
              </w:rPr>
              <w:t>Playa de Estacionamiento de Camiones</w:t>
            </w:r>
          </w:p>
        </w:tc>
        <w:tc>
          <w:tcPr>
            <w:tcW w:w="1640" w:type="dxa"/>
            <w:tcBorders>
              <w:top w:val="nil"/>
              <w:left w:val="nil"/>
              <w:bottom w:val="single" w:sz="4" w:space="0" w:color="auto"/>
              <w:right w:val="single" w:sz="4" w:space="0" w:color="auto"/>
            </w:tcBorders>
            <w:shd w:val="clear" w:color="auto" w:fill="auto"/>
            <w:noWrap/>
            <w:vAlign w:val="bottom"/>
            <w:hideMark/>
          </w:tcPr>
          <w:p w:rsidR="00356941" w:rsidRPr="00794C0E" w:rsidRDefault="00356941" w:rsidP="00356941">
            <w:pPr>
              <w:rPr>
                <w:rFonts w:cs="Arial"/>
                <w:color w:val="000000"/>
                <w:lang w:val="es-ES" w:eastAsia="es-ES"/>
              </w:rPr>
            </w:pPr>
            <w:r w:rsidRPr="00794C0E">
              <w:rPr>
                <w:rFonts w:cs="Arial"/>
                <w:color w:val="000000"/>
                <w:lang w:val="es-ES" w:eastAsia="es-ES"/>
              </w:rPr>
              <w:t xml:space="preserve">        1.200.000   </w:t>
            </w:r>
          </w:p>
        </w:tc>
      </w:tr>
      <w:tr w:rsidR="00356941" w:rsidRPr="00794C0E" w:rsidTr="00104DA9">
        <w:trPr>
          <w:trHeight w:val="20"/>
        </w:trPr>
        <w:tc>
          <w:tcPr>
            <w:tcW w:w="7120" w:type="dxa"/>
            <w:tcBorders>
              <w:top w:val="nil"/>
              <w:left w:val="single" w:sz="4" w:space="0" w:color="auto"/>
              <w:bottom w:val="single" w:sz="4" w:space="0" w:color="auto"/>
              <w:right w:val="single" w:sz="4" w:space="0" w:color="auto"/>
            </w:tcBorders>
            <w:shd w:val="clear" w:color="auto" w:fill="auto"/>
            <w:vAlign w:val="center"/>
            <w:hideMark/>
          </w:tcPr>
          <w:p w:rsidR="00356941" w:rsidRPr="00794C0E" w:rsidRDefault="00356941" w:rsidP="00356941">
            <w:pPr>
              <w:rPr>
                <w:rFonts w:cs="Arial"/>
                <w:color w:val="222222"/>
                <w:lang w:val="es-ES" w:eastAsia="es-ES"/>
              </w:rPr>
            </w:pPr>
            <w:r w:rsidRPr="00794C0E">
              <w:rPr>
                <w:rFonts w:cs="Arial"/>
                <w:color w:val="222222"/>
                <w:lang w:val="es-ES" w:eastAsia="es-ES"/>
              </w:rPr>
              <w:t>Movimiento de Suelo para ampliación del PI sector canteras</w:t>
            </w:r>
          </w:p>
        </w:tc>
        <w:tc>
          <w:tcPr>
            <w:tcW w:w="1640" w:type="dxa"/>
            <w:tcBorders>
              <w:top w:val="nil"/>
              <w:left w:val="nil"/>
              <w:bottom w:val="single" w:sz="4" w:space="0" w:color="auto"/>
              <w:right w:val="single" w:sz="4" w:space="0" w:color="auto"/>
            </w:tcBorders>
            <w:shd w:val="clear" w:color="auto" w:fill="auto"/>
            <w:noWrap/>
            <w:vAlign w:val="bottom"/>
            <w:hideMark/>
          </w:tcPr>
          <w:p w:rsidR="00356941" w:rsidRPr="00794C0E" w:rsidRDefault="00356941" w:rsidP="00356941">
            <w:pPr>
              <w:rPr>
                <w:rFonts w:cs="Arial"/>
                <w:color w:val="000000"/>
                <w:lang w:val="es-ES" w:eastAsia="es-ES"/>
              </w:rPr>
            </w:pPr>
            <w:r w:rsidRPr="00794C0E">
              <w:rPr>
                <w:rFonts w:cs="Arial"/>
                <w:color w:val="000000"/>
                <w:lang w:val="es-ES" w:eastAsia="es-ES"/>
              </w:rPr>
              <w:t xml:space="preserve">           200.000   </w:t>
            </w:r>
          </w:p>
        </w:tc>
      </w:tr>
      <w:tr w:rsidR="00356941" w:rsidRPr="00794C0E" w:rsidTr="00104DA9">
        <w:trPr>
          <w:trHeight w:val="20"/>
        </w:trPr>
        <w:tc>
          <w:tcPr>
            <w:tcW w:w="7120" w:type="dxa"/>
            <w:tcBorders>
              <w:top w:val="nil"/>
              <w:left w:val="single" w:sz="4" w:space="0" w:color="auto"/>
              <w:bottom w:val="single" w:sz="4" w:space="0" w:color="auto"/>
              <w:right w:val="single" w:sz="4" w:space="0" w:color="auto"/>
            </w:tcBorders>
            <w:shd w:val="clear" w:color="000000" w:fill="D9D9D9"/>
            <w:vAlign w:val="center"/>
            <w:hideMark/>
          </w:tcPr>
          <w:p w:rsidR="00356941" w:rsidRPr="00794C0E" w:rsidRDefault="00356941" w:rsidP="00356941">
            <w:pPr>
              <w:rPr>
                <w:rFonts w:cs="Arial"/>
                <w:b/>
                <w:bCs/>
                <w:color w:val="000000"/>
                <w:lang w:val="es-ES" w:eastAsia="es-ES"/>
              </w:rPr>
            </w:pPr>
            <w:r w:rsidRPr="00794C0E">
              <w:rPr>
                <w:rFonts w:cs="Arial"/>
                <w:b/>
                <w:bCs/>
                <w:color w:val="000000"/>
                <w:lang w:val="es-ES" w:eastAsia="es-ES"/>
              </w:rPr>
              <w:t>Totales</w:t>
            </w:r>
          </w:p>
        </w:tc>
        <w:tc>
          <w:tcPr>
            <w:tcW w:w="1640" w:type="dxa"/>
            <w:tcBorders>
              <w:top w:val="nil"/>
              <w:left w:val="nil"/>
              <w:bottom w:val="single" w:sz="4" w:space="0" w:color="auto"/>
              <w:right w:val="single" w:sz="4" w:space="0" w:color="auto"/>
            </w:tcBorders>
            <w:shd w:val="clear" w:color="000000" w:fill="D9D9D9"/>
            <w:noWrap/>
            <w:vAlign w:val="bottom"/>
            <w:hideMark/>
          </w:tcPr>
          <w:p w:rsidR="00356941" w:rsidRPr="00794C0E" w:rsidRDefault="00356941" w:rsidP="00356941">
            <w:pPr>
              <w:rPr>
                <w:rFonts w:cs="Arial"/>
                <w:b/>
                <w:bCs/>
                <w:color w:val="000000"/>
                <w:lang w:val="es-ES" w:eastAsia="es-ES"/>
              </w:rPr>
            </w:pPr>
            <w:r w:rsidRPr="00794C0E">
              <w:rPr>
                <w:rFonts w:cs="Arial"/>
                <w:b/>
                <w:bCs/>
                <w:color w:val="000000"/>
                <w:lang w:val="es-ES" w:eastAsia="es-ES"/>
              </w:rPr>
              <w:t xml:space="preserve">        4.162.595   </w:t>
            </w:r>
          </w:p>
        </w:tc>
      </w:tr>
    </w:tbl>
    <w:p w:rsidR="00356941" w:rsidRDefault="00356941" w:rsidP="009D1692">
      <w:pPr>
        <w:rPr>
          <w:rFonts w:cs="Arial"/>
          <w:bCs/>
          <w:lang w:val="es-AR"/>
        </w:rPr>
      </w:pPr>
      <w:r w:rsidRPr="00794C0E">
        <w:rPr>
          <w:rFonts w:cs="Arial"/>
          <w:bCs/>
          <w:lang w:val="es-AR"/>
        </w:rPr>
        <w:t>Fuente: Datos provistos por el Ente Autárquico Parque Industrial de Salta</w:t>
      </w:r>
    </w:p>
    <w:p w:rsidR="00794C0E" w:rsidRPr="00794C0E" w:rsidRDefault="00794C0E" w:rsidP="009D1692">
      <w:pPr>
        <w:rPr>
          <w:rFonts w:cs="Arial"/>
          <w:bCs/>
          <w:lang w:val="es-AR"/>
        </w:rPr>
      </w:pPr>
    </w:p>
    <w:p w:rsidR="00637583" w:rsidRPr="00794C0E" w:rsidRDefault="00637583" w:rsidP="00637583">
      <w:pPr>
        <w:jc w:val="both"/>
        <w:rPr>
          <w:rFonts w:cs="Arial"/>
          <w:bCs/>
          <w:sz w:val="22"/>
          <w:szCs w:val="22"/>
          <w:u w:val="single"/>
          <w:lang w:val="es-AR"/>
        </w:rPr>
      </w:pPr>
      <w:r w:rsidRPr="00794C0E">
        <w:rPr>
          <w:rFonts w:cs="Arial"/>
          <w:bCs/>
          <w:sz w:val="22"/>
          <w:szCs w:val="22"/>
          <w:u w:val="single"/>
          <w:lang w:val="es-AR"/>
        </w:rPr>
        <w:lastRenderedPageBreak/>
        <w:t>Supuestos y fuentes de información para la monetización de los beneficios</w:t>
      </w:r>
    </w:p>
    <w:p w:rsidR="00356941" w:rsidRPr="00794C0E" w:rsidRDefault="00356941" w:rsidP="009D1692">
      <w:pPr>
        <w:rPr>
          <w:rFonts w:cs="Arial"/>
          <w:bCs/>
          <w:sz w:val="22"/>
          <w:szCs w:val="22"/>
          <w:lang w:val="es-AR"/>
        </w:rPr>
      </w:pPr>
    </w:p>
    <w:p w:rsidR="00406FDF" w:rsidRPr="00794C0E" w:rsidRDefault="00356941" w:rsidP="007E1967">
      <w:pPr>
        <w:pStyle w:val="ListParagraph"/>
        <w:numPr>
          <w:ilvl w:val="1"/>
          <w:numId w:val="5"/>
        </w:numPr>
        <w:ind w:left="0" w:firstLine="0"/>
        <w:jc w:val="both"/>
        <w:rPr>
          <w:rFonts w:cs="Arial"/>
          <w:bCs/>
          <w:sz w:val="22"/>
          <w:szCs w:val="22"/>
          <w:lang w:val="es-AR"/>
        </w:rPr>
      </w:pPr>
      <w:r w:rsidRPr="00794C0E">
        <w:rPr>
          <w:rFonts w:cs="Arial"/>
          <w:bCs/>
          <w:sz w:val="22"/>
          <w:szCs w:val="22"/>
          <w:lang w:val="es-AR"/>
        </w:rPr>
        <w:t>Para determinar los beneficios a ser considerados en la evaluación económica, se recurrió a la metodología de previos hedónicos, o valor añadido, en base a los valores del m</w:t>
      </w:r>
      <w:r w:rsidRPr="00794C0E">
        <w:rPr>
          <w:rFonts w:cs="Arial"/>
          <w:bCs/>
          <w:sz w:val="22"/>
          <w:szCs w:val="22"/>
          <w:vertAlign w:val="superscript"/>
          <w:lang w:val="es-AR"/>
        </w:rPr>
        <w:t xml:space="preserve">2 </w:t>
      </w:r>
      <w:r w:rsidRPr="00794C0E">
        <w:rPr>
          <w:rFonts w:cs="Arial"/>
          <w:bCs/>
          <w:sz w:val="22"/>
          <w:szCs w:val="22"/>
          <w:lang w:val="es-AR"/>
        </w:rPr>
        <w:t>de los lotes en el parque, y a los impactos las obras de infraestructura genera en áreas donde no existen infraestructura básica, y que es asimilable a áreas donde el valor de la tierra es de muy bajo valor.</w:t>
      </w:r>
      <w:r w:rsidR="007E1967" w:rsidRPr="00794C0E">
        <w:rPr>
          <w:rFonts w:cs="Arial"/>
          <w:bCs/>
          <w:sz w:val="22"/>
          <w:szCs w:val="22"/>
          <w:lang w:val="es-AR"/>
        </w:rPr>
        <w:t xml:space="preserve"> </w:t>
      </w:r>
      <w:r w:rsidRPr="00794C0E">
        <w:rPr>
          <w:rFonts w:cs="Arial"/>
          <w:bCs/>
          <w:sz w:val="22"/>
          <w:szCs w:val="22"/>
          <w:lang w:val="es-AR"/>
        </w:rPr>
        <w:t>Actualmente, el valor del m</w:t>
      </w:r>
      <w:r w:rsidRPr="00794C0E">
        <w:rPr>
          <w:rFonts w:cs="Arial"/>
          <w:bCs/>
          <w:sz w:val="22"/>
          <w:szCs w:val="22"/>
          <w:vertAlign w:val="superscript"/>
          <w:lang w:val="es-AR"/>
        </w:rPr>
        <w:t>2</w:t>
      </w:r>
      <w:r w:rsidRPr="00794C0E">
        <w:rPr>
          <w:rFonts w:cs="Arial"/>
          <w:bCs/>
          <w:sz w:val="22"/>
          <w:szCs w:val="22"/>
          <w:lang w:val="es-AR"/>
        </w:rPr>
        <w:t xml:space="preserve"> en los lotes del parques, está determinado por el gobierno provincial. Esta valuación es un valor intermedio entre el valor de mercado y el valor fiscal</w:t>
      </w:r>
      <w:r w:rsidR="00C4173B" w:rsidRPr="00794C0E">
        <w:rPr>
          <w:rFonts w:cs="Arial"/>
          <w:bCs/>
          <w:sz w:val="22"/>
          <w:szCs w:val="22"/>
          <w:lang w:val="es-AR"/>
        </w:rPr>
        <w:t xml:space="preserve"> y tienen valores diferentes según cada tipo de lote: lotes en calles principales U$S 9</w:t>
      </w:r>
      <w:r w:rsidR="005F5457" w:rsidRPr="00794C0E">
        <w:rPr>
          <w:rFonts w:cs="Arial"/>
          <w:bCs/>
          <w:sz w:val="22"/>
          <w:szCs w:val="22"/>
          <w:lang w:val="es-AR"/>
        </w:rPr>
        <w:t>,</w:t>
      </w:r>
      <w:r w:rsidR="00C4173B" w:rsidRPr="00794C0E">
        <w:rPr>
          <w:rFonts w:cs="Arial"/>
          <w:bCs/>
          <w:sz w:val="22"/>
          <w:szCs w:val="22"/>
          <w:lang w:val="es-AR"/>
        </w:rPr>
        <w:t>14 el m</w:t>
      </w:r>
      <w:r w:rsidR="00C4173B" w:rsidRPr="00794C0E">
        <w:rPr>
          <w:rFonts w:cs="Arial"/>
          <w:bCs/>
          <w:sz w:val="22"/>
          <w:szCs w:val="22"/>
          <w:vertAlign w:val="superscript"/>
          <w:lang w:val="es-AR"/>
        </w:rPr>
        <w:t>2</w:t>
      </w:r>
      <w:r w:rsidR="00C4173B" w:rsidRPr="00794C0E">
        <w:rPr>
          <w:rFonts w:cs="Arial"/>
          <w:bCs/>
          <w:sz w:val="22"/>
          <w:szCs w:val="22"/>
          <w:lang w:val="es-AR"/>
        </w:rPr>
        <w:t xml:space="preserve">; lotes sobre calles laterales U$S </w:t>
      </w:r>
      <w:r w:rsidR="00445CB0" w:rsidRPr="00794C0E">
        <w:rPr>
          <w:rFonts w:cs="Arial"/>
          <w:bCs/>
          <w:sz w:val="22"/>
          <w:szCs w:val="22"/>
          <w:lang w:val="es-AR"/>
        </w:rPr>
        <w:t>6.54 el m</w:t>
      </w:r>
      <w:r w:rsidR="00445CB0" w:rsidRPr="00794C0E">
        <w:rPr>
          <w:rFonts w:cs="Arial"/>
          <w:bCs/>
          <w:sz w:val="22"/>
          <w:szCs w:val="22"/>
          <w:vertAlign w:val="superscript"/>
          <w:lang w:val="es-AR"/>
        </w:rPr>
        <w:t>2</w:t>
      </w:r>
      <w:r w:rsidR="00445CB0" w:rsidRPr="00794C0E">
        <w:rPr>
          <w:rStyle w:val="FootnoteReference"/>
          <w:rFonts w:cs="Arial"/>
          <w:bCs/>
          <w:sz w:val="22"/>
          <w:szCs w:val="22"/>
          <w:vertAlign w:val="baseline"/>
          <w:lang w:val="es-AR"/>
        </w:rPr>
        <w:t xml:space="preserve">; lotes aptos para rellenos </w:t>
      </w:r>
      <w:r w:rsidR="00445CB0" w:rsidRPr="00794C0E">
        <w:rPr>
          <w:rFonts w:cs="Arial"/>
          <w:bCs/>
          <w:sz w:val="22"/>
          <w:szCs w:val="22"/>
          <w:lang w:val="es-AR"/>
        </w:rPr>
        <w:t>U$S 3.92 el m</w:t>
      </w:r>
      <w:r w:rsidR="00445CB0" w:rsidRPr="00794C0E">
        <w:rPr>
          <w:rFonts w:cs="Arial"/>
          <w:bCs/>
          <w:sz w:val="22"/>
          <w:szCs w:val="22"/>
          <w:vertAlign w:val="superscript"/>
          <w:lang w:val="es-AR"/>
        </w:rPr>
        <w:t>2</w:t>
      </w:r>
      <w:r w:rsidR="00445CB0" w:rsidRPr="00794C0E">
        <w:rPr>
          <w:rStyle w:val="FootnoteReference"/>
          <w:rFonts w:cs="Arial"/>
          <w:bCs/>
          <w:sz w:val="22"/>
          <w:szCs w:val="22"/>
          <w:lang w:val="es-AR"/>
        </w:rPr>
        <w:t xml:space="preserve"> </w:t>
      </w:r>
      <w:r w:rsidR="007E1967" w:rsidRPr="00794C0E">
        <w:rPr>
          <w:rStyle w:val="FootnoteReference"/>
          <w:rFonts w:cs="Arial"/>
          <w:bCs/>
          <w:sz w:val="22"/>
          <w:szCs w:val="22"/>
          <w:lang w:val="es-AR"/>
        </w:rPr>
        <w:footnoteReference w:id="29"/>
      </w:r>
      <w:r w:rsidRPr="00794C0E">
        <w:rPr>
          <w:rFonts w:cs="Arial"/>
          <w:bCs/>
          <w:sz w:val="22"/>
          <w:szCs w:val="22"/>
          <w:lang w:val="es-AR"/>
        </w:rPr>
        <w:t>.</w:t>
      </w:r>
    </w:p>
    <w:p w:rsidR="0056266B" w:rsidRPr="00794C0E" w:rsidRDefault="0056266B" w:rsidP="0056266B">
      <w:pPr>
        <w:pStyle w:val="ListParagraph"/>
        <w:ind w:left="0"/>
        <w:jc w:val="both"/>
        <w:rPr>
          <w:rFonts w:cs="Arial"/>
          <w:bCs/>
          <w:sz w:val="22"/>
          <w:szCs w:val="22"/>
          <w:lang w:val="es-AR"/>
        </w:rPr>
      </w:pPr>
    </w:p>
    <w:p w:rsidR="00BB7C0F" w:rsidRPr="00794C0E" w:rsidRDefault="00BB7C0F" w:rsidP="007E1967">
      <w:pPr>
        <w:pStyle w:val="ListParagraph"/>
        <w:numPr>
          <w:ilvl w:val="1"/>
          <w:numId w:val="5"/>
        </w:numPr>
        <w:ind w:left="0" w:firstLine="0"/>
        <w:jc w:val="both"/>
        <w:rPr>
          <w:rFonts w:cs="Arial"/>
          <w:bCs/>
          <w:sz w:val="22"/>
          <w:szCs w:val="22"/>
          <w:lang w:val="es-AR"/>
        </w:rPr>
      </w:pPr>
      <w:r w:rsidRPr="00794C0E">
        <w:rPr>
          <w:rFonts w:cs="Arial"/>
          <w:bCs/>
          <w:sz w:val="22"/>
          <w:szCs w:val="22"/>
          <w:lang w:val="es-AR"/>
        </w:rPr>
        <w:t xml:space="preserve">Para calcular el valor añadido se siguen los resultados alcanzados por </w:t>
      </w:r>
      <w:r w:rsidRPr="00794C0E">
        <w:rPr>
          <w:rFonts w:cs="Arial"/>
          <w:bCs/>
          <w:i/>
          <w:sz w:val="22"/>
          <w:szCs w:val="22"/>
          <w:lang w:val="es-AR"/>
        </w:rPr>
        <w:t>Ronconi et al (</w:t>
      </w:r>
      <w:r w:rsidR="007E1967" w:rsidRPr="00794C0E">
        <w:rPr>
          <w:rFonts w:cs="Arial"/>
          <w:bCs/>
          <w:i/>
          <w:sz w:val="22"/>
          <w:szCs w:val="22"/>
          <w:lang w:val="es-AR"/>
        </w:rPr>
        <w:t>2013</w:t>
      </w:r>
      <w:r w:rsidRPr="00794C0E">
        <w:rPr>
          <w:rFonts w:cs="Arial"/>
          <w:bCs/>
          <w:i/>
          <w:sz w:val="22"/>
          <w:szCs w:val="22"/>
          <w:lang w:val="es-AR"/>
        </w:rPr>
        <w:t>)</w:t>
      </w:r>
      <w:r w:rsidR="007E1967" w:rsidRPr="00794C0E">
        <w:rPr>
          <w:rStyle w:val="FootnoteReference"/>
          <w:rFonts w:cs="Arial"/>
          <w:bCs/>
          <w:sz w:val="22"/>
          <w:szCs w:val="22"/>
          <w:lang w:val="es-AR"/>
        </w:rPr>
        <w:footnoteReference w:id="30"/>
      </w:r>
      <w:r w:rsidRPr="00794C0E">
        <w:rPr>
          <w:rFonts w:cs="Arial"/>
          <w:bCs/>
          <w:sz w:val="22"/>
          <w:szCs w:val="22"/>
          <w:lang w:val="es-AR"/>
        </w:rPr>
        <w:t>.</w:t>
      </w:r>
      <w:r w:rsidR="007E1967" w:rsidRPr="00794C0E">
        <w:rPr>
          <w:rFonts w:cs="Arial"/>
          <w:bCs/>
          <w:sz w:val="22"/>
          <w:szCs w:val="22"/>
          <w:lang w:val="es-AR"/>
        </w:rPr>
        <w:t xml:space="preserve"> Los hallazgos en dicha inves</w:t>
      </w:r>
      <w:r w:rsidRPr="00794C0E">
        <w:rPr>
          <w:rFonts w:cs="Arial"/>
          <w:bCs/>
          <w:sz w:val="22"/>
          <w:szCs w:val="22"/>
          <w:lang w:val="es-AR"/>
        </w:rPr>
        <w:t>tigaci</w:t>
      </w:r>
      <w:r w:rsidR="007E1967" w:rsidRPr="00794C0E">
        <w:rPr>
          <w:rFonts w:cs="Arial"/>
          <w:bCs/>
          <w:sz w:val="22"/>
          <w:szCs w:val="22"/>
          <w:lang w:val="es-AR"/>
        </w:rPr>
        <w:t>ón</w:t>
      </w:r>
      <w:r w:rsidRPr="00794C0E">
        <w:rPr>
          <w:rFonts w:cs="Arial"/>
          <w:bCs/>
          <w:sz w:val="22"/>
          <w:szCs w:val="22"/>
          <w:lang w:val="es-AR"/>
        </w:rPr>
        <w:t xml:space="preserve"> demuestran que en zonas donde el valor de la tie</w:t>
      </w:r>
      <w:r w:rsidR="007E1967" w:rsidRPr="00794C0E">
        <w:rPr>
          <w:rFonts w:cs="Arial"/>
          <w:bCs/>
          <w:sz w:val="22"/>
          <w:szCs w:val="22"/>
          <w:lang w:val="es-AR"/>
        </w:rPr>
        <w:t>rra es muy baja, la incorporació</w:t>
      </w:r>
      <w:r w:rsidRPr="00794C0E">
        <w:rPr>
          <w:rFonts w:cs="Arial"/>
          <w:bCs/>
          <w:sz w:val="22"/>
          <w:szCs w:val="22"/>
          <w:lang w:val="es-AR"/>
        </w:rPr>
        <w:t>n de valor es más que relevante. La siguiente Tabla muestra dichos resultados según el tipo de infraestructura que se financie</w:t>
      </w:r>
      <w:r w:rsidR="005778E8" w:rsidRPr="00794C0E">
        <w:rPr>
          <w:rFonts w:cs="Arial"/>
          <w:bCs/>
          <w:sz w:val="22"/>
          <w:szCs w:val="22"/>
          <w:lang w:val="es-AR"/>
        </w:rPr>
        <w:t xml:space="preserve"> sobre el cálculo de un m</w:t>
      </w:r>
      <w:r w:rsidR="005778E8" w:rsidRPr="00794C0E">
        <w:rPr>
          <w:rFonts w:cs="Arial"/>
          <w:bCs/>
          <w:sz w:val="22"/>
          <w:szCs w:val="22"/>
          <w:vertAlign w:val="superscript"/>
          <w:lang w:val="es-AR"/>
        </w:rPr>
        <w:t>2</w:t>
      </w:r>
      <w:r w:rsidR="005778E8" w:rsidRPr="00794C0E">
        <w:rPr>
          <w:rFonts w:cs="Arial"/>
          <w:bCs/>
          <w:sz w:val="22"/>
          <w:szCs w:val="22"/>
          <w:lang w:val="es-AR"/>
        </w:rPr>
        <w:t xml:space="preserve"> con proyecto vs sin proyecto</w:t>
      </w:r>
    </w:p>
    <w:p w:rsidR="007E1967" w:rsidRPr="00794C0E" w:rsidRDefault="007E1967" w:rsidP="00BB7C0F">
      <w:pPr>
        <w:rPr>
          <w:rFonts w:cs="Arial"/>
          <w:b/>
          <w:bCs/>
          <w:sz w:val="22"/>
          <w:szCs w:val="22"/>
          <w:lang w:val="es-AR"/>
        </w:rPr>
      </w:pPr>
    </w:p>
    <w:p w:rsidR="003F6A5E" w:rsidRPr="00794C0E" w:rsidRDefault="005778E8" w:rsidP="007E1967">
      <w:pPr>
        <w:jc w:val="center"/>
        <w:rPr>
          <w:rFonts w:cs="Arial"/>
          <w:b/>
          <w:bCs/>
          <w:lang w:val="es-AR"/>
        </w:rPr>
      </w:pPr>
      <w:r w:rsidRPr="00794C0E">
        <w:rPr>
          <w:rFonts w:cs="Arial"/>
          <w:b/>
          <w:bCs/>
          <w:lang w:val="es-AR"/>
        </w:rPr>
        <w:t>Tabla</w:t>
      </w:r>
      <w:r w:rsidR="00C07140" w:rsidRPr="00794C0E">
        <w:rPr>
          <w:rFonts w:cs="Arial"/>
          <w:b/>
          <w:bCs/>
          <w:lang w:val="es-AR"/>
        </w:rPr>
        <w:t xml:space="preserve"> </w:t>
      </w:r>
      <w:r w:rsidR="00C278D7" w:rsidRPr="00794C0E">
        <w:rPr>
          <w:rFonts w:cs="Arial"/>
          <w:b/>
          <w:bCs/>
          <w:lang w:val="es-AR"/>
        </w:rPr>
        <w:t xml:space="preserve">6. </w:t>
      </w:r>
      <w:r w:rsidR="003F6A5E" w:rsidRPr="00794C0E">
        <w:rPr>
          <w:rFonts w:cs="Arial"/>
          <w:b/>
          <w:bCs/>
          <w:lang w:val="es-AR"/>
        </w:rPr>
        <w:t>Valor añadido según tipo de infraestructura</w:t>
      </w:r>
    </w:p>
    <w:p w:rsidR="00CB13BB" w:rsidRPr="00794C0E" w:rsidRDefault="00CB13BB" w:rsidP="007E1967">
      <w:pPr>
        <w:jc w:val="center"/>
        <w:rPr>
          <w:rFonts w:cs="Arial"/>
          <w:bCs/>
          <w:lang w:val="es-AR"/>
        </w:rPr>
      </w:pPr>
      <w:r w:rsidRPr="00794C0E">
        <w:rPr>
          <w:rFonts w:cs="Arial"/>
          <w:bCs/>
          <w:lang w:val="es-AR"/>
        </w:rPr>
        <w:t>En %</w:t>
      </w:r>
    </w:p>
    <w:tbl>
      <w:tblPr>
        <w:tblW w:w="6000" w:type="dxa"/>
        <w:jc w:val="center"/>
        <w:tblInd w:w="55" w:type="dxa"/>
        <w:tblCellMar>
          <w:left w:w="70" w:type="dxa"/>
          <w:right w:w="70" w:type="dxa"/>
        </w:tblCellMar>
        <w:tblLook w:val="04A0" w:firstRow="1" w:lastRow="0" w:firstColumn="1" w:lastColumn="0" w:noHBand="0" w:noVBand="1"/>
      </w:tblPr>
      <w:tblGrid>
        <w:gridCol w:w="1200"/>
        <w:gridCol w:w="1200"/>
        <w:gridCol w:w="1200"/>
        <w:gridCol w:w="1200"/>
        <w:gridCol w:w="1200"/>
      </w:tblGrid>
      <w:tr w:rsidR="007E1967" w:rsidRPr="00794C0E" w:rsidTr="007E196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E1967" w:rsidRPr="00794C0E" w:rsidRDefault="007E1967" w:rsidP="007E1967">
            <w:pPr>
              <w:jc w:val="center"/>
              <w:rPr>
                <w:rFonts w:cs="Arial"/>
                <w:color w:val="000000"/>
                <w:lang w:val="es-ES" w:eastAsia="es-ES"/>
              </w:rPr>
            </w:pPr>
            <w:r w:rsidRPr="00794C0E">
              <w:rPr>
                <w:rFonts w:cs="Arial"/>
                <w:color w:val="000000"/>
                <w:lang w:val="es-ES" w:eastAsia="es-ES"/>
              </w:rPr>
              <w:t>Cloaca</w:t>
            </w:r>
          </w:p>
        </w:tc>
        <w:tc>
          <w:tcPr>
            <w:tcW w:w="1200" w:type="dxa"/>
            <w:tcBorders>
              <w:top w:val="single" w:sz="4" w:space="0" w:color="auto"/>
              <w:left w:val="nil"/>
              <w:bottom w:val="single" w:sz="4" w:space="0" w:color="auto"/>
              <w:right w:val="single" w:sz="4" w:space="0" w:color="auto"/>
            </w:tcBorders>
            <w:shd w:val="clear" w:color="000000" w:fill="D9D9D9"/>
            <w:noWrap/>
            <w:vAlign w:val="bottom"/>
            <w:hideMark/>
          </w:tcPr>
          <w:p w:rsidR="007E1967" w:rsidRPr="00794C0E" w:rsidRDefault="007E1967" w:rsidP="007E1967">
            <w:pPr>
              <w:jc w:val="center"/>
              <w:rPr>
                <w:rFonts w:cs="Arial"/>
                <w:color w:val="000000"/>
                <w:lang w:val="es-ES" w:eastAsia="es-ES"/>
              </w:rPr>
            </w:pPr>
            <w:r w:rsidRPr="00794C0E">
              <w:rPr>
                <w:rFonts w:cs="Arial"/>
                <w:color w:val="000000"/>
                <w:lang w:val="es-ES" w:eastAsia="es-ES"/>
              </w:rPr>
              <w:t>Gas</w:t>
            </w:r>
          </w:p>
        </w:tc>
        <w:tc>
          <w:tcPr>
            <w:tcW w:w="1200" w:type="dxa"/>
            <w:tcBorders>
              <w:top w:val="single" w:sz="4" w:space="0" w:color="auto"/>
              <w:left w:val="nil"/>
              <w:bottom w:val="single" w:sz="4" w:space="0" w:color="auto"/>
              <w:right w:val="single" w:sz="4" w:space="0" w:color="auto"/>
            </w:tcBorders>
            <w:shd w:val="clear" w:color="000000" w:fill="D9D9D9"/>
            <w:noWrap/>
            <w:vAlign w:val="bottom"/>
            <w:hideMark/>
          </w:tcPr>
          <w:p w:rsidR="007E1967" w:rsidRPr="00794C0E" w:rsidRDefault="007E1967" w:rsidP="007E1967">
            <w:pPr>
              <w:jc w:val="center"/>
              <w:rPr>
                <w:rFonts w:cs="Arial"/>
                <w:color w:val="000000"/>
                <w:lang w:val="es-ES" w:eastAsia="es-ES"/>
              </w:rPr>
            </w:pPr>
            <w:r w:rsidRPr="00794C0E">
              <w:rPr>
                <w:rFonts w:cs="Arial"/>
                <w:color w:val="000000"/>
                <w:lang w:val="es-ES" w:eastAsia="es-ES"/>
              </w:rPr>
              <w:t>Agua</w:t>
            </w:r>
          </w:p>
        </w:tc>
        <w:tc>
          <w:tcPr>
            <w:tcW w:w="1200" w:type="dxa"/>
            <w:tcBorders>
              <w:top w:val="single" w:sz="4" w:space="0" w:color="auto"/>
              <w:left w:val="nil"/>
              <w:bottom w:val="single" w:sz="4" w:space="0" w:color="auto"/>
              <w:right w:val="single" w:sz="4" w:space="0" w:color="auto"/>
            </w:tcBorders>
            <w:shd w:val="clear" w:color="000000" w:fill="D9D9D9"/>
            <w:noWrap/>
            <w:vAlign w:val="bottom"/>
            <w:hideMark/>
          </w:tcPr>
          <w:p w:rsidR="007E1967" w:rsidRPr="00794C0E" w:rsidRDefault="007E1967" w:rsidP="007E1967">
            <w:pPr>
              <w:jc w:val="center"/>
              <w:rPr>
                <w:rFonts w:cs="Arial"/>
                <w:color w:val="000000"/>
                <w:lang w:val="es-ES" w:eastAsia="es-ES"/>
              </w:rPr>
            </w:pPr>
            <w:r w:rsidRPr="00794C0E">
              <w:rPr>
                <w:rFonts w:cs="Arial"/>
                <w:color w:val="000000"/>
                <w:lang w:val="es-ES" w:eastAsia="es-ES"/>
              </w:rPr>
              <w:t>Pavimento</w:t>
            </w:r>
          </w:p>
        </w:tc>
        <w:tc>
          <w:tcPr>
            <w:tcW w:w="1200" w:type="dxa"/>
            <w:tcBorders>
              <w:top w:val="single" w:sz="4" w:space="0" w:color="auto"/>
              <w:left w:val="nil"/>
              <w:bottom w:val="single" w:sz="4" w:space="0" w:color="auto"/>
              <w:right w:val="single" w:sz="4" w:space="0" w:color="auto"/>
            </w:tcBorders>
            <w:shd w:val="clear" w:color="000000" w:fill="D9D9D9"/>
            <w:noWrap/>
            <w:vAlign w:val="bottom"/>
            <w:hideMark/>
          </w:tcPr>
          <w:p w:rsidR="007E1967" w:rsidRPr="00794C0E" w:rsidRDefault="007E1967" w:rsidP="007E1967">
            <w:pPr>
              <w:jc w:val="center"/>
              <w:rPr>
                <w:rFonts w:cs="Arial"/>
                <w:b/>
                <w:bCs/>
                <w:color w:val="000000"/>
                <w:lang w:val="es-ES" w:eastAsia="es-ES"/>
              </w:rPr>
            </w:pPr>
            <w:r w:rsidRPr="00794C0E">
              <w:rPr>
                <w:rFonts w:cs="Arial"/>
                <w:b/>
                <w:bCs/>
                <w:color w:val="000000"/>
                <w:lang w:val="es-ES" w:eastAsia="es-ES"/>
              </w:rPr>
              <w:t>Promedio</w:t>
            </w:r>
          </w:p>
        </w:tc>
      </w:tr>
      <w:tr w:rsidR="007E1967" w:rsidRPr="00794C0E" w:rsidTr="007E1967">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E1967" w:rsidRPr="00794C0E" w:rsidRDefault="007E1967" w:rsidP="007E1967">
            <w:pPr>
              <w:jc w:val="right"/>
              <w:rPr>
                <w:rFonts w:cs="Arial"/>
                <w:color w:val="000000"/>
                <w:lang w:val="es-ES" w:eastAsia="es-ES"/>
              </w:rPr>
            </w:pPr>
            <w:r w:rsidRPr="00794C0E">
              <w:rPr>
                <w:rFonts w:cs="Arial"/>
                <w:color w:val="000000"/>
                <w:lang w:val="es-ES" w:eastAsia="es-ES"/>
              </w:rPr>
              <w:t>184%</w:t>
            </w:r>
          </w:p>
        </w:tc>
        <w:tc>
          <w:tcPr>
            <w:tcW w:w="1200" w:type="dxa"/>
            <w:tcBorders>
              <w:top w:val="nil"/>
              <w:left w:val="nil"/>
              <w:bottom w:val="single" w:sz="4" w:space="0" w:color="auto"/>
              <w:right w:val="single" w:sz="4" w:space="0" w:color="auto"/>
            </w:tcBorders>
            <w:shd w:val="clear" w:color="auto" w:fill="auto"/>
            <w:noWrap/>
            <w:vAlign w:val="bottom"/>
            <w:hideMark/>
          </w:tcPr>
          <w:p w:rsidR="007E1967" w:rsidRPr="00794C0E" w:rsidRDefault="007E1967" w:rsidP="007E1967">
            <w:pPr>
              <w:jc w:val="right"/>
              <w:rPr>
                <w:rFonts w:cs="Arial"/>
                <w:color w:val="000000"/>
                <w:lang w:val="es-ES" w:eastAsia="es-ES"/>
              </w:rPr>
            </w:pPr>
            <w:r w:rsidRPr="00794C0E">
              <w:rPr>
                <w:rFonts w:cs="Arial"/>
                <w:color w:val="000000"/>
                <w:lang w:val="es-ES" w:eastAsia="es-ES"/>
              </w:rPr>
              <w:t>156%</w:t>
            </w:r>
          </w:p>
        </w:tc>
        <w:tc>
          <w:tcPr>
            <w:tcW w:w="1200" w:type="dxa"/>
            <w:tcBorders>
              <w:top w:val="nil"/>
              <w:left w:val="nil"/>
              <w:bottom w:val="single" w:sz="4" w:space="0" w:color="auto"/>
              <w:right w:val="single" w:sz="4" w:space="0" w:color="auto"/>
            </w:tcBorders>
            <w:shd w:val="clear" w:color="auto" w:fill="auto"/>
            <w:noWrap/>
            <w:vAlign w:val="bottom"/>
            <w:hideMark/>
          </w:tcPr>
          <w:p w:rsidR="007E1967" w:rsidRPr="00794C0E" w:rsidRDefault="007E1967" w:rsidP="007E1967">
            <w:pPr>
              <w:jc w:val="right"/>
              <w:rPr>
                <w:rFonts w:cs="Arial"/>
                <w:color w:val="000000"/>
                <w:lang w:val="es-ES" w:eastAsia="es-ES"/>
              </w:rPr>
            </w:pPr>
            <w:r w:rsidRPr="00794C0E">
              <w:rPr>
                <w:rFonts w:cs="Arial"/>
                <w:color w:val="000000"/>
                <w:lang w:val="es-ES" w:eastAsia="es-ES"/>
              </w:rPr>
              <w:t>136%</w:t>
            </w:r>
          </w:p>
        </w:tc>
        <w:tc>
          <w:tcPr>
            <w:tcW w:w="1200" w:type="dxa"/>
            <w:tcBorders>
              <w:top w:val="nil"/>
              <w:left w:val="nil"/>
              <w:bottom w:val="single" w:sz="4" w:space="0" w:color="auto"/>
              <w:right w:val="single" w:sz="4" w:space="0" w:color="auto"/>
            </w:tcBorders>
            <w:shd w:val="clear" w:color="auto" w:fill="auto"/>
            <w:noWrap/>
            <w:vAlign w:val="bottom"/>
            <w:hideMark/>
          </w:tcPr>
          <w:p w:rsidR="007E1967" w:rsidRPr="00794C0E" w:rsidRDefault="007E1967" w:rsidP="007E1967">
            <w:pPr>
              <w:jc w:val="right"/>
              <w:rPr>
                <w:rFonts w:cs="Arial"/>
                <w:color w:val="000000"/>
                <w:lang w:val="es-ES" w:eastAsia="es-ES"/>
              </w:rPr>
            </w:pPr>
            <w:r w:rsidRPr="00794C0E">
              <w:rPr>
                <w:rFonts w:cs="Arial"/>
                <w:color w:val="000000"/>
                <w:lang w:val="es-ES" w:eastAsia="es-ES"/>
              </w:rPr>
              <w:t>130%</w:t>
            </w:r>
          </w:p>
        </w:tc>
        <w:tc>
          <w:tcPr>
            <w:tcW w:w="1200" w:type="dxa"/>
            <w:tcBorders>
              <w:top w:val="nil"/>
              <w:left w:val="nil"/>
              <w:bottom w:val="single" w:sz="4" w:space="0" w:color="auto"/>
              <w:right w:val="single" w:sz="4" w:space="0" w:color="auto"/>
            </w:tcBorders>
            <w:shd w:val="clear" w:color="auto" w:fill="auto"/>
            <w:noWrap/>
            <w:vAlign w:val="bottom"/>
            <w:hideMark/>
          </w:tcPr>
          <w:p w:rsidR="007E1967" w:rsidRPr="00794C0E" w:rsidRDefault="007E1967" w:rsidP="007E1967">
            <w:pPr>
              <w:jc w:val="right"/>
              <w:rPr>
                <w:rFonts w:cs="Arial"/>
                <w:b/>
                <w:bCs/>
                <w:color w:val="000000"/>
                <w:lang w:val="es-ES" w:eastAsia="es-ES"/>
              </w:rPr>
            </w:pPr>
            <w:r w:rsidRPr="00794C0E">
              <w:rPr>
                <w:rFonts w:cs="Arial"/>
                <w:b/>
                <w:bCs/>
                <w:color w:val="000000"/>
                <w:lang w:val="es-ES" w:eastAsia="es-ES"/>
              </w:rPr>
              <w:t>152%</w:t>
            </w:r>
          </w:p>
        </w:tc>
      </w:tr>
    </w:tbl>
    <w:p w:rsidR="00BB7C0F" w:rsidRPr="00794C0E" w:rsidRDefault="003F6A5E" w:rsidP="003F6A5E">
      <w:pPr>
        <w:ind w:left="1276"/>
        <w:rPr>
          <w:rFonts w:cs="Arial"/>
          <w:bCs/>
          <w:lang w:val="es-AR"/>
        </w:rPr>
      </w:pPr>
      <w:r w:rsidRPr="00794C0E">
        <w:rPr>
          <w:rFonts w:cs="Arial"/>
          <w:bCs/>
          <w:lang w:val="es-AR"/>
        </w:rPr>
        <w:t>Fuente: Ronconi et al (2013)</w:t>
      </w:r>
    </w:p>
    <w:p w:rsidR="007E1967" w:rsidRPr="00794C0E" w:rsidRDefault="007E1967" w:rsidP="00C07140">
      <w:pPr>
        <w:jc w:val="both"/>
        <w:rPr>
          <w:rFonts w:cs="Arial"/>
          <w:bCs/>
          <w:sz w:val="22"/>
          <w:szCs w:val="22"/>
          <w:lang w:val="es-AR"/>
        </w:rPr>
      </w:pPr>
    </w:p>
    <w:p w:rsidR="00406FDF" w:rsidRPr="00794C0E" w:rsidRDefault="005778E8" w:rsidP="00C07140">
      <w:pPr>
        <w:pStyle w:val="ListParagraph"/>
        <w:numPr>
          <w:ilvl w:val="1"/>
          <w:numId w:val="5"/>
        </w:numPr>
        <w:ind w:left="0" w:firstLine="0"/>
        <w:jc w:val="both"/>
        <w:rPr>
          <w:rFonts w:cs="Arial"/>
          <w:bCs/>
          <w:sz w:val="22"/>
          <w:szCs w:val="22"/>
          <w:lang w:val="es-AR"/>
        </w:rPr>
      </w:pPr>
      <w:r w:rsidRPr="00794C0E">
        <w:rPr>
          <w:rFonts w:cs="Arial"/>
          <w:bCs/>
          <w:sz w:val="22"/>
          <w:szCs w:val="22"/>
          <w:lang w:val="es-AR"/>
        </w:rPr>
        <w:t xml:space="preserve">El análisis realizado para un conjunto de lotes </w:t>
      </w:r>
      <w:r w:rsidR="003F6A5E" w:rsidRPr="00794C0E">
        <w:rPr>
          <w:rFonts w:cs="Arial"/>
          <w:bCs/>
          <w:sz w:val="22"/>
          <w:szCs w:val="22"/>
          <w:lang w:val="es-AR"/>
        </w:rPr>
        <w:t xml:space="preserve">en los municipios </w:t>
      </w:r>
      <w:r w:rsidRPr="00794C0E">
        <w:rPr>
          <w:rFonts w:cs="Arial"/>
          <w:bCs/>
          <w:sz w:val="22"/>
          <w:szCs w:val="22"/>
          <w:lang w:val="es-AR"/>
        </w:rPr>
        <w:t xml:space="preserve">de la Provincia de Buenos Aires, donde el valor de la tierra es muy bajo, demuestra que </w:t>
      </w:r>
      <w:r w:rsidR="007E1967" w:rsidRPr="00794C0E">
        <w:rPr>
          <w:rFonts w:cs="Arial"/>
          <w:bCs/>
          <w:sz w:val="22"/>
          <w:szCs w:val="22"/>
          <w:lang w:val="es-AR"/>
        </w:rPr>
        <w:t>el precio promedio de los lotes con</w:t>
      </w:r>
      <w:r w:rsidRPr="00794C0E">
        <w:rPr>
          <w:rFonts w:cs="Arial"/>
          <w:bCs/>
          <w:sz w:val="22"/>
          <w:szCs w:val="22"/>
          <w:lang w:val="es-AR"/>
        </w:rPr>
        <w:t xml:space="preserve"> infraestructura en </w:t>
      </w:r>
      <w:r w:rsidR="007E1967" w:rsidRPr="00794C0E">
        <w:rPr>
          <w:rFonts w:cs="Arial"/>
          <w:bCs/>
          <w:sz w:val="22"/>
          <w:szCs w:val="22"/>
          <w:lang w:val="es-AR"/>
        </w:rPr>
        <w:t>desagües cloacales</w:t>
      </w:r>
      <w:r w:rsidRPr="00794C0E">
        <w:rPr>
          <w:rFonts w:cs="Arial"/>
          <w:bCs/>
          <w:sz w:val="22"/>
          <w:szCs w:val="22"/>
          <w:lang w:val="es-AR"/>
        </w:rPr>
        <w:t>, es el que mayor efecto genera sobre el valor del m</w:t>
      </w:r>
      <w:r w:rsidRPr="00794C0E">
        <w:rPr>
          <w:rFonts w:cs="Arial"/>
          <w:bCs/>
          <w:sz w:val="22"/>
          <w:szCs w:val="22"/>
          <w:vertAlign w:val="superscript"/>
          <w:lang w:val="es-AR"/>
        </w:rPr>
        <w:t>2</w:t>
      </w:r>
      <w:r w:rsidRPr="00794C0E">
        <w:rPr>
          <w:rFonts w:cs="Arial"/>
          <w:bCs/>
          <w:sz w:val="22"/>
          <w:szCs w:val="22"/>
          <w:lang w:val="es-AR"/>
        </w:rPr>
        <w:t>, pero más allá de ello es posible considerar un valor promedio cercano al 150 % para el conjunto de obras consideradas.</w:t>
      </w:r>
    </w:p>
    <w:p w:rsidR="00406FDF" w:rsidRPr="00794C0E" w:rsidRDefault="00406FDF" w:rsidP="00406FDF">
      <w:pPr>
        <w:pStyle w:val="ListParagraph"/>
        <w:ind w:left="0"/>
        <w:jc w:val="both"/>
        <w:rPr>
          <w:rFonts w:cs="Arial"/>
          <w:bCs/>
          <w:sz w:val="22"/>
          <w:szCs w:val="22"/>
          <w:lang w:val="es-AR"/>
        </w:rPr>
      </w:pPr>
    </w:p>
    <w:p w:rsidR="005778E8" w:rsidRPr="00794C0E" w:rsidRDefault="005778E8" w:rsidP="00C07140">
      <w:pPr>
        <w:pStyle w:val="ListParagraph"/>
        <w:numPr>
          <w:ilvl w:val="1"/>
          <w:numId w:val="5"/>
        </w:numPr>
        <w:ind w:left="0" w:firstLine="0"/>
        <w:jc w:val="both"/>
        <w:rPr>
          <w:rFonts w:cs="Arial"/>
          <w:bCs/>
          <w:sz w:val="22"/>
          <w:szCs w:val="22"/>
          <w:lang w:val="es-AR"/>
        </w:rPr>
      </w:pPr>
      <w:r w:rsidRPr="00794C0E">
        <w:rPr>
          <w:rFonts w:cs="Arial"/>
          <w:bCs/>
          <w:sz w:val="22"/>
          <w:szCs w:val="22"/>
          <w:lang w:val="es-AR"/>
        </w:rPr>
        <w:t>Según los montos de las inversiones previstas para el Parque Industrial, se calculó el beneficio</w:t>
      </w:r>
      <w:r w:rsidR="00C07140" w:rsidRPr="00794C0E">
        <w:rPr>
          <w:rFonts w:cs="Arial"/>
          <w:bCs/>
          <w:sz w:val="22"/>
          <w:szCs w:val="22"/>
          <w:lang w:val="es-AR"/>
        </w:rPr>
        <w:t xml:space="preserve">, </w:t>
      </w:r>
      <w:r w:rsidRPr="00794C0E">
        <w:rPr>
          <w:rFonts w:cs="Arial"/>
          <w:bCs/>
          <w:sz w:val="22"/>
          <w:szCs w:val="22"/>
          <w:lang w:val="es-AR"/>
        </w:rPr>
        <w:t xml:space="preserve">según una media ponderada, donde </w:t>
      </w:r>
      <w:r w:rsidR="00C07140" w:rsidRPr="00794C0E">
        <w:rPr>
          <w:rFonts w:cs="Arial"/>
          <w:bCs/>
          <w:sz w:val="22"/>
          <w:szCs w:val="22"/>
          <w:lang w:val="es-AR"/>
        </w:rPr>
        <w:t xml:space="preserve">el porcentaje de valor añadido </w:t>
      </w:r>
      <w:r w:rsidRPr="00794C0E">
        <w:rPr>
          <w:rFonts w:cs="Arial"/>
          <w:bCs/>
          <w:sz w:val="22"/>
          <w:szCs w:val="22"/>
          <w:lang w:val="es-AR"/>
        </w:rPr>
        <w:t xml:space="preserve">considerando estos incrementos </w:t>
      </w:r>
      <w:r w:rsidR="00C07140" w:rsidRPr="00794C0E">
        <w:rPr>
          <w:rFonts w:cs="Arial"/>
          <w:bCs/>
          <w:sz w:val="22"/>
          <w:szCs w:val="22"/>
          <w:lang w:val="es-AR"/>
        </w:rPr>
        <w:t xml:space="preserve">se expone según </w:t>
      </w:r>
      <w:r w:rsidRPr="00794C0E">
        <w:rPr>
          <w:rFonts w:cs="Arial"/>
          <w:bCs/>
          <w:sz w:val="22"/>
          <w:szCs w:val="22"/>
          <w:lang w:val="es-AR"/>
        </w:rPr>
        <w:t>el siguiente detalle.</w:t>
      </w:r>
    </w:p>
    <w:p w:rsidR="005778E8" w:rsidRPr="00794C0E" w:rsidRDefault="005778E8" w:rsidP="009D1692">
      <w:pPr>
        <w:rPr>
          <w:rFonts w:cs="Arial"/>
          <w:bCs/>
          <w:sz w:val="22"/>
          <w:szCs w:val="22"/>
          <w:lang w:val="es-AR"/>
        </w:rPr>
      </w:pPr>
    </w:p>
    <w:p w:rsidR="00786631" w:rsidRPr="00794C0E" w:rsidRDefault="00C07140" w:rsidP="00C07140">
      <w:pPr>
        <w:jc w:val="center"/>
        <w:rPr>
          <w:rFonts w:cs="Arial"/>
          <w:b/>
          <w:bCs/>
          <w:lang w:val="es-AR"/>
        </w:rPr>
      </w:pPr>
      <w:r w:rsidRPr="00794C0E">
        <w:rPr>
          <w:rFonts w:cs="Arial"/>
          <w:b/>
          <w:bCs/>
          <w:lang w:val="es-AR"/>
        </w:rPr>
        <w:t xml:space="preserve">Tabla </w:t>
      </w:r>
      <w:r w:rsidR="00C278D7" w:rsidRPr="00794C0E">
        <w:rPr>
          <w:rFonts w:cs="Arial"/>
          <w:b/>
          <w:bCs/>
          <w:lang w:val="es-AR"/>
        </w:rPr>
        <w:t xml:space="preserve">7. </w:t>
      </w:r>
      <w:r w:rsidR="00786631" w:rsidRPr="00794C0E">
        <w:rPr>
          <w:rFonts w:cs="Arial"/>
          <w:b/>
          <w:bCs/>
          <w:lang w:val="es-AR"/>
        </w:rPr>
        <w:t>Impacto del Valor Añadido a otras de Infraestructura</w:t>
      </w:r>
    </w:p>
    <w:tbl>
      <w:tblPr>
        <w:tblW w:w="5000" w:type="pct"/>
        <w:jc w:val="center"/>
        <w:tblCellMar>
          <w:left w:w="70" w:type="dxa"/>
          <w:right w:w="70" w:type="dxa"/>
        </w:tblCellMar>
        <w:tblLook w:val="04A0" w:firstRow="1" w:lastRow="0" w:firstColumn="1" w:lastColumn="0" w:noHBand="0" w:noVBand="1"/>
      </w:tblPr>
      <w:tblGrid>
        <w:gridCol w:w="3670"/>
        <w:gridCol w:w="2214"/>
        <w:gridCol w:w="1619"/>
        <w:gridCol w:w="1997"/>
      </w:tblGrid>
      <w:tr w:rsidR="005778E8" w:rsidRPr="00794C0E" w:rsidTr="00104DA9">
        <w:trPr>
          <w:trHeight w:val="20"/>
          <w:jc w:val="center"/>
        </w:trPr>
        <w:tc>
          <w:tcPr>
            <w:tcW w:w="1932"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5778E8" w:rsidRPr="00794C0E" w:rsidRDefault="005778E8" w:rsidP="005778E8">
            <w:pPr>
              <w:rPr>
                <w:rFonts w:cs="Arial"/>
                <w:b/>
                <w:bCs/>
                <w:color w:val="000000"/>
                <w:lang w:val="es-ES" w:eastAsia="es-ES"/>
              </w:rPr>
            </w:pPr>
            <w:r w:rsidRPr="00794C0E">
              <w:rPr>
                <w:rFonts w:cs="Arial"/>
                <w:b/>
                <w:bCs/>
                <w:color w:val="000000"/>
                <w:lang w:val="es-ES" w:eastAsia="es-ES"/>
              </w:rPr>
              <w:t>Conceptos</w:t>
            </w:r>
          </w:p>
        </w:tc>
        <w:tc>
          <w:tcPr>
            <w:tcW w:w="1165" w:type="pct"/>
            <w:tcBorders>
              <w:top w:val="single" w:sz="4" w:space="0" w:color="auto"/>
              <w:left w:val="nil"/>
              <w:bottom w:val="single" w:sz="4" w:space="0" w:color="auto"/>
              <w:right w:val="single" w:sz="4" w:space="0" w:color="auto"/>
            </w:tcBorders>
            <w:shd w:val="clear" w:color="000000" w:fill="D9D9D9"/>
            <w:noWrap/>
            <w:vAlign w:val="bottom"/>
            <w:hideMark/>
          </w:tcPr>
          <w:p w:rsidR="005778E8" w:rsidRPr="00794C0E" w:rsidRDefault="005778E8" w:rsidP="005778E8">
            <w:pPr>
              <w:jc w:val="center"/>
              <w:rPr>
                <w:rFonts w:cs="Arial"/>
                <w:b/>
                <w:bCs/>
                <w:color w:val="000000"/>
                <w:lang w:val="es-ES" w:eastAsia="es-ES"/>
              </w:rPr>
            </w:pPr>
            <w:r w:rsidRPr="00794C0E">
              <w:rPr>
                <w:rFonts w:cs="Arial"/>
                <w:b/>
                <w:bCs/>
                <w:color w:val="000000"/>
                <w:lang w:val="es-ES" w:eastAsia="es-ES"/>
              </w:rPr>
              <w:t>U$S</w:t>
            </w:r>
          </w:p>
        </w:tc>
        <w:tc>
          <w:tcPr>
            <w:tcW w:w="852" w:type="pct"/>
            <w:tcBorders>
              <w:top w:val="single" w:sz="4" w:space="0" w:color="auto"/>
              <w:left w:val="nil"/>
              <w:bottom w:val="single" w:sz="4" w:space="0" w:color="auto"/>
              <w:right w:val="single" w:sz="4" w:space="0" w:color="auto"/>
            </w:tcBorders>
            <w:shd w:val="clear" w:color="000000" w:fill="D9D9D9"/>
            <w:noWrap/>
            <w:vAlign w:val="bottom"/>
            <w:hideMark/>
          </w:tcPr>
          <w:p w:rsidR="005778E8" w:rsidRPr="00794C0E" w:rsidRDefault="005778E8" w:rsidP="005778E8">
            <w:pPr>
              <w:jc w:val="center"/>
              <w:rPr>
                <w:rFonts w:cs="Arial"/>
                <w:b/>
                <w:bCs/>
                <w:color w:val="000000"/>
                <w:lang w:val="es-ES" w:eastAsia="es-ES"/>
              </w:rPr>
            </w:pPr>
            <w:r w:rsidRPr="00794C0E">
              <w:rPr>
                <w:rFonts w:cs="Arial"/>
                <w:b/>
                <w:bCs/>
                <w:color w:val="000000"/>
                <w:lang w:val="es-ES" w:eastAsia="es-ES"/>
              </w:rPr>
              <w:t>%</w:t>
            </w:r>
          </w:p>
        </w:tc>
        <w:tc>
          <w:tcPr>
            <w:tcW w:w="1051" w:type="pct"/>
            <w:tcBorders>
              <w:top w:val="single" w:sz="4" w:space="0" w:color="auto"/>
              <w:left w:val="nil"/>
              <w:bottom w:val="single" w:sz="4" w:space="0" w:color="auto"/>
              <w:right w:val="single" w:sz="4" w:space="0" w:color="auto"/>
            </w:tcBorders>
            <w:shd w:val="clear" w:color="000000" w:fill="D9D9D9"/>
            <w:noWrap/>
            <w:vAlign w:val="bottom"/>
            <w:hideMark/>
          </w:tcPr>
          <w:p w:rsidR="005778E8" w:rsidRPr="00794C0E" w:rsidRDefault="005778E8" w:rsidP="005778E8">
            <w:pPr>
              <w:rPr>
                <w:rFonts w:cs="Arial"/>
                <w:b/>
                <w:bCs/>
                <w:color w:val="000000"/>
                <w:lang w:val="es-ES" w:eastAsia="es-ES"/>
              </w:rPr>
            </w:pPr>
            <w:r w:rsidRPr="00794C0E">
              <w:rPr>
                <w:rFonts w:cs="Arial"/>
                <w:b/>
                <w:bCs/>
                <w:color w:val="000000"/>
                <w:lang w:val="es-ES" w:eastAsia="es-ES"/>
              </w:rPr>
              <w:t>Ponderación</w:t>
            </w:r>
          </w:p>
        </w:tc>
      </w:tr>
      <w:tr w:rsidR="005778E8" w:rsidRPr="00794C0E" w:rsidTr="00104DA9">
        <w:trPr>
          <w:trHeight w:val="20"/>
          <w:jc w:val="center"/>
        </w:trPr>
        <w:tc>
          <w:tcPr>
            <w:tcW w:w="1932" w:type="pct"/>
            <w:tcBorders>
              <w:top w:val="nil"/>
              <w:left w:val="single" w:sz="4" w:space="0" w:color="auto"/>
              <w:bottom w:val="single" w:sz="4" w:space="0" w:color="auto"/>
              <w:right w:val="single" w:sz="4" w:space="0" w:color="auto"/>
            </w:tcBorders>
            <w:shd w:val="clear" w:color="auto" w:fill="auto"/>
            <w:noWrap/>
            <w:vAlign w:val="center"/>
            <w:hideMark/>
          </w:tcPr>
          <w:p w:rsidR="005778E8" w:rsidRPr="00794C0E" w:rsidRDefault="005778E8" w:rsidP="003F13F4">
            <w:pPr>
              <w:rPr>
                <w:rFonts w:cs="Arial"/>
                <w:color w:val="000000"/>
                <w:lang w:val="es-ES" w:eastAsia="es-ES"/>
              </w:rPr>
            </w:pPr>
            <w:r w:rsidRPr="00794C0E">
              <w:rPr>
                <w:rFonts w:cs="Arial"/>
                <w:color w:val="000000"/>
                <w:lang w:val="es-ES" w:eastAsia="es-ES"/>
              </w:rPr>
              <w:t>Nueva Red de Agua</w:t>
            </w:r>
          </w:p>
        </w:tc>
        <w:tc>
          <w:tcPr>
            <w:tcW w:w="1165" w:type="pct"/>
            <w:tcBorders>
              <w:top w:val="nil"/>
              <w:left w:val="nil"/>
              <w:bottom w:val="single" w:sz="4" w:space="0" w:color="auto"/>
              <w:right w:val="single" w:sz="4" w:space="0" w:color="auto"/>
            </w:tcBorders>
            <w:shd w:val="clear" w:color="auto" w:fill="auto"/>
            <w:noWrap/>
            <w:vAlign w:val="center"/>
            <w:hideMark/>
          </w:tcPr>
          <w:p w:rsidR="005778E8" w:rsidRPr="00794C0E" w:rsidRDefault="005778E8" w:rsidP="003F13F4">
            <w:pPr>
              <w:jc w:val="right"/>
              <w:rPr>
                <w:rFonts w:cs="Arial"/>
                <w:color w:val="000000"/>
                <w:lang w:val="es-ES" w:eastAsia="es-ES"/>
              </w:rPr>
            </w:pPr>
            <w:r w:rsidRPr="00794C0E">
              <w:rPr>
                <w:rFonts w:cs="Arial"/>
                <w:color w:val="000000"/>
                <w:lang w:val="es-ES" w:eastAsia="es-ES"/>
              </w:rPr>
              <w:t>233.333</w:t>
            </w:r>
          </w:p>
        </w:tc>
        <w:tc>
          <w:tcPr>
            <w:tcW w:w="852" w:type="pct"/>
            <w:tcBorders>
              <w:top w:val="nil"/>
              <w:left w:val="nil"/>
              <w:bottom w:val="single" w:sz="4" w:space="0" w:color="auto"/>
              <w:right w:val="single" w:sz="4" w:space="0" w:color="auto"/>
            </w:tcBorders>
            <w:shd w:val="clear" w:color="auto" w:fill="auto"/>
            <w:noWrap/>
            <w:vAlign w:val="center"/>
            <w:hideMark/>
          </w:tcPr>
          <w:p w:rsidR="005778E8" w:rsidRPr="00794C0E" w:rsidRDefault="005778E8" w:rsidP="003F13F4">
            <w:pPr>
              <w:jc w:val="center"/>
              <w:rPr>
                <w:rFonts w:cs="Arial"/>
                <w:color w:val="000000"/>
                <w:lang w:val="es-ES" w:eastAsia="es-ES"/>
              </w:rPr>
            </w:pPr>
            <w:r w:rsidRPr="00794C0E">
              <w:rPr>
                <w:rFonts w:cs="Arial"/>
                <w:color w:val="000000"/>
                <w:lang w:val="es-ES" w:eastAsia="es-ES"/>
              </w:rPr>
              <w:t>5,6%</w:t>
            </w:r>
          </w:p>
        </w:tc>
        <w:tc>
          <w:tcPr>
            <w:tcW w:w="1051" w:type="pct"/>
            <w:tcBorders>
              <w:top w:val="nil"/>
              <w:left w:val="nil"/>
              <w:bottom w:val="single" w:sz="4" w:space="0" w:color="auto"/>
              <w:right w:val="single" w:sz="4" w:space="0" w:color="auto"/>
            </w:tcBorders>
            <w:shd w:val="clear" w:color="auto" w:fill="auto"/>
            <w:noWrap/>
            <w:vAlign w:val="center"/>
            <w:hideMark/>
          </w:tcPr>
          <w:p w:rsidR="005778E8" w:rsidRPr="00794C0E" w:rsidRDefault="005778E8" w:rsidP="003F13F4">
            <w:pPr>
              <w:jc w:val="center"/>
              <w:rPr>
                <w:rFonts w:cs="Arial"/>
                <w:color w:val="000000"/>
                <w:lang w:val="es-ES" w:eastAsia="es-ES"/>
              </w:rPr>
            </w:pPr>
            <w:r w:rsidRPr="00794C0E">
              <w:rPr>
                <w:rFonts w:cs="Arial"/>
                <w:color w:val="000000"/>
                <w:lang w:val="es-ES" w:eastAsia="es-ES"/>
              </w:rPr>
              <w:t>136%</w:t>
            </w:r>
          </w:p>
        </w:tc>
      </w:tr>
      <w:tr w:rsidR="005778E8" w:rsidRPr="00794C0E" w:rsidTr="00104DA9">
        <w:trPr>
          <w:trHeight w:val="20"/>
          <w:jc w:val="center"/>
        </w:trPr>
        <w:tc>
          <w:tcPr>
            <w:tcW w:w="1932" w:type="pct"/>
            <w:tcBorders>
              <w:top w:val="nil"/>
              <w:left w:val="single" w:sz="4" w:space="0" w:color="auto"/>
              <w:bottom w:val="single" w:sz="4" w:space="0" w:color="auto"/>
              <w:right w:val="single" w:sz="4" w:space="0" w:color="auto"/>
            </w:tcBorders>
            <w:shd w:val="clear" w:color="auto" w:fill="auto"/>
            <w:noWrap/>
            <w:vAlign w:val="center"/>
            <w:hideMark/>
          </w:tcPr>
          <w:p w:rsidR="005778E8" w:rsidRPr="00794C0E" w:rsidRDefault="005778E8" w:rsidP="003F13F4">
            <w:pPr>
              <w:rPr>
                <w:rFonts w:cs="Arial"/>
                <w:color w:val="000000"/>
                <w:lang w:val="es-ES" w:eastAsia="es-ES"/>
              </w:rPr>
            </w:pPr>
            <w:r w:rsidRPr="00794C0E">
              <w:rPr>
                <w:rFonts w:cs="Arial"/>
                <w:color w:val="000000"/>
                <w:lang w:val="es-ES" w:eastAsia="es-ES"/>
              </w:rPr>
              <w:t>Canales Desagües Pluviales</w:t>
            </w:r>
            <w:r w:rsidR="00C07140" w:rsidRPr="00794C0E">
              <w:rPr>
                <w:rStyle w:val="FootnoteReference"/>
                <w:rFonts w:cs="Arial"/>
                <w:color w:val="000000"/>
                <w:lang w:val="es-ES" w:eastAsia="es-ES"/>
              </w:rPr>
              <w:footnoteReference w:id="31"/>
            </w:r>
          </w:p>
        </w:tc>
        <w:tc>
          <w:tcPr>
            <w:tcW w:w="1165" w:type="pct"/>
            <w:tcBorders>
              <w:top w:val="nil"/>
              <w:left w:val="nil"/>
              <w:bottom w:val="single" w:sz="4" w:space="0" w:color="auto"/>
              <w:right w:val="single" w:sz="4" w:space="0" w:color="auto"/>
            </w:tcBorders>
            <w:shd w:val="clear" w:color="auto" w:fill="auto"/>
            <w:noWrap/>
            <w:vAlign w:val="center"/>
            <w:hideMark/>
          </w:tcPr>
          <w:p w:rsidR="005778E8" w:rsidRPr="00794C0E" w:rsidRDefault="005778E8" w:rsidP="003F13F4">
            <w:pPr>
              <w:jc w:val="right"/>
              <w:rPr>
                <w:rFonts w:cs="Arial"/>
                <w:color w:val="000000"/>
                <w:lang w:val="es-ES" w:eastAsia="es-ES"/>
              </w:rPr>
            </w:pPr>
            <w:r w:rsidRPr="00794C0E">
              <w:rPr>
                <w:rFonts w:cs="Arial"/>
                <w:color w:val="000000"/>
                <w:lang w:val="es-ES" w:eastAsia="es-ES"/>
              </w:rPr>
              <w:t>800.000</w:t>
            </w:r>
          </w:p>
        </w:tc>
        <w:tc>
          <w:tcPr>
            <w:tcW w:w="852" w:type="pct"/>
            <w:tcBorders>
              <w:top w:val="nil"/>
              <w:left w:val="nil"/>
              <w:bottom w:val="single" w:sz="4" w:space="0" w:color="auto"/>
              <w:right w:val="single" w:sz="4" w:space="0" w:color="auto"/>
            </w:tcBorders>
            <w:shd w:val="clear" w:color="auto" w:fill="auto"/>
            <w:noWrap/>
            <w:vAlign w:val="center"/>
            <w:hideMark/>
          </w:tcPr>
          <w:p w:rsidR="005778E8" w:rsidRPr="00794C0E" w:rsidRDefault="005778E8" w:rsidP="003F13F4">
            <w:pPr>
              <w:jc w:val="center"/>
              <w:rPr>
                <w:rFonts w:cs="Arial"/>
                <w:color w:val="000000"/>
                <w:lang w:val="es-ES" w:eastAsia="es-ES"/>
              </w:rPr>
            </w:pPr>
            <w:r w:rsidRPr="00794C0E">
              <w:rPr>
                <w:rFonts w:cs="Arial"/>
                <w:color w:val="000000"/>
                <w:lang w:val="es-ES" w:eastAsia="es-ES"/>
              </w:rPr>
              <w:t>19,2%</w:t>
            </w:r>
          </w:p>
        </w:tc>
        <w:tc>
          <w:tcPr>
            <w:tcW w:w="1051" w:type="pct"/>
            <w:tcBorders>
              <w:top w:val="nil"/>
              <w:left w:val="nil"/>
              <w:bottom w:val="single" w:sz="4" w:space="0" w:color="auto"/>
              <w:right w:val="single" w:sz="4" w:space="0" w:color="auto"/>
            </w:tcBorders>
            <w:shd w:val="clear" w:color="auto" w:fill="auto"/>
            <w:noWrap/>
            <w:vAlign w:val="center"/>
            <w:hideMark/>
          </w:tcPr>
          <w:p w:rsidR="005778E8" w:rsidRPr="00794C0E" w:rsidRDefault="005778E8" w:rsidP="003F13F4">
            <w:pPr>
              <w:jc w:val="center"/>
              <w:rPr>
                <w:rFonts w:cs="Arial"/>
                <w:color w:val="000000"/>
                <w:lang w:val="es-ES" w:eastAsia="es-ES"/>
              </w:rPr>
            </w:pPr>
            <w:r w:rsidRPr="00794C0E">
              <w:rPr>
                <w:rFonts w:cs="Arial"/>
                <w:color w:val="000000"/>
                <w:lang w:val="es-ES" w:eastAsia="es-ES"/>
              </w:rPr>
              <w:t>184%</w:t>
            </w:r>
          </w:p>
        </w:tc>
      </w:tr>
      <w:tr w:rsidR="005778E8" w:rsidRPr="00794C0E" w:rsidTr="00104DA9">
        <w:trPr>
          <w:trHeight w:val="20"/>
          <w:jc w:val="center"/>
        </w:trPr>
        <w:tc>
          <w:tcPr>
            <w:tcW w:w="1932" w:type="pct"/>
            <w:tcBorders>
              <w:top w:val="nil"/>
              <w:left w:val="single" w:sz="4" w:space="0" w:color="auto"/>
              <w:bottom w:val="single" w:sz="4" w:space="0" w:color="auto"/>
              <w:right w:val="single" w:sz="4" w:space="0" w:color="auto"/>
            </w:tcBorders>
            <w:shd w:val="clear" w:color="auto" w:fill="auto"/>
            <w:noWrap/>
            <w:vAlign w:val="center"/>
            <w:hideMark/>
          </w:tcPr>
          <w:p w:rsidR="005778E8" w:rsidRPr="00794C0E" w:rsidRDefault="005778E8" w:rsidP="003F13F4">
            <w:pPr>
              <w:rPr>
                <w:rFonts w:cs="Arial"/>
                <w:color w:val="000000"/>
                <w:lang w:val="es-ES" w:eastAsia="es-ES"/>
              </w:rPr>
            </w:pPr>
            <w:r w:rsidRPr="00794C0E">
              <w:rPr>
                <w:rFonts w:cs="Arial"/>
                <w:color w:val="000000"/>
                <w:lang w:val="es-ES" w:eastAsia="es-ES"/>
              </w:rPr>
              <w:t>Resto</w:t>
            </w:r>
          </w:p>
        </w:tc>
        <w:tc>
          <w:tcPr>
            <w:tcW w:w="1165" w:type="pct"/>
            <w:tcBorders>
              <w:top w:val="nil"/>
              <w:left w:val="nil"/>
              <w:bottom w:val="single" w:sz="4" w:space="0" w:color="auto"/>
              <w:right w:val="single" w:sz="4" w:space="0" w:color="auto"/>
            </w:tcBorders>
            <w:shd w:val="clear" w:color="auto" w:fill="auto"/>
            <w:noWrap/>
            <w:vAlign w:val="center"/>
            <w:hideMark/>
          </w:tcPr>
          <w:p w:rsidR="005778E8" w:rsidRPr="00794C0E" w:rsidRDefault="005778E8" w:rsidP="003F13F4">
            <w:pPr>
              <w:jc w:val="right"/>
              <w:rPr>
                <w:rFonts w:cs="Arial"/>
                <w:color w:val="000000"/>
                <w:lang w:val="es-ES" w:eastAsia="es-ES"/>
              </w:rPr>
            </w:pPr>
            <w:r w:rsidRPr="00794C0E">
              <w:rPr>
                <w:rFonts w:cs="Arial"/>
                <w:color w:val="000000"/>
                <w:lang w:val="es-ES" w:eastAsia="es-ES"/>
              </w:rPr>
              <w:t>3.129.261</w:t>
            </w:r>
          </w:p>
        </w:tc>
        <w:tc>
          <w:tcPr>
            <w:tcW w:w="852" w:type="pct"/>
            <w:tcBorders>
              <w:top w:val="nil"/>
              <w:left w:val="nil"/>
              <w:bottom w:val="single" w:sz="4" w:space="0" w:color="auto"/>
              <w:right w:val="single" w:sz="4" w:space="0" w:color="auto"/>
            </w:tcBorders>
            <w:shd w:val="clear" w:color="auto" w:fill="auto"/>
            <w:noWrap/>
            <w:vAlign w:val="center"/>
            <w:hideMark/>
          </w:tcPr>
          <w:p w:rsidR="005778E8" w:rsidRPr="00794C0E" w:rsidRDefault="005778E8" w:rsidP="003F13F4">
            <w:pPr>
              <w:jc w:val="center"/>
              <w:rPr>
                <w:rFonts w:cs="Arial"/>
                <w:color w:val="000000"/>
                <w:lang w:val="es-ES" w:eastAsia="es-ES"/>
              </w:rPr>
            </w:pPr>
            <w:r w:rsidRPr="00794C0E">
              <w:rPr>
                <w:rFonts w:cs="Arial"/>
                <w:color w:val="000000"/>
                <w:lang w:val="es-ES" w:eastAsia="es-ES"/>
              </w:rPr>
              <w:t>75,2%</w:t>
            </w:r>
          </w:p>
        </w:tc>
        <w:tc>
          <w:tcPr>
            <w:tcW w:w="1051" w:type="pct"/>
            <w:tcBorders>
              <w:top w:val="nil"/>
              <w:left w:val="nil"/>
              <w:bottom w:val="single" w:sz="4" w:space="0" w:color="auto"/>
              <w:right w:val="single" w:sz="4" w:space="0" w:color="auto"/>
            </w:tcBorders>
            <w:shd w:val="clear" w:color="auto" w:fill="auto"/>
            <w:noWrap/>
            <w:vAlign w:val="center"/>
            <w:hideMark/>
          </w:tcPr>
          <w:p w:rsidR="005778E8" w:rsidRPr="00794C0E" w:rsidRDefault="005778E8" w:rsidP="003F13F4">
            <w:pPr>
              <w:jc w:val="center"/>
              <w:rPr>
                <w:rFonts w:cs="Arial"/>
                <w:color w:val="000000"/>
                <w:lang w:val="es-ES" w:eastAsia="es-ES"/>
              </w:rPr>
            </w:pPr>
            <w:r w:rsidRPr="00794C0E">
              <w:rPr>
                <w:rFonts w:cs="Arial"/>
                <w:color w:val="000000"/>
                <w:lang w:val="es-ES" w:eastAsia="es-ES"/>
              </w:rPr>
              <w:t>130%</w:t>
            </w:r>
          </w:p>
        </w:tc>
      </w:tr>
      <w:tr w:rsidR="005778E8" w:rsidRPr="00794C0E" w:rsidTr="00104DA9">
        <w:trPr>
          <w:trHeight w:val="20"/>
          <w:jc w:val="center"/>
        </w:trPr>
        <w:tc>
          <w:tcPr>
            <w:tcW w:w="1932" w:type="pct"/>
            <w:tcBorders>
              <w:top w:val="nil"/>
              <w:left w:val="single" w:sz="4" w:space="0" w:color="auto"/>
              <w:bottom w:val="single" w:sz="4" w:space="0" w:color="auto"/>
              <w:right w:val="single" w:sz="4" w:space="0" w:color="auto"/>
            </w:tcBorders>
            <w:shd w:val="clear" w:color="000000" w:fill="D9D9D9"/>
            <w:noWrap/>
            <w:vAlign w:val="bottom"/>
            <w:hideMark/>
          </w:tcPr>
          <w:p w:rsidR="005778E8" w:rsidRPr="00794C0E" w:rsidRDefault="005778E8" w:rsidP="005778E8">
            <w:pPr>
              <w:rPr>
                <w:rFonts w:cs="Arial"/>
                <w:b/>
                <w:bCs/>
                <w:color w:val="000000"/>
                <w:lang w:val="es-ES" w:eastAsia="es-ES"/>
              </w:rPr>
            </w:pPr>
            <w:r w:rsidRPr="00794C0E">
              <w:rPr>
                <w:rFonts w:cs="Arial"/>
                <w:b/>
                <w:bCs/>
                <w:color w:val="000000"/>
                <w:lang w:val="es-ES" w:eastAsia="es-ES"/>
              </w:rPr>
              <w:t>Promedio</w:t>
            </w:r>
          </w:p>
        </w:tc>
        <w:tc>
          <w:tcPr>
            <w:tcW w:w="1165" w:type="pct"/>
            <w:tcBorders>
              <w:top w:val="nil"/>
              <w:left w:val="nil"/>
              <w:bottom w:val="single" w:sz="4" w:space="0" w:color="auto"/>
              <w:right w:val="single" w:sz="4" w:space="0" w:color="auto"/>
            </w:tcBorders>
            <w:shd w:val="clear" w:color="000000" w:fill="D9D9D9"/>
            <w:noWrap/>
            <w:vAlign w:val="bottom"/>
            <w:hideMark/>
          </w:tcPr>
          <w:p w:rsidR="005778E8" w:rsidRPr="00794C0E" w:rsidRDefault="005778E8" w:rsidP="00C07140">
            <w:pPr>
              <w:jc w:val="right"/>
              <w:rPr>
                <w:rFonts w:cs="Arial"/>
                <w:b/>
                <w:bCs/>
                <w:color w:val="000000"/>
                <w:lang w:val="es-ES" w:eastAsia="es-ES"/>
              </w:rPr>
            </w:pPr>
            <w:r w:rsidRPr="00794C0E">
              <w:rPr>
                <w:rFonts w:cs="Arial"/>
                <w:b/>
                <w:bCs/>
                <w:color w:val="000000"/>
                <w:lang w:val="es-ES" w:eastAsia="es-ES"/>
              </w:rPr>
              <w:t> </w:t>
            </w:r>
            <w:r w:rsidR="00C07140" w:rsidRPr="00794C0E">
              <w:rPr>
                <w:rFonts w:cs="Arial"/>
                <w:b/>
                <w:bCs/>
                <w:color w:val="000000"/>
                <w:lang w:val="es-ES" w:eastAsia="es-ES"/>
              </w:rPr>
              <w:t xml:space="preserve">        4.162.595   </w:t>
            </w:r>
          </w:p>
        </w:tc>
        <w:tc>
          <w:tcPr>
            <w:tcW w:w="852" w:type="pct"/>
            <w:tcBorders>
              <w:top w:val="nil"/>
              <w:left w:val="nil"/>
              <w:bottom w:val="single" w:sz="4" w:space="0" w:color="auto"/>
              <w:right w:val="single" w:sz="4" w:space="0" w:color="auto"/>
            </w:tcBorders>
            <w:shd w:val="clear" w:color="000000" w:fill="D9D9D9"/>
            <w:noWrap/>
            <w:vAlign w:val="bottom"/>
            <w:hideMark/>
          </w:tcPr>
          <w:p w:rsidR="005778E8" w:rsidRPr="00794C0E" w:rsidRDefault="005778E8" w:rsidP="00C07140">
            <w:pPr>
              <w:jc w:val="right"/>
              <w:rPr>
                <w:rFonts w:cs="Arial"/>
                <w:b/>
                <w:bCs/>
                <w:color w:val="000000"/>
                <w:lang w:val="es-ES" w:eastAsia="es-ES"/>
              </w:rPr>
            </w:pPr>
            <w:r w:rsidRPr="00794C0E">
              <w:rPr>
                <w:rFonts w:cs="Arial"/>
                <w:b/>
                <w:bCs/>
                <w:color w:val="000000"/>
                <w:lang w:val="es-ES" w:eastAsia="es-ES"/>
              </w:rPr>
              <w:t> </w:t>
            </w:r>
          </w:p>
        </w:tc>
        <w:tc>
          <w:tcPr>
            <w:tcW w:w="1051" w:type="pct"/>
            <w:tcBorders>
              <w:top w:val="nil"/>
              <w:left w:val="nil"/>
              <w:bottom w:val="single" w:sz="4" w:space="0" w:color="auto"/>
              <w:right w:val="single" w:sz="4" w:space="0" w:color="auto"/>
            </w:tcBorders>
            <w:shd w:val="clear" w:color="000000" w:fill="D9D9D9"/>
            <w:noWrap/>
            <w:vAlign w:val="bottom"/>
            <w:hideMark/>
          </w:tcPr>
          <w:p w:rsidR="005778E8" w:rsidRPr="00794C0E" w:rsidRDefault="005778E8" w:rsidP="00C07140">
            <w:pPr>
              <w:jc w:val="right"/>
              <w:rPr>
                <w:rFonts w:cs="Arial"/>
                <w:b/>
                <w:bCs/>
                <w:color w:val="000000"/>
                <w:lang w:val="es-ES" w:eastAsia="es-ES"/>
              </w:rPr>
            </w:pPr>
            <w:r w:rsidRPr="00794C0E">
              <w:rPr>
                <w:rFonts w:cs="Arial"/>
                <w:b/>
                <w:bCs/>
                <w:color w:val="000000"/>
                <w:lang w:val="es-ES" w:eastAsia="es-ES"/>
              </w:rPr>
              <w:t>140,7%</w:t>
            </w:r>
          </w:p>
        </w:tc>
      </w:tr>
    </w:tbl>
    <w:p w:rsidR="005778E8" w:rsidRPr="00794C0E" w:rsidRDefault="00C07140" w:rsidP="00104DA9">
      <w:pPr>
        <w:ind w:right="-45"/>
        <w:rPr>
          <w:rFonts w:cs="Arial"/>
          <w:bCs/>
          <w:lang w:val="es-AR"/>
        </w:rPr>
      </w:pPr>
      <w:r w:rsidRPr="00794C0E">
        <w:rPr>
          <w:rFonts w:cs="Arial"/>
          <w:bCs/>
          <w:lang w:val="es-AR"/>
        </w:rPr>
        <w:t>Fuente: Elaboración propia en base a resultados Ronconi et al (2013) y costo previsto de las inversiones según detalle.</w:t>
      </w:r>
    </w:p>
    <w:p w:rsidR="00BB7C0F" w:rsidRPr="00794C0E" w:rsidRDefault="00BB7C0F" w:rsidP="00406FDF">
      <w:pPr>
        <w:pStyle w:val="ListParagraph"/>
        <w:numPr>
          <w:ilvl w:val="1"/>
          <w:numId w:val="5"/>
        </w:numPr>
        <w:ind w:left="0" w:firstLine="0"/>
        <w:jc w:val="both"/>
        <w:rPr>
          <w:rFonts w:cs="Arial"/>
          <w:bCs/>
          <w:sz w:val="22"/>
          <w:szCs w:val="22"/>
          <w:lang w:val="es-AR"/>
        </w:rPr>
      </w:pPr>
      <w:r w:rsidRPr="00794C0E">
        <w:rPr>
          <w:rFonts w:cs="Arial"/>
          <w:bCs/>
          <w:sz w:val="22"/>
          <w:szCs w:val="22"/>
          <w:lang w:val="es-AR"/>
        </w:rPr>
        <w:lastRenderedPageBreak/>
        <w:t>Utilizando estos valores y el valo</w:t>
      </w:r>
      <w:r w:rsidR="00B40E83" w:rsidRPr="00794C0E">
        <w:rPr>
          <w:rFonts w:cs="Arial"/>
          <w:bCs/>
          <w:sz w:val="22"/>
          <w:szCs w:val="22"/>
          <w:lang w:val="es-AR"/>
        </w:rPr>
        <w:t>r del m</w:t>
      </w:r>
      <w:r w:rsidR="00B40E83" w:rsidRPr="00794C0E">
        <w:rPr>
          <w:rFonts w:cs="Arial"/>
          <w:bCs/>
          <w:sz w:val="22"/>
          <w:szCs w:val="22"/>
          <w:vertAlign w:val="subscript"/>
          <w:lang w:val="es-AR"/>
        </w:rPr>
        <w:t>2</w:t>
      </w:r>
      <w:r w:rsidR="00B40E83" w:rsidRPr="00794C0E">
        <w:rPr>
          <w:rFonts w:cs="Arial"/>
          <w:bCs/>
          <w:sz w:val="22"/>
          <w:szCs w:val="22"/>
          <w:lang w:val="es-AR"/>
        </w:rPr>
        <w:t xml:space="preserve"> de la tierra donde el </w:t>
      </w:r>
      <w:r w:rsidRPr="00794C0E">
        <w:rPr>
          <w:rFonts w:cs="Arial"/>
          <w:bCs/>
          <w:sz w:val="22"/>
          <w:szCs w:val="22"/>
          <w:lang w:val="es-AR"/>
        </w:rPr>
        <w:t>P</w:t>
      </w:r>
      <w:r w:rsidR="00B40E83" w:rsidRPr="00794C0E">
        <w:rPr>
          <w:rFonts w:cs="Arial"/>
          <w:bCs/>
          <w:sz w:val="22"/>
          <w:szCs w:val="22"/>
          <w:lang w:val="es-AR"/>
        </w:rPr>
        <w:t>a</w:t>
      </w:r>
      <w:r w:rsidRPr="00794C0E">
        <w:rPr>
          <w:rFonts w:cs="Arial"/>
          <w:bCs/>
          <w:sz w:val="22"/>
          <w:szCs w:val="22"/>
          <w:lang w:val="es-AR"/>
        </w:rPr>
        <w:t>rque est</w:t>
      </w:r>
      <w:r w:rsidR="00B40E83" w:rsidRPr="00794C0E">
        <w:rPr>
          <w:rFonts w:cs="Arial"/>
          <w:bCs/>
          <w:sz w:val="22"/>
          <w:szCs w:val="22"/>
          <w:lang w:val="es-AR"/>
        </w:rPr>
        <w:t>á</w:t>
      </w:r>
      <w:r w:rsidRPr="00794C0E">
        <w:rPr>
          <w:rFonts w:cs="Arial"/>
          <w:bCs/>
          <w:sz w:val="22"/>
          <w:szCs w:val="22"/>
          <w:lang w:val="es-AR"/>
        </w:rPr>
        <w:t xml:space="preserve"> emplazado, es posible llegar a los siguientes resultados, que se formalizan mediante la siguiente ecuación</w:t>
      </w:r>
      <w:r w:rsidR="00C07140" w:rsidRPr="00794C0E">
        <w:rPr>
          <w:rFonts w:cs="Arial"/>
          <w:bCs/>
          <w:sz w:val="22"/>
          <w:szCs w:val="22"/>
          <w:lang w:val="es-AR"/>
        </w:rPr>
        <w:t>.</w:t>
      </w:r>
    </w:p>
    <w:p w:rsidR="00D002BF" w:rsidRPr="00794C0E" w:rsidRDefault="00C07140" w:rsidP="00C4173B">
      <w:pPr>
        <w:jc w:val="center"/>
        <w:rPr>
          <w:rFonts w:cs="Arial"/>
          <w:bCs/>
          <w:sz w:val="22"/>
          <w:szCs w:val="22"/>
          <w:lang w:val="es-AR"/>
        </w:rPr>
      </w:pPr>
      <m:oMathPara>
        <m:oMath>
          <m:r>
            <m:rPr>
              <m:sty m:val="p"/>
            </m:rPr>
            <w:rPr>
              <w:rFonts w:ascii="Cambria Math" w:hAnsi="Cambria Math" w:cs="Arial"/>
              <w:sz w:val="24"/>
              <w:szCs w:val="24"/>
              <w:lang w:val="es-AR"/>
            </w:rPr>
            <w:br/>
          </m:r>
        </m:oMath>
        <m:oMath>
          <m:sSub>
            <m:sSubPr>
              <m:ctrlPr>
                <w:rPr>
                  <w:rFonts w:ascii="Cambria Math" w:hAnsi="Cambria Math" w:cs="Arial"/>
                  <w:bCs/>
                  <w:i/>
                  <w:sz w:val="22"/>
                  <w:szCs w:val="22"/>
                  <w:lang w:val="es-AR"/>
                </w:rPr>
              </m:ctrlPr>
            </m:sSubPr>
            <m:e>
              <m:r>
                <w:rPr>
                  <w:rFonts w:ascii="Cambria Math" w:hAnsi="Cambria Math" w:cs="Arial"/>
                  <w:sz w:val="22"/>
                  <w:szCs w:val="22"/>
                  <w:lang w:val="es-AR"/>
                </w:rPr>
                <m:t>B</m:t>
              </m:r>
            </m:e>
            <m:sub>
              <m:r>
                <w:rPr>
                  <w:rFonts w:ascii="Cambria Math" w:hAnsi="Cambria Math" w:cs="Arial"/>
                  <w:sz w:val="22"/>
                  <w:szCs w:val="22"/>
                  <w:lang w:val="es-AR"/>
                </w:rPr>
                <m:t>6</m:t>
              </m:r>
            </m:sub>
          </m:sSub>
          <m:r>
            <w:rPr>
              <w:rFonts w:ascii="Cambria Math" w:hAnsi="Cambria Math" w:cs="Arial"/>
              <w:sz w:val="22"/>
              <w:szCs w:val="22"/>
              <w:lang w:val="es-AR"/>
            </w:rPr>
            <m:t>=</m:t>
          </m:r>
          <m:d>
            <m:dPr>
              <m:ctrlPr>
                <w:rPr>
                  <w:rFonts w:ascii="Cambria Math" w:hAnsi="Cambria Math" w:cs="Arial"/>
                  <w:i/>
                  <w:sz w:val="22"/>
                  <w:szCs w:val="22"/>
                  <w:lang w:val="es-AR"/>
                </w:rPr>
              </m:ctrlPr>
            </m:dPr>
            <m:e>
              <m:nary>
                <m:naryPr>
                  <m:chr m:val="∑"/>
                  <m:limLoc m:val="undOvr"/>
                  <m:subHide m:val="1"/>
                  <m:supHide m:val="1"/>
                  <m:ctrlPr>
                    <w:rPr>
                      <w:rFonts w:ascii="Cambria Math" w:hAnsi="Cambria Math" w:cs="Arial"/>
                      <w:i/>
                      <w:sz w:val="22"/>
                      <w:szCs w:val="22"/>
                      <w:lang w:val="es-AR"/>
                    </w:rPr>
                  </m:ctrlPr>
                </m:naryPr>
                <m:sub/>
                <m:sup/>
                <m:e>
                  <m:sSub>
                    <m:sSubPr>
                      <m:ctrlPr>
                        <w:rPr>
                          <w:rFonts w:ascii="Cambria Math" w:hAnsi="Cambria Math" w:cs="Arial"/>
                          <w:bCs/>
                          <w:i/>
                          <w:sz w:val="22"/>
                          <w:szCs w:val="22"/>
                          <w:lang w:val="es-AR"/>
                        </w:rPr>
                      </m:ctrlPr>
                    </m:sSubPr>
                    <m:e>
                      <m:sSub>
                        <m:sSubPr>
                          <m:ctrlPr>
                            <w:rPr>
                              <w:rFonts w:ascii="Cambria Math" w:hAnsi="Cambria Math" w:cs="Arial"/>
                              <w:i/>
                              <w:sz w:val="22"/>
                              <w:szCs w:val="22"/>
                              <w:lang w:val="es-AR"/>
                            </w:rPr>
                          </m:ctrlPr>
                        </m:sSubPr>
                        <m:e>
                          <m:r>
                            <w:rPr>
                              <w:rFonts w:ascii="Cambria Math" w:hAnsi="Cambria Math" w:cs="Arial"/>
                              <w:sz w:val="22"/>
                              <w:szCs w:val="22"/>
                              <w:lang w:val="es-AR"/>
                            </w:rPr>
                            <m:t>(I</m:t>
                          </m:r>
                        </m:e>
                        <m:sub>
                          <m:r>
                            <w:rPr>
                              <w:rFonts w:ascii="Cambria Math" w:hAnsi="Cambria Math" w:cs="Arial"/>
                              <w:sz w:val="22"/>
                              <w:szCs w:val="22"/>
                              <w:lang w:val="es-AR"/>
                            </w:rPr>
                            <m:t>i</m:t>
                          </m:r>
                        </m:sub>
                      </m:sSub>
                      <m:r>
                        <w:rPr>
                          <w:rFonts w:ascii="Cambria Math" w:hAnsi="Cambria Math" w:cs="Arial"/>
                          <w:sz w:val="22"/>
                          <w:szCs w:val="22"/>
                          <w:lang w:val="es-AR"/>
                        </w:rPr>
                        <m:t>/IT)* β</m:t>
                      </m:r>
                    </m:e>
                    <m:sub>
                      <m:r>
                        <w:rPr>
                          <w:rFonts w:ascii="Cambria Math" w:hAnsi="Cambria Math" w:cs="Arial"/>
                          <w:sz w:val="22"/>
                          <w:szCs w:val="22"/>
                          <w:lang w:val="es-AR"/>
                        </w:rPr>
                        <m:t>i</m:t>
                      </m:r>
                    </m:sub>
                  </m:sSub>
                  <m:r>
                    <w:rPr>
                      <w:rFonts w:ascii="Cambria Math" w:hAnsi="Cambria Math" w:cs="Arial"/>
                      <w:sz w:val="22"/>
                      <w:szCs w:val="22"/>
                      <w:lang w:val="es-AR"/>
                    </w:rPr>
                    <m:t xml:space="preserve">* </m:t>
                  </m:r>
                  <m:sSubSup>
                    <m:sSubSupPr>
                      <m:ctrlPr>
                        <w:rPr>
                          <w:rFonts w:ascii="Cambria Math" w:hAnsi="Cambria Math" w:cs="Arial"/>
                          <w:bCs/>
                          <w:i/>
                          <w:sz w:val="22"/>
                          <w:szCs w:val="22"/>
                          <w:lang w:val="es-AR"/>
                        </w:rPr>
                      </m:ctrlPr>
                    </m:sSubSupPr>
                    <m:e>
                      <m:r>
                        <w:rPr>
                          <w:rFonts w:ascii="Cambria Math" w:hAnsi="Cambria Math" w:cs="Arial"/>
                          <w:sz w:val="22"/>
                          <w:szCs w:val="22"/>
                          <w:lang w:val="es-AR"/>
                        </w:rPr>
                        <m:t>m</m:t>
                      </m:r>
                    </m:e>
                    <m:sub>
                      <m:r>
                        <w:rPr>
                          <w:rFonts w:ascii="Cambria Math" w:hAnsi="Cambria Math" w:cs="Arial"/>
                          <w:sz w:val="22"/>
                          <w:szCs w:val="22"/>
                          <w:lang w:val="es-AR"/>
                        </w:rPr>
                        <m:t>j</m:t>
                      </m:r>
                    </m:sub>
                    <m:sup>
                      <m:r>
                        <w:rPr>
                          <w:rFonts w:ascii="Cambria Math" w:hAnsi="Cambria Math" w:cs="Arial"/>
                          <w:sz w:val="22"/>
                          <w:szCs w:val="22"/>
                          <w:lang w:val="es-AR"/>
                        </w:rPr>
                        <m:t>2</m:t>
                      </m:r>
                    </m:sup>
                  </m:sSubSup>
                </m:e>
              </m:nary>
              <m:r>
                <w:rPr>
                  <w:rFonts w:ascii="Cambria Math" w:hAnsi="Cambria Math" w:cs="Arial"/>
                  <w:sz w:val="22"/>
                  <w:szCs w:val="22"/>
                  <w:lang w:val="es-AR"/>
                </w:rPr>
                <m:t>*</m:t>
              </m:r>
              <m:sSub>
                <m:sSubPr>
                  <m:ctrlPr>
                    <w:rPr>
                      <w:rFonts w:ascii="Cambria Math" w:hAnsi="Cambria Math" w:cs="Arial"/>
                      <w:i/>
                      <w:sz w:val="22"/>
                      <w:szCs w:val="22"/>
                      <w:lang w:val="es-AR"/>
                    </w:rPr>
                  </m:ctrlPr>
                </m:sSubPr>
                <m:e>
                  <m:r>
                    <w:rPr>
                      <w:rFonts w:ascii="Cambria Math" w:hAnsi="Cambria Math" w:cs="Arial"/>
                      <w:sz w:val="22"/>
                      <w:szCs w:val="22"/>
                      <w:lang w:val="es-AR"/>
                    </w:rPr>
                    <m:t>p</m:t>
                  </m:r>
                </m:e>
                <m:sub>
                  <m:r>
                    <w:rPr>
                      <w:rFonts w:ascii="Cambria Math" w:hAnsi="Cambria Math" w:cs="Arial"/>
                      <w:sz w:val="22"/>
                      <w:szCs w:val="22"/>
                      <w:lang w:val="es-AR"/>
                    </w:rPr>
                    <m:t>j</m:t>
                  </m:r>
                </m:sub>
              </m:sSub>
            </m:e>
          </m:d>
          <m:r>
            <w:rPr>
              <w:rFonts w:ascii="Cambria Math" w:hAnsi="Cambria Math" w:cs="Arial"/>
              <w:sz w:val="22"/>
              <w:szCs w:val="22"/>
              <w:lang w:val="es-AR"/>
            </w:rPr>
            <m:t>-</m:t>
          </m:r>
          <m:d>
            <m:dPr>
              <m:ctrlPr>
                <w:rPr>
                  <w:rFonts w:ascii="Cambria Math" w:hAnsi="Cambria Math" w:cs="Arial"/>
                  <w:i/>
                  <w:sz w:val="22"/>
                  <w:szCs w:val="22"/>
                  <w:lang w:val="es-AR"/>
                </w:rPr>
              </m:ctrlPr>
            </m:dPr>
            <m:e>
              <m:nary>
                <m:naryPr>
                  <m:chr m:val="∑"/>
                  <m:limLoc m:val="undOvr"/>
                  <m:subHide m:val="1"/>
                  <m:supHide m:val="1"/>
                  <m:ctrlPr>
                    <w:rPr>
                      <w:rFonts w:ascii="Cambria Math" w:hAnsi="Cambria Math" w:cs="Arial"/>
                      <w:i/>
                      <w:sz w:val="22"/>
                      <w:szCs w:val="22"/>
                      <w:lang w:val="es-AR"/>
                    </w:rPr>
                  </m:ctrlPr>
                </m:naryPr>
                <m:sub/>
                <m:sup/>
                <m:e>
                  <m:sSub>
                    <m:sSubPr>
                      <m:ctrlPr>
                        <w:rPr>
                          <w:rFonts w:ascii="Cambria Math" w:hAnsi="Cambria Math" w:cs="Arial"/>
                          <w:i/>
                          <w:sz w:val="22"/>
                          <w:szCs w:val="22"/>
                          <w:lang w:val="es-AR"/>
                        </w:rPr>
                      </m:ctrlPr>
                    </m:sSubPr>
                    <m:e>
                      <m:r>
                        <w:rPr>
                          <w:rFonts w:ascii="Cambria Math" w:hAnsi="Cambria Math" w:cs="Arial"/>
                          <w:sz w:val="22"/>
                          <w:szCs w:val="22"/>
                          <w:lang w:val="es-AR"/>
                        </w:rPr>
                        <m:t>(I</m:t>
                      </m:r>
                    </m:e>
                    <m:sub>
                      <m:r>
                        <w:rPr>
                          <w:rFonts w:ascii="Cambria Math" w:hAnsi="Cambria Math" w:cs="Arial"/>
                          <w:sz w:val="22"/>
                          <w:szCs w:val="22"/>
                          <w:lang w:val="es-AR"/>
                        </w:rPr>
                        <m:t>i</m:t>
                      </m:r>
                    </m:sub>
                  </m:sSub>
                  <m:r>
                    <w:rPr>
                      <w:rFonts w:ascii="Cambria Math" w:hAnsi="Cambria Math" w:cs="Arial"/>
                      <w:sz w:val="22"/>
                      <w:szCs w:val="22"/>
                      <w:lang w:val="es-AR"/>
                    </w:rPr>
                    <m:t>/IT)*</m:t>
                  </m:r>
                  <m:sSubSup>
                    <m:sSubSupPr>
                      <m:ctrlPr>
                        <w:rPr>
                          <w:rFonts w:ascii="Cambria Math" w:hAnsi="Cambria Math" w:cs="Arial"/>
                          <w:i/>
                          <w:sz w:val="22"/>
                          <w:szCs w:val="22"/>
                          <w:lang w:val="es-AR"/>
                        </w:rPr>
                      </m:ctrlPr>
                    </m:sSubSupPr>
                    <m:e>
                      <m:r>
                        <w:rPr>
                          <w:rFonts w:ascii="Cambria Math" w:hAnsi="Cambria Math" w:cs="Arial"/>
                          <w:sz w:val="22"/>
                          <w:szCs w:val="22"/>
                          <w:lang w:val="es-AR"/>
                        </w:rPr>
                        <m:t>m</m:t>
                      </m:r>
                    </m:e>
                    <m:sub>
                      <m:r>
                        <w:rPr>
                          <w:rFonts w:ascii="Cambria Math" w:hAnsi="Cambria Math" w:cs="Arial"/>
                          <w:sz w:val="22"/>
                          <w:szCs w:val="22"/>
                          <w:lang w:val="es-AR"/>
                        </w:rPr>
                        <m:t>j</m:t>
                      </m:r>
                    </m:sub>
                    <m:sup>
                      <m:r>
                        <w:rPr>
                          <w:rFonts w:ascii="Cambria Math" w:hAnsi="Cambria Math" w:cs="Arial"/>
                          <w:sz w:val="22"/>
                          <w:szCs w:val="22"/>
                          <w:lang w:val="es-AR"/>
                        </w:rPr>
                        <m:t>2</m:t>
                      </m:r>
                    </m:sup>
                  </m:sSubSup>
                </m:e>
              </m:nary>
              <m:r>
                <w:rPr>
                  <w:rFonts w:ascii="Cambria Math" w:hAnsi="Cambria Math" w:cs="Arial"/>
                  <w:sz w:val="22"/>
                  <w:szCs w:val="22"/>
                  <w:lang w:val="es-AR"/>
                </w:rPr>
                <m:t>*</m:t>
              </m:r>
              <m:sSub>
                <m:sSubPr>
                  <m:ctrlPr>
                    <w:rPr>
                      <w:rFonts w:ascii="Cambria Math" w:hAnsi="Cambria Math" w:cs="Arial"/>
                      <w:i/>
                      <w:sz w:val="22"/>
                      <w:szCs w:val="22"/>
                      <w:lang w:val="es-AR"/>
                    </w:rPr>
                  </m:ctrlPr>
                </m:sSubPr>
                <m:e>
                  <m:r>
                    <w:rPr>
                      <w:rFonts w:ascii="Cambria Math" w:hAnsi="Cambria Math" w:cs="Arial"/>
                      <w:sz w:val="22"/>
                      <w:szCs w:val="22"/>
                      <w:lang w:val="es-AR"/>
                    </w:rPr>
                    <m:t>p</m:t>
                  </m:r>
                </m:e>
                <m:sub>
                  <m:r>
                    <w:rPr>
                      <w:rFonts w:ascii="Cambria Math" w:hAnsi="Cambria Math" w:cs="Arial"/>
                      <w:sz w:val="22"/>
                      <w:szCs w:val="22"/>
                      <w:lang w:val="es-AR"/>
                    </w:rPr>
                    <m:t>j</m:t>
                  </m:r>
                </m:sub>
              </m:sSub>
            </m:e>
          </m:d>
        </m:oMath>
      </m:oMathPara>
    </w:p>
    <w:p w:rsidR="00C4173B" w:rsidRPr="00794C0E" w:rsidRDefault="00C4173B" w:rsidP="009D1692">
      <w:pPr>
        <w:jc w:val="both"/>
        <w:rPr>
          <w:rFonts w:cs="Arial"/>
          <w:bCs/>
          <w:sz w:val="22"/>
          <w:szCs w:val="22"/>
          <w:lang w:val="es-AR"/>
        </w:rPr>
      </w:pPr>
    </w:p>
    <w:p w:rsidR="000D1CAF" w:rsidRPr="00794C0E" w:rsidRDefault="00D002BF" w:rsidP="009D1692">
      <w:pPr>
        <w:jc w:val="both"/>
        <w:rPr>
          <w:rFonts w:cs="Arial"/>
          <w:bCs/>
          <w:sz w:val="22"/>
          <w:szCs w:val="22"/>
          <w:lang w:val="es-AR"/>
        </w:rPr>
      </w:pPr>
      <w:r w:rsidRPr="00794C0E">
        <w:rPr>
          <w:rFonts w:cs="Arial"/>
          <w:bCs/>
          <w:sz w:val="22"/>
          <w:szCs w:val="22"/>
          <w:lang w:val="es-AR"/>
        </w:rPr>
        <w:t xml:space="preserve">Donde </w:t>
      </w:r>
      <w:r w:rsidRPr="00794C0E">
        <w:rPr>
          <w:rFonts w:cs="Arial"/>
          <w:bCs/>
          <w:i/>
          <w:sz w:val="22"/>
          <w:szCs w:val="22"/>
          <w:lang w:val="es-AR"/>
        </w:rPr>
        <w:t>I</w:t>
      </w:r>
      <w:r w:rsidRPr="00794C0E">
        <w:rPr>
          <w:rFonts w:cs="Arial"/>
          <w:bCs/>
          <w:i/>
          <w:sz w:val="22"/>
          <w:szCs w:val="22"/>
          <w:vertAlign w:val="subscript"/>
          <w:lang w:val="es-AR"/>
        </w:rPr>
        <w:t>i</w:t>
      </w:r>
      <w:r w:rsidRPr="00794C0E">
        <w:rPr>
          <w:rFonts w:cs="Arial"/>
          <w:bCs/>
          <w:i/>
          <w:sz w:val="22"/>
          <w:szCs w:val="22"/>
          <w:lang w:val="es-AR"/>
        </w:rPr>
        <w:t>/IT</w:t>
      </w:r>
      <w:r w:rsidRPr="00794C0E">
        <w:rPr>
          <w:rFonts w:cs="Arial"/>
          <w:bCs/>
          <w:sz w:val="22"/>
          <w:szCs w:val="22"/>
          <w:lang w:val="es-AR"/>
        </w:rPr>
        <w:t xml:space="preserve"> es la participación de cada inversión en relación a</w:t>
      </w:r>
      <w:r w:rsidR="00C4173B" w:rsidRPr="00794C0E">
        <w:rPr>
          <w:rFonts w:cs="Arial"/>
          <w:bCs/>
          <w:sz w:val="22"/>
          <w:szCs w:val="22"/>
          <w:lang w:val="es-AR"/>
        </w:rPr>
        <w:t xml:space="preserve">l total, </w:t>
      </w:r>
      <w:r w:rsidR="00C4173B" w:rsidRPr="00794C0E">
        <w:rPr>
          <w:rFonts w:cs="Arial"/>
          <w:bCs/>
          <w:i/>
          <w:sz w:val="22"/>
          <w:szCs w:val="22"/>
          <w:lang w:val="es-AR"/>
        </w:rPr>
        <w:t></w:t>
      </w:r>
      <w:r w:rsidR="00C4173B" w:rsidRPr="00794C0E">
        <w:rPr>
          <w:rFonts w:cs="Arial"/>
          <w:bCs/>
          <w:i/>
          <w:sz w:val="22"/>
          <w:szCs w:val="22"/>
          <w:vertAlign w:val="subscript"/>
          <w:lang w:val="es-AR"/>
        </w:rPr>
        <w:t>i</w:t>
      </w:r>
      <w:r w:rsidR="00C4173B" w:rsidRPr="00794C0E">
        <w:rPr>
          <w:rFonts w:cs="Arial"/>
          <w:bCs/>
          <w:sz w:val="22"/>
          <w:szCs w:val="22"/>
          <w:lang w:val="es-AR"/>
        </w:rPr>
        <w:t xml:space="preserve"> es la ponderación del valor añadido según cada tipo de obra; </w:t>
      </w:r>
      <w:r w:rsidR="00C4173B" w:rsidRPr="00794C0E">
        <w:rPr>
          <w:rFonts w:cs="Arial"/>
          <w:bCs/>
          <w:i/>
          <w:sz w:val="22"/>
          <w:szCs w:val="22"/>
          <w:lang w:val="es-AR"/>
        </w:rPr>
        <w:t>m</w:t>
      </w:r>
      <w:r w:rsidR="00C4173B" w:rsidRPr="00794C0E">
        <w:rPr>
          <w:rFonts w:cs="Arial"/>
          <w:bCs/>
          <w:i/>
          <w:sz w:val="22"/>
          <w:szCs w:val="22"/>
          <w:vertAlign w:val="superscript"/>
          <w:lang w:val="es-AR"/>
        </w:rPr>
        <w:t>2</w:t>
      </w:r>
      <w:r w:rsidR="00C4173B" w:rsidRPr="00794C0E">
        <w:rPr>
          <w:rFonts w:cs="Arial"/>
          <w:bCs/>
          <w:sz w:val="22"/>
          <w:szCs w:val="22"/>
          <w:vertAlign w:val="subscript"/>
          <w:lang w:val="es-AR"/>
        </w:rPr>
        <w:t>j</w:t>
      </w:r>
      <w:r w:rsidR="00C4173B" w:rsidRPr="00794C0E">
        <w:rPr>
          <w:rFonts w:cs="Arial"/>
          <w:bCs/>
          <w:sz w:val="22"/>
          <w:szCs w:val="22"/>
          <w:lang w:val="es-AR"/>
        </w:rPr>
        <w:t xml:space="preserve"> son los metros cuadrados según el de cada grupo de lote; </w:t>
      </w:r>
      <w:r w:rsidR="00C4173B" w:rsidRPr="00794C0E">
        <w:rPr>
          <w:rFonts w:cs="Arial"/>
          <w:bCs/>
          <w:i/>
          <w:sz w:val="22"/>
          <w:szCs w:val="22"/>
          <w:lang w:val="es-AR"/>
        </w:rPr>
        <w:t>p</w:t>
      </w:r>
      <w:r w:rsidR="00C4173B" w:rsidRPr="00794C0E">
        <w:rPr>
          <w:rFonts w:cs="Arial"/>
          <w:bCs/>
          <w:i/>
          <w:sz w:val="22"/>
          <w:szCs w:val="22"/>
          <w:vertAlign w:val="subscript"/>
          <w:lang w:val="es-AR"/>
        </w:rPr>
        <w:t>j</w:t>
      </w:r>
      <w:r w:rsidR="00C4173B" w:rsidRPr="00794C0E">
        <w:rPr>
          <w:rFonts w:cs="Arial"/>
          <w:bCs/>
          <w:i/>
          <w:sz w:val="22"/>
          <w:szCs w:val="22"/>
          <w:lang w:val="es-AR"/>
        </w:rPr>
        <w:t xml:space="preserve"> </w:t>
      </w:r>
      <w:r w:rsidR="00C4173B" w:rsidRPr="00794C0E">
        <w:rPr>
          <w:rFonts w:cs="Arial"/>
          <w:bCs/>
          <w:sz w:val="22"/>
          <w:szCs w:val="22"/>
          <w:lang w:val="es-AR"/>
        </w:rPr>
        <w:t>el precio de lo</w:t>
      </w:r>
      <w:r w:rsidR="00445CB0" w:rsidRPr="00794C0E">
        <w:rPr>
          <w:rFonts w:cs="Arial"/>
          <w:bCs/>
          <w:sz w:val="22"/>
          <w:szCs w:val="22"/>
          <w:lang w:val="es-AR"/>
        </w:rPr>
        <w:t>s metros cuadrados segú</w:t>
      </w:r>
      <w:r w:rsidR="00C4173B" w:rsidRPr="00794C0E">
        <w:rPr>
          <w:rFonts w:cs="Arial"/>
          <w:bCs/>
          <w:sz w:val="22"/>
          <w:szCs w:val="22"/>
          <w:lang w:val="es-AR"/>
        </w:rPr>
        <w:t>n cada tipo de lote</w:t>
      </w:r>
      <w:r w:rsidR="00C4173B" w:rsidRPr="00794C0E">
        <w:rPr>
          <w:rStyle w:val="FootnoteReference"/>
          <w:rFonts w:cs="Arial"/>
          <w:bCs/>
          <w:sz w:val="22"/>
          <w:szCs w:val="22"/>
          <w:lang w:val="es-AR"/>
        </w:rPr>
        <w:footnoteReference w:id="32"/>
      </w:r>
    </w:p>
    <w:p w:rsidR="00F14051" w:rsidRPr="00794C0E" w:rsidRDefault="00F14051" w:rsidP="009D1692">
      <w:pPr>
        <w:rPr>
          <w:rFonts w:cs="Arial"/>
          <w:sz w:val="22"/>
          <w:szCs w:val="22"/>
          <w:lang w:val="es-AR"/>
        </w:rPr>
      </w:pPr>
    </w:p>
    <w:p w:rsidR="003F6A5E" w:rsidRPr="00794C0E" w:rsidRDefault="003F13F4" w:rsidP="003F6A5E">
      <w:pPr>
        <w:pStyle w:val="ListParagraph"/>
        <w:numPr>
          <w:ilvl w:val="1"/>
          <w:numId w:val="5"/>
        </w:numPr>
        <w:ind w:left="0" w:firstLine="0"/>
        <w:jc w:val="both"/>
        <w:rPr>
          <w:rFonts w:cs="Arial"/>
          <w:sz w:val="22"/>
          <w:szCs w:val="22"/>
          <w:lang w:val="es-AR"/>
        </w:rPr>
      </w:pPr>
      <w:r w:rsidRPr="00794C0E">
        <w:rPr>
          <w:rFonts w:cs="Arial"/>
          <w:sz w:val="22"/>
          <w:szCs w:val="22"/>
          <w:lang w:val="es-AR"/>
        </w:rPr>
        <w:t>El análisis supone que el valor añadido se alcanza el año siguiente a la finalización en la ejecución de las obras.</w:t>
      </w:r>
      <w:r w:rsidR="00406FDF" w:rsidRPr="00794C0E">
        <w:rPr>
          <w:rFonts w:cs="Arial"/>
          <w:sz w:val="22"/>
          <w:szCs w:val="22"/>
          <w:lang w:val="es-AR"/>
        </w:rPr>
        <w:t xml:space="preserve"> </w:t>
      </w:r>
      <w:r w:rsidR="00F14051" w:rsidRPr="00794C0E">
        <w:rPr>
          <w:rFonts w:cs="Arial"/>
          <w:sz w:val="22"/>
          <w:szCs w:val="22"/>
          <w:lang w:val="es-AR"/>
        </w:rPr>
        <w:t>Los costos expresados a valores sociales alcanzan los U$S 2.905.491</w:t>
      </w:r>
      <w:r w:rsidR="006E4401" w:rsidRPr="00794C0E">
        <w:rPr>
          <w:rFonts w:cs="Arial"/>
          <w:sz w:val="22"/>
          <w:szCs w:val="22"/>
          <w:lang w:val="es-AR"/>
        </w:rPr>
        <w:t>.</w:t>
      </w:r>
    </w:p>
    <w:p w:rsidR="00E843EA" w:rsidRPr="00794C0E" w:rsidRDefault="00E843EA" w:rsidP="00E843EA">
      <w:pPr>
        <w:pStyle w:val="ListParagraph"/>
        <w:ind w:left="0"/>
        <w:jc w:val="both"/>
        <w:rPr>
          <w:rFonts w:cs="Arial"/>
          <w:sz w:val="22"/>
          <w:szCs w:val="22"/>
          <w:lang w:val="es-AR"/>
        </w:rPr>
      </w:pPr>
    </w:p>
    <w:p w:rsidR="003F6A5E" w:rsidRPr="00794C0E" w:rsidRDefault="003F6A5E" w:rsidP="003F6A5E">
      <w:pPr>
        <w:pStyle w:val="ListParagraph"/>
        <w:numPr>
          <w:ilvl w:val="0"/>
          <w:numId w:val="6"/>
        </w:numPr>
        <w:ind w:left="0" w:firstLine="0"/>
        <w:jc w:val="both"/>
        <w:rPr>
          <w:rFonts w:cs="Arial"/>
          <w:b/>
          <w:bCs/>
          <w:sz w:val="22"/>
          <w:szCs w:val="22"/>
          <w:lang w:val="pt-BR"/>
        </w:rPr>
      </w:pPr>
      <w:r w:rsidRPr="00794C0E">
        <w:rPr>
          <w:rFonts w:cs="Arial"/>
          <w:b/>
          <w:bCs/>
          <w:sz w:val="22"/>
          <w:szCs w:val="22"/>
          <w:lang w:val="pt-BR"/>
        </w:rPr>
        <w:t>Obras Sobre ruta Provincial Nº 8 (RPNº 8)</w:t>
      </w:r>
    </w:p>
    <w:p w:rsidR="003F6A5E" w:rsidRPr="00794C0E" w:rsidRDefault="003F6A5E" w:rsidP="003F6A5E">
      <w:pPr>
        <w:jc w:val="both"/>
        <w:rPr>
          <w:rFonts w:cs="Arial"/>
          <w:bCs/>
          <w:sz w:val="22"/>
          <w:szCs w:val="22"/>
          <w:u w:val="single"/>
          <w:lang w:val="es-AR"/>
        </w:rPr>
      </w:pPr>
      <w:r w:rsidRPr="00794C0E">
        <w:rPr>
          <w:rFonts w:cs="Arial"/>
          <w:bCs/>
          <w:sz w:val="22"/>
          <w:szCs w:val="22"/>
          <w:u w:val="single"/>
          <w:lang w:val="es-AR"/>
        </w:rPr>
        <w:t>Descripción</w:t>
      </w:r>
    </w:p>
    <w:p w:rsidR="00D709DE" w:rsidRPr="00794C0E" w:rsidRDefault="00D709DE" w:rsidP="00D709DE">
      <w:pPr>
        <w:pStyle w:val="ListContinue"/>
        <w:numPr>
          <w:ilvl w:val="0"/>
          <w:numId w:val="0"/>
        </w:numPr>
        <w:jc w:val="both"/>
        <w:rPr>
          <w:rFonts w:ascii="Arial" w:hAnsi="Arial" w:cs="Arial"/>
          <w:bCs/>
          <w:sz w:val="22"/>
          <w:szCs w:val="22"/>
          <w:u w:val="single"/>
        </w:rPr>
      </w:pPr>
    </w:p>
    <w:p w:rsidR="00D709DE" w:rsidRPr="00794C0E" w:rsidRDefault="00D709DE" w:rsidP="00D709DE">
      <w:pPr>
        <w:pStyle w:val="ListParagraph"/>
        <w:numPr>
          <w:ilvl w:val="1"/>
          <w:numId w:val="5"/>
        </w:numPr>
        <w:ind w:left="0" w:firstLine="0"/>
        <w:jc w:val="both"/>
        <w:rPr>
          <w:rFonts w:cs="Arial"/>
          <w:sz w:val="22"/>
          <w:szCs w:val="22"/>
          <w:lang w:val="es-AR"/>
        </w:rPr>
      </w:pPr>
      <w:r w:rsidRPr="00794C0E">
        <w:rPr>
          <w:rFonts w:cs="Arial"/>
          <w:sz w:val="22"/>
          <w:szCs w:val="22"/>
          <w:lang w:val="es-AR"/>
        </w:rPr>
        <w:t>La RPN°8 e</w:t>
      </w:r>
      <w:r w:rsidR="00957267" w:rsidRPr="00794C0E">
        <w:rPr>
          <w:rFonts w:cs="Arial"/>
          <w:sz w:val="22"/>
          <w:szCs w:val="22"/>
          <w:lang w:val="es-AR"/>
        </w:rPr>
        <w:t xml:space="preserve">s un camino que posee </w:t>
      </w:r>
      <w:r w:rsidRPr="00794C0E">
        <w:rPr>
          <w:rFonts w:cs="Arial"/>
          <w:sz w:val="22"/>
          <w:szCs w:val="22"/>
          <w:lang w:val="es-AR"/>
        </w:rPr>
        <w:t>tramos en muy mal estado de conservación,</w:t>
      </w:r>
      <w:r w:rsidR="00957267" w:rsidRPr="00794C0E">
        <w:rPr>
          <w:rFonts w:cs="Arial"/>
          <w:sz w:val="22"/>
          <w:szCs w:val="22"/>
          <w:lang w:val="es-AR"/>
        </w:rPr>
        <w:t xml:space="preserve"> sobre todo en épocas lluviosas,</w:t>
      </w:r>
      <w:r w:rsidRPr="00794C0E">
        <w:rPr>
          <w:rFonts w:cs="Arial"/>
          <w:sz w:val="22"/>
          <w:szCs w:val="22"/>
          <w:lang w:val="es-AR"/>
        </w:rPr>
        <w:t xml:space="preserve"> </w:t>
      </w:r>
      <w:r w:rsidR="00957267" w:rsidRPr="00794C0E">
        <w:rPr>
          <w:rFonts w:cs="Arial"/>
          <w:sz w:val="22"/>
          <w:szCs w:val="22"/>
          <w:lang w:val="es-AR"/>
        </w:rPr>
        <w:t>c</w:t>
      </w:r>
      <w:r w:rsidRPr="00794C0E">
        <w:rPr>
          <w:rFonts w:cs="Arial"/>
          <w:sz w:val="22"/>
          <w:szCs w:val="22"/>
          <w:lang w:val="es-AR"/>
        </w:rPr>
        <w:t>on anchos variables de calzada que van desde los 5.00 m a los 10 m,  banquinas poco diferenciadas invadidas de vegetación y con pendientes reducidas</w:t>
      </w:r>
      <w:r w:rsidR="00957267" w:rsidRPr="00794C0E">
        <w:rPr>
          <w:rFonts w:cs="Arial"/>
          <w:sz w:val="22"/>
          <w:szCs w:val="22"/>
          <w:lang w:val="es-AR"/>
        </w:rPr>
        <w:t>.</w:t>
      </w:r>
      <w:r w:rsidRPr="00794C0E">
        <w:rPr>
          <w:rFonts w:cs="Arial"/>
          <w:sz w:val="22"/>
          <w:szCs w:val="22"/>
          <w:lang w:val="es-AR"/>
        </w:rPr>
        <w:t xml:space="preserve"> La traza actual se corta </w:t>
      </w:r>
      <w:r w:rsidR="00957267" w:rsidRPr="00794C0E">
        <w:rPr>
          <w:rFonts w:cs="Arial"/>
          <w:sz w:val="22"/>
          <w:szCs w:val="22"/>
          <w:lang w:val="es-AR"/>
        </w:rPr>
        <w:t>en actualemente desaparecido p</w:t>
      </w:r>
      <w:r w:rsidRPr="00794C0E">
        <w:rPr>
          <w:rFonts w:cs="Arial"/>
          <w:sz w:val="22"/>
          <w:szCs w:val="22"/>
          <w:lang w:val="es-AR"/>
        </w:rPr>
        <w:t>uente sobre el Río Mojotoro-Lavayén, obligando a los conductores a tomar vías alternativas. Las pendientes longitudinales, están dentro de  los parámetros requeridos para este tipo de camino, no superando los valores permitidos.</w:t>
      </w:r>
    </w:p>
    <w:p w:rsidR="00D709DE" w:rsidRPr="00794C0E" w:rsidRDefault="00D709DE" w:rsidP="00D709DE">
      <w:pPr>
        <w:pStyle w:val="ListParagraph"/>
        <w:ind w:left="0"/>
        <w:jc w:val="both"/>
        <w:rPr>
          <w:rFonts w:cs="Arial"/>
          <w:sz w:val="22"/>
          <w:szCs w:val="22"/>
          <w:lang w:val="es-AR"/>
        </w:rPr>
      </w:pPr>
    </w:p>
    <w:p w:rsidR="00D709DE" w:rsidRPr="00794C0E" w:rsidRDefault="00D709DE" w:rsidP="00D709DE">
      <w:pPr>
        <w:pStyle w:val="ListParagraph"/>
        <w:numPr>
          <w:ilvl w:val="1"/>
          <w:numId w:val="5"/>
        </w:numPr>
        <w:ind w:left="0" w:firstLine="0"/>
        <w:jc w:val="both"/>
        <w:rPr>
          <w:rFonts w:cs="Arial"/>
          <w:sz w:val="22"/>
          <w:szCs w:val="22"/>
          <w:lang w:val="es-AR"/>
        </w:rPr>
      </w:pPr>
      <w:r w:rsidRPr="00794C0E">
        <w:rPr>
          <w:rFonts w:cs="Arial"/>
          <w:sz w:val="22"/>
          <w:szCs w:val="22"/>
          <w:lang w:val="es-AR"/>
        </w:rPr>
        <w:t xml:space="preserve">Las obras de arte existentes se encuentran en  buen estado general, aunque deberán ser mejoradas a los efectos de dar solución a la problemática hidráulica correspondiente. El proyecto prevé </w:t>
      </w:r>
      <w:r w:rsidR="00A342B2" w:rsidRPr="00794C0E">
        <w:rPr>
          <w:rFonts w:cs="Arial"/>
          <w:sz w:val="22"/>
          <w:szCs w:val="22"/>
          <w:lang w:val="es-AR"/>
        </w:rPr>
        <w:t xml:space="preserve">la realización de obras de mejoramiento de una </w:t>
      </w:r>
      <w:r w:rsidRPr="00794C0E">
        <w:rPr>
          <w:rFonts w:cs="Arial"/>
          <w:sz w:val="22"/>
          <w:szCs w:val="22"/>
          <w:lang w:val="es-AR"/>
        </w:rPr>
        <w:t>extensión total de reparación en sus dos tramos caracterizados, Güemes – El Algarrobal (15 Km) y El Algarrobal- Esquina de Quisto (24 Km), con dirección desde la loc</w:t>
      </w:r>
      <w:r w:rsidR="00A342B2" w:rsidRPr="00794C0E">
        <w:rPr>
          <w:rFonts w:cs="Arial"/>
          <w:sz w:val="22"/>
          <w:szCs w:val="22"/>
          <w:lang w:val="es-AR"/>
        </w:rPr>
        <w:t>alidad de Güemes este y noreste.</w:t>
      </w:r>
    </w:p>
    <w:p w:rsidR="00957267" w:rsidRPr="00794C0E" w:rsidRDefault="00957267" w:rsidP="00957267">
      <w:pPr>
        <w:pStyle w:val="ListParagraph"/>
        <w:ind w:left="360"/>
        <w:jc w:val="center"/>
        <w:rPr>
          <w:rFonts w:cs="Arial"/>
          <w:b/>
          <w:lang w:val="es-AR"/>
        </w:rPr>
      </w:pPr>
      <w:r w:rsidRPr="00794C0E">
        <w:rPr>
          <w:rFonts w:cs="Arial"/>
          <w:b/>
          <w:lang w:val="es-AR"/>
        </w:rPr>
        <w:t>Ubicación Geográfica</w:t>
      </w:r>
    </w:p>
    <w:p w:rsidR="00EB6826" w:rsidRPr="00794C0E" w:rsidRDefault="00D709DE" w:rsidP="00D709DE">
      <w:pPr>
        <w:jc w:val="center"/>
        <w:rPr>
          <w:rFonts w:cs="Arial"/>
          <w:bCs/>
          <w:sz w:val="22"/>
          <w:szCs w:val="22"/>
          <w:highlight w:val="yellow"/>
          <w:u w:val="single"/>
          <w:lang w:val="es-AR"/>
        </w:rPr>
      </w:pPr>
      <w:r w:rsidRPr="00794C0E">
        <w:rPr>
          <w:rFonts w:cs="Arial"/>
          <w:b/>
          <w:noProof/>
          <w:lang w:val="es-ES_tradnl" w:eastAsia="es-ES_tradnl"/>
        </w:rPr>
        <w:drawing>
          <wp:inline distT="0" distB="0" distL="0" distR="0" wp14:anchorId="4DF8A0C4" wp14:editId="563C5811">
            <wp:extent cx="2860214" cy="2343150"/>
            <wp:effectExtent l="0" t="0" r="0" b="0"/>
            <wp:docPr id="19" name="Imagen 19" descr="Satelital R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atelital RP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0214" cy="2343150"/>
                    </a:xfrm>
                    <a:prstGeom prst="rect">
                      <a:avLst/>
                    </a:prstGeom>
                    <a:noFill/>
                    <a:ln>
                      <a:noFill/>
                    </a:ln>
                  </pic:spPr>
                </pic:pic>
              </a:graphicData>
            </a:graphic>
          </wp:inline>
        </w:drawing>
      </w:r>
    </w:p>
    <w:p w:rsidR="00F9605B" w:rsidRPr="00794C0E" w:rsidRDefault="00F9605B" w:rsidP="003F6A5E">
      <w:pPr>
        <w:jc w:val="both"/>
        <w:rPr>
          <w:rFonts w:cs="Arial"/>
          <w:bCs/>
          <w:sz w:val="14"/>
          <w:szCs w:val="22"/>
          <w:highlight w:val="yellow"/>
          <w:u w:val="single"/>
          <w:lang w:val="es-AR"/>
        </w:rPr>
      </w:pPr>
    </w:p>
    <w:p w:rsidR="00794C0E" w:rsidRPr="00794C0E" w:rsidRDefault="00794C0E" w:rsidP="003F6A5E">
      <w:pPr>
        <w:jc w:val="both"/>
        <w:rPr>
          <w:rFonts w:cs="Arial"/>
          <w:bCs/>
          <w:sz w:val="22"/>
          <w:szCs w:val="22"/>
          <w:u w:val="single"/>
          <w:lang w:val="es-AR"/>
        </w:rPr>
      </w:pPr>
    </w:p>
    <w:p w:rsidR="003F6A5E" w:rsidRPr="00794C0E" w:rsidRDefault="003F6A5E" w:rsidP="003F6A5E">
      <w:pPr>
        <w:jc w:val="both"/>
        <w:rPr>
          <w:rFonts w:cs="Arial"/>
          <w:bCs/>
          <w:sz w:val="22"/>
          <w:szCs w:val="22"/>
          <w:u w:val="single"/>
          <w:lang w:val="es-AR"/>
        </w:rPr>
      </w:pPr>
      <w:r w:rsidRPr="00794C0E">
        <w:rPr>
          <w:rFonts w:cs="Arial"/>
          <w:bCs/>
          <w:sz w:val="22"/>
          <w:szCs w:val="22"/>
          <w:u w:val="single"/>
          <w:lang w:val="es-AR"/>
        </w:rPr>
        <w:lastRenderedPageBreak/>
        <w:t>Parámetros y supuestos para la determinación de los costos y los beneficios</w:t>
      </w:r>
    </w:p>
    <w:p w:rsidR="00EB6826" w:rsidRPr="00794C0E" w:rsidRDefault="00EB6826" w:rsidP="003F6A5E">
      <w:pPr>
        <w:jc w:val="both"/>
        <w:rPr>
          <w:rFonts w:cs="Arial"/>
          <w:bCs/>
          <w:sz w:val="22"/>
          <w:szCs w:val="22"/>
          <w:u w:val="single"/>
          <w:lang w:val="es-AR"/>
        </w:rPr>
      </w:pPr>
    </w:p>
    <w:p w:rsidR="00EB6826" w:rsidRPr="00794C0E" w:rsidRDefault="00EB6826" w:rsidP="00F9605B">
      <w:pPr>
        <w:pStyle w:val="ListParagraph"/>
        <w:numPr>
          <w:ilvl w:val="1"/>
          <w:numId w:val="5"/>
        </w:numPr>
        <w:ind w:left="0" w:firstLine="0"/>
        <w:jc w:val="both"/>
        <w:rPr>
          <w:rFonts w:cs="Arial"/>
          <w:sz w:val="22"/>
          <w:szCs w:val="22"/>
          <w:lang w:val="es-AR"/>
        </w:rPr>
      </w:pPr>
      <w:r w:rsidRPr="00794C0E">
        <w:rPr>
          <w:rFonts w:cs="Arial"/>
          <w:sz w:val="22"/>
          <w:szCs w:val="22"/>
          <w:lang w:val="es-AR"/>
        </w:rPr>
        <w:t>Para la evaluación del proyecto en cuestión se utilizó el Modelo de Evaluación Económica de Caminos (Road Economic Decision Model - RED)</w:t>
      </w:r>
      <w:r w:rsidR="00F9605B" w:rsidRPr="00794C0E">
        <w:rPr>
          <w:rFonts w:cs="Arial"/>
          <w:sz w:val="22"/>
          <w:szCs w:val="22"/>
          <w:lang w:val="es-AR"/>
        </w:rPr>
        <w:t>.</w:t>
      </w:r>
    </w:p>
    <w:p w:rsidR="00F9605B" w:rsidRPr="00794C0E" w:rsidRDefault="00F9605B" w:rsidP="003F6A5E">
      <w:pPr>
        <w:jc w:val="both"/>
        <w:rPr>
          <w:rFonts w:cs="Arial"/>
          <w:bCs/>
          <w:sz w:val="22"/>
          <w:szCs w:val="22"/>
          <w:lang w:val="es-AR"/>
        </w:rPr>
      </w:pPr>
    </w:p>
    <w:p w:rsidR="00EB6826" w:rsidRPr="00794C0E" w:rsidRDefault="00F9605B" w:rsidP="00EB6826">
      <w:pPr>
        <w:pStyle w:val="ListParagraph"/>
        <w:numPr>
          <w:ilvl w:val="1"/>
          <w:numId w:val="5"/>
        </w:numPr>
        <w:ind w:left="0" w:firstLine="0"/>
        <w:jc w:val="both"/>
        <w:rPr>
          <w:rFonts w:cs="Arial"/>
          <w:sz w:val="22"/>
          <w:szCs w:val="22"/>
          <w:lang w:val="es-AR"/>
        </w:rPr>
      </w:pPr>
      <w:r w:rsidRPr="00794C0E">
        <w:rPr>
          <w:rFonts w:cs="Arial"/>
          <w:sz w:val="22"/>
          <w:szCs w:val="22"/>
          <w:lang w:val="es-AR"/>
        </w:rPr>
        <w:t xml:space="preserve">El proyecto contempla </w:t>
      </w:r>
      <w:r w:rsidR="00DE69B9" w:rsidRPr="00794C0E">
        <w:rPr>
          <w:rFonts w:cs="Arial"/>
          <w:sz w:val="22"/>
          <w:szCs w:val="22"/>
          <w:lang w:val="es-AR"/>
        </w:rPr>
        <w:t>un camino de ripio de 39.2 Km de longitud. Por el camino circulan, en base a datos de la TMDA</w:t>
      </w:r>
      <w:r w:rsidR="00DE69B9" w:rsidRPr="00794C0E">
        <w:rPr>
          <w:rFonts w:cs="Arial"/>
          <w:vertAlign w:val="superscript"/>
          <w:lang w:val="es-AR"/>
        </w:rPr>
        <w:footnoteReference w:id="33"/>
      </w:r>
      <w:r w:rsidR="00DE69B9" w:rsidRPr="00794C0E">
        <w:rPr>
          <w:rFonts w:cs="Arial"/>
          <w:sz w:val="22"/>
          <w:szCs w:val="22"/>
          <w:lang w:val="es-AR"/>
        </w:rPr>
        <w:t xml:space="preserve"> </w:t>
      </w:r>
      <w:r w:rsidR="00426953" w:rsidRPr="00794C0E">
        <w:rPr>
          <w:rFonts w:cs="Arial"/>
          <w:sz w:val="22"/>
          <w:szCs w:val="22"/>
          <w:lang w:val="es-AR"/>
        </w:rPr>
        <w:t>, 225</w:t>
      </w:r>
      <w:r w:rsidRPr="00794C0E">
        <w:rPr>
          <w:rFonts w:cs="Arial"/>
          <w:sz w:val="22"/>
          <w:szCs w:val="22"/>
          <w:lang w:val="es-AR"/>
        </w:rPr>
        <w:t xml:space="preserve"> vehículos </w:t>
      </w:r>
      <w:r w:rsidR="00DE69B9" w:rsidRPr="00794C0E">
        <w:rPr>
          <w:rFonts w:cs="Arial"/>
          <w:sz w:val="22"/>
          <w:szCs w:val="22"/>
          <w:lang w:val="es-AR"/>
        </w:rPr>
        <w:t xml:space="preserve">de los cuales el </w:t>
      </w:r>
      <w:r w:rsidR="00426953" w:rsidRPr="00794C0E">
        <w:rPr>
          <w:rFonts w:cs="Arial"/>
          <w:sz w:val="22"/>
          <w:szCs w:val="22"/>
          <w:lang w:val="es-AR"/>
        </w:rPr>
        <w:t>70</w:t>
      </w:r>
      <w:r w:rsidR="00DE69B9" w:rsidRPr="00794C0E">
        <w:rPr>
          <w:rFonts w:cs="Arial"/>
          <w:sz w:val="22"/>
          <w:szCs w:val="22"/>
          <w:lang w:val="es-AR"/>
        </w:rPr>
        <w:t xml:space="preserve">% son autos y/o camionetas, </w:t>
      </w:r>
      <w:r w:rsidR="00426953" w:rsidRPr="00794C0E">
        <w:rPr>
          <w:rFonts w:cs="Arial"/>
          <w:sz w:val="22"/>
          <w:szCs w:val="22"/>
          <w:lang w:val="es-AR"/>
        </w:rPr>
        <w:t>10</w:t>
      </w:r>
      <w:r w:rsidR="00813EC5" w:rsidRPr="00794C0E">
        <w:rPr>
          <w:rFonts w:cs="Arial"/>
          <w:sz w:val="22"/>
          <w:szCs w:val="22"/>
          <w:lang w:val="es-AR"/>
        </w:rPr>
        <w:t xml:space="preserve"> </w:t>
      </w:r>
      <w:r w:rsidR="00DE69B9" w:rsidRPr="00794C0E">
        <w:rPr>
          <w:rFonts w:cs="Arial"/>
          <w:sz w:val="22"/>
          <w:szCs w:val="22"/>
          <w:lang w:val="es-AR"/>
        </w:rPr>
        <w:t xml:space="preserve">% son </w:t>
      </w:r>
      <w:r w:rsidR="00813EC5" w:rsidRPr="00794C0E">
        <w:rPr>
          <w:rFonts w:cs="Arial"/>
          <w:sz w:val="22"/>
          <w:szCs w:val="22"/>
          <w:lang w:val="es-AR"/>
        </w:rPr>
        <w:t xml:space="preserve">autobuses </w:t>
      </w:r>
      <w:r w:rsidR="00DE69B9" w:rsidRPr="00794C0E">
        <w:rPr>
          <w:rFonts w:cs="Arial"/>
          <w:sz w:val="22"/>
          <w:szCs w:val="22"/>
          <w:lang w:val="es-AR"/>
        </w:rPr>
        <w:t xml:space="preserve">y el </w:t>
      </w:r>
      <w:r w:rsidR="00813EC5" w:rsidRPr="00794C0E">
        <w:rPr>
          <w:rFonts w:cs="Arial"/>
          <w:sz w:val="22"/>
          <w:szCs w:val="22"/>
          <w:lang w:val="es-AR"/>
        </w:rPr>
        <w:t>20</w:t>
      </w:r>
      <w:r w:rsidR="00426953" w:rsidRPr="00794C0E">
        <w:rPr>
          <w:rFonts w:cs="Arial"/>
          <w:sz w:val="22"/>
          <w:szCs w:val="22"/>
          <w:lang w:val="es-AR"/>
        </w:rPr>
        <w:t>% restante son camiones</w:t>
      </w:r>
      <w:r w:rsidR="00DE69B9" w:rsidRPr="00794C0E">
        <w:rPr>
          <w:rFonts w:cs="Arial"/>
          <w:sz w:val="22"/>
          <w:szCs w:val="22"/>
          <w:lang w:val="es-AR"/>
        </w:rPr>
        <w:t>.</w:t>
      </w:r>
    </w:p>
    <w:p w:rsidR="00813EC5" w:rsidRPr="00794C0E" w:rsidRDefault="00813EC5" w:rsidP="00EB6826">
      <w:pPr>
        <w:pStyle w:val="ListParagraph"/>
        <w:ind w:left="0"/>
        <w:jc w:val="center"/>
        <w:rPr>
          <w:rFonts w:cs="Arial"/>
          <w:b/>
          <w:lang w:val="es-AR"/>
        </w:rPr>
      </w:pPr>
    </w:p>
    <w:p w:rsidR="00DE69B9" w:rsidRPr="00794C0E" w:rsidRDefault="00EB6826" w:rsidP="00EB6826">
      <w:pPr>
        <w:pStyle w:val="ListParagraph"/>
        <w:ind w:left="0"/>
        <w:jc w:val="center"/>
        <w:rPr>
          <w:rFonts w:cs="Arial"/>
          <w:b/>
          <w:lang w:val="es-AR"/>
        </w:rPr>
      </w:pPr>
      <w:r w:rsidRPr="00794C0E">
        <w:rPr>
          <w:rFonts w:cs="Arial"/>
          <w:b/>
          <w:lang w:val="es-AR"/>
        </w:rPr>
        <w:t>Tabla</w:t>
      </w:r>
      <w:r w:rsidR="00DE69B9" w:rsidRPr="00794C0E">
        <w:rPr>
          <w:rFonts w:cs="Arial"/>
          <w:b/>
          <w:lang w:val="es-AR"/>
        </w:rPr>
        <w:t xml:space="preserve"> </w:t>
      </w:r>
      <w:r w:rsidRPr="00794C0E">
        <w:rPr>
          <w:rFonts w:cs="Arial"/>
          <w:b/>
          <w:lang w:val="es-AR"/>
        </w:rPr>
        <w:t>8: TMDA para el T</w:t>
      </w:r>
      <w:r w:rsidR="00DE69B9" w:rsidRPr="00794C0E">
        <w:rPr>
          <w:rFonts w:cs="Arial"/>
          <w:b/>
          <w:lang w:val="es-AR"/>
        </w:rPr>
        <w:t>rayecto</w:t>
      </w:r>
    </w:p>
    <w:tbl>
      <w:tblPr>
        <w:tblW w:w="5000" w:type="pct"/>
        <w:jc w:val="center"/>
        <w:tblCellMar>
          <w:left w:w="70" w:type="dxa"/>
          <w:right w:w="70" w:type="dxa"/>
        </w:tblCellMar>
        <w:tblLook w:val="04A0" w:firstRow="1" w:lastRow="0" w:firstColumn="1" w:lastColumn="0" w:noHBand="0" w:noVBand="1"/>
      </w:tblPr>
      <w:tblGrid>
        <w:gridCol w:w="2871"/>
        <w:gridCol w:w="1271"/>
        <w:gridCol w:w="1271"/>
        <w:gridCol w:w="2056"/>
        <w:gridCol w:w="1271"/>
        <w:gridCol w:w="760"/>
      </w:tblGrid>
      <w:tr w:rsidR="00226883" w:rsidRPr="00794C0E" w:rsidTr="00104DA9">
        <w:trPr>
          <w:trHeight w:val="20"/>
          <w:jc w:val="center"/>
        </w:trPr>
        <w:tc>
          <w:tcPr>
            <w:tcW w:w="1511"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226883" w:rsidRPr="00794C0E" w:rsidRDefault="00226883" w:rsidP="00226883">
            <w:pPr>
              <w:jc w:val="center"/>
              <w:rPr>
                <w:rFonts w:cs="Arial"/>
                <w:b/>
                <w:color w:val="000000"/>
                <w:sz w:val="18"/>
                <w:lang w:val="es-ES" w:eastAsia="es-ES"/>
              </w:rPr>
            </w:pPr>
            <w:r w:rsidRPr="00794C0E">
              <w:rPr>
                <w:rFonts w:cs="Arial"/>
                <w:b/>
                <w:bCs/>
                <w:color w:val="000000"/>
                <w:sz w:val="18"/>
                <w:lang w:eastAsia="es-AR"/>
              </w:rPr>
              <w:t xml:space="preserve">Distrito y Tramos </w:t>
            </w:r>
          </w:p>
        </w:tc>
        <w:tc>
          <w:tcPr>
            <w:tcW w:w="669"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226883" w:rsidRPr="00794C0E" w:rsidRDefault="00226883" w:rsidP="00226883">
            <w:pPr>
              <w:jc w:val="center"/>
              <w:rPr>
                <w:rFonts w:cs="Arial"/>
                <w:b/>
                <w:color w:val="000000"/>
                <w:sz w:val="18"/>
                <w:lang w:val="es-ES" w:eastAsia="es-ES"/>
              </w:rPr>
            </w:pPr>
            <w:r w:rsidRPr="00794C0E">
              <w:rPr>
                <w:rFonts w:cs="Arial"/>
                <w:b/>
                <w:bCs/>
                <w:color w:val="000000"/>
                <w:sz w:val="18"/>
                <w:lang w:eastAsia="es-AR"/>
              </w:rPr>
              <w:t>Longitud</w:t>
            </w:r>
          </w:p>
        </w:tc>
        <w:tc>
          <w:tcPr>
            <w:tcW w:w="2419" w:type="pct"/>
            <w:gridSpan w:val="3"/>
            <w:tcBorders>
              <w:top w:val="single" w:sz="8" w:space="0" w:color="auto"/>
              <w:left w:val="nil"/>
              <w:bottom w:val="single" w:sz="8" w:space="0" w:color="auto"/>
              <w:right w:val="single" w:sz="8" w:space="0" w:color="000000"/>
            </w:tcBorders>
            <w:shd w:val="clear" w:color="000000" w:fill="D9D9D9"/>
            <w:noWrap/>
            <w:vAlign w:val="center"/>
            <w:hideMark/>
          </w:tcPr>
          <w:p w:rsidR="00226883" w:rsidRPr="00794C0E" w:rsidRDefault="00226883" w:rsidP="00226883">
            <w:pPr>
              <w:jc w:val="center"/>
              <w:rPr>
                <w:rFonts w:cs="Arial"/>
                <w:b/>
                <w:color w:val="000000"/>
                <w:sz w:val="18"/>
                <w:lang w:val="es-ES" w:eastAsia="es-ES"/>
              </w:rPr>
            </w:pPr>
            <w:r w:rsidRPr="00794C0E">
              <w:rPr>
                <w:rFonts w:cs="Arial"/>
                <w:b/>
                <w:bCs/>
                <w:color w:val="000000"/>
                <w:sz w:val="18"/>
                <w:lang w:eastAsia="es-AR"/>
              </w:rPr>
              <w:t>TMDA Composición Vehicular Año 0</w:t>
            </w:r>
          </w:p>
        </w:tc>
        <w:tc>
          <w:tcPr>
            <w:tcW w:w="400"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226883" w:rsidRPr="00794C0E" w:rsidRDefault="00226883" w:rsidP="00226883">
            <w:pPr>
              <w:jc w:val="center"/>
              <w:rPr>
                <w:rFonts w:cs="Arial"/>
                <w:b/>
                <w:bCs/>
                <w:color w:val="000000"/>
                <w:sz w:val="18"/>
                <w:lang w:val="es-ES" w:eastAsia="es-ES"/>
              </w:rPr>
            </w:pPr>
            <w:r w:rsidRPr="00794C0E">
              <w:rPr>
                <w:rFonts w:cs="Arial"/>
                <w:b/>
                <w:bCs/>
                <w:color w:val="000000"/>
                <w:sz w:val="18"/>
                <w:lang w:eastAsia="es-AR"/>
              </w:rPr>
              <w:t xml:space="preserve">TMDA Total </w:t>
            </w:r>
          </w:p>
        </w:tc>
      </w:tr>
      <w:tr w:rsidR="00226883" w:rsidRPr="00794C0E" w:rsidTr="00104DA9">
        <w:trPr>
          <w:trHeight w:val="20"/>
          <w:jc w:val="center"/>
        </w:trPr>
        <w:tc>
          <w:tcPr>
            <w:tcW w:w="1511" w:type="pct"/>
            <w:vMerge/>
            <w:tcBorders>
              <w:top w:val="single" w:sz="8" w:space="0" w:color="auto"/>
              <w:left w:val="single" w:sz="8" w:space="0" w:color="auto"/>
              <w:bottom w:val="single" w:sz="8" w:space="0" w:color="000000"/>
              <w:right w:val="single" w:sz="8" w:space="0" w:color="auto"/>
            </w:tcBorders>
            <w:vAlign w:val="center"/>
            <w:hideMark/>
          </w:tcPr>
          <w:p w:rsidR="00226883" w:rsidRPr="00794C0E" w:rsidRDefault="00226883" w:rsidP="00226883">
            <w:pPr>
              <w:rPr>
                <w:rFonts w:cs="Arial"/>
                <w:b/>
                <w:color w:val="000000"/>
                <w:sz w:val="18"/>
                <w:lang w:val="es-ES" w:eastAsia="es-ES"/>
              </w:rPr>
            </w:pPr>
          </w:p>
        </w:tc>
        <w:tc>
          <w:tcPr>
            <w:tcW w:w="669" w:type="pct"/>
            <w:vMerge/>
            <w:tcBorders>
              <w:top w:val="single" w:sz="8" w:space="0" w:color="auto"/>
              <w:left w:val="single" w:sz="8" w:space="0" w:color="auto"/>
              <w:bottom w:val="single" w:sz="8" w:space="0" w:color="000000"/>
              <w:right w:val="single" w:sz="8" w:space="0" w:color="auto"/>
            </w:tcBorders>
            <w:vAlign w:val="center"/>
            <w:hideMark/>
          </w:tcPr>
          <w:p w:rsidR="00226883" w:rsidRPr="00794C0E" w:rsidRDefault="00226883" w:rsidP="00226883">
            <w:pPr>
              <w:rPr>
                <w:rFonts w:cs="Arial"/>
                <w:b/>
                <w:color w:val="000000"/>
                <w:sz w:val="18"/>
                <w:lang w:val="es-ES" w:eastAsia="es-ES"/>
              </w:rPr>
            </w:pPr>
          </w:p>
        </w:tc>
        <w:tc>
          <w:tcPr>
            <w:tcW w:w="669" w:type="pct"/>
            <w:tcBorders>
              <w:top w:val="nil"/>
              <w:left w:val="nil"/>
              <w:bottom w:val="single" w:sz="8" w:space="0" w:color="auto"/>
              <w:right w:val="single" w:sz="8" w:space="0" w:color="auto"/>
            </w:tcBorders>
            <w:shd w:val="clear" w:color="000000" w:fill="D9D9D9"/>
            <w:vAlign w:val="center"/>
            <w:hideMark/>
          </w:tcPr>
          <w:p w:rsidR="00226883" w:rsidRPr="00794C0E" w:rsidRDefault="00226883" w:rsidP="00226883">
            <w:pPr>
              <w:jc w:val="center"/>
              <w:rPr>
                <w:rFonts w:cs="Arial"/>
                <w:b/>
                <w:color w:val="000000"/>
                <w:sz w:val="18"/>
                <w:lang w:val="es-ES" w:eastAsia="es-ES"/>
              </w:rPr>
            </w:pPr>
            <w:r w:rsidRPr="00794C0E">
              <w:rPr>
                <w:rFonts w:cs="Arial"/>
                <w:b/>
                <w:bCs/>
                <w:color w:val="000000"/>
                <w:sz w:val="18"/>
                <w:lang w:eastAsia="es-AR"/>
              </w:rPr>
              <w:t>Autos y Pick-UP</w:t>
            </w:r>
          </w:p>
        </w:tc>
        <w:tc>
          <w:tcPr>
            <w:tcW w:w="1082" w:type="pct"/>
            <w:tcBorders>
              <w:top w:val="nil"/>
              <w:left w:val="nil"/>
              <w:bottom w:val="single" w:sz="8" w:space="0" w:color="auto"/>
              <w:right w:val="single" w:sz="8" w:space="0" w:color="auto"/>
            </w:tcBorders>
            <w:shd w:val="clear" w:color="000000" w:fill="D9D9D9"/>
            <w:vAlign w:val="center"/>
            <w:hideMark/>
          </w:tcPr>
          <w:p w:rsidR="00226883" w:rsidRPr="00794C0E" w:rsidRDefault="00226883" w:rsidP="00226883">
            <w:pPr>
              <w:jc w:val="center"/>
              <w:rPr>
                <w:rFonts w:cs="Arial"/>
                <w:b/>
                <w:color w:val="000000"/>
                <w:sz w:val="18"/>
                <w:lang w:val="es-ES" w:eastAsia="es-ES"/>
              </w:rPr>
            </w:pPr>
            <w:r w:rsidRPr="00794C0E">
              <w:rPr>
                <w:rFonts w:cs="Arial"/>
                <w:b/>
                <w:bCs/>
                <w:color w:val="000000"/>
                <w:sz w:val="18"/>
                <w:lang w:eastAsia="es-AR"/>
              </w:rPr>
              <w:t>Autobus</w:t>
            </w:r>
          </w:p>
        </w:tc>
        <w:tc>
          <w:tcPr>
            <w:tcW w:w="669" w:type="pct"/>
            <w:tcBorders>
              <w:top w:val="nil"/>
              <w:left w:val="nil"/>
              <w:bottom w:val="single" w:sz="8" w:space="0" w:color="auto"/>
              <w:right w:val="single" w:sz="8" w:space="0" w:color="auto"/>
            </w:tcBorders>
            <w:shd w:val="clear" w:color="000000" w:fill="D9D9D9"/>
            <w:vAlign w:val="center"/>
            <w:hideMark/>
          </w:tcPr>
          <w:p w:rsidR="00226883" w:rsidRPr="00794C0E" w:rsidRDefault="00226883" w:rsidP="00226883">
            <w:pPr>
              <w:jc w:val="center"/>
              <w:rPr>
                <w:rFonts w:cs="Arial"/>
                <w:b/>
                <w:color w:val="000000"/>
                <w:sz w:val="18"/>
                <w:lang w:val="es-ES" w:eastAsia="es-ES"/>
              </w:rPr>
            </w:pPr>
            <w:r w:rsidRPr="00794C0E">
              <w:rPr>
                <w:rFonts w:cs="Arial"/>
                <w:b/>
                <w:bCs/>
                <w:color w:val="000000"/>
                <w:sz w:val="18"/>
                <w:lang w:eastAsia="es-AR"/>
              </w:rPr>
              <w:t>Camiones</w:t>
            </w:r>
          </w:p>
        </w:tc>
        <w:tc>
          <w:tcPr>
            <w:tcW w:w="400" w:type="pct"/>
            <w:vMerge/>
            <w:tcBorders>
              <w:top w:val="single" w:sz="8" w:space="0" w:color="auto"/>
              <w:left w:val="single" w:sz="8" w:space="0" w:color="auto"/>
              <w:bottom w:val="single" w:sz="8" w:space="0" w:color="000000"/>
              <w:right w:val="single" w:sz="8" w:space="0" w:color="auto"/>
            </w:tcBorders>
            <w:vAlign w:val="center"/>
            <w:hideMark/>
          </w:tcPr>
          <w:p w:rsidR="00226883" w:rsidRPr="00794C0E" w:rsidRDefault="00226883" w:rsidP="00226883">
            <w:pPr>
              <w:rPr>
                <w:rFonts w:cs="Arial"/>
                <w:b/>
                <w:bCs/>
                <w:color w:val="000000"/>
                <w:sz w:val="18"/>
                <w:lang w:val="es-ES" w:eastAsia="es-ES"/>
              </w:rPr>
            </w:pPr>
          </w:p>
        </w:tc>
      </w:tr>
      <w:tr w:rsidR="00226883" w:rsidRPr="00794C0E" w:rsidTr="00104DA9">
        <w:trPr>
          <w:trHeight w:val="20"/>
          <w:jc w:val="center"/>
        </w:trPr>
        <w:tc>
          <w:tcPr>
            <w:tcW w:w="1511" w:type="pct"/>
            <w:tcBorders>
              <w:top w:val="nil"/>
              <w:left w:val="single" w:sz="8" w:space="0" w:color="auto"/>
              <w:bottom w:val="single" w:sz="8" w:space="0" w:color="auto"/>
              <w:right w:val="single" w:sz="8" w:space="0" w:color="auto"/>
            </w:tcBorders>
            <w:shd w:val="clear" w:color="auto" w:fill="auto"/>
            <w:noWrap/>
            <w:vAlign w:val="center"/>
            <w:hideMark/>
          </w:tcPr>
          <w:p w:rsidR="00226883" w:rsidRPr="00794C0E" w:rsidRDefault="00226883" w:rsidP="00226883">
            <w:pPr>
              <w:rPr>
                <w:rFonts w:cs="Arial"/>
                <w:color w:val="000000"/>
                <w:sz w:val="18"/>
                <w:lang w:val="es-ES" w:eastAsia="es-ES"/>
              </w:rPr>
            </w:pPr>
            <w:r w:rsidRPr="00794C0E">
              <w:rPr>
                <w:rFonts w:cs="Arial"/>
                <w:color w:val="000000"/>
                <w:sz w:val="18"/>
                <w:lang w:eastAsia="es-AR"/>
              </w:rPr>
              <w:t xml:space="preserve">Tramo N° 1 Guemes-Mojotoro </w:t>
            </w:r>
          </w:p>
        </w:tc>
        <w:tc>
          <w:tcPr>
            <w:tcW w:w="669" w:type="pct"/>
            <w:tcBorders>
              <w:top w:val="nil"/>
              <w:left w:val="nil"/>
              <w:bottom w:val="single" w:sz="8" w:space="0" w:color="auto"/>
              <w:right w:val="single" w:sz="8" w:space="0" w:color="auto"/>
            </w:tcBorders>
            <w:shd w:val="clear" w:color="auto" w:fill="auto"/>
            <w:noWrap/>
            <w:vAlign w:val="center"/>
            <w:hideMark/>
          </w:tcPr>
          <w:p w:rsidR="00226883" w:rsidRPr="00794C0E" w:rsidRDefault="00226883" w:rsidP="00226883">
            <w:pPr>
              <w:jc w:val="center"/>
              <w:rPr>
                <w:rFonts w:cs="Arial"/>
                <w:color w:val="000000"/>
                <w:sz w:val="18"/>
                <w:lang w:val="es-ES" w:eastAsia="es-ES"/>
              </w:rPr>
            </w:pPr>
            <w:r w:rsidRPr="00794C0E">
              <w:rPr>
                <w:rFonts w:cs="Arial"/>
                <w:color w:val="000000"/>
                <w:sz w:val="18"/>
                <w:lang w:eastAsia="es-AR"/>
              </w:rPr>
              <w:t>14,8</w:t>
            </w:r>
          </w:p>
        </w:tc>
        <w:tc>
          <w:tcPr>
            <w:tcW w:w="669" w:type="pct"/>
            <w:tcBorders>
              <w:top w:val="nil"/>
              <w:left w:val="nil"/>
              <w:bottom w:val="single" w:sz="8" w:space="0" w:color="auto"/>
              <w:right w:val="single" w:sz="8" w:space="0" w:color="auto"/>
            </w:tcBorders>
            <w:shd w:val="clear" w:color="auto" w:fill="auto"/>
            <w:noWrap/>
            <w:vAlign w:val="center"/>
            <w:hideMark/>
          </w:tcPr>
          <w:p w:rsidR="00226883" w:rsidRPr="00794C0E" w:rsidRDefault="00226883" w:rsidP="00226883">
            <w:pPr>
              <w:jc w:val="center"/>
              <w:rPr>
                <w:rFonts w:cs="Arial"/>
                <w:color w:val="000000"/>
                <w:sz w:val="18"/>
                <w:lang w:val="es-ES" w:eastAsia="es-ES"/>
              </w:rPr>
            </w:pPr>
            <w:r w:rsidRPr="00794C0E">
              <w:rPr>
                <w:rFonts w:cs="Arial"/>
                <w:color w:val="000000"/>
                <w:sz w:val="18"/>
                <w:lang w:eastAsia="es-AR"/>
              </w:rPr>
              <w:t>105</w:t>
            </w:r>
          </w:p>
        </w:tc>
        <w:tc>
          <w:tcPr>
            <w:tcW w:w="1082" w:type="pct"/>
            <w:tcBorders>
              <w:top w:val="nil"/>
              <w:left w:val="nil"/>
              <w:bottom w:val="single" w:sz="8" w:space="0" w:color="auto"/>
              <w:right w:val="single" w:sz="8" w:space="0" w:color="auto"/>
            </w:tcBorders>
            <w:shd w:val="clear" w:color="auto" w:fill="auto"/>
            <w:noWrap/>
            <w:vAlign w:val="center"/>
            <w:hideMark/>
          </w:tcPr>
          <w:p w:rsidR="00226883" w:rsidRPr="00794C0E" w:rsidRDefault="00226883" w:rsidP="00226883">
            <w:pPr>
              <w:jc w:val="center"/>
              <w:rPr>
                <w:rFonts w:cs="Arial"/>
                <w:color w:val="000000"/>
                <w:sz w:val="18"/>
                <w:lang w:val="es-ES" w:eastAsia="es-ES"/>
              </w:rPr>
            </w:pPr>
            <w:r w:rsidRPr="00794C0E">
              <w:rPr>
                <w:rFonts w:cs="Arial"/>
                <w:color w:val="000000"/>
                <w:sz w:val="18"/>
                <w:lang w:eastAsia="es-AR"/>
              </w:rPr>
              <w:t>12</w:t>
            </w:r>
          </w:p>
        </w:tc>
        <w:tc>
          <w:tcPr>
            <w:tcW w:w="669" w:type="pct"/>
            <w:tcBorders>
              <w:top w:val="nil"/>
              <w:left w:val="nil"/>
              <w:bottom w:val="single" w:sz="8" w:space="0" w:color="auto"/>
              <w:right w:val="single" w:sz="8" w:space="0" w:color="auto"/>
            </w:tcBorders>
            <w:shd w:val="clear" w:color="auto" w:fill="auto"/>
            <w:noWrap/>
            <w:vAlign w:val="center"/>
            <w:hideMark/>
          </w:tcPr>
          <w:p w:rsidR="00226883" w:rsidRPr="00794C0E" w:rsidRDefault="00226883" w:rsidP="00226883">
            <w:pPr>
              <w:jc w:val="center"/>
              <w:rPr>
                <w:rFonts w:cs="Arial"/>
                <w:color w:val="000000"/>
                <w:sz w:val="18"/>
                <w:lang w:val="es-ES" w:eastAsia="es-ES"/>
              </w:rPr>
            </w:pPr>
            <w:r w:rsidRPr="00794C0E">
              <w:rPr>
                <w:rFonts w:cs="Arial"/>
                <w:color w:val="000000"/>
                <w:sz w:val="18"/>
                <w:lang w:eastAsia="es-AR"/>
              </w:rPr>
              <w:t>0</w:t>
            </w:r>
          </w:p>
        </w:tc>
        <w:tc>
          <w:tcPr>
            <w:tcW w:w="400" w:type="pct"/>
            <w:tcBorders>
              <w:top w:val="nil"/>
              <w:left w:val="nil"/>
              <w:bottom w:val="single" w:sz="8" w:space="0" w:color="auto"/>
              <w:right w:val="single" w:sz="8" w:space="0" w:color="auto"/>
            </w:tcBorders>
            <w:shd w:val="clear" w:color="auto" w:fill="auto"/>
            <w:noWrap/>
            <w:vAlign w:val="center"/>
            <w:hideMark/>
          </w:tcPr>
          <w:p w:rsidR="00226883" w:rsidRPr="00794C0E" w:rsidRDefault="00226883" w:rsidP="00226883">
            <w:pPr>
              <w:jc w:val="center"/>
              <w:rPr>
                <w:rFonts w:cs="Arial"/>
                <w:color w:val="000000"/>
                <w:sz w:val="18"/>
                <w:lang w:val="es-ES" w:eastAsia="es-ES"/>
              </w:rPr>
            </w:pPr>
            <w:r w:rsidRPr="00794C0E">
              <w:rPr>
                <w:rFonts w:cs="Arial"/>
                <w:color w:val="000000"/>
                <w:sz w:val="18"/>
                <w:lang w:eastAsia="es-AR"/>
              </w:rPr>
              <w:t>117</w:t>
            </w:r>
          </w:p>
        </w:tc>
      </w:tr>
      <w:tr w:rsidR="00226883" w:rsidRPr="00794C0E" w:rsidTr="00104DA9">
        <w:trPr>
          <w:trHeight w:val="20"/>
          <w:jc w:val="center"/>
        </w:trPr>
        <w:tc>
          <w:tcPr>
            <w:tcW w:w="1511" w:type="pct"/>
            <w:tcBorders>
              <w:top w:val="nil"/>
              <w:left w:val="single" w:sz="8" w:space="0" w:color="auto"/>
              <w:bottom w:val="single" w:sz="8" w:space="0" w:color="auto"/>
              <w:right w:val="single" w:sz="8" w:space="0" w:color="auto"/>
            </w:tcBorders>
            <w:shd w:val="clear" w:color="auto" w:fill="auto"/>
            <w:vAlign w:val="center"/>
            <w:hideMark/>
          </w:tcPr>
          <w:p w:rsidR="00226883" w:rsidRPr="00794C0E" w:rsidRDefault="00226883" w:rsidP="00226883">
            <w:pPr>
              <w:rPr>
                <w:rFonts w:cs="Arial"/>
                <w:color w:val="000000"/>
                <w:sz w:val="18"/>
                <w:lang w:val="es-ES" w:eastAsia="es-ES"/>
              </w:rPr>
            </w:pPr>
            <w:r w:rsidRPr="00794C0E">
              <w:rPr>
                <w:rFonts w:cs="Arial"/>
                <w:color w:val="000000"/>
                <w:sz w:val="18"/>
                <w:lang w:eastAsia="es-AR"/>
              </w:rPr>
              <w:t>Tramo N° 2  Finca El Algarrobal-Esquina de Quisto</w:t>
            </w:r>
          </w:p>
        </w:tc>
        <w:tc>
          <w:tcPr>
            <w:tcW w:w="669" w:type="pct"/>
            <w:tcBorders>
              <w:top w:val="nil"/>
              <w:left w:val="nil"/>
              <w:bottom w:val="single" w:sz="8" w:space="0" w:color="auto"/>
              <w:right w:val="single" w:sz="8" w:space="0" w:color="auto"/>
            </w:tcBorders>
            <w:shd w:val="clear" w:color="auto" w:fill="auto"/>
            <w:noWrap/>
            <w:vAlign w:val="center"/>
            <w:hideMark/>
          </w:tcPr>
          <w:p w:rsidR="00226883" w:rsidRPr="00794C0E" w:rsidRDefault="00226883" w:rsidP="00226883">
            <w:pPr>
              <w:jc w:val="center"/>
              <w:rPr>
                <w:rFonts w:cs="Arial"/>
                <w:color w:val="000000"/>
                <w:sz w:val="18"/>
                <w:lang w:val="es-ES" w:eastAsia="es-ES"/>
              </w:rPr>
            </w:pPr>
            <w:r w:rsidRPr="00794C0E">
              <w:rPr>
                <w:rFonts w:cs="Arial"/>
                <w:color w:val="000000"/>
                <w:sz w:val="18"/>
                <w:lang w:eastAsia="es-AR"/>
              </w:rPr>
              <w:t>24,3</w:t>
            </w:r>
          </w:p>
        </w:tc>
        <w:tc>
          <w:tcPr>
            <w:tcW w:w="669" w:type="pct"/>
            <w:tcBorders>
              <w:top w:val="nil"/>
              <w:left w:val="nil"/>
              <w:bottom w:val="single" w:sz="8" w:space="0" w:color="auto"/>
              <w:right w:val="single" w:sz="8" w:space="0" w:color="auto"/>
            </w:tcBorders>
            <w:shd w:val="clear" w:color="auto" w:fill="auto"/>
            <w:noWrap/>
            <w:vAlign w:val="center"/>
            <w:hideMark/>
          </w:tcPr>
          <w:p w:rsidR="00226883" w:rsidRPr="00794C0E" w:rsidRDefault="00226883" w:rsidP="00226883">
            <w:pPr>
              <w:jc w:val="center"/>
              <w:rPr>
                <w:rFonts w:cs="Arial"/>
                <w:color w:val="000000"/>
                <w:sz w:val="18"/>
                <w:lang w:val="es-ES" w:eastAsia="es-ES"/>
              </w:rPr>
            </w:pPr>
            <w:r w:rsidRPr="00794C0E">
              <w:rPr>
                <w:rFonts w:cs="Arial"/>
                <w:color w:val="000000"/>
                <w:sz w:val="18"/>
                <w:lang w:eastAsia="es-AR"/>
              </w:rPr>
              <w:t>50</w:t>
            </w:r>
          </w:p>
        </w:tc>
        <w:tc>
          <w:tcPr>
            <w:tcW w:w="1082" w:type="pct"/>
            <w:tcBorders>
              <w:top w:val="nil"/>
              <w:left w:val="nil"/>
              <w:bottom w:val="single" w:sz="8" w:space="0" w:color="auto"/>
              <w:right w:val="single" w:sz="8" w:space="0" w:color="auto"/>
            </w:tcBorders>
            <w:shd w:val="clear" w:color="auto" w:fill="auto"/>
            <w:noWrap/>
            <w:vAlign w:val="center"/>
            <w:hideMark/>
          </w:tcPr>
          <w:p w:rsidR="00226883" w:rsidRPr="00794C0E" w:rsidRDefault="00226883" w:rsidP="00226883">
            <w:pPr>
              <w:jc w:val="center"/>
              <w:rPr>
                <w:rFonts w:cs="Arial"/>
                <w:color w:val="000000"/>
                <w:sz w:val="18"/>
                <w:lang w:val="es-ES" w:eastAsia="es-ES"/>
              </w:rPr>
            </w:pPr>
            <w:r w:rsidRPr="00794C0E">
              <w:rPr>
                <w:rFonts w:cs="Arial"/>
                <w:color w:val="000000"/>
                <w:sz w:val="18"/>
                <w:lang w:eastAsia="es-AR"/>
              </w:rPr>
              <w:t>13</w:t>
            </w:r>
          </w:p>
        </w:tc>
        <w:tc>
          <w:tcPr>
            <w:tcW w:w="669" w:type="pct"/>
            <w:tcBorders>
              <w:top w:val="nil"/>
              <w:left w:val="nil"/>
              <w:bottom w:val="single" w:sz="8" w:space="0" w:color="auto"/>
              <w:right w:val="single" w:sz="8" w:space="0" w:color="auto"/>
            </w:tcBorders>
            <w:shd w:val="clear" w:color="auto" w:fill="auto"/>
            <w:noWrap/>
            <w:vAlign w:val="center"/>
            <w:hideMark/>
          </w:tcPr>
          <w:p w:rsidR="00226883" w:rsidRPr="00794C0E" w:rsidRDefault="00226883" w:rsidP="00226883">
            <w:pPr>
              <w:jc w:val="center"/>
              <w:rPr>
                <w:rFonts w:cs="Arial"/>
                <w:color w:val="000000"/>
                <w:sz w:val="18"/>
                <w:lang w:val="es-ES" w:eastAsia="es-ES"/>
              </w:rPr>
            </w:pPr>
            <w:r w:rsidRPr="00794C0E">
              <w:rPr>
                <w:rFonts w:cs="Arial"/>
                <w:color w:val="000000"/>
                <w:sz w:val="18"/>
                <w:lang w:eastAsia="es-AR"/>
              </w:rPr>
              <w:t>45</w:t>
            </w:r>
          </w:p>
        </w:tc>
        <w:tc>
          <w:tcPr>
            <w:tcW w:w="400" w:type="pct"/>
            <w:tcBorders>
              <w:top w:val="nil"/>
              <w:left w:val="nil"/>
              <w:bottom w:val="single" w:sz="8" w:space="0" w:color="auto"/>
              <w:right w:val="single" w:sz="8" w:space="0" w:color="auto"/>
            </w:tcBorders>
            <w:shd w:val="clear" w:color="auto" w:fill="auto"/>
            <w:noWrap/>
            <w:vAlign w:val="center"/>
            <w:hideMark/>
          </w:tcPr>
          <w:p w:rsidR="00226883" w:rsidRPr="00794C0E" w:rsidRDefault="00226883" w:rsidP="00226883">
            <w:pPr>
              <w:jc w:val="center"/>
              <w:rPr>
                <w:rFonts w:cs="Arial"/>
                <w:color w:val="000000"/>
                <w:sz w:val="18"/>
                <w:lang w:val="es-ES" w:eastAsia="es-ES"/>
              </w:rPr>
            </w:pPr>
            <w:r w:rsidRPr="00794C0E">
              <w:rPr>
                <w:rFonts w:cs="Arial"/>
                <w:color w:val="000000"/>
                <w:sz w:val="18"/>
                <w:lang w:eastAsia="es-AR"/>
              </w:rPr>
              <w:t>108</w:t>
            </w:r>
          </w:p>
        </w:tc>
      </w:tr>
      <w:tr w:rsidR="00226883" w:rsidRPr="00794C0E" w:rsidTr="00104DA9">
        <w:trPr>
          <w:trHeight w:val="20"/>
          <w:jc w:val="center"/>
        </w:trPr>
        <w:tc>
          <w:tcPr>
            <w:tcW w:w="1511" w:type="pct"/>
            <w:tcBorders>
              <w:top w:val="nil"/>
              <w:left w:val="single" w:sz="8" w:space="0" w:color="auto"/>
              <w:bottom w:val="single" w:sz="8" w:space="0" w:color="auto"/>
              <w:right w:val="single" w:sz="8" w:space="0" w:color="auto"/>
            </w:tcBorders>
            <w:shd w:val="clear" w:color="auto" w:fill="auto"/>
            <w:noWrap/>
            <w:vAlign w:val="center"/>
            <w:hideMark/>
          </w:tcPr>
          <w:p w:rsidR="00226883" w:rsidRPr="00794C0E" w:rsidRDefault="00226883" w:rsidP="00226883">
            <w:pPr>
              <w:rPr>
                <w:rFonts w:cs="Arial"/>
                <w:b/>
                <w:bCs/>
                <w:color w:val="000000"/>
                <w:sz w:val="18"/>
                <w:lang w:val="es-ES" w:eastAsia="es-ES"/>
              </w:rPr>
            </w:pPr>
            <w:r w:rsidRPr="00794C0E">
              <w:rPr>
                <w:rFonts w:cs="Arial"/>
                <w:b/>
                <w:bCs/>
                <w:color w:val="000000"/>
                <w:sz w:val="18"/>
                <w:lang w:eastAsia="es-AR"/>
              </w:rPr>
              <w:t xml:space="preserve">TOTAL </w:t>
            </w:r>
          </w:p>
        </w:tc>
        <w:tc>
          <w:tcPr>
            <w:tcW w:w="669" w:type="pct"/>
            <w:tcBorders>
              <w:top w:val="nil"/>
              <w:left w:val="nil"/>
              <w:bottom w:val="single" w:sz="8" w:space="0" w:color="auto"/>
              <w:right w:val="single" w:sz="8" w:space="0" w:color="auto"/>
            </w:tcBorders>
            <w:shd w:val="clear" w:color="auto" w:fill="auto"/>
            <w:noWrap/>
            <w:vAlign w:val="center"/>
            <w:hideMark/>
          </w:tcPr>
          <w:p w:rsidR="00226883" w:rsidRPr="00794C0E" w:rsidRDefault="00226883" w:rsidP="00226883">
            <w:pPr>
              <w:jc w:val="center"/>
              <w:rPr>
                <w:rFonts w:cs="Arial"/>
                <w:b/>
                <w:bCs/>
                <w:color w:val="000000"/>
                <w:sz w:val="18"/>
                <w:lang w:val="es-ES" w:eastAsia="es-ES"/>
              </w:rPr>
            </w:pPr>
            <w:r w:rsidRPr="00794C0E">
              <w:rPr>
                <w:rFonts w:cs="Arial"/>
                <w:b/>
                <w:bCs/>
                <w:color w:val="000000"/>
                <w:sz w:val="18"/>
                <w:lang w:eastAsia="es-AR"/>
              </w:rPr>
              <w:t>39,2</w:t>
            </w:r>
          </w:p>
        </w:tc>
        <w:tc>
          <w:tcPr>
            <w:tcW w:w="669" w:type="pct"/>
            <w:tcBorders>
              <w:top w:val="nil"/>
              <w:left w:val="nil"/>
              <w:bottom w:val="single" w:sz="8" w:space="0" w:color="auto"/>
              <w:right w:val="single" w:sz="8" w:space="0" w:color="auto"/>
            </w:tcBorders>
            <w:shd w:val="clear" w:color="auto" w:fill="auto"/>
            <w:noWrap/>
            <w:vAlign w:val="center"/>
            <w:hideMark/>
          </w:tcPr>
          <w:p w:rsidR="00226883" w:rsidRPr="00794C0E" w:rsidRDefault="00226883" w:rsidP="00226883">
            <w:pPr>
              <w:jc w:val="center"/>
              <w:rPr>
                <w:rFonts w:cs="Arial"/>
                <w:b/>
                <w:bCs/>
                <w:color w:val="000000"/>
                <w:sz w:val="18"/>
                <w:lang w:val="es-ES" w:eastAsia="es-ES"/>
              </w:rPr>
            </w:pPr>
            <w:r w:rsidRPr="00794C0E">
              <w:rPr>
                <w:rFonts w:cs="Arial"/>
                <w:b/>
                <w:bCs/>
                <w:color w:val="000000"/>
                <w:sz w:val="18"/>
                <w:lang w:eastAsia="es-AR"/>
              </w:rPr>
              <w:t>155</w:t>
            </w:r>
          </w:p>
        </w:tc>
        <w:tc>
          <w:tcPr>
            <w:tcW w:w="1082" w:type="pct"/>
            <w:tcBorders>
              <w:top w:val="nil"/>
              <w:left w:val="nil"/>
              <w:bottom w:val="single" w:sz="8" w:space="0" w:color="auto"/>
              <w:right w:val="single" w:sz="8" w:space="0" w:color="auto"/>
            </w:tcBorders>
            <w:shd w:val="clear" w:color="auto" w:fill="auto"/>
            <w:noWrap/>
            <w:vAlign w:val="center"/>
            <w:hideMark/>
          </w:tcPr>
          <w:p w:rsidR="00226883" w:rsidRPr="00794C0E" w:rsidRDefault="00226883" w:rsidP="00226883">
            <w:pPr>
              <w:jc w:val="center"/>
              <w:rPr>
                <w:rFonts w:cs="Arial"/>
                <w:b/>
                <w:bCs/>
                <w:color w:val="000000"/>
                <w:sz w:val="18"/>
                <w:lang w:val="es-ES" w:eastAsia="es-ES"/>
              </w:rPr>
            </w:pPr>
            <w:r w:rsidRPr="00794C0E">
              <w:rPr>
                <w:rFonts w:cs="Arial"/>
                <w:b/>
                <w:bCs/>
                <w:color w:val="000000"/>
                <w:sz w:val="18"/>
                <w:lang w:eastAsia="es-AR"/>
              </w:rPr>
              <w:t>25</w:t>
            </w:r>
          </w:p>
        </w:tc>
        <w:tc>
          <w:tcPr>
            <w:tcW w:w="669" w:type="pct"/>
            <w:tcBorders>
              <w:top w:val="nil"/>
              <w:left w:val="nil"/>
              <w:bottom w:val="single" w:sz="8" w:space="0" w:color="auto"/>
              <w:right w:val="single" w:sz="8" w:space="0" w:color="auto"/>
            </w:tcBorders>
            <w:shd w:val="clear" w:color="auto" w:fill="auto"/>
            <w:noWrap/>
            <w:vAlign w:val="center"/>
            <w:hideMark/>
          </w:tcPr>
          <w:p w:rsidR="00226883" w:rsidRPr="00794C0E" w:rsidRDefault="00226883" w:rsidP="00226883">
            <w:pPr>
              <w:jc w:val="center"/>
              <w:rPr>
                <w:rFonts w:cs="Arial"/>
                <w:b/>
                <w:bCs/>
                <w:color w:val="000000"/>
                <w:sz w:val="18"/>
                <w:lang w:val="es-ES" w:eastAsia="es-ES"/>
              </w:rPr>
            </w:pPr>
            <w:r w:rsidRPr="00794C0E">
              <w:rPr>
                <w:rFonts w:cs="Arial"/>
                <w:b/>
                <w:bCs/>
                <w:color w:val="000000"/>
                <w:sz w:val="18"/>
                <w:lang w:eastAsia="es-AR"/>
              </w:rPr>
              <w:t>45</w:t>
            </w:r>
          </w:p>
        </w:tc>
        <w:tc>
          <w:tcPr>
            <w:tcW w:w="400" w:type="pct"/>
            <w:tcBorders>
              <w:top w:val="nil"/>
              <w:left w:val="nil"/>
              <w:bottom w:val="single" w:sz="8" w:space="0" w:color="auto"/>
              <w:right w:val="single" w:sz="8" w:space="0" w:color="auto"/>
            </w:tcBorders>
            <w:shd w:val="clear" w:color="auto" w:fill="auto"/>
            <w:noWrap/>
            <w:vAlign w:val="center"/>
            <w:hideMark/>
          </w:tcPr>
          <w:p w:rsidR="00226883" w:rsidRPr="00794C0E" w:rsidRDefault="00226883" w:rsidP="00226883">
            <w:pPr>
              <w:jc w:val="center"/>
              <w:rPr>
                <w:rFonts w:cs="Arial"/>
                <w:b/>
                <w:bCs/>
                <w:color w:val="000000"/>
                <w:sz w:val="18"/>
                <w:lang w:val="es-ES" w:eastAsia="es-ES"/>
              </w:rPr>
            </w:pPr>
            <w:r w:rsidRPr="00794C0E">
              <w:rPr>
                <w:rFonts w:cs="Arial"/>
                <w:b/>
                <w:bCs/>
                <w:color w:val="000000"/>
                <w:sz w:val="18"/>
                <w:lang w:eastAsia="es-AR"/>
              </w:rPr>
              <w:t>225</w:t>
            </w:r>
          </w:p>
        </w:tc>
      </w:tr>
    </w:tbl>
    <w:p w:rsidR="00DE69B9" w:rsidRPr="00794C0E" w:rsidRDefault="00DE69B9" w:rsidP="00EB6826">
      <w:pPr>
        <w:rPr>
          <w:rFonts w:cs="Arial"/>
          <w:sz w:val="18"/>
          <w:lang w:val="es-ES_tradnl"/>
        </w:rPr>
      </w:pPr>
      <w:r w:rsidRPr="00794C0E">
        <w:rPr>
          <w:rFonts w:cs="Arial"/>
          <w:sz w:val="18"/>
          <w:lang w:val="es-ES_tradnl"/>
        </w:rPr>
        <w:t>Fuente: Vialidad Provincial 2011/12</w:t>
      </w:r>
      <w:r w:rsidR="00813EC5" w:rsidRPr="00794C0E">
        <w:rPr>
          <w:rFonts w:cs="Arial"/>
          <w:sz w:val="18"/>
          <w:lang w:val="es-ES_tradnl"/>
        </w:rPr>
        <w:t>, actualizado</w:t>
      </w:r>
      <w:r w:rsidR="00226883" w:rsidRPr="00794C0E">
        <w:rPr>
          <w:rFonts w:cs="Arial"/>
          <w:sz w:val="18"/>
          <w:lang w:val="es-ES_tradnl"/>
        </w:rPr>
        <w:t xml:space="preserve"> a junio de 2016</w:t>
      </w:r>
    </w:p>
    <w:p w:rsidR="00794C0E" w:rsidRPr="00794C0E" w:rsidRDefault="00794C0E" w:rsidP="00EB6826">
      <w:pPr>
        <w:rPr>
          <w:rFonts w:cs="Arial"/>
          <w:sz w:val="18"/>
          <w:lang w:val="es-ES_tradnl"/>
        </w:rPr>
      </w:pPr>
    </w:p>
    <w:p w:rsidR="00DE69B9" w:rsidRPr="00794C0E" w:rsidRDefault="00DE69B9" w:rsidP="00F9605B">
      <w:pPr>
        <w:pStyle w:val="ListParagraph"/>
        <w:numPr>
          <w:ilvl w:val="1"/>
          <w:numId w:val="5"/>
        </w:numPr>
        <w:ind w:left="0" w:firstLine="0"/>
        <w:jc w:val="both"/>
        <w:rPr>
          <w:rFonts w:cs="Arial"/>
          <w:sz w:val="22"/>
          <w:szCs w:val="22"/>
          <w:lang w:val="es-AR"/>
        </w:rPr>
      </w:pPr>
      <w:r w:rsidRPr="00794C0E">
        <w:rPr>
          <w:rFonts w:cs="Arial"/>
          <w:sz w:val="22"/>
          <w:szCs w:val="22"/>
          <w:lang w:val="es-AR"/>
        </w:rPr>
        <w:t xml:space="preserve">Los datos básicos de entrada </w:t>
      </w:r>
      <w:r w:rsidR="00F9605B" w:rsidRPr="00794C0E">
        <w:rPr>
          <w:rFonts w:cs="Arial"/>
          <w:sz w:val="22"/>
          <w:szCs w:val="22"/>
          <w:lang w:val="es-AR"/>
        </w:rPr>
        <w:t>para realizar los cálculos de la evaluación son</w:t>
      </w:r>
      <w:r w:rsidRPr="00794C0E">
        <w:rPr>
          <w:rFonts w:cs="Arial"/>
          <w:sz w:val="22"/>
          <w:szCs w:val="22"/>
          <w:lang w:val="es-AR"/>
        </w:rPr>
        <w:t>:</w:t>
      </w:r>
    </w:p>
    <w:p w:rsidR="00A342B2" w:rsidRPr="00794C0E" w:rsidRDefault="00A342B2" w:rsidP="00F9605B">
      <w:pPr>
        <w:pStyle w:val="ListParagraph"/>
        <w:ind w:left="0"/>
        <w:jc w:val="center"/>
        <w:rPr>
          <w:rFonts w:cs="Arial"/>
          <w:b/>
          <w:lang w:val="es-AR"/>
        </w:rPr>
      </w:pPr>
    </w:p>
    <w:p w:rsidR="00F9605B" w:rsidRPr="00794C0E" w:rsidRDefault="00F9605B" w:rsidP="00F9605B">
      <w:pPr>
        <w:pStyle w:val="ListParagraph"/>
        <w:ind w:left="0"/>
        <w:jc w:val="center"/>
        <w:rPr>
          <w:rFonts w:cs="Arial"/>
          <w:b/>
          <w:lang w:val="es-AR"/>
        </w:rPr>
      </w:pPr>
      <w:r w:rsidRPr="00794C0E">
        <w:rPr>
          <w:rFonts w:cs="Arial"/>
          <w:b/>
          <w:lang w:val="es-AR"/>
        </w:rPr>
        <w:t>Tabla 8: Datos Básicos</w:t>
      </w:r>
    </w:p>
    <w:tbl>
      <w:tblPr>
        <w:tblW w:w="5000" w:type="pct"/>
        <w:tblLayout w:type="fixed"/>
        <w:tblCellMar>
          <w:left w:w="70" w:type="dxa"/>
          <w:right w:w="70" w:type="dxa"/>
        </w:tblCellMar>
        <w:tblLook w:val="04A0" w:firstRow="1" w:lastRow="0" w:firstColumn="1" w:lastColumn="0" w:noHBand="0" w:noVBand="1"/>
      </w:tblPr>
      <w:tblGrid>
        <w:gridCol w:w="4068"/>
        <w:gridCol w:w="2630"/>
        <w:gridCol w:w="1364"/>
        <w:gridCol w:w="1438"/>
      </w:tblGrid>
      <w:tr w:rsidR="00DE69B9" w:rsidRPr="00794C0E" w:rsidTr="00104DA9">
        <w:trPr>
          <w:trHeight w:val="197"/>
        </w:trPr>
        <w:tc>
          <w:tcPr>
            <w:tcW w:w="214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E69B9" w:rsidRPr="00794C0E" w:rsidRDefault="00DE69B9" w:rsidP="00DE69B9">
            <w:pPr>
              <w:jc w:val="center"/>
              <w:rPr>
                <w:rFonts w:cs="Arial"/>
                <w:b/>
                <w:color w:val="000000"/>
                <w:lang w:eastAsia="es-AR"/>
              </w:rPr>
            </w:pPr>
            <w:r w:rsidRPr="00794C0E">
              <w:rPr>
                <w:rFonts w:cs="Arial"/>
                <w:b/>
                <w:color w:val="000000"/>
                <w:lang w:eastAsia="es-AR"/>
              </w:rPr>
              <w:t>Descripción</w:t>
            </w:r>
          </w:p>
        </w:tc>
        <w:tc>
          <w:tcPr>
            <w:tcW w:w="138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E69B9" w:rsidRPr="00794C0E" w:rsidRDefault="00DE69B9" w:rsidP="00DE69B9">
            <w:pPr>
              <w:jc w:val="center"/>
              <w:rPr>
                <w:rFonts w:cs="Arial"/>
                <w:b/>
                <w:lang w:eastAsia="es-AR"/>
              </w:rPr>
            </w:pPr>
            <w:r w:rsidRPr="00794C0E">
              <w:rPr>
                <w:rFonts w:cs="Arial"/>
                <w:b/>
                <w:lang w:eastAsia="es-AR"/>
              </w:rPr>
              <w:t>Sin Alternativa de Proyecto</w:t>
            </w:r>
          </w:p>
        </w:tc>
        <w:tc>
          <w:tcPr>
            <w:tcW w:w="1475"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E69B9" w:rsidRPr="00794C0E" w:rsidRDefault="00DE69B9" w:rsidP="00DE69B9">
            <w:pPr>
              <w:jc w:val="center"/>
              <w:rPr>
                <w:rFonts w:cs="Arial"/>
                <w:b/>
                <w:lang w:eastAsia="es-AR"/>
              </w:rPr>
            </w:pPr>
            <w:r w:rsidRPr="00794C0E">
              <w:rPr>
                <w:rFonts w:cs="Arial"/>
                <w:b/>
                <w:lang w:eastAsia="es-AR"/>
              </w:rPr>
              <w:t>Alternativas de Proyecto</w:t>
            </w:r>
          </w:p>
        </w:tc>
      </w:tr>
      <w:tr w:rsidR="00DE69B9" w:rsidRPr="00794C0E" w:rsidTr="00104DA9">
        <w:trPr>
          <w:trHeight w:val="119"/>
        </w:trPr>
        <w:tc>
          <w:tcPr>
            <w:tcW w:w="2141" w:type="pct"/>
            <w:vMerge/>
            <w:tcBorders>
              <w:top w:val="single" w:sz="4" w:space="0" w:color="auto"/>
              <w:left w:val="single" w:sz="4" w:space="0" w:color="auto"/>
              <w:bottom w:val="single" w:sz="4" w:space="0" w:color="auto"/>
              <w:right w:val="single" w:sz="4" w:space="0" w:color="auto"/>
            </w:tcBorders>
            <w:vAlign w:val="center"/>
            <w:hideMark/>
          </w:tcPr>
          <w:p w:rsidR="00DE69B9" w:rsidRPr="00794C0E" w:rsidRDefault="00DE69B9" w:rsidP="00DE69B9">
            <w:pPr>
              <w:rPr>
                <w:rFonts w:cs="Arial"/>
                <w:color w:val="000000"/>
                <w:lang w:eastAsia="es-AR"/>
              </w:rPr>
            </w:pPr>
          </w:p>
        </w:tc>
        <w:tc>
          <w:tcPr>
            <w:tcW w:w="1384" w:type="pct"/>
            <w:tcBorders>
              <w:top w:val="nil"/>
              <w:left w:val="nil"/>
              <w:bottom w:val="single" w:sz="4" w:space="0" w:color="auto"/>
              <w:right w:val="single" w:sz="4" w:space="0" w:color="auto"/>
            </w:tcBorders>
            <w:shd w:val="clear" w:color="auto" w:fill="F2F2F2" w:themeFill="background1" w:themeFillShade="F2"/>
            <w:noWrap/>
            <w:vAlign w:val="bottom"/>
            <w:hideMark/>
          </w:tcPr>
          <w:p w:rsidR="00DE69B9" w:rsidRPr="00794C0E" w:rsidRDefault="00DE69B9" w:rsidP="00DE69B9">
            <w:pPr>
              <w:jc w:val="center"/>
              <w:rPr>
                <w:rFonts w:cs="Arial"/>
                <w:b/>
                <w:lang w:eastAsia="es-AR"/>
              </w:rPr>
            </w:pPr>
            <w:r w:rsidRPr="00794C0E">
              <w:rPr>
                <w:rFonts w:cs="Arial"/>
                <w:b/>
                <w:lang w:eastAsia="es-AR"/>
              </w:rPr>
              <w:t>Alternativa 0</w:t>
            </w:r>
          </w:p>
        </w:tc>
        <w:tc>
          <w:tcPr>
            <w:tcW w:w="718" w:type="pct"/>
            <w:tcBorders>
              <w:top w:val="nil"/>
              <w:left w:val="nil"/>
              <w:bottom w:val="single" w:sz="4" w:space="0" w:color="auto"/>
              <w:right w:val="single" w:sz="4" w:space="0" w:color="auto"/>
            </w:tcBorders>
            <w:shd w:val="clear" w:color="auto" w:fill="F2F2F2" w:themeFill="background1" w:themeFillShade="F2"/>
            <w:noWrap/>
            <w:vAlign w:val="bottom"/>
            <w:hideMark/>
          </w:tcPr>
          <w:p w:rsidR="00DE69B9" w:rsidRPr="00794C0E" w:rsidRDefault="00DE69B9" w:rsidP="00DE69B9">
            <w:pPr>
              <w:jc w:val="center"/>
              <w:rPr>
                <w:rFonts w:cs="Arial"/>
                <w:b/>
                <w:lang w:eastAsia="es-AR"/>
              </w:rPr>
            </w:pPr>
            <w:r w:rsidRPr="00794C0E">
              <w:rPr>
                <w:rFonts w:cs="Arial"/>
                <w:b/>
                <w:lang w:eastAsia="es-AR"/>
              </w:rPr>
              <w:t>Alternativa 1</w:t>
            </w:r>
          </w:p>
        </w:tc>
        <w:tc>
          <w:tcPr>
            <w:tcW w:w="757" w:type="pct"/>
            <w:tcBorders>
              <w:top w:val="nil"/>
              <w:left w:val="nil"/>
              <w:bottom w:val="single" w:sz="4" w:space="0" w:color="auto"/>
              <w:right w:val="single" w:sz="4" w:space="0" w:color="auto"/>
            </w:tcBorders>
            <w:shd w:val="clear" w:color="auto" w:fill="F2F2F2" w:themeFill="background1" w:themeFillShade="F2"/>
            <w:noWrap/>
            <w:vAlign w:val="bottom"/>
            <w:hideMark/>
          </w:tcPr>
          <w:p w:rsidR="00DE69B9" w:rsidRPr="00794C0E" w:rsidRDefault="00DE69B9" w:rsidP="00DE69B9">
            <w:pPr>
              <w:jc w:val="center"/>
              <w:rPr>
                <w:rFonts w:cs="Arial"/>
                <w:b/>
                <w:lang w:eastAsia="es-AR"/>
              </w:rPr>
            </w:pPr>
            <w:r w:rsidRPr="00794C0E">
              <w:rPr>
                <w:rFonts w:cs="Arial"/>
                <w:b/>
                <w:lang w:eastAsia="es-AR"/>
              </w:rPr>
              <w:t>Alternativa 2</w:t>
            </w:r>
          </w:p>
        </w:tc>
      </w:tr>
      <w:tr w:rsidR="00DE69B9" w:rsidRPr="00794C0E" w:rsidTr="00104DA9">
        <w:trPr>
          <w:trHeight w:val="421"/>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DE69B9" w:rsidRPr="00794C0E" w:rsidRDefault="00DE69B9" w:rsidP="00F9605B">
            <w:pPr>
              <w:rPr>
                <w:rFonts w:cs="Arial"/>
                <w:color w:val="000000"/>
                <w:lang w:eastAsia="es-AR"/>
              </w:rPr>
            </w:pPr>
            <w:r w:rsidRPr="00794C0E">
              <w:rPr>
                <w:rFonts w:cs="Arial"/>
                <w:color w:val="000000"/>
                <w:lang w:eastAsia="es-AR"/>
              </w:rPr>
              <w:t>Tipo de Mejora</w:t>
            </w:r>
          </w:p>
        </w:tc>
        <w:tc>
          <w:tcPr>
            <w:tcW w:w="1384" w:type="pct"/>
            <w:tcBorders>
              <w:top w:val="nil"/>
              <w:left w:val="nil"/>
              <w:bottom w:val="single" w:sz="4" w:space="0" w:color="auto"/>
              <w:right w:val="single" w:sz="4" w:space="0" w:color="auto"/>
            </w:tcBorders>
            <w:shd w:val="clear" w:color="auto" w:fill="auto"/>
            <w:vAlign w:val="center"/>
            <w:hideMark/>
          </w:tcPr>
          <w:p w:rsidR="00DE69B9" w:rsidRPr="00794C0E" w:rsidRDefault="00DE69B9" w:rsidP="00DE69B9">
            <w:pPr>
              <w:jc w:val="center"/>
              <w:rPr>
                <w:rFonts w:cs="Arial"/>
                <w:lang w:eastAsia="es-AR"/>
              </w:rPr>
            </w:pPr>
            <w:r w:rsidRPr="00794C0E">
              <w:rPr>
                <w:rFonts w:cs="Arial"/>
                <w:lang w:eastAsia="es-AR"/>
              </w:rPr>
              <w:t>Camino de Ripio</w:t>
            </w:r>
          </w:p>
        </w:tc>
        <w:tc>
          <w:tcPr>
            <w:tcW w:w="718" w:type="pct"/>
            <w:tcBorders>
              <w:top w:val="nil"/>
              <w:left w:val="nil"/>
              <w:bottom w:val="single" w:sz="4" w:space="0" w:color="auto"/>
              <w:right w:val="single" w:sz="4" w:space="0" w:color="auto"/>
            </w:tcBorders>
            <w:shd w:val="clear" w:color="auto" w:fill="auto"/>
            <w:vAlign w:val="center"/>
            <w:hideMark/>
          </w:tcPr>
          <w:p w:rsidR="00DE69B9" w:rsidRPr="00794C0E" w:rsidRDefault="00DE69B9" w:rsidP="00DE69B9">
            <w:pPr>
              <w:jc w:val="center"/>
              <w:rPr>
                <w:rFonts w:cs="Arial"/>
                <w:lang w:val="es-ES_tradnl" w:eastAsia="es-AR"/>
              </w:rPr>
            </w:pPr>
            <w:r w:rsidRPr="00794C0E">
              <w:rPr>
                <w:rFonts w:cs="Arial"/>
                <w:lang w:val="es-ES_tradnl" w:eastAsia="es-AR"/>
              </w:rPr>
              <w:t>Mejorado y Consolidado</w:t>
            </w:r>
            <w:r w:rsidR="00C62106" w:rsidRPr="00794C0E">
              <w:rPr>
                <w:rFonts w:cs="Arial"/>
                <w:lang w:val="es-ES_tradnl" w:eastAsia="es-AR"/>
              </w:rPr>
              <w:t>, con nivelaciones cada 120 días</w:t>
            </w:r>
            <w:r w:rsidRPr="00794C0E">
              <w:rPr>
                <w:rFonts w:cs="Arial"/>
                <w:lang w:val="es-ES_tradnl" w:eastAsia="es-AR"/>
              </w:rPr>
              <w:t xml:space="preserve"> </w:t>
            </w:r>
          </w:p>
        </w:tc>
        <w:tc>
          <w:tcPr>
            <w:tcW w:w="757" w:type="pct"/>
            <w:tcBorders>
              <w:top w:val="nil"/>
              <w:left w:val="nil"/>
              <w:bottom w:val="single" w:sz="4" w:space="0" w:color="auto"/>
              <w:right w:val="single" w:sz="4" w:space="0" w:color="auto"/>
            </w:tcBorders>
            <w:shd w:val="clear" w:color="auto" w:fill="auto"/>
            <w:vAlign w:val="center"/>
            <w:hideMark/>
          </w:tcPr>
          <w:p w:rsidR="00DE69B9" w:rsidRPr="00794C0E" w:rsidRDefault="00DE69B9" w:rsidP="00DE69B9">
            <w:pPr>
              <w:jc w:val="center"/>
              <w:rPr>
                <w:rFonts w:cs="Arial"/>
                <w:lang w:eastAsia="es-AR"/>
              </w:rPr>
            </w:pPr>
            <w:r w:rsidRPr="00794C0E">
              <w:rPr>
                <w:rFonts w:cs="Arial"/>
                <w:lang w:eastAsia="es-AR"/>
              </w:rPr>
              <w:t>Pavimentación Completa</w:t>
            </w:r>
          </w:p>
        </w:tc>
      </w:tr>
      <w:tr w:rsidR="00DE69B9" w:rsidRPr="00794C0E" w:rsidTr="00104DA9">
        <w:trPr>
          <w:trHeight w:val="30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DE69B9" w:rsidRPr="00794C0E" w:rsidRDefault="00DE69B9" w:rsidP="00F9605B">
            <w:pPr>
              <w:rPr>
                <w:rFonts w:cs="Arial"/>
                <w:color w:val="000000"/>
                <w:lang w:eastAsia="es-AR"/>
              </w:rPr>
            </w:pPr>
            <w:r w:rsidRPr="00794C0E">
              <w:rPr>
                <w:rFonts w:cs="Arial"/>
                <w:color w:val="000000"/>
                <w:lang w:eastAsia="es-AR"/>
              </w:rPr>
              <w:t>Terreno</w:t>
            </w:r>
          </w:p>
        </w:tc>
        <w:tc>
          <w:tcPr>
            <w:tcW w:w="1384" w:type="pct"/>
            <w:tcBorders>
              <w:top w:val="nil"/>
              <w:left w:val="nil"/>
              <w:bottom w:val="single" w:sz="4" w:space="0" w:color="auto"/>
              <w:right w:val="single" w:sz="4" w:space="0" w:color="auto"/>
            </w:tcBorders>
            <w:shd w:val="clear" w:color="auto" w:fill="auto"/>
            <w:noWrap/>
            <w:vAlign w:val="center"/>
            <w:hideMark/>
          </w:tcPr>
          <w:p w:rsidR="00DE69B9" w:rsidRPr="00794C0E" w:rsidRDefault="00DE69B9" w:rsidP="00DE69B9">
            <w:pPr>
              <w:jc w:val="center"/>
              <w:rPr>
                <w:rFonts w:cs="Arial"/>
                <w:lang w:eastAsia="es-AR"/>
              </w:rPr>
            </w:pPr>
            <w:r w:rsidRPr="00794C0E">
              <w:rPr>
                <w:rFonts w:cs="Arial"/>
                <w:lang w:eastAsia="es-AR"/>
              </w:rPr>
              <w:t>Ondulado</w:t>
            </w:r>
          </w:p>
        </w:tc>
        <w:tc>
          <w:tcPr>
            <w:tcW w:w="718" w:type="pct"/>
            <w:tcBorders>
              <w:top w:val="nil"/>
              <w:left w:val="nil"/>
              <w:bottom w:val="single" w:sz="4" w:space="0" w:color="auto"/>
              <w:right w:val="single" w:sz="4" w:space="0" w:color="auto"/>
            </w:tcBorders>
            <w:shd w:val="clear" w:color="auto" w:fill="auto"/>
            <w:noWrap/>
            <w:vAlign w:val="center"/>
            <w:hideMark/>
          </w:tcPr>
          <w:p w:rsidR="00DE69B9" w:rsidRPr="00794C0E" w:rsidRDefault="00DE69B9" w:rsidP="00DE69B9">
            <w:pPr>
              <w:jc w:val="center"/>
              <w:rPr>
                <w:rFonts w:cs="Arial"/>
                <w:lang w:eastAsia="es-AR"/>
              </w:rPr>
            </w:pPr>
            <w:r w:rsidRPr="00794C0E">
              <w:rPr>
                <w:rFonts w:cs="Arial"/>
                <w:lang w:eastAsia="es-AR"/>
              </w:rPr>
              <w:t>Ondulado</w:t>
            </w:r>
          </w:p>
        </w:tc>
        <w:tc>
          <w:tcPr>
            <w:tcW w:w="757" w:type="pct"/>
            <w:tcBorders>
              <w:top w:val="nil"/>
              <w:left w:val="nil"/>
              <w:bottom w:val="single" w:sz="4" w:space="0" w:color="auto"/>
              <w:right w:val="single" w:sz="4" w:space="0" w:color="auto"/>
            </w:tcBorders>
            <w:shd w:val="clear" w:color="auto" w:fill="auto"/>
            <w:noWrap/>
            <w:vAlign w:val="center"/>
            <w:hideMark/>
          </w:tcPr>
          <w:p w:rsidR="00DE69B9" w:rsidRPr="00794C0E" w:rsidRDefault="00DE69B9" w:rsidP="00DE69B9">
            <w:pPr>
              <w:jc w:val="center"/>
              <w:rPr>
                <w:rFonts w:cs="Arial"/>
                <w:lang w:eastAsia="es-AR"/>
              </w:rPr>
            </w:pPr>
            <w:r w:rsidRPr="00794C0E">
              <w:rPr>
                <w:rFonts w:cs="Arial"/>
                <w:lang w:eastAsia="es-AR"/>
              </w:rPr>
              <w:t>Ondulado</w:t>
            </w:r>
          </w:p>
        </w:tc>
      </w:tr>
      <w:tr w:rsidR="00DE69B9" w:rsidRPr="00794C0E" w:rsidTr="00104DA9">
        <w:trPr>
          <w:trHeight w:val="30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DE69B9" w:rsidRPr="00794C0E" w:rsidRDefault="00DE69B9" w:rsidP="00F9605B">
            <w:pPr>
              <w:rPr>
                <w:rFonts w:cs="Arial"/>
                <w:color w:val="000000"/>
                <w:lang w:eastAsia="es-AR"/>
              </w:rPr>
            </w:pPr>
            <w:r w:rsidRPr="00794C0E">
              <w:rPr>
                <w:rFonts w:cs="Arial"/>
                <w:color w:val="000000"/>
                <w:lang w:eastAsia="es-AR"/>
              </w:rPr>
              <w:t>Tipo</w:t>
            </w:r>
          </w:p>
        </w:tc>
        <w:tc>
          <w:tcPr>
            <w:tcW w:w="1384" w:type="pct"/>
            <w:tcBorders>
              <w:top w:val="nil"/>
              <w:left w:val="nil"/>
              <w:bottom w:val="single" w:sz="4" w:space="0" w:color="auto"/>
              <w:right w:val="single" w:sz="4" w:space="0" w:color="auto"/>
            </w:tcBorders>
            <w:shd w:val="clear" w:color="auto" w:fill="auto"/>
            <w:noWrap/>
            <w:vAlign w:val="center"/>
            <w:hideMark/>
          </w:tcPr>
          <w:p w:rsidR="00DE69B9" w:rsidRPr="00794C0E" w:rsidRDefault="00DE69B9" w:rsidP="00DE69B9">
            <w:pPr>
              <w:jc w:val="center"/>
              <w:rPr>
                <w:rFonts w:cs="Arial"/>
                <w:lang w:eastAsia="es-AR"/>
              </w:rPr>
            </w:pPr>
            <w:r w:rsidRPr="00794C0E">
              <w:rPr>
                <w:rFonts w:cs="Arial"/>
                <w:lang w:eastAsia="es-AR"/>
              </w:rPr>
              <w:t>Ripio</w:t>
            </w:r>
          </w:p>
        </w:tc>
        <w:tc>
          <w:tcPr>
            <w:tcW w:w="718" w:type="pct"/>
            <w:tcBorders>
              <w:top w:val="nil"/>
              <w:left w:val="nil"/>
              <w:bottom w:val="single" w:sz="4" w:space="0" w:color="auto"/>
              <w:right w:val="single" w:sz="4" w:space="0" w:color="auto"/>
            </w:tcBorders>
            <w:shd w:val="clear" w:color="auto" w:fill="auto"/>
            <w:noWrap/>
            <w:vAlign w:val="center"/>
            <w:hideMark/>
          </w:tcPr>
          <w:p w:rsidR="00DE69B9" w:rsidRPr="00794C0E" w:rsidRDefault="00DE69B9" w:rsidP="00DE69B9">
            <w:pPr>
              <w:jc w:val="center"/>
              <w:rPr>
                <w:rFonts w:cs="Arial"/>
                <w:lang w:eastAsia="es-AR"/>
              </w:rPr>
            </w:pPr>
            <w:r w:rsidRPr="00794C0E">
              <w:rPr>
                <w:rFonts w:cs="Arial"/>
                <w:lang w:eastAsia="es-AR"/>
              </w:rPr>
              <w:t>Ripio</w:t>
            </w:r>
          </w:p>
        </w:tc>
        <w:tc>
          <w:tcPr>
            <w:tcW w:w="757" w:type="pct"/>
            <w:tcBorders>
              <w:top w:val="nil"/>
              <w:left w:val="nil"/>
              <w:bottom w:val="single" w:sz="4" w:space="0" w:color="auto"/>
              <w:right w:val="single" w:sz="4" w:space="0" w:color="auto"/>
            </w:tcBorders>
            <w:shd w:val="clear" w:color="auto" w:fill="auto"/>
            <w:noWrap/>
            <w:vAlign w:val="center"/>
            <w:hideMark/>
          </w:tcPr>
          <w:p w:rsidR="00DE69B9" w:rsidRPr="00794C0E" w:rsidRDefault="00DE69B9" w:rsidP="00DE69B9">
            <w:pPr>
              <w:jc w:val="center"/>
              <w:rPr>
                <w:rFonts w:cs="Arial"/>
                <w:lang w:eastAsia="es-AR"/>
              </w:rPr>
            </w:pPr>
            <w:r w:rsidRPr="00794C0E">
              <w:rPr>
                <w:rFonts w:cs="Arial"/>
                <w:lang w:eastAsia="es-AR"/>
              </w:rPr>
              <w:t>Pavimento</w:t>
            </w:r>
          </w:p>
        </w:tc>
      </w:tr>
      <w:tr w:rsidR="00DE69B9" w:rsidRPr="00794C0E" w:rsidTr="00104DA9">
        <w:trPr>
          <w:trHeight w:val="30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DE69B9" w:rsidRPr="00794C0E" w:rsidRDefault="00DE69B9" w:rsidP="00F9605B">
            <w:pPr>
              <w:rPr>
                <w:rFonts w:cs="Arial"/>
                <w:color w:val="000000"/>
                <w:lang w:eastAsia="es-AR"/>
              </w:rPr>
            </w:pPr>
            <w:r w:rsidRPr="00794C0E">
              <w:rPr>
                <w:rFonts w:cs="Arial"/>
                <w:color w:val="000000"/>
                <w:lang w:eastAsia="es-AR"/>
              </w:rPr>
              <w:t>Rugosidad</w:t>
            </w:r>
          </w:p>
        </w:tc>
        <w:tc>
          <w:tcPr>
            <w:tcW w:w="1384" w:type="pct"/>
            <w:tcBorders>
              <w:top w:val="nil"/>
              <w:left w:val="nil"/>
              <w:bottom w:val="single" w:sz="4" w:space="0" w:color="auto"/>
              <w:right w:val="single" w:sz="4" w:space="0" w:color="auto"/>
            </w:tcBorders>
            <w:shd w:val="clear" w:color="auto" w:fill="auto"/>
            <w:noWrap/>
            <w:vAlign w:val="center"/>
            <w:hideMark/>
          </w:tcPr>
          <w:p w:rsidR="00DE69B9" w:rsidRPr="00794C0E" w:rsidRDefault="00DE69B9" w:rsidP="00DE69B9">
            <w:pPr>
              <w:jc w:val="center"/>
              <w:rPr>
                <w:rFonts w:cs="Arial"/>
                <w:lang w:eastAsia="es-AR"/>
              </w:rPr>
            </w:pPr>
            <w:r w:rsidRPr="00794C0E">
              <w:rPr>
                <w:rFonts w:cs="Arial"/>
                <w:lang w:eastAsia="es-AR"/>
              </w:rPr>
              <w:t>10,0</w:t>
            </w:r>
          </w:p>
        </w:tc>
        <w:tc>
          <w:tcPr>
            <w:tcW w:w="718" w:type="pct"/>
            <w:tcBorders>
              <w:top w:val="nil"/>
              <w:left w:val="nil"/>
              <w:bottom w:val="single" w:sz="4" w:space="0" w:color="auto"/>
              <w:right w:val="single" w:sz="4" w:space="0" w:color="auto"/>
            </w:tcBorders>
            <w:shd w:val="clear" w:color="auto" w:fill="auto"/>
            <w:noWrap/>
            <w:vAlign w:val="center"/>
            <w:hideMark/>
          </w:tcPr>
          <w:p w:rsidR="00DE69B9" w:rsidRPr="00794C0E" w:rsidRDefault="00DE69B9" w:rsidP="00DE69B9">
            <w:pPr>
              <w:jc w:val="center"/>
              <w:rPr>
                <w:rFonts w:cs="Arial"/>
                <w:lang w:eastAsia="es-AR"/>
              </w:rPr>
            </w:pPr>
            <w:r w:rsidRPr="00794C0E">
              <w:rPr>
                <w:rFonts w:cs="Arial"/>
                <w:lang w:eastAsia="es-AR"/>
              </w:rPr>
              <w:t>5,0</w:t>
            </w:r>
          </w:p>
        </w:tc>
        <w:tc>
          <w:tcPr>
            <w:tcW w:w="757" w:type="pct"/>
            <w:tcBorders>
              <w:top w:val="nil"/>
              <w:left w:val="nil"/>
              <w:bottom w:val="single" w:sz="4" w:space="0" w:color="auto"/>
              <w:right w:val="single" w:sz="4" w:space="0" w:color="auto"/>
            </w:tcBorders>
            <w:shd w:val="clear" w:color="auto" w:fill="auto"/>
            <w:noWrap/>
            <w:vAlign w:val="center"/>
            <w:hideMark/>
          </w:tcPr>
          <w:p w:rsidR="00DE69B9" w:rsidRPr="00794C0E" w:rsidRDefault="00226883" w:rsidP="00DE69B9">
            <w:pPr>
              <w:jc w:val="center"/>
              <w:rPr>
                <w:rFonts w:cs="Arial"/>
                <w:lang w:eastAsia="es-AR"/>
              </w:rPr>
            </w:pPr>
            <w:r w:rsidRPr="00794C0E">
              <w:rPr>
                <w:rFonts w:cs="Arial"/>
                <w:lang w:eastAsia="es-AR"/>
              </w:rPr>
              <w:t>3</w:t>
            </w:r>
            <w:r w:rsidR="00DE69B9" w:rsidRPr="00794C0E">
              <w:rPr>
                <w:rFonts w:cs="Arial"/>
                <w:lang w:eastAsia="es-AR"/>
              </w:rPr>
              <w:t>,0</w:t>
            </w:r>
          </w:p>
        </w:tc>
      </w:tr>
      <w:tr w:rsidR="00DE69B9" w:rsidRPr="00794C0E" w:rsidTr="00104DA9">
        <w:trPr>
          <w:trHeight w:val="399"/>
        </w:trPr>
        <w:tc>
          <w:tcPr>
            <w:tcW w:w="2141" w:type="pct"/>
            <w:tcBorders>
              <w:top w:val="nil"/>
              <w:left w:val="single" w:sz="4" w:space="0" w:color="auto"/>
              <w:bottom w:val="single" w:sz="4" w:space="0" w:color="auto"/>
              <w:right w:val="single" w:sz="4" w:space="0" w:color="auto"/>
            </w:tcBorders>
            <w:shd w:val="clear" w:color="auto" w:fill="auto"/>
            <w:vAlign w:val="center"/>
            <w:hideMark/>
          </w:tcPr>
          <w:p w:rsidR="00DE69B9" w:rsidRPr="00794C0E" w:rsidRDefault="00DE69B9" w:rsidP="00F9605B">
            <w:pPr>
              <w:rPr>
                <w:rFonts w:cs="Arial"/>
                <w:color w:val="000000"/>
                <w:lang w:eastAsia="es-AR"/>
              </w:rPr>
            </w:pPr>
            <w:r w:rsidRPr="00794C0E">
              <w:rPr>
                <w:rFonts w:cs="Arial"/>
                <w:color w:val="000000"/>
                <w:lang w:eastAsia="es-AR"/>
              </w:rPr>
              <w:t>Duración Estación Húmeda</w:t>
            </w:r>
          </w:p>
        </w:tc>
        <w:tc>
          <w:tcPr>
            <w:tcW w:w="1384" w:type="pct"/>
            <w:tcBorders>
              <w:top w:val="nil"/>
              <w:left w:val="nil"/>
              <w:bottom w:val="single" w:sz="4" w:space="0" w:color="auto"/>
              <w:right w:val="single" w:sz="4" w:space="0" w:color="auto"/>
            </w:tcBorders>
            <w:shd w:val="clear" w:color="auto" w:fill="auto"/>
            <w:noWrap/>
            <w:vAlign w:val="center"/>
            <w:hideMark/>
          </w:tcPr>
          <w:p w:rsidR="00DE69B9" w:rsidRPr="00794C0E" w:rsidRDefault="00DE69B9" w:rsidP="00DE69B9">
            <w:pPr>
              <w:jc w:val="center"/>
              <w:rPr>
                <w:rFonts w:cs="Arial"/>
                <w:color w:val="000000"/>
                <w:lang w:eastAsia="es-AR"/>
              </w:rPr>
            </w:pPr>
            <w:r w:rsidRPr="00794C0E">
              <w:rPr>
                <w:rFonts w:cs="Arial"/>
                <w:color w:val="000000"/>
                <w:lang w:eastAsia="es-AR"/>
              </w:rPr>
              <w:t>0</w:t>
            </w:r>
          </w:p>
        </w:tc>
        <w:tc>
          <w:tcPr>
            <w:tcW w:w="718" w:type="pct"/>
            <w:tcBorders>
              <w:top w:val="nil"/>
              <w:left w:val="nil"/>
              <w:bottom w:val="single" w:sz="4" w:space="0" w:color="auto"/>
              <w:right w:val="single" w:sz="4" w:space="0" w:color="auto"/>
            </w:tcBorders>
            <w:shd w:val="clear" w:color="auto" w:fill="auto"/>
            <w:noWrap/>
            <w:vAlign w:val="center"/>
            <w:hideMark/>
          </w:tcPr>
          <w:p w:rsidR="00DE69B9" w:rsidRPr="00794C0E" w:rsidRDefault="00DE69B9" w:rsidP="00DE69B9">
            <w:pPr>
              <w:jc w:val="center"/>
              <w:rPr>
                <w:rFonts w:cs="Arial"/>
                <w:color w:val="000000"/>
                <w:lang w:eastAsia="es-AR"/>
              </w:rPr>
            </w:pPr>
            <w:r w:rsidRPr="00794C0E">
              <w:rPr>
                <w:rFonts w:cs="Arial"/>
                <w:color w:val="000000"/>
                <w:lang w:eastAsia="es-AR"/>
              </w:rPr>
              <w:t>0</w:t>
            </w:r>
          </w:p>
        </w:tc>
        <w:tc>
          <w:tcPr>
            <w:tcW w:w="757" w:type="pct"/>
            <w:tcBorders>
              <w:top w:val="nil"/>
              <w:left w:val="nil"/>
              <w:bottom w:val="single" w:sz="4" w:space="0" w:color="auto"/>
              <w:right w:val="single" w:sz="4" w:space="0" w:color="auto"/>
            </w:tcBorders>
            <w:shd w:val="clear" w:color="auto" w:fill="auto"/>
            <w:noWrap/>
            <w:vAlign w:val="center"/>
            <w:hideMark/>
          </w:tcPr>
          <w:p w:rsidR="00DE69B9" w:rsidRPr="00794C0E" w:rsidRDefault="00DE69B9" w:rsidP="00DE69B9">
            <w:pPr>
              <w:jc w:val="center"/>
              <w:rPr>
                <w:rFonts w:cs="Arial"/>
                <w:color w:val="000000"/>
                <w:lang w:eastAsia="es-AR"/>
              </w:rPr>
            </w:pPr>
            <w:r w:rsidRPr="00794C0E">
              <w:rPr>
                <w:rFonts w:cs="Arial"/>
                <w:color w:val="000000"/>
                <w:lang w:eastAsia="es-AR"/>
              </w:rPr>
              <w:t>0</w:t>
            </w:r>
          </w:p>
        </w:tc>
      </w:tr>
      <w:tr w:rsidR="00DE69B9" w:rsidRPr="00794C0E" w:rsidTr="00104DA9">
        <w:trPr>
          <w:trHeight w:val="300"/>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DE69B9" w:rsidRPr="00794C0E" w:rsidRDefault="00DE69B9" w:rsidP="00F9605B">
            <w:pPr>
              <w:rPr>
                <w:rFonts w:cs="Arial"/>
                <w:color w:val="000000"/>
                <w:lang w:eastAsia="es-AR"/>
              </w:rPr>
            </w:pPr>
            <w:r w:rsidRPr="00794C0E">
              <w:rPr>
                <w:rFonts w:cs="Arial"/>
                <w:color w:val="000000"/>
                <w:lang w:eastAsia="es-AR"/>
              </w:rPr>
              <w:t>KM</w:t>
            </w:r>
          </w:p>
        </w:tc>
        <w:tc>
          <w:tcPr>
            <w:tcW w:w="1384" w:type="pct"/>
            <w:tcBorders>
              <w:top w:val="nil"/>
              <w:left w:val="nil"/>
              <w:bottom w:val="single" w:sz="4" w:space="0" w:color="auto"/>
              <w:right w:val="single" w:sz="4" w:space="0" w:color="auto"/>
            </w:tcBorders>
            <w:shd w:val="clear" w:color="auto" w:fill="auto"/>
            <w:noWrap/>
            <w:vAlign w:val="center"/>
            <w:hideMark/>
          </w:tcPr>
          <w:p w:rsidR="00DE69B9" w:rsidRPr="00794C0E" w:rsidRDefault="00DE69B9" w:rsidP="00DE69B9">
            <w:pPr>
              <w:jc w:val="center"/>
              <w:rPr>
                <w:rFonts w:cs="Arial"/>
                <w:lang w:eastAsia="es-AR"/>
              </w:rPr>
            </w:pPr>
            <w:r w:rsidRPr="00794C0E">
              <w:rPr>
                <w:rFonts w:cs="Arial"/>
                <w:lang w:eastAsia="es-AR"/>
              </w:rPr>
              <w:t>39,2</w:t>
            </w:r>
          </w:p>
        </w:tc>
        <w:tc>
          <w:tcPr>
            <w:tcW w:w="718" w:type="pct"/>
            <w:tcBorders>
              <w:top w:val="nil"/>
              <w:left w:val="nil"/>
              <w:bottom w:val="single" w:sz="4" w:space="0" w:color="auto"/>
              <w:right w:val="single" w:sz="4" w:space="0" w:color="auto"/>
            </w:tcBorders>
            <w:shd w:val="clear" w:color="auto" w:fill="auto"/>
            <w:noWrap/>
            <w:vAlign w:val="center"/>
            <w:hideMark/>
          </w:tcPr>
          <w:p w:rsidR="00DE69B9" w:rsidRPr="00794C0E" w:rsidRDefault="00DE69B9" w:rsidP="00DE69B9">
            <w:pPr>
              <w:jc w:val="center"/>
              <w:rPr>
                <w:rFonts w:cs="Arial"/>
                <w:lang w:eastAsia="es-AR"/>
              </w:rPr>
            </w:pPr>
            <w:r w:rsidRPr="00794C0E">
              <w:rPr>
                <w:rFonts w:cs="Arial"/>
                <w:lang w:eastAsia="es-AR"/>
              </w:rPr>
              <w:t>39,2</w:t>
            </w:r>
          </w:p>
        </w:tc>
        <w:tc>
          <w:tcPr>
            <w:tcW w:w="757" w:type="pct"/>
            <w:tcBorders>
              <w:top w:val="nil"/>
              <w:left w:val="nil"/>
              <w:bottom w:val="single" w:sz="4" w:space="0" w:color="auto"/>
              <w:right w:val="single" w:sz="4" w:space="0" w:color="auto"/>
            </w:tcBorders>
            <w:shd w:val="clear" w:color="auto" w:fill="auto"/>
            <w:noWrap/>
            <w:vAlign w:val="center"/>
            <w:hideMark/>
          </w:tcPr>
          <w:p w:rsidR="00DE69B9" w:rsidRPr="00794C0E" w:rsidRDefault="00DE69B9" w:rsidP="00DE69B9">
            <w:pPr>
              <w:jc w:val="center"/>
              <w:rPr>
                <w:rFonts w:cs="Arial"/>
                <w:lang w:eastAsia="es-AR"/>
              </w:rPr>
            </w:pPr>
            <w:r w:rsidRPr="00794C0E">
              <w:rPr>
                <w:rFonts w:cs="Arial"/>
                <w:lang w:eastAsia="es-AR"/>
              </w:rPr>
              <w:t>39,2</w:t>
            </w:r>
          </w:p>
        </w:tc>
      </w:tr>
      <w:tr w:rsidR="00DE69B9" w:rsidRPr="00794C0E" w:rsidTr="00104DA9">
        <w:trPr>
          <w:trHeight w:val="141"/>
        </w:trPr>
        <w:tc>
          <w:tcPr>
            <w:tcW w:w="2141" w:type="pct"/>
            <w:tcBorders>
              <w:top w:val="nil"/>
              <w:left w:val="single" w:sz="4" w:space="0" w:color="auto"/>
              <w:bottom w:val="single" w:sz="4" w:space="0" w:color="auto"/>
              <w:right w:val="single" w:sz="4" w:space="0" w:color="auto"/>
            </w:tcBorders>
            <w:shd w:val="clear" w:color="auto" w:fill="auto"/>
            <w:vAlign w:val="center"/>
            <w:hideMark/>
          </w:tcPr>
          <w:p w:rsidR="00DE69B9" w:rsidRPr="00794C0E" w:rsidRDefault="00DE69B9" w:rsidP="00F9605B">
            <w:pPr>
              <w:rPr>
                <w:rFonts w:cs="Arial"/>
                <w:color w:val="000000"/>
                <w:lang w:val="es-ES_tradnl" w:eastAsia="es-AR"/>
              </w:rPr>
            </w:pPr>
            <w:r w:rsidRPr="00794C0E">
              <w:rPr>
                <w:rFonts w:cs="Arial"/>
                <w:color w:val="000000"/>
                <w:lang w:val="es-ES_tradnl" w:eastAsia="es-AR"/>
              </w:rPr>
              <w:t>Duración de la Inversión (años)</w:t>
            </w:r>
          </w:p>
        </w:tc>
        <w:tc>
          <w:tcPr>
            <w:tcW w:w="1384" w:type="pct"/>
            <w:tcBorders>
              <w:top w:val="nil"/>
              <w:left w:val="nil"/>
              <w:bottom w:val="single" w:sz="4" w:space="0" w:color="auto"/>
              <w:right w:val="single" w:sz="4" w:space="0" w:color="auto"/>
            </w:tcBorders>
            <w:shd w:val="clear" w:color="auto" w:fill="auto"/>
            <w:noWrap/>
            <w:vAlign w:val="center"/>
            <w:hideMark/>
          </w:tcPr>
          <w:p w:rsidR="00DE69B9" w:rsidRPr="00794C0E" w:rsidRDefault="00DE69B9" w:rsidP="00DE69B9">
            <w:pPr>
              <w:jc w:val="center"/>
              <w:rPr>
                <w:rFonts w:cs="Arial"/>
                <w:lang w:eastAsia="es-AR"/>
              </w:rPr>
            </w:pPr>
            <w:r w:rsidRPr="00794C0E">
              <w:rPr>
                <w:rFonts w:cs="Arial"/>
                <w:lang w:eastAsia="es-AR"/>
              </w:rPr>
              <w:t>0</w:t>
            </w:r>
          </w:p>
        </w:tc>
        <w:tc>
          <w:tcPr>
            <w:tcW w:w="718" w:type="pct"/>
            <w:tcBorders>
              <w:top w:val="nil"/>
              <w:left w:val="nil"/>
              <w:bottom w:val="single" w:sz="4" w:space="0" w:color="auto"/>
              <w:right w:val="single" w:sz="4" w:space="0" w:color="auto"/>
            </w:tcBorders>
            <w:shd w:val="clear" w:color="auto" w:fill="auto"/>
            <w:noWrap/>
            <w:vAlign w:val="center"/>
            <w:hideMark/>
          </w:tcPr>
          <w:p w:rsidR="00DE69B9" w:rsidRPr="00794C0E" w:rsidRDefault="00226883" w:rsidP="00DE69B9">
            <w:pPr>
              <w:jc w:val="center"/>
              <w:rPr>
                <w:rFonts w:cs="Arial"/>
                <w:lang w:eastAsia="es-AR"/>
              </w:rPr>
            </w:pPr>
            <w:r w:rsidRPr="00794C0E">
              <w:rPr>
                <w:rFonts w:cs="Arial"/>
                <w:lang w:eastAsia="es-AR"/>
              </w:rPr>
              <w:t>1</w:t>
            </w:r>
          </w:p>
        </w:tc>
        <w:tc>
          <w:tcPr>
            <w:tcW w:w="757" w:type="pct"/>
            <w:tcBorders>
              <w:top w:val="nil"/>
              <w:left w:val="nil"/>
              <w:bottom w:val="single" w:sz="4" w:space="0" w:color="auto"/>
              <w:right w:val="single" w:sz="4" w:space="0" w:color="auto"/>
            </w:tcBorders>
            <w:shd w:val="clear" w:color="auto" w:fill="auto"/>
            <w:noWrap/>
            <w:vAlign w:val="center"/>
            <w:hideMark/>
          </w:tcPr>
          <w:p w:rsidR="00DE69B9" w:rsidRPr="00794C0E" w:rsidRDefault="00226883" w:rsidP="00DE69B9">
            <w:pPr>
              <w:jc w:val="center"/>
              <w:rPr>
                <w:rFonts w:cs="Arial"/>
                <w:lang w:eastAsia="es-AR"/>
              </w:rPr>
            </w:pPr>
            <w:r w:rsidRPr="00794C0E">
              <w:rPr>
                <w:rFonts w:cs="Arial"/>
                <w:lang w:eastAsia="es-AR"/>
              </w:rPr>
              <w:t>1</w:t>
            </w:r>
          </w:p>
        </w:tc>
      </w:tr>
      <w:tr w:rsidR="00DE69B9" w:rsidRPr="00794C0E" w:rsidTr="00104DA9">
        <w:trPr>
          <w:trHeight w:val="70"/>
        </w:trPr>
        <w:tc>
          <w:tcPr>
            <w:tcW w:w="2141" w:type="pct"/>
            <w:tcBorders>
              <w:top w:val="nil"/>
              <w:left w:val="single" w:sz="4" w:space="0" w:color="auto"/>
              <w:bottom w:val="single" w:sz="4" w:space="0" w:color="auto"/>
              <w:right w:val="single" w:sz="4" w:space="0" w:color="auto"/>
            </w:tcBorders>
            <w:shd w:val="clear" w:color="auto" w:fill="auto"/>
            <w:vAlign w:val="center"/>
            <w:hideMark/>
          </w:tcPr>
          <w:p w:rsidR="00DE69B9" w:rsidRPr="00794C0E" w:rsidRDefault="00DE69B9" w:rsidP="00F9605B">
            <w:pPr>
              <w:rPr>
                <w:rFonts w:cs="Arial"/>
                <w:color w:val="000000"/>
                <w:lang w:val="es-ES_tradnl" w:eastAsia="es-AR"/>
              </w:rPr>
            </w:pPr>
            <w:r w:rsidRPr="00794C0E">
              <w:rPr>
                <w:rFonts w:cs="Arial"/>
                <w:color w:val="000000"/>
                <w:lang w:val="es-ES_tradnl" w:eastAsia="es-AR"/>
              </w:rPr>
              <w:t>Inversión (</w:t>
            </w:r>
            <w:r w:rsidR="00226883" w:rsidRPr="00794C0E">
              <w:rPr>
                <w:rFonts w:cs="Arial"/>
                <w:color w:val="000000"/>
                <w:lang w:val="es-ES_tradnl" w:eastAsia="es-AR"/>
              </w:rPr>
              <w:t xml:space="preserve">miles de </w:t>
            </w:r>
            <w:r w:rsidRPr="00794C0E">
              <w:rPr>
                <w:rFonts w:cs="Arial"/>
                <w:color w:val="000000"/>
                <w:lang w:val="es-ES_tradnl" w:eastAsia="es-AR"/>
              </w:rPr>
              <w:t>U$S/km)</w:t>
            </w:r>
          </w:p>
        </w:tc>
        <w:tc>
          <w:tcPr>
            <w:tcW w:w="1384" w:type="pct"/>
            <w:tcBorders>
              <w:top w:val="nil"/>
              <w:left w:val="nil"/>
              <w:bottom w:val="single" w:sz="4" w:space="0" w:color="auto"/>
              <w:right w:val="single" w:sz="4" w:space="0" w:color="auto"/>
            </w:tcBorders>
            <w:shd w:val="clear" w:color="auto" w:fill="auto"/>
            <w:noWrap/>
            <w:vAlign w:val="center"/>
            <w:hideMark/>
          </w:tcPr>
          <w:p w:rsidR="00DE69B9" w:rsidRPr="00794C0E" w:rsidRDefault="00CC1CAB" w:rsidP="00DE69B9">
            <w:pPr>
              <w:jc w:val="center"/>
              <w:rPr>
                <w:rFonts w:cs="Arial"/>
                <w:lang w:eastAsia="es-AR"/>
              </w:rPr>
            </w:pPr>
            <w:r w:rsidRPr="00794C0E">
              <w:rPr>
                <w:rFonts w:cs="Arial"/>
                <w:lang w:eastAsia="es-AR"/>
              </w:rPr>
              <w:t>0</w:t>
            </w:r>
          </w:p>
        </w:tc>
        <w:tc>
          <w:tcPr>
            <w:tcW w:w="718" w:type="pct"/>
            <w:tcBorders>
              <w:top w:val="nil"/>
              <w:left w:val="nil"/>
              <w:bottom w:val="single" w:sz="4" w:space="0" w:color="auto"/>
              <w:right w:val="single" w:sz="4" w:space="0" w:color="auto"/>
            </w:tcBorders>
            <w:shd w:val="clear" w:color="auto" w:fill="auto"/>
            <w:noWrap/>
            <w:vAlign w:val="center"/>
            <w:hideMark/>
          </w:tcPr>
          <w:p w:rsidR="00DE69B9" w:rsidRPr="00794C0E" w:rsidRDefault="00226883" w:rsidP="00226883">
            <w:pPr>
              <w:jc w:val="center"/>
              <w:rPr>
                <w:rFonts w:cs="Arial"/>
                <w:lang w:eastAsia="es-AR"/>
              </w:rPr>
            </w:pPr>
            <w:r w:rsidRPr="00794C0E">
              <w:rPr>
                <w:rFonts w:cs="Arial"/>
                <w:lang w:eastAsia="es-AR"/>
              </w:rPr>
              <w:t>294</w:t>
            </w:r>
            <w:r w:rsidR="00DE69B9" w:rsidRPr="00794C0E">
              <w:rPr>
                <w:rFonts w:cs="Arial"/>
                <w:lang w:eastAsia="es-AR"/>
              </w:rPr>
              <w:t>,</w:t>
            </w:r>
            <w:r w:rsidRPr="00794C0E">
              <w:rPr>
                <w:rFonts w:cs="Arial"/>
                <w:lang w:eastAsia="es-AR"/>
              </w:rPr>
              <w:t>87</w:t>
            </w:r>
            <w:r w:rsidR="00DE69B9" w:rsidRPr="00794C0E">
              <w:rPr>
                <w:rStyle w:val="FootnoteReference"/>
                <w:rFonts w:cs="Arial"/>
                <w:lang w:eastAsia="es-AR"/>
              </w:rPr>
              <w:footnoteReference w:id="34"/>
            </w:r>
          </w:p>
        </w:tc>
        <w:tc>
          <w:tcPr>
            <w:tcW w:w="757" w:type="pct"/>
            <w:tcBorders>
              <w:top w:val="nil"/>
              <w:left w:val="nil"/>
              <w:bottom w:val="single" w:sz="4" w:space="0" w:color="auto"/>
              <w:right w:val="single" w:sz="4" w:space="0" w:color="auto"/>
            </w:tcBorders>
            <w:shd w:val="clear" w:color="auto" w:fill="auto"/>
            <w:noWrap/>
            <w:vAlign w:val="center"/>
            <w:hideMark/>
          </w:tcPr>
          <w:p w:rsidR="00DE69B9" w:rsidRPr="00794C0E" w:rsidRDefault="00226883" w:rsidP="00226883">
            <w:pPr>
              <w:jc w:val="center"/>
              <w:rPr>
                <w:rFonts w:cs="Arial"/>
                <w:lang w:eastAsia="es-AR"/>
              </w:rPr>
            </w:pPr>
            <w:r w:rsidRPr="00794C0E">
              <w:rPr>
                <w:rFonts w:cs="Arial"/>
                <w:lang w:eastAsia="es-AR"/>
              </w:rPr>
              <w:t>737</w:t>
            </w:r>
            <w:r w:rsidR="00DE69B9" w:rsidRPr="00794C0E">
              <w:rPr>
                <w:rFonts w:cs="Arial"/>
                <w:lang w:eastAsia="es-AR"/>
              </w:rPr>
              <w:t>,</w:t>
            </w:r>
            <w:r w:rsidRPr="00794C0E">
              <w:rPr>
                <w:rFonts w:cs="Arial"/>
                <w:lang w:eastAsia="es-AR"/>
              </w:rPr>
              <w:t>18</w:t>
            </w:r>
            <w:r w:rsidR="00DE69B9" w:rsidRPr="00794C0E">
              <w:rPr>
                <w:rStyle w:val="FootnoteReference"/>
                <w:rFonts w:cs="Arial"/>
                <w:lang w:eastAsia="es-AR"/>
              </w:rPr>
              <w:footnoteReference w:id="35"/>
            </w:r>
          </w:p>
        </w:tc>
      </w:tr>
      <w:tr w:rsidR="00DE69B9" w:rsidRPr="00794C0E" w:rsidTr="00104DA9">
        <w:trPr>
          <w:trHeight w:val="285"/>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rsidR="00DE69B9" w:rsidRPr="00794C0E" w:rsidRDefault="00226883" w:rsidP="00F9605B">
            <w:pPr>
              <w:rPr>
                <w:rFonts w:cs="Arial"/>
                <w:color w:val="000000"/>
                <w:lang w:val="es-ES_tradnl" w:eastAsia="es-AR"/>
              </w:rPr>
            </w:pPr>
            <w:r w:rsidRPr="00794C0E">
              <w:rPr>
                <w:rFonts w:cs="Arial"/>
                <w:color w:val="000000"/>
                <w:lang w:val="es-ES_tradnl" w:eastAsia="es-AR"/>
              </w:rPr>
              <w:t xml:space="preserve">Costo </w:t>
            </w:r>
            <w:r w:rsidR="00DE69B9" w:rsidRPr="00794C0E">
              <w:rPr>
                <w:rFonts w:cs="Arial"/>
                <w:color w:val="000000"/>
                <w:lang w:val="es-ES_tradnl" w:eastAsia="es-AR"/>
              </w:rPr>
              <w:t xml:space="preserve">Fijos </w:t>
            </w:r>
            <w:r w:rsidRPr="00794C0E">
              <w:rPr>
                <w:rFonts w:cs="Arial"/>
                <w:color w:val="000000"/>
                <w:lang w:val="es-ES_tradnl" w:eastAsia="es-AR"/>
              </w:rPr>
              <w:t xml:space="preserve">de Mantenimiento </w:t>
            </w:r>
            <w:r w:rsidR="00DE69B9" w:rsidRPr="00794C0E">
              <w:rPr>
                <w:rFonts w:cs="Arial"/>
                <w:color w:val="000000"/>
                <w:lang w:val="es-ES_tradnl" w:eastAsia="es-AR"/>
              </w:rPr>
              <w:t>(</w:t>
            </w:r>
            <w:r w:rsidR="00426953" w:rsidRPr="00794C0E">
              <w:rPr>
                <w:rFonts w:cs="Arial"/>
                <w:color w:val="000000"/>
                <w:lang w:val="es-ES_tradnl" w:eastAsia="es-AR"/>
              </w:rPr>
              <w:t xml:space="preserve">miles de </w:t>
            </w:r>
            <w:r w:rsidR="00DE69B9" w:rsidRPr="00794C0E">
              <w:rPr>
                <w:rFonts w:cs="Arial"/>
                <w:color w:val="000000"/>
                <w:lang w:val="es-ES_tradnl" w:eastAsia="es-AR"/>
              </w:rPr>
              <w:t>U$S/Km/año)</w:t>
            </w:r>
            <w:r w:rsidRPr="00794C0E">
              <w:rPr>
                <w:rStyle w:val="FootnoteReference"/>
                <w:rFonts w:cs="Arial"/>
                <w:color w:val="000000"/>
                <w:lang w:eastAsia="es-AR"/>
              </w:rPr>
              <w:footnoteReference w:id="36"/>
            </w:r>
          </w:p>
        </w:tc>
        <w:tc>
          <w:tcPr>
            <w:tcW w:w="1384" w:type="pct"/>
            <w:tcBorders>
              <w:top w:val="nil"/>
              <w:left w:val="nil"/>
              <w:bottom w:val="single" w:sz="4" w:space="0" w:color="auto"/>
              <w:right w:val="single" w:sz="4" w:space="0" w:color="auto"/>
            </w:tcBorders>
            <w:shd w:val="clear" w:color="auto" w:fill="auto"/>
            <w:noWrap/>
            <w:vAlign w:val="center"/>
            <w:hideMark/>
          </w:tcPr>
          <w:p w:rsidR="00DE69B9" w:rsidRPr="00794C0E" w:rsidRDefault="00226883" w:rsidP="00DE69B9">
            <w:pPr>
              <w:jc w:val="center"/>
              <w:rPr>
                <w:rFonts w:cs="Arial"/>
                <w:lang w:eastAsia="es-AR"/>
              </w:rPr>
            </w:pPr>
            <w:r w:rsidRPr="00794C0E">
              <w:rPr>
                <w:rFonts w:cs="Arial"/>
                <w:lang w:eastAsia="es-AR"/>
              </w:rPr>
              <w:t>3,39</w:t>
            </w:r>
          </w:p>
        </w:tc>
        <w:tc>
          <w:tcPr>
            <w:tcW w:w="718" w:type="pct"/>
            <w:tcBorders>
              <w:top w:val="nil"/>
              <w:left w:val="nil"/>
              <w:bottom w:val="single" w:sz="4" w:space="0" w:color="auto"/>
              <w:right w:val="single" w:sz="4" w:space="0" w:color="auto"/>
            </w:tcBorders>
            <w:shd w:val="clear" w:color="auto" w:fill="auto"/>
            <w:noWrap/>
            <w:vAlign w:val="center"/>
            <w:hideMark/>
          </w:tcPr>
          <w:p w:rsidR="00DE69B9" w:rsidRPr="00794C0E" w:rsidRDefault="00226883" w:rsidP="00DE69B9">
            <w:pPr>
              <w:jc w:val="center"/>
              <w:rPr>
                <w:rFonts w:cs="Arial"/>
                <w:lang w:eastAsia="es-AR"/>
              </w:rPr>
            </w:pPr>
            <w:r w:rsidRPr="00794C0E">
              <w:rPr>
                <w:rFonts w:cs="Arial"/>
                <w:lang w:eastAsia="es-AR"/>
              </w:rPr>
              <w:t>7,78</w:t>
            </w:r>
          </w:p>
        </w:tc>
        <w:tc>
          <w:tcPr>
            <w:tcW w:w="757" w:type="pct"/>
            <w:tcBorders>
              <w:top w:val="nil"/>
              <w:left w:val="nil"/>
              <w:bottom w:val="single" w:sz="4" w:space="0" w:color="auto"/>
              <w:right w:val="single" w:sz="4" w:space="0" w:color="auto"/>
            </w:tcBorders>
            <w:shd w:val="clear" w:color="auto" w:fill="auto"/>
            <w:noWrap/>
            <w:vAlign w:val="center"/>
            <w:hideMark/>
          </w:tcPr>
          <w:p w:rsidR="00DE69B9" w:rsidRPr="00794C0E" w:rsidRDefault="00226883" w:rsidP="00DE69B9">
            <w:pPr>
              <w:jc w:val="center"/>
              <w:rPr>
                <w:rFonts w:cs="Arial"/>
                <w:lang w:eastAsia="es-AR"/>
              </w:rPr>
            </w:pPr>
            <w:r w:rsidRPr="00794C0E">
              <w:rPr>
                <w:rFonts w:cs="Arial"/>
                <w:lang w:eastAsia="es-AR"/>
              </w:rPr>
              <w:t>1</w:t>
            </w:r>
            <w:r w:rsidR="00DE69B9" w:rsidRPr="00794C0E">
              <w:rPr>
                <w:rFonts w:cs="Arial"/>
                <w:lang w:eastAsia="es-AR"/>
              </w:rPr>
              <w:t>0,00</w:t>
            </w:r>
          </w:p>
        </w:tc>
      </w:tr>
    </w:tbl>
    <w:p w:rsidR="00DE69B9" w:rsidRPr="00794C0E" w:rsidRDefault="00CC1CAB" w:rsidP="005F5457">
      <w:pPr>
        <w:ind w:left="142"/>
        <w:jc w:val="both"/>
        <w:rPr>
          <w:rFonts w:cs="Arial"/>
          <w:lang w:val="es-ES_tradnl"/>
        </w:rPr>
      </w:pPr>
      <w:r w:rsidRPr="00794C0E">
        <w:rPr>
          <w:rFonts w:cs="Arial"/>
          <w:lang w:val="es-ES_tradnl"/>
        </w:rPr>
        <w:t xml:space="preserve">  </w:t>
      </w:r>
      <w:r w:rsidR="005F5457" w:rsidRPr="00794C0E">
        <w:rPr>
          <w:rFonts w:cs="Arial"/>
          <w:lang w:val="es-ES_tradnl"/>
        </w:rPr>
        <w:t>Fuente: Elaboración Propia en base a datos relevados</w:t>
      </w:r>
      <w:r w:rsidRPr="00794C0E">
        <w:rPr>
          <w:rFonts w:cs="Arial"/>
          <w:lang w:val="es-ES_tradnl"/>
        </w:rPr>
        <w:t>.</w:t>
      </w:r>
    </w:p>
    <w:p w:rsidR="00104DA9" w:rsidRPr="00794C0E" w:rsidRDefault="00104DA9" w:rsidP="005F5457">
      <w:pPr>
        <w:ind w:left="142"/>
        <w:jc w:val="both"/>
        <w:rPr>
          <w:rFonts w:cs="Arial"/>
          <w:lang w:val="es-ES_tradnl"/>
        </w:rPr>
      </w:pPr>
    </w:p>
    <w:p w:rsidR="00DE69B9" w:rsidRPr="00794C0E" w:rsidRDefault="00426953" w:rsidP="00F9605B">
      <w:pPr>
        <w:pStyle w:val="para"/>
        <w:numPr>
          <w:ilvl w:val="1"/>
          <w:numId w:val="5"/>
        </w:numPr>
        <w:ind w:left="0" w:firstLine="0"/>
        <w:jc w:val="both"/>
        <w:rPr>
          <w:rFonts w:ascii="Arial" w:hAnsi="Arial" w:cs="Arial"/>
          <w:sz w:val="22"/>
          <w:szCs w:val="22"/>
        </w:rPr>
      </w:pPr>
      <w:r w:rsidRPr="00794C0E">
        <w:rPr>
          <w:rFonts w:ascii="Arial" w:hAnsi="Arial" w:cs="Arial"/>
          <w:sz w:val="22"/>
          <w:szCs w:val="22"/>
        </w:rPr>
        <w:lastRenderedPageBreak/>
        <w:t xml:space="preserve">El costo total de la inversión asciende a U$S 11,5 millones. </w:t>
      </w:r>
      <w:r w:rsidR="00DE69B9" w:rsidRPr="00794C0E">
        <w:rPr>
          <w:rFonts w:ascii="Arial" w:hAnsi="Arial" w:cs="Arial"/>
          <w:sz w:val="22"/>
          <w:szCs w:val="22"/>
        </w:rPr>
        <w:t>En cuanto a la información ingenieril, necesaria para cargar en el módulo de cos</w:t>
      </w:r>
      <w:r w:rsidRPr="00794C0E">
        <w:rPr>
          <w:rFonts w:ascii="Arial" w:hAnsi="Arial" w:cs="Arial"/>
          <w:sz w:val="22"/>
          <w:szCs w:val="22"/>
        </w:rPr>
        <w:t xml:space="preserve">tos operativos de vehículos, </w:t>
      </w:r>
      <w:r w:rsidR="00DE69B9" w:rsidRPr="00794C0E">
        <w:rPr>
          <w:rFonts w:ascii="Arial" w:hAnsi="Arial" w:cs="Arial"/>
          <w:sz w:val="22"/>
          <w:szCs w:val="22"/>
        </w:rPr>
        <w:t>se tomaron datos del estudio del PROSAP</w:t>
      </w:r>
      <w:r w:rsidR="00DE69B9" w:rsidRPr="00794C0E">
        <w:rPr>
          <w:rStyle w:val="FootnoteReference"/>
          <w:rFonts w:ascii="Arial" w:hAnsi="Arial" w:cs="Arial"/>
          <w:sz w:val="22"/>
          <w:szCs w:val="22"/>
        </w:rPr>
        <w:footnoteReference w:id="37"/>
      </w:r>
      <w:r w:rsidRPr="00794C0E">
        <w:rPr>
          <w:rFonts w:ascii="Arial" w:hAnsi="Arial" w:cs="Arial"/>
          <w:sz w:val="22"/>
          <w:szCs w:val="22"/>
        </w:rPr>
        <w:t xml:space="preserve"> y y los datos de </w:t>
      </w:r>
      <w:r w:rsidR="00DE69B9" w:rsidRPr="00794C0E">
        <w:rPr>
          <w:rFonts w:ascii="Arial" w:hAnsi="Arial" w:cs="Arial"/>
          <w:sz w:val="22"/>
          <w:szCs w:val="22"/>
        </w:rPr>
        <w:t>COSTOP vehicular</w:t>
      </w:r>
      <w:r w:rsidRPr="00794C0E">
        <w:rPr>
          <w:rFonts w:ascii="Arial" w:hAnsi="Arial" w:cs="Arial"/>
          <w:sz w:val="22"/>
          <w:szCs w:val="22"/>
        </w:rPr>
        <w:t xml:space="preserve"> informados por la Dirección Nacional de Vialidad</w:t>
      </w:r>
      <w:r w:rsidR="00DE69B9" w:rsidRPr="00794C0E">
        <w:rPr>
          <w:rStyle w:val="FootnoteReference"/>
          <w:rFonts w:ascii="Arial" w:hAnsi="Arial" w:cs="Arial"/>
          <w:sz w:val="22"/>
          <w:szCs w:val="22"/>
        </w:rPr>
        <w:footnoteReference w:id="38"/>
      </w:r>
    </w:p>
    <w:p w:rsidR="00DE69B9" w:rsidRPr="00794C0E" w:rsidRDefault="00DE69B9" w:rsidP="00F9605B">
      <w:pPr>
        <w:pStyle w:val="Default"/>
        <w:rPr>
          <w:rFonts w:ascii="Arial" w:hAnsi="Arial" w:cs="Arial"/>
          <w:sz w:val="22"/>
          <w:szCs w:val="22"/>
        </w:rPr>
      </w:pPr>
    </w:p>
    <w:p w:rsidR="00DE69B9" w:rsidRPr="00794C0E" w:rsidRDefault="00DE69B9" w:rsidP="00DE69B9">
      <w:pPr>
        <w:pStyle w:val="para"/>
        <w:numPr>
          <w:ilvl w:val="1"/>
          <w:numId w:val="5"/>
        </w:numPr>
        <w:ind w:left="0" w:firstLine="0"/>
        <w:jc w:val="both"/>
        <w:rPr>
          <w:rFonts w:ascii="Arial" w:hAnsi="Arial" w:cs="Arial"/>
          <w:sz w:val="22"/>
          <w:szCs w:val="22"/>
        </w:rPr>
      </w:pPr>
      <w:r w:rsidRPr="00794C0E">
        <w:rPr>
          <w:rFonts w:ascii="Arial" w:hAnsi="Arial" w:cs="Arial"/>
          <w:sz w:val="22"/>
          <w:szCs w:val="22"/>
        </w:rPr>
        <w:t>El análisis asume que no hay accidentes</w:t>
      </w:r>
      <w:r w:rsidR="005F5457" w:rsidRPr="00794C0E">
        <w:rPr>
          <w:rFonts w:ascii="Arial" w:hAnsi="Arial" w:cs="Arial"/>
          <w:sz w:val="22"/>
          <w:szCs w:val="22"/>
        </w:rPr>
        <w:t>. Además, n</w:t>
      </w:r>
      <w:r w:rsidRPr="00794C0E">
        <w:rPr>
          <w:rFonts w:ascii="Arial" w:hAnsi="Arial" w:cs="Arial"/>
          <w:sz w:val="22"/>
          <w:szCs w:val="22"/>
        </w:rPr>
        <w:t xml:space="preserve">o existe tránsito inducido debido a desarrollo económico o tránsito derivado de un camino alternativo. </w:t>
      </w:r>
      <w:r w:rsidR="003E2739" w:rsidRPr="00794C0E">
        <w:rPr>
          <w:rFonts w:ascii="Arial" w:hAnsi="Arial" w:cs="Arial"/>
          <w:sz w:val="22"/>
          <w:szCs w:val="22"/>
        </w:rPr>
        <w:t>Para determinar el impacto sobre el tránsito generado por la disminución del costo de transporte, se supuso de 10 % para automóviles y vehículos de carga y de 5 % para el resto</w:t>
      </w:r>
      <w:r w:rsidR="003E2739" w:rsidRPr="00794C0E">
        <w:rPr>
          <w:rStyle w:val="FootnoteReference"/>
          <w:rFonts w:ascii="Arial" w:hAnsi="Arial" w:cs="Arial"/>
          <w:sz w:val="22"/>
          <w:szCs w:val="22"/>
        </w:rPr>
        <w:footnoteReference w:id="39"/>
      </w:r>
      <w:r w:rsidR="003E2739" w:rsidRPr="00794C0E">
        <w:rPr>
          <w:rFonts w:ascii="Arial" w:hAnsi="Arial" w:cs="Arial"/>
          <w:sz w:val="22"/>
          <w:szCs w:val="22"/>
        </w:rPr>
        <w:t xml:space="preserve">. </w:t>
      </w:r>
      <w:r w:rsidRPr="00794C0E">
        <w:rPr>
          <w:rFonts w:ascii="Arial" w:hAnsi="Arial" w:cs="Arial"/>
          <w:sz w:val="22"/>
          <w:szCs w:val="22"/>
        </w:rPr>
        <w:t>Esto significa que el RED calculará internamente el tránsito generado como una función de los costos de usuario de camino en relación con los costos de usuario de camino del caso sin proyecto</w:t>
      </w:r>
      <w:r w:rsidRPr="00794C0E">
        <w:rPr>
          <w:rStyle w:val="FootnoteReference"/>
          <w:rFonts w:ascii="Arial" w:hAnsi="Arial" w:cs="Arial"/>
          <w:sz w:val="22"/>
          <w:szCs w:val="22"/>
        </w:rPr>
        <w:footnoteReference w:id="40"/>
      </w:r>
      <w:r w:rsidRPr="00794C0E">
        <w:rPr>
          <w:rFonts w:ascii="Arial" w:hAnsi="Arial" w:cs="Arial"/>
          <w:sz w:val="22"/>
          <w:szCs w:val="22"/>
        </w:rPr>
        <w:t>.</w:t>
      </w:r>
    </w:p>
    <w:p w:rsidR="005F5457" w:rsidRPr="00794C0E" w:rsidRDefault="005F5457" w:rsidP="00DE69B9">
      <w:pPr>
        <w:pStyle w:val="para"/>
        <w:jc w:val="both"/>
        <w:rPr>
          <w:rFonts w:ascii="Arial" w:hAnsi="Arial" w:cs="Arial"/>
          <w:sz w:val="22"/>
          <w:szCs w:val="22"/>
        </w:rPr>
      </w:pPr>
    </w:p>
    <w:p w:rsidR="00DE69B9" w:rsidRPr="00794C0E" w:rsidRDefault="00DE69B9" w:rsidP="005F5457">
      <w:pPr>
        <w:pStyle w:val="para"/>
        <w:numPr>
          <w:ilvl w:val="1"/>
          <w:numId w:val="5"/>
        </w:numPr>
        <w:ind w:left="0" w:firstLine="0"/>
        <w:jc w:val="both"/>
        <w:rPr>
          <w:rFonts w:ascii="Arial" w:hAnsi="Arial" w:cs="Arial"/>
          <w:sz w:val="22"/>
          <w:szCs w:val="22"/>
        </w:rPr>
      </w:pPr>
      <w:r w:rsidRPr="00794C0E">
        <w:rPr>
          <w:rFonts w:ascii="Arial" w:hAnsi="Arial" w:cs="Arial"/>
          <w:sz w:val="22"/>
          <w:szCs w:val="22"/>
        </w:rPr>
        <w:t>Los valores de tiempo que se utilizaron fueron en base al COSTOP de Vialidad Nacional</w:t>
      </w:r>
      <w:r w:rsidR="003E2739" w:rsidRPr="00794C0E">
        <w:rPr>
          <w:rFonts w:ascii="Arial" w:hAnsi="Arial" w:cs="Arial"/>
          <w:sz w:val="22"/>
          <w:szCs w:val="22"/>
        </w:rPr>
        <w:t xml:space="preserve"> ajustados por el valor de la hora hombre promedio según INDEC para la provincia de Salta.</w:t>
      </w:r>
      <w:r w:rsidRPr="00794C0E">
        <w:rPr>
          <w:rFonts w:ascii="Arial" w:hAnsi="Arial" w:cs="Arial"/>
          <w:sz w:val="22"/>
          <w:szCs w:val="22"/>
        </w:rPr>
        <w:t xml:space="preserve"> En el valor del tiempo de viaje para un conductor es de U$S </w:t>
      </w:r>
      <w:r w:rsidR="003E2739" w:rsidRPr="00794C0E">
        <w:rPr>
          <w:rFonts w:ascii="Arial" w:hAnsi="Arial" w:cs="Arial"/>
          <w:sz w:val="22"/>
          <w:szCs w:val="22"/>
        </w:rPr>
        <w:t xml:space="preserve">7.5 </w:t>
      </w:r>
      <w:r w:rsidRPr="00794C0E">
        <w:rPr>
          <w:rFonts w:ascii="Arial" w:hAnsi="Arial" w:cs="Arial"/>
          <w:sz w:val="22"/>
          <w:szCs w:val="22"/>
        </w:rPr>
        <w:t xml:space="preserve">con un factor de ocupación </w:t>
      </w:r>
      <w:r w:rsidR="003E2739" w:rsidRPr="00794C0E">
        <w:rPr>
          <w:rFonts w:ascii="Arial" w:hAnsi="Arial" w:cs="Arial"/>
          <w:sz w:val="22"/>
          <w:szCs w:val="22"/>
        </w:rPr>
        <w:t>3</w:t>
      </w:r>
      <w:r w:rsidRPr="00794C0E">
        <w:rPr>
          <w:rFonts w:ascii="Arial" w:hAnsi="Arial" w:cs="Arial"/>
          <w:sz w:val="22"/>
          <w:szCs w:val="22"/>
        </w:rPr>
        <w:t xml:space="preserve"> pasajeros por automóvil</w:t>
      </w:r>
      <w:r w:rsidRPr="00794C0E">
        <w:rPr>
          <w:rStyle w:val="FootnoteReference"/>
          <w:rFonts w:ascii="Arial" w:hAnsi="Arial" w:cs="Arial"/>
          <w:sz w:val="22"/>
          <w:szCs w:val="22"/>
        </w:rPr>
        <w:footnoteReference w:id="41"/>
      </w:r>
      <w:r w:rsidRPr="00794C0E">
        <w:rPr>
          <w:rFonts w:ascii="Arial" w:hAnsi="Arial" w:cs="Arial"/>
          <w:sz w:val="22"/>
          <w:szCs w:val="22"/>
        </w:rPr>
        <w:t>. Además se consideró el costo de tiempo de retención de carga (U$S/hr).</w:t>
      </w:r>
      <w:r w:rsidR="005F5457" w:rsidRPr="00794C0E">
        <w:rPr>
          <w:rFonts w:ascii="Arial" w:hAnsi="Arial" w:cs="Arial"/>
          <w:sz w:val="22"/>
          <w:szCs w:val="22"/>
        </w:rPr>
        <w:t xml:space="preserve"> </w:t>
      </w:r>
      <w:r w:rsidRPr="00794C0E">
        <w:rPr>
          <w:rFonts w:ascii="Arial" w:hAnsi="Arial" w:cs="Arial"/>
          <w:sz w:val="22"/>
          <w:szCs w:val="22"/>
        </w:rPr>
        <w:t>El mismo se calculó en función del salario y horas extras que deberían pagarse al chofer del camión por trasladar la carga</w:t>
      </w:r>
      <w:r w:rsidRPr="00794C0E">
        <w:rPr>
          <w:rStyle w:val="FootnoteReference"/>
          <w:rFonts w:ascii="Arial" w:hAnsi="Arial" w:cs="Arial"/>
          <w:sz w:val="22"/>
          <w:szCs w:val="22"/>
        </w:rPr>
        <w:footnoteReference w:id="42"/>
      </w:r>
      <w:r w:rsidRPr="00794C0E">
        <w:rPr>
          <w:rFonts w:ascii="Arial" w:hAnsi="Arial" w:cs="Arial"/>
          <w:sz w:val="22"/>
          <w:szCs w:val="22"/>
        </w:rPr>
        <w:t xml:space="preserve">. </w:t>
      </w:r>
    </w:p>
    <w:p w:rsidR="005F5457" w:rsidRPr="00794C0E" w:rsidRDefault="005F5457" w:rsidP="005F5457">
      <w:pPr>
        <w:pStyle w:val="Default"/>
        <w:rPr>
          <w:rFonts w:ascii="Arial" w:hAnsi="Arial" w:cs="Arial"/>
        </w:rPr>
      </w:pPr>
    </w:p>
    <w:p w:rsidR="00DE69B9" w:rsidRPr="00794C0E" w:rsidRDefault="005F5457" w:rsidP="0048416B">
      <w:pPr>
        <w:pStyle w:val="Default"/>
        <w:numPr>
          <w:ilvl w:val="1"/>
          <w:numId w:val="5"/>
        </w:numPr>
        <w:ind w:left="0" w:firstLine="0"/>
        <w:jc w:val="both"/>
        <w:rPr>
          <w:rFonts w:ascii="Arial" w:hAnsi="Arial" w:cs="Arial"/>
          <w:sz w:val="22"/>
          <w:szCs w:val="22"/>
        </w:rPr>
      </w:pPr>
      <w:r w:rsidRPr="00794C0E">
        <w:rPr>
          <w:rFonts w:ascii="Arial" w:hAnsi="Arial" w:cs="Arial"/>
          <w:sz w:val="22"/>
          <w:szCs w:val="22"/>
        </w:rPr>
        <w:t>El costo de la inversión es de U$S 11.</w:t>
      </w:r>
      <w:r w:rsidR="003E2739" w:rsidRPr="00794C0E">
        <w:rPr>
          <w:rFonts w:ascii="Arial" w:hAnsi="Arial" w:cs="Arial"/>
          <w:sz w:val="22"/>
          <w:szCs w:val="22"/>
        </w:rPr>
        <w:t>558.904</w:t>
      </w:r>
      <w:r w:rsidR="0048416B" w:rsidRPr="00794C0E">
        <w:rPr>
          <w:rFonts w:ascii="Arial" w:hAnsi="Arial" w:cs="Arial"/>
          <w:sz w:val="22"/>
          <w:szCs w:val="22"/>
        </w:rPr>
        <w:t xml:space="preserve">. </w:t>
      </w:r>
      <w:r w:rsidR="00DE69B9" w:rsidRPr="00794C0E">
        <w:rPr>
          <w:rFonts w:ascii="Arial" w:hAnsi="Arial" w:cs="Arial"/>
          <w:sz w:val="22"/>
          <w:szCs w:val="22"/>
        </w:rPr>
        <w:t>El período de evaluación es de 20 años, con una tasa de descuento de 12 % y el multiplicador de costos económicos a financieros es 0,69</w:t>
      </w:r>
      <w:r w:rsidRPr="00794C0E">
        <w:rPr>
          <w:rFonts w:ascii="Arial" w:hAnsi="Arial" w:cs="Arial"/>
          <w:sz w:val="22"/>
          <w:szCs w:val="22"/>
        </w:rPr>
        <w:t>8, según la</w:t>
      </w:r>
      <w:r w:rsidR="0048416B" w:rsidRPr="00794C0E">
        <w:rPr>
          <w:rFonts w:ascii="Arial" w:hAnsi="Arial" w:cs="Arial"/>
          <w:sz w:val="22"/>
          <w:szCs w:val="22"/>
        </w:rPr>
        <w:t xml:space="preserve"> Razón de Cuen</w:t>
      </w:r>
      <w:r w:rsidR="003E2739" w:rsidRPr="00794C0E">
        <w:rPr>
          <w:rFonts w:ascii="Arial" w:hAnsi="Arial" w:cs="Arial"/>
          <w:sz w:val="22"/>
          <w:szCs w:val="22"/>
        </w:rPr>
        <w:t>ta especificada en Nota al pie  del presente informe.</w:t>
      </w:r>
    </w:p>
    <w:p w:rsidR="003F6A5E" w:rsidRPr="00794C0E" w:rsidRDefault="003F6A5E" w:rsidP="003F6A5E">
      <w:pPr>
        <w:jc w:val="both"/>
        <w:rPr>
          <w:rFonts w:cs="Arial"/>
          <w:bCs/>
          <w:sz w:val="22"/>
          <w:szCs w:val="22"/>
          <w:u w:val="single"/>
          <w:lang w:val="es-AR"/>
        </w:rPr>
      </w:pPr>
    </w:p>
    <w:p w:rsidR="003F6A5E" w:rsidRPr="00794C0E" w:rsidRDefault="003F6A5E" w:rsidP="003F6A5E">
      <w:pPr>
        <w:rPr>
          <w:rFonts w:cs="Arial"/>
          <w:b/>
          <w:bCs/>
          <w:sz w:val="22"/>
          <w:szCs w:val="22"/>
          <w:lang w:val="es-AR"/>
        </w:rPr>
      </w:pPr>
    </w:p>
    <w:p w:rsidR="003F6A5E" w:rsidRPr="00794C0E" w:rsidRDefault="003F6A5E" w:rsidP="003F6A5E">
      <w:pPr>
        <w:rPr>
          <w:rFonts w:cs="Arial"/>
          <w:b/>
          <w:bCs/>
          <w:sz w:val="22"/>
          <w:szCs w:val="22"/>
          <w:lang w:val="es-AR"/>
        </w:rPr>
      </w:pPr>
      <w:r w:rsidRPr="00794C0E">
        <w:rPr>
          <w:rFonts w:cs="Arial"/>
          <w:b/>
          <w:bCs/>
          <w:sz w:val="22"/>
          <w:szCs w:val="22"/>
          <w:lang w:val="es-AR"/>
        </w:rPr>
        <w:br w:type="page"/>
      </w:r>
    </w:p>
    <w:tbl>
      <w:tblPr>
        <w:tblStyle w:val="TableGrid"/>
        <w:tblW w:w="0" w:type="auto"/>
        <w:tblLook w:val="04A0" w:firstRow="1" w:lastRow="0" w:firstColumn="1" w:lastColumn="0" w:noHBand="0" w:noVBand="1"/>
      </w:tblPr>
      <w:tblGrid>
        <w:gridCol w:w="9161"/>
      </w:tblGrid>
      <w:tr w:rsidR="000D0A8C" w:rsidRPr="00794C0E" w:rsidTr="00104DA9">
        <w:tc>
          <w:tcPr>
            <w:tcW w:w="8721" w:type="dxa"/>
          </w:tcPr>
          <w:p w:rsidR="000D0A8C" w:rsidRPr="00794C0E" w:rsidRDefault="000D0A8C" w:rsidP="00104DA9">
            <w:pPr>
              <w:pStyle w:val="Default"/>
              <w:jc w:val="both"/>
              <w:rPr>
                <w:rFonts w:ascii="Arial" w:hAnsi="Arial" w:cs="Arial"/>
                <w:sz w:val="22"/>
                <w:szCs w:val="22"/>
              </w:rPr>
            </w:pPr>
          </w:p>
          <w:p w:rsidR="000D0A8C" w:rsidRPr="00794C0E" w:rsidRDefault="000D0A8C" w:rsidP="00104DA9">
            <w:pPr>
              <w:jc w:val="right"/>
              <w:rPr>
                <w:rFonts w:cs="Arial"/>
                <w:b/>
                <w:lang w:val="es-ES"/>
              </w:rPr>
            </w:pPr>
            <w:r w:rsidRPr="00794C0E">
              <w:rPr>
                <w:rFonts w:cs="Arial"/>
                <w:b/>
                <w:lang w:val="es-ES"/>
              </w:rPr>
              <w:t>Recuadro 1. El impacto de las Obras de Infraestructura sobre el Nivel de Empleo</w:t>
            </w:r>
          </w:p>
          <w:p w:rsidR="000D0A8C" w:rsidRPr="00794C0E" w:rsidRDefault="000D0A8C" w:rsidP="00104DA9">
            <w:pPr>
              <w:rPr>
                <w:rFonts w:cs="Arial"/>
                <w:lang w:val="es-ES"/>
              </w:rPr>
            </w:pPr>
          </w:p>
          <w:p w:rsidR="000D0A8C" w:rsidRPr="00794C0E" w:rsidRDefault="000D0A8C" w:rsidP="00104DA9">
            <w:pPr>
              <w:rPr>
                <w:rFonts w:cs="Arial"/>
                <w:lang w:val="es-ES_tradnl"/>
              </w:rPr>
            </w:pPr>
            <w:r w:rsidRPr="00794C0E">
              <w:rPr>
                <w:rFonts w:cs="Arial"/>
                <w:lang w:val="es-ES"/>
              </w:rPr>
              <w:t xml:space="preserve">El Análisis Económico que se realizó para el proyecto </w:t>
            </w:r>
            <w:r w:rsidRPr="00794C0E">
              <w:rPr>
                <w:rFonts w:cs="Arial"/>
                <w:lang w:val="es-ES_tradnl"/>
              </w:rPr>
              <w:t>estimó seis tipos de beneficios divididos en dos grupos, correspondientes a ambos componentes del programa. Para el Componente 1 del Programa, beneficios que permiten medir la rentabilidad de intervenciones que tienen por objeto fortalecer la administración tributaria y el catastro provincial, por un lado, y evaluar las intervenciones destinadas a fortalecer la gestión financiera y del gasto público, como el fortalecimiento del federalismo fiscal y la gestión en materia de sistemas de control de la recaudación y el gasto provinciales; y por otro; y para el Componente 2, beneficios para medir la rentabilidad de inversiones en infraestructura para impulsar el crecimiento económico y el empleo privado provincial.</w:t>
            </w:r>
          </w:p>
          <w:p w:rsidR="000D0A8C" w:rsidRPr="00794C0E" w:rsidRDefault="000D0A8C" w:rsidP="00104DA9">
            <w:pPr>
              <w:rPr>
                <w:rFonts w:cs="Arial"/>
                <w:lang w:val="es-ES"/>
              </w:rPr>
            </w:pPr>
          </w:p>
          <w:p w:rsidR="000D0A8C" w:rsidRPr="00794C0E" w:rsidRDefault="000D0A8C" w:rsidP="00104DA9">
            <w:pPr>
              <w:rPr>
                <w:rFonts w:cs="Arial"/>
                <w:lang w:val="es-ES"/>
              </w:rPr>
            </w:pPr>
            <w:r w:rsidRPr="00794C0E">
              <w:rPr>
                <w:rFonts w:cs="Arial"/>
                <w:lang w:val="es-ES"/>
              </w:rPr>
              <w:t>Para medir los beneficios asociados a las inversiones correspondientes al Componente 1, se utilizaron dos de los indicadores claves; i) mejora en la recaudación del impuesto inmobiliario (ingresos propios no distorsionantes); y ii) ahorros en las prestaciones que se registran a través del SINTYS, reduciendo las filtraciones en gasto social producto de una mejor focalización del gasto. En el caso de las inversiones en infraestructura, se evaluó la rentabilidad de cuatro proyectos de inversión que al momento del diseño de la operación cuentan con proyectos de factibilidad técnica y ambientales, que abarcan sectores estratégicos impulsores del crecimiento económico y el empleo privado provincial.</w:t>
            </w:r>
          </w:p>
          <w:p w:rsidR="000D0A8C" w:rsidRPr="00794C0E" w:rsidRDefault="000D0A8C" w:rsidP="00104DA9">
            <w:pPr>
              <w:rPr>
                <w:rFonts w:cs="Arial"/>
                <w:lang w:val="es-ES"/>
              </w:rPr>
            </w:pPr>
          </w:p>
          <w:p w:rsidR="000D0A8C" w:rsidRPr="00794C0E" w:rsidRDefault="000D0A8C" w:rsidP="00104DA9">
            <w:pPr>
              <w:rPr>
                <w:rFonts w:cs="Arial"/>
                <w:lang w:val="es-ES"/>
              </w:rPr>
            </w:pPr>
            <w:r w:rsidRPr="00794C0E">
              <w:rPr>
                <w:rFonts w:cs="Arial"/>
                <w:lang w:val="es-ES"/>
              </w:rPr>
              <w:t>A pesar de ello, el Programa identifica como indicador sintético el incremento del empleo, que es crítico para evaluar el efecto de las obras de infraestructura pública, y existe evidencia para Argentina, que permite evaluar el efecto que se espera sobre ese indicador.</w:t>
            </w:r>
          </w:p>
          <w:p w:rsidR="000D0A8C" w:rsidRPr="00794C0E" w:rsidRDefault="000D0A8C" w:rsidP="00104DA9">
            <w:pPr>
              <w:rPr>
                <w:rFonts w:cs="Arial"/>
                <w:lang w:val="es-ES"/>
              </w:rPr>
            </w:pPr>
          </w:p>
          <w:p w:rsidR="000D0A8C" w:rsidRPr="00794C0E" w:rsidRDefault="000D0A8C" w:rsidP="00104DA9">
            <w:pPr>
              <w:rPr>
                <w:rFonts w:cs="Arial"/>
                <w:lang w:val="es-ES"/>
              </w:rPr>
            </w:pPr>
            <w:r w:rsidRPr="00794C0E">
              <w:rPr>
                <w:rFonts w:cs="Arial"/>
                <w:lang w:val="es-ES"/>
              </w:rPr>
              <w:t>Para dimensionar ese efecto, se toma como referencia los resultados alcanzado por la Dirección Nacional de Inversión Pública del Ministerio de Hacienda y Finanzas de la Nación, que demuestran cuál es el efecto sobre el incremento de empleo, para un conjunto de proyectos de inversión pública</w:t>
            </w:r>
            <w:r w:rsidRPr="00794C0E">
              <w:rPr>
                <w:rFonts w:cs="Arial"/>
                <w:vertAlign w:val="superscript"/>
                <w:lang w:val="es-ES"/>
              </w:rPr>
              <w:t>a</w:t>
            </w:r>
            <w:r w:rsidRPr="00794C0E">
              <w:rPr>
                <w:rFonts w:cs="Arial"/>
                <w:lang w:val="es-ES"/>
              </w:rPr>
              <w:t>.</w:t>
            </w:r>
          </w:p>
          <w:p w:rsidR="000D0A8C" w:rsidRPr="00794C0E" w:rsidRDefault="000D0A8C" w:rsidP="00104DA9">
            <w:pPr>
              <w:rPr>
                <w:rFonts w:cs="Arial"/>
                <w:lang w:val="es-ES"/>
              </w:rPr>
            </w:pPr>
            <w:r w:rsidRPr="00794C0E">
              <w:rPr>
                <w:rFonts w:cs="Arial"/>
                <w:lang w:val="es-ES"/>
              </w:rPr>
              <w:t>Según esas estimaciones, para 300 proyectos de inversión pública para el año 2007, por un monto de $ 9.686.551.887</w:t>
            </w:r>
            <w:r w:rsidRPr="00794C0E">
              <w:rPr>
                <w:rStyle w:val="FootnoteReference"/>
                <w:rFonts w:cs="Arial"/>
                <w:lang w:val="es-ES"/>
              </w:rPr>
              <w:t>b</w:t>
            </w:r>
            <w:r w:rsidRPr="00794C0E">
              <w:rPr>
                <w:rFonts w:cs="Arial"/>
                <w:lang w:val="es-ES"/>
              </w:rPr>
              <w:t xml:space="preserve">, se obtienen 344.000 puesto de trabajo adicionales, en toda la cadena de producción en donde esas obras impactan sobre el empleo (efecto directo más indirecto “hacia atrás”, más efecto inducido “hacia adelante”) </w:t>
            </w:r>
          </w:p>
          <w:p w:rsidR="000D0A8C" w:rsidRPr="00794C0E" w:rsidRDefault="000D0A8C" w:rsidP="00104DA9">
            <w:pPr>
              <w:rPr>
                <w:rFonts w:cs="Arial"/>
                <w:lang w:val="es-ES"/>
              </w:rPr>
            </w:pPr>
          </w:p>
          <w:p w:rsidR="000D0A8C" w:rsidRPr="00794C0E" w:rsidRDefault="000D0A8C" w:rsidP="00104DA9">
            <w:pPr>
              <w:rPr>
                <w:rFonts w:cs="Arial"/>
                <w:lang w:val="es-ES"/>
              </w:rPr>
            </w:pPr>
            <w:r w:rsidRPr="00794C0E">
              <w:rPr>
                <w:rFonts w:cs="Arial"/>
                <w:lang w:val="es-ES"/>
              </w:rPr>
              <w:t>Utilizando esta referencia, es posible estimar del programa sobre el empleo. Para ello, se debe deben realizar dos correcciones: i) expresar el valor de los proyectos de inversión considerados en la estimación a precios del 2016; ii) ajustar esos valores según la Razón de Precios de Cuenta, de manera de corregir los precios de mercado, para eliminar el efecto de impuestos y subsidios sobre el costo de las inversiones; iii) calcular para U$S 1.000 cuantos puestos de trabajo se generarían; iv) demostrar cuántos puestos de trabajos se generarán con las intervenciones que realizará el Programa en el financiamiento de obras de infraestructura</w:t>
            </w:r>
            <w:r w:rsidRPr="00794C0E">
              <w:rPr>
                <w:rFonts w:cs="Arial"/>
                <w:vertAlign w:val="superscript"/>
                <w:lang w:val="es-ES"/>
              </w:rPr>
              <w:t>c</w:t>
            </w:r>
            <w:r w:rsidRPr="00794C0E">
              <w:rPr>
                <w:rFonts w:cs="Arial"/>
                <w:lang w:val="es-ES"/>
              </w:rPr>
              <w:t>.</w:t>
            </w:r>
          </w:p>
          <w:p w:rsidR="000D0A8C" w:rsidRPr="00794C0E" w:rsidRDefault="000D0A8C" w:rsidP="00104DA9">
            <w:pPr>
              <w:rPr>
                <w:rFonts w:cs="Arial"/>
                <w:lang w:val="es-ES"/>
              </w:rPr>
            </w:pPr>
          </w:p>
          <w:p w:rsidR="000D0A8C" w:rsidRPr="00794C0E" w:rsidRDefault="000D0A8C" w:rsidP="00104DA9">
            <w:pPr>
              <w:rPr>
                <w:rFonts w:cs="Arial"/>
                <w:b/>
                <w:lang w:val="es-ES"/>
              </w:rPr>
            </w:pPr>
            <w:r w:rsidRPr="00794C0E">
              <w:rPr>
                <w:rFonts w:cs="Arial"/>
                <w:b/>
                <w:lang w:val="es-ES"/>
              </w:rPr>
              <w:t>Paso 1. Reexpresión a precios del año 2016.</w:t>
            </w:r>
          </w:p>
          <w:p w:rsidR="000D0A8C" w:rsidRPr="00794C0E" w:rsidRDefault="000D0A8C" w:rsidP="00104DA9">
            <w:pPr>
              <w:rPr>
                <w:rFonts w:cs="Arial"/>
                <w:lang w:val="es-ES"/>
              </w:rPr>
            </w:pPr>
            <w:r w:rsidRPr="00794C0E">
              <w:rPr>
                <w:rFonts w:cs="Arial"/>
                <w:lang w:val="es-ES"/>
              </w:rPr>
              <w:t>Para reexpresar el valor de las inversiones de los proyectos de la DNIP, se utilizó el indice del Costo de la Construcción para el Gran Buenos Aires Capítulo Mano de Obra, según fuentes oficiales (INDEC), reexpresando los valores del año 2004 a valores de agosto de 2016</w:t>
            </w:r>
            <w:r w:rsidRPr="00794C0E">
              <w:rPr>
                <w:rFonts w:cs="Arial"/>
                <w:vertAlign w:val="superscript"/>
                <w:lang w:val="es-ES"/>
              </w:rPr>
              <w:t>d</w:t>
            </w:r>
            <w:r w:rsidRPr="00794C0E">
              <w:rPr>
                <w:rFonts w:cs="Arial"/>
                <w:lang w:val="es-ES"/>
              </w:rPr>
              <w:t>.</w:t>
            </w:r>
          </w:p>
          <w:p w:rsidR="000D0A8C" w:rsidRPr="00794C0E" w:rsidRDefault="000D0A8C" w:rsidP="00104DA9">
            <w:pPr>
              <w:rPr>
                <w:rFonts w:cs="Arial"/>
                <w:b/>
                <w:lang w:val="es-ES"/>
              </w:rPr>
            </w:pPr>
          </w:p>
          <w:p w:rsidR="000D0A8C" w:rsidRPr="00794C0E" w:rsidRDefault="000D0A8C" w:rsidP="00104DA9">
            <w:pPr>
              <w:rPr>
                <w:rFonts w:cs="Arial"/>
                <w:b/>
                <w:lang w:val="es-ES"/>
              </w:rPr>
            </w:pPr>
            <w:r w:rsidRPr="00794C0E">
              <w:rPr>
                <w:rFonts w:cs="Arial"/>
                <w:b/>
                <w:lang w:val="es-ES"/>
              </w:rPr>
              <w:t>Paso 2. Ajuste a valores sociales</w:t>
            </w:r>
          </w:p>
          <w:p w:rsidR="000D0A8C" w:rsidRPr="00794C0E" w:rsidRDefault="000D0A8C" w:rsidP="00104DA9">
            <w:pPr>
              <w:rPr>
                <w:rFonts w:cs="Arial"/>
                <w:lang w:val="es-ES"/>
              </w:rPr>
            </w:pPr>
            <w:r w:rsidRPr="00794C0E">
              <w:rPr>
                <w:rFonts w:cs="Arial"/>
                <w:lang w:val="es-ES"/>
              </w:rPr>
              <w:t>Utilizando la Razón de Cuenta utilizada para el AE, se ajusta el monto de los proyectos a precios sociales y se lo expresa en dólares al tipo de cambio utilizado para la evaluación.</w:t>
            </w:r>
          </w:p>
          <w:p w:rsidR="000D0A8C" w:rsidRPr="00794C0E" w:rsidRDefault="000D0A8C" w:rsidP="00104DA9">
            <w:pPr>
              <w:rPr>
                <w:rFonts w:cs="Arial"/>
                <w:b/>
                <w:lang w:val="es-ES"/>
              </w:rPr>
            </w:pPr>
          </w:p>
          <w:p w:rsidR="000D0A8C" w:rsidRPr="00794C0E" w:rsidRDefault="000D0A8C" w:rsidP="00104DA9">
            <w:pPr>
              <w:rPr>
                <w:rFonts w:cs="Arial"/>
                <w:b/>
                <w:lang w:val="es-ES"/>
              </w:rPr>
            </w:pPr>
            <w:r w:rsidRPr="00794C0E">
              <w:rPr>
                <w:rFonts w:cs="Arial"/>
                <w:b/>
                <w:lang w:val="es-ES"/>
              </w:rPr>
              <w:t>Paso 3. Generación de Puesto de Trabajo</w:t>
            </w:r>
          </w:p>
          <w:p w:rsidR="000D0A8C" w:rsidRPr="00794C0E" w:rsidRDefault="000D0A8C" w:rsidP="00104DA9">
            <w:pPr>
              <w:rPr>
                <w:rFonts w:cs="Arial"/>
                <w:lang w:val="es-ES"/>
              </w:rPr>
            </w:pPr>
            <w:r w:rsidRPr="00794C0E">
              <w:rPr>
                <w:rFonts w:cs="Arial"/>
                <w:lang w:val="es-ES"/>
              </w:rPr>
              <w:lastRenderedPageBreak/>
              <w:t>Sobre la base de los cálculos de impacto sobre el empleo, se estima cuantos puesto de trabajo generarían esas inversiones en la actualidad.</w:t>
            </w:r>
          </w:p>
          <w:p w:rsidR="000D0A8C" w:rsidRPr="00794C0E" w:rsidRDefault="000D0A8C" w:rsidP="00104DA9">
            <w:pPr>
              <w:rPr>
                <w:rFonts w:cs="Arial"/>
                <w:lang w:val="es-ES"/>
              </w:rPr>
            </w:pPr>
          </w:p>
          <w:p w:rsidR="000D0A8C" w:rsidRPr="00794C0E" w:rsidRDefault="000D0A8C" w:rsidP="00104DA9">
            <w:pPr>
              <w:jc w:val="center"/>
              <w:rPr>
                <w:rFonts w:cs="Arial"/>
                <w:b/>
                <w:lang w:val="es-ES"/>
              </w:rPr>
            </w:pPr>
            <w:r w:rsidRPr="00794C0E">
              <w:rPr>
                <w:rFonts w:cs="Arial"/>
                <w:b/>
                <w:lang w:val="es-ES"/>
              </w:rPr>
              <w:t>Tabla 1. Empleos Generados por Obras de Infraestructura, según DNIP</w:t>
            </w:r>
          </w:p>
          <w:tbl>
            <w:tblPr>
              <w:tblW w:w="8880" w:type="dxa"/>
              <w:tblInd w:w="55" w:type="dxa"/>
              <w:tblCellMar>
                <w:left w:w="70" w:type="dxa"/>
                <w:right w:w="70" w:type="dxa"/>
              </w:tblCellMar>
              <w:tblLook w:val="04A0" w:firstRow="1" w:lastRow="0" w:firstColumn="1" w:lastColumn="0" w:noHBand="0" w:noVBand="1"/>
            </w:tblPr>
            <w:tblGrid>
              <w:gridCol w:w="1320"/>
              <w:gridCol w:w="1801"/>
              <w:gridCol w:w="1519"/>
              <w:gridCol w:w="1660"/>
              <w:gridCol w:w="1001"/>
              <w:gridCol w:w="1579"/>
            </w:tblGrid>
            <w:tr w:rsidR="000D0A8C" w:rsidRPr="00794C0E" w:rsidTr="00104DA9">
              <w:trPr>
                <w:trHeight w:val="300"/>
              </w:trPr>
              <w:tc>
                <w:tcPr>
                  <w:tcW w:w="1320" w:type="dxa"/>
                  <w:vMerge w:val="restart"/>
                  <w:tcBorders>
                    <w:top w:val="single" w:sz="4" w:space="0" w:color="auto"/>
                    <w:left w:val="single" w:sz="4" w:space="0" w:color="auto"/>
                    <w:bottom w:val="single" w:sz="4" w:space="0" w:color="000000"/>
                    <w:right w:val="single" w:sz="4" w:space="0" w:color="auto"/>
                  </w:tcBorders>
                  <w:noWrap/>
                  <w:vAlign w:val="center"/>
                  <w:hideMark/>
                </w:tcPr>
                <w:p w:rsidR="000D0A8C" w:rsidRPr="00794C0E" w:rsidRDefault="000D0A8C" w:rsidP="00104DA9">
                  <w:pPr>
                    <w:rPr>
                      <w:rFonts w:cs="Arial"/>
                      <w:bCs/>
                      <w:color w:val="000000"/>
                      <w:lang w:val="es-ES" w:eastAsia="es-ES"/>
                    </w:rPr>
                  </w:pPr>
                  <w:r w:rsidRPr="00794C0E">
                    <w:rPr>
                      <w:rFonts w:cs="Arial"/>
                      <w:bCs/>
                      <w:color w:val="000000"/>
                      <w:lang w:val="es-ES" w:eastAsia="es-ES"/>
                    </w:rPr>
                    <w:t xml:space="preserve">Fecha </w:t>
                  </w:r>
                </w:p>
              </w:tc>
              <w:tc>
                <w:tcPr>
                  <w:tcW w:w="3320" w:type="dxa"/>
                  <w:gridSpan w:val="2"/>
                  <w:tcBorders>
                    <w:top w:val="single" w:sz="4" w:space="0" w:color="auto"/>
                    <w:left w:val="nil"/>
                    <w:bottom w:val="single" w:sz="4" w:space="0" w:color="auto"/>
                    <w:right w:val="single" w:sz="4" w:space="0" w:color="000000"/>
                  </w:tcBorders>
                  <w:shd w:val="clear" w:color="auto" w:fill="D9D9D9"/>
                  <w:noWrap/>
                  <w:vAlign w:val="center"/>
                  <w:hideMark/>
                </w:tcPr>
                <w:p w:rsidR="000D0A8C" w:rsidRPr="00794C0E" w:rsidRDefault="000D0A8C" w:rsidP="00104DA9">
                  <w:pPr>
                    <w:rPr>
                      <w:rFonts w:cs="Arial"/>
                      <w:bCs/>
                      <w:color w:val="000000"/>
                      <w:lang w:val="es-ES" w:eastAsia="es-ES"/>
                    </w:rPr>
                  </w:pPr>
                  <w:r w:rsidRPr="00794C0E">
                    <w:rPr>
                      <w:rFonts w:cs="Arial"/>
                      <w:bCs/>
                      <w:color w:val="000000"/>
                      <w:lang w:val="es-ES" w:eastAsia="es-ES"/>
                    </w:rPr>
                    <w:t>A precios de Mercado</w:t>
                  </w:r>
                </w:p>
              </w:tc>
              <w:tc>
                <w:tcPr>
                  <w:tcW w:w="1660" w:type="dxa"/>
                  <w:tcBorders>
                    <w:top w:val="single" w:sz="4" w:space="0" w:color="auto"/>
                    <w:left w:val="nil"/>
                    <w:bottom w:val="single" w:sz="4" w:space="0" w:color="auto"/>
                    <w:right w:val="single" w:sz="4" w:space="0" w:color="auto"/>
                  </w:tcBorders>
                  <w:shd w:val="clear" w:color="auto" w:fill="D9D9D9"/>
                  <w:noWrap/>
                  <w:vAlign w:val="center"/>
                  <w:hideMark/>
                </w:tcPr>
                <w:p w:rsidR="000D0A8C" w:rsidRPr="00794C0E" w:rsidRDefault="000D0A8C" w:rsidP="00104DA9">
                  <w:pPr>
                    <w:rPr>
                      <w:rFonts w:cs="Arial"/>
                      <w:bCs/>
                      <w:color w:val="000000"/>
                      <w:lang w:val="es-ES" w:eastAsia="es-ES"/>
                    </w:rPr>
                  </w:pPr>
                  <w:r w:rsidRPr="00794C0E">
                    <w:rPr>
                      <w:rFonts w:cs="Arial"/>
                      <w:bCs/>
                      <w:color w:val="000000"/>
                      <w:lang w:val="es-ES" w:eastAsia="es-ES"/>
                    </w:rPr>
                    <w:t>A precios Sociales</w:t>
                  </w:r>
                </w:p>
              </w:tc>
              <w:tc>
                <w:tcPr>
                  <w:tcW w:w="2580" w:type="dxa"/>
                  <w:gridSpan w:val="2"/>
                  <w:tcBorders>
                    <w:top w:val="single" w:sz="4" w:space="0" w:color="auto"/>
                    <w:left w:val="nil"/>
                    <w:bottom w:val="nil"/>
                    <w:right w:val="single" w:sz="4" w:space="0" w:color="000000"/>
                  </w:tcBorders>
                  <w:shd w:val="clear" w:color="auto" w:fill="D9D9D9"/>
                  <w:noWrap/>
                  <w:vAlign w:val="center"/>
                  <w:hideMark/>
                </w:tcPr>
                <w:p w:rsidR="000D0A8C" w:rsidRPr="00794C0E" w:rsidRDefault="000D0A8C" w:rsidP="00104DA9">
                  <w:pPr>
                    <w:rPr>
                      <w:rFonts w:cs="Arial"/>
                      <w:color w:val="000000"/>
                      <w:lang w:val="es-ES" w:eastAsia="es-ES"/>
                    </w:rPr>
                  </w:pPr>
                  <w:r w:rsidRPr="00794C0E">
                    <w:rPr>
                      <w:rFonts w:cs="Arial"/>
                      <w:color w:val="000000"/>
                      <w:lang w:val="es-ES" w:eastAsia="es-ES"/>
                    </w:rPr>
                    <w:t>D Empleo</w:t>
                  </w:r>
                </w:p>
              </w:tc>
            </w:tr>
            <w:tr w:rsidR="000D0A8C" w:rsidRPr="00794C0E" w:rsidTr="00104DA9">
              <w:trPr>
                <w:trHeight w:val="274"/>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D0A8C" w:rsidRPr="00794C0E" w:rsidRDefault="000D0A8C" w:rsidP="00104DA9">
                  <w:pPr>
                    <w:rPr>
                      <w:rFonts w:cs="Arial"/>
                      <w:bCs/>
                      <w:color w:val="000000"/>
                      <w:lang w:val="es-ES" w:eastAsia="es-ES"/>
                    </w:rPr>
                  </w:pPr>
                </w:p>
              </w:tc>
              <w:tc>
                <w:tcPr>
                  <w:tcW w:w="1801" w:type="dxa"/>
                  <w:tcBorders>
                    <w:top w:val="nil"/>
                    <w:left w:val="nil"/>
                    <w:bottom w:val="single" w:sz="4" w:space="0" w:color="auto"/>
                    <w:right w:val="nil"/>
                  </w:tcBorders>
                  <w:noWrap/>
                  <w:vAlign w:val="center"/>
                  <w:hideMark/>
                </w:tcPr>
                <w:p w:rsidR="000D0A8C" w:rsidRPr="00794C0E" w:rsidRDefault="000D0A8C" w:rsidP="00104DA9">
                  <w:pPr>
                    <w:rPr>
                      <w:rFonts w:cs="Arial"/>
                      <w:i/>
                      <w:iCs/>
                      <w:color w:val="000000"/>
                      <w:lang w:val="es-ES" w:eastAsia="es-ES"/>
                    </w:rPr>
                  </w:pPr>
                  <w:r w:rsidRPr="00794C0E">
                    <w:rPr>
                      <w:rFonts w:cs="Arial"/>
                      <w:i/>
                      <w:iCs/>
                      <w:color w:val="000000"/>
                      <w:lang w:val="es-ES" w:eastAsia="es-ES"/>
                    </w:rPr>
                    <w:t>$</w:t>
                  </w:r>
                </w:p>
              </w:tc>
              <w:tc>
                <w:tcPr>
                  <w:tcW w:w="1519" w:type="dxa"/>
                  <w:tcBorders>
                    <w:top w:val="nil"/>
                    <w:left w:val="nil"/>
                    <w:bottom w:val="single" w:sz="4" w:space="0" w:color="auto"/>
                    <w:right w:val="single" w:sz="4" w:space="0" w:color="auto"/>
                  </w:tcBorders>
                  <w:noWrap/>
                  <w:vAlign w:val="center"/>
                  <w:hideMark/>
                </w:tcPr>
                <w:p w:rsidR="000D0A8C" w:rsidRPr="00794C0E" w:rsidRDefault="000D0A8C" w:rsidP="00104DA9">
                  <w:pPr>
                    <w:rPr>
                      <w:rFonts w:cs="Arial"/>
                      <w:i/>
                      <w:iCs/>
                      <w:color w:val="000000"/>
                      <w:lang w:val="es-ES" w:eastAsia="es-ES"/>
                    </w:rPr>
                  </w:pPr>
                  <w:r w:rsidRPr="00794C0E">
                    <w:rPr>
                      <w:rFonts w:cs="Arial"/>
                      <w:i/>
                      <w:iCs/>
                      <w:color w:val="000000"/>
                      <w:lang w:val="es-ES" w:eastAsia="es-ES"/>
                    </w:rPr>
                    <w:t>U$S</w:t>
                  </w:r>
                </w:p>
              </w:tc>
              <w:tc>
                <w:tcPr>
                  <w:tcW w:w="1660" w:type="dxa"/>
                  <w:tcBorders>
                    <w:top w:val="nil"/>
                    <w:left w:val="nil"/>
                    <w:bottom w:val="single" w:sz="4" w:space="0" w:color="auto"/>
                    <w:right w:val="single" w:sz="4" w:space="0" w:color="auto"/>
                  </w:tcBorders>
                  <w:noWrap/>
                  <w:vAlign w:val="center"/>
                  <w:hideMark/>
                </w:tcPr>
                <w:p w:rsidR="000D0A8C" w:rsidRPr="00794C0E" w:rsidRDefault="000D0A8C" w:rsidP="00104DA9">
                  <w:pPr>
                    <w:rPr>
                      <w:rFonts w:cs="Arial"/>
                      <w:i/>
                      <w:iCs/>
                      <w:color w:val="000000"/>
                      <w:lang w:val="es-ES" w:eastAsia="es-ES"/>
                    </w:rPr>
                  </w:pPr>
                  <w:r w:rsidRPr="00794C0E">
                    <w:rPr>
                      <w:rFonts w:cs="Arial"/>
                      <w:i/>
                      <w:iCs/>
                      <w:color w:val="000000"/>
                      <w:lang w:val="es-ES" w:eastAsia="es-ES"/>
                    </w:rPr>
                    <w:t>U$S</w:t>
                  </w:r>
                </w:p>
              </w:tc>
              <w:tc>
                <w:tcPr>
                  <w:tcW w:w="1001" w:type="dxa"/>
                  <w:tcBorders>
                    <w:top w:val="single" w:sz="4" w:space="0" w:color="auto"/>
                    <w:left w:val="nil"/>
                    <w:bottom w:val="single" w:sz="4" w:space="0" w:color="auto"/>
                    <w:right w:val="nil"/>
                  </w:tcBorders>
                  <w:noWrap/>
                  <w:vAlign w:val="center"/>
                  <w:hideMark/>
                </w:tcPr>
                <w:p w:rsidR="000D0A8C" w:rsidRPr="00794C0E" w:rsidRDefault="000D0A8C" w:rsidP="00104DA9">
                  <w:pPr>
                    <w:rPr>
                      <w:rFonts w:cs="Arial"/>
                      <w:bCs/>
                      <w:i/>
                      <w:iCs/>
                      <w:color w:val="000000"/>
                      <w:lang w:val="es-ES" w:eastAsia="es-ES"/>
                    </w:rPr>
                  </w:pPr>
                  <w:r w:rsidRPr="00794C0E">
                    <w:rPr>
                      <w:rFonts w:cs="Arial"/>
                      <w:bCs/>
                      <w:i/>
                      <w:iCs/>
                      <w:color w:val="000000"/>
                      <w:lang w:val="es-ES" w:eastAsia="es-ES"/>
                    </w:rPr>
                    <w:t>Totales</w:t>
                  </w:r>
                </w:p>
              </w:tc>
              <w:tc>
                <w:tcPr>
                  <w:tcW w:w="1579" w:type="dxa"/>
                  <w:tcBorders>
                    <w:top w:val="single" w:sz="4" w:space="0" w:color="auto"/>
                    <w:left w:val="single" w:sz="4" w:space="0" w:color="auto"/>
                    <w:bottom w:val="single" w:sz="4" w:space="0" w:color="auto"/>
                    <w:right w:val="single" w:sz="4" w:space="0" w:color="auto"/>
                  </w:tcBorders>
                  <w:vAlign w:val="center"/>
                  <w:hideMark/>
                </w:tcPr>
                <w:p w:rsidR="000D0A8C" w:rsidRPr="00794C0E" w:rsidRDefault="000D0A8C" w:rsidP="00104DA9">
                  <w:pPr>
                    <w:rPr>
                      <w:rFonts w:cs="Arial"/>
                      <w:bCs/>
                      <w:i/>
                      <w:iCs/>
                      <w:color w:val="000000"/>
                      <w:lang w:val="es-ES" w:eastAsia="es-ES"/>
                    </w:rPr>
                  </w:pPr>
                  <w:r w:rsidRPr="00794C0E">
                    <w:rPr>
                      <w:rFonts w:cs="Arial"/>
                      <w:bCs/>
                      <w:i/>
                      <w:iCs/>
                      <w:color w:val="000000"/>
                      <w:lang w:val="es-ES" w:eastAsia="es-ES"/>
                    </w:rPr>
                    <w:t>Cada</w:t>
                  </w:r>
                  <w:r w:rsidRPr="00794C0E">
                    <w:rPr>
                      <w:rFonts w:cs="Arial"/>
                      <w:bCs/>
                      <w:i/>
                      <w:iCs/>
                      <w:color w:val="000000"/>
                      <w:lang w:val="es-ES" w:eastAsia="es-ES"/>
                    </w:rPr>
                    <w:br/>
                    <w:t>U$S 1.000.000</w:t>
                  </w:r>
                </w:p>
              </w:tc>
            </w:tr>
            <w:tr w:rsidR="000D0A8C" w:rsidRPr="00794C0E" w:rsidTr="00104DA9">
              <w:trPr>
                <w:trHeight w:val="300"/>
              </w:trPr>
              <w:tc>
                <w:tcPr>
                  <w:tcW w:w="1320" w:type="dxa"/>
                  <w:tcBorders>
                    <w:top w:val="nil"/>
                    <w:left w:val="single" w:sz="4" w:space="0" w:color="auto"/>
                    <w:bottom w:val="single" w:sz="4" w:space="0" w:color="auto"/>
                    <w:right w:val="single" w:sz="4" w:space="0" w:color="auto"/>
                  </w:tcBorders>
                  <w:noWrap/>
                  <w:vAlign w:val="center"/>
                  <w:hideMark/>
                </w:tcPr>
                <w:p w:rsidR="000D0A8C" w:rsidRPr="00794C0E" w:rsidRDefault="000D0A8C" w:rsidP="00104DA9">
                  <w:pPr>
                    <w:rPr>
                      <w:rFonts w:cs="Arial"/>
                      <w:color w:val="000000"/>
                      <w:lang w:val="es-ES" w:eastAsia="es-ES"/>
                    </w:rPr>
                  </w:pPr>
                  <w:r w:rsidRPr="00794C0E">
                    <w:rPr>
                      <w:rFonts w:cs="Arial"/>
                      <w:color w:val="000000"/>
                      <w:lang w:val="es-ES" w:eastAsia="es-ES"/>
                    </w:rPr>
                    <w:t>Prom 2004</w:t>
                  </w:r>
                </w:p>
              </w:tc>
              <w:tc>
                <w:tcPr>
                  <w:tcW w:w="1801" w:type="dxa"/>
                  <w:tcBorders>
                    <w:top w:val="nil"/>
                    <w:left w:val="nil"/>
                    <w:bottom w:val="single" w:sz="4" w:space="0" w:color="auto"/>
                    <w:right w:val="nil"/>
                  </w:tcBorders>
                  <w:noWrap/>
                  <w:vAlign w:val="center"/>
                  <w:hideMark/>
                </w:tcPr>
                <w:p w:rsidR="000D0A8C" w:rsidRPr="00794C0E" w:rsidRDefault="000D0A8C" w:rsidP="00104DA9">
                  <w:pPr>
                    <w:rPr>
                      <w:rFonts w:cs="Arial"/>
                      <w:color w:val="000000"/>
                      <w:lang w:val="es-ES" w:eastAsia="es-ES"/>
                    </w:rPr>
                  </w:pPr>
                  <w:r w:rsidRPr="00794C0E">
                    <w:rPr>
                      <w:rFonts w:cs="Arial"/>
                      <w:color w:val="000000"/>
                      <w:lang w:val="es-ES" w:eastAsia="es-ES"/>
                    </w:rPr>
                    <w:t xml:space="preserve">        9.686.551.887   </w:t>
                  </w:r>
                </w:p>
              </w:tc>
              <w:tc>
                <w:tcPr>
                  <w:tcW w:w="1519" w:type="dxa"/>
                  <w:tcBorders>
                    <w:top w:val="nil"/>
                    <w:left w:val="nil"/>
                    <w:bottom w:val="single" w:sz="4" w:space="0" w:color="auto"/>
                    <w:right w:val="single" w:sz="4" w:space="0" w:color="auto"/>
                  </w:tcBorders>
                  <w:shd w:val="clear" w:color="auto" w:fill="000000"/>
                  <w:noWrap/>
                  <w:vAlign w:val="center"/>
                  <w:hideMark/>
                </w:tcPr>
                <w:p w:rsidR="000D0A8C" w:rsidRPr="00794C0E" w:rsidRDefault="000D0A8C" w:rsidP="00104DA9">
                  <w:pPr>
                    <w:rPr>
                      <w:rFonts w:cs="Arial"/>
                      <w:color w:val="000000"/>
                      <w:lang w:val="es-ES" w:eastAsia="es-ES"/>
                    </w:rPr>
                  </w:pPr>
                  <w:r w:rsidRPr="00794C0E">
                    <w:rPr>
                      <w:rFonts w:cs="Arial"/>
                      <w:color w:val="000000"/>
                      <w:lang w:val="es-ES" w:eastAsia="es-ES"/>
                    </w:rPr>
                    <w:t> </w:t>
                  </w:r>
                </w:p>
              </w:tc>
              <w:tc>
                <w:tcPr>
                  <w:tcW w:w="1660" w:type="dxa"/>
                  <w:tcBorders>
                    <w:top w:val="nil"/>
                    <w:left w:val="nil"/>
                    <w:bottom w:val="single" w:sz="4" w:space="0" w:color="auto"/>
                    <w:right w:val="single" w:sz="4" w:space="0" w:color="auto"/>
                  </w:tcBorders>
                  <w:shd w:val="clear" w:color="auto" w:fill="000000"/>
                  <w:noWrap/>
                  <w:vAlign w:val="center"/>
                  <w:hideMark/>
                </w:tcPr>
                <w:p w:rsidR="000D0A8C" w:rsidRPr="00794C0E" w:rsidRDefault="000D0A8C" w:rsidP="00104DA9">
                  <w:pPr>
                    <w:rPr>
                      <w:rFonts w:cs="Arial"/>
                      <w:color w:val="000000"/>
                      <w:lang w:val="es-ES" w:eastAsia="es-ES"/>
                    </w:rPr>
                  </w:pPr>
                  <w:r w:rsidRPr="00794C0E">
                    <w:rPr>
                      <w:rFonts w:cs="Arial"/>
                      <w:color w:val="000000"/>
                      <w:lang w:val="es-ES" w:eastAsia="es-ES"/>
                    </w:rPr>
                    <w:t> </w:t>
                  </w:r>
                </w:p>
              </w:tc>
              <w:tc>
                <w:tcPr>
                  <w:tcW w:w="1001" w:type="dxa"/>
                  <w:shd w:val="clear" w:color="auto" w:fill="000000"/>
                  <w:noWrap/>
                  <w:vAlign w:val="bottom"/>
                  <w:hideMark/>
                </w:tcPr>
                <w:p w:rsidR="000D0A8C" w:rsidRPr="00794C0E" w:rsidRDefault="000D0A8C" w:rsidP="00104DA9">
                  <w:pPr>
                    <w:rPr>
                      <w:rFonts w:cs="Arial"/>
                      <w:color w:val="000000"/>
                      <w:lang w:val="es-ES" w:eastAsia="es-ES"/>
                    </w:rPr>
                  </w:pPr>
                  <w:r w:rsidRPr="00794C0E">
                    <w:rPr>
                      <w:rFonts w:cs="Arial"/>
                      <w:color w:val="000000"/>
                      <w:lang w:val="es-ES" w:eastAsia="es-ES"/>
                    </w:rPr>
                    <w:t> </w:t>
                  </w:r>
                </w:p>
              </w:tc>
              <w:tc>
                <w:tcPr>
                  <w:tcW w:w="1579" w:type="dxa"/>
                  <w:tcBorders>
                    <w:top w:val="nil"/>
                    <w:left w:val="nil"/>
                    <w:bottom w:val="nil"/>
                    <w:right w:val="single" w:sz="4" w:space="0" w:color="auto"/>
                  </w:tcBorders>
                  <w:shd w:val="clear" w:color="auto" w:fill="000000"/>
                  <w:noWrap/>
                  <w:vAlign w:val="bottom"/>
                  <w:hideMark/>
                </w:tcPr>
                <w:p w:rsidR="000D0A8C" w:rsidRPr="00794C0E" w:rsidRDefault="000D0A8C" w:rsidP="00104DA9">
                  <w:pPr>
                    <w:rPr>
                      <w:rFonts w:cs="Arial"/>
                      <w:color w:val="000000"/>
                      <w:lang w:val="es-ES" w:eastAsia="es-ES"/>
                    </w:rPr>
                  </w:pPr>
                  <w:r w:rsidRPr="00794C0E">
                    <w:rPr>
                      <w:rFonts w:cs="Arial"/>
                      <w:color w:val="000000"/>
                      <w:lang w:val="es-ES" w:eastAsia="es-ES"/>
                    </w:rPr>
                    <w:t> </w:t>
                  </w:r>
                </w:p>
              </w:tc>
            </w:tr>
            <w:tr w:rsidR="000D0A8C" w:rsidRPr="00794C0E" w:rsidTr="00104DA9">
              <w:trPr>
                <w:trHeight w:val="300"/>
              </w:trPr>
              <w:tc>
                <w:tcPr>
                  <w:tcW w:w="1320" w:type="dxa"/>
                  <w:tcBorders>
                    <w:top w:val="nil"/>
                    <w:left w:val="single" w:sz="4" w:space="0" w:color="auto"/>
                    <w:bottom w:val="single" w:sz="4" w:space="0" w:color="auto"/>
                    <w:right w:val="single" w:sz="4" w:space="0" w:color="auto"/>
                  </w:tcBorders>
                  <w:noWrap/>
                  <w:vAlign w:val="center"/>
                  <w:hideMark/>
                </w:tcPr>
                <w:p w:rsidR="000D0A8C" w:rsidRPr="00794C0E" w:rsidRDefault="000D0A8C" w:rsidP="00104DA9">
                  <w:pPr>
                    <w:rPr>
                      <w:rFonts w:cs="Arial"/>
                      <w:color w:val="000000"/>
                      <w:lang w:val="es-ES" w:eastAsia="es-ES"/>
                    </w:rPr>
                  </w:pPr>
                  <w:r w:rsidRPr="00794C0E">
                    <w:rPr>
                      <w:rFonts w:cs="Arial"/>
                      <w:color w:val="000000"/>
                      <w:lang w:val="es-ES" w:eastAsia="es-ES"/>
                    </w:rPr>
                    <w:t xml:space="preserve"> Agosto 2016</w:t>
                  </w:r>
                </w:p>
              </w:tc>
              <w:tc>
                <w:tcPr>
                  <w:tcW w:w="1801" w:type="dxa"/>
                  <w:tcBorders>
                    <w:top w:val="nil"/>
                    <w:left w:val="nil"/>
                    <w:bottom w:val="single" w:sz="4" w:space="0" w:color="auto"/>
                    <w:right w:val="nil"/>
                  </w:tcBorders>
                  <w:noWrap/>
                  <w:vAlign w:val="center"/>
                  <w:hideMark/>
                </w:tcPr>
                <w:p w:rsidR="000D0A8C" w:rsidRPr="00794C0E" w:rsidRDefault="000D0A8C" w:rsidP="00104DA9">
                  <w:pPr>
                    <w:rPr>
                      <w:rFonts w:cs="Arial"/>
                      <w:color w:val="000000"/>
                      <w:lang w:val="es-ES" w:eastAsia="es-ES"/>
                    </w:rPr>
                  </w:pPr>
                  <w:r w:rsidRPr="00794C0E">
                    <w:rPr>
                      <w:rFonts w:cs="Arial"/>
                      <w:color w:val="000000"/>
                      <w:lang w:val="es-ES" w:eastAsia="es-ES"/>
                    </w:rPr>
                    <w:t xml:space="preserve">    143.069.625.007   </w:t>
                  </w:r>
                </w:p>
              </w:tc>
              <w:tc>
                <w:tcPr>
                  <w:tcW w:w="1519" w:type="dxa"/>
                  <w:tcBorders>
                    <w:top w:val="nil"/>
                    <w:left w:val="nil"/>
                    <w:bottom w:val="single" w:sz="4" w:space="0" w:color="auto"/>
                    <w:right w:val="single" w:sz="4" w:space="0" w:color="auto"/>
                  </w:tcBorders>
                  <w:noWrap/>
                  <w:vAlign w:val="center"/>
                  <w:hideMark/>
                </w:tcPr>
                <w:p w:rsidR="000D0A8C" w:rsidRPr="00794C0E" w:rsidRDefault="000D0A8C" w:rsidP="00104DA9">
                  <w:pPr>
                    <w:rPr>
                      <w:rFonts w:cs="Arial"/>
                      <w:color w:val="000000"/>
                      <w:lang w:val="es-ES" w:eastAsia="es-ES"/>
                    </w:rPr>
                  </w:pPr>
                  <w:r w:rsidRPr="00794C0E">
                    <w:rPr>
                      <w:rFonts w:cs="Arial"/>
                      <w:color w:val="000000"/>
                      <w:lang w:val="es-ES" w:eastAsia="es-ES"/>
                    </w:rPr>
                    <w:t xml:space="preserve">   9.537.975.000   </w:t>
                  </w:r>
                </w:p>
              </w:tc>
              <w:tc>
                <w:tcPr>
                  <w:tcW w:w="1660" w:type="dxa"/>
                  <w:tcBorders>
                    <w:top w:val="nil"/>
                    <w:left w:val="nil"/>
                    <w:bottom w:val="single" w:sz="4" w:space="0" w:color="auto"/>
                    <w:right w:val="single" w:sz="4" w:space="0" w:color="auto"/>
                  </w:tcBorders>
                  <w:noWrap/>
                  <w:vAlign w:val="center"/>
                  <w:hideMark/>
                </w:tcPr>
                <w:p w:rsidR="000D0A8C" w:rsidRPr="00794C0E" w:rsidRDefault="000D0A8C" w:rsidP="00104DA9">
                  <w:pPr>
                    <w:rPr>
                      <w:rFonts w:cs="Arial"/>
                      <w:bCs/>
                      <w:color w:val="000000"/>
                      <w:lang w:val="es-ES" w:eastAsia="es-ES"/>
                    </w:rPr>
                  </w:pPr>
                  <w:r w:rsidRPr="00794C0E">
                    <w:rPr>
                      <w:rFonts w:cs="Arial"/>
                      <w:bCs/>
                      <w:color w:val="000000"/>
                      <w:lang w:val="es-ES" w:eastAsia="es-ES"/>
                    </w:rPr>
                    <w:t xml:space="preserve">     6.657.506.550   </w:t>
                  </w:r>
                </w:p>
              </w:tc>
              <w:tc>
                <w:tcPr>
                  <w:tcW w:w="1001" w:type="dxa"/>
                  <w:tcBorders>
                    <w:top w:val="single" w:sz="4" w:space="0" w:color="auto"/>
                    <w:left w:val="nil"/>
                    <w:bottom w:val="single" w:sz="4" w:space="0" w:color="auto"/>
                    <w:right w:val="single" w:sz="4" w:space="0" w:color="auto"/>
                  </w:tcBorders>
                  <w:noWrap/>
                  <w:vAlign w:val="center"/>
                  <w:hideMark/>
                </w:tcPr>
                <w:p w:rsidR="000D0A8C" w:rsidRPr="00794C0E" w:rsidRDefault="000D0A8C" w:rsidP="00104DA9">
                  <w:pPr>
                    <w:rPr>
                      <w:rFonts w:cs="Arial"/>
                      <w:bCs/>
                      <w:color w:val="000000"/>
                      <w:lang w:val="es-ES" w:eastAsia="es-ES"/>
                    </w:rPr>
                  </w:pPr>
                  <w:r w:rsidRPr="00794C0E">
                    <w:rPr>
                      <w:rFonts w:cs="Arial"/>
                      <w:bCs/>
                      <w:color w:val="000000"/>
                      <w:lang w:val="es-ES" w:eastAsia="es-ES"/>
                    </w:rPr>
                    <w:t xml:space="preserve">    344.000   </w:t>
                  </w:r>
                </w:p>
              </w:tc>
              <w:tc>
                <w:tcPr>
                  <w:tcW w:w="1579" w:type="dxa"/>
                  <w:tcBorders>
                    <w:top w:val="single" w:sz="4" w:space="0" w:color="auto"/>
                    <w:left w:val="nil"/>
                    <w:bottom w:val="single" w:sz="4" w:space="0" w:color="auto"/>
                    <w:right w:val="single" w:sz="4" w:space="0" w:color="auto"/>
                  </w:tcBorders>
                  <w:noWrap/>
                  <w:vAlign w:val="center"/>
                  <w:hideMark/>
                </w:tcPr>
                <w:p w:rsidR="000D0A8C" w:rsidRPr="00794C0E" w:rsidRDefault="000D0A8C" w:rsidP="00104DA9">
                  <w:pPr>
                    <w:rPr>
                      <w:rFonts w:cs="Arial"/>
                      <w:bCs/>
                      <w:color w:val="000000"/>
                      <w:lang w:val="es-ES" w:eastAsia="es-ES"/>
                    </w:rPr>
                  </w:pPr>
                  <w:r w:rsidRPr="00794C0E">
                    <w:rPr>
                      <w:rFonts w:cs="Arial"/>
                      <w:bCs/>
                      <w:color w:val="000000"/>
                      <w:lang w:val="es-ES" w:eastAsia="es-ES"/>
                    </w:rPr>
                    <w:t xml:space="preserve">                       52   </w:t>
                  </w:r>
                </w:p>
              </w:tc>
            </w:tr>
          </w:tbl>
          <w:p w:rsidR="000D0A8C" w:rsidRPr="00794C0E" w:rsidRDefault="000D0A8C" w:rsidP="00104DA9">
            <w:pPr>
              <w:rPr>
                <w:rFonts w:cs="Arial"/>
                <w:lang w:val="es-ES"/>
              </w:rPr>
            </w:pPr>
            <w:r w:rsidRPr="00794C0E">
              <w:rPr>
                <w:rFonts w:cs="Arial"/>
                <w:lang w:val="es-ES"/>
              </w:rPr>
              <w:t xml:space="preserve"> Fuente: Elaborado en base a ICC de INDEC y Salvatore, N y Dobowicz, D (2007)</w:t>
            </w:r>
          </w:p>
          <w:p w:rsidR="000D0A8C" w:rsidRPr="00794C0E" w:rsidRDefault="000D0A8C" w:rsidP="00104DA9">
            <w:pPr>
              <w:rPr>
                <w:rFonts w:cs="Arial"/>
                <w:lang w:val="es-ES"/>
              </w:rPr>
            </w:pPr>
          </w:p>
          <w:p w:rsidR="000D0A8C" w:rsidRPr="00794C0E" w:rsidRDefault="000D0A8C" w:rsidP="00104DA9">
            <w:pPr>
              <w:rPr>
                <w:rFonts w:cs="Arial"/>
                <w:b/>
                <w:lang w:val="es-ES"/>
              </w:rPr>
            </w:pPr>
            <w:r w:rsidRPr="00794C0E">
              <w:rPr>
                <w:rFonts w:cs="Arial"/>
                <w:b/>
                <w:lang w:val="es-ES"/>
              </w:rPr>
              <w:t>Paso 4. Estimación de puestos de trabajo incrementales del Programa</w:t>
            </w:r>
          </w:p>
          <w:p w:rsidR="000D0A8C" w:rsidRPr="00794C0E" w:rsidRDefault="000D0A8C" w:rsidP="00104DA9">
            <w:pPr>
              <w:rPr>
                <w:rFonts w:cs="Arial"/>
                <w:lang w:val="es-ES"/>
              </w:rPr>
            </w:pPr>
            <w:r w:rsidRPr="00794C0E">
              <w:rPr>
                <w:rFonts w:cs="Arial"/>
                <w:lang w:val="es-ES"/>
              </w:rPr>
              <w:t>Se reexpresan los valores del componente destinado a obras de infraestructura a precios sociales, y según los resultados de la Tabla 1, se estiman los puestos de trabajo que generarán dichas intervenciones.</w:t>
            </w:r>
          </w:p>
          <w:p w:rsidR="000D0A8C" w:rsidRPr="00794C0E" w:rsidRDefault="000D0A8C" w:rsidP="00104DA9">
            <w:pPr>
              <w:rPr>
                <w:rFonts w:cs="Arial"/>
                <w:lang w:val="es-ES"/>
              </w:rPr>
            </w:pPr>
            <w:r w:rsidRPr="00794C0E">
              <w:rPr>
                <w:rFonts w:cs="Arial"/>
                <w:lang w:val="es-ES"/>
              </w:rPr>
              <w:br w:type="page"/>
            </w:r>
          </w:p>
          <w:p w:rsidR="000D0A8C" w:rsidRPr="00794C0E" w:rsidRDefault="000D0A8C" w:rsidP="00104DA9">
            <w:pPr>
              <w:jc w:val="center"/>
              <w:rPr>
                <w:rFonts w:cs="Arial"/>
                <w:b/>
                <w:lang w:val="es-ES"/>
              </w:rPr>
            </w:pPr>
            <w:r w:rsidRPr="00794C0E">
              <w:rPr>
                <w:rFonts w:cs="Arial"/>
                <w:b/>
                <w:lang w:val="es-ES"/>
              </w:rPr>
              <w:t>Tabla 2. Estimación de empleos que generarán el Programa</w:t>
            </w:r>
          </w:p>
          <w:tbl>
            <w:tblPr>
              <w:tblW w:w="5320" w:type="dxa"/>
              <w:jc w:val="center"/>
              <w:tblInd w:w="55" w:type="dxa"/>
              <w:tblCellMar>
                <w:left w:w="70" w:type="dxa"/>
                <w:right w:w="70" w:type="dxa"/>
              </w:tblCellMar>
              <w:tblLook w:val="04A0" w:firstRow="1" w:lastRow="0" w:firstColumn="1" w:lastColumn="0" w:noHBand="0" w:noVBand="1"/>
            </w:tblPr>
            <w:tblGrid>
              <w:gridCol w:w="1744"/>
              <w:gridCol w:w="1796"/>
              <w:gridCol w:w="1780"/>
            </w:tblGrid>
            <w:tr w:rsidR="000D0A8C" w:rsidRPr="00794C0E" w:rsidTr="00104DA9">
              <w:trPr>
                <w:trHeight w:val="600"/>
                <w:jc w:val="center"/>
              </w:trPr>
              <w:tc>
                <w:tcPr>
                  <w:tcW w:w="3540" w:type="dxa"/>
                  <w:gridSpan w:val="2"/>
                  <w:tcBorders>
                    <w:top w:val="single" w:sz="4" w:space="0" w:color="auto"/>
                    <w:left w:val="single" w:sz="4" w:space="0" w:color="auto"/>
                    <w:bottom w:val="single" w:sz="4" w:space="0" w:color="auto"/>
                    <w:right w:val="single" w:sz="4" w:space="0" w:color="000000"/>
                  </w:tcBorders>
                  <w:shd w:val="clear" w:color="auto" w:fill="D9D9D9"/>
                  <w:vAlign w:val="bottom"/>
                  <w:hideMark/>
                </w:tcPr>
                <w:p w:rsidR="000D0A8C" w:rsidRPr="00794C0E" w:rsidRDefault="000D0A8C" w:rsidP="00104DA9">
                  <w:pPr>
                    <w:rPr>
                      <w:rFonts w:cs="Arial"/>
                      <w:bCs/>
                      <w:color w:val="000000"/>
                      <w:lang w:val="es-ES" w:eastAsia="es-ES"/>
                    </w:rPr>
                  </w:pPr>
                  <w:r w:rsidRPr="00794C0E">
                    <w:rPr>
                      <w:rFonts w:cs="Arial"/>
                      <w:bCs/>
                      <w:color w:val="000000"/>
                      <w:lang w:val="es-ES" w:eastAsia="es-ES"/>
                    </w:rPr>
                    <w:t>Inversiones</w:t>
                  </w:r>
                  <w:r w:rsidRPr="00794C0E">
                    <w:rPr>
                      <w:rFonts w:cs="Arial"/>
                      <w:bCs/>
                      <w:color w:val="000000"/>
                      <w:lang w:val="es-ES" w:eastAsia="es-ES"/>
                    </w:rPr>
                    <w:br/>
                    <w:t>Programa (U$S)</w:t>
                  </w:r>
                </w:p>
              </w:tc>
              <w:tc>
                <w:tcPr>
                  <w:tcW w:w="1780" w:type="dxa"/>
                  <w:vMerge w:val="restart"/>
                  <w:tcBorders>
                    <w:top w:val="single" w:sz="4" w:space="0" w:color="auto"/>
                    <w:left w:val="nil"/>
                    <w:bottom w:val="single" w:sz="4" w:space="0" w:color="000000"/>
                    <w:right w:val="single" w:sz="4" w:space="0" w:color="auto"/>
                  </w:tcBorders>
                  <w:shd w:val="clear" w:color="auto" w:fill="D9D9D9"/>
                  <w:noWrap/>
                  <w:vAlign w:val="center"/>
                  <w:hideMark/>
                </w:tcPr>
                <w:p w:rsidR="000D0A8C" w:rsidRPr="00794C0E" w:rsidRDefault="000D0A8C" w:rsidP="00104DA9">
                  <w:pPr>
                    <w:rPr>
                      <w:rFonts w:cs="Arial"/>
                      <w:bCs/>
                      <w:color w:val="000000"/>
                      <w:lang w:val="es-ES" w:eastAsia="es-ES"/>
                    </w:rPr>
                  </w:pPr>
                  <w:r w:rsidRPr="00794C0E">
                    <w:rPr>
                      <w:rFonts w:cs="Arial"/>
                      <w:bCs/>
                      <w:color w:val="000000"/>
                      <w:lang w:val="es-ES" w:eastAsia="es-ES"/>
                    </w:rPr>
                    <w:t>D Empleo</w:t>
                  </w:r>
                </w:p>
              </w:tc>
            </w:tr>
            <w:tr w:rsidR="000D0A8C" w:rsidRPr="00794C0E" w:rsidTr="00104DA9">
              <w:trPr>
                <w:trHeight w:val="300"/>
                <w:jc w:val="center"/>
              </w:trPr>
              <w:tc>
                <w:tcPr>
                  <w:tcW w:w="1744" w:type="dxa"/>
                  <w:tcBorders>
                    <w:top w:val="nil"/>
                    <w:left w:val="single" w:sz="4" w:space="0" w:color="auto"/>
                    <w:bottom w:val="single" w:sz="4" w:space="0" w:color="auto"/>
                    <w:right w:val="single" w:sz="4" w:space="0" w:color="auto"/>
                  </w:tcBorders>
                  <w:noWrap/>
                  <w:vAlign w:val="bottom"/>
                  <w:hideMark/>
                </w:tcPr>
                <w:p w:rsidR="000D0A8C" w:rsidRPr="00794C0E" w:rsidRDefault="000D0A8C" w:rsidP="00104DA9">
                  <w:pPr>
                    <w:rPr>
                      <w:rFonts w:cs="Arial"/>
                      <w:i/>
                      <w:iCs/>
                      <w:color w:val="000000"/>
                      <w:lang w:val="es-ES" w:eastAsia="es-ES"/>
                    </w:rPr>
                  </w:pPr>
                  <w:r w:rsidRPr="00794C0E">
                    <w:rPr>
                      <w:rFonts w:cs="Arial"/>
                      <w:i/>
                      <w:iCs/>
                      <w:color w:val="000000"/>
                      <w:lang w:val="es-ES" w:eastAsia="es-ES"/>
                    </w:rPr>
                    <w:t>Precios Mercado</w:t>
                  </w:r>
                </w:p>
              </w:tc>
              <w:tc>
                <w:tcPr>
                  <w:tcW w:w="1796" w:type="dxa"/>
                  <w:tcBorders>
                    <w:top w:val="nil"/>
                    <w:left w:val="nil"/>
                    <w:bottom w:val="single" w:sz="4" w:space="0" w:color="auto"/>
                    <w:right w:val="single" w:sz="4" w:space="0" w:color="auto"/>
                  </w:tcBorders>
                  <w:noWrap/>
                  <w:vAlign w:val="bottom"/>
                  <w:hideMark/>
                </w:tcPr>
                <w:p w:rsidR="000D0A8C" w:rsidRPr="00794C0E" w:rsidRDefault="000D0A8C" w:rsidP="00104DA9">
                  <w:pPr>
                    <w:rPr>
                      <w:rFonts w:cs="Arial"/>
                      <w:i/>
                      <w:iCs/>
                      <w:color w:val="000000"/>
                      <w:lang w:val="es-ES" w:eastAsia="es-ES"/>
                    </w:rPr>
                  </w:pPr>
                  <w:r w:rsidRPr="00794C0E">
                    <w:rPr>
                      <w:rFonts w:cs="Arial"/>
                      <w:i/>
                      <w:iCs/>
                      <w:color w:val="000000"/>
                      <w:lang w:val="es-ES" w:eastAsia="es-ES"/>
                    </w:rPr>
                    <w:t>Precios Sociales</w:t>
                  </w:r>
                </w:p>
              </w:tc>
              <w:tc>
                <w:tcPr>
                  <w:tcW w:w="0" w:type="auto"/>
                  <w:vMerge/>
                  <w:tcBorders>
                    <w:top w:val="single" w:sz="4" w:space="0" w:color="auto"/>
                    <w:left w:val="nil"/>
                    <w:bottom w:val="single" w:sz="4" w:space="0" w:color="000000"/>
                    <w:right w:val="single" w:sz="4" w:space="0" w:color="auto"/>
                  </w:tcBorders>
                  <w:vAlign w:val="center"/>
                  <w:hideMark/>
                </w:tcPr>
                <w:p w:rsidR="000D0A8C" w:rsidRPr="00794C0E" w:rsidRDefault="000D0A8C" w:rsidP="00104DA9">
                  <w:pPr>
                    <w:rPr>
                      <w:rFonts w:cs="Arial"/>
                      <w:bCs/>
                      <w:color w:val="000000"/>
                      <w:lang w:val="es-ES" w:eastAsia="es-ES"/>
                    </w:rPr>
                  </w:pPr>
                </w:p>
              </w:tc>
            </w:tr>
            <w:tr w:rsidR="000D0A8C" w:rsidRPr="00794C0E" w:rsidTr="00104DA9">
              <w:trPr>
                <w:trHeight w:val="300"/>
                <w:jc w:val="center"/>
              </w:trPr>
              <w:tc>
                <w:tcPr>
                  <w:tcW w:w="1744" w:type="dxa"/>
                  <w:tcBorders>
                    <w:top w:val="nil"/>
                    <w:left w:val="single" w:sz="4" w:space="0" w:color="auto"/>
                    <w:bottom w:val="single" w:sz="4" w:space="0" w:color="auto"/>
                    <w:right w:val="single" w:sz="4" w:space="0" w:color="auto"/>
                  </w:tcBorders>
                  <w:noWrap/>
                  <w:vAlign w:val="bottom"/>
                  <w:hideMark/>
                </w:tcPr>
                <w:p w:rsidR="000D0A8C" w:rsidRPr="00794C0E" w:rsidRDefault="000D0A8C" w:rsidP="00104DA9">
                  <w:pPr>
                    <w:rPr>
                      <w:rFonts w:cs="Arial"/>
                      <w:color w:val="000000"/>
                      <w:lang w:val="es-ES" w:eastAsia="es-ES"/>
                    </w:rPr>
                  </w:pPr>
                  <w:r w:rsidRPr="00794C0E">
                    <w:rPr>
                      <w:rFonts w:cs="Arial"/>
                      <w:color w:val="000000"/>
                      <w:lang w:val="es-ES" w:eastAsia="es-ES"/>
                    </w:rPr>
                    <w:t xml:space="preserve">             96.000.000   </w:t>
                  </w:r>
                </w:p>
              </w:tc>
              <w:tc>
                <w:tcPr>
                  <w:tcW w:w="1796" w:type="dxa"/>
                  <w:tcBorders>
                    <w:top w:val="nil"/>
                    <w:left w:val="nil"/>
                    <w:bottom w:val="single" w:sz="4" w:space="0" w:color="auto"/>
                    <w:right w:val="single" w:sz="4" w:space="0" w:color="auto"/>
                  </w:tcBorders>
                  <w:noWrap/>
                  <w:vAlign w:val="bottom"/>
                  <w:hideMark/>
                </w:tcPr>
                <w:p w:rsidR="000D0A8C" w:rsidRPr="00794C0E" w:rsidRDefault="000D0A8C" w:rsidP="00104DA9">
                  <w:pPr>
                    <w:rPr>
                      <w:rFonts w:cs="Arial"/>
                      <w:color w:val="000000"/>
                      <w:lang w:val="es-ES" w:eastAsia="es-ES"/>
                    </w:rPr>
                  </w:pPr>
                  <w:r w:rsidRPr="00794C0E">
                    <w:rPr>
                      <w:rFonts w:cs="Arial"/>
                      <w:color w:val="000000"/>
                      <w:lang w:val="es-ES" w:eastAsia="es-ES"/>
                    </w:rPr>
                    <w:t xml:space="preserve">              67.008.000   </w:t>
                  </w:r>
                </w:p>
              </w:tc>
              <w:tc>
                <w:tcPr>
                  <w:tcW w:w="1780" w:type="dxa"/>
                  <w:tcBorders>
                    <w:top w:val="nil"/>
                    <w:left w:val="nil"/>
                    <w:bottom w:val="single" w:sz="4" w:space="0" w:color="auto"/>
                    <w:right w:val="single" w:sz="4" w:space="0" w:color="auto"/>
                  </w:tcBorders>
                  <w:noWrap/>
                  <w:vAlign w:val="bottom"/>
                  <w:hideMark/>
                </w:tcPr>
                <w:p w:rsidR="000D0A8C" w:rsidRPr="00794C0E" w:rsidRDefault="000D0A8C" w:rsidP="00104DA9">
                  <w:pPr>
                    <w:rPr>
                      <w:rFonts w:cs="Arial"/>
                      <w:color w:val="000000"/>
                      <w:lang w:val="es-ES" w:eastAsia="es-ES"/>
                    </w:rPr>
                  </w:pPr>
                  <w:r w:rsidRPr="00794C0E">
                    <w:rPr>
                      <w:rFonts w:cs="Arial"/>
                      <w:color w:val="000000"/>
                      <w:lang w:val="es-ES" w:eastAsia="es-ES"/>
                    </w:rPr>
                    <w:t xml:space="preserve">                        3.462   </w:t>
                  </w:r>
                </w:p>
              </w:tc>
            </w:tr>
          </w:tbl>
          <w:p w:rsidR="000D0A8C" w:rsidRPr="00794C0E" w:rsidRDefault="000D0A8C" w:rsidP="00104DA9">
            <w:pPr>
              <w:rPr>
                <w:rFonts w:cs="Arial"/>
                <w:lang w:val="es-ES"/>
              </w:rPr>
            </w:pPr>
            <w:r w:rsidRPr="00794C0E">
              <w:rPr>
                <w:rFonts w:cs="Arial"/>
                <w:lang w:val="es-ES"/>
              </w:rPr>
              <w:t xml:space="preserve">                                   Fuente: Tabla I, Inversiones Componente 2 del Prog.</w:t>
            </w:r>
          </w:p>
          <w:p w:rsidR="000D0A8C" w:rsidRPr="00794C0E" w:rsidRDefault="000D0A8C" w:rsidP="00104DA9">
            <w:pPr>
              <w:rPr>
                <w:rFonts w:cs="Arial"/>
                <w:sz w:val="22"/>
                <w:szCs w:val="22"/>
                <w:lang w:val="es-ES"/>
              </w:rPr>
            </w:pPr>
          </w:p>
          <w:p w:rsidR="000D0A8C" w:rsidRPr="00794C0E" w:rsidRDefault="000D0A8C" w:rsidP="00104DA9">
            <w:pPr>
              <w:rPr>
                <w:rFonts w:cs="Arial"/>
                <w:sz w:val="16"/>
                <w:szCs w:val="16"/>
                <w:lang w:val="es-ES"/>
              </w:rPr>
            </w:pPr>
            <w:r w:rsidRPr="00794C0E">
              <w:rPr>
                <w:rFonts w:cs="Arial"/>
                <w:sz w:val="22"/>
                <w:szCs w:val="22"/>
                <w:vertAlign w:val="superscript"/>
                <w:lang w:val="es-ES"/>
              </w:rPr>
              <w:t>a</w:t>
            </w:r>
            <w:r w:rsidRPr="00794C0E">
              <w:rPr>
                <w:rFonts w:cs="Arial"/>
                <w:sz w:val="22"/>
                <w:szCs w:val="22"/>
                <w:lang w:val="es-ES"/>
              </w:rPr>
              <w:t xml:space="preserve"> </w:t>
            </w:r>
            <w:r w:rsidRPr="00794C0E">
              <w:rPr>
                <w:rFonts w:cs="Arial"/>
                <w:sz w:val="16"/>
                <w:szCs w:val="16"/>
                <w:lang w:val="es-ES"/>
              </w:rPr>
              <w:t>Salvatore, N y Debowicz, D (2007): “METODOLOGÍA DE ANÁLISIS DE RESULTADOS E IMPACTOS DEL PLAN NACIONAL DE INVERSIÓN PÚBLICA (PNIP): Cuantificación del Impacto del PNIP 2007-2009 en la Demanda Agregada y el Empleo”. Dirección Nacional de Inversión Pública. MECON</w:t>
            </w:r>
          </w:p>
          <w:p w:rsidR="000D0A8C" w:rsidRPr="00794C0E" w:rsidRDefault="000D0A8C" w:rsidP="00104DA9">
            <w:pPr>
              <w:rPr>
                <w:rFonts w:cs="Arial"/>
                <w:lang w:val="es-ES"/>
              </w:rPr>
            </w:pPr>
            <w:r w:rsidRPr="00794C0E">
              <w:rPr>
                <w:rFonts w:cs="Arial"/>
                <w:vertAlign w:val="superscript"/>
                <w:lang w:val="es-ES"/>
              </w:rPr>
              <w:t xml:space="preserve">b </w:t>
            </w:r>
            <w:r w:rsidRPr="00794C0E">
              <w:rPr>
                <w:rFonts w:cs="Arial"/>
                <w:sz w:val="16"/>
                <w:szCs w:val="16"/>
                <w:lang w:val="es-ES"/>
              </w:rPr>
              <w:t>Estos valores están expresados a valores del año 2004</w:t>
            </w:r>
          </w:p>
          <w:p w:rsidR="000D0A8C" w:rsidRPr="00794C0E" w:rsidRDefault="000D0A8C" w:rsidP="00104DA9">
            <w:pPr>
              <w:rPr>
                <w:rFonts w:cs="Arial"/>
                <w:sz w:val="16"/>
                <w:szCs w:val="16"/>
                <w:lang w:val="es-ES"/>
              </w:rPr>
            </w:pPr>
            <w:r w:rsidRPr="00794C0E">
              <w:rPr>
                <w:rFonts w:cs="Arial"/>
                <w:vertAlign w:val="superscript"/>
                <w:lang w:val="es-ES"/>
              </w:rPr>
              <w:t>c</w:t>
            </w:r>
            <w:r w:rsidRPr="00794C0E">
              <w:rPr>
                <w:rFonts w:cs="Arial"/>
                <w:lang w:val="es-ES"/>
              </w:rPr>
              <w:t xml:space="preserve"> </w:t>
            </w:r>
            <w:r w:rsidRPr="00794C0E">
              <w:rPr>
                <w:rFonts w:cs="Arial"/>
                <w:sz w:val="16"/>
                <w:szCs w:val="16"/>
                <w:lang w:val="es-ES"/>
              </w:rPr>
              <w:t>El supuestos simplificador más fuerte utilizado es que no se consideran cambios en el efecto empleo por la influencia de otras variables desde el año 2007 hasta la actualidad</w:t>
            </w:r>
          </w:p>
          <w:p w:rsidR="000D0A8C" w:rsidRPr="00794C0E" w:rsidRDefault="000D0A8C" w:rsidP="00104DA9">
            <w:pPr>
              <w:rPr>
                <w:rFonts w:cs="Arial"/>
                <w:sz w:val="22"/>
                <w:szCs w:val="22"/>
                <w:lang w:val="es-ES"/>
              </w:rPr>
            </w:pPr>
            <w:r w:rsidRPr="00794C0E">
              <w:rPr>
                <w:rFonts w:cs="Arial"/>
                <w:sz w:val="22"/>
                <w:szCs w:val="22"/>
                <w:vertAlign w:val="superscript"/>
                <w:lang w:val="es-ES"/>
              </w:rPr>
              <w:t>d</w:t>
            </w:r>
            <w:r w:rsidRPr="00794C0E">
              <w:rPr>
                <w:rFonts w:cs="Arial"/>
                <w:sz w:val="22"/>
                <w:szCs w:val="22"/>
                <w:lang w:val="es-ES"/>
              </w:rPr>
              <w:t xml:space="preserve"> </w:t>
            </w:r>
            <w:r w:rsidRPr="00794C0E">
              <w:rPr>
                <w:rFonts w:cs="Arial"/>
                <w:sz w:val="16"/>
                <w:szCs w:val="16"/>
                <w:lang w:val="es-ES"/>
              </w:rPr>
              <w:t>Se supuso que los valores del año 2004 se expresan  valores promedio de todo el año. Se reexpresan los valores a agosto de 2016 que es el último dato disponible.</w:t>
            </w:r>
          </w:p>
        </w:tc>
      </w:tr>
    </w:tbl>
    <w:p w:rsidR="000D0A8C" w:rsidRPr="00794C0E" w:rsidRDefault="000D0A8C" w:rsidP="003F6A5E">
      <w:pPr>
        <w:rPr>
          <w:rFonts w:cs="Arial"/>
          <w:b/>
          <w:bCs/>
          <w:sz w:val="22"/>
          <w:szCs w:val="22"/>
          <w:lang w:val="es-ES"/>
        </w:rPr>
      </w:pPr>
    </w:p>
    <w:p w:rsidR="000D0A8C" w:rsidRPr="00794C0E" w:rsidRDefault="000D0A8C">
      <w:pPr>
        <w:rPr>
          <w:rFonts w:cs="Arial"/>
          <w:b/>
          <w:bCs/>
          <w:sz w:val="22"/>
          <w:szCs w:val="22"/>
          <w:lang w:val="es-ES"/>
        </w:rPr>
      </w:pPr>
      <w:r w:rsidRPr="00794C0E">
        <w:rPr>
          <w:rFonts w:cs="Arial"/>
          <w:b/>
          <w:bCs/>
          <w:sz w:val="22"/>
          <w:szCs w:val="22"/>
          <w:lang w:val="es-ES"/>
        </w:rPr>
        <w:br w:type="page"/>
      </w:r>
    </w:p>
    <w:p w:rsidR="006B077A" w:rsidRPr="00794C0E" w:rsidRDefault="006B077A" w:rsidP="009D1692">
      <w:pPr>
        <w:pStyle w:val="Heading1"/>
        <w:numPr>
          <w:ilvl w:val="0"/>
          <w:numId w:val="5"/>
        </w:numPr>
        <w:ind w:left="0" w:firstLine="0"/>
        <w:jc w:val="left"/>
        <w:rPr>
          <w:rFonts w:ascii="Arial" w:hAnsi="Arial" w:cs="Arial"/>
          <w:i w:val="0"/>
          <w:lang w:val="es-AR"/>
        </w:rPr>
      </w:pPr>
      <w:bookmarkStart w:id="6" w:name="_Toc460335657"/>
      <w:r w:rsidRPr="00794C0E">
        <w:rPr>
          <w:rFonts w:ascii="Arial" w:hAnsi="Arial" w:cs="Arial"/>
          <w:i w:val="0"/>
          <w:lang w:val="es-AR"/>
        </w:rPr>
        <w:lastRenderedPageBreak/>
        <w:t>Rentabilidad de las Intervenciones</w:t>
      </w:r>
      <w:bookmarkEnd w:id="6"/>
    </w:p>
    <w:p w:rsidR="006B077A" w:rsidRPr="00794C0E" w:rsidRDefault="006B077A" w:rsidP="009D1692">
      <w:pPr>
        <w:jc w:val="both"/>
        <w:rPr>
          <w:rFonts w:cs="Arial"/>
          <w:sz w:val="22"/>
          <w:szCs w:val="22"/>
          <w:lang w:val="es-AR"/>
        </w:rPr>
      </w:pPr>
    </w:p>
    <w:p w:rsidR="006801F4" w:rsidRPr="00794C0E" w:rsidRDefault="006801F4" w:rsidP="009D1692">
      <w:pPr>
        <w:jc w:val="both"/>
        <w:rPr>
          <w:rFonts w:cs="Arial"/>
          <w:b/>
          <w:bCs/>
          <w:sz w:val="22"/>
          <w:szCs w:val="22"/>
          <w:lang w:val="es-AR"/>
        </w:rPr>
      </w:pPr>
      <w:r w:rsidRPr="00794C0E">
        <w:rPr>
          <w:rFonts w:cs="Arial"/>
          <w:b/>
          <w:bCs/>
          <w:sz w:val="22"/>
          <w:szCs w:val="22"/>
          <w:lang w:val="es-AR"/>
        </w:rPr>
        <w:t>Administración Tributaria y Catastral Provincial (ATCP)</w:t>
      </w:r>
    </w:p>
    <w:p w:rsidR="006B077A" w:rsidRPr="00794C0E" w:rsidRDefault="006B077A" w:rsidP="009D1692">
      <w:pPr>
        <w:jc w:val="both"/>
        <w:rPr>
          <w:rFonts w:cs="Arial"/>
          <w:sz w:val="22"/>
          <w:szCs w:val="22"/>
          <w:lang w:val="es-AR"/>
        </w:rPr>
      </w:pPr>
    </w:p>
    <w:p w:rsidR="004E0E42" w:rsidRPr="00794C0E" w:rsidRDefault="006B077A" w:rsidP="009D1692">
      <w:pPr>
        <w:pStyle w:val="ListParagraph"/>
        <w:numPr>
          <w:ilvl w:val="1"/>
          <w:numId w:val="5"/>
        </w:numPr>
        <w:ind w:left="0" w:firstLine="0"/>
        <w:jc w:val="both"/>
        <w:rPr>
          <w:rFonts w:cs="Arial"/>
          <w:sz w:val="22"/>
          <w:szCs w:val="22"/>
          <w:lang w:val="es-AR"/>
        </w:rPr>
      </w:pPr>
      <w:r w:rsidRPr="00794C0E">
        <w:rPr>
          <w:rFonts w:cs="Arial"/>
          <w:sz w:val="22"/>
          <w:szCs w:val="22"/>
          <w:lang w:val="es-AR"/>
        </w:rPr>
        <w:t>Bajo un criterio conservador, se considera que los beneficios comienzan a visualizarse en forma plena a partir del año 2018. Los beneficios para el primer a</w:t>
      </w:r>
      <w:r w:rsidR="006801F4" w:rsidRPr="00794C0E">
        <w:rPr>
          <w:rFonts w:cs="Arial"/>
          <w:sz w:val="22"/>
          <w:szCs w:val="22"/>
          <w:lang w:val="es-AR"/>
        </w:rPr>
        <w:t xml:space="preserve">ño alcanzan los </w:t>
      </w:r>
      <w:r w:rsidR="006801F4" w:rsidRPr="00794C0E">
        <w:rPr>
          <w:rFonts w:cs="Arial"/>
          <w:b/>
          <w:sz w:val="22"/>
          <w:szCs w:val="22"/>
          <w:lang w:val="es-AR"/>
        </w:rPr>
        <w:t>U$S 905,7 miles</w:t>
      </w:r>
      <w:r w:rsidR="006801F4" w:rsidRPr="00794C0E">
        <w:rPr>
          <w:rFonts w:cs="Arial"/>
          <w:sz w:val="22"/>
          <w:szCs w:val="22"/>
          <w:lang w:val="es-AR"/>
        </w:rPr>
        <w:t xml:space="preserve"> según los supuestos y criterios </w:t>
      </w:r>
      <w:r w:rsidR="00F63CB3" w:rsidRPr="00794C0E">
        <w:rPr>
          <w:rFonts w:cs="Arial"/>
          <w:sz w:val="22"/>
          <w:szCs w:val="22"/>
          <w:lang w:val="es-AR"/>
        </w:rPr>
        <w:t xml:space="preserve">descriptos en la sección </w:t>
      </w:r>
    </w:p>
    <w:p w:rsidR="004E0E42" w:rsidRPr="00794C0E" w:rsidRDefault="004E0E42" w:rsidP="009D1692">
      <w:pPr>
        <w:pStyle w:val="ListParagraph"/>
        <w:ind w:left="0"/>
        <w:jc w:val="both"/>
        <w:rPr>
          <w:rFonts w:cs="Arial"/>
          <w:sz w:val="22"/>
          <w:szCs w:val="22"/>
          <w:lang w:val="es-AR"/>
        </w:rPr>
      </w:pPr>
    </w:p>
    <w:p w:rsidR="006B077A" w:rsidRPr="00794C0E" w:rsidRDefault="004E0E42" w:rsidP="009D1692">
      <w:pPr>
        <w:pStyle w:val="ListParagraph"/>
        <w:numPr>
          <w:ilvl w:val="1"/>
          <w:numId w:val="5"/>
        </w:numPr>
        <w:ind w:left="0" w:firstLine="0"/>
        <w:jc w:val="both"/>
        <w:rPr>
          <w:rFonts w:cs="Arial"/>
          <w:sz w:val="22"/>
          <w:szCs w:val="22"/>
          <w:lang w:val="es-AR"/>
        </w:rPr>
      </w:pPr>
      <w:r w:rsidRPr="00794C0E">
        <w:rPr>
          <w:rFonts w:cs="Arial"/>
          <w:sz w:val="22"/>
          <w:szCs w:val="22"/>
          <w:lang w:val="es-AR"/>
        </w:rPr>
        <w:t>L</w:t>
      </w:r>
      <w:r w:rsidR="006B077A" w:rsidRPr="00794C0E">
        <w:rPr>
          <w:rFonts w:cs="Arial"/>
          <w:sz w:val="22"/>
          <w:szCs w:val="22"/>
          <w:lang w:val="es-AR"/>
        </w:rPr>
        <w:t xml:space="preserve">os cálculos de rentabilidad permiten constatar que estas inversiones son rentables, alcanzándose un </w:t>
      </w:r>
      <w:r w:rsidR="006B077A" w:rsidRPr="00794C0E">
        <w:rPr>
          <w:rFonts w:cs="Arial"/>
          <w:b/>
          <w:sz w:val="22"/>
          <w:szCs w:val="22"/>
          <w:lang w:val="es-AR"/>
        </w:rPr>
        <w:t>VAN de US$ 1</w:t>
      </w:r>
      <w:r w:rsidR="0084013F" w:rsidRPr="00794C0E">
        <w:rPr>
          <w:rFonts w:cs="Arial"/>
          <w:b/>
          <w:sz w:val="22"/>
          <w:szCs w:val="22"/>
          <w:lang w:val="es-AR"/>
        </w:rPr>
        <w:t>1.848.902</w:t>
      </w:r>
      <w:r w:rsidR="006B077A" w:rsidRPr="00794C0E">
        <w:rPr>
          <w:rFonts w:cs="Arial"/>
          <w:sz w:val="22"/>
          <w:szCs w:val="22"/>
          <w:lang w:val="es-AR"/>
        </w:rPr>
        <w:t xml:space="preserve"> y una </w:t>
      </w:r>
      <w:r w:rsidR="006B077A" w:rsidRPr="00794C0E">
        <w:rPr>
          <w:rFonts w:cs="Arial"/>
          <w:b/>
          <w:sz w:val="22"/>
          <w:szCs w:val="22"/>
          <w:lang w:val="es-AR"/>
        </w:rPr>
        <w:t>TIR de 21,5</w:t>
      </w:r>
      <w:r w:rsidR="0084013F" w:rsidRPr="00794C0E">
        <w:rPr>
          <w:rFonts w:cs="Arial"/>
          <w:b/>
          <w:sz w:val="22"/>
          <w:szCs w:val="22"/>
          <w:lang w:val="es-AR"/>
        </w:rPr>
        <w:t>3</w:t>
      </w:r>
      <w:r w:rsidR="006B077A" w:rsidRPr="00794C0E">
        <w:rPr>
          <w:rFonts w:cs="Arial"/>
          <w:sz w:val="22"/>
          <w:szCs w:val="22"/>
          <w:lang w:val="es-AR"/>
        </w:rPr>
        <w:t xml:space="preserve"> %. En la Tabla </w:t>
      </w:r>
      <w:r w:rsidR="0048416B" w:rsidRPr="00794C0E">
        <w:rPr>
          <w:rFonts w:cs="Arial"/>
          <w:sz w:val="22"/>
          <w:szCs w:val="22"/>
          <w:lang w:val="es-AR"/>
        </w:rPr>
        <w:t>9</w:t>
      </w:r>
      <w:r w:rsidR="006B077A" w:rsidRPr="00794C0E">
        <w:rPr>
          <w:rFonts w:cs="Arial"/>
          <w:sz w:val="22"/>
          <w:szCs w:val="22"/>
          <w:lang w:val="es-AR"/>
        </w:rPr>
        <w:t xml:space="preserve"> se exponen los resultados.</w:t>
      </w:r>
    </w:p>
    <w:p w:rsidR="006B077A" w:rsidRPr="00794C0E" w:rsidRDefault="006B077A" w:rsidP="009D1692">
      <w:pPr>
        <w:pStyle w:val="ListParagraph"/>
        <w:ind w:left="0"/>
        <w:jc w:val="both"/>
        <w:rPr>
          <w:rFonts w:cs="Arial"/>
          <w:sz w:val="22"/>
          <w:szCs w:val="22"/>
          <w:lang w:val="es-AR"/>
        </w:rPr>
      </w:pPr>
    </w:p>
    <w:p w:rsidR="006B077A" w:rsidRPr="00794C0E" w:rsidRDefault="006B077A" w:rsidP="009D1692">
      <w:pPr>
        <w:pStyle w:val="ListParagraph"/>
        <w:ind w:left="0"/>
        <w:jc w:val="center"/>
        <w:rPr>
          <w:rFonts w:cs="Arial"/>
          <w:b/>
          <w:lang w:val="es-AR"/>
        </w:rPr>
      </w:pPr>
      <w:r w:rsidRPr="00794C0E">
        <w:rPr>
          <w:rFonts w:cs="Arial"/>
          <w:b/>
          <w:lang w:val="es-AR"/>
        </w:rPr>
        <w:t>Tabla</w:t>
      </w:r>
      <w:r w:rsidR="00F63CB3" w:rsidRPr="00794C0E">
        <w:rPr>
          <w:rFonts w:cs="Arial"/>
          <w:b/>
          <w:lang w:val="es-AR"/>
        </w:rPr>
        <w:t xml:space="preserve"> </w:t>
      </w:r>
      <w:r w:rsidR="0048416B" w:rsidRPr="00794C0E">
        <w:rPr>
          <w:rFonts w:cs="Arial"/>
          <w:b/>
          <w:lang w:val="es-AR"/>
        </w:rPr>
        <w:t>9</w:t>
      </w:r>
      <w:r w:rsidR="00C278D7" w:rsidRPr="00794C0E">
        <w:rPr>
          <w:rFonts w:cs="Arial"/>
          <w:b/>
          <w:lang w:val="es-AR"/>
        </w:rPr>
        <w:t xml:space="preserve">. </w:t>
      </w:r>
      <w:r w:rsidR="008A732A" w:rsidRPr="00794C0E">
        <w:rPr>
          <w:rFonts w:cs="Arial"/>
          <w:b/>
          <w:lang w:val="es-AR"/>
        </w:rPr>
        <w:t>VAN y TIR (</w:t>
      </w:r>
      <w:r w:rsidR="006801F4" w:rsidRPr="00794C0E">
        <w:rPr>
          <w:rFonts w:cs="Arial"/>
          <w:b/>
          <w:lang w:val="es-AR"/>
        </w:rPr>
        <w:t>ATCP</w:t>
      </w:r>
      <w:r w:rsidR="008A732A" w:rsidRPr="00794C0E">
        <w:rPr>
          <w:rFonts w:cs="Arial"/>
          <w:b/>
          <w:lang w:val="es-AR"/>
        </w:rPr>
        <w:t>)</w:t>
      </w:r>
    </w:p>
    <w:tbl>
      <w:tblPr>
        <w:tblW w:w="7960" w:type="dxa"/>
        <w:tblInd w:w="55" w:type="dxa"/>
        <w:tblCellMar>
          <w:left w:w="70" w:type="dxa"/>
          <w:right w:w="70" w:type="dxa"/>
        </w:tblCellMar>
        <w:tblLook w:val="04A0" w:firstRow="1" w:lastRow="0" w:firstColumn="1" w:lastColumn="0" w:noHBand="0" w:noVBand="1"/>
      </w:tblPr>
      <w:tblGrid>
        <w:gridCol w:w="880"/>
        <w:gridCol w:w="1800"/>
        <w:gridCol w:w="1660"/>
        <w:gridCol w:w="1760"/>
        <w:gridCol w:w="1860"/>
      </w:tblGrid>
      <w:tr w:rsidR="008D30C6" w:rsidRPr="00794C0E" w:rsidTr="00794C0E">
        <w:trPr>
          <w:trHeight w:val="20"/>
        </w:trPr>
        <w:tc>
          <w:tcPr>
            <w:tcW w:w="8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8D30C6" w:rsidRPr="00794C0E" w:rsidRDefault="008D30C6" w:rsidP="009D1692">
            <w:pPr>
              <w:jc w:val="center"/>
              <w:rPr>
                <w:rFonts w:cs="Arial"/>
                <w:b/>
                <w:bCs/>
                <w:color w:val="000000"/>
                <w:lang w:val="es-AR" w:eastAsia="es-ES"/>
              </w:rPr>
            </w:pPr>
            <w:r w:rsidRPr="00794C0E">
              <w:rPr>
                <w:rFonts w:cs="Arial"/>
                <w:b/>
                <w:bCs/>
                <w:color w:val="000000"/>
                <w:lang w:val="es-AR" w:eastAsia="es-ES"/>
              </w:rPr>
              <w:t>Años</w:t>
            </w:r>
          </w:p>
        </w:tc>
        <w:tc>
          <w:tcPr>
            <w:tcW w:w="1800" w:type="dxa"/>
            <w:tcBorders>
              <w:top w:val="single" w:sz="4" w:space="0" w:color="auto"/>
              <w:left w:val="nil"/>
              <w:bottom w:val="single" w:sz="4" w:space="0" w:color="auto"/>
              <w:right w:val="single" w:sz="4" w:space="0" w:color="auto"/>
            </w:tcBorders>
            <w:shd w:val="clear" w:color="000000" w:fill="D9D9D9"/>
            <w:vAlign w:val="center"/>
            <w:hideMark/>
          </w:tcPr>
          <w:p w:rsidR="008D30C6" w:rsidRPr="00794C0E" w:rsidRDefault="008D30C6" w:rsidP="009D1692">
            <w:pPr>
              <w:jc w:val="center"/>
              <w:rPr>
                <w:rFonts w:cs="Arial"/>
                <w:b/>
                <w:bCs/>
                <w:color w:val="000000"/>
                <w:lang w:val="es-AR" w:eastAsia="es-ES"/>
              </w:rPr>
            </w:pPr>
            <w:r w:rsidRPr="00794C0E">
              <w:rPr>
                <w:rFonts w:cs="Arial"/>
                <w:b/>
                <w:bCs/>
                <w:color w:val="000000"/>
                <w:lang w:val="es-AR" w:eastAsia="es-ES"/>
              </w:rPr>
              <w:t>Inversiones</w:t>
            </w:r>
            <w:r w:rsidRPr="00794C0E">
              <w:rPr>
                <w:rFonts w:cs="Arial"/>
                <w:b/>
                <w:bCs/>
                <w:color w:val="000000"/>
                <w:lang w:val="es-AR" w:eastAsia="es-ES"/>
              </w:rPr>
              <w:br/>
              <w:t>(precios Sociales)</w:t>
            </w:r>
          </w:p>
        </w:tc>
        <w:tc>
          <w:tcPr>
            <w:tcW w:w="1660" w:type="dxa"/>
            <w:tcBorders>
              <w:top w:val="single" w:sz="4" w:space="0" w:color="auto"/>
              <w:left w:val="nil"/>
              <w:bottom w:val="single" w:sz="4" w:space="0" w:color="auto"/>
              <w:right w:val="single" w:sz="4" w:space="0" w:color="auto"/>
            </w:tcBorders>
            <w:shd w:val="clear" w:color="000000" w:fill="D9D9D9"/>
            <w:vAlign w:val="center"/>
            <w:hideMark/>
          </w:tcPr>
          <w:p w:rsidR="008D30C6" w:rsidRPr="00794C0E" w:rsidRDefault="008D30C6" w:rsidP="009D1692">
            <w:pPr>
              <w:jc w:val="center"/>
              <w:rPr>
                <w:rFonts w:cs="Arial"/>
                <w:b/>
                <w:bCs/>
                <w:color w:val="000000"/>
                <w:lang w:val="es-AR" w:eastAsia="es-ES"/>
              </w:rPr>
            </w:pPr>
            <w:r w:rsidRPr="00794C0E">
              <w:rPr>
                <w:rFonts w:cs="Arial"/>
                <w:b/>
                <w:bCs/>
                <w:color w:val="000000"/>
                <w:lang w:val="es-AR" w:eastAsia="es-ES"/>
              </w:rPr>
              <w:t>Costos de Manteni</w:t>
            </w:r>
            <w:r w:rsidR="00767BE5" w:rsidRPr="00794C0E">
              <w:rPr>
                <w:rFonts w:cs="Arial"/>
                <w:b/>
                <w:bCs/>
                <w:color w:val="000000"/>
                <w:lang w:val="es-AR" w:eastAsia="es-ES"/>
              </w:rPr>
              <w:t>mi</w:t>
            </w:r>
            <w:r w:rsidRPr="00794C0E">
              <w:rPr>
                <w:rFonts w:cs="Arial"/>
                <w:b/>
                <w:bCs/>
                <w:color w:val="000000"/>
                <w:lang w:val="es-AR" w:eastAsia="es-ES"/>
              </w:rPr>
              <w:t>ento</w:t>
            </w:r>
          </w:p>
        </w:tc>
        <w:tc>
          <w:tcPr>
            <w:tcW w:w="1760" w:type="dxa"/>
            <w:tcBorders>
              <w:top w:val="single" w:sz="4" w:space="0" w:color="auto"/>
              <w:left w:val="nil"/>
              <w:bottom w:val="single" w:sz="4" w:space="0" w:color="auto"/>
              <w:right w:val="single" w:sz="4" w:space="0" w:color="auto"/>
            </w:tcBorders>
            <w:shd w:val="clear" w:color="000000" w:fill="D9D9D9"/>
            <w:vAlign w:val="center"/>
            <w:hideMark/>
          </w:tcPr>
          <w:p w:rsidR="008D30C6" w:rsidRPr="00794C0E" w:rsidRDefault="008D30C6" w:rsidP="009D1692">
            <w:pPr>
              <w:jc w:val="center"/>
              <w:rPr>
                <w:rFonts w:cs="Arial"/>
                <w:b/>
                <w:bCs/>
                <w:color w:val="000000"/>
                <w:lang w:val="es-AR" w:eastAsia="es-ES"/>
              </w:rPr>
            </w:pPr>
            <w:r w:rsidRPr="00794C0E">
              <w:rPr>
                <w:rFonts w:cs="Arial"/>
                <w:b/>
                <w:bCs/>
                <w:color w:val="000000"/>
                <w:lang w:val="es-AR" w:eastAsia="es-ES"/>
              </w:rPr>
              <w:t>Beneficios</w:t>
            </w:r>
          </w:p>
        </w:tc>
        <w:tc>
          <w:tcPr>
            <w:tcW w:w="1860" w:type="dxa"/>
            <w:tcBorders>
              <w:top w:val="single" w:sz="4" w:space="0" w:color="auto"/>
              <w:left w:val="nil"/>
              <w:bottom w:val="single" w:sz="4" w:space="0" w:color="auto"/>
              <w:right w:val="single" w:sz="4" w:space="0" w:color="auto"/>
            </w:tcBorders>
            <w:shd w:val="clear" w:color="000000" w:fill="D9D9D9"/>
            <w:vAlign w:val="center"/>
            <w:hideMark/>
          </w:tcPr>
          <w:p w:rsidR="008D30C6" w:rsidRPr="00794C0E" w:rsidRDefault="008D30C6" w:rsidP="009D1692">
            <w:pPr>
              <w:jc w:val="center"/>
              <w:rPr>
                <w:rFonts w:cs="Arial"/>
                <w:b/>
                <w:bCs/>
                <w:color w:val="000000"/>
                <w:lang w:val="es-AR" w:eastAsia="es-ES"/>
              </w:rPr>
            </w:pPr>
            <w:r w:rsidRPr="00794C0E">
              <w:rPr>
                <w:rFonts w:cs="Arial"/>
                <w:b/>
                <w:bCs/>
                <w:color w:val="000000"/>
                <w:lang w:val="es-AR" w:eastAsia="es-ES"/>
              </w:rPr>
              <w:t>Beneficios Netos</w:t>
            </w:r>
          </w:p>
        </w:tc>
      </w:tr>
      <w:tr w:rsidR="008D30C6" w:rsidRPr="00794C0E" w:rsidTr="00794C0E">
        <w:trPr>
          <w:trHeight w:val="2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0</w:t>
            </w:r>
          </w:p>
        </w:tc>
        <w:tc>
          <w:tcPr>
            <w:tcW w:w="180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977.200   </w:t>
            </w:r>
          </w:p>
        </w:tc>
        <w:tc>
          <w:tcPr>
            <w:tcW w:w="16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w:t>
            </w:r>
          </w:p>
        </w:tc>
        <w:tc>
          <w:tcPr>
            <w:tcW w:w="17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w:t>
            </w:r>
          </w:p>
        </w:tc>
        <w:tc>
          <w:tcPr>
            <w:tcW w:w="18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977.200   </w:t>
            </w:r>
          </w:p>
        </w:tc>
      </w:tr>
      <w:tr w:rsidR="008D30C6" w:rsidRPr="00794C0E" w:rsidTr="00794C0E">
        <w:trPr>
          <w:trHeight w:val="2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1</w:t>
            </w:r>
          </w:p>
        </w:tc>
        <w:tc>
          <w:tcPr>
            <w:tcW w:w="180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3.210.800   </w:t>
            </w:r>
          </w:p>
        </w:tc>
        <w:tc>
          <w:tcPr>
            <w:tcW w:w="1660" w:type="dxa"/>
            <w:tcBorders>
              <w:top w:val="nil"/>
              <w:left w:val="nil"/>
              <w:bottom w:val="nil"/>
              <w:right w:val="nil"/>
            </w:tcBorders>
            <w:shd w:val="clear" w:color="auto" w:fill="auto"/>
            <w:noWrap/>
            <w:vAlign w:val="bottom"/>
            <w:hideMark/>
          </w:tcPr>
          <w:p w:rsidR="008D30C6" w:rsidRPr="00794C0E" w:rsidRDefault="008D30C6" w:rsidP="009D1692">
            <w:pPr>
              <w:rPr>
                <w:rFonts w:cs="Arial"/>
                <w:color w:val="000000"/>
                <w:lang w:val="es-AR" w:eastAsia="es-ES"/>
              </w:rPr>
            </w:pPr>
            <w:r w:rsidRPr="00794C0E">
              <w:rPr>
                <w:rFonts w:cs="Arial"/>
                <w:color w:val="000000"/>
                <w:lang w:val="es-AR" w:eastAsia="es-ES"/>
              </w:rPr>
              <w:t xml:space="preserve">          </w:t>
            </w:r>
            <w:r w:rsidR="00580094" w:rsidRPr="00794C0E">
              <w:rPr>
                <w:rFonts w:cs="Arial"/>
                <w:color w:val="000000"/>
                <w:lang w:val="es-AR" w:eastAsia="es-ES"/>
              </w:rPr>
              <w:t xml:space="preserve">   </w:t>
            </w:r>
            <w:r w:rsidRPr="00794C0E">
              <w:rPr>
                <w:rFonts w:cs="Arial"/>
                <w:color w:val="000000"/>
                <w:lang w:val="es-AR" w:eastAsia="es-ES"/>
              </w:rPr>
              <w:t xml:space="preserve"> 418.800   </w:t>
            </w:r>
          </w:p>
        </w:tc>
        <w:tc>
          <w:tcPr>
            <w:tcW w:w="1760" w:type="dxa"/>
            <w:tcBorders>
              <w:top w:val="nil"/>
              <w:left w:val="single" w:sz="4" w:space="0" w:color="auto"/>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w:t>
            </w:r>
          </w:p>
        </w:tc>
        <w:tc>
          <w:tcPr>
            <w:tcW w:w="18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3.629.600   </w:t>
            </w:r>
          </w:p>
        </w:tc>
      </w:tr>
      <w:tr w:rsidR="008D30C6" w:rsidRPr="00794C0E" w:rsidTr="00794C0E">
        <w:trPr>
          <w:trHeight w:val="2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2</w:t>
            </w:r>
          </w:p>
        </w:tc>
        <w:tc>
          <w:tcPr>
            <w:tcW w:w="180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3.629.600   </w:t>
            </w:r>
          </w:p>
        </w:tc>
        <w:tc>
          <w:tcPr>
            <w:tcW w:w="1660" w:type="dxa"/>
            <w:tcBorders>
              <w:top w:val="single" w:sz="4" w:space="0" w:color="auto"/>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418.800   </w:t>
            </w:r>
          </w:p>
        </w:tc>
        <w:tc>
          <w:tcPr>
            <w:tcW w:w="17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905.665   </w:t>
            </w:r>
          </w:p>
        </w:tc>
        <w:tc>
          <w:tcPr>
            <w:tcW w:w="18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3.142.735   </w:t>
            </w:r>
          </w:p>
        </w:tc>
      </w:tr>
      <w:tr w:rsidR="008D30C6" w:rsidRPr="00794C0E" w:rsidTr="00794C0E">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3</w:t>
            </w:r>
          </w:p>
        </w:tc>
        <w:tc>
          <w:tcPr>
            <w:tcW w:w="180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3.908.800   </w:t>
            </w:r>
          </w:p>
        </w:tc>
        <w:tc>
          <w:tcPr>
            <w:tcW w:w="16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418.800   </w:t>
            </w:r>
          </w:p>
        </w:tc>
        <w:tc>
          <w:tcPr>
            <w:tcW w:w="17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1.363.044   </w:t>
            </w:r>
          </w:p>
        </w:tc>
        <w:tc>
          <w:tcPr>
            <w:tcW w:w="18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2.964.556   </w:t>
            </w:r>
          </w:p>
        </w:tc>
      </w:tr>
      <w:tr w:rsidR="008D30C6" w:rsidRPr="00794C0E" w:rsidTr="00794C0E">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4</w:t>
            </w:r>
          </w:p>
        </w:tc>
        <w:tc>
          <w:tcPr>
            <w:tcW w:w="180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2.233.600   </w:t>
            </w:r>
          </w:p>
        </w:tc>
        <w:tc>
          <w:tcPr>
            <w:tcW w:w="16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418.800   </w:t>
            </w:r>
          </w:p>
        </w:tc>
        <w:tc>
          <w:tcPr>
            <w:tcW w:w="17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1.823.481   </w:t>
            </w:r>
          </w:p>
        </w:tc>
        <w:tc>
          <w:tcPr>
            <w:tcW w:w="18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828.919   </w:t>
            </w:r>
          </w:p>
        </w:tc>
      </w:tr>
      <w:tr w:rsidR="008D30C6" w:rsidRPr="00794C0E" w:rsidTr="00794C0E">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5</w:t>
            </w:r>
          </w:p>
        </w:tc>
        <w:tc>
          <w:tcPr>
            <w:tcW w:w="180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418.800   </w:t>
            </w:r>
          </w:p>
        </w:tc>
        <w:tc>
          <w:tcPr>
            <w:tcW w:w="17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2.286.997   </w:t>
            </w:r>
          </w:p>
        </w:tc>
        <w:tc>
          <w:tcPr>
            <w:tcW w:w="18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1.868.197   </w:t>
            </w:r>
          </w:p>
        </w:tc>
      </w:tr>
      <w:tr w:rsidR="008D30C6" w:rsidRPr="00794C0E" w:rsidTr="00794C0E">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6</w:t>
            </w:r>
          </w:p>
        </w:tc>
        <w:tc>
          <w:tcPr>
            <w:tcW w:w="180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418.800   </w:t>
            </w:r>
          </w:p>
        </w:tc>
        <w:tc>
          <w:tcPr>
            <w:tcW w:w="17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2.753.611   </w:t>
            </w:r>
          </w:p>
        </w:tc>
        <w:tc>
          <w:tcPr>
            <w:tcW w:w="18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2.334.811   </w:t>
            </w:r>
          </w:p>
        </w:tc>
      </w:tr>
      <w:tr w:rsidR="008D30C6" w:rsidRPr="00794C0E" w:rsidTr="00794C0E">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7</w:t>
            </w:r>
          </w:p>
        </w:tc>
        <w:tc>
          <w:tcPr>
            <w:tcW w:w="180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418.800   </w:t>
            </w:r>
          </w:p>
        </w:tc>
        <w:tc>
          <w:tcPr>
            <w:tcW w:w="17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3.223.345   </w:t>
            </w:r>
          </w:p>
        </w:tc>
        <w:tc>
          <w:tcPr>
            <w:tcW w:w="18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2.804.545   </w:t>
            </w:r>
          </w:p>
        </w:tc>
      </w:tr>
      <w:tr w:rsidR="008D30C6" w:rsidRPr="00794C0E" w:rsidTr="00794C0E">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8</w:t>
            </w:r>
          </w:p>
        </w:tc>
        <w:tc>
          <w:tcPr>
            <w:tcW w:w="180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418.800   </w:t>
            </w:r>
          </w:p>
        </w:tc>
        <w:tc>
          <w:tcPr>
            <w:tcW w:w="17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3.696.219   </w:t>
            </w:r>
          </w:p>
        </w:tc>
        <w:tc>
          <w:tcPr>
            <w:tcW w:w="18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3.277.419   </w:t>
            </w:r>
          </w:p>
        </w:tc>
      </w:tr>
      <w:tr w:rsidR="008D30C6" w:rsidRPr="00794C0E" w:rsidTr="00794C0E">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9</w:t>
            </w:r>
          </w:p>
        </w:tc>
        <w:tc>
          <w:tcPr>
            <w:tcW w:w="180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418.800   </w:t>
            </w:r>
          </w:p>
        </w:tc>
        <w:tc>
          <w:tcPr>
            <w:tcW w:w="17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4.172.255   </w:t>
            </w:r>
          </w:p>
        </w:tc>
        <w:tc>
          <w:tcPr>
            <w:tcW w:w="18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3.753.455   </w:t>
            </w:r>
          </w:p>
        </w:tc>
      </w:tr>
      <w:tr w:rsidR="008D30C6" w:rsidRPr="00794C0E" w:rsidTr="00794C0E">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10</w:t>
            </w:r>
          </w:p>
        </w:tc>
        <w:tc>
          <w:tcPr>
            <w:tcW w:w="180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418.800   </w:t>
            </w:r>
          </w:p>
        </w:tc>
        <w:tc>
          <w:tcPr>
            <w:tcW w:w="17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4.651.474   </w:t>
            </w:r>
          </w:p>
        </w:tc>
        <w:tc>
          <w:tcPr>
            <w:tcW w:w="18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4.232.674   </w:t>
            </w:r>
          </w:p>
        </w:tc>
      </w:tr>
      <w:tr w:rsidR="008D30C6" w:rsidRPr="00794C0E" w:rsidTr="00794C0E">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11</w:t>
            </w:r>
          </w:p>
        </w:tc>
        <w:tc>
          <w:tcPr>
            <w:tcW w:w="180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418.800   </w:t>
            </w:r>
          </w:p>
        </w:tc>
        <w:tc>
          <w:tcPr>
            <w:tcW w:w="17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5.133.897   </w:t>
            </w:r>
          </w:p>
        </w:tc>
        <w:tc>
          <w:tcPr>
            <w:tcW w:w="18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4.715.097   </w:t>
            </w:r>
          </w:p>
        </w:tc>
      </w:tr>
      <w:tr w:rsidR="008D30C6" w:rsidRPr="00794C0E" w:rsidTr="00794C0E">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12</w:t>
            </w:r>
          </w:p>
        </w:tc>
        <w:tc>
          <w:tcPr>
            <w:tcW w:w="180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418.800   </w:t>
            </w:r>
          </w:p>
        </w:tc>
        <w:tc>
          <w:tcPr>
            <w:tcW w:w="17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5.619.544   </w:t>
            </w:r>
          </w:p>
        </w:tc>
        <w:tc>
          <w:tcPr>
            <w:tcW w:w="18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5.200.744   </w:t>
            </w:r>
          </w:p>
        </w:tc>
      </w:tr>
      <w:tr w:rsidR="008D30C6" w:rsidRPr="00794C0E" w:rsidTr="00794C0E">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13</w:t>
            </w:r>
          </w:p>
        </w:tc>
        <w:tc>
          <w:tcPr>
            <w:tcW w:w="180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418.800   </w:t>
            </w:r>
          </w:p>
        </w:tc>
        <w:tc>
          <w:tcPr>
            <w:tcW w:w="17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6.108.439   </w:t>
            </w:r>
          </w:p>
        </w:tc>
        <w:tc>
          <w:tcPr>
            <w:tcW w:w="18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5.689.639   </w:t>
            </w:r>
          </w:p>
        </w:tc>
      </w:tr>
      <w:tr w:rsidR="008D30C6" w:rsidRPr="00794C0E" w:rsidTr="00794C0E">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14</w:t>
            </w:r>
          </w:p>
        </w:tc>
        <w:tc>
          <w:tcPr>
            <w:tcW w:w="180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418.800   </w:t>
            </w:r>
          </w:p>
        </w:tc>
        <w:tc>
          <w:tcPr>
            <w:tcW w:w="17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6.600.603   </w:t>
            </w:r>
          </w:p>
        </w:tc>
        <w:tc>
          <w:tcPr>
            <w:tcW w:w="18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6.181.803   </w:t>
            </w:r>
          </w:p>
        </w:tc>
      </w:tr>
      <w:tr w:rsidR="008D30C6" w:rsidRPr="00794C0E" w:rsidTr="00794C0E">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15</w:t>
            </w:r>
          </w:p>
        </w:tc>
        <w:tc>
          <w:tcPr>
            <w:tcW w:w="180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418.800   </w:t>
            </w:r>
          </w:p>
        </w:tc>
        <w:tc>
          <w:tcPr>
            <w:tcW w:w="17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7.096.057   </w:t>
            </w:r>
          </w:p>
        </w:tc>
        <w:tc>
          <w:tcPr>
            <w:tcW w:w="18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6.677.257   </w:t>
            </w:r>
          </w:p>
        </w:tc>
      </w:tr>
      <w:tr w:rsidR="008D30C6" w:rsidRPr="00794C0E" w:rsidTr="00794C0E">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16</w:t>
            </w:r>
          </w:p>
        </w:tc>
        <w:tc>
          <w:tcPr>
            <w:tcW w:w="180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418.800   </w:t>
            </w:r>
          </w:p>
        </w:tc>
        <w:tc>
          <w:tcPr>
            <w:tcW w:w="17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7.594.823   </w:t>
            </w:r>
          </w:p>
        </w:tc>
        <w:tc>
          <w:tcPr>
            <w:tcW w:w="18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7.176.023   </w:t>
            </w:r>
          </w:p>
        </w:tc>
      </w:tr>
      <w:tr w:rsidR="008D30C6" w:rsidRPr="00794C0E" w:rsidTr="00794C0E">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17</w:t>
            </w:r>
          </w:p>
        </w:tc>
        <w:tc>
          <w:tcPr>
            <w:tcW w:w="180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418.800   </w:t>
            </w:r>
          </w:p>
        </w:tc>
        <w:tc>
          <w:tcPr>
            <w:tcW w:w="17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8.096.924   </w:t>
            </w:r>
          </w:p>
        </w:tc>
        <w:tc>
          <w:tcPr>
            <w:tcW w:w="18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7.678.124   </w:t>
            </w:r>
          </w:p>
        </w:tc>
      </w:tr>
      <w:tr w:rsidR="008D30C6" w:rsidRPr="00794C0E" w:rsidTr="00794C0E">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18</w:t>
            </w:r>
          </w:p>
        </w:tc>
        <w:tc>
          <w:tcPr>
            <w:tcW w:w="180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418.800   </w:t>
            </w:r>
          </w:p>
        </w:tc>
        <w:tc>
          <w:tcPr>
            <w:tcW w:w="17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8.602.382   </w:t>
            </w:r>
          </w:p>
        </w:tc>
        <w:tc>
          <w:tcPr>
            <w:tcW w:w="18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8.183.582   </w:t>
            </w:r>
          </w:p>
        </w:tc>
      </w:tr>
      <w:tr w:rsidR="008D30C6" w:rsidRPr="00794C0E" w:rsidTr="00794C0E">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19</w:t>
            </w:r>
          </w:p>
        </w:tc>
        <w:tc>
          <w:tcPr>
            <w:tcW w:w="180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418.800   </w:t>
            </w:r>
          </w:p>
        </w:tc>
        <w:tc>
          <w:tcPr>
            <w:tcW w:w="17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9.111.220   </w:t>
            </w:r>
          </w:p>
        </w:tc>
        <w:tc>
          <w:tcPr>
            <w:tcW w:w="18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8.692.420   </w:t>
            </w:r>
          </w:p>
        </w:tc>
      </w:tr>
      <w:tr w:rsidR="008D30C6" w:rsidRPr="00794C0E" w:rsidTr="00794C0E">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20</w:t>
            </w:r>
          </w:p>
        </w:tc>
        <w:tc>
          <w:tcPr>
            <w:tcW w:w="180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418.800   </w:t>
            </w:r>
          </w:p>
        </w:tc>
        <w:tc>
          <w:tcPr>
            <w:tcW w:w="17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9.623.459   </w:t>
            </w:r>
          </w:p>
        </w:tc>
        <w:tc>
          <w:tcPr>
            <w:tcW w:w="18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9.204.659   </w:t>
            </w:r>
          </w:p>
        </w:tc>
      </w:tr>
      <w:tr w:rsidR="008D30C6" w:rsidRPr="00794C0E" w:rsidTr="00794C0E">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21</w:t>
            </w:r>
          </w:p>
        </w:tc>
        <w:tc>
          <w:tcPr>
            <w:tcW w:w="180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418.800   </w:t>
            </w:r>
          </w:p>
        </w:tc>
        <w:tc>
          <w:tcPr>
            <w:tcW w:w="17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10.139.123   </w:t>
            </w:r>
          </w:p>
        </w:tc>
        <w:tc>
          <w:tcPr>
            <w:tcW w:w="18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9.720.323   </w:t>
            </w:r>
          </w:p>
        </w:tc>
      </w:tr>
      <w:tr w:rsidR="008D30C6" w:rsidRPr="00794C0E" w:rsidTr="00794C0E">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22</w:t>
            </w:r>
          </w:p>
        </w:tc>
        <w:tc>
          <w:tcPr>
            <w:tcW w:w="180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418.800   </w:t>
            </w:r>
          </w:p>
        </w:tc>
        <w:tc>
          <w:tcPr>
            <w:tcW w:w="17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10.658.235   </w:t>
            </w:r>
          </w:p>
        </w:tc>
        <w:tc>
          <w:tcPr>
            <w:tcW w:w="18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10.239.435   </w:t>
            </w:r>
          </w:p>
        </w:tc>
      </w:tr>
      <w:tr w:rsidR="008D30C6" w:rsidRPr="00794C0E" w:rsidTr="00794C0E">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23</w:t>
            </w:r>
          </w:p>
        </w:tc>
        <w:tc>
          <w:tcPr>
            <w:tcW w:w="1800" w:type="dxa"/>
            <w:tcBorders>
              <w:top w:val="nil"/>
              <w:left w:val="nil"/>
              <w:bottom w:val="single" w:sz="4" w:space="0" w:color="auto"/>
              <w:right w:val="single" w:sz="4" w:space="0" w:color="auto"/>
            </w:tcBorders>
            <w:shd w:val="clear" w:color="auto" w:fill="auto"/>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418.800   </w:t>
            </w:r>
          </w:p>
        </w:tc>
        <w:tc>
          <w:tcPr>
            <w:tcW w:w="17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11.180.817   </w:t>
            </w:r>
          </w:p>
        </w:tc>
        <w:tc>
          <w:tcPr>
            <w:tcW w:w="18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10.762.017   </w:t>
            </w:r>
          </w:p>
        </w:tc>
      </w:tr>
      <w:tr w:rsidR="008D30C6" w:rsidRPr="00794C0E" w:rsidTr="00794C0E">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24</w:t>
            </w:r>
          </w:p>
        </w:tc>
        <w:tc>
          <w:tcPr>
            <w:tcW w:w="1800" w:type="dxa"/>
            <w:tcBorders>
              <w:top w:val="nil"/>
              <w:left w:val="nil"/>
              <w:bottom w:val="single" w:sz="4" w:space="0" w:color="auto"/>
              <w:right w:val="single" w:sz="4" w:space="0" w:color="auto"/>
            </w:tcBorders>
            <w:shd w:val="clear" w:color="auto" w:fill="auto"/>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w:t>
            </w:r>
          </w:p>
        </w:tc>
        <w:tc>
          <w:tcPr>
            <w:tcW w:w="16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418.800   </w:t>
            </w:r>
          </w:p>
        </w:tc>
        <w:tc>
          <w:tcPr>
            <w:tcW w:w="17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11.706.893   </w:t>
            </w:r>
          </w:p>
        </w:tc>
        <w:tc>
          <w:tcPr>
            <w:tcW w:w="1860" w:type="dxa"/>
            <w:tcBorders>
              <w:top w:val="nil"/>
              <w:left w:val="nil"/>
              <w:bottom w:val="single" w:sz="4" w:space="0" w:color="auto"/>
              <w:right w:val="single" w:sz="4" w:space="0" w:color="auto"/>
            </w:tcBorders>
            <w:shd w:val="clear" w:color="000000" w:fill="FFFFFF"/>
            <w:noWrap/>
            <w:vAlign w:val="bottom"/>
            <w:hideMark/>
          </w:tcPr>
          <w:p w:rsidR="008D30C6" w:rsidRPr="00794C0E" w:rsidRDefault="008D30C6" w:rsidP="009D1692">
            <w:pPr>
              <w:jc w:val="center"/>
              <w:rPr>
                <w:rFonts w:cs="Arial"/>
                <w:color w:val="000000"/>
                <w:lang w:val="es-AR" w:eastAsia="es-ES"/>
              </w:rPr>
            </w:pPr>
            <w:r w:rsidRPr="00794C0E">
              <w:rPr>
                <w:rFonts w:cs="Arial"/>
                <w:color w:val="000000"/>
                <w:lang w:val="es-AR" w:eastAsia="es-ES"/>
              </w:rPr>
              <w:t xml:space="preserve">          11.288.093   </w:t>
            </w:r>
          </w:p>
        </w:tc>
      </w:tr>
    </w:tbl>
    <w:p w:rsidR="008D30C6" w:rsidRPr="00794C0E" w:rsidRDefault="008D30C6" w:rsidP="009D1692">
      <w:pPr>
        <w:pStyle w:val="ListParagraph"/>
        <w:ind w:left="0"/>
        <w:rPr>
          <w:rFonts w:cs="Arial"/>
          <w:b/>
          <w:sz w:val="22"/>
          <w:szCs w:val="22"/>
          <w:lang w:val="es-AR"/>
        </w:rPr>
      </w:pPr>
    </w:p>
    <w:p w:rsidR="008D30C6" w:rsidRPr="00794C0E" w:rsidRDefault="008D30C6" w:rsidP="009D1692">
      <w:pPr>
        <w:pStyle w:val="ListParagraph"/>
        <w:ind w:left="0"/>
        <w:rPr>
          <w:rFonts w:cs="Arial"/>
          <w:b/>
          <w:sz w:val="22"/>
          <w:szCs w:val="22"/>
          <w:lang w:val="es-AR"/>
        </w:rPr>
      </w:pPr>
    </w:p>
    <w:p w:rsidR="006801F4" w:rsidRPr="00794C0E" w:rsidRDefault="00D912E2" w:rsidP="009D1692">
      <w:pPr>
        <w:pStyle w:val="ListParagraph"/>
        <w:numPr>
          <w:ilvl w:val="1"/>
          <w:numId w:val="5"/>
        </w:numPr>
        <w:ind w:left="0" w:firstLine="0"/>
        <w:jc w:val="both"/>
        <w:rPr>
          <w:rFonts w:cs="Arial"/>
          <w:bCs/>
          <w:iCs/>
          <w:sz w:val="22"/>
          <w:szCs w:val="22"/>
          <w:lang w:val="es-AR"/>
        </w:rPr>
      </w:pPr>
      <w:r w:rsidRPr="00794C0E">
        <w:rPr>
          <w:rFonts w:cs="Arial"/>
          <w:bCs/>
          <w:iCs/>
          <w:sz w:val="22"/>
          <w:szCs w:val="22"/>
          <w:lang w:val="es-AR"/>
        </w:rPr>
        <w:t>Análisis de sensibilidad: utilizando el modelo de montecarlo, se pudo demostrar que ante un nivel de confianza del 95%, el intervalo para el valor del VAN es min. U$S 10.73 millones y max. U$S 12.92 y para la TIR 20.03 % y 23.08 %.</w:t>
      </w:r>
    </w:p>
    <w:p w:rsidR="00D912E2" w:rsidRPr="00794C0E" w:rsidRDefault="00D912E2" w:rsidP="00D912E2">
      <w:pPr>
        <w:rPr>
          <w:rFonts w:cs="Arial"/>
          <w:b/>
          <w:lang w:val="es-ES_tradnl"/>
        </w:rPr>
      </w:pPr>
    </w:p>
    <w:p w:rsidR="00D912E2" w:rsidRPr="00794C0E" w:rsidRDefault="00D912E2" w:rsidP="00104DA9">
      <w:pPr>
        <w:jc w:val="center"/>
        <w:rPr>
          <w:rFonts w:cs="Arial"/>
        </w:rPr>
      </w:pPr>
      <w:r w:rsidRPr="00794C0E">
        <w:rPr>
          <w:rFonts w:cs="Arial"/>
          <w:noProof/>
          <w:lang w:val="es-ES_tradnl" w:eastAsia="es-ES_tradnl"/>
        </w:rPr>
        <w:lastRenderedPageBreak/>
        <w:drawing>
          <wp:inline distT="0" distB="0" distL="0" distR="0" wp14:anchorId="640B6E59" wp14:editId="259534EF">
            <wp:extent cx="4378927" cy="1714500"/>
            <wp:effectExtent l="0" t="0" r="317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1141" cy="1715367"/>
                    </a:xfrm>
                    <a:prstGeom prst="rect">
                      <a:avLst/>
                    </a:prstGeom>
                    <a:noFill/>
                    <a:ln>
                      <a:noFill/>
                    </a:ln>
                  </pic:spPr>
                </pic:pic>
              </a:graphicData>
            </a:graphic>
          </wp:inline>
        </w:drawing>
      </w:r>
    </w:p>
    <w:p w:rsidR="00D912E2" w:rsidRPr="00794C0E" w:rsidRDefault="00D912E2" w:rsidP="00104DA9">
      <w:pPr>
        <w:jc w:val="center"/>
        <w:rPr>
          <w:rFonts w:cs="Arial"/>
        </w:rPr>
      </w:pPr>
      <w:r w:rsidRPr="00794C0E">
        <w:rPr>
          <w:rFonts w:cs="Arial"/>
          <w:noProof/>
          <w:lang w:val="es-ES_tradnl" w:eastAsia="es-ES_tradnl"/>
        </w:rPr>
        <w:drawing>
          <wp:inline distT="0" distB="0" distL="0" distR="0" wp14:anchorId="681C7E2D" wp14:editId="28217DE2">
            <wp:extent cx="4128102" cy="2533650"/>
            <wp:effectExtent l="0" t="0" r="635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8102" cy="2533650"/>
                    </a:xfrm>
                    <a:prstGeom prst="rect">
                      <a:avLst/>
                    </a:prstGeom>
                    <a:noFill/>
                    <a:ln>
                      <a:noFill/>
                    </a:ln>
                  </pic:spPr>
                </pic:pic>
              </a:graphicData>
            </a:graphic>
          </wp:inline>
        </w:drawing>
      </w:r>
    </w:p>
    <w:p w:rsidR="00D912E2" w:rsidRPr="00794C0E" w:rsidRDefault="00D912E2" w:rsidP="00104DA9">
      <w:pPr>
        <w:jc w:val="center"/>
        <w:rPr>
          <w:rFonts w:cs="Arial"/>
        </w:rPr>
      </w:pPr>
      <w:r w:rsidRPr="00794C0E">
        <w:rPr>
          <w:rFonts w:cs="Arial"/>
          <w:noProof/>
          <w:lang w:val="es-ES_tradnl" w:eastAsia="es-ES_tradnl"/>
        </w:rPr>
        <w:drawing>
          <wp:inline distT="0" distB="0" distL="0" distR="0" wp14:anchorId="27E71268" wp14:editId="66B9E84F">
            <wp:extent cx="4113568" cy="2524730"/>
            <wp:effectExtent l="0" t="0" r="127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001" cy="2524996"/>
                    </a:xfrm>
                    <a:prstGeom prst="rect">
                      <a:avLst/>
                    </a:prstGeom>
                    <a:noFill/>
                    <a:ln>
                      <a:noFill/>
                    </a:ln>
                  </pic:spPr>
                </pic:pic>
              </a:graphicData>
            </a:graphic>
          </wp:inline>
        </w:drawing>
      </w:r>
    </w:p>
    <w:p w:rsidR="00794C0E" w:rsidRDefault="00794C0E" w:rsidP="009D1692">
      <w:pPr>
        <w:jc w:val="both"/>
        <w:rPr>
          <w:rFonts w:cs="Arial"/>
          <w:b/>
          <w:bCs/>
          <w:sz w:val="22"/>
          <w:szCs w:val="22"/>
          <w:lang w:val="es-AR"/>
        </w:rPr>
      </w:pPr>
    </w:p>
    <w:p w:rsidR="006801F4" w:rsidRPr="00794C0E" w:rsidRDefault="006801F4" w:rsidP="009D1692">
      <w:pPr>
        <w:jc w:val="both"/>
        <w:rPr>
          <w:rFonts w:cs="Arial"/>
          <w:b/>
          <w:bCs/>
          <w:sz w:val="22"/>
          <w:szCs w:val="22"/>
          <w:lang w:val="es-AR"/>
        </w:rPr>
      </w:pPr>
      <w:r w:rsidRPr="00794C0E">
        <w:rPr>
          <w:rFonts w:cs="Arial"/>
          <w:b/>
          <w:bCs/>
          <w:sz w:val="22"/>
          <w:szCs w:val="22"/>
          <w:lang w:val="es-AR"/>
        </w:rPr>
        <w:t>Gestión Financiera y Eficiencia del Gasto Público</w:t>
      </w:r>
      <w:r w:rsidR="00932E35" w:rsidRPr="00794C0E">
        <w:rPr>
          <w:rFonts w:cs="Arial"/>
          <w:b/>
          <w:bCs/>
          <w:sz w:val="22"/>
          <w:szCs w:val="22"/>
          <w:lang w:val="es-AR"/>
        </w:rPr>
        <w:t xml:space="preserve"> (GFEGP)</w:t>
      </w:r>
    </w:p>
    <w:p w:rsidR="006801F4" w:rsidRPr="00794C0E" w:rsidRDefault="006801F4" w:rsidP="009D1692">
      <w:pPr>
        <w:jc w:val="both"/>
        <w:rPr>
          <w:rFonts w:cs="Arial"/>
          <w:bCs/>
          <w:sz w:val="22"/>
          <w:szCs w:val="22"/>
          <w:lang w:val="es-AR"/>
        </w:rPr>
      </w:pPr>
    </w:p>
    <w:p w:rsidR="008A732A" w:rsidRPr="00794C0E" w:rsidRDefault="008A732A" w:rsidP="009D1692">
      <w:pPr>
        <w:pStyle w:val="ListParagraph"/>
        <w:numPr>
          <w:ilvl w:val="1"/>
          <w:numId w:val="5"/>
        </w:numPr>
        <w:ind w:left="0" w:firstLine="0"/>
        <w:jc w:val="both"/>
        <w:rPr>
          <w:rFonts w:cs="Arial"/>
          <w:bCs/>
          <w:sz w:val="22"/>
          <w:szCs w:val="22"/>
          <w:lang w:val="es-AR"/>
        </w:rPr>
      </w:pPr>
      <w:r w:rsidRPr="00794C0E">
        <w:rPr>
          <w:rFonts w:cs="Arial"/>
          <w:bCs/>
          <w:sz w:val="22"/>
          <w:szCs w:val="22"/>
          <w:lang w:val="es-AR"/>
        </w:rPr>
        <w:t>Según registro preliminares la situación que se advierte para esas cuatro</w:t>
      </w:r>
      <w:r w:rsidR="00637583" w:rsidRPr="00794C0E">
        <w:rPr>
          <w:rFonts w:cs="Arial"/>
          <w:bCs/>
          <w:sz w:val="22"/>
          <w:szCs w:val="22"/>
          <w:lang w:val="es-AR"/>
        </w:rPr>
        <w:t xml:space="preserve"> jurisdicciones para el año 2015 es la siguiente.</w:t>
      </w:r>
    </w:p>
    <w:p w:rsidR="008A732A" w:rsidRPr="00794C0E" w:rsidRDefault="008A732A" w:rsidP="009D1692">
      <w:pPr>
        <w:jc w:val="both"/>
        <w:rPr>
          <w:rFonts w:cs="Arial"/>
          <w:b/>
          <w:bCs/>
          <w:sz w:val="14"/>
          <w:szCs w:val="22"/>
          <w:lang w:val="es-AR"/>
        </w:rPr>
      </w:pPr>
    </w:p>
    <w:p w:rsidR="008A732A" w:rsidRPr="00794C0E" w:rsidRDefault="008A732A" w:rsidP="009D1692">
      <w:pPr>
        <w:jc w:val="center"/>
        <w:rPr>
          <w:rFonts w:cs="Arial"/>
          <w:b/>
          <w:bCs/>
          <w:lang w:val="es-AR"/>
        </w:rPr>
      </w:pPr>
      <w:r w:rsidRPr="00794C0E">
        <w:rPr>
          <w:rFonts w:cs="Arial"/>
          <w:b/>
          <w:bCs/>
          <w:lang w:val="es-AR"/>
        </w:rPr>
        <w:lastRenderedPageBreak/>
        <w:t xml:space="preserve">Tabla </w:t>
      </w:r>
      <w:r w:rsidR="00A342B2" w:rsidRPr="00794C0E">
        <w:rPr>
          <w:rFonts w:cs="Arial"/>
          <w:b/>
          <w:bCs/>
          <w:lang w:val="es-AR"/>
        </w:rPr>
        <w:t>10</w:t>
      </w:r>
      <w:r w:rsidRPr="00794C0E">
        <w:rPr>
          <w:rFonts w:cs="Arial"/>
          <w:b/>
          <w:bCs/>
          <w:lang w:val="es-AR"/>
        </w:rPr>
        <w:t>.</w:t>
      </w:r>
      <w:r w:rsidR="00C278D7" w:rsidRPr="00794C0E">
        <w:rPr>
          <w:rFonts w:cs="Arial"/>
          <w:b/>
          <w:bCs/>
          <w:lang w:val="es-AR"/>
        </w:rPr>
        <w:t xml:space="preserve"> </w:t>
      </w:r>
      <w:r w:rsidRPr="00794C0E">
        <w:rPr>
          <w:rFonts w:cs="Arial"/>
          <w:b/>
          <w:bCs/>
          <w:lang w:val="es-AR"/>
        </w:rPr>
        <w:t xml:space="preserve"> Ahorros estimados por Provincia</w:t>
      </w:r>
    </w:p>
    <w:p w:rsidR="008A732A" w:rsidRPr="00794C0E" w:rsidRDefault="008A732A" w:rsidP="009D1692">
      <w:pPr>
        <w:jc w:val="center"/>
        <w:rPr>
          <w:rFonts w:cs="Arial"/>
          <w:bCs/>
          <w:lang w:val="es-AR"/>
        </w:rPr>
      </w:pPr>
      <w:r w:rsidRPr="00794C0E">
        <w:rPr>
          <w:rFonts w:cs="Arial"/>
          <w:bCs/>
          <w:lang w:val="es-AR"/>
        </w:rPr>
        <w:t>En U$S</w:t>
      </w:r>
      <w:r w:rsidR="00637583" w:rsidRPr="00794C0E">
        <w:rPr>
          <w:rFonts w:cs="Arial"/>
          <w:bCs/>
          <w:lang w:val="es-AR"/>
        </w:rPr>
        <w:t xml:space="preserve"> año 2015</w:t>
      </w:r>
    </w:p>
    <w:tbl>
      <w:tblPr>
        <w:tblW w:w="3320" w:type="dxa"/>
        <w:jc w:val="center"/>
        <w:tblInd w:w="55" w:type="dxa"/>
        <w:tblCellMar>
          <w:left w:w="70" w:type="dxa"/>
          <w:right w:w="70" w:type="dxa"/>
        </w:tblCellMar>
        <w:tblLook w:val="04A0" w:firstRow="1" w:lastRow="0" w:firstColumn="1" w:lastColumn="0" w:noHBand="0" w:noVBand="1"/>
      </w:tblPr>
      <w:tblGrid>
        <w:gridCol w:w="1660"/>
        <w:gridCol w:w="1660"/>
      </w:tblGrid>
      <w:tr w:rsidR="00637583" w:rsidRPr="00794C0E" w:rsidTr="00104DA9">
        <w:trPr>
          <w:trHeight w:val="20"/>
          <w:jc w:val="center"/>
        </w:trPr>
        <w:tc>
          <w:tcPr>
            <w:tcW w:w="1660" w:type="dxa"/>
            <w:tcBorders>
              <w:top w:val="single" w:sz="4" w:space="0" w:color="auto"/>
              <w:left w:val="single" w:sz="4" w:space="0" w:color="auto"/>
              <w:bottom w:val="nil"/>
              <w:right w:val="nil"/>
            </w:tcBorders>
            <w:shd w:val="clear" w:color="000000" w:fill="D9D9D9"/>
            <w:noWrap/>
            <w:vAlign w:val="bottom"/>
            <w:hideMark/>
          </w:tcPr>
          <w:p w:rsidR="00637583" w:rsidRPr="00794C0E" w:rsidRDefault="00637583" w:rsidP="00637583">
            <w:pPr>
              <w:jc w:val="center"/>
              <w:rPr>
                <w:rFonts w:cs="Arial"/>
                <w:b/>
                <w:bCs/>
                <w:color w:val="000000"/>
                <w:sz w:val="18"/>
                <w:szCs w:val="22"/>
                <w:lang w:val="es-ES" w:eastAsia="es-ES"/>
              </w:rPr>
            </w:pPr>
            <w:r w:rsidRPr="00794C0E">
              <w:rPr>
                <w:rFonts w:cs="Arial"/>
                <w:b/>
                <w:bCs/>
                <w:color w:val="000000"/>
                <w:sz w:val="18"/>
                <w:szCs w:val="22"/>
                <w:lang w:val="es-ES" w:eastAsia="es-ES"/>
              </w:rPr>
              <w:t>Provincias</w:t>
            </w:r>
          </w:p>
        </w:tc>
        <w:tc>
          <w:tcPr>
            <w:tcW w:w="1660" w:type="dxa"/>
            <w:tcBorders>
              <w:top w:val="single" w:sz="4" w:space="0" w:color="auto"/>
              <w:left w:val="nil"/>
              <w:bottom w:val="nil"/>
              <w:right w:val="single" w:sz="4" w:space="0" w:color="auto"/>
            </w:tcBorders>
            <w:shd w:val="clear" w:color="000000" w:fill="D9D9D9"/>
            <w:noWrap/>
            <w:vAlign w:val="bottom"/>
            <w:hideMark/>
          </w:tcPr>
          <w:p w:rsidR="00637583" w:rsidRPr="00794C0E" w:rsidRDefault="00637583" w:rsidP="00637583">
            <w:pPr>
              <w:jc w:val="center"/>
              <w:rPr>
                <w:rFonts w:cs="Arial"/>
                <w:b/>
                <w:bCs/>
                <w:color w:val="000000"/>
                <w:sz w:val="18"/>
                <w:szCs w:val="22"/>
                <w:lang w:val="es-ES" w:eastAsia="es-ES"/>
              </w:rPr>
            </w:pPr>
            <w:r w:rsidRPr="00794C0E">
              <w:rPr>
                <w:rFonts w:cs="Arial"/>
                <w:b/>
                <w:bCs/>
                <w:color w:val="000000"/>
                <w:sz w:val="18"/>
                <w:szCs w:val="22"/>
                <w:lang w:val="es-ES" w:eastAsia="es-ES"/>
              </w:rPr>
              <w:t>Montos</w:t>
            </w:r>
          </w:p>
        </w:tc>
      </w:tr>
      <w:tr w:rsidR="00637583" w:rsidRPr="00794C0E" w:rsidTr="00104DA9">
        <w:trPr>
          <w:trHeight w:val="20"/>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7583" w:rsidRPr="00794C0E" w:rsidRDefault="00637583" w:rsidP="00637583">
            <w:pPr>
              <w:rPr>
                <w:rFonts w:cs="Arial"/>
                <w:color w:val="000000"/>
                <w:sz w:val="18"/>
                <w:szCs w:val="22"/>
                <w:lang w:val="es-ES" w:eastAsia="es-ES"/>
              </w:rPr>
            </w:pPr>
            <w:r w:rsidRPr="00794C0E">
              <w:rPr>
                <w:rFonts w:cs="Arial"/>
                <w:color w:val="000000"/>
                <w:sz w:val="18"/>
                <w:szCs w:val="22"/>
                <w:lang w:val="es-ES" w:eastAsia="es-ES"/>
              </w:rPr>
              <w:t xml:space="preserve">   Corrientes</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637583" w:rsidRPr="00794C0E" w:rsidRDefault="00637583" w:rsidP="00637583">
            <w:pPr>
              <w:rPr>
                <w:rFonts w:cs="Arial"/>
                <w:color w:val="000000"/>
                <w:sz w:val="18"/>
                <w:szCs w:val="22"/>
                <w:lang w:val="es-ES" w:eastAsia="es-ES"/>
              </w:rPr>
            </w:pPr>
            <w:r w:rsidRPr="00794C0E">
              <w:rPr>
                <w:rFonts w:cs="Arial"/>
                <w:color w:val="000000"/>
                <w:sz w:val="18"/>
                <w:szCs w:val="22"/>
                <w:lang w:val="es-ES" w:eastAsia="es-ES"/>
              </w:rPr>
              <w:t xml:space="preserve">            3.694.501   </w:t>
            </w:r>
          </w:p>
        </w:tc>
      </w:tr>
      <w:tr w:rsidR="00637583" w:rsidRPr="00794C0E" w:rsidTr="00104DA9">
        <w:trPr>
          <w:trHeight w:val="2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37583" w:rsidRPr="00794C0E" w:rsidRDefault="00637583" w:rsidP="00637583">
            <w:pPr>
              <w:rPr>
                <w:rFonts w:cs="Arial"/>
                <w:color w:val="000000"/>
                <w:sz w:val="18"/>
                <w:szCs w:val="22"/>
                <w:lang w:val="es-ES" w:eastAsia="es-ES"/>
              </w:rPr>
            </w:pPr>
            <w:r w:rsidRPr="00794C0E">
              <w:rPr>
                <w:rFonts w:cs="Arial"/>
                <w:color w:val="000000"/>
                <w:sz w:val="18"/>
                <w:szCs w:val="22"/>
                <w:lang w:val="es-ES" w:eastAsia="es-ES"/>
              </w:rPr>
              <w:t xml:space="preserve">   Mendoza</w:t>
            </w:r>
          </w:p>
        </w:tc>
        <w:tc>
          <w:tcPr>
            <w:tcW w:w="1660" w:type="dxa"/>
            <w:tcBorders>
              <w:top w:val="nil"/>
              <w:left w:val="nil"/>
              <w:bottom w:val="single" w:sz="4" w:space="0" w:color="auto"/>
              <w:right w:val="single" w:sz="4" w:space="0" w:color="auto"/>
            </w:tcBorders>
            <w:shd w:val="clear" w:color="auto" w:fill="auto"/>
            <w:noWrap/>
            <w:vAlign w:val="bottom"/>
            <w:hideMark/>
          </w:tcPr>
          <w:p w:rsidR="00637583" w:rsidRPr="00794C0E" w:rsidRDefault="00637583" w:rsidP="00637583">
            <w:pPr>
              <w:rPr>
                <w:rFonts w:cs="Arial"/>
                <w:color w:val="000000"/>
                <w:sz w:val="18"/>
                <w:szCs w:val="22"/>
                <w:lang w:val="es-ES" w:eastAsia="es-ES"/>
              </w:rPr>
            </w:pPr>
            <w:r w:rsidRPr="00794C0E">
              <w:rPr>
                <w:rFonts w:cs="Arial"/>
                <w:color w:val="000000"/>
                <w:sz w:val="18"/>
                <w:szCs w:val="22"/>
                <w:lang w:val="es-ES" w:eastAsia="es-ES"/>
              </w:rPr>
              <w:t xml:space="preserve">               575.000   </w:t>
            </w:r>
          </w:p>
        </w:tc>
      </w:tr>
      <w:tr w:rsidR="00637583" w:rsidRPr="00794C0E" w:rsidTr="00104DA9">
        <w:trPr>
          <w:trHeight w:val="2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37583" w:rsidRPr="00794C0E" w:rsidRDefault="00637583" w:rsidP="00637583">
            <w:pPr>
              <w:rPr>
                <w:rFonts w:cs="Arial"/>
                <w:color w:val="000000"/>
                <w:sz w:val="18"/>
                <w:szCs w:val="22"/>
                <w:lang w:val="es-ES" w:eastAsia="es-ES"/>
              </w:rPr>
            </w:pPr>
            <w:r w:rsidRPr="00794C0E">
              <w:rPr>
                <w:rFonts w:cs="Arial"/>
                <w:color w:val="000000"/>
                <w:sz w:val="18"/>
                <w:szCs w:val="22"/>
                <w:lang w:val="es-ES" w:eastAsia="es-ES"/>
              </w:rPr>
              <w:t xml:space="preserve">   Neuquén</w:t>
            </w:r>
          </w:p>
        </w:tc>
        <w:tc>
          <w:tcPr>
            <w:tcW w:w="1660" w:type="dxa"/>
            <w:tcBorders>
              <w:top w:val="nil"/>
              <w:left w:val="nil"/>
              <w:bottom w:val="single" w:sz="4" w:space="0" w:color="auto"/>
              <w:right w:val="single" w:sz="4" w:space="0" w:color="auto"/>
            </w:tcBorders>
            <w:shd w:val="clear" w:color="auto" w:fill="auto"/>
            <w:noWrap/>
            <w:vAlign w:val="bottom"/>
            <w:hideMark/>
          </w:tcPr>
          <w:p w:rsidR="00637583" w:rsidRPr="00794C0E" w:rsidRDefault="00637583" w:rsidP="00637583">
            <w:pPr>
              <w:rPr>
                <w:rFonts w:cs="Arial"/>
                <w:color w:val="000000"/>
                <w:sz w:val="18"/>
                <w:szCs w:val="22"/>
                <w:lang w:val="es-ES" w:eastAsia="es-ES"/>
              </w:rPr>
            </w:pPr>
            <w:r w:rsidRPr="00794C0E">
              <w:rPr>
                <w:rFonts w:cs="Arial"/>
                <w:color w:val="000000"/>
                <w:sz w:val="18"/>
                <w:szCs w:val="22"/>
                <w:lang w:val="es-ES" w:eastAsia="es-ES"/>
              </w:rPr>
              <w:t xml:space="preserve">                  34.000   </w:t>
            </w:r>
          </w:p>
        </w:tc>
      </w:tr>
      <w:tr w:rsidR="00637583" w:rsidRPr="00794C0E" w:rsidTr="00104DA9">
        <w:trPr>
          <w:trHeight w:val="2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37583" w:rsidRPr="00794C0E" w:rsidRDefault="00637583" w:rsidP="00637583">
            <w:pPr>
              <w:rPr>
                <w:rFonts w:cs="Arial"/>
                <w:color w:val="000000"/>
                <w:sz w:val="18"/>
                <w:szCs w:val="22"/>
                <w:lang w:val="es-ES" w:eastAsia="es-ES"/>
              </w:rPr>
            </w:pPr>
            <w:r w:rsidRPr="00794C0E">
              <w:rPr>
                <w:rFonts w:cs="Arial"/>
                <w:color w:val="000000"/>
                <w:sz w:val="18"/>
                <w:szCs w:val="22"/>
                <w:lang w:val="es-ES" w:eastAsia="es-ES"/>
              </w:rPr>
              <w:t xml:space="preserve">   Salta</w:t>
            </w:r>
          </w:p>
        </w:tc>
        <w:tc>
          <w:tcPr>
            <w:tcW w:w="1660" w:type="dxa"/>
            <w:tcBorders>
              <w:top w:val="nil"/>
              <w:left w:val="nil"/>
              <w:bottom w:val="single" w:sz="4" w:space="0" w:color="auto"/>
              <w:right w:val="single" w:sz="4" w:space="0" w:color="auto"/>
            </w:tcBorders>
            <w:shd w:val="clear" w:color="auto" w:fill="auto"/>
            <w:noWrap/>
            <w:vAlign w:val="bottom"/>
            <w:hideMark/>
          </w:tcPr>
          <w:p w:rsidR="00637583" w:rsidRPr="00794C0E" w:rsidRDefault="00637583" w:rsidP="00637583">
            <w:pPr>
              <w:rPr>
                <w:rFonts w:cs="Arial"/>
                <w:color w:val="000000"/>
                <w:sz w:val="18"/>
                <w:szCs w:val="22"/>
                <w:lang w:val="es-ES" w:eastAsia="es-ES"/>
              </w:rPr>
            </w:pPr>
            <w:r w:rsidRPr="00794C0E">
              <w:rPr>
                <w:rFonts w:cs="Arial"/>
                <w:color w:val="000000"/>
                <w:sz w:val="18"/>
                <w:szCs w:val="22"/>
                <w:lang w:val="es-ES" w:eastAsia="es-ES"/>
              </w:rPr>
              <w:t xml:space="preserve">               230.000   </w:t>
            </w:r>
          </w:p>
        </w:tc>
      </w:tr>
      <w:tr w:rsidR="00637583" w:rsidRPr="00794C0E" w:rsidTr="00104DA9">
        <w:trPr>
          <w:trHeight w:val="20"/>
          <w:jc w:val="center"/>
        </w:trPr>
        <w:tc>
          <w:tcPr>
            <w:tcW w:w="1660" w:type="dxa"/>
            <w:tcBorders>
              <w:top w:val="nil"/>
              <w:left w:val="single" w:sz="4" w:space="0" w:color="auto"/>
              <w:bottom w:val="single" w:sz="4" w:space="0" w:color="auto"/>
              <w:right w:val="nil"/>
            </w:tcBorders>
            <w:shd w:val="clear" w:color="auto" w:fill="auto"/>
            <w:noWrap/>
            <w:vAlign w:val="bottom"/>
            <w:hideMark/>
          </w:tcPr>
          <w:p w:rsidR="00637583" w:rsidRPr="00794C0E" w:rsidRDefault="00637583" w:rsidP="00637583">
            <w:pPr>
              <w:rPr>
                <w:rFonts w:cs="Arial"/>
                <w:b/>
                <w:bCs/>
                <w:color w:val="000000"/>
                <w:sz w:val="18"/>
                <w:szCs w:val="22"/>
                <w:lang w:val="es-ES" w:eastAsia="es-ES"/>
              </w:rPr>
            </w:pPr>
            <w:r w:rsidRPr="00794C0E">
              <w:rPr>
                <w:rFonts w:cs="Arial"/>
                <w:b/>
                <w:bCs/>
                <w:color w:val="000000"/>
                <w:sz w:val="18"/>
                <w:szCs w:val="22"/>
                <w:lang w:val="es-ES" w:eastAsia="es-ES"/>
              </w:rPr>
              <w:t>Totales</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37583" w:rsidRPr="00794C0E" w:rsidRDefault="00637583" w:rsidP="00637583">
            <w:pPr>
              <w:rPr>
                <w:rFonts w:cs="Arial"/>
                <w:b/>
                <w:bCs/>
                <w:color w:val="000000"/>
                <w:sz w:val="18"/>
                <w:szCs w:val="22"/>
                <w:lang w:val="es-ES" w:eastAsia="es-ES"/>
              </w:rPr>
            </w:pPr>
            <w:r w:rsidRPr="00794C0E">
              <w:rPr>
                <w:rFonts w:cs="Arial"/>
                <w:b/>
                <w:bCs/>
                <w:color w:val="000000"/>
                <w:sz w:val="18"/>
                <w:szCs w:val="22"/>
                <w:lang w:val="es-ES" w:eastAsia="es-ES"/>
              </w:rPr>
              <w:t xml:space="preserve">            4.533.501   </w:t>
            </w:r>
          </w:p>
        </w:tc>
      </w:tr>
    </w:tbl>
    <w:p w:rsidR="008A732A" w:rsidRPr="00794C0E" w:rsidRDefault="008A732A" w:rsidP="009D1692">
      <w:pPr>
        <w:jc w:val="center"/>
        <w:rPr>
          <w:rFonts w:cs="Arial"/>
          <w:bCs/>
          <w:sz w:val="18"/>
          <w:lang w:val="es-AR"/>
        </w:rPr>
      </w:pPr>
      <w:r w:rsidRPr="00794C0E">
        <w:rPr>
          <w:rFonts w:cs="Arial"/>
          <w:bCs/>
          <w:sz w:val="18"/>
          <w:lang w:val="es-AR"/>
        </w:rPr>
        <w:t>Fuente: En base a datos del SINTYS</w:t>
      </w:r>
    </w:p>
    <w:p w:rsidR="008A732A" w:rsidRPr="00794C0E" w:rsidRDefault="008A732A" w:rsidP="009D1692">
      <w:pPr>
        <w:pStyle w:val="ListParagraph"/>
        <w:ind w:left="0"/>
        <w:jc w:val="both"/>
        <w:rPr>
          <w:rFonts w:cs="Arial"/>
          <w:bCs/>
          <w:sz w:val="22"/>
          <w:szCs w:val="22"/>
          <w:lang w:val="es-AR"/>
        </w:rPr>
      </w:pPr>
    </w:p>
    <w:p w:rsidR="008A732A" w:rsidRPr="00794C0E" w:rsidRDefault="00F433CD" w:rsidP="00AA2F76">
      <w:pPr>
        <w:pStyle w:val="ListParagraph"/>
        <w:numPr>
          <w:ilvl w:val="1"/>
          <w:numId w:val="5"/>
        </w:numPr>
        <w:ind w:left="0" w:firstLine="0"/>
        <w:jc w:val="both"/>
        <w:rPr>
          <w:rFonts w:cs="Arial"/>
          <w:bCs/>
          <w:sz w:val="22"/>
          <w:szCs w:val="22"/>
          <w:lang w:val="es-AR"/>
        </w:rPr>
      </w:pPr>
      <w:r w:rsidRPr="00794C0E">
        <w:rPr>
          <w:rFonts w:cs="Arial"/>
          <w:bCs/>
          <w:sz w:val="22"/>
          <w:szCs w:val="22"/>
          <w:lang w:val="es-AR"/>
        </w:rPr>
        <w:t xml:space="preserve">Los beneficios proyectados permitirán ahorros </w:t>
      </w:r>
      <w:r w:rsidR="00AA2F76" w:rsidRPr="00794C0E">
        <w:rPr>
          <w:rFonts w:cs="Arial"/>
          <w:bCs/>
          <w:sz w:val="22"/>
          <w:szCs w:val="22"/>
          <w:lang w:val="es-AR"/>
        </w:rPr>
        <w:t xml:space="preserve">incrementales </w:t>
      </w:r>
      <w:r w:rsidRPr="00794C0E">
        <w:rPr>
          <w:rFonts w:cs="Arial"/>
          <w:bCs/>
          <w:sz w:val="22"/>
          <w:szCs w:val="22"/>
          <w:lang w:val="es-AR"/>
        </w:rPr>
        <w:t xml:space="preserve">por un valor de </w:t>
      </w:r>
      <w:r w:rsidR="004717A9" w:rsidRPr="00794C0E">
        <w:rPr>
          <w:rFonts w:cs="Arial"/>
          <w:bCs/>
          <w:sz w:val="22"/>
          <w:szCs w:val="22"/>
          <w:lang w:val="es-AR"/>
        </w:rPr>
        <w:t>U$S 3</w:t>
      </w:r>
      <w:r w:rsidR="00AA2F76" w:rsidRPr="00794C0E">
        <w:rPr>
          <w:rFonts w:cs="Arial"/>
          <w:bCs/>
          <w:sz w:val="22"/>
          <w:szCs w:val="22"/>
          <w:lang w:val="es-AR"/>
        </w:rPr>
        <w:t>8</w:t>
      </w:r>
      <w:r w:rsidR="004717A9" w:rsidRPr="00794C0E">
        <w:rPr>
          <w:rFonts w:cs="Arial"/>
          <w:bCs/>
          <w:sz w:val="22"/>
          <w:szCs w:val="22"/>
          <w:lang w:val="es-AR"/>
        </w:rPr>
        <w:t>.</w:t>
      </w:r>
      <w:r w:rsidR="00AA2F76" w:rsidRPr="00794C0E">
        <w:rPr>
          <w:rFonts w:cs="Arial"/>
          <w:bCs/>
          <w:sz w:val="22"/>
          <w:szCs w:val="22"/>
          <w:lang w:val="es-AR"/>
        </w:rPr>
        <w:t>20</w:t>
      </w:r>
      <w:r w:rsidR="004717A9" w:rsidRPr="00794C0E">
        <w:rPr>
          <w:rFonts w:cs="Arial"/>
          <w:bCs/>
          <w:sz w:val="22"/>
          <w:szCs w:val="22"/>
          <w:lang w:val="es-AR"/>
        </w:rPr>
        <w:t xml:space="preserve"> millones. </w:t>
      </w:r>
      <w:r w:rsidRPr="00794C0E">
        <w:rPr>
          <w:rFonts w:cs="Arial"/>
          <w:bCs/>
          <w:sz w:val="22"/>
          <w:szCs w:val="22"/>
          <w:lang w:val="es-AR"/>
        </w:rPr>
        <w:t xml:space="preserve">Es esperable que a medida que el proyecto alcance su implementación plena, esos beneficios sean significativos los primeros años, para ir disminuyendo </w:t>
      </w:r>
      <w:r w:rsidR="00A56B77" w:rsidRPr="00794C0E">
        <w:rPr>
          <w:rFonts w:cs="Arial"/>
          <w:bCs/>
          <w:sz w:val="22"/>
          <w:szCs w:val="22"/>
          <w:lang w:val="es-AR"/>
        </w:rPr>
        <w:t xml:space="preserve">hasta que </w:t>
      </w:r>
      <w:r w:rsidRPr="00794C0E">
        <w:rPr>
          <w:rFonts w:cs="Arial"/>
          <w:bCs/>
          <w:sz w:val="22"/>
          <w:szCs w:val="22"/>
          <w:lang w:val="es-AR"/>
        </w:rPr>
        <w:t>el proyecto logre su impacto pleno, lo que demandará</w:t>
      </w:r>
      <w:r w:rsidR="00D650F2" w:rsidRPr="00794C0E">
        <w:rPr>
          <w:rFonts w:cs="Arial"/>
          <w:bCs/>
          <w:sz w:val="22"/>
          <w:szCs w:val="22"/>
          <w:lang w:val="es-AR"/>
        </w:rPr>
        <w:t xml:space="preserve"> costos de ma</w:t>
      </w:r>
      <w:r w:rsidRPr="00794C0E">
        <w:rPr>
          <w:rFonts w:cs="Arial"/>
          <w:bCs/>
          <w:sz w:val="22"/>
          <w:szCs w:val="22"/>
          <w:lang w:val="es-AR"/>
        </w:rPr>
        <w:t xml:space="preserve">ntenimiento de los sistemas que se articularían con los del nivel provincial, </w:t>
      </w:r>
      <w:r w:rsidR="00D650F2" w:rsidRPr="00794C0E">
        <w:rPr>
          <w:rFonts w:cs="Arial"/>
          <w:bCs/>
          <w:sz w:val="22"/>
          <w:szCs w:val="22"/>
          <w:lang w:val="es-AR"/>
        </w:rPr>
        <w:t>más allá del último año se extienda el período en que el proyecto se evalúa.</w:t>
      </w:r>
      <w:r w:rsidR="00AA2F76" w:rsidRPr="00794C0E">
        <w:rPr>
          <w:rFonts w:cs="Arial"/>
          <w:bCs/>
          <w:sz w:val="22"/>
          <w:szCs w:val="22"/>
          <w:lang w:val="es-AR"/>
        </w:rPr>
        <w:t xml:space="preserve"> Los ahorros para el período de ejecución alcanzarán los U$S </w:t>
      </w:r>
      <w:r w:rsidR="00DC1F21" w:rsidRPr="00794C0E">
        <w:rPr>
          <w:rFonts w:cs="Arial"/>
          <w:bCs/>
          <w:sz w:val="22"/>
          <w:szCs w:val="22"/>
          <w:lang w:val="es-AR"/>
        </w:rPr>
        <w:t xml:space="preserve">7.7 millones anuales, un 70% mayores al valor de la línea base (+U$S 13 millones para el período 2016-2020)  </w:t>
      </w:r>
      <w:r w:rsidR="00AA2F76" w:rsidRPr="00794C0E">
        <w:rPr>
          <w:rFonts w:cs="Arial"/>
          <w:bCs/>
          <w:sz w:val="22"/>
          <w:szCs w:val="22"/>
          <w:lang w:val="es-AR"/>
        </w:rPr>
        <w:t xml:space="preserve"> </w:t>
      </w:r>
    </w:p>
    <w:p w:rsidR="00D650F2" w:rsidRPr="00794C0E" w:rsidRDefault="00D650F2" w:rsidP="009D1692">
      <w:pPr>
        <w:pStyle w:val="ListParagraph"/>
        <w:ind w:left="0"/>
        <w:jc w:val="both"/>
        <w:rPr>
          <w:rFonts w:cs="Arial"/>
          <w:bCs/>
          <w:sz w:val="22"/>
          <w:szCs w:val="22"/>
          <w:lang w:val="es-AR"/>
        </w:rPr>
      </w:pPr>
    </w:p>
    <w:p w:rsidR="00D650F2" w:rsidRDefault="00D650F2" w:rsidP="00AA2F76">
      <w:pPr>
        <w:pStyle w:val="ListParagraph"/>
        <w:numPr>
          <w:ilvl w:val="1"/>
          <w:numId w:val="5"/>
        </w:numPr>
        <w:ind w:left="0" w:firstLine="0"/>
        <w:jc w:val="both"/>
        <w:rPr>
          <w:rFonts w:cs="Arial"/>
          <w:bCs/>
          <w:sz w:val="22"/>
          <w:szCs w:val="22"/>
          <w:lang w:val="es-AR"/>
        </w:rPr>
      </w:pPr>
      <w:r w:rsidRPr="00794C0E">
        <w:rPr>
          <w:rFonts w:cs="Arial"/>
          <w:bCs/>
          <w:sz w:val="22"/>
          <w:szCs w:val="22"/>
          <w:lang w:val="es-AR"/>
        </w:rPr>
        <w:t xml:space="preserve">La rentabilidad del proyecto ante la evaluación del flujo de beneficios netos, arroja un </w:t>
      </w:r>
      <w:r w:rsidRPr="00794C0E">
        <w:rPr>
          <w:rFonts w:cs="Arial"/>
          <w:b/>
          <w:bCs/>
          <w:sz w:val="22"/>
          <w:szCs w:val="22"/>
          <w:lang w:val="es-AR"/>
        </w:rPr>
        <w:t>VAN</w:t>
      </w:r>
      <w:r w:rsidRPr="00794C0E">
        <w:rPr>
          <w:rFonts w:cs="Arial"/>
          <w:bCs/>
          <w:sz w:val="22"/>
          <w:szCs w:val="22"/>
          <w:lang w:val="es-AR"/>
        </w:rPr>
        <w:t xml:space="preserve"> positivo de </w:t>
      </w:r>
      <w:r w:rsidRPr="00794C0E">
        <w:rPr>
          <w:rFonts w:cs="Arial"/>
          <w:b/>
          <w:bCs/>
          <w:sz w:val="22"/>
          <w:szCs w:val="22"/>
          <w:lang w:val="es-AR"/>
        </w:rPr>
        <w:t xml:space="preserve">U$S </w:t>
      </w:r>
      <w:r w:rsidR="00AA2F76" w:rsidRPr="00794C0E">
        <w:rPr>
          <w:rFonts w:cs="Arial"/>
          <w:b/>
          <w:bCs/>
          <w:sz w:val="22"/>
          <w:szCs w:val="22"/>
          <w:lang w:val="es-AR"/>
        </w:rPr>
        <w:t xml:space="preserve"> 2.379.437 </w:t>
      </w:r>
      <w:r w:rsidRPr="00794C0E">
        <w:rPr>
          <w:rFonts w:cs="Arial"/>
          <w:bCs/>
          <w:sz w:val="22"/>
          <w:szCs w:val="22"/>
          <w:lang w:val="es-AR"/>
        </w:rPr>
        <w:t xml:space="preserve">y una </w:t>
      </w:r>
      <w:r w:rsidRPr="00794C0E">
        <w:rPr>
          <w:rFonts w:cs="Arial"/>
          <w:b/>
          <w:bCs/>
          <w:sz w:val="22"/>
          <w:szCs w:val="22"/>
          <w:lang w:val="es-AR"/>
        </w:rPr>
        <w:t xml:space="preserve">TIR de </w:t>
      </w:r>
      <w:r w:rsidR="00EE7E95" w:rsidRPr="00794C0E">
        <w:rPr>
          <w:rFonts w:cs="Arial"/>
          <w:b/>
          <w:bCs/>
          <w:sz w:val="22"/>
          <w:szCs w:val="22"/>
          <w:lang w:val="es-AR"/>
        </w:rPr>
        <w:t>2</w:t>
      </w:r>
      <w:r w:rsidR="00AA2F76" w:rsidRPr="00794C0E">
        <w:rPr>
          <w:rFonts w:cs="Arial"/>
          <w:b/>
          <w:bCs/>
          <w:sz w:val="22"/>
          <w:szCs w:val="22"/>
          <w:lang w:val="es-AR"/>
        </w:rPr>
        <w:t>0</w:t>
      </w:r>
      <w:r w:rsidR="00EE7E95" w:rsidRPr="00794C0E">
        <w:rPr>
          <w:rFonts w:cs="Arial"/>
          <w:b/>
          <w:bCs/>
          <w:sz w:val="22"/>
          <w:szCs w:val="22"/>
          <w:lang w:val="es-AR"/>
        </w:rPr>
        <w:t>.</w:t>
      </w:r>
      <w:r w:rsidR="00AA2F76" w:rsidRPr="00794C0E">
        <w:rPr>
          <w:rFonts w:cs="Arial"/>
          <w:b/>
          <w:bCs/>
          <w:sz w:val="22"/>
          <w:szCs w:val="22"/>
          <w:lang w:val="es-AR"/>
        </w:rPr>
        <w:t>69</w:t>
      </w:r>
      <w:r w:rsidRPr="00794C0E">
        <w:rPr>
          <w:rFonts w:cs="Arial"/>
          <w:b/>
          <w:bCs/>
          <w:sz w:val="22"/>
          <w:szCs w:val="22"/>
          <w:lang w:val="es-AR"/>
        </w:rPr>
        <w:t>%,</w:t>
      </w:r>
      <w:r w:rsidRPr="00794C0E">
        <w:rPr>
          <w:rFonts w:cs="Arial"/>
          <w:bCs/>
          <w:sz w:val="22"/>
          <w:szCs w:val="22"/>
          <w:lang w:val="es-AR"/>
        </w:rPr>
        <w:t xml:space="preserve"> que supera la tasa de descuento utilizada.</w:t>
      </w:r>
    </w:p>
    <w:p w:rsidR="00184765" w:rsidRPr="00794C0E" w:rsidRDefault="00184765">
      <w:pPr>
        <w:rPr>
          <w:rFonts w:cs="Arial"/>
          <w:b/>
          <w:bCs/>
          <w:sz w:val="12"/>
          <w:lang w:val="es-AR"/>
        </w:rPr>
      </w:pPr>
    </w:p>
    <w:p w:rsidR="00AA2F76" w:rsidRPr="00794C0E" w:rsidRDefault="00F63CB3" w:rsidP="00AA2F76">
      <w:pPr>
        <w:pStyle w:val="ListParagraph"/>
        <w:ind w:left="0"/>
        <w:jc w:val="center"/>
        <w:rPr>
          <w:rFonts w:cs="Arial"/>
          <w:b/>
          <w:bCs/>
          <w:lang w:val="es-AR"/>
        </w:rPr>
      </w:pPr>
      <w:r w:rsidRPr="00794C0E">
        <w:rPr>
          <w:rFonts w:cs="Arial"/>
          <w:b/>
          <w:bCs/>
          <w:lang w:val="es-AR"/>
        </w:rPr>
        <w:t xml:space="preserve">Tabla </w:t>
      </w:r>
      <w:r w:rsidR="0048416B" w:rsidRPr="00794C0E">
        <w:rPr>
          <w:rFonts w:cs="Arial"/>
          <w:b/>
          <w:bCs/>
          <w:lang w:val="es-AR"/>
        </w:rPr>
        <w:t>1</w:t>
      </w:r>
      <w:r w:rsidR="00A342B2" w:rsidRPr="00794C0E">
        <w:rPr>
          <w:rFonts w:cs="Arial"/>
          <w:b/>
          <w:bCs/>
          <w:lang w:val="es-AR"/>
        </w:rPr>
        <w:t>1</w:t>
      </w:r>
      <w:r w:rsidRPr="00794C0E">
        <w:rPr>
          <w:rFonts w:cs="Arial"/>
          <w:b/>
          <w:bCs/>
          <w:lang w:val="es-AR"/>
        </w:rPr>
        <w:t>.</w:t>
      </w:r>
      <w:r w:rsidR="00C278D7" w:rsidRPr="00794C0E">
        <w:rPr>
          <w:rFonts w:cs="Arial"/>
          <w:b/>
          <w:bCs/>
          <w:lang w:val="es-AR"/>
        </w:rPr>
        <w:t xml:space="preserve"> </w:t>
      </w:r>
      <w:r w:rsidRPr="00794C0E">
        <w:rPr>
          <w:rFonts w:cs="Arial"/>
          <w:b/>
          <w:bCs/>
          <w:lang w:val="es-AR"/>
        </w:rPr>
        <w:t>VAN, TIR (</w:t>
      </w:r>
      <w:r w:rsidR="00F433CD" w:rsidRPr="00794C0E">
        <w:rPr>
          <w:rFonts w:cs="Arial"/>
          <w:b/>
          <w:bCs/>
          <w:lang w:val="es-AR"/>
        </w:rPr>
        <w:t>GFEGP)</w:t>
      </w:r>
    </w:p>
    <w:tbl>
      <w:tblPr>
        <w:tblW w:w="9643" w:type="dxa"/>
        <w:jc w:val="center"/>
        <w:tblInd w:w="55" w:type="dxa"/>
        <w:tblCellMar>
          <w:left w:w="70" w:type="dxa"/>
          <w:right w:w="70" w:type="dxa"/>
        </w:tblCellMar>
        <w:tblLook w:val="04A0" w:firstRow="1" w:lastRow="0" w:firstColumn="1" w:lastColumn="0" w:noHBand="0" w:noVBand="1"/>
      </w:tblPr>
      <w:tblGrid>
        <w:gridCol w:w="640"/>
        <w:gridCol w:w="1252"/>
        <w:gridCol w:w="1563"/>
        <w:gridCol w:w="1198"/>
        <w:gridCol w:w="1236"/>
        <w:gridCol w:w="1248"/>
        <w:gridCol w:w="1146"/>
        <w:gridCol w:w="1360"/>
      </w:tblGrid>
      <w:tr w:rsidR="00AA2F76" w:rsidRPr="00794C0E" w:rsidTr="00104DA9">
        <w:trPr>
          <w:trHeight w:val="20"/>
          <w:jc w:val="center"/>
        </w:trPr>
        <w:tc>
          <w:tcPr>
            <w:tcW w:w="64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A2F76" w:rsidRPr="00794C0E" w:rsidRDefault="00AA2F76" w:rsidP="00AA2F76">
            <w:pPr>
              <w:jc w:val="center"/>
              <w:rPr>
                <w:rFonts w:cs="Arial"/>
                <w:b/>
                <w:bCs/>
                <w:color w:val="000000"/>
                <w:sz w:val="18"/>
                <w:szCs w:val="18"/>
                <w:lang w:val="es-ES" w:eastAsia="es-ES"/>
              </w:rPr>
            </w:pPr>
            <w:r w:rsidRPr="00794C0E">
              <w:rPr>
                <w:rFonts w:cs="Arial"/>
                <w:b/>
                <w:bCs/>
                <w:color w:val="000000"/>
                <w:sz w:val="18"/>
                <w:szCs w:val="18"/>
                <w:lang w:val="es-ES" w:eastAsia="es-ES"/>
              </w:rPr>
              <w:t>Años</w:t>
            </w:r>
          </w:p>
        </w:tc>
        <w:tc>
          <w:tcPr>
            <w:tcW w:w="125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A2F76" w:rsidRPr="00794C0E" w:rsidRDefault="00AA2F76" w:rsidP="00AA2F76">
            <w:pPr>
              <w:jc w:val="center"/>
              <w:rPr>
                <w:rFonts w:cs="Arial"/>
                <w:b/>
                <w:bCs/>
                <w:color w:val="000000"/>
                <w:sz w:val="18"/>
                <w:szCs w:val="18"/>
                <w:lang w:val="es-ES" w:eastAsia="es-ES"/>
              </w:rPr>
            </w:pPr>
            <w:r w:rsidRPr="00794C0E">
              <w:rPr>
                <w:rFonts w:cs="Arial"/>
                <w:b/>
                <w:bCs/>
                <w:color w:val="000000"/>
                <w:sz w:val="18"/>
                <w:szCs w:val="18"/>
                <w:lang w:val="es-ES" w:eastAsia="es-ES"/>
              </w:rPr>
              <w:t>Inversiones</w:t>
            </w:r>
            <w:r w:rsidRPr="00794C0E">
              <w:rPr>
                <w:rFonts w:cs="Arial"/>
                <w:b/>
                <w:bCs/>
                <w:color w:val="000000"/>
                <w:sz w:val="18"/>
                <w:szCs w:val="18"/>
                <w:lang w:val="es-ES" w:eastAsia="es-ES"/>
              </w:rPr>
              <w:br/>
              <w:t>(precios sociales)</w:t>
            </w:r>
          </w:p>
        </w:tc>
        <w:tc>
          <w:tcPr>
            <w:tcW w:w="1563"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AA2F76" w:rsidRPr="00794C0E" w:rsidRDefault="00AA2F76" w:rsidP="00AA2F76">
            <w:pPr>
              <w:jc w:val="center"/>
              <w:rPr>
                <w:rFonts w:cs="Arial"/>
                <w:b/>
                <w:bCs/>
                <w:color w:val="000000"/>
                <w:sz w:val="18"/>
                <w:szCs w:val="18"/>
                <w:lang w:val="es-ES" w:eastAsia="es-ES"/>
              </w:rPr>
            </w:pPr>
            <w:r w:rsidRPr="00794C0E">
              <w:rPr>
                <w:rFonts w:cs="Arial"/>
                <w:b/>
                <w:bCs/>
                <w:color w:val="000000"/>
                <w:sz w:val="18"/>
                <w:szCs w:val="18"/>
                <w:lang w:val="es-ES" w:eastAsia="es-ES"/>
              </w:rPr>
              <w:t>Costos de</w:t>
            </w:r>
            <w:r w:rsidRPr="00794C0E">
              <w:rPr>
                <w:rFonts w:cs="Arial"/>
                <w:b/>
                <w:bCs/>
                <w:color w:val="000000"/>
                <w:sz w:val="18"/>
                <w:szCs w:val="18"/>
                <w:lang w:val="es-ES" w:eastAsia="es-ES"/>
              </w:rPr>
              <w:br/>
              <w:t>mantenimiento</w:t>
            </w:r>
          </w:p>
        </w:tc>
        <w:tc>
          <w:tcPr>
            <w:tcW w:w="4828" w:type="dxa"/>
            <w:gridSpan w:val="4"/>
            <w:tcBorders>
              <w:top w:val="single" w:sz="4" w:space="0" w:color="auto"/>
              <w:left w:val="nil"/>
              <w:bottom w:val="single" w:sz="4" w:space="0" w:color="auto"/>
              <w:right w:val="single" w:sz="4" w:space="0" w:color="auto"/>
            </w:tcBorders>
            <w:shd w:val="clear" w:color="000000" w:fill="F2F2F2"/>
            <w:vAlign w:val="center"/>
            <w:hideMark/>
          </w:tcPr>
          <w:p w:rsidR="00AA2F76" w:rsidRPr="00794C0E" w:rsidRDefault="00AA2F76" w:rsidP="00AA2F76">
            <w:pPr>
              <w:jc w:val="center"/>
              <w:rPr>
                <w:rFonts w:cs="Arial"/>
                <w:b/>
                <w:bCs/>
                <w:color w:val="000000"/>
                <w:sz w:val="18"/>
                <w:szCs w:val="18"/>
                <w:lang w:val="es-ES" w:eastAsia="es-ES"/>
              </w:rPr>
            </w:pPr>
            <w:r w:rsidRPr="00794C0E">
              <w:rPr>
                <w:rFonts w:cs="Arial"/>
                <w:b/>
                <w:bCs/>
                <w:color w:val="000000"/>
                <w:sz w:val="18"/>
                <w:szCs w:val="18"/>
                <w:lang w:val="es-ES" w:eastAsia="es-ES"/>
              </w:rPr>
              <w:t>Beneficios</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A2F76" w:rsidRPr="00794C0E" w:rsidRDefault="00AA2F76" w:rsidP="00AA2F76">
            <w:pPr>
              <w:jc w:val="center"/>
              <w:rPr>
                <w:rFonts w:cs="Arial"/>
                <w:b/>
                <w:bCs/>
                <w:color w:val="000000"/>
                <w:sz w:val="18"/>
                <w:szCs w:val="18"/>
                <w:lang w:val="es-ES" w:eastAsia="es-ES"/>
              </w:rPr>
            </w:pPr>
            <w:r w:rsidRPr="00794C0E">
              <w:rPr>
                <w:rFonts w:cs="Arial"/>
                <w:b/>
                <w:bCs/>
                <w:color w:val="000000"/>
                <w:sz w:val="18"/>
                <w:szCs w:val="18"/>
                <w:lang w:val="es-ES" w:eastAsia="es-ES"/>
              </w:rPr>
              <w:t>Beneficios Netos</w:t>
            </w:r>
          </w:p>
        </w:tc>
      </w:tr>
      <w:tr w:rsidR="00AA2F76" w:rsidRPr="00794C0E" w:rsidTr="00104DA9">
        <w:trPr>
          <w:trHeight w:val="20"/>
          <w:jc w:val="center"/>
        </w:trPr>
        <w:tc>
          <w:tcPr>
            <w:tcW w:w="640" w:type="dxa"/>
            <w:vMerge/>
            <w:tcBorders>
              <w:top w:val="single" w:sz="4" w:space="0" w:color="auto"/>
              <w:left w:val="single" w:sz="4" w:space="0" w:color="auto"/>
              <w:bottom w:val="single" w:sz="4" w:space="0" w:color="auto"/>
              <w:right w:val="single" w:sz="4" w:space="0" w:color="auto"/>
            </w:tcBorders>
            <w:vAlign w:val="center"/>
            <w:hideMark/>
          </w:tcPr>
          <w:p w:rsidR="00AA2F76" w:rsidRPr="00794C0E" w:rsidRDefault="00AA2F76" w:rsidP="00AA2F76">
            <w:pPr>
              <w:rPr>
                <w:rFonts w:cs="Arial"/>
                <w:b/>
                <w:bCs/>
                <w:color w:val="000000"/>
                <w:sz w:val="18"/>
                <w:szCs w:val="18"/>
                <w:lang w:val="es-ES" w:eastAsia="es-ES"/>
              </w:rPr>
            </w:pPr>
          </w:p>
        </w:tc>
        <w:tc>
          <w:tcPr>
            <w:tcW w:w="1252" w:type="dxa"/>
            <w:vMerge/>
            <w:tcBorders>
              <w:top w:val="single" w:sz="4" w:space="0" w:color="auto"/>
              <w:left w:val="single" w:sz="4" w:space="0" w:color="auto"/>
              <w:bottom w:val="single" w:sz="4" w:space="0" w:color="auto"/>
              <w:right w:val="single" w:sz="4" w:space="0" w:color="auto"/>
            </w:tcBorders>
            <w:vAlign w:val="center"/>
            <w:hideMark/>
          </w:tcPr>
          <w:p w:rsidR="00AA2F76" w:rsidRPr="00794C0E" w:rsidRDefault="00AA2F76" w:rsidP="00AA2F76">
            <w:pPr>
              <w:rPr>
                <w:rFonts w:cs="Arial"/>
                <w:b/>
                <w:bCs/>
                <w:color w:val="000000"/>
                <w:sz w:val="18"/>
                <w:szCs w:val="18"/>
                <w:lang w:val="es-ES" w:eastAsia="es-ES"/>
              </w:rPr>
            </w:pPr>
          </w:p>
        </w:tc>
        <w:tc>
          <w:tcPr>
            <w:tcW w:w="1563" w:type="dxa"/>
            <w:vMerge/>
            <w:tcBorders>
              <w:top w:val="single" w:sz="4" w:space="0" w:color="auto"/>
              <w:left w:val="single" w:sz="4" w:space="0" w:color="auto"/>
              <w:bottom w:val="single" w:sz="4" w:space="0" w:color="000000"/>
              <w:right w:val="single" w:sz="4" w:space="0" w:color="auto"/>
            </w:tcBorders>
            <w:vAlign w:val="center"/>
            <w:hideMark/>
          </w:tcPr>
          <w:p w:rsidR="00AA2F76" w:rsidRPr="00794C0E" w:rsidRDefault="00AA2F76" w:rsidP="00AA2F76">
            <w:pPr>
              <w:rPr>
                <w:rFonts w:cs="Arial"/>
                <w:b/>
                <w:bCs/>
                <w:color w:val="000000"/>
                <w:sz w:val="18"/>
                <w:szCs w:val="18"/>
                <w:lang w:val="es-ES" w:eastAsia="es-ES"/>
              </w:rPr>
            </w:pPr>
          </w:p>
        </w:tc>
        <w:tc>
          <w:tcPr>
            <w:tcW w:w="1198" w:type="dxa"/>
            <w:tcBorders>
              <w:top w:val="nil"/>
              <w:left w:val="nil"/>
              <w:bottom w:val="single" w:sz="4" w:space="0" w:color="auto"/>
              <w:right w:val="single" w:sz="4" w:space="0" w:color="auto"/>
            </w:tcBorders>
            <w:shd w:val="clear" w:color="000000" w:fill="D9D9D9"/>
            <w:noWrap/>
            <w:vAlign w:val="bottom"/>
            <w:hideMark/>
          </w:tcPr>
          <w:p w:rsidR="00AA2F76" w:rsidRPr="00794C0E" w:rsidRDefault="00AA2F76" w:rsidP="00AA2F76">
            <w:pPr>
              <w:jc w:val="center"/>
              <w:rPr>
                <w:rFonts w:cs="Arial"/>
                <w:color w:val="000000"/>
                <w:sz w:val="18"/>
                <w:szCs w:val="18"/>
                <w:lang w:val="es-ES" w:eastAsia="es-ES"/>
              </w:rPr>
            </w:pPr>
            <w:r w:rsidRPr="00794C0E">
              <w:rPr>
                <w:rFonts w:cs="Arial"/>
                <w:color w:val="000000"/>
                <w:sz w:val="18"/>
                <w:szCs w:val="18"/>
                <w:lang w:val="es-ES" w:eastAsia="es-ES"/>
              </w:rPr>
              <w:t xml:space="preserve">   Corrientes</w:t>
            </w:r>
          </w:p>
        </w:tc>
        <w:tc>
          <w:tcPr>
            <w:tcW w:w="1236" w:type="dxa"/>
            <w:tcBorders>
              <w:top w:val="nil"/>
              <w:left w:val="nil"/>
              <w:bottom w:val="single" w:sz="4" w:space="0" w:color="auto"/>
              <w:right w:val="single" w:sz="4" w:space="0" w:color="auto"/>
            </w:tcBorders>
            <w:shd w:val="clear" w:color="000000" w:fill="D9D9D9"/>
            <w:noWrap/>
            <w:vAlign w:val="bottom"/>
            <w:hideMark/>
          </w:tcPr>
          <w:p w:rsidR="00AA2F76" w:rsidRPr="00794C0E" w:rsidRDefault="00AA2F76" w:rsidP="00AA2F76">
            <w:pPr>
              <w:jc w:val="center"/>
              <w:rPr>
                <w:rFonts w:cs="Arial"/>
                <w:color w:val="000000"/>
                <w:sz w:val="18"/>
                <w:szCs w:val="18"/>
                <w:lang w:val="es-ES" w:eastAsia="es-ES"/>
              </w:rPr>
            </w:pPr>
            <w:r w:rsidRPr="00794C0E">
              <w:rPr>
                <w:rFonts w:cs="Arial"/>
                <w:color w:val="000000"/>
                <w:sz w:val="18"/>
                <w:szCs w:val="18"/>
                <w:lang w:val="es-ES" w:eastAsia="es-ES"/>
              </w:rPr>
              <w:t xml:space="preserve">   Mendoza</w:t>
            </w:r>
          </w:p>
        </w:tc>
        <w:tc>
          <w:tcPr>
            <w:tcW w:w="1248" w:type="dxa"/>
            <w:tcBorders>
              <w:top w:val="nil"/>
              <w:left w:val="nil"/>
              <w:bottom w:val="single" w:sz="4" w:space="0" w:color="auto"/>
              <w:right w:val="single" w:sz="4" w:space="0" w:color="auto"/>
            </w:tcBorders>
            <w:shd w:val="clear" w:color="000000" w:fill="D9D9D9"/>
            <w:noWrap/>
            <w:vAlign w:val="bottom"/>
            <w:hideMark/>
          </w:tcPr>
          <w:p w:rsidR="00AA2F76" w:rsidRPr="00794C0E" w:rsidRDefault="00AA2F76" w:rsidP="00AA2F76">
            <w:pPr>
              <w:jc w:val="center"/>
              <w:rPr>
                <w:rFonts w:cs="Arial"/>
                <w:color w:val="000000"/>
                <w:sz w:val="18"/>
                <w:szCs w:val="18"/>
                <w:lang w:val="es-ES" w:eastAsia="es-ES"/>
              </w:rPr>
            </w:pPr>
            <w:r w:rsidRPr="00794C0E">
              <w:rPr>
                <w:rFonts w:cs="Arial"/>
                <w:color w:val="000000"/>
                <w:sz w:val="18"/>
                <w:szCs w:val="18"/>
                <w:lang w:val="es-ES" w:eastAsia="es-ES"/>
              </w:rPr>
              <w:t xml:space="preserve">   Neuquén</w:t>
            </w:r>
          </w:p>
        </w:tc>
        <w:tc>
          <w:tcPr>
            <w:tcW w:w="1146" w:type="dxa"/>
            <w:tcBorders>
              <w:top w:val="nil"/>
              <w:left w:val="nil"/>
              <w:bottom w:val="single" w:sz="4" w:space="0" w:color="auto"/>
              <w:right w:val="single" w:sz="4" w:space="0" w:color="auto"/>
            </w:tcBorders>
            <w:shd w:val="clear" w:color="000000" w:fill="D9D9D9"/>
            <w:noWrap/>
            <w:vAlign w:val="bottom"/>
            <w:hideMark/>
          </w:tcPr>
          <w:p w:rsidR="00AA2F76" w:rsidRPr="00794C0E" w:rsidRDefault="00AA2F76" w:rsidP="00AA2F76">
            <w:pPr>
              <w:jc w:val="center"/>
              <w:rPr>
                <w:rFonts w:cs="Arial"/>
                <w:color w:val="000000"/>
                <w:sz w:val="18"/>
                <w:szCs w:val="18"/>
                <w:lang w:val="es-ES" w:eastAsia="es-ES"/>
              </w:rPr>
            </w:pPr>
            <w:r w:rsidRPr="00794C0E">
              <w:rPr>
                <w:rFonts w:cs="Arial"/>
                <w:color w:val="000000"/>
                <w:sz w:val="18"/>
                <w:szCs w:val="18"/>
                <w:lang w:val="es-ES" w:eastAsia="es-ES"/>
              </w:rPr>
              <w:t xml:space="preserve">   Salta</w:t>
            </w: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AA2F76" w:rsidRPr="00794C0E" w:rsidRDefault="00AA2F76" w:rsidP="00AA2F76">
            <w:pPr>
              <w:rPr>
                <w:rFonts w:cs="Arial"/>
                <w:b/>
                <w:bCs/>
                <w:color w:val="000000"/>
                <w:sz w:val="18"/>
                <w:szCs w:val="18"/>
                <w:lang w:val="es-ES" w:eastAsia="es-ES"/>
              </w:rPr>
            </w:pPr>
          </w:p>
        </w:tc>
      </w:tr>
      <w:tr w:rsidR="00AA2F76" w:rsidRPr="00794C0E" w:rsidTr="00104DA9">
        <w:trPr>
          <w:trHeight w:val="2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A2F76" w:rsidRPr="00794C0E" w:rsidRDefault="00AA2F76" w:rsidP="00AA2F76">
            <w:pPr>
              <w:jc w:val="center"/>
              <w:rPr>
                <w:rFonts w:cs="Arial"/>
                <w:color w:val="000000"/>
                <w:sz w:val="18"/>
                <w:szCs w:val="18"/>
                <w:lang w:val="es-ES" w:eastAsia="es-ES"/>
              </w:rPr>
            </w:pPr>
            <w:r w:rsidRPr="00794C0E">
              <w:rPr>
                <w:rFonts w:cs="Arial"/>
                <w:color w:val="000000"/>
                <w:sz w:val="18"/>
                <w:szCs w:val="18"/>
                <w:lang w:val="es-ES" w:eastAsia="es-ES"/>
              </w:rPr>
              <w:t>0</w:t>
            </w:r>
          </w:p>
        </w:tc>
        <w:tc>
          <w:tcPr>
            <w:tcW w:w="1252"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1.114.008,0</w:t>
            </w:r>
          </w:p>
        </w:tc>
        <w:tc>
          <w:tcPr>
            <w:tcW w:w="1563"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19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0,0</w:t>
            </w:r>
          </w:p>
        </w:tc>
        <w:tc>
          <w:tcPr>
            <w:tcW w:w="123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0,0</w:t>
            </w:r>
          </w:p>
        </w:tc>
        <w:tc>
          <w:tcPr>
            <w:tcW w:w="124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0,0</w:t>
            </w:r>
          </w:p>
        </w:tc>
        <w:tc>
          <w:tcPr>
            <w:tcW w:w="114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0,0</w:t>
            </w:r>
          </w:p>
        </w:tc>
        <w:tc>
          <w:tcPr>
            <w:tcW w:w="1360"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-1.114.008,0</w:t>
            </w:r>
          </w:p>
        </w:tc>
      </w:tr>
      <w:tr w:rsidR="00AA2F76" w:rsidRPr="00794C0E" w:rsidTr="00104DA9">
        <w:trPr>
          <w:trHeight w:val="2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A2F76" w:rsidRPr="00794C0E" w:rsidRDefault="00AA2F76" w:rsidP="00AA2F76">
            <w:pPr>
              <w:jc w:val="center"/>
              <w:rPr>
                <w:rFonts w:cs="Arial"/>
                <w:color w:val="000000"/>
                <w:sz w:val="18"/>
                <w:szCs w:val="18"/>
                <w:lang w:val="es-ES" w:eastAsia="es-ES"/>
              </w:rPr>
            </w:pPr>
            <w:r w:rsidRPr="00794C0E">
              <w:rPr>
                <w:rFonts w:cs="Arial"/>
                <w:color w:val="000000"/>
                <w:sz w:val="18"/>
                <w:szCs w:val="18"/>
                <w:lang w:val="es-ES" w:eastAsia="es-ES"/>
              </w:rPr>
              <w:t>1</w:t>
            </w:r>
          </w:p>
        </w:tc>
        <w:tc>
          <w:tcPr>
            <w:tcW w:w="1252"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3.660.312,0</w:t>
            </w:r>
          </w:p>
        </w:tc>
        <w:tc>
          <w:tcPr>
            <w:tcW w:w="1563"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477.432,0</w:t>
            </w:r>
          </w:p>
        </w:tc>
        <w:tc>
          <w:tcPr>
            <w:tcW w:w="119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1.477.800,4</w:t>
            </w:r>
          </w:p>
        </w:tc>
        <w:tc>
          <w:tcPr>
            <w:tcW w:w="123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230.000,0</w:t>
            </w:r>
          </w:p>
        </w:tc>
        <w:tc>
          <w:tcPr>
            <w:tcW w:w="124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13.600,0</w:t>
            </w:r>
          </w:p>
        </w:tc>
        <w:tc>
          <w:tcPr>
            <w:tcW w:w="114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92.000,0</w:t>
            </w:r>
          </w:p>
        </w:tc>
        <w:tc>
          <w:tcPr>
            <w:tcW w:w="1360"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-2.324.343,6</w:t>
            </w:r>
          </w:p>
        </w:tc>
      </w:tr>
      <w:tr w:rsidR="00AA2F76" w:rsidRPr="00794C0E" w:rsidTr="00104DA9">
        <w:trPr>
          <w:trHeight w:val="2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A2F76" w:rsidRPr="00794C0E" w:rsidRDefault="00AA2F76" w:rsidP="00AA2F76">
            <w:pPr>
              <w:jc w:val="center"/>
              <w:rPr>
                <w:rFonts w:cs="Arial"/>
                <w:color w:val="000000"/>
                <w:sz w:val="18"/>
                <w:szCs w:val="18"/>
                <w:lang w:val="es-ES" w:eastAsia="es-ES"/>
              </w:rPr>
            </w:pPr>
            <w:r w:rsidRPr="00794C0E">
              <w:rPr>
                <w:rFonts w:cs="Arial"/>
                <w:color w:val="000000"/>
                <w:sz w:val="18"/>
                <w:szCs w:val="18"/>
                <w:lang w:val="es-ES" w:eastAsia="es-ES"/>
              </w:rPr>
              <w:t>2</w:t>
            </w:r>
          </w:p>
        </w:tc>
        <w:tc>
          <w:tcPr>
            <w:tcW w:w="1252"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4.137.744,0</w:t>
            </w:r>
          </w:p>
        </w:tc>
        <w:tc>
          <w:tcPr>
            <w:tcW w:w="1563"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477.432,0</w:t>
            </w:r>
          </w:p>
        </w:tc>
        <w:tc>
          <w:tcPr>
            <w:tcW w:w="119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2.807.820,8</w:t>
            </w:r>
          </w:p>
        </w:tc>
        <w:tc>
          <w:tcPr>
            <w:tcW w:w="123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437.000,0</w:t>
            </w:r>
          </w:p>
        </w:tc>
        <w:tc>
          <w:tcPr>
            <w:tcW w:w="124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25.840,0</w:t>
            </w:r>
          </w:p>
        </w:tc>
        <w:tc>
          <w:tcPr>
            <w:tcW w:w="114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174.800,0</w:t>
            </w:r>
          </w:p>
        </w:tc>
        <w:tc>
          <w:tcPr>
            <w:tcW w:w="1360"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-1.169.715,2</w:t>
            </w:r>
          </w:p>
        </w:tc>
      </w:tr>
      <w:tr w:rsidR="00AA2F76" w:rsidRPr="00794C0E" w:rsidTr="00104DA9">
        <w:trPr>
          <w:trHeight w:val="2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A2F76" w:rsidRPr="00794C0E" w:rsidRDefault="00AA2F76" w:rsidP="00AA2F76">
            <w:pPr>
              <w:jc w:val="center"/>
              <w:rPr>
                <w:rFonts w:cs="Arial"/>
                <w:color w:val="000000"/>
                <w:sz w:val="18"/>
                <w:szCs w:val="18"/>
                <w:lang w:val="es-ES" w:eastAsia="es-ES"/>
              </w:rPr>
            </w:pPr>
            <w:r w:rsidRPr="00794C0E">
              <w:rPr>
                <w:rFonts w:cs="Arial"/>
                <w:color w:val="000000"/>
                <w:sz w:val="18"/>
                <w:szCs w:val="18"/>
                <w:lang w:val="es-ES" w:eastAsia="es-ES"/>
              </w:rPr>
              <w:t>3</w:t>
            </w:r>
          </w:p>
        </w:tc>
        <w:tc>
          <w:tcPr>
            <w:tcW w:w="1252"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4.456.032,0</w:t>
            </w:r>
          </w:p>
        </w:tc>
        <w:tc>
          <w:tcPr>
            <w:tcW w:w="1563"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477.432,0</w:t>
            </w:r>
          </w:p>
        </w:tc>
        <w:tc>
          <w:tcPr>
            <w:tcW w:w="119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3.369.384,9</w:t>
            </w:r>
          </w:p>
        </w:tc>
        <w:tc>
          <w:tcPr>
            <w:tcW w:w="123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524.400,0</w:t>
            </w:r>
          </w:p>
        </w:tc>
        <w:tc>
          <w:tcPr>
            <w:tcW w:w="124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31.008,0</w:t>
            </w:r>
          </w:p>
        </w:tc>
        <w:tc>
          <w:tcPr>
            <w:tcW w:w="114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209.760,0</w:t>
            </w:r>
          </w:p>
        </w:tc>
        <w:tc>
          <w:tcPr>
            <w:tcW w:w="1360"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-798.911,1</w:t>
            </w:r>
          </w:p>
        </w:tc>
      </w:tr>
      <w:tr w:rsidR="00AA2F76" w:rsidRPr="00794C0E" w:rsidTr="00104DA9">
        <w:trPr>
          <w:trHeight w:val="2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A2F76" w:rsidRPr="00794C0E" w:rsidRDefault="00AA2F76" w:rsidP="00AA2F76">
            <w:pPr>
              <w:jc w:val="center"/>
              <w:rPr>
                <w:rFonts w:cs="Arial"/>
                <w:color w:val="000000"/>
                <w:sz w:val="18"/>
                <w:szCs w:val="18"/>
                <w:lang w:val="es-ES" w:eastAsia="es-ES"/>
              </w:rPr>
            </w:pPr>
            <w:r w:rsidRPr="00794C0E">
              <w:rPr>
                <w:rFonts w:cs="Arial"/>
                <w:color w:val="000000"/>
                <w:sz w:val="18"/>
                <w:szCs w:val="18"/>
                <w:lang w:val="es-ES" w:eastAsia="es-ES"/>
              </w:rPr>
              <w:t>4</w:t>
            </w:r>
          </w:p>
        </w:tc>
        <w:tc>
          <w:tcPr>
            <w:tcW w:w="1252"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2.546.304,0</w:t>
            </w:r>
          </w:p>
        </w:tc>
        <w:tc>
          <w:tcPr>
            <w:tcW w:w="1563"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477.432,0</w:t>
            </w:r>
          </w:p>
        </w:tc>
        <w:tc>
          <w:tcPr>
            <w:tcW w:w="119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2.965.058,7</w:t>
            </w:r>
          </w:p>
        </w:tc>
        <w:tc>
          <w:tcPr>
            <w:tcW w:w="123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461.472,0</w:t>
            </w:r>
          </w:p>
        </w:tc>
        <w:tc>
          <w:tcPr>
            <w:tcW w:w="124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27.287,0</w:t>
            </w:r>
          </w:p>
        </w:tc>
        <w:tc>
          <w:tcPr>
            <w:tcW w:w="114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184.588,8</w:t>
            </w:r>
          </w:p>
        </w:tc>
        <w:tc>
          <w:tcPr>
            <w:tcW w:w="1360"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614.670,6</w:t>
            </w:r>
          </w:p>
        </w:tc>
      </w:tr>
      <w:tr w:rsidR="00AA2F76" w:rsidRPr="00794C0E" w:rsidTr="00104DA9">
        <w:trPr>
          <w:trHeight w:val="2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A2F76" w:rsidRPr="00794C0E" w:rsidRDefault="00AA2F76" w:rsidP="00AA2F76">
            <w:pPr>
              <w:jc w:val="center"/>
              <w:rPr>
                <w:rFonts w:cs="Arial"/>
                <w:color w:val="000000"/>
                <w:sz w:val="18"/>
                <w:szCs w:val="18"/>
                <w:lang w:val="es-ES" w:eastAsia="es-ES"/>
              </w:rPr>
            </w:pPr>
            <w:r w:rsidRPr="00794C0E">
              <w:rPr>
                <w:rFonts w:cs="Arial"/>
                <w:color w:val="000000"/>
                <w:sz w:val="18"/>
                <w:szCs w:val="18"/>
                <w:lang w:val="es-ES" w:eastAsia="es-ES"/>
              </w:rPr>
              <w:t>5</w:t>
            </w:r>
          </w:p>
        </w:tc>
        <w:tc>
          <w:tcPr>
            <w:tcW w:w="1252"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0,0</w:t>
            </w:r>
          </w:p>
        </w:tc>
        <w:tc>
          <w:tcPr>
            <w:tcW w:w="1563"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477.432,0</w:t>
            </w:r>
          </w:p>
        </w:tc>
        <w:tc>
          <w:tcPr>
            <w:tcW w:w="119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2.638.902,3</w:t>
            </w:r>
          </w:p>
        </w:tc>
        <w:tc>
          <w:tcPr>
            <w:tcW w:w="123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410.710,1</w:t>
            </w:r>
          </w:p>
        </w:tc>
        <w:tc>
          <w:tcPr>
            <w:tcW w:w="124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24.285,5</w:t>
            </w:r>
          </w:p>
        </w:tc>
        <w:tc>
          <w:tcPr>
            <w:tcW w:w="114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164.284,0</w:t>
            </w:r>
          </w:p>
        </w:tc>
        <w:tc>
          <w:tcPr>
            <w:tcW w:w="1360"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2.760.749,9</w:t>
            </w:r>
          </w:p>
        </w:tc>
      </w:tr>
      <w:tr w:rsidR="00AA2F76" w:rsidRPr="00794C0E" w:rsidTr="00104DA9">
        <w:trPr>
          <w:trHeight w:val="2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A2F76" w:rsidRPr="00794C0E" w:rsidRDefault="00AA2F76" w:rsidP="00AA2F76">
            <w:pPr>
              <w:jc w:val="center"/>
              <w:rPr>
                <w:rFonts w:cs="Arial"/>
                <w:color w:val="000000"/>
                <w:sz w:val="18"/>
                <w:szCs w:val="18"/>
                <w:lang w:val="es-ES" w:eastAsia="es-ES"/>
              </w:rPr>
            </w:pPr>
            <w:r w:rsidRPr="00794C0E">
              <w:rPr>
                <w:rFonts w:cs="Arial"/>
                <w:color w:val="000000"/>
                <w:sz w:val="18"/>
                <w:szCs w:val="18"/>
                <w:lang w:val="es-ES" w:eastAsia="es-ES"/>
              </w:rPr>
              <w:t>6</w:t>
            </w:r>
          </w:p>
        </w:tc>
        <w:tc>
          <w:tcPr>
            <w:tcW w:w="1252"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0,0</w:t>
            </w:r>
          </w:p>
        </w:tc>
        <w:tc>
          <w:tcPr>
            <w:tcW w:w="1563"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477.432,0</w:t>
            </w:r>
          </w:p>
        </w:tc>
        <w:tc>
          <w:tcPr>
            <w:tcW w:w="119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2.375.012,0</w:t>
            </w:r>
          </w:p>
        </w:tc>
        <w:tc>
          <w:tcPr>
            <w:tcW w:w="123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369.639,1</w:t>
            </w:r>
          </w:p>
        </w:tc>
        <w:tc>
          <w:tcPr>
            <w:tcW w:w="124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21.856,9</w:t>
            </w:r>
          </w:p>
        </w:tc>
        <w:tc>
          <w:tcPr>
            <w:tcW w:w="114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147.855,6</w:t>
            </w:r>
          </w:p>
        </w:tc>
        <w:tc>
          <w:tcPr>
            <w:tcW w:w="1360"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2.436.931,7</w:t>
            </w:r>
          </w:p>
        </w:tc>
      </w:tr>
      <w:tr w:rsidR="00AA2F76" w:rsidRPr="00794C0E" w:rsidTr="00104DA9">
        <w:trPr>
          <w:trHeight w:val="2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A2F76" w:rsidRPr="00794C0E" w:rsidRDefault="00AA2F76" w:rsidP="00AA2F76">
            <w:pPr>
              <w:jc w:val="center"/>
              <w:rPr>
                <w:rFonts w:cs="Arial"/>
                <w:color w:val="000000"/>
                <w:sz w:val="18"/>
                <w:szCs w:val="18"/>
                <w:lang w:val="es-ES" w:eastAsia="es-ES"/>
              </w:rPr>
            </w:pPr>
            <w:r w:rsidRPr="00794C0E">
              <w:rPr>
                <w:rFonts w:cs="Arial"/>
                <w:color w:val="000000"/>
                <w:sz w:val="18"/>
                <w:szCs w:val="18"/>
                <w:lang w:val="es-ES" w:eastAsia="es-ES"/>
              </w:rPr>
              <w:t>7</w:t>
            </w:r>
          </w:p>
        </w:tc>
        <w:tc>
          <w:tcPr>
            <w:tcW w:w="1252"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0,0</w:t>
            </w:r>
          </w:p>
        </w:tc>
        <w:tc>
          <w:tcPr>
            <w:tcW w:w="1563"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477.432,0</w:t>
            </w:r>
          </w:p>
        </w:tc>
        <w:tc>
          <w:tcPr>
            <w:tcW w:w="119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2.161.261,0</w:t>
            </w:r>
          </w:p>
        </w:tc>
        <w:tc>
          <w:tcPr>
            <w:tcW w:w="123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336.371,6</w:t>
            </w:r>
          </w:p>
        </w:tc>
        <w:tc>
          <w:tcPr>
            <w:tcW w:w="124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19.889,8</w:t>
            </w:r>
          </w:p>
        </w:tc>
        <w:tc>
          <w:tcPr>
            <w:tcW w:w="114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134.548,6</w:t>
            </w:r>
          </w:p>
        </w:tc>
        <w:tc>
          <w:tcPr>
            <w:tcW w:w="1360"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2.174.638,9</w:t>
            </w:r>
          </w:p>
        </w:tc>
      </w:tr>
      <w:tr w:rsidR="00AA2F76" w:rsidRPr="00794C0E" w:rsidTr="00104DA9">
        <w:trPr>
          <w:trHeight w:val="2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A2F76" w:rsidRPr="00794C0E" w:rsidRDefault="00AA2F76" w:rsidP="00AA2F76">
            <w:pPr>
              <w:jc w:val="center"/>
              <w:rPr>
                <w:rFonts w:cs="Arial"/>
                <w:color w:val="000000"/>
                <w:sz w:val="18"/>
                <w:szCs w:val="18"/>
                <w:lang w:val="es-ES" w:eastAsia="es-ES"/>
              </w:rPr>
            </w:pPr>
            <w:r w:rsidRPr="00794C0E">
              <w:rPr>
                <w:rFonts w:cs="Arial"/>
                <w:color w:val="000000"/>
                <w:sz w:val="18"/>
                <w:szCs w:val="18"/>
                <w:lang w:val="es-ES" w:eastAsia="es-ES"/>
              </w:rPr>
              <w:t>8</w:t>
            </w:r>
          </w:p>
        </w:tc>
        <w:tc>
          <w:tcPr>
            <w:tcW w:w="1252"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0,0</w:t>
            </w:r>
          </w:p>
        </w:tc>
        <w:tc>
          <w:tcPr>
            <w:tcW w:w="1563"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477.432,0</w:t>
            </w:r>
          </w:p>
        </w:tc>
        <w:tc>
          <w:tcPr>
            <w:tcW w:w="119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1.988.360,1</w:t>
            </w:r>
          </w:p>
        </w:tc>
        <w:tc>
          <w:tcPr>
            <w:tcW w:w="123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309.461,8</w:t>
            </w:r>
          </w:p>
        </w:tc>
        <w:tc>
          <w:tcPr>
            <w:tcW w:w="124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18.298,6</w:t>
            </w:r>
          </w:p>
        </w:tc>
        <w:tc>
          <w:tcPr>
            <w:tcW w:w="114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123.784,7</w:t>
            </w:r>
          </w:p>
        </w:tc>
        <w:tc>
          <w:tcPr>
            <w:tcW w:w="1360"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1.962.473,3</w:t>
            </w:r>
          </w:p>
        </w:tc>
      </w:tr>
      <w:tr w:rsidR="00AA2F76" w:rsidRPr="00794C0E" w:rsidTr="00104DA9">
        <w:trPr>
          <w:trHeight w:val="2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A2F76" w:rsidRPr="00794C0E" w:rsidRDefault="00AA2F76" w:rsidP="00AA2F76">
            <w:pPr>
              <w:jc w:val="center"/>
              <w:rPr>
                <w:rFonts w:cs="Arial"/>
                <w:color w:val="000000"/>
                <w:sz w:val="18"/>
                <w:szCs w:val="18"/>
                <w:lang w:val="es-ES" w:eastAsia="es-ES"/>
              </w:rPr>
            </w:pPr>
            <w:r w:rsidRPr="00794C0E">
              <w:rPr>
                <w:rFonts w:cs="Arial"/>
                <w:color w:val="000000"/>
                <w:sz w:val="18"/>
                <w:szCs w:val="18"/>
                <w:lang w:val="es-ES" w:eastAsia="es-ES"/>
              </w:rPr>
              <w:t>9</w:t>
            </w:r>
          </w:p>
        </w:tc>
        <w:tc>
          <w:tcPr>
            <w:tcW w:w="1252"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0,0</w:t>
            </w:r>
          </w:p>
        </w:tc>
        <w:tc>
          <w:tcPr>
            <w:tcW w:w="1563"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477.432,0</w:t>
            </w:r>
          </w:p>
        </w:tc>
        <w:tc>
          <w:tcPr>
            <w:tcW w:w="119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1.849.174,9</w:t>
            </w:r>
          </w:p>
        </w:tc>
        <w:tc>
          <w:tcPr>
            <w:tcW w:w="123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287.799,5</w:t>
            </w:r>
          </w:p>
        </w:tc>
        <w:tc>
          <w:tcPr>
            <w:tcW w:w="124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17.017,7</w:t>
            </w:r>
          </w:p>
        </w:tc>
        <w:tc>
          <w:tcPr>
            <w:tcW w:w="114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115.119,8</w:t>
            </w:r>
          </w:p>
        </w:tc>
        <w:tc>
          <w:tcPr>
            <w:tcW w:w="1360"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1.791.679,9</w:t>
            </w:r>
          </w:p>
        </w:tc>
      </w:tr>
      <w:tr w:rsidR="00AA2F76" w:rsidRPr="00794C0E" w:rsidTr="00104DA9">
        <w:trPr>
          <w:trHeight w:val="2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A2F76" w:rsidRPr="00794C0E" w:rsidRDefault="00AA2F76" w:rsidP="00AA2F76">
            <w:pPr>
              <w:jc w:val="center"/>
              <w:rPr>
                <w:rFonts w:cs="Arial"/>
                <w:color w:val="000000"/>
                <w:sz w:val="18"/>
                <w:szCs w:val="18"/>
                <w:lang w:val="es-ES" w:eastAsia="es-ES"/>
              </w:rPr>
            </w:pPr>
            <w:r w:rsidRPr="00794C0E">
              <w:rPr>
                <w:rFonts w:cs="Arial"/>
                <w:color w:val="000000"/>
                <w:sz w:val="18"/>
                <w:szCs w:val="18"/>
                <w:lang w:val="es-ES" w:eastAsia="es-ES"/>
              </w:rPr>
              <w:t>10</w:t>
            </w:r>
          </w:p>
        </w:tc>
        <w:tc>
          <w:tcPr>
            <w:tcW w:w="1252"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0,0</w:t>
            </w:r>
          </w:p>
        </w:tc>
        <w:tc>
          <w:tcPr>
            <w:tcW w:w="1563"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477.432,0</w:t>
            </w:r>
          </w:p>
        </w:tc>
        <w:tc>
          <w:tcPr>
            <w:tcW w:w="119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1.738.224,4</w:t>
            </w:r>
          </w:p>
        </w:tc>
        <w:tc>
          <w:tcPr>
            <w:tcW w:w="123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270.531,5</w:t>
            </w:r>
          </w:p>
        </w:tc>
        <w:tc>
          <w:tcPr>
            <w:tcW w:w="124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15.996,6</w:t>
            </w:r>
          </w:p>
        </w:tc>
        <w:tc>
          <w:tcPr>
            <w:tcW w:w="114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108.212,6</w:t>
            </w:r>
          </w:p>
        </w:tc>
        <w:tc>
          <w:tcPr>
            <w:tcW w:w="1360"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1.655.533,2</w:t>
            </w:r>
          </w:p>
        </w:tc>
      </w:tr>
      <w:tr w:rsidR="00AA2F76" w:rsidRPr="00794C0E" w:rsidTr="00104DA9">
        <w:trPr>
          <w:trHeight w:val="2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A2F76" w:rsidRPr="00794C0E" w:rsidRDefault="00AA2F76" w:rsidP="00AA2F76">
            <w:pPr>
              <w:jc w:val="center"/>
              <w:rPr>
                <w:rFonts w:cs="Arial"/>
                <w:color w:val="000000"/>
                <w:sz w:val="18"/>
                <w:szCs w:val="18"/>
                <w:lang w:val="es-ES" w:eastAsia="es-ES"/>
              </w:rPr>
            </w:pPr>
            <w:r w:rsidRPr="00794C0E">
              <w:rPr>
                <w:rFonts w:cs="Arial"/>
                <w:color w:val="000000"/>
                <w:sz w:val="18"/>
                <w:szCs w:val="18"/>
                <w:lang w:val="es-ES" w:eastAsia="es-ES"/>
              </w:rPr>
              <w:t>11</w:t>
            </w:r>
          </w:p>
        </w:tc>
        <w:tc>
          <w:tcPr>
            <w:tcW w:w="1252"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0,0</w:t>
            </w:r>
          </w:p>
        </w:tc>
        <w:tc>
          <w:tcPr>
            <w:tcW w:w="1563"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477.432,0</w:t>
            </w:r>
          </w:p>
        </w:tc>
        <w:tc>
          <w:tcPr>
            <w:tcW w:w="119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1.651.313,2</w:t>
            </w:r>
          </w:p>
        </w:tc>
        <w:tc>
          <w:tcPr>
            <w:tcW w:w="123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257.005,0</w:t>
            </w:r>
          </w:p>
        </w:tc>
        <w:tc>
          <w:tcPr>
            <w:tcW w:w="124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15.196,8</w:t>
            </w:r>
          </w:p>
        </w:tc>
        <w:tc>
          <w:tcPr>
            <w:tcW w:w="114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102.802,0</w:t>
            </w:r>
          </w:p>
        </w:tc>
        <w:tc>
          <w:tcPr>
            <w:tcW w:w="1360"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1.548.884,9</w:t>
            </w:r>
          </w:p>
        </w:tc>
      </w:tr>
      <w:tr w:rsidR="00AA2F76" w:rsidRPr="00794C0E" w:rsidTr="00104DA9">
        <w:trPr>
          <w:trHeight w:val="2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A2F76" w:rsidRPr="00794C0E" w:rsidRDefault="00AA2F76" w:rsidP="00AA2F76">
            <w:pPr>
              <w:jc w:val="center"/>
              <w:rPr>
                <w:rFonts w:cs="Arial"/>
                <w:color w:val="000000"/>
                <w:sz w:val="18"/>
                <w:szCs w:val="18"/>
                <w:lang w:val="es-ES" w:eastAsia="es-ES"/>
              </w:rPr>
            </w:pPr>
            <w:r w:rsidRPr="00794C0E">
              <w:rPr>
                <w:rFonts w:cs="Arial"/>
                <w:color w:val="000000"/>
                <w:sz w:val="18"/>
                <w:szCs w:val="18"/>
                <w:lang w:val="es-ES" w:eastAsia="es-ES"/>
              </w:rPr>
              <w:t>12</w:t>
            </w:r>
          </w:p>
        </w:tc>
        <w:tc>
          <w:tcPr>
            <w:tcW w:w="1252"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0,0</w:t>
            </w:r>
          </w:p>
        </w:tc>
        <w:tc>
          <w:tcPr>
            <w:tcW w:w="1563"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477.432,0</w:t>
            </w:r>
          </w:p>
        </w:tc>
        <w:tc>
          <w:tcPr>
            <w:tcW w:w="119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1.585.260,6</w:t>
            </w:r>
          </w:p>
        </w:tc>
        <w:tc>
          <w:tcPr>
            <w:tcW w:w="123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246.724,8</w:t>
            </w:r>
          </w:p>
        </w:tc>
        <w:tc>
          <w:tcPr>
            <w:tcW w:w="124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14.588,9</w:t>
            </w:r>
          </w:p>
        </w:tc>
        <w:tc>
          <w:tcPr>
            <w:tcW w:w="114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98.689,9</w:t>
            </w:r>
          </w:p>
        </w:tc>
        <w:tc>
          <w:tcPr>
            <w:tcW w:w="1360"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1.467.832,2</w:t>
            </w:r>
          </w:p>
        </w:tc>
      </w:tr>
      <w:tr w:rsidR="00AA2F76" w:rsidRPr="00794C0E" w:rsidTr="00104DA9">
        <w:trPr>
          <w:trHeight w:val="2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A2F76" w:rsidRPr="00794C0E" w:rsidRDefault="00AA2F76" w:rsidP="00AA2F76">
            <w:pPr>
              <w:jc w:val="center"/>
              <w:rPr>
                <w:rFonts w:cs="Arial"/>
                <w:color w:val="000000"/>
                <w:sz w:val="18"/>
                <w:szCs w:val="18"/>
                <w:lang w:val="es-ES" w:eastAsia="es-ES"/>
              </w:rPr>
            </w:pPr>
            <w:r w:rsidRPr="00794C0E">
              <w:rPr>
                <w:rFonts w:cs="Arial"/>
                <w:color w:val="000000"/>
                <w:sz w:val="18"/>
                <w:szCs w:val="18"/>
                <w:lang w:val="es-ES" w:eastAsia="es-ES"/>
              </w:rPr>
              <w:t>13</w:t>
            </w:r>
          </w:p>
        </w:tc>
        <w:tc>
          <w:tcPr>
            <w:tcW w:w="1252"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0,0</w:t>
            </w:r>
          </w:p>
        </w:tc>
        <w:tc>
          <w:tcPr>
            <w:tcW w:w="1563"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477.432,0</w:t>
            </w:r>
          </w:p>
        </w:tc>
        <w:tc>
          <w:tcPr>
            <w:tcW w:w="119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1.537.702,8</w:t>
            </w:r>
          </w:p>
        </w:tc>
        <w:tc>
          <w:tcPr>
            <w:tcW w:w="123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239.323,0</w:t>
            </w:r>
          </w:p>
        </w:tc>
        <w:tc>
          <w:tcPr>
            <w:tcW w:w="124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14.151,3</w:t>
            </w:r>
          </w:p>
        </w:tc>
        <w:tc>
          <w:tcPr>
            <w:tcW w:w="114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95.729,2</w:t>
            </w:r>
          </w:p>
        </w:tc>
        <w:tc>
          <w:tcPr>
            <w:tcW w:w="1360"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1.409.474,3</w:t>
            </w:r>
          </w:p>
        </w:tc>
      </w:tr>
      <w:tr w:rsidR="00AA2F76" w:rsidRPr="00794C0E" w:rsidTr="00104DA9">
        <w:trPr>
          <w:trHeight w:val="2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A2F76" w:rsidRPr="00794C0E" w:rsidRDefault="00AA2F76" w:rsidP="00AA2F76">
            <w:pPr>
              <w:jc w:val="center"/>
              <w:rPr>
                <w:rFonts w:cs="Arial"/>
                <w:color w:val="000000"/>
                <w:sz w:val="18"/>
                <w:szCs w:val="18"/>
                <w:lang w:val="es-ES" w:eastAsia="es-ES"/>
              </w:rPr>
            </w:pPr>
            <w:r w:rsidRPr="00794C0E">
              <w:rPr>
                <w:rFonts w:cs="Arial"/>
                <w:color w:val="000000"/>
                <w:sz w:val="18"/>
                <w:szCs w:val="18"/>
                <w:lang w:val="es-ES" w:eastAsia="es-ES"/>
              </w:rPr>
              <w:t>14</w:t>
            </w:r>
          </w:p>
        </w:tc>
        <w:tc>
          <w:tcPr>
            <w:tcW w:w="1252"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0,0</w:t>
            </w:r>
          </w:p>
        </w:tc>
        <w:tc>
          <w:tcPr>
            <w:tcW w:w="1563"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477.432,0</w:t>
            </w:r>
          </w:p>
        </w:tc>
        <w:tc>
          <w:tcPr>
            <w:tcW w:w="119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1.506.948,8</w:t>
            </w:r>
          </w:p>
        </w:tc>
        <w:tc>
          <w:tcPr>
            <w:tcW w:w="123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234.536,6</w:t>
            </w:r>
          </w:p>
        </w:tc>
        <w:tc>
          <w:tcPr>
            <w:tcW w:w="124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13.868,2</w:t>
            </w:r>
          </w:p>
        </w:tc>
        <w:tc>
          <w:tcPr>
            <w:tcW w:w="114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93.814,6</w:t>
            </w:r>
          </w:p>
        </w:tc>
        <w:tc>
          <w:tcPr>
            <w:tcW w:w="1360"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1.371.736,2</w:t>
            </w:r>
          </w:p>
        </w:tc>
      </w:tr>
      <w:tr w:rsidR="00AA2F76" w:rsidRPr="00794C0E" w:rsidTr="00104DA9">
        <w:trPr>
          <w:trHeight w:val="2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A2F76" w:rsidRPr="00794C0E" w:rsidRDefault="00AA2F76" w:rsidP="00AA2F76">
            <w:pPr>
              <w:jc w:val="center"/>
              <w:rPr>
                <w:rFonts w:cs="Arial"/>
                <w:color w:val="000000"/>
                <w:sz w:val="18"/>
                <w:szCs w:val="18"/>
                <w:lang w:val="es-ES" w:eastAsia="es-ES"/>
              </w:rPr>
            </w:pPr>
            <w:r w:rsidRPr="00794C0E">
              <w:rPr>
                <w:rFonts w:cs="Arial"/>
                <w:color w:val="000000"/>
                <w:sz w:val="18"/>
                <w:szCs w:val="18"/>
                <w:lang w:val="es-ES" w:eastAsia="es-ES"/>
              </w:rPr>
              <w:t>15</w:t>
            </w:r>
          </w:p>
        </w:tc>
        <w:tc>
          <w:tcPr>
            <w:tcW w:w="1252"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0,0</w:t>
            </w:r>
          </w:p>
        </w:tc>
        <w:tc>
          <w:tcPr>
            <w:tcW w:w="1563"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477.432,0</w:t>
            </w:r>
          </w:p>
        </w:tc>
        <w:tc>
          <w:tcPr>
            <w:tcW w:w="119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1.491.879,3</w:t>
            </w:r>
          </w:p>
        </w:tc>
        <w:tc>
          <w:tcPr>
            <w:tcW w:w="123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232.191,2</w:t>
            </w:r>
          </w:p>
        </w:tc>
        <w:tc>
          <w:tcPr>
            <w:tcW w:w="124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13.729,6</w:t>
            </w:r>
          </w:p>
        </w:tc>
        <w:tc>
          <w:tcPr>
            <w:tcW w:w="114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92.876,5</w:t>
            </w:r>
          </w:p>
        </w:tc>
        <w:tc>
          <w:tcPr>
            <w:tcW w:w="1360"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1.353.244,5</w:t>
            </w:r>
          </w:p>
        </w:tc>
      </w:tr>
      <w:tr w:rsidR="00AA2F76" w:rsidRPr="00794C0E" w:rsidTr="00104DA9">
        <w:trPr>
          <w:trHeight w:val="2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A2F76" w:rsidRPr="00794C0E" w:rsidRDefault="00AA2F76" w:rsidP="00AA2F76">
            <w:pPr>
              <w:jc w:val="center"/>
              <w:rPr>
                <w:rFonts w:cs="Arial"/>
                <w:color w:val="000000"/>
                <w:sz w:val="18"/>
                <w:szCs w:val="18"/>
                <w:lang w:val="es-ES" w:eastAsia="es-ES"/>
              </w:rPr>
            </w:pPr>
            <w:r w:rsidRPr="00794C0E">
              <w:rPr>
                <w:rFonts w:cs="Arial"/>
                <w:color w:val="000000"/>
                <w:sz w:val="18"/>
                <w:szCs w:val="18"/>
                <w:lang w:val="es-ES" w:eastAsia="es-ES"/>
              </w:rPr>
              <w:t>16</w:t>
            </w:r>
          </w:p>
        </w:tc>
        <w:tc>
          <w:tcPr>
            <w:tcW w:w="1252"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0,0</w:t>
            </w:r>
          </w:p>
        </w:tc>
        <w:tc>
          <w:tcPr>
            <w:tcW w:w="1563"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477.432,0</w:t>
            </w:r>
          </w:p>
        </w:tc>
        <w:tc>
          <w:tcPr>
            <w:tcW w:w="119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23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24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14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-477.432,0</w:t>
            </w:r>
          </w:p>
        </w:tc>
      </w:tr>
      <w:tr w:rsidR="00AA2F76" w:rsidRPr="00794C0E" w:rsidTr="00104DA9">
        <w:trPr>
          <w:trHeight w:val="2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A2F76" w:rsidRPr="00794C0E" w:rsidRDefault="00AA2F76" w:rsidP="00AA2F76">
            <w:pPr>
              <w:jc w:val="center"/>
              <w:rPr>
                <w:rFonts w:cs="Arial"/>
                <w:color w:val="000000"/>
                <w:sz w:val="18"/>
                <w:szCs w:val="18"/>
                <w:lang w:val="es-ES" w:eastAsia="es-ES"/>
              </w:rPr>
            </w:pPr>
            <w:r w:rsidRPr="00794C0E">
              <w:rPr>
                <w:rFonts w:cs="Arial"/>
                <w:color w:val="000000"/>
                <w:sz w:val="18"/>
                <w:szCs w:val="18"/>
                <w:lang w:val="es-ES" w:eastAsia="es-ES"/>
              </w:rPr>
              <w:t>17</w:t>
            </w:r>
          </w:p>
        </w:tc>
        <w:tc>
          <w:tcPr>
            <w:tcW w:w="1252"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0,0</w:t>
            </w:r>
          </w:p>
        </w:tc>
        <w:tc>
          <w:tcPr>
            <w:tcW w:w="1563"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477.432,0</w:t>
            </w:r>
          </w:p>
        </w:tc>
        <w:tc>
          <w:tcPr>
            <w:tcW w:w="119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23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24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14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-477.432,0</w:t>
            </w:r>
          </w:p>
        </w:tc>
      </w:tr>
      <w:tr w:rsidR="00AA2F76" w:rsidRPr="00794C0E" w:rsidTr="00104DA9">
        <w:trPr>
          <w:trHeight w:val="2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A2F76" w:rsidRPr="00794C0E" w:rsidRDefault="00AA2F76" w:rsidP="00AA2F76">
            <w:pPr>
              <w:jc w:val="center"/>
              <w:rPr>
                <w:rFonts w:cs="Arial"/>
                <w:color w:val="000000"/>
                <w:sz w:val="18"/>
                <w:szCs w:val="18"/>
                <w:lang w:val="es-ES" w:eastAsia="es-ES"/>
              </w:rPr>
            </w:pPr>
            <w:r w:rsidRPr="00794C0E">
              <w:rPr>
                <w:rFonts w:cs="Arial"/>
                <w:color w:val="000000"/>
                <w:sz w:val="18"/>
                <w:szCs w:val="18"/>
                <w:lang w:val="es-ES" w:eastAsia="es-ES"/>
              </w:rPr>
              <w:t>18</w:t>
            </w:r>
          </w:p>
        </w:tc>
        <w:tc>
          <w:tcPr>
            <w:tcW w:w="1252"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0,0</w:t>
            </w:r>
          </w:p>
        </w:tc>
        <w:tc>
          <w:tcPr>
            <w:tcW w:w="1563"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477.432,0</w:t>
            </w:r>
          </w:p>
        </w:tc>
        <w:tc>
          <w:tcPr>
            <w:tcW w:w="119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23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24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14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-477.432,0</w:t>
            </w:r>
          </w:p>
        </w:tc>
      </w:tr>
      <w:tr w:rsidR="00AA2F76" w:rsidRPr="00794C0E" w:rsidTr="00104DA9">
        <w:trPr>
          <w:trHeight w:val="2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A2F76" w:rsidRPr="00794C0E" w:rsidRDefault="00AA2F76" w:rsidP="00AA2F76">
            <w:pPr>
              <w:jc w:val="center"/>
              <w:rPr>
                <w:rFonts w:cs="Arial"/>
                <w:color w:val="000000"/>
                <w:sz w:val="18"/>
                <w:szCs w:val="18"/>
                <w:lang w:val="es-ES" w:eastAsia="es-ES"/>
              </w:rPr>
            </w:pPr>
            <w:r w:rsidRPr="00794C0E">
              <w:rPr>
                <w:rFonts w:cs="Arial"/>
                <w:color w:val="000000"/>
                <w:sz w:val="18"/>
                <w:szCs w:val="18"/>
                <w:lang w:val="es-ES" w:eastAsia="es-ES"/>
              </w:rPr>
              <w:t>19</w:t>
            </w:r>
          </w:p>
        </w:tc>
        <w:tc>
          <w:tcPr>
            <w:tcW w:w="1252"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0,0</w:t>
            </w:r>
          </w:p>
        </w:tc>
        <w:tc>
          <w:tcPr>
            <w:tcW w:w="1563"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477.432,0</w:t>
            </w:r>
          </w:p>
        </w:tc>
        <w:tc>
          <w:tcPr>
            <w:tcW w:w="119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23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24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14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-477.432,0</w:t>
            </w:r>
          </w:p>
        </w:tc>
      </w:tr>
      <w:tr w:rsidR="00AA2F76" w:rsidRPr="00794C0E" w:rsidTr="00104DA9">
        <w:trPr>
          <w:trHeight w:val="2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A2F76" w:rsidRPr="00794C0E" w:rsidRDefault="00AA2F76" w:rsidP="00AA2F76">
            <w:pPr>
              <w:jc w:val="center"/>
              <w:rPr>
                <w:rFonts w:cs="Arial"/>
                <w:color w:val="000000"/>
                <w:sz w:val="18"/>
                <w:szCs w:val="18"/>
                <w:lang w:val="es-ES" w:eastAsia="es-ES"/>
              </w:rPr>
            </w:pPr>
            <w:r w:rsidRPr="00794C0E">
              <w:rPr>
                <w:rFonts w:cs="Arial"/>
                <w:color w:val="000000"/>
                <w:sz w:val="18"/>
                <w:szCs w:val="18"/>
                <w:lang w:val="es-ES" w:eastAsia="es-ES"/>
              </w:rPr>
              <w:t>20</w:t>
            </w:r>
          </w:p>
        </w:tc>
        <w:tc>
          <w:tcPr>
            <w:tcW w:w="1252"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0,0</w:t>
            </w:r>
          </w:p>
        </w:tc>
        <w:tc>
          <w:tcPr>
            <w:tcW w:w="1563"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477.432,0</w:t>
            </w:r>
          </w:p>
        </w:tc>
        <w:tc>
          <w:tcPr>
            <w:tcW w:w="119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23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24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14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-477.432,0</w:t>
            </w:r>
          </w:p>
        </w:tc>
      </w:tr>
      <w:tr w:rsidR="00AA2F76" w:rsidRPr="00794C0E" w:rsidTr="00104DA9">
        <w:trPr>
          <w:trHeight w:val="2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A2F76" w:rsidRPr="00794C0E" w:rsidRDefault="00AA2F76" w:rsidP="00AA2F76">
            <w:pPr>
              <w:jc w:val="center"/>
              <w:rPr>
                <w:rFonts w:cs="Arial"/>
                <w:color w:val="000000"/>
                <w:sz w:val="18"/>
                <w:szCs w:val="18"/>
                <w:lang w:val="es-ES" w:eastAsia="es-ES"/>
              </w:rPr>
            </w:pPr>
            <w:r w:rsidRPr="00794C0E">
              <w:rPr>
                <w:rFonts w:cs="Arial"/>
                <w:color w:val="000000"/>
                <w:sz w:val="18"/>
                <w:szCs w:val="18"/>
                <w:lang w:val="es-ES" w:eastAsia="es-ES"/>
              </w:rPr>
              <w:t>21</w:t>
            </w:r>
          </w:p>
        </w:tc>
        <w:tc>
          <w:tcPr>
            <w:tcW w:w="1252"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0,0</w:t>
            </w:r>
          </w:p>
        </w:tc>
        <w:tc>
          <w:tcPr>
            <w:tcW w:w="1563"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477.432,0</w:t>
            </w:r>
          </w:p>
        </w:tc>
        <w:tc>
          <w:tcPr>
            <w:tcW w:w="119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23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24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14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-477.432,0</w:t>
            </w:r>
          </w:p>
        </w:tc>
      </w:tr>
      <w:tr w:rsidR="00AA2F76" w:rsidRPr="00794C0E" w:rsidTr="00104DA9">
        <w:trPr>
          <w:trHeight w:val="2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A2F76" w:rsidRPr="00794C0E" w:rsidRDefault="00AA2F76" w:rsidP="00AA2F76">
            <w:pPr>
              <w:jc w:val="center"/>
              <w:rPr>
                <w:rFonts w:cs="Arial"/>
                <w:color w:val="000000"/>
                <w:sz w:val="18"/>
                <w:szCs w:val="18"/>
                <w:lang w:val="es-ES" w:eastAsia="es-ES"/>
              </w:rPr>
            </w:pPr>
            <w:r w:rsidRPr="00794C0E">
              <w:rPr>
                <w:rFonts w:cs="Arial"/>
                <w:color w:val="000000"/>
                <w:sz w:val="18"/>
                <w:szCs w:val="18"/>
                <w:lang w:val="es-ES" w:eastAsia="es-ES"/>
              </w:rPr>
              <w:t>22</w:t>
            </w:r>
          </w:p>
        </w:tc>
        <w:tc>
          <w:tcPr>
            <w:tcW w:w="1252"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0,0</w:t>
            </w:r>
          </w:p>
        </w:tc>
        <w:tc>
          <w:tcPr>
            <w:tcW w:w="1563"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477.432,0</w:t>
            </w:r>
          </w:p>
        </w:tc>
        <w:tc>
          <w:tcPr>
            <w:tcW w:w="119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23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24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14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-477.432,0</w:t>
            </w:r>
          </w:p>
        </w:tc>
      </w:tr>
      <w:tr w:rsidR="00AA2F76" w:rsidRPr="00794C0E" w:rsidTr="00104DA9">
        <w:trPr>
          <w:trHeight w:val="2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A2F76" w:rsidRPr="00794C0E" w:rsidRDefault="00AA2F76" w:rsidP="00AA2F76">
            <w:pPr>
              <w:jc w:val="center"/>
              <w:rPr>
                <w:rFonts w:cs="Arial"/>
                <w:color w:val="000000"/>
                <w:sz w:val="18"/>
                <w:szCs w:val="18"/>
                <w:lang w:val="es-ES" w:eastAsia="es-ES"/>
              </w:rPr>
            </w:pPr>
            <w:r w:rsidRPr="00794C0E">
              <w:rPr>
                <w:rFonts w:cs="Arial"/>
                <w:color w:val="000000"/>
                <w:sz w:val="18"/>
                <w:szCs w:val="18"/>
                <w:lang w:val="es-ES" w:eastAsia="es-ES"/>
              </w:rPr>
              <w:t>23</w:t>
            </w:r>
          </w:p>
        </w:tc>
        <w:tc>
          <w:tcPr>
            <w:tcW w:w="1252"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0,0</w:t>
            </w:r>
          </w:p>
        </w:tc>
        <w:tc>
          <w:tcPr>
            <w:tcW w:w="1563"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477.432,0</w:t>
            </w:r>
          </w:p>
        </w:tc>
        <w:tc>
          <w:tcPr>
            <w:tcW w:w="119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23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24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14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-477.432,0</w:t>
            </w:r>
          </w:p>
        </w:tc>
      </w:tr>
      <w:tr w:rsidR="00AA2F76" w:rsidRPr="00794C0E" w:rsidTr="00104DA9">
        <w:trPr>
          <w:trHeight w:val="2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AA2F76" w:rsidRPr="00794C0E" w:rsidRDefault="00AA2F76" w:rsidP="00AA2F76">
            <w:pPr>
              <w:jc w:val="center"/>
              <w:rPr>
                <w:rFonts w:cs="Arial"/>
                <w:color w:val="000000"/>
                <w:sz w:val="18"/>
                <w:szCs w:val="18"/>
                <w:lang w:val="es-ES" w:eastAsia="es-ES"/>
              </w:rPr>
            </w:pPr>
            <w:r w:rsidRPr="00794C0E">
              <w:rPr>
                <w:rFonts w:cs="Arial"/>
                <w:color w:val="000000"/>
                <w:sz w:val="18"/>
                <w:szCs w:val="18"/>
                <w:lang w:val="es-ES" w:eastAsia="es-ES"/>
              </w:rPr>
              <w:t>24</w:t>
            </w:r>
          </w:p>
        </w:tc>
        <w:tc>
          <w:tcPr>
            <w:tcW w:w="1252"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0,0</w:t>
            </w:r>
          </w:p>
        </w:tc>
        <w:tc>
          <w:tcPr>
            <w:tcW w:w="1563"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477.432,0</w:t>
            </w:r>
          </w:p>
        </w:tc>
        <w:tc>
          <w:tcPr>
            <w:tcW w:w="119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23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248"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146"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rPr>
                <w:rFonts w:cs="Arial"/>
                <w:color w:val="000000"/>
                <w:sz w:val="18"/>
                <w:szCs w:val="18"/>
                <w:lang w:val="es-ES" w:eastAsia="es-ES"/>
              </w:rPr>
            </w:pPr>
            <w:r w:rsidRPr="00794C0E">
              <w:rPr>
                <w:rFonts w:cs="Arial"/>
                <w:color w:val="000000"/>
                <w:sz w:val="18"/>
                <w:szCs w:val="18"/>
                <w:lang w:val="es-ES"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AA2F76" w:rsidRPr="00794C0E" w:rsidRDefault="00AA2F76" w:rsidP="00AA2F76">
            <w:pPr>
              <w:jc w:val="right"/>
              <w:rPr>
                <w:rFonts w:cs="Arial"/>
                <w:color w:val="000000"/>
                <w:sz w:val="18"/>
                <w:szCs w:val="18"/>
                <w:lang w:val="es-ES" w:eastAsia="es-ES"/>
              </w:rPr>
            </w:pPr>
            <w:r w:rsidRPr="00794C0E">
              <w:rPr>
                <w:rFonts w:cs="Arial"/>
                <w:color w:val="000000"/>
                <w:sz w:val="18"/>
                <w:szCs w:val="18"/>
                <w:lang w:val="es-ES" w:eastAsia="es-ES"/>
              </w:rPr>
              <w:t>-477.432,0</w:t>
            </w:r>
          </w:p>
        </w:tc>
      </w:tr>
    </w:tbl>
    <w:p w:rsidR="004717A9" w:rsidRPr="00794C0E" w:rsidRDefault="00AA2F76" w:rsidP="00AA2F76">
      <w:pPr>
        <w:pStyle w:val="ListParagraph"/>
        <w:ind w:left="0"/>
        <w:jc w:val="center"/>
        <w:rPr>
          <w:rFonts w:cs="Arial"/>
          <w:bCs/>
          <w:sz w:val="22"/>
          <w:szCs w:val="22"/>
          <w:lang w:val="es-AR"/>
        </w:rPr>
      </w:pPr>
      <w:r w:rsidRPr="00794C0E">
        <w:rPr>
          <w:rFonts w:cs="Arial"/>
          <w:bCs/>
          <w:sz w:val="22"/>
          <w:szCs w:val="22"/>
          <w:lang w:val="es-AR"/>
        </w:rPr>
        <w:t xml:space="preserve"> </w:t>
      </w:r>
    </w:p>
    <w:p w:rsidR="00A342B2" w:rsidRPr="00794C0E" w:rsidRDefault="00DC4A9D" w:rsidP="00DC4A9D">
      <w:pPr>
        <w:pStyle w:val="ListParagraph"/>
        <w:numPr>
          <w:ilvl w:val="1"/>
          <w:numId w:val="5"/>
        </w:numPr>
        <w:ind w:left="0" w:firstLine="0"/>
        <w:jc w:val="both"/>
        <w:rPr>
          <w:rFonts w:cs="Arial"/>
          <w:b/>
          <w:bCs/>
          <w:sz w:val="22"/>
          <w:szCs w:val="22"/>
          <w:lang w:val="es-AR"/>
        </w:rPr>
      </w:pPr>
      <w:r w:rsidRPr="00794C0E">
        <w:rPr>
          <w:rFonts w:cs="Arial"/>
          <w:bCs/>
          <w:iCs/>
          <w:sz w:val="22"/>
          <w:szCs w:val="22"/>
          <w:lang w:val="es-AR"/>
        </w:rPr>
        <w:lastRenderedPageBreak/>
        <w:t xml:space="preserve">Para el análisis de sensibilidad se utilizó la metodología de Montecarlo. Con un nivel de confianza del 95 % de que el VAN y la TIR ocurran, los intervalos de confianza logrados son: VAN; en millones de U$S min 1.20; max 3.55 y la para la TIR </w:t>
      </w:r>
      <w:r w:rsidR="00D912E2" w:rsidRPr="00794C0E">
        <w:rPr>
          <w:rFonts w:cs="Arial"/>
          <w:bCs/>
          <w:iCs/>
          <w:sz w:val="22"/>
          <w:szCs w:val="22"/>
          <w:lang w:val="es-AR"/>
        </w:rPr>
        <w:t>15.35 % y 22.33%</w:t>
      </w:r>
    </w:p>
    <w:p w:rsidR="00DC4A9D" w:rsidRPr="00794C0E" w:rsidRDefault="00DC4A9D" w:rsidP="00DC4A9D">
      <w:pPr>
        <w:jc w:val="center"/>
        <w:rPr>
          <w:rFonts w:cs="Arial"/>
          <w:lang w:val="es-ES_tradnl"/>
        </w:rPr>
      </w:pPr>
    </w:p>
    <w:p w:rsidR="00DC4A9D" w:rsidRPr="00794C0E" w:rsidRDefault="00DC4A9D" w:rsidP="00DC4A9D">
      <w:pPr>
        <w:jc w:val="center"/>
        <w:rPr>
          <w:rFonts w:cs="Arial"/>
        </w:rPr>
      </w:pPr>
      <w:r w:rsidRPr="00794C0E">
        <w:rPr>
          <w:rFonts w:cs="Arial"/>
          <w:noProof/>
          <w:lang w:val="es-ES_tradnl" w:eastAsia="es-ES_tradnl"/>
        </w:rPr>
        <w:drawing>
          <wp:inline distT="0" distB="0" distL="0" distR="0" wp14:anchorId="05121850" wp14:editId="223B60F9">
            <wp:extent cx="5011437" cy="19621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1437" cy="1962150"/>
                    </a:xfrm>
                    <a:prstGeom prst="rect">
                      <a:avLst/>
                    </a:prstGeom>
                    <a:noFill/>
                    <a:ln>
                      <a:noFill/>
                    </a:ln>
                  </pic:spPr>
                </pic:pic>
              </a:graphicData>
            </a:graphic>
          </wp:inline>
        </w:drawing>
      </w:r>
    </w:p>
    <w:p w:rsidR="00DC4A9D" w:rsidRPr="00794C0E" w:rsidRDefault="00DC4A9D" w:rsidP="00DC4A9D">
      <w:pPr>
        <w:jc w:val="center"/>
        <w:rPr>
          <w:rFonts w:cs="Arial"/>
        </w:rPr>
      </w:pPr>
      <w:r w:rsidRPr="00794C0E">
        <w:rPr>
          <w:rFonts w:cs="Arial"/>
          <w:noProof/>
          <w:lang w:val="es-ES_tradnl" w:eastAsia="es-ES_tradnl"/>
        </w:rPr>
        <w:drawing>
          <wp:inline distT="0" distB="0" distL="0" distR="0" wp14:anchorId="5B03F4DE" wp14:editId="41D5BC45">
            <wp:extent cx="4159140" cy="25527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9140" cy="2552700"/>
                    </a:xfrm>
                    <a:prstGeom prst="rect">
                      <a:avLst/>
                    </a:prstGeom>
                    <a:noFill/>
                    <a:ln>
                      <a:noFill/>
                    </a:ln>
                  </pic:spPr>
                </pic:pic>
              </a:graphicData>
            </a:graphic>
          </wp:inline>
        </w:drawing>
      </w:r>
    </w:p>
    <w:p w:rsidR="00DC4A9D" w:rsidRPr="00794C0E" w:rsidRDefault="00DC4A9D" w:rsidP="00DC4A9D">
      <w:pPr>
        <w:jc w:val="center"/>
        <w:rPr>
          <w:rFonts w:cs="Arial"/>
        </w:rPr>
      </w:pPr>
      <w:r w:rsidRPr="00794C0E">
        <w:rPr>
          <w:rFonts w:cs="Arial"/>
          <w:noProof/>
          <w:lang w:val="es-ES_tradnl" w:eastAsia="es-ES_tradnl"/>
        </w:rPr>
        <w:drawing>
          <wp:inline distT="0" distB="0" distL="0" distR="0" wp14:anchorId="3FA471D1" wp14:editId="22AF3518">
            <wp:extent cx="4105275" cy="2548600"/>
            <wp:effectExtent l="0" t="0" r="0" b="44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3916" cy="2553964"/>
                    </a:xfrm>
                    <a:prstGeom prst="rect">
                      <a:avLst/>
                    </a:prstGeom>
                    <a:noFill/>
                    <a:ln>
                      <a:noFill/>
                    </a:ln>
                  </pic:spPr>
                </pic:pic>
              </a:graphicData>
            </a:graphic>
          </wp:inline>
        </w:drawing>
      </w:r>
    </w:p>
    <w:p w:rsidR="000D1CAF" w:rsidRPr="00794C0E" w:rsidRDefault="000D1CAF" w:rsidP="009D1692">
      <w:pPr>
        <w:jc w:val="both"/>
        <w:rPr>
          <w:rFonts w:cs="Arial"/>
          <w:b/>
          <w:bCs/>
          <w:sz w:val="22"/>
          <w:szCs w:val="22"/>
          <w:lang w:val="es-AR"/>
        </w:rPr>
      </w:pPr>
      <w:r w:rsidRPr="00794C0E">
        <w:rPr>
          <w:rFonts w:cs="Arial"/>
          <w:b/>
          <w:bCs/>
          <w:sz w:val="22"/>
          <w:szCs w:val="22"/>
          <w:lang w:val="es-AR"/>
        </w:rPr>
        <w:lastRenderedPageBreak/>
        <w:t>Red de Gas Natural del Sur (RGNS)</w:t>
      </w:r>
    </w:p>
    <w:p w:rsidR="00F63CB3" w:rsidRPr="00794C0E" w:rsidRDefault="00F63CB3" w:rsidP="009D1692">
      <w:pPr>
        <w:jc w:val="both"/>
        <w:rPr>
          <w:rFonts w:cs="Arial"/>
          <w:b/>
          <w:bCs/>
          <w:sz w:val="22"/>
          <w:szCs w:val="22"/>
          <w:lang w:val="es-AR"/>
        </w:rPr>
      </w:pPr>
    </w:p>
    <w:p w:rsidR="0084119C" w:rsidRPr="00794C0E" w:rsidRDefault="00F63CB3" w:rsidP="007547DA">
      <w:pPr>
        <w:pStyle w:val="ListParagraph"/>
        <w:numPr>
          <w:ilvl w:val="1"/>
          <w:numId w:val="5"/>
        </w:numPr>
        <w:ind w:left="0" w:firstLine="0"/>
        <w:jc w:val="both"/>
        <w:rPr>
          <w:rFonts w:cs="Arial"/>
          <w:bCs/>
          <w:sz w:val="22"/>
          <w:szCs w:val="22"/>
          <w:lang w:val="es-AR"/>
        </w:rPr>
      </w:pPr>
      <w:r w:rsidRPr="00794C0E">
        <w:rPr>
          <w:rFonts w:cs="Arial"/>
          <w:bCs/>
          <w:sz w:val="22"/>
          <w:szCs w:val="22"/>
          <w:lang w:val="es-AR"/>
        </w:rPr>
        <w:t>En base a los supuestos explicitados para la determinación de los beneficios,</w:t>
      </w:r>
      <w:r w:rsidR="00BA7BBD" w:rsidRPr="00794C0E">
        <w:rPr>
          <w:rFonts w:cs="Arial"/>
          <w:bCs/>
          <w:sz w:val="22"/>
          <w:szCs w:val="22"/>
          <w:lang w:val="es-AR"/>
        </w:rPr>
        <w:t xml:space="preserve"> conforme a las fuentes de información utilizadas para estimar las demandas de gas natural previsto para los residentes domiciliarios y las seis industrias que se beneficiarán del pr</w:t>
      </w:r>
      <w:r w:rsidR="00F30001" w:rsidRPr="00794C0E">
        <w:rPr>
          <w:rFonts w:cs="Arial"/>
          <w:bCs/>
          <w:sz w:val="22"/>
          <w:szCs w:val="22"/>
          <w:lang w:val="es-AR"/>
        </w:rPr>
        <w:t>oyecto, se calcularon los beneficios para el primer año proyectándose la demanda</w:t>
      </w:r>
      <w:r w:rsidR="0084119C" w:rsidRPr="00794C0E">
        <w:rPr>
          <w:rFonts w:cs="Arial"/>
          <w:bCs/>
          <w:sz w:val="22"/>
          <w:szCs w:val="22"/>
          <w:lang w:val="es-AR"/>
        </w:rPr>
        <w:t xml:space="preserve"> para el período bajo análisis.</w:t>
      </w:r>
    </w:p>
    <w:p w:rsidR="0084119C" w:rsidRPr="00794C0E" w:rsidRDefault="0084119C" w:rsidP="007547DA">
      <w:pPr>
        <w:pStyle w:val="ListParagraph"/>
        <w:ind w:left="0"/>
        <w:jc w:val="both"/>
        <w:rPr>
          <w:rFonts w:cs="Arial"/>
          <w:bCs/>
          <w:sz w:val="22"/>
          <w:szCs w:val="22"/>
          <w:lang w:val="es-AR"/>
        </w:rPr>
      </w:pPr>
    </w:p>
    <w:p w:rsidR="0084119C" w:rsidRPr="00794C0E" w:rsidRDefault="00F30001" w:rsidP="007547DA">
      <w:pPr>
        <w:pStyle w:val="ListParagraph"/>
        <w:numPr>
          <w:ilvl w:val="1"/>
          <w:numId w:val="5"/>
        </w:numPr>
        <w:ind w:left="0" w:firstLine="0"/>
        <w:jc w:val="both"/>
        <w:rPr>
          <w:rFonts w:cs="Arial"/>
          <w:bCs/>
          <w:sz w:val="22"/>
          <w:szCs w:val="22"/>
          <w:lang w:val="es-AR"/>
        </w:rPr>
      </w:pPr>
      <w:r w:rsidRPr="00794C0E">
        <w:rPr>
          <w:rFonts w:cs="Arial"/>
          <w:bCs/>
          <w:sz w:val="22"/>
          <w:szCs w:val="22"/>
          <w:lang w:val="es-AR"/>
        </w:rPr>
        <w:t>Los beneficios para las Industrias se mantienen a valores en dólares para todo el período, mientras que para los beneficios por provisión de gas natural a usuarios residenciales, se proyectan beneficios según la tasa de crecimiento de la población interanual (0,09 %)</w:t>
      </w:r>
      <w:r w:rsidR="005E391C" w:rsidRPr="00794C0E">
        <w:rPr>
          <w:rFonts w:cs="Arial"/>
          <w:bCs/>
          <w:sz w:val="22"/>
          <w:szCs w:val="22"/>
          <w:lang w:val="es-AR"/>
        </w:rPr>
        <w:t xml:space="preserve"> y los supuestos de crecimiento en la conexión según experiencias en otras provincias argentinas</w:t>
      </w:r>
      <w:r w:rsidRPr="00794C0E">
        <w:rPr>
          <w:rFonts w:cs="Arial"/>
          <w:bCs/>
          <w:sz w:val="22"/>
          <w:szCs w:val="22"/>
          <w:lang w:val="es-AR"/>
        </w:rPr>
        <w:t>.</w:t>
      </w:r>
      <w:r w:rsidR="0084119C" w:rsidRPr="00794C0E">
        <w:rPr>
          <w:rFonts w:cs="Arial"/>
          <w:bCs/>
          <w:sz w:val="22"/>
          <w:szCs w:val="22"/>
          <w:lang w:val="es-AR"/>
        </w:rPr>
        <w:t xml:space="preserve"> P</w:t>
      </w:r>
      <w:r w:rsidRPr="00794C0E">
        <w:rPr>
          <w:rFonts w:cs="Arial"/>
          <w:bCs/>
          <w:sz w:val="22"/>
          <w:szCs w:val="22"/>
          <w:lang w:val="es-AR"/>
        </w:rPr>
        <w:t xml:space="preserve">ara el primer año ascienden a U$S </w:t>
      </w:r>
      <w:r w:rsidR="00FF6212" w:rsidRPr="00794C0E">
        <w:rPr>
          <w:rFonts w:cs="Arial"/>
          <w:bCs/>
          <w:sz w:val="22"/>
          <w:szCs w:val="22"/>
          <w:lang w:val="es-AR"/>
        </w:rPr>
        <w:t>0</w:t>
      </w:r>
      <w:r w:rsidRPr="00794C0E">
        <w:rPr>
          <w:rFonts w:cs="Arial"/>
          <w:bCs/>
          <w:sz w:val="22"/>
          <w:szCs w:val="22"/>
          <w:lang w:val="es-AR"/>
        </w:rPr>
        <w:t>,6</w:t>
      </w:r>
      <w:r w:rsidR="00FF6212" w:rsidRPr="00794C0E">
        <w:rPr>
          <w:rFonts w:cs="Arial"/>
          <w:bCs/>
          <w:sz w:val="22"/>
          <w:szCs w:val="22"/>
          <w:lang w:val="es-AR"/>
        </w:rPr>
        <w:t>4</w:t>
      </w:r>
      <w:r w:rsidRPr="00794C0E">
        <w:rPr>
          <w:rFonts w:cs="Arial"/>
          <w:bCs/>
          <w:sz w:val="22"/>
          <w:szCs w:val="22"/>
          <w:lang w:val="es-AR"/>
        </w:rPr>
        <w:t xml:space="preserve"> millones para las industrias, y U$U </w:t>
      </w:r>
      <w:r w:rsidR="00FF6212" w:rsidRPr="00794C0E">
        <w:rPr>
          <w:rFonts w:cs="Arial"/>
          <w:bCs/>
          <w:sz w:val="22"/>
          <w:szCs w:val="22"/>
          <w:lang w:val="es-AR"/>
        </w:rPr>
        <w:t>1</w:t>
      </w:r>
      <w:r w:rsidRPr="00794C0E">
        <w:rPr>
          <w:rFonts w:cs="Arial"/>
          <w:bCs/>
          <w:sz w:val="22"/>
          <w:szCs w:val="22"/>
          <w:lang w:val="es-AR"/>
        </w:rPr>
        <w:t>,</w:t>
      </w:r>
      <w:r w:rsidR="00FF6212" w:rsidRPr="00794C0E">
        <w:rPr>
          <w:rFonts w:cs="Arial"/>
          <w:bCs/>
          <w:sz w:val="22"/>
          <w:szCs w:val="22"/>
          <w:lang w:val="es-AR"/>
        </w:rPr>
        <w:t>51</w:t>
      </w:r>
      <w:r w:rsidRPr="00794C0E">
        <w:rPr>
          <w:rFonts w:cs="Arial"/>
          <w:bCs/>
          <w:sz w:val="22"/>
          <w:szCs w:val="22"/>
          <w:lang w:val="es-AR"/>
        </w:rPr>
        <w:t xml:space="preserve"> millones para </w:t>
      </w:r>
      <w:r w:rsidR="00232002" w:rsidRPr="00794C0E">
        <w:rPr>
          <w:rFonts w:cs="Arial"/>
          <w:bCs/>
          <w:sz w:val="22"/>
          <w:szCs w:val="22"/>
          <w:lang w:val="es-AR"/>
        </w:rPr>
        <w:t>usuarios domiciliarios. El impacto se verá reflejado el primer año siguiente a la realización de la obra de infraestruct</w:t>
      </w:r>
      <w:r w:rsidR="0084119C" w:rsidRPr="00794C0E">
        <w:rPr>
          <w:rFonts w:cs="Arial"/>
          <w:bCs/>
          <w:sz w:val="22"/>
          <w:szCs w:val="22"/>
          <w:lang w:val="es-AR"/>
        </w:rPr>
        <w:t>ura.</w:t>
      </w:r>
    </w:p>
    <w:p w:rsidR="00F30001" w:rsidRPr="00794C0E" w:rsidRDefault="00232002" w:rsidP="0084013F">
      <w:pPr>
        <w:pStyle w:val="ListParagraph"/>
        <w:numPr>
          <w:ilvl w:val="1"/>
          <w:numId w:val="5"/>
        </w:numPr>
        <w:ind w:left="0" w:firstLine="0"/>
        <w:jc w:val="both"/>
        <w:rPr>
          <w:rFonts w:cs="Arial"/>
          <w:bCs/>
          <w:sz w:val="22"/>
          <w:szCs w:val="22"/>
          <w:lang w:val="es-AR"/>
        </w:rPr>
      </w:pPr>
      <w:r w:rsidRPr="00794C0E">
        <w:rPr>
          <w:rFonts w:cs="Arial"/>
          <w:bCs/>
          <w:sz w:val="22"/>
          <w:szCs w:val="22"/>
          <w:lang w:val="es-AR"/>
        </w:rPr>
        <w:t xml:space="preserve">La rentabilidad del proyecto medido a través del </w:t>
      </w:r>
      <w:r w:rsidRPr="00794C0E">
        <w:rPr>
          <w:rFonts w:cs="Arial"/>
          <w:b/>
          <w:bCs/>
          <w:sz w:val="22"/>
          <w:szCs w:val="22"/>
          <w:lang w:val="es-AR"/>
        </w:rPr>
        <w:t>Valor Actual Neto</w:t>
      </w:r>
      <w:r w:rsidRPr="00794C0E">
        <w:rPr>
          <w:rFonts w:cs="Arial"/>
          <w:bCs/>
          <w:sz w:val="22"/>
          <w:szCs w:val="22"/>
          <w:lang w:val="es-AR"/>
        </w:rPr>
        <w:t xml:space="preserve"> alcanzó los </w:t>
      </w:r>
      <w:r w:rsidRPr="00794C0E">
        <w:rPr>
          <w:rFonts w:cs="Arial"/>
          <w:b/>
          <w:bCs/>
          <w:sz w:val="22"/>
          <w:szCs w:val="22"/>
          <w:lang w:val="es-AR"/>
        </w:rPr>
        <w:t>U$</w:t>
      </w:r>
      <w:r w:rsidR="00263EF1" w:rsidRPr="00794C0E">
        <w:rPr>
          <w:rFonts w:cs="Arial"/>
          <w:b/>
          <w:bCs/>
          <w:sz w:val="22"/>
          <w:szCs w:val="22"/>
          <w:lang w:val="es-AR"/>
        </w:rPr>
        <w:t>S</w:t>
      </w:r>
      <w:r w:rsidR="0084013F" w:rsidRPr="00794C0E">
        <w:rPr>
          <w:rFonts w:cs="Arial"/>
          <w:b/>
          <w:bCs/>
          <w:sz w:val="22"/>
          <w:szCs w:val="22"/>
          <w:lang w:val="es-AR"/>
        </w:rPr>
        <w:t xml:space="preserve"> </w:t>
      </w:r>
      <w:r w:rsidR="00263EF1" w:rsidRPr="00794C0E">
        <w:rPr>
          <w:rFonts w:cs="Arial"/>
          <w:b/>
          <w:bCs/>
          <w:sz w:val="22"/>
          <w:szCs w:val="22"/>
          <w:lang w:val="es-AR"/>
        </w:rPr>
        <w:t>3.293</w:t>
      </w:r>
      <w:r w:rsidR="0084013F" w:rsidRPr="00794C0E">
        <w:rPr>
          <w:rFonts w:cs="Arial"/>
          <w:b/>
          <w:bCs/>
          <w:sz w:val="22"/>
          <w:szCs w:val="22"/>
          <w:lang w:val="es-AR"/>
        </w:rPr>
        <w:t>.0</w:t>
      </w:r>
      <w:r w:rsidR="00263EF1" w:rsidRPr="00794C0E">
        <w:rPr>
          <w:rFonts w:cs="Arial"/>
          <w:b/>
          <w:bCs/>
          <w:sz w:val="22"/>
          <w:szCs w:val="22"/>
          <w:lang w:val="es-AR"/>
        </w:rPr>
        <w:t>70,8</w:t>
      </w:r>
      <w:r w:rsidR="0084013F" w:rsidRPr="00794C0E">
        <w:rPr>
          <w:rFonts w:cs="Arial"/>
          <w:b/>
          <w:bCs/>
          <w:sz w:val="22"/>
          <w:szCs w:val="22"/>
          <w:lang w:val="es-AR"/>
        </w:rPr>
        <w:t xml:space="preserve">  </w:t>
      </w:r>
      <w:r w:rsidRPr="00794C0E">
        <w:rPr>
          <w:rFonts w:cs="Arial"/>
          <w:bCs/>
          <w:sz w:val="22"/>
          <w:szCs w:val="22"/>
          <w:lang w:val="es-AR"/>
        </w:rPr>
        <w:t xml:space="preserve">y la </w:t>
      </w:r>
      <w:r w:rsidRPr="00794C0E">
        <w:rPr>
          <w:rFonts w:cs="Arial"/>
          <w:b/>
          <w:bCs/>
          <w:sz w:val="22"/>
          <w:szCs w:val="22"/>
          <w:lang w:val="es-AR"/>
        </w:rPr>
        <w:t xml:space="preserve">TIR resultó ser del </w:t>
      </w:r>
      <w:r w:rsidR="00263EF1" w:rsidRPr="00794C0E">
        <w:rPr>
          <w:rFonts w:cs="Arial"/>
          <w:b/>
          <w:bCs/>
          <w:sz w:val="22"/>
          <w:szCs w:val="22"/>
          <w:lang w:val="es-AR"/>
        </w:rPr>
        <w:t xml:space="preserve">16.41 </w:t>
      </w:r>
      <w:r w:rsidRPr="00794C0E">
        <w:rPr>
          <w:rFonts w:cs="Arial"/>
          <w:b/>
          <w:bCs/>
          <w:sz w:val="22"/>
          <w:szCs w:val="22"/>
          <w:lang w:val="es-AR"/>
        </w:rPr>
        <w:t>%,</w:t>
      </w:r>
      <w:r w:rsidRPr="00794C0E">
        <w:rPr>
          <w:rFonts w:cs="Arial"/>
          <w:bCs/>
          <w:sz w:val="22"/>
          <w:szCs w:val="22"/>
          <w:lang w:val="es-AR"/>
        </w:rPr>
        <w:t xml:space="preserve"> lo que demuestra una rentabilidad </w:t>
      </w:r>
      <w:r w:rsidR="009F1594" w:rsidRPr="00794C0E">
        <w:rPr>
          <w:rFonts w:cs="Arial"/>
          <w:bCs/>
          <w:sz w:val="22"/>
          <w:szCs w:val="22"/>
          <w:lang w:val="es-AR"/>
        </w:rPr>
        <w:t>muy por arriba de la Tasas Interna de Retorno. Claramente, los beneficios del proyecto son elevados, ya que Corrientes es una provincia en donde no existe provisión de gas natural, y respecto al uso de energías alternativas</w:t>
      </w:r>
      <w:r w:rsidRPr="00794C0E">
        <w:rPr>
          <w:rFonts w:cs="Arial"/>
          <w:bCs/>
          <w:sz w:val="22"/>
          <w:szCs w:val="22"/>
          <w:lang w:val="es-AR"/>
        </w:rPr>
        <w:t xml:space="preserve"> </w:t>
      </w:r>
      <w:r w:rsidR="009F1594" w:rsidRPr="00794C0E">
        <w:rPr>
          <w:rFonts w:cs="Arial"/>
          <w:bCs/>
          <w:sz w:val="22"/>
          <w:szCs w:val="22"/>
          <w:lang w:val="es-AR"/>
        </w:rPr>
        <w:t>presenta un impacto esperable</w:t>
      </w:r>
      <w:r w:rsidR="009F1594" w:rsidRPr="00794C0E">
        <w:rPr>
          <w:rStyle w:val="FootnoteReference"/>
          <w:rFonts w:cs="Arial"/>
          <w:bCs/>
          <w:sz w:val="22"/>
          <w:szCs w:val="22"/>
          <w:lang w:val="es-AR"/>
        </w:rPr>
        <w:footnoteReference w:id="43"/>
      </w:r>
      <w:r w:rsidR="009F1594" w:rsidRPr="00794C0E">
        <w:rPr>
          <w:rFonts w:cs="Arial"/>
          <w:bCs/>
          <w:sz w:val="22"/>
          <w:szCs w:val="22"/>
          <w:lang w:val="es-AR"/>
        </w:rPr>
        <w:t xml:space="preserve">. </w:t>
      </w:r>
    </w:p>
    <w:p w:rsidR="00944D7F" w:rsidRPr="00794C0E" w:rsidRDefault="00F63CB3" w:rsidP="00FF6212">
      <w:pPr>
        <w:jc w:val="center"/>
        <w:rPr>
          <w:rFonts w:cs="Arial"/>
          <w:b/>
          <w:bCs/>
          <w:sz w:val="22"/>
          <w:szCs w:val="22"/>
          <w:lang w:val="es-AR"/>
        </w:rPr>
      </w:pPr>
      <w:r w:rsidRPr="00794C0E">
        <w:rPr>
          <w:rFonts w:cs="Arial"/>
          <w:b/>
          <w:bCs/>
          <w:lang w:val="es-AR"/>
        </w:rPr>
        <w:t xml:space="preserve">Tabla </w:t>
      </w:r>
      <w:r w:rsidR="0048416B" w:rsidRPr="00794C0E">
        <w:rPr>
          <w:rFonts w:cs="Arial"/>
          <w:b/>
          <w:bCs/>
          <w:lang w:val="es-AR"/>
        </w:rPr>
        <w:t>11</w:t>
      </w:r>
      <w:r w:rsidR="00C278D7" w:rsidRPr="00794C0E">
        <w:rPr>
          <w:rFonts w:cs="Arial"/>
          <w:b/>
          <w:bCs/>
          <w:lang w:val="es-AR"/>
        </w:rPr>
        <w:t xml:space="preserve">. </w:t>
      </w:r>
      <w:r w:rsidR="00D6207D" w:rsidRPr="00794C0E">
        <w:rPr>
          <w:rFonts w:cs="Arial"/>
          <w:b/>
          <w:bCs/>
          <w:lang w:val="es-AR"/>
        </w:rPr>
        <w:t>VAN, TIR (RGN</w:t>
      </w:r>
      <w:r w:rsidRPr="00794C0E">
        <w:rPr>
          <w:rFonts w:cs="Arial"/>
          <w:b/>
          <w:bCs/>
          <w:lang w:val="es-AR"/>
        </w:rPr>
        <w:t>S)</w:t>
      </w:r>
      <w:r w:rsidR="00FF6212" w:rsidRPr="00794C0E">
        <w:rPr>
          <w:rFonts w:cs="Arial"/>
          <w:b/>
          <w:bCs/>
          <w:sz w:val="22"/>
          <w:szCs w:val="22"/>
          <w:lang w:val="es-AR"/>
        </w:rPr>
        <w:t xml:space="preserve"> </w:t>
      </w:r>
    </w:p>
    <w:tbl>
      <w:tblPr>
        <w:tblW w:w="9222" w:type="dxa"/>
        <w:tblInd w:w="55" w:type="dxa"/>
        <w:tblCellMar>
          <w:left w:w="70" w:type="dxa"/>
          <w:right w:w="70" w:type="dxa"/>
        </w:tblCellMar>
        <w:tblLook w:val="04A0" w:firstRow="1" w:lastRow="0" w:firstColumn="1" w:lastColumn="0" w:noHBand="0" w:noVBand="1"/>
      </w:tblPr>
      <w:tblGrid>
        <w:gridCol w:w="880"/>
        <w:gridCol w:w="1432"/>
        <w:gridCol w:w="1552"/>
        <w:gridCol w:w="1276"/>
        <w:gridCol w:w="1312"/>
        <w:gridCol w:w="1400"/>
        <w:gridCol w:w="1370"/>
      </w:tblGrid>
      <w:tr w:rsidR="00D6207D" w:rsidRPr="00794C0E" w:rsidTr="00F44634">
        <w:trPr>
          <w:trHeight w:val="20"/>
        </w:trPr>
        <w:tc>
          <w:tcPr>
            <w:tcW w:w="88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D6207D" w:rsidRPr="00794C0E" w:rsidRDefault="00D6207D" w:rsidP="00D6207D">
            <w:pPr>
              <w:jc w:val="center"/>
              <w:rPr>
                <w:rFonts w:cs="Arial"/>
                <w:b/>
                <w:bCs/>
                <w:color w:val="000000"/>
                <w:sz w:val="18"/>
                <w:szCs w:val="18"/>
                <w:lang w:val="es-ES" w:eastAsia="es-ES"/>
              </w:rPr>
            </w:pPr>
            <w:r w:rsidRPr="00794C0E">
              <w:rPr>
                <w:rFonts w:cs="Arial"/>
                <w:b/>
                <w:bCs/>
                <w:color w:val="000000"/>
                <w:sz w:val="18"/>
                <w:szCs w:val="18"/>
                <w:lang w:val="es-ES" w:eastAsia="es-ES"/>
              </w:rPr>
              <w:t>Años</w:t>
            </w:r>
          </w:p>
        </w:tc>
        <w:tc>
          <w:tcPr>
            <w:tcW w:w="1432" w:type="dxa"/>
            <w:tcBorders>
              <w:top w:val="single" w:sz="4" w:space="0" w:color="auto"/>
              <w:left w:val="nil"/>
              <w:bottom w:val="single" w:sz="4" w:space="0" w:color="auto"/>
              <w:right w:val="single" w:sz="4" w:space="0" w:color="auto"/>
            </w:tcBorders>
            <w:shd w:val="clear" w:color="000000" w:fill="BFBFBF"/>
            <w:vAlign w:val="center"/>
            <w:hideMark/>
          </w:tcPr>
          <w:p w:rsidR="00D6207D" w:rsidRPr="00794C0E" w:rsidRDefault="00D6207D" w:rsidP="00D6207D">
            <w:pPr>
              <w:jc w:val="center"/>
              <w:rPr>
                <w:rFonts w:cs="Arial"/>
                <w:b/>
                <w:bCs/>
                <w:color w:val="000000"/>
                <w:sz w:val="18"/>
                <w:szCs w:val="18"/>
                <w:lang w:val="es-ES" w:eastAsia="es-ES"/>
              </w:rPr>
            </w:pPr>
            <w:r w:rsidRPr="00794C0E">
              <w:rPr>
                <w:rFonts w:cs="Arial"/>
                <w:b/>
                <w:bCs/>
                <w:color w:val="000000"/>
                <w:sz w:val="18"/>
                <w:szCs w:val="18"/>
                <w:lang w:val="es-ES" w:eastAsia="es-ES"/>
              </w:rPr>
              <w:t>Inversiones</w:t>
            </w:r>
            <w:r w:rsidRPr="00794C0E">
              <w:rPr>
                <w:rFonts w:cs="Arial"/>
                <w:b/>
                <w:bCs/>
                <w:color w:val="000000"/>
                <w:sz w:val="18"/>
                <w:szCs w:val="18"/>
                <w:lang w:val="es-ES" w:eastAsia="es-ES"/>
              </w:rPr>
              <w:br/>
              <w:t>(precios sociales)</w:t>
            </w:r>
          </w:p>
        </w:tc>
        <w:tc>
          <w:tcPr>
            <w:tcW w:w="1552" w:type="dxa"/>
            <w:tcBorders>
              <w:top w:val="single" w:sz="4" w:space="0" w:color="auto"/>
              <w:left w:val="nil"/>
              <w:bottom w:val="single" w:sz="4" w:space="0" w:color="auto"/>
              <w:right w:val="single" w:sz="4" w:space="0" w:color="auto"/>
            </w:tcBorders>
            <w:shd w:val="clear" w:color="000000" w:fill="BFBFBF"/>
            <w:vAlign w:val="center"/>
            <w:hideMark/>
          </w:tcPr>
          <w:p w:rsidR="00D6207D" w:rsidRPr="00794C0E" w:rsidRDefault="00D6207D" w:rsidP="00D6207D">
            <w:pPr>
              <w:jc w:val="center"/>
              <w:rPr>
                <w:rFonts w:cs="Arial"/>
                <w:b/>
                <w:bCs/>
                <w:color w:val="000000"/>
                <w:sz w:val="18"/>
                <w:szCs w:val="18"/>
                <w:lang w:val="es-ES" w:eastAsia="es-ES"/>
              </w:rPr>
            </w:pPr>
            <w:r w:rsidRPr="00794C0E">
              <w:rPr>
                <w:rFonts w:cs="Arial"/>
                <w:b/>
                <w:bCs/>
                <w:color w:val="000000"/>
                <w:sz w:val="18"/>
                <w:szCs w:val="18"/>
                <w:lang w:val="es-ES" w:eastAsia="es-ES"/>
              </w:rPr>
              <w:t>Costos de</w:t>
            </w:r>
            <w:r w:rsidRPr="00794C0E">
              <w:rPr>
                <w:rFonts w:cs="Arial"/>
                <w:b/>
                <w:bCs/>
                <w:color w:val="000000"/>
                <w:sz w:val="18"/>
                <w:szCs w:val="18"/>
                <w:lang w:val="es-ES" w:eastAsia="es-ES"/>
              </w:rPr>
              <w:br/>
              <w:t>Mantenimiento</w:t>
            </w:r>
          </w:p>
        </w:tc>
        <w:tc>
          <w:tcPr>
            <w:tcW w:w="1276" w:type="dxa"/>
            <w:tcBorders>
              <w:top w:val="single" w:sz="4" w:space="0" w:color="auto"/>
              <w:left w:val="nil"/>
              <w:bottom w:val="single" w:sz="4" w:space="0" w:color="auto"/>
              <w:right w:val="single" w:sz="4" w:space="0" w:color="auto"/>
            </w:tcBorders>
            <w:shd w:val="clear" w:color="000000" w:fill="BFBFBF"/>
            <w:vAlign w:val="center"/>
            <w:hideMark/>
          </w:tcPr>
          <w:p w:rsidR="00D6207D" w:rsidRPr="00794C0E" w:rsidRDefault="00D6207D" w:rsidP="00D6207D">
            <w:pPr>
              <w:jc w:val="center"/>
              <w:rPr>
                <w:rFonts w:cs="Arial"/>
                <w:b/>
                <w:bCs/>
                <w:color w:val="000000"/>
                <w:sz w:val="18"/>
                <w:szCs w:val="18"/>
                <w:lang w:val="es-ES" w:eastAsia="es-ES"/>
              </w:rPr>
            </w:pPr>
            <w:r w:rsidRPr="00794C0E">
              <w:rPr>
                <w:rFonts w:cs="Arial"/>
                <w:b/>
                <w:bCs/>
                <w:color w:val="000000"/>
                <w:sz w:val="18"/>
                <w:szCs w:val="18"/>
                <w:lang w:val="es-ES" w:eastAsia="es-ES"/>
              </w:rPr>
              <w:t>Costos de Conexión Residencial</w:t>
            </w:r>
          </w:p>
        </w:tc>
        <w:tc>
          <w:tcPr>
            <w:tcW w:w="1312" w:type="dxa"/>
            <w:tcBorders>
              <w:top w:val="single" w:sz="4" w:space="0" w:color="auto"/>
              <w:left w:val="nil"/>
              <w:bottom w:val="single" w:sz="4" w:space="0" w:color="auto"/>
              <w:right w:val="single" w:sz="4" w:space="0" w:color="auto"/>
            </w:tcBorders>
            <w:shd w:val="clear" w:color="000000" w:fill="BFBFBF"/>
            <w:vAlign w:val="center"/>
            <w:hideMark/>
          </w:tcPr>
          <w:p w:rsidR="00D6207D" w:rsidRPr="00794C0E" w:rsidRDefault="00D6207D" w:rsidP="00D6207D">
            <w:pPr>
              <w:jc w:val="center"/>
              <w:rPr>
                <w:rFonts w:cs="Arial"/>
                <w:b/>
                <w:bCs/>
                <w:color w:val="000000"/>
                <w:sz w:val="18"/>
                <w:szCs w:val="18"/>
                <w:lang w:val="es-ES" w:eastAsia="es-ES"/>
              </w:rPr>
            </w:pPr>
            <w:r w:rsidRPr="00794C0E">
              <w:rPr>
                <w:rFonts w:cs="Arial"/>
                <w:b/>
                <w:bCs/>
                <w:color w:val="000000"/>
                <w:sz w:val="18"/>
                <w:szCs w:val="18"/>
                <w:lang w:val="es-ES" w:eastAsia="es-ES"/>
              </w:rPr>
              <w:t>Beneficios</w:t>
            </w:r>
            <w:r w:rsidRPr="00794C0E">
              <w:rPr>
                <w:rFonts w:cs="Arial"/>
                <w:b/>
                <w:bCs/>
                <w:color w:val="000000"/>
                <w:sz w:val="18"/>
                <w:szCs w:val="18"/>
                <w:lang w:val="es-ES" w:eastAsia="es-ES"/>
              </w:rPr>
              <w:br/>
              <w:t>Industrias</w:t>
            </w:r>
          </w:p>
        </w:tc>
        <w:tc>
          <w:tcPr>
            <w:tcW w:w="1400" w:type="dxa"/>
            <w:tcBorders>
              <w:top w:val="single" w:sz="4" w:space="0" w:color="auto"/>
              <w:left w:val="nil"/>
              <w:bottom w:val="single" w:sz="4" w:space="0" w:color="auto"/>
              <w:right w:val="single" w:sz="4" w:space="0" w:color="auto"/>
            </w:tcBorders>
            <w:shd w:val="clear" w:color="000000" w:fill="BFBFBF"/>
            <w:vAlign w:val="center"/>
            <w:hideMark/>
          </w:tcPr>
          <w:p w:rsidR="00D6207D" w:rsidRPr="00794C0E" w:rsidRDefault="00D6207D" w:rsidP="00D6207D">
            <w:pPr>
              <w:jc w:val="center"/>
              <w:rPr>
                <w:rFonts w:cs="Arial"/>
                <w:b/>
                <w:bCs/>
                <w:color w:val="000000"/>
                <w:sz w:val="18"/>
                <w:szCs w:val="18"/>
                <w:lang w:val="es-ES" w:eastAsia="es-ES"/>
              </w:rPr>
            </w:pPr>
            <w:r w:rsidRPr="00794C0E">
              <w:rPr>
                <w:rFonts w:cs="Arial"/>
                <w:b/>
                <w:bCs/>
                <w:color w:val="000000"/>
                <w:sz w:val="18"/>
                <w:szCs w:val="18"/>
                <w:lang w:val="es-ES" w:eastAsia="es-ES"/>
              </w:rPr>
              <w:t>Beneficios</w:t>
            </w:r>
            <w:r w:rsidRPr="00794C0E">
              <w:rPr>
                <w:rFonts w:cs="Arial"/>
                <w:b/>
                <w:bCs/>
                <w:color w:val="000000"/>
                <w:sz w:val="18"/>
                <w:szCs w:val="18"/>
                <w:lang w:val="es-ES" w:eastAsia="es-ES"/>
              </w:rPr>
              <w:br/>
              <w:t>Usuarios Domiciliarios</w:t>
            </w:r>
          </w:p>
        </w:tc>
        <w:tc>
          <w:tcPr>
            <w:tcW w:w="1370" w:type="dxa"/>
            <w:tcBorders>
              <w:top w:val="single" w:sz="4" w:space="0" w:color="auto"/>
              <w:left w:val="nil"/>
              <w:bottom w:val="single" w:sz="4" w:space="0" w:color="auto"/>
              <w:right w:val="single" w:sz="4" w:space="0" w:color="auto"/>
            </w:tcBorders>
            <w:shd w:val="clear" w:color="000000" w:fill="BFBFBF"/>
            <w:vAlign w:val="center"/>
            <w:hideMark/>
          </w:tcPr>
          <w:p w:rsidR="00D6207D" w:rsidRPr="00794C0E" w:rsidRDefault="00D6207D" w:rsidP="00D6207D">
            <w:pPr>
              <w:jc w:val="center"/>
              <w:rPr>
                <w:rFonts w:cs="Arial"/>
                <w:b/>
                <w:bCs/>
                <w:color w:val="000000"/>
                <w:sz w:val="18"/>
                <w:szCs w:val="18"/>
                <w:lang w:val="es-ES" w:eastAsia="es-ES"/>
              </w:rPr>
            </w:pPr>
            <w:r w:rsidRPr="00794C0E">
              <w:rPr>
                <w:rFonts w:cs="Arial"/>
                <w:b/>
                <w:bCs/>
                <w:color w:val="000000"/>
                <w:sz w:val="18"/>
                <w:szCs w:val="18"/>
                <w:lang w:val="es-ES" w:eastAsia="es-ES"/>
              </w:rPr>
              <w:t>Beneficios</w:t>
            </w:r>
            <w:r w:rsidRPr="00794C0E">
              <w:rPr>
                <w:rFonts w:cs="Arial"/>
                <w:b/>
                <w:bCs/>
                <w:color w:val="000000"/>
                <w:sz w:val="18"/>
                <w:szCs w:val="18"/>
                <w:lang w:val="es-ES" w:eastAsia="es-ES"/>
              </w:rPr>
              <w:br/>
              <w:t>Netos</w:t>
            </w:r>
          </w:p>
        </w:tc>
      </w:tr>
      <w:tr w:rsidR="00D6207D" w:rsidRPr="00794C0E" w:rsidTr="00F44634">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6207D" w:rsidRPr="00794C0E" w:rsidRDefault="00D6207D" w:rsidP="00D6207D">
            <w:pPr>
              <w:jc w:val="center"/>
              <w:rPr>
                <w:rFonts w:cs="Arial"/>
                <w:color w:val="000000"/>
                <w:sz w:val="18"/>
                <w:szCs w:val="18"/>
                <w:lang w:val="es-ES" w:eastAsia="es-ES"/>
              </w:rPr>
            </w:pPr>
            <w:r w:rsidRPr="00794C0E">
              <w:rPr>
                <w:rFonts w:cs="Arial"/>
                <w:color w:val="000000"/>
                <w:sz w:val="18"/>
                <w:szCs w:val="18"/>
                <w:lang w:val="es-ES" w:eastAsia="es-ES"/>
              </w:rPr>
              <w:t xml:space="preserve">0 </w:t>
            </w:r>
          </w:p>
        </w:tc>
        <w:tc>
          <w:tcPr>
            <w:tcW w:w="143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10.609.600 </w:t>
            </w:r>
          </w:p>
        </w:tc>
        <w:tc>
          <w:tcPr>
            <w:tcW w:w="155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rPr>
                <w:rFonts w:cs="Arial"/>
                <w:color w:val="000000"/>
                <w:sz w:val="18"/>
                <w:szCs w:val="18"/>
                <w:lang w:val="es-ES" w:eastAsia="es-ES"/>
              </w:rPr>
            </w:pPr>
            <w:r w:rsidRPr="00794C0E">
              <w:rPr>
                <w:rFonts w:cs="Arial"/>
                <w:color w:val="000000"/>
                <w:sz w:val="18"/>
                <w:szCs w:val="18"/>
                <w:lang w:val="es-ES" w:eastAsia="es-ES"/>
              </w:rPr>
              <w:t> </w:t>
            </w:r>
          </w:p>
        </w:tc>
        <w:tc>
          <w:tcPr>
            <w:tcW w:w="1276"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rPr>
                <w:rFonts w:cs="Arial"/>
                <w:color w:val="000000"/>
                <w:sz w:val="18"/>
                <w:szCs w:val="18"/>
                <w:lang w:val="es-ES" w:eastAsia="es-ES"/>
              </w:rPr>
            </w:pPr>
            <w:r w:rsidRPr="00794C0E">
              <w:rPr>
                <w:rFonts w:cs="Arial"/>
                <w:color w:val="000000"/>
                <w:sz w:val="18"/>
                <w:szCs w:val="18"/>
                <w:lang w:val="es-ES" w:eastAsia="es-ES"/>
              </w:rPr>
              <w:t> </w:t>
            </w:r>
          </w:p>
        </w:tc>
        <w:tc>
          <w:tcPr>
            <w:tcW w:w="131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rPr>
                <w:rFonts w:cs="Arial"/>
                <w:color w:val="000000"/>
                <w:sz w:val="18"/>
                <w:szCs w:val="18"/>
                <w:lang w:val="es-ES" w:eastAsia="es-ES"/>
              </w:rPr>
            </w:pPr>
            <w:r w:rsidRPr="00794C0E">
              <w:rPr>
                <w:rFonts w:cs="Arial"/>
                <w:color w:val="000000"/>
                <w:sz w:val="18"/>
                <w:szCs w:val="18"/>
                <w:lang w:val="es-ES" w:eastAsia="es-ES"/>
              </w:rPr>
              <w:t> </w:t>
            </w:r>
          </w:p>
        </w:tc>
        <w:tc>
          <w:tcPr>
            <w:tcW w:w="140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rPr>
                <w:rFonts w:cs="Arial"/>
                <w:color w:val="000000"/>
                <w:sz w:val="18"/>
                <w:szCs w:val="18"/>
                <w:lang w:val="es-ES" w:eastAsia="es-ES"/>
              </w:rPr>
            </w:pPr>
            <w:r w:rsidRPr="00794C0E">
              <w:rPr>
                <w:rFonts w:cs="Arial"/>
                <w:color w:val="000000"/>
                <w:sz w:val="18"/>
                <w:szCs w:val="18"/>
                <w:lang w:val="es-ES" w:eastAsia="es-ES"/>
              </w:rPr>
              <w:t> </w:t>
            </w:r>
          </w:p>
        </w:tc>
        <w:tc>
          <w:tcPr>
            <w:tcW w:w="137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-10.609.600 </w:t>
            </w:r>
          </w:p>
        </w:tc>
      </w:tr>
      <w:tr w:rsidR="00D6207D" w:rsidRPr="00794C0E" w:rsidTr="00F44634">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6207D" w:rsidRPr="00794C0E" w:rsidRDefault="00D6207D" w:rsidP="00D6207D">
            <w:pPr>
              <w:jc w:val="center"/>
              <w:rPr>
                <w:rFonts w:cs="Arial"/>
                <w:color w:val="000000"/>
                <w:sz w:val="18"/>
                <w:szCs w:val="18"/>
                <w:lang w:val="es-ES" w:eastAsia="es-ES"/>
              </w:rPr>
            </w:pPr>
            <w:r w:rsidRPr="00794C0E">
              <w:rPr>
                <w:rFonts w:cs="Arial"/>
                <w:color w:val="000000"/>
                <w:sz w:val="18"/>
                <w:szCs w:val="18"/>
                <w:lang w:val="es-ES" w:eastAsia="es-ES"/>
              </w:rPr>
              <w:t xml:space="preserve">1 </w:t>
            </w:r>
          </w:p>
        </w:tc>
        <w:tc>
          <w:tcPr>
            <w:tcW w:w="143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rPr>
                <w:rFonts w:cs="Arial"/>
                <w:color w:val="000000"/>
                <w:sz w:val="18"/>
                <w:szCs w:val="18"/>
                <w:lang w:val="es-ES" w:eastAsia="es-ES"/>
              </w:rPr>
            </w:pPr>
            <w:r w:rsidRPr="00794C0E">
              <w:rPr>
                <w:rFonts w:cs="Arial"/>
                <w:color w:val="000000"/>
                <w:sz w:val="18"/>
                <w:szCs w:val="18"/>
                <w:lang w:val="es-ES" w:eastAsia="es-ES"/>
              </w:rPr>
              <w:t> </w:t>
            </w:r>
          </w:p>
        </w:tc>
        <w:tc>
          <w:tcPr>
            <w:tcW w:w="155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424.384 </w:t>
            </w:r>
          </w:p>
        </w:tc>
        <w:tc>
          <w:tcPr>
            <w:tcW w:w="1276"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600.000 </w:t>
            </w:r>
          </w:p>
        </w:tc>
        <w:tc>
          <w:tcPr>
            <w:tcW w:w="131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645.840 </w:t>
            </w:r>
          </w:p>
        </w:tc>
        <w:tc>
          <w:tcPr>
            <w:tcW w:w="140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1.516.461 </w:t>
            </w:r>
          </w:p>
        </w:tc>
        <w:tc>
          <w:tcPr>
            <w:tcW w:w="137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1.137.917 </w:t>
            </w:r>
          </w:p>
        </w:tc>
      </w:tr>
      <w:tr w:rsidR="00D6207D" w:rsidRPr="00794C0E" w:rsidTr="00F44634">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6207D" w:rsidRPr="00794C0E" w:rsidRDefault="00D6207D" w:rsidP="00D6207D">
            <w:pPr>
              <w:jc w:val="center"/>
              <w:rPr>
                <w:rFonts w:cs="Arial"/>
                <w:color w:val="000000"/>
                <w:sz w:val="18"/>
                <w:szCs w:val="18"/>
                <w:lang w:val="es-ES" w:eastAsia="es-ES"/>
              </w:rPr>
            </w:pPr>
            <w:r w:rsidRPr="00794C0E">
              <w:rPr>
                <w:rFonts w:cs="Arial"/>
                <w:color w:val="000000"/>
                <w:sz w:val="18"/>
                <w:szCs w:val="18"/>
                <w:lang w:val="es-ES" w:eastAsia="es-ES"/>
              </w:rPr>
              <w:t xml:space="preserve">2 </w:t>
            </w:r>
          </w:p>
        </w:tc>
        <w:tc>
          <w:tcPr>
            <w:tcW w:w="143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rPr>
                <w:rFonts w:cs="Arial"/>
                <w:color w:val="000000"/>
                <w:sz w:val="18"/>
                <w:szCs w:val="18"/>
                <w:lang w:val="es-ES" w:eastAsia="es-ES"/>
              </w:rPr>
            </w:pPr>
            <w:r w:rsidRPr="00794C0E">
              <w:rPr>
                <w:rFonts w:cs="Arial"/>
                <w:color w:val="000000"/>
                <w:sz w:val="18"/>
                <w:szCs w:val="18"/>
                <w:lang w:val="es-ES" w:eastAsia="es-ES"/>
              </w:rPr>
              <w:t> </w:t>
            </w:r>
          </w:p>
        </w:tc>
        <w:tc>
          <w:tcPr>
            <w:tcW w:w="155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424.384 </w:t>
            </w:r>
          </w:p>
        </w:tc>
        <w:tc>
          <w:tcPr>
            <w:tcW w:w="1276"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26.223 </w:t>
            </w:r>
          </w:p>
        </w:tc>
        <w:tc>
          <w:tcPr>
            <w:tcW w:w="131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645.840 </w:t>
            </w:r>
          </w:p>
        </w:tc>
        <w:tc>
          <w:tcPr>
            <w:tcW w:w="140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1.556.228 </w:t>
            </w:r>
          </w:p>
        </w:tc>
        <w:tc>
          <w:tcPr>
            <w:tcW w:w="137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1.751.460 </w:t>
            </w:r>
          </w:p>
        </w:tc>
      </w:tr>
      <w:tr w:rsidR="00D6207D" w:rsidRPr="00794C0E" w:rsidTr="00F44634">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6207D" w:rsidRPr="00794C0E" w:rsidRDefault="00D6207D" w:rsidP="00D6207D">
            <w:pPr>
              <w:jc w:val="center"/>
              <w:rPr>
                <w:rFonts w:cs="Arial"/>
                <w:color w:val="000000"/>
                <w:sz w:val="18"/>
                <w:szCs w:val="18"/>
                <w:lang w:val="es-ES" w:eastAsia="es-ES"/>
              </w:rPr>
            </w:pPr>
            <w:r w:rsidRPr="00794C0E">
              <w:rPr>
                <w:rFonts w:cs="Arial"/>
                <w:color w:val="000000"/>
                <w:sz w:val="18"/>
                <w:szCs w:val="18"/>
                <w:lang w:val="es-ES" w:eastAsia="es-ES"/>
              </w:rPr>
              <w:t xml:space="preserve">3 </w:t>
            </w:r>
          </w:p>
        </w:tc>
        <w:tc>
          <w:tcPr>
            <w:tcW w:w="143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rPr>
                <w:rFonts w:cs="Arial"/>
                <w:color w:val="000000"/>
                <w:sz w:val="18"/>
                <w:szCs w:val="18"/>
                <w:lang w:val="es-ES" w:eastAsia="es-ES"/>
              </w:rPr>
            </w:pPr>
            <w:r w:rsidRPr="00794C0E">
              <w:rPr>
                <w:rFonts w:cs="Arial"/>
                <w:color w:val="000000"/>
                <w:sz w:val="18"/>
                <w:szCs w:val="18"/>
                <w:lang w:val="es-ES" w:eastAsia="es-ES"/>
              </w:rPr>
              <w:t> </w:t>
            </w:r>
          </w:p>
        </w:tc>
        <w:tc>
          <w:tcPr>
            <w:tcW w:w="155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424.384 </w:t>
            </w:r>
          </w:p>
        </w:tc>
        <w:tc>
          <w:tcPr>
            <w:tcW w:w="1276"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16.393 </w:t>
            </w:r>
          </w:p>
        </w:tc>
        <w:tc>
          <w:tcPr>
            <w:tcW w:w="131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645.840 </w:t>
            </w:r>
          </w:p>
        </w:tc>
        <w:tc>
          <w:tcPr>
            <w:tcW w:w="140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1.581.740 </w:t>
            </w:r>
          </w:p>
        </w:tc>
        <w:tc>
          <w:tcPr>
            <w:tcW w:w="137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1.786.802 </w:t>
            </w:r>
          </w:p>
        </w:tc>
      </w:tr>
      <w:tr w:rsidR="00D6207D" w:rsidRPr="00794C0E" w:rsidTr="00F44634">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6207D" w:rsidRPr="00794C0E" w:rsidRDefault="00D6207D" w:rsidP="00D6207D">
            <w:pPr>
              <w:jc w:val="center"/>
              <w:rPr>
                <w:rFonts w:cs="Arial"/>
                <w:color w:val="000000"/>
                <w:sz w:val="18"/>
                <w:szCs w:val="18"/>
                <w:lang w:val="es-ES" w:eastAsia="es-ES"/>
              </w:rPr>
            </w:pPr>
            <w:r w:rsidRPr="00794C0E">
              <w:rPr>
                <w:rFonts w:cs="Arial"/>
                <w:color w:val="000000"/>
                <w:sz w:val="18"/>
                <w:szCs w:val="18"/>
                <w:lang w:val="es-ES" w:eastAsia="es-ES"/>
              </w:rPr>
              <w:t xml:space="preserve">4 </w:t>
            </w:r>
          </w:p>
        </w:tc>
        <w:tc>
          <w:tcPr>
            <w:tcW w:w="143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rPr>
                <w:rFonts w:cs="Arial"/>
                <w:color w:val="000000"/>
                <w:sz w:val="18"/>
                <w:szCs w:val="18"/>
                <w:lang w:val="es-ES" w:eastAsia="es-ES"/>
              </w:rPr>
            </w:pPr>
            <w:r w:rsidRPr="00794C0E">
              <w:rPr>
                <w:rFonts w:cs="Arial"/>
                <w:color w:val="000000"/>
                <w:sz w:val="18"/>
                <w:szCs w:val="18"/>
                <w:lang w:val="es-ES" w:eastAsia="es-ES"/>
              </w:rPr>
              <w:t> </w:t>
            </w:r>
          </w:p>
        </w:tc>
        <w:tc>
          <w:tcPr>
            <w:tcW w:w="155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424.384 </w:t>
            </w:r>
          </w:p>
        </w:tc>
        <w:tc>
          <w:tcPr>
            <w:tcW w:w="1276"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16.129 </w:t>
            </w:r>
          </w:p>
        </w:tc>
        <w:tc>
          <w:tcPr>
            <w:tcW w:w="131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645.840 </w:t>
            </w:r>
          </w:p>
        </w:tc>
        <w:tc>
          <w:tcPr>
            <w:tcW w:w="140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1.607.251 </w:t>
            </w:r>
          </w:p>
        </w:tc>
        <w:tc>
          <w:tcPr>
            <w:tcW w:w="137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1.812.578 </w:t>
            </w:r>
          </w:p>
        </w:tc>
      </w:tr>
      <w:tr w:rsidR="00D6207D" w:rsidRPr="00794C0E" w:rsidTr="00F44634">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6207D" w:rsidRPr="00794C0E" w:rsidRDefault="00D6207D" w:rsidP="00D6207D">
            <w:pPr>
              <w:jc w:val="center"/>
              <w:rPr>
                <w:rFonts w:cs="Arial"/>
                <w:color w:val="000000"/>
                <w:sz w:val="18"/>
                <w:szCs w:val="18"/>
                <w:lang w:val="es-ES" w:eastAsia="es-ES"/>
              </w:rPr>
            </w:pPr>
            <w:r w:rsidRPr="00794C0E">
              <w:rPr>
                <w:rFonts w:cs="Arial"/>
                <w:color w:val="000000"/>
                <w:sz w:val="18"/>
                <w:szCs w:val="18"/>
                <w:lang w:val="es-ES" w:eastAsia="es-ES"/>
              </w:rPr>
              <w:t xml:space="preserve">5 </w:t>
            </w:r>
          </w:p>
        </w:tc>
        <w:tc>
          <w:tcPr>
            <w:tcW w:w="143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rPr>
                <w:rFonts w:cs="Arial"/>
                <w:color w:val="000000"/>
                <w:sz w:val="18"/>
                <w:szCs w:val="18"/>
                <w:lang w:val="es-ES" w:eastAsia="es-ES"/>
              </w:rPr>
            </w:pPr>
            <w:r w:rsidRPr="00794C0E">
              <w:rPr>
                <w:rFonts w:cs="Arial"/>
                <w:color w:val="000000"/>
                <w:sz w:val="18"/>
                <w:szCs w:val="18"/>
                <w:lang w:val="es-ES" w:eastAsia="es-ES"/>
              </w:rPr>
              <w:t> </w:t>
            </w:r>
          </w:p>
        </w:tc>
        <w:tc>
          <w:tcPr>
            <w:tcW w:w="155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424.384 </w:t>
            </w:r>
          </w:p>
        </w:tc>
        <w:tc>
          <w:tcPr>
            <w:tcW w:w="1276"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15.873 </w:t>
            </w:r>
          </w:p>
        </w:tc>
        <w:tc>
          <w:tcPr>
            <w:tcW w:w="131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645.840 </w:t>
            </w:r>
          </w:p>
        </w:tc>
        <w:tc>
          <w:tcPr>
            <w:tcW w:w="140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1.632.763 </w:t>
            </w:r>
          </w:p>
        </w:tc>
        <w:tc>
          <w:tcPr>
            <w:tcW w:w="137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1.838.346 </w:t>
            </w:r>
          </w:p>
        </w:tc>
      </w:tr>
      <w:tr w:rsidR="00D6207D" w:rsidRPr="00794C0E" w:rsidTr="00F44634">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6207D" w:rsidRPr="00794C0E" w:rsidRDefault="00D6207D" w:rsidP="00D6207D">
            <w:pPr>
              <w:jc w:val="center"/>
              <w:rPr>
                <w:rFonts w:cs="Arial"/>
                <w:color w:val="000000"/>
                <w:sz w:val="18"/>
                <w:szCs w:val="18"/>
                <w:lang w:val="es-ES" w:eastAsia="es-ES"/>
              </w:rPr>
            </w:pPr>
            <w:r w:rsidRPr="00794C0E">
              <w:rPr>
                <w:rFonts w:cs="Arial"/>
                <w:color w:val="000000"/>
                <w:sz w:val="18"/>
                <w:szCs w:val="18"/>
                <w:lang w:val="es-ES" w:eastAsia="es-ES"/>
              </w:rPr>
              <w:t xml:space="preserve">6 </w:t>
            </w:r>
          </w:p>
        </w:tc>
        <w:tc>
          <w:tcPr>
            <w:tcW w:w="143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rPr>
                <w:rFonts w:cs="Arial"/>
                <w:color w:val="000000"/>
                <w:sz w:val="18"/>
                <w:szCs w:val="18"/>
                <w:lang w:val="es-ES" w:eastAsia="es-ES"/>
              </w:rPr>
            </w:pPr>
            <w:r w:rsidRPr="00794C0E">
              <w:rPr>
                <w:rFonts w:cs="Arial"/>
                <w:color w:val="000000"/>
                <w:sz w:val="18"/>
                <w:szCs w:val="18"/>
                <w:lang w:val="es-ES" w:eastAsia="es-ES"/>
              </w:rPr>
              <w:t> </w:t>
            </w:r>
          </w:p>
        </w:tc>
        <w:tc>
          <w:tcPr>
            <w:tcW w:w="155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424.384 </w:t>
            </w:r>
          </w:p>
        </w:tc>
        <w:tc>
          <w:tcPr>
            <w:tcW w:w="1276"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15.625 </w:t>
            </w:r>
          </w:p>
        </w:tc>
        <w:tc>
          <w:tcPr>
            <w:tcW w:w="131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645.840 </w:t>
            </w:r>
          </w:p>
        </w:tc>
        <w:tc>
          <w:tcPr>
            <w:tcW w:w="140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1.658.275 </w:t>
            </w:r>
          </w:p>
        </w:tc>
        <w:tc>
          <w:tcPr>
            <w:tcW w:w="137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1.864.106 </w:t>
            </w:r>
          </w:p>
        </w:tc>
      </w:tr>
      <w:tr w:rsidR="00D6207D" w:rsidRPr="00794C0E" w:rsidTr="00F44634">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6207D" w:rsidRPr="00794C0E" w:rsidRDefault="00D6207D" w:rsidP="00D6207D">
            <w:pPr>
              <w:jc w:val="center"/>
              <w:rPr>
                <w:rFonts w:cs="Arial"/>
                <w:color w:val="000000"/>
                <w:sz w:val="18"/>
                <w:szCs w:val="18"/>
                <w:lang w:val="es-ES" w:eastAsia="es-ES"/>
              </w:rPr>
            </w:pPr>
            <w:r w:rsidRPr="00794C0E">
              <w:rPr>
                <w:rFonts w:cs="Arial"/>
                <w:color w:val="000000"/>
                <w:sz w:val="18"/>
                <w:szCs w:val="18"/>
                <w:lang w:val="es-ES" w:eastAsia="es-ES"/>
              </w:rPr>
              <w:t xml:space="preserve">7 </w:t>
            </w:r>
          </w:p>
        </w:tc>
        <w:tc>
          <w:tcPr>
            <w:tcW w:w="143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rPr>
                <w:rFonts w:cs="Arial"/>
                <w:color w:val="000000"/>
                <w:sz w:val="18"/>
                <w:szCs w:val="18"/>
                <w:lang w:val="es-ES" w:eastAsia="es-ES"/>
              </w:rPr>
            </w:pPr>
            <w:r w:rsidRPr="00794C0E">
              <w:rPr>
                <w:rFonts w:cs="Arial"/>
                <w:color w:val="000000"/>
                <w:sz w:val="18"/>
                <w:szCs w:val="18"/>
                <w:lang w:val="es-ES" w:eastAsia="es-ES"/>
              </w:rPr>
              <w:t> </w:t>
            </w:r>
          </w:p>
        </w:tc>
        <w:tc>
          <w:tcPr>
            <w:tcW w:w="155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424.384 </w:t>
            </w:r>
          </w:p>
        </w:tc>
        <w:tc>
          <w:tcPr>
            <w:tcW w:w="1276"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15.385 </w:t>
            </w:r>
          </w:p>
        </w:tc>
        <w:tc>
          <w:tcPr>
            <w:tcW w:w="131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645.840 </w:t>
            </w:r>
          </w:p>
        </w:tc>
        <w:tc>
          <w:tcPr>
            <w:tcW w:w="140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1.683.787 </w:t>
            </w:r>
          </w:p>
        </w:tc>
        <w:tc>
          <w:tcPr>
            <w:tcW w:w="137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1.889.859 </w:t>
            </w:r>
          </w:p>
        </w:tc>
      </w:tr>
      <w:tr w:rsidR="00D6207D" w:rsidRPr="00794C0E" w:rsidTr="00F44634">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6207D" w:rsidRPr="00794C0E" w:rsidRDefault="00D6207D" w:rsidP="00D6207D">
            <w:pPr>
              <w:jc w:val="center"/>
              <w:rPr>
                <w:rFonts w:cs="Arial"/>
                <w:color w:val="000000"/>
                <w:sz w:val="18"/>
                <w:szCs w:val="18"/>
                <w:lang w:val="es-ES" w:eastAsia="es-ES"/>
              </w:rPr>
            </w:pPr>
            <w:r w:rsidRPr="00794C0E">
              <w:rPr>
                <w:rFonts w:cs="Arial"/>
                <w:color w:val="000000"/>
                <w:sz w:val="18"/>
                <w:szCs w:val="18"/>
                <w:lang w:val="es-ES" w:eastAsia="es-ES"/>
              </w:rPr>
              <w:t xml:space="preserve">8 </w:t>
            </w:r>
          </w:p>
        </w:tc>
        <w:tc>
          <w:tcPr>
            <w:tcW w:w="143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rPr>
                <w:rFonts w:cs="Arial"/>
                <w:color w:val="000000"/>
                <w:sz w:val="18"/>
                <w:szCs w:val="18"/>
                <w:lang w:val="es-ES" w:eastAsia="es-ES"/>
              </w:rPr>
            </w:pPr>
            <w:r w:rsidRPr="00794C0E">
              <w:rPr>
                <w:rFonts w:cs="Arial"/>
                <w:color w:val="000000"/>
                <w:sz w:val="18"/>
                <w:szCs w:val="18"/>
                <w:lang w:val="es-ES" w:eastAsia="es-ES"/>
              </w:rPr>
              <w:t> </w:t>
            </w:r>
          </w:p>
        </w:tc>
        <w:tc>
          <w:tcPr>
            <w:tcW w:w="155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424.384 </w:t>
            </w:r>
          </w:p>
        </w:tc>
        <w:tc>
          <w:tcPr>
            <w:tcW w:w="1276"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15.152 </w:t>
            </w:r>
          </w:p>
        </w:tc>
        <w:tc>
          <w:tcPr>
            <w:tcW w:w="131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645.840 </w:t>
            </w:r>
          </w:p>
        </w:tc>
        <w:tc>
          <w:tcPr>
            <w:tcW w:w="140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1.709.299 </w:t>
            </w:r>
          </w:p>
        </w:tc>
        <w:tc>
          <w:tcPr>
            <w:tcW w:w="137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1.915.604 </w:t>
            </w:r>
          </w:p>
        </w:tc>
      </w:tr>
      <w:tr w:rsidR="00D6207D" w:rsidRPr="00794C0E" w:rsidTr="00F44634">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6207D" w:rsidRPr="00794C0E" w:rsidRDefault="00D6207D" w:rsidP="00D6207D">
            <w:pPr>
              <w:jc w:val="center"/>
              <w:rPr>
                <w:rFonts w:cs="Arial"/>
                <w:color w:val="000000"/>
                <w:sz w:val="18"/>
                <w:szCs w:val="18"/>
                <w:lang w:val="es-ES" w:eastAsia="es-ES"/>
              </w:rPr>
            </w:pPr>
            <w:r w:rsidRPr="00794C0E">
              <w:rPr>
                <w:rFonts w:cs="Arial"/>
                <w:color w:val="000000"/>
                <w:sz w:val="18"/>
                <w:szCs w:val="18"/>
                <w:lang w:val="es-ES" w:eastAsia="es-ES"/>
              </w:rPr>
              <w:t xml:space="preserve">9 </w:t>
            </w:r>
          </w:p>
        </w:tc>
        <w:tc>
          <w:tcPr>
            <w:tcW w:w="143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rPr>
                <w:rFonts w:cs="Arial"/>
                <w:color w:val="000000"/>
                <w:sz w:val="18"/>
                <w:szCs w:val="18"/>
                <w:lang w:val="es-ES" w:eastAsia="es-ES"/>
              </w:rPr>
            </w:pPr>
            <w:r w:rsidRPr="00794C0E">
              <w:rPr>
                <w:rFonts w:cs="Arial"/>
                <w:color w:val="000000"/>
                <w:sz w:val="18"/>
                <w:szCs w:val="18"/>
                <w:lang w:val="es-ES" w:eastAsia="es-ES"/>
              </w:rPr>
              <w:t> </w:t>
            </w:r>
          </w:p>
        </w:tc>
        <w:tc>
          <w:tcPr>
            <w:tcW w:w="155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424.384 </w:t>
            </w:r>
          </w:p>
        </w:tc>
        <w:tc>
          <w:tcPr>
            <w:tcW w:w="1276"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14.925 </w:t>
            </w:r>
          </w:p>
        </w:tc>
        <w:tc>
          <w:tcPr>
            <w:tcW w:w="131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645.840 </w:t>
            </w:r>
          </w:p>
        </w:tc>
        <w:tc>
          <w:tcPr>
            <w:tcW w:w="140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1.734.811 </w:t>
            </w:r>
          </w:p>
        </w:tc>
        <w:tc>
          <w:tcPr>
            <w:tcW w:w="137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1.941.342 </w:t>
            </w:r>
          </w:p>
        </w:tc>
      </w:tr>
      <w:tr w:rsidR="00D6207D" w:rsidRPr="00794C0E" w:rsidTr="00F44634">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6207D" w:rsidRPr="00794C0E" w:rsidRDefault="00D6207D" w:rsidP="00D6207D">
            <w:pPr>
              <w:jc w:val="center"/>
              <w:rPr>
                <w:rFonts w:cs="Arial"/>
                <w:color w:val="000000"/>
                <w:sz w:val="18"/>
                <w:szCs w:val="18"/>
                <w:lang w:val="es-ES" w:eastAsia="es-ES"/>
              </w:rPr>
            </w:pPr>
            <w:r w:rsidRPr="00794C0E">
              <w:rPr>
                <w:rFonts w:cs="Arial"/>
                <w:color w:val="000000"/>
                <w:sz w:val="18"/>
                <w:szCs w:val="18"/>
                <w:lang w:val="es-ES" w:eastAsia="es-ES"/>
              </w:rPr>
              <w:t xml:space="preserve">10 </w:t>
            </w:r>
          </w:p>
        </w:tc>
        <w:tc>
          <w:tcPr>
            <w:tcW w:w="143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rPr>
                <w:rFonts w:cs="Arial"/>
                <w:color w:val="000000"/>
                <w:sz w:val="18"/>
                <w:szCs w:val="18"/>
                <w:lang w:val="es-ES" w:eastAsia="es-ES"/>
              </w:rPr>
            </w:pPr>
            <w:r w:rsidRPr="00794C0E">
              <w:rPr>
                <w:rFonts w:cs="Arial"/>
                <w:color w:val="000000"/>
                <w:sz w:val="18"/>
                <w:szCs w:val="18"/>
                <w:lang w:val="es-ES" w:eastAsia="es-ES"/>
              </w:rPr>
              <w:t> </w:t>
            </w:r>
          </w:p>
        </w:tc>
        <w:tc>
          <w:tcPr>
            <w:tcW w:w="155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424.384 </w:t>
            </w:r>
          </w:p>
        </w:tc>
        <w:tc>
          <w:tcPr>
            <w:tcW w:w="1276"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14.706 </w:t>
            </w:r>
          </w:p>
        </w:tc>
        <w:tc>
          <w:tcPr>
            <w:tcW w:w="131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645.840 </w:t>
            </w:r>
          </w:p>
        </w:tc>
        <w:tc>
          <w:tcPr>
            <w:tcW w:w="140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1.760.323 </w:t>
            </w:r>
          </w:p>
        </w:tc>
        <w:tc>
          <w:tcPr>
            <w:tcW w:w="137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1.967.073 </w:t>
            </w:r>
          </w:p>
        </w:tc>
      </w:tr>
      <w:tr w:rsidR="00D6207D" w:rsidRPr="00794C0E" w:rsidTr="00F44634">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6207D" w:rsidRPr="00794C0E" w:rsidRDefault="00D6207D" w:rsidP="00D6207D">
            <w:pPr>
              <w:jc w:val="center"/>
              <w:rPr>
                <w:rFonts w:cs="Arial"/>
                <w:color w:val="000000"/>
                <w:sz w:val="18"/>
                <w:szCs w:val="18"/>
                <w:lang w:val="es-ES" w:eastAsia="es-ES"/>
              </w:rPr>
            </w:pPr>
            <w:r w:rsidRPr="00794C0E">
              <w:rPr>
                <w:rFonts w:cs="Arial"/>
                <w:color w:val="000000"/>
                <w:sz w:val="18"/>
                <w:szCs w:val="18"/>
                <w:lang w:val="es-ES" w:eastAsia="es-ES"/>
              </w:rPr>
              <w:t xml:space="preserve">11 </w:t>
            </w:r>
          </w:p>
        </w:tc>
        <w:tc>
          <w:tcPr>
            <w:tcW w:w="143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rPr>
                <w:rFonts w:cs="Arial"/>
                <w:color w:val="000000"/>
                <w:sz w:val="18"/>
                <w:szCs w:val="18"/>
                <w:lang w:val="es-ES" w:eastAsia="es-ES"/>
              </w:rPr>
            </w:pPr>
            <w:r w:rsidRPr="00794C0E">
              <w:rPr>
                <w:rFonts w:cs="Arial"/>
                <w:color w:val="000000"/>
                <w:sz w:val="18"/>
                <w:szCs w:val="18"/>
                <w:lang w:val="es-ES" w:eastAsia="es-ES"/>
              </w:rPr>
              <w:t> </w:t>
            </w:r>
          </w:p>
        </w:tc>
        <w:tc>
          <w:tcPr>
            <w:tcW w:w="155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424.384 </w:t>
            </w:r>
          </w:p>
        </w:tc>
        <w:tc>
          <w:tcPr>
            <w:tcW w:w="1276"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14.493 </w:t>
            </w:r>
          </w:p>
        </w:tc>
        <w:tc>
          <w:tcPr>
            <w:tcW w:w="131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645.840 </w:t>
            </w:r>
          </w:p>
        </w:tc>
        <w:tc>
          <w:tcPr>
            <w:tcW w:w="140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1.785.835 </w:t>
            </w:r>
          </w:p>
        </w:tc>
        <w:tc>
          <w:tcPr>
            <w:tcW w:w="137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1.992.798 </w:t>
            </w:r>
          </w:p>
        </w:tc>
      </w:tr>
      <w:tr w:rsidR="00D6207D" w:rsidRPr="00794C0E" w:rsidTr="00F44634">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6207D" w:rsidRPr="00794C0E" w:rsidRDefault="00D6207D" w:rsidP="00D6207D">
            <w:pPr>
              <w:jc w:val="center"/>
              <w:rPr>
                <w:rFonts w:cs="Arial"/>
                <w:color w:val="000000"/>
                <w:sz w:val="18"/>
                <w:szCs w:val="18"/>
                <w:lang w:val="es-ES" w:eastAsia="es-ES"/>
              </w:rPr>
            </w:pPr>
            <w:r w:rsidRPr="00794C0E">
              <w:rPr>
                <w:rFonts w:cs="Arial"/>
                <w:color w:val="000000"/>
                <w:sz w:val="18"/>
                <w:szCs w:val="18"/>
                <w:lang w:val="es-ES" w:eastAsia="es-ES"/>
              </w:rPr>
              <w:t xml:space="preserve">12 </w:t>
            </w:r>
          </w:p>
        </w:tc>
        <w:tc>
          <w:tcPr>
            <w:tcW w:w="143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rPr>
                <w:rFonts w:cs="Arial"/>
                <w:color w:val="000000"/>
                <w:sz w:val="18"/>
                <w:szCs w:val="18"/>
                <w:lang w:val="es-ES" w:eastAsia="es-ES"/>
              </w:rPr>
            </w:pPr>
            <w:r w:rsidRPr="00794C0E">
              <w:rPr>
                <w:rFonts w:cs="Arial"/>
                <w:color w:val="000000"/>
                <w:sz w:val="18"/>
                <w:szCs w:val="18"/>
                <w:lang w:val="es-ES" w:eastAsia="es-ES"/>
              </w:rPr>
              <w:t> </w:t>
            </w:r>
          </w:p>
        </w:tc>
        <w:tc>
          <w:tcPr>
            <w:tcW w:w="155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424.384 </w:t>
            </w:r>
          </w:p>
        </w:tc>
        <w:tc>
          <w:tcPr>
            <w:tcW w:w="1276"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14.286 </w:t>
            </w:r>
          </w:p>
        </w:tc>
        <w:tc>
          <w:tcPr>
            <w:tcW w:w="131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645.840 </w:t>
            </w:r>
          </w:p>
        </w:tc>
        <w:tc>
          <w:tcPr>
            <w:tcW w:w="140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1.811.347 </w:t>
            </w:r>
          </w:p>
        </w:tc>
        <w:tc>
          <w:tcPr>
            <w:tcW w:w="137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2.018.517 </w:t>
            </w:r>
          </w:p>
        </w:tc>
      </w:tr>
      <w:tr w:rsidR="00D6207D" w:rsidRPr="00794C0E" w:rsidTr="00F44634">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6207D" w:rsidRPr="00794C0E" w:rsidRDefault="00D6207D" w:rsidP="00D6207D">
            <w:pPr>
              <w:jc w:val="center"/>
              <w:rPr>
                <w:rFonts w:cs="Arial"/>
                <w:color w:val="000000"/>
                <w:sz w:val="18"/>
                <w:szCs w:val="18"/>
                <w:lang w:val="es-ES" w:eastAsia="es-ES"/>
              </w:rPr>
            </w:pPr>
            <w:r w:rsidRPr="00794C0E">
              <w:rPr>
                <w:rFonts w:cs="Arial"/>
                <w:color w:val="000000"/>
                <w:sz w:val="18"/>
                <w:szCs w:val="18"/>
                <w:lang w:val="es-ES" w:eastAsia="es-ES"/>
              </w:rPr>
              <w:t xml:space="preserve">13 </w:t>
            </w:r>
          </w:p>
        </w:tc>
        <w:tc>
          <w:tcPr>
            <w:tcW w:w="143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rPr>
                <w:rFonts w:cs="Arial"/>
                <w:color w:val="000000"/>
                <w:sz w:val="18"/>
                <w:szCs w:val="18"/>
                <w:lang w:val="es-ES" w:eastAsia="es-ES"/>
              </w:rPr>
            </w:pPr>
            <w:r w:rsidRPr="00794C0E">
              <w:rPr>
                <w:rFonts w:cs="Arial"/>
                <w:color w:val="000000"/>
                <w:sz w:val="18"/>
                <w:szCs w:val="18"/>
                <w:lang w:val="es-ES" w:eastAsia="es-ES"/>
              </w:rPr>
              <w:t> </w:t>
            </w:r>
          </w:p>
        </w:tc>
        <w:tc>
          <w:tcPr>
            <w:tcW w:w="155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424.384 </w:t>
            </w:r>
          </w:p>
        </w:tc>
        <w:tc>
          <w:tcPr>
            <w:tcW w:w="1276"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14.085 </w:t>
            </w:r>
          </w:p>
        </w:tc>
        <w:tc>
          <w:tcPr>
            <w:tcW w:w="131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645.840 </w:t>
            </w:r>
          </w:p>
        </w:tc>
        <w:tc>
          <w:tcPr>
            <w:tcW w:w="140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1.836.859 </w:t>
            </w:r>
          </w:p>
        </w:tc>
        <w:tc>
          <w:tcPr>
            <w:tcW w:w="137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2.044.230 </w:t>
            </w:r>
          </w:p>
        </w:tc>
      </w:tr>
      <w:tr w:rsidR="00D6207D" w:rsidRPr="00794C0E" w:rsidTr="00F44634">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6207D" w:rsidRPr="00794C0E" w:rsidRDefault="00D6207D" w:rsidP="00D6207D">
            <w:pPr>
              <w:jc w:val="center"/>
              <w:rPr>
                <w:rFonts w:cs="Arial"/>
                <w:color w:val="000000"/>
                <w:sz w:val="18"/>
                <w:szCs w:val="18"/>
                <w:lang w:val="es-ES" w:eastAsia="es-ES"/>
              </w:rPr>
            </w:pPr>
            <w:r w:rsidRPr="00794C0E">
              <w:rPr>
                <w:rFonts w:cs="Arial"/>
                <w:color w:val="000000"/>
                <w:sz w:val="18"/>
                <w:szCs w:val="18"/>
                <w:lang w:val="es-ES" w:eastAsia="es-ES"/>
              </w:rPr>
              <w:t xml:space="preserve">14 </w:t>
            </w:r>
          </w:p>
        </w:tc>
        <w:tc>
          <w:tcPr>
            <w:tcW w:w="143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rPr>
                <w:rFonts w:cs="Arial"/>
                <w:color w:val="000000"/>
                <w:sz w:val="18"/>
                <w:szCs w:val="18"/>
                <w:lang w:val="es-ES" w:eastAsia="es-ES"/>
              </w:rPr>
            </w:pPr>
            <w:r w:rsidRPr="00794C0E">
              <w:rPr>
                <w:rFonts w:cs="Arial"/>
                <w:color w:val="000000"/>
                <w:sz w:val="18"/>
                <w:szCs w:val="18"/>
                <w:lang w:val="es-ES" w:eastAsia="es-ES"/>
              </w:rPr>
              <w:t> </w:t>
            </w:r>
          </w:p>
        </w:tc>
        <w:tc>
          <w:tcPr>
            <w:tcW w:w="155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424.384 </w:t>
            </w:r>
          </w:p>
        </w:tc>
        <w:tc>
          <w:tcPr>
            <w:tcW w:w="1276"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13.889 </w:t>
            </w:r>
          </w:p>
        </w:tc>
        <w:tc>
          <w:tcPr>
            <w:tcW w:w="131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645.840 </w:t>
            </w:r>
          </w:p>
        </w:tc>
        <w:tc>
          <w:tcPr>
            <w:tcW w:w="140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1.862.371 </w:t>
            </w:r>
          </w:p>
        </w:tc>
        <w:tc>
          <w:tcPr>
            <w:tcW w:w="137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2.069.938 </w:t>
            </w:r>
          </w:p>
        </w:tc>
      </w:tr>
      <w:tr w:rsidR="00D6207D" w:rsidRPr="00794C0E" w:rsidTr="00F44634">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6207D" w:rsidRPr="00794C0E" w:rsidRDefault="00D6207D" w:rsidP="00D6207D">
            <w:pPr>
              <w:jc w:val="center"/>
              <w:rPr>
                <w:rFonts w:cs="Arial"/>
                <w:color w:val="000000"/>
                <w:sz w:val="18"/>
                <w:szCs w:val="18"/>
                <w:lang w:val="es-ES" w:eastAsia="es-ES"/>
              </w:rPr>
            </w:pPr>
            <w:r w:rsidRPr="00794C0E">
              <w:rPr>
                <w:rFonts w:cs="Arial"/>
                <w:color w:val="000000"/>
                <w:sz w:val="18"/>
                <w:szCs w:val="18"/>
                <w:lang w:val="es-ES" w:eastAsia="es-ES"/>
              </w:rPr>
              <w:t xml:space="preserve">15 </w:t>
            </w:r>
          </w:p>
        </w:tc>
        <w:tc>
          <w:tcPr>
            <w:tcW w:w="143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rPr>
                <w:rFonts w:cs="Arial"/>
                <w:color w:val="000000"/>
                <w:sz w:val="18"/>
                <w:szCs w:val="18"/>
                <w:lang w:val="es-ES" w:eastAsia="es-ES"/>
              </w:rPr>
            </w:pPr>
            <w:r w:rsidRPr="00794C0E">
              <w:rPr>
                <w:rFonts w:cs="Arial"/>
                <w:color w:val="000000"/>
                <w:sz w:val="18"/>
                <w:szCs w:val="18"/>
                <w:lang w:val="es-ES" w:eastAsia="es-ES"/>
              </w:rPr>
              <w:t> </w:t>
            </w:r>
          </w:p>
        </w:tc>
        <w:tc>
          <w:tcPr>
            <w:tcW w:w="155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424.384 </w:t>
            </w:r>
          </w:p>
        </w:tc>
        <w:tc>
          <w:tcPr>
            <w:tcW w:w="1276"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13.699 </w:t>
            </w:r>
          </w:p>
        </w:tc>
        <w:tc>
          <w:tcPr>
            <w:tcW w:w="131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645.840 </w:t>
            </w:r>
          </w:p>
        </w:tc>
        <w:tc>
          <w:tcPr>
            <w:tcW w:w="140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1.887.883 </w:t>
            </w:r>
          </w:p>
        </w:tc>
        <w:tc>
          <w:tcPr>
            <w:tcW w:w="137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2.095.640 </w:t>
            </w:r>
          </w:p>
        </w:tc>
      </w:tr>
      <w:tr w:rsidR="00D6207D" w:rsidRPr="00794C0E" w:rsidTr="00F44634">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6207D" w:rsidRPr="00794C0E" w:rsidRDefault="00D6207D" w:rsidP="00D6207D">
            <w:pPr>
              <w:jc w:val="center"/>
              <w:rPr>
                <w:rFonts w:cs="Arial"/>
                <w:color w:val="000000"/>
                <w:sz w:val="18"/>
                <w:szCs w:val="18"/>
                <w:lang w:val="es-ES" w:eastAsia="es-ES"/>
              </w:rPr>
            </w:pPr>
            <w:r w:rsidRPr="00794C0E">
              <w:rPr>
                <w:rFonts w:cs="Arial"/>
                <w:color w:val="000000"/>
                <w:sz w:val="18"/>
                <w:szCs w:val="18"/>
                <w:lang w:val="es-ES" w:eastAsia="es-ES"/>
              </w:rPr>
              <w:t xml:space="preserve">16 </w:t>
            </w:r>
          </w:p>
        </w:tc>
        <w:tc>
          <w:tcPr>
            <w:tcW w:w="143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rPr>
                <w:rFonts w:cs="Arial"/>
                <w:color w:val="000000"/>
                <w:sz w:val="18"/>
                <w:szCs w:val="18"/>
                <w:lang w:val="es-ES" w:eastAsia="es-ES"/>
              </w:rPr>
            </w:pPr>
            <w:r w:rsidRPr="00794C0E">
              <w:rPr>
                <w:rFonts w:cs="Arial"/>
                <w:color w:val="000000"/>
                <w:sz w:val="18"/>
                <w:szCs w:val="18"/>
                <w:lang w:val="es-ES" w:eastAsia="es-ES"/>
              </w:rPr>
              <w:t> </w:t>
            </w:r>
          </w:p>
        </w:tc>
        <w:tc>
          <w:tcPr>
            <w:tcW w:w="155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424.384 </w:t>
            </w:r>
          </w:p>
        </w:tc>
        <w:tc>
          <w:tcPr>
            <w:tcW w:w="1276"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13.514 </w:t>
            </w:r>
          </w:p>
        </w:tc>
        <w:tc>
          <w:tcPr>
            <w:tcW w:w="131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645.840 </w:t>
            </w:r>
          </w:p>
        </w:tc>
        <w:tc>
          <w:tcPr>
            <w:tcW w:w="140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1.913.395 </w:t>
            </w:r>
          </w:p>
        </w:tc>
        <w:tc>
          <w:tcPr>
            <w:tcW w:w="137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2.121.337 </w:t>
            </w:r>
          </w:p>
        </w:tc>
      </w:tr>
      <w:tr w:rsidR="00D6207D" w:rsidRPr="00794C0E" w:rsidTr="00F44634">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6207D" w:rsidRPr="00794C0E" w:rsidRDefault="00D6207D" w:rsidP="00D6207D">
            <w:pPr>
              <w:jc w:val="center"/>
              <w:rPr>
                <w:rFonts w:cs="Arial"/>
                <w:color w:val="000000"/>
                <w:sz w:val="18"/>
                <w:szCs w:val="18"/>
                <w:lang w:val="es-ES" w:eastAsia="es-ES"/>
              </w:rPr>
            </w:pPr>
            <w:r w:rsidRPr="00794C0E">
              <w:rPr>
                <w:rFonts w:cs="Arial"/>
                <w:color w:val="000000"/>
                <w:sz w:val="18"/>
                <w:szCs w:val="18"/>
                <w:lang w:val="es-ES" w:eastAsia="es-ES"/>
              </w:rPr>
              <w:t xml:space="preserve">17 </w:t>
            </w:r>
          </w:p>
        </w:tc>
        <w:tc>
          <w:tcPr>
            <w:tcW w:w="143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rPr>
                <w:rFonts w:cs="Arial"/>
                <w:color w:val="000000"/>
                <w:sz w:val="18"/>
                <w:szCs w:val="18"/>
                <w:lang w:val="es-ES" w:eastAsia="es-ES"/>
              </w:rPr>
            </w:pPr>
            <w:r w:rsidRPr="00794C0E">
              <w:rPr>
                <w:rFonts w:cs="Arial"/>
                <w:color w:val="000000"/>
                <w:sz w:val="18"/>
                <w:szCs w:val="18"/>
                <w:lang w:val="es-ES" w:eastAsia="es-ES"/>
              </w:rPr>
              <w:t> </w:t>
            </w:r>
          </w:p>
        </w:tc>
        <w:tc>
          <w:tcPr>
            <w:tcW w:w="155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424.384 </w:t>
            </w:r>
          </w:p>
        </w:tc>
        <w:tc>
          <w:tcPr>
            <w:tcW w:w="1276"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13.333 </w:t>
            </w:r>
          </w:p>
        </w:tc>
        <w:tc>
          <w:tcPr>
            <w:tcW w:w="131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645.840 </w:t>
            </w:r>
          </w:p>
        </w:tc>
        <w:tc>
          <w:tcPr>
            <w:tcW w:w="140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1.938.906 </w:t>
            </w:r>
          </w:p>
        </w:tc>
        <w:tc>
          <w:tcPr>
            <w:tcW w:w="137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2.147.029 </w:t>
            </w:r>
          </w:p>
        </w:tc>
      </w:tr>
      <w:tr w:rsidR="00D6207D" w:rsidRPr="00794C0E" w:rsidTr="00F44634">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6207D" w:rsidRPr="00794C0E" w:rsidRDefault="00D6207D" w:rsidP="00D6207D">
            <w:pPr>
              <w:jc w:val="center"/>
              <w:rPr>
                <w:rFonts w:cs="Arial"/>
                <w:color w:val="000000"/>
                <w:sz w:val="18"/>
                <w:szCs w:val="18"/>
                <w:lang w:val="es-ES" w:eastAsia="es-ES"/>
              </w:rPr>
            </w:pPr>
            <w:r w:rsidRPr="00794C0E">
              <w:rPr>
                <w:rFonts w:cs="Arial"/>
                <w:color w:val="000000"/>
                <w:sz w:val="18"/>
                <w:szCs w:val="18"/>
                <w:lang w:val="es-ES" w:eastAsia="es-ES"/>
              </w:rPr>
              <w:t xml:space="preserve">18 </w:t>
            </w:r>
          </w:p>
        </w:tc>
        <w:tc>
          <w:tcPr>
            <w:tcW w:w="143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rPr>
                <w:rFonts w:cs="Arial"/>
                <w:color w:val="000000"/>
                <w:sz w:val="18"/>
                <w:szCs w:val="18"/>
                <w:lang w:val="es-ES" w:eastAsia="es-ES"/>
              </w:rPr>
            </w:pPr>
            <w:r w:rsidRPr="00794C0E">
              <w:rPr>
                <w:rFonts w:cs="Arial"/>
                <w:color w:val="000000"/>
                <w:sz w:val="18"/>
                <w:szCs w:val="18"/>
                <w:lang w:val="es-ES" w:eastAsia="es-ES"/>
              </w:rPr>
              <w:t> </w:t>
            </w:r>
          </w:p>
        </w:tc>
        <w:tc>
          <w:tcPr>
            <w:tcW w:w="155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424.384 </w:t>
            </w:r>
          </w:p>
        </w:tc>
        <w:tc>
          <w:tcPr>
            <w:tcW w:w="1276"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13.158 </w:t>
            </w:r>
          </w:p>
        </w:tc>
        <w:tc>
          <w:tcPr>
            <w:tcW w:w="131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645.840 </w:t>
            </w:r>
          </w:p>
        </w:tc>
        <w:tc>
          <w:tcPr>
            <w:tcW w:w="140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1.964.418 </w:t>
            </w:r>
          </w:p>
        </w:tc>
        <w:tc>
          <w:tcPr>
            <w:tcW w:w="137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2.172.717 </w:t>
            </w:r>
          </w:p>
        </w:tc>
      </w:tr>
      <w:tr w:rsidR="00D6207D" w:rsidRPr="00794C0E" w:rsidTr="00F44634">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6207D" w:rsidRPr="00794C0E" w:rsidRDefault="00D6207D" w:rsidP="00D6207D">
            <w:pPr>
              <w:jc w:val="center"/>
              <w:rPr>
                <w:rFonts w:cs="Arial"/>
                <w:color w:val="000000"/>
                <w:sz w:val="18"/>
                <w:szCs w:val="18"/>
                <w:lang w:val="es-ES" w:eastAsia="es-ES"/>
              </w:rPr>
            </w:pPr>
            <w:r w:rsidRPr="00794C0E">
              <w:rPr>
                <w:rFonts w:cs="Arial"/>
                <w:color w:val="000000"/>
                <w:sz w:val="18"/>
                <w:szCs w:val="18"/>
                <w:lang w:val="es-ES" w:eastAsia="es-ES"/>
              </w:rPr>
              <w:t xml:space="preserve">19 </w:t>
            </w:r>
          </w:p>
        </w:tc>
        <w:tc>
          <w:tcPr>
            <w:tcW w:w="143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rPr>
                <w:rFonts w:cs="Arial"/>
                <w:color w:val="000000"/>
                <w:sz w:val="18"/>
                <w:szCs w:val="18"/>
                <w:lang w:val="es-ES" w:eastAsia="es-ES"/>
              </w:rPr>
            </w:pPr>
            <w:r w:rsidRPr="00794C0E">
              <w:rPr>
                <w:rFonts w:cs="Arial"/>
                <w:color w:val="000000"/>
                <w:sz w:val="18"/>
                <w:szCs w:val="18"/>
                <w:lang w:val="es-ES" w:eastAsia="es-ES"/>
              </w:rPr>
              <w:t> </w:t>
            </w:r>
          </w:p>
        </w:tc>
        <w:tc>
          <w:tcPr>
            <w:tcW w:w="155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424.384 </w:t>
            </w:r>
          </w:p>
        </w:tc>
        <w:tc>
          <w:tcPr>
            <w:tcW w:w="1276"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12.987 </w:t>
            </w:r>
          </w:p>
        </w:tc>
        <w:tc>
          <w:tcPr>
            <w:tcW w:w="131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645.840 </w:t>
            </w:r>
          </w:p>
        </w:tc>
        <w:tc>
          <w:tcPr>
            <w:tcW w:w="140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1.989.930 </w:t>
            </w:r>
          </w:p>
        </w:tc>
        <w:tc>
          <w:tcPr>
            <w:tcW w:w="137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2.198.399 </w:t>
            </w:r>
          </w:p>
        </w:tc>
      </w:tr>
      <w:tr w:rsidR="00D6207D" w:rsidRPr="00794C0E" w:rsidTr="00F44634">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6207D" w:rsidRPr="00794C0E" w:rsidRDefault="00D6207D" w:rsidP="00D6207D">
            <w:pPr>
              <w:jc w:val="center"/>
              <w:rPr>
                <w:rFonts w:cs="Arial"/>
                <w:color w:val="000000"/>
                <w:sz w:val="18"/>
                <w:szCs w:val="18"/>
                <w:lang w:val="es-ES" w:eastAsia="es-ES"/>
              </w:rPr>
            </w:pPr>
            <w:r w:rsidRPr="00794C0E">
              <w:rPr>
                <w:rFonts w:cs="Arial"/>
                <w:color w:val="000000"/>
                <w:sz w:val="18"/>
                <w:szCs w:val="18"/>
                <w:lang w:val="es-ES" w:eastAsia="es-ES"/>
              </w:rPr>
              <w:t xml:space="preserve">20 </w:t>
            </w:r>
          </w:p>
        </w:tc>
        <w:tc>
          <w:tcPr>
            <w:tcW w:w="143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rPr>
                <w:rFonts w:cs="Arial"/>
                <w:color w:val="000000"/>
                <w:sz w:val="18"/>
                <w:szCs w:val="18"/>
                <w:lang w:val="es-ES" w:eastAsia="es-ES"/>
              </w:rPr>
            </w:pPr>
            <w:r w:rsidRPr="00794C0E">
              <w:rPr>
                <w:rFonts w:cs="Arial"/>
                <w:color w:val="000000"/>
                <w:sz w:val="18"/>
                <w:szCs w:val="18"/>
                <w:lang w:val="es-ES" w:eastAsia="es-ES"/>
              </w:rPr>
              <w:t> </w:t>
            </w:r>
          </w:p>
        </w:tc>
        <w:tc>
          <w:tcPr>
            <w:tcW w:w="155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424.384 </w:t>
            </w:r>
          </w:p>
        </w:tc>
        <w:tc>
          <w:tcPr>
            <w:tcW w:w="1276"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12.821 </w:t>
            </w:r>
          </w:p>
        </w:tc>
        <w:tc>
          <w:tcPr>
            <w:tcW w:w="131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645.840 </w:t>
            </w:r>
          </w:p>
        </w:tc>
        <w:tc>
          <w:tcPr>
            <w:tcW w:w="140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2.015.442 </w:t>
            </w:r>
          </w:p>
        </w:tc>
        <w:tc>
          <w:tcPr>
            <w:tcW w:w="137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2.224.078 </w:t>
            </w:r>
          </w:p>
        </w:tc>
      </w:tr>
      <w:tr w:rsidR="00D6207D" w:rsidRPr="00794C0E" w:rsidTr="00F44634">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6207D" w:rsidRPr="00794C0E" w:rsidRDefault="00D6207D" w:rsidP="00D6207D">
            <w:pPr>
              <w:jc w:val="center"/>
              <w:rPr>
                <w:rFonts w:cs="Arial"/>
                <w:color w:val="000000"/>
                <w:sz w:val="18"/>
                <w:szCs w:val="18"/>
                <w:lang w:val="es-ES" w:eastAsia="es-ES"/>
              </w:rPr>
            </w:pPr>
            <w:r w:rsidRPr="00794C0E">
              <w:rPr>
                <w:rFonts w:cs="Arial"/>
                <w:color w:val="000000"/>
                <w:sz w:val="18"/>
                <w:szCs w:val="18"/>
                <w:lang w:val="es-ES" w:eastAsia="es-ES"/>
              </w:rPr>
              <w:t xml:space="preserve">21 </w:t>
            </w:r>
          </w:p>
        </w:tc>
        <w:tc>
          <w:tcPr>
            <w:tcW w:w="143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rPr>
                <w:rFonts w:cs="Arial"/>
                <w:color w:val="000000"/>
                <w:sz w:val="18"/>
                <w:szCs w:val="18"/>
                <w:lang w:val="es-ES" w:eastAsia="es-ES"/>
              </w:rPr>
            </w:pPr>
            <w:r w:rsidRPr="00794C0E">
              <w:rPr>
                <w:rFonts w:cs="Arial"/>
                <w:color w:val="000000"/>
                <w:sz w:val="18"/>
                <w:szCs w:val="18"/>
                <w:lang w:val="es-ES" w:eastAsia="es-ES"/>
              </w:rPr>
              <w:t> </w:t>
            </w:r>
          </w:p>
        </w:tc>
        <w:tc>
          <w:tcPr>
            <w:tcW w:w="155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424.384 </w:t>
            </w:r>
          </w:p>
        </w:tc>
        <w:tc>
          <w:tcPr>
            <w:tcW w:w="1276"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12.658 </w:t>
            </w:r>
          </w:p>
        </w:tc>
        <w:tc>
          <w:tcPr>
            <w:tcW w:w="131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645.840 </w:t>
            </w:r>
          </w:p>
        </w:tc>
        <w:tc>
          <w:tcPr>
            <w:tcW w:w="140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2.040.954 </w:t>
            </w:r>
          </w:p>
        </w:tc>
        <w:tc>
          <w:tcPr>
            <w:tcW w:w="137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2.249.752 </w:t>
            </w:r>
          </w:p>
        </w:tc>
      </w:tr>
      <w:tr w:rsidR="00D6207D" w:rsidRPr="00794C0E" w:rsidTr="00F44634">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6207D" w:rsidRPr="00794C0E" w:rsidRDefault="00D6207D" w:rsidP="00D6207D">
            <w:pPr>
              <w:jc w:val="center"/>
              <w:rPr>
                <w:rFonts w:cs="Arial"/>
                <w:color w:val="000000"/>
                <w:sz w:val="18"/>
                <w:szCs w:val="18"/>
                <w:lang w:val="es-ES" w:eastAsia="es-ES"/>
              </w:rPr>
            </w:pPr>
            <w:r w:rsidRPr="00794C0E">
              <w:rPr>
                <w:rFonts w:cs="Arial"/>
                <w:color w:val="000000"/>
                <w:sz w:val="18"/>
                <w:szCs w:val="18"/>
                <w:lang w:val="es-ES" w:eastAsia="es-ES"/>
              </w:rPr>
              <w:t xml:space="preserve">22 </w:t>
            </w:r>
          </w:p>
        </w:tc>
        <w:tc>
          <w:tcPr>
            <w:tcW w:w="143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rPr>
                <w:rFonts w:cs="Arial"/>
                <w:color w:val="000000"/>
                <w:sz w:val="18"/>
                <w:szCs w:val="18"/>
                <w:lang w:val="es-ES" w:eastAsia="es-ES"/>
              </w:rPr>
            </w:pPr>
            <w:r w:rsidRPr="00794C0E">
              <w:rPr>
                <w:rFonts w:cs="Arial"/>
                <w:color w:val="000000"/>
                <w:sz w:val="18"/>
                <w:szCs w:val="18"/>
                <w:lang w:val="es-ES" w:eastAsia="es-ES"/>
              </w:rPr>
              <w:t> </w:t>
            </w:r>
          </w:p>
        </w:tc>
        <w:tc>
          <w:tcPr>
            <w:tcW w:w="155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424.384 </w:t>
            </w:r>
          </w:p>
        </w:tc>
        <w:tc>
          <w:tcPr>
            <w:tcW w:w="1276"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12.500 </w:t>
            </w:r>
          </w:p>
        </w:tc>
        <w:tc>
          <w:tcPr>
            <w:tcW w:w="131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645.840 </w:t>
            </w:r>
          </w:p>
        </w:tc>
        <w:tc>
          <w:tcPr>
            <w:tcW w:w="140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2.066.466 </w:t>
            </w:r>
          </w:p>
        </w:tc>
        <w:tc>
          <w:tcPr>
            <w:tcW w:w="137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2.275.422 </w:t>
            </w:r>
          </w:p>
        </w:tc>
      </w:tr>
      <w:tr w:rsidR="00D6207D" w:rsidRPr="00794C0E" w:rsidTr="00F44634">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6207D" w:rsidRPr="00794C0E" w:rsidRDefault="00D6207D" w:rsidP="00D6207D">
            <w:pPr>
              <w:jc w:val="center"/>
              <w:rPr>
                <w:rFonts w:cs="Arial"/>
                <w:color w:val="000000"/>
                <w:sz w:val="18"/>
                <w:szCs w:val="18"/>
                <w:lang w:val="es-ES" w:eastAsia="es-ES"/>
              </w:rPr>
            </w:pPr>
            <w:r w:rsidRPr="00794C0E">
              <w:rPr>
                <w:rFonts w:cs="Arial"/>
                <w:color w:val="000000"/>
                <w:sz w:val="18"/>
                <w:szCs w:val="18"/>
                <w:lang w:val="es-ES" w:eastAsia="es-ES"/>
              </w:rPr>
              <w:t xml:space="preserve">23 </w:t>
            </w:r>
          </w:p>
        </w:tc>
        <w:tc>
          <w:tcPr>
            <w:tcW w:w="143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rPr>
                <w:rFonts w:cs="Arial"/>
                <w:color w:val="000000"/>
                <w:sz w:val="18"/>
                <w:szCs w:val="18"/>
                <w:lang w:val="es-ES" w:eastAsia="es-ES"/>
              </w:rPr>
            </w:pPr>
            <w:r w:rsidRPr="00794C0E">
              <w:rPr>
                <w:rFonts w:cs="Arial"/>
                <w:color w:val="000000"/>
                <w:sz w:val="18"/>
                <w:szCs w:val="18"/>
                <w:lang w:val="es-ES" w:eastAsia="es-ES"/>
              </w:rPr>
              <w:t> </w:t>
            </w:r>
          </w:p>
        </w:tc>
        <w:tc>
          <w:tcPr>
            <w:tcW w:w="155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424.384 </w:t>
            </w:r>
          </w:p>
        </w:tc>
        <w:tc>
          <w:tcPr>
            <w:tcW w:w="1276"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12.346 </w:t>
            </w:r>
          </w:p>
        </w:tc>
        <w:tc>
          <w:tcPr>
            <w:tcW w:w="131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645.840 </w:t>
            </w:r>
          </w:p>
        </w:tc>
        <w:tc>
          <w:tcPr>
            <w:tcW w:w="140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2.091.978 </w:t>
            </w:r>
          </w:p>
        </w:tc>
        <w:tc>
          <w:tcPr>
            <w:tcW w:w="137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2.301.088 </w:t>
            </w:r>
          </w:p>
        </w:tc>
      </w:tr>
      <w:tr w:rsidR="00D6207D" w:rsidRPr="00794C0E" w:rsidTr="00F44634">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D6207D" w:rsidRPr="00794C0E" w:rsidRDefault="00D6207D" w:rsidP="00D6207D">
            <w:pPr>
              <w:jc w:val="center"/>
              <w:rPr>
                <w:rFonts w:cs="Arial"/>
                <w:color w:val="000000"/>
                <w:sz w:val="18"/>
                <w:szCs w:val="18"/>
                <w:lang w:val="es-ES" w:eastAsia="es-ES"/>
              </w:rPr>
            </w:pPr>
            <w:r w:rsidRPr="00794C0E">
              <w:rPr>
                <w:rFonts w:cs="Arial"/>
                <w:color w:val="000000"/>
                <w:sz w:val="18"/>
                <w:szCs w:val="18"/>
                <w:lang w:val="es-ES" w:eastAsia="es-ES"/>
              </w:rPr>
              <w:t xml:space="preserve">24 </w:t>
            </w:r>
          </w:p>
        </w:tc>
        <w:tc>
          <w:tcPr>
            <w:tcW w:w="143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rPr>
                <w:rFonts w:cs="Arial"/>
                <w:color w:val="000000"/>
                <w:sz w:val="18"/>
                <w:szCs w:val="18"/>
                <w:lang w:val="es-ES" w:eastAsia="es-ES"/>
              </w:rPr>
            </w:pPr>
            <w:r w:rsidRPr="00794C0E">
              <w:rPr>
                <w:rFonts w:cs="Arial"/>
                <w:color w:val="000000"/>
                <w:sz w:val="18"/>
                <w:szCs w:val="18"/>
                <w:lang w:val="es-ES" w:eastAsia="es-ES"/>
              </w:rPr>
              <w:t> </w:t>
            </w:r>
          </w:p>
        </w:tc>
        <w:tc>
          <w:tcPr>
            <w:tcW w:w="155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424.384 </w:t>
            </w:r>
          </w:p>
        </w:tc>
        <w:tc>
          <w:tcPr>
            <w:tcW w:w="1276"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12.195 </w:t>
            </w:r>
          </w:p>
        </w:tc>
        <w:tc>
          <w:tcPr>
            <w:tcW w:w="1312"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645.840 </w:t>
            </w:r>
          </w:p>
        </w:tc>
        <w:tc>
          <w:tcPr>
            <w:tcW w:w="140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2.117.490 </w:t>
            </w:r>
          </w:p>
        </w:tc>
        <w:tc>
          <w:tcPr>
            <w:tcW w:w="1370" w:type="dxa"/>
            <w:tcBorders>
              <w:top w:val="nil"/>
              <w:left w:val="nil"/>
              <w:bottom w:val="single" w:sz="4" w:space="0" w:color="auto"/>
              <w:right w:val="single" w:sz="4" w:space="0" w:color="auto"/>
            </w:tcBorders>
            <w:shd w:val="clear" w:color="auto" w:fill="auto"/>
            <w:noWrap/>
            <w:vAlign w:val="bottom"/>
            <w:hideMark/>
          </w:tcPr>
          <w:p w:rsidR="00D6207D" w:rsidRPr="00794C0E" w:rsidRDefault="00D6207D" w:rsidP="00D6207D">
            <w:pPr>
              <w:jc w:val="right"/>
              <w:rPr>
                <w:rFonts w:cs="Arial"/>
                <w:color w:val="000000"/>
                <w:sz w:val="18"/>
                <w:szCs w:val="18"/>
                <w:lang w:val="es-ES" w:eastAsia="es-ES"/>
              </w:rPr>
            </w:pPr>
            <w:r w:rsidRPr="00794C0E">
              <w:rPr>
                <w:rFonts w:cs="Arial"/>
                <w:color w:val="000000"/>
                <w:sz w:val="18"/>
                <w:szCs w:val="18"/>
                <w:lang w:val="es-ES" w:eastAsia="es-ES"/>
              </w:rPr>
              <w:t xml:space="preserve">2.326.751 </w:t>
            </w:r>
          </w:p>
        </w:tc>
      </w:tr>
    </w:tbl>
    <w:p w:rsidR="0048416B" w:rsidRPr="00794C0E" w:rsidRDefault="0048416B">
      <w:pPr>
        <w:rPr>
          <w:rFonts w:cs="Arial"/>
          <w:bCs/>
          <w:iCs/>
          <w:sz w:val="22"/>
          <w:szCs w:val="22"/>
          <w:highlight w:val="yellow"/>
          <w:lang w:val="es-AR"/>
        </w:rPr>
      </w:pPr>
    </w:p>
    <w:p w:rsidR="003252C2" w:rsidRPr="00794C0E" w:rsidRDefault="00CB3B61" w:rsidP="003252C2">
      <w:pPr>
        <w:pStyle w:val="ListParagraph"/>
        <w:numPr>
          <w:ilvl w:val="1"/>
          <w:numId w:val="5"/>
        </w:numPr>
        <w:ind w:left="0" w:firstLine="0"/>
        <w:jc w:val="both"/>
        <w:rPr>
          <w:rFonts w:cs="Arial"/>
          <w:bCs/>
          <w:iCs/>
          <w:sz w:val="22"/>
          <w:szCs w:val="22"/>
          <w:lang w:val="es-AR"/>
        </w:rPr>
      </w:pPr>
      <w:r w:rsidRPr="00794C0E">
        <w:rPr>
          <w:rFonts w:cs="Arial"/>
          <w:bCs/>
          <w:iCs/>
          <w:sz w:val="22"/>
          <w:szCs w:val="22"/>
          <w:lang w:val="es-AR"/>
        </w:rPr>
        <w:lastRenderedPageBreak/>
        <w:t>P</w:t>
      </w:r>
      <w:r w:rsidR="00F016A3" w:rsidRPr="00794C0E">
        <w:rPr>
          <w:rFonts w:cs="Arial"/>
          <w:bCs/>
          <w:iCs/>
          <w:sz w:val="22"/>
          <w:szCs w:val="22"/>
          <w:lang w:val="es-AR"/>
        </w:rPr>
        <w:t>ara los proyecto</w:t>
      </w:r>
      <w:r w:rsidR="003F4EB2" w:rsidRPr="00794C0E">
        <w:rPr>
          <w:rFonts w:cs="Arial"/>
          <w:bCs/>
          <w:iCs/>
          <w:sz w:val="22"/>
          <w:szCs w:val="22"/>
          <w:lang w:val="es-AR"/>
        </w:rPr>
        <w:t>s</w:t>
      </w:r>
      <w:r w:rsidR="00F016A3" w:rsidRPr="00794C0E">
        <w:rPr>
          <w:rFonts w:cs="Arial"/>
          <w:bCs/>
          <w:iCs/>
          <w:sz w:val="22"/>
          <w:szCs w:val="22"/>
          <w:lang w:val="es-AR"/>
        </w:rPr>
        <w:t xml:space="preserve"> de inversión </w:t>
      </w:r>
      <w:r w:rsidRPr="00794C0E">
        <w:rPr>
          <w:rFonts w:cs="Arial"/>
          <w:bCs/>
          <w:iCs/>
          <w:sz w:val="22"/>
          <w:szCs w:val="22"/>
          <w:lang w:val="es-AR"/>
        </w:rPr>
        <w:t>RGNS, se realizó</w:t>
      </w:r>
      <w:r w:rsidR="00F016A3" w:rsidRPr="00794C0E">
        <w:rPr>
          <w:rFonts w:cs="Arial"/>
          <w:bCs/>
          <w:iCs/>
          <w:sz w:val="22"/>
          <w:szCs w:val="22"/>
          <w:lang w:val="es-AR"/>
        </w:rPr>
        <w:t xml:space="preserve"> </w:t>
      </w:r>
      <w:r w:rsidRPr="00794C0E">
        <w:rPr>
          <w:rFonts w:cs="Arial"/>
          <w:bCs/>
          <w:iCs/>
          <w:sz w:val="22"/>
          <w:szCs w:val="22"/>
          <w:lang w:val="es-AR"/>
        </w:rPr>
        <w:t xml:space="preserve">el </w:t>
      </w:r>
      <w:r w:rsidR="00F016A3" w:rsidRPr="00794C0E">
        <w:rPr>
          <w:rFonts w:cs="Arial"/>
          <w:bCs/>
          <w:iCs/>
          <w:sz w:val="22"/>
          <w:szCs w:val="22"/>
          <w:lang w:val="es-AR"/>
        </w:rPr>
        <w:t>análisis de sensibilidad uti</w:t>
      </w:r>
      <w:r w:rsidRPr="00794C0E">
        <w:rPr>
          <w:rFonts w:cs="Arial"/>
          <w:bCs/>
          <w:iCs/>
          <w:sz w:val="22"/>
          <w:szCs w:val="22"/>
          <w:lang w:val="es-AR"/>
        </w:rPr>
        <w:t>lizando la Prueba de Montecarlo.</w:t>
      </w:r>
    </w:p>
    <w:p w:rsidR="0029166E" w:rsidRPr="00794C0E" w:rsidRDefault="0029166E">
      <w:pPr>
        <w:rPr>
          <w:rFonts w:cs="Arial"/>
          <w:bCs/>
          <w:sz w:val="22"/>
          <w:szCs w:val="22"/>
          <w:u w:val="single"/>
          <w:lang w:val="es-AR"/>
        </w:rPr>
      </w:pPr>
    </w:p>
    <w:p w:rsidR="00925EA2" w:rsidRPr="00794C0E" w:rsidRDefault="00925EA2" w:rsidP="00925EA2">
      <w:pPr>
        <w:jc w:val="center"/>
        <w:rPr>
          <w:rFonts w:cs="Arial"/>
        </w:rPr>
      </w:pPr>
      <w:r w:rsidRPr="00794C0E">
        <w:rPr>
          <w:rFonts w:cs="Arial"/>
          <w:noProof/>
          <w:lang w:val="es-ES_tradnl" w:eastAsia="es-ES_tradnl"/>
        </w:rPr>
        <w:drawing>
          <wp:inline distT="0" distB="0" distL="0" distR="0" wp14:anchorId="3694AF36" wp14:editId="01128E20">
            <wp:extent cx="4912963" cy="1922665"/>
            <wp:effectExtent l="0" t="0" r="254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25806" cy="1927691"/>
                    </a:xfrm>
                    <a:prstGeom prst="rect">
                      <a:avLst/>
                    </a:prstGeom>
                  </pic:spPr>
                </pic:pic>
              </a:graphicData>
            </a:graphic>
          </wp:inline>
        </w:drawing>
      </w:r>
    </w:p>
    <w:p w:rsidR="00925EA2" w:rsidRPr="00794C0E" w:rsidRDefault="00925EA2" w:rsidP="00925EA2">
      <w:pPr>
        <w:jc w:val="center"/>
        <w:rPr>
          <w:rFonts w:cs="Arial"/>
        </w:rPr>
      </w:pPr>
      <w:r w:rsidRPr="00794C0E">
        <w:rPr>
          <w:rFonts w:cs="Arial"/>
          <w:noProof/>
          <w:lang w:val="es-ES_tradnl" w:eastAsia="es-ES_tradnl"/>
        </w:rPr>
        <w:drawing>
          <wp:inline distT="0" distB="0" distL="0" distR="0" wp14:anchorId="3FE31D7E" wp14:editId="06EF49A3">
            <wp:extent cx="4608061" cy="2686050"/>
            <wp:effectExtent l="0" t="0" r="254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11906" cy="2688291"/>
                    </a:xfrm>
                    <a:prstGeom prst="rect">
                      <a:avLst/>
                    </a:prstGeom>
                  </pic:spPr>
                </pic:pic>
              </a:graphicData>
            </a:graphic>
          </wp:inline>
        </w:drawing>
      </w:r>
    </w:p>
    <w:p w:rsidR="00925EA2" w:rsidRPr="00794C0E" w:rsidRDefault="00925EA2" w:rsidP="00925EA2">
      <w:pPr>
        <w:jc w:val="center"/>
        <w:rPr>
          <w:rFonts w:cs="Arial"/>
        </w:rPr>
      </w:pPr>
      <w:r w:rsidRPr="00794C0E">
        <w:rPr>
          <w:rFonts w:cs="Arial"/>
          <w:noProof/>
          <w:lang w:val="es-ES_tradnl" w:eastAsia="es-ES_tradnl"/>
        </w:rPr>
        <w:drawing>
          <wp:inline distT="0" distB="0" distL="0" distR="0" wp14:anchorId="24E8AF82" wp14:editId="0DA1D809">
            <wp:extent cx="4658662" cy="2657475"/>
            <wp:effectExtent l="0" t="0" r="889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72157" cy="2665173"/>
                    </a:xfrm>
                    <a:prstGeom prst="rect">
                      <a:avLst/>
                    </a:prstGeom>
                  </pic:spPr>
                </pic:pic>
              </a:graphicData>
            </a:graphic>
          </wp:inline>
        </w:drawing>
      </w:r>
    </w:p>
    <w:p w:rsidR="00925EA2" w:rsidRPr="00794C0E" w:rsidRDefault="00925EA2" w:rsidP="00925EA2">
      <w:pPr>
        <w:pStyle w:val="ListParagraph"/>
        <w:numPr>
          <w:ilvl w:val="1"/>
          <w:numId w:val="5"/>
        </w:numPr>
        <w:ind w:left="0" w:firstLine="0"/>
        <w:jc w:val="both"/>
        <w:rPr>
          <w:rFonts w:cs="Arial"/>
          <w:bCs/>
          <w:iCs/>
          <w:sz w:val="22"/>
          <w:szCs w:val="22"/>
          <w:lang w:val="es-AR"/>
        </w:rPr>
      </w:pPr>
      <w:r w:rsidRPr="00794C0E">
        <w:rPr>
          <w:rFonts w:cs="Arial"/>
          <w:bCs/>
          <w:iCs/>
          <w:sz w:val="22"/>
          <w:szCs w:val="22"/>
          <w:lang w:val="es-AR"/>
        </w:rPr>
        <w:lastRenderedPageBreak/>
        <w:t>El análisis demuestra que ante 10.000 iteraciones en cambios en las variables, para un nivel de confianza del 95 %, el VAN arroja un intervalo con valores entre U$S 1,39 millones y U$S 5,23 millones. A su vez, para la TIR, los valores de intervalo para el mismo nivel de confianza (95 %), oscila entre el 13,17 % y el 19,95 %.</w:t>
      </w:r>
    </w:p>
    <w:p w:rsidR="003252C2" w:rsidRPr="00794C0E" w:rsidRDefault="003252C2">
      <w:pPr>
        <w:rPr>
          <w:rFonts w:cs="Arial"/>
          <w:b/>
          <w:bCs/>
          <w:sz w:val="22"/>
          <w:szCs w:val="22"/>
          <w:lang w:val="es-AR"/>
        </w:rPr>
      </w:pPr>
    </w:p>
    <w:p w:rsidR="00FF4F77" w:rsidRPr="00794C0E" w:rsidRDefault="00FF4F77" w:rsidP="009D1692">
      <w:pPr>
        <w:jc w:val="both"/>
        <w:rPr>
          <w:rFonts w:cs="Arial"/>
          <w:b/>
          <w:bCs/>
          <w:sz w:val="22"/>
          <w:szCs w:val="22"/>
          <w:lang w:val="es-AR"/>
        </w:rPr>
      </w:pPr>
      <w:r w:rsidRPr="00794C0E">
        <w:rPr>
          <w:rFonts w:cs="Arial"/>
          <w:b/>
          <w:bCs/>
          <w:sz w:val="22"/>
          <w:szCs w:val="22"/>
          <w:lang w:val="es-AR"/>
        </w:rPr>
        <w:t>Es</w:t>
      </w:r>
      <w:r w:rsidR="004F7B12" w:rsidRPr="00794C0E">
        <w:rPr>
          <w:rFonts w:cs="Arial"/>
          <w:b/>
          <w:bCs/>
          <w:sz w:val="22"/>
          <w:szCs w:val="22"/>
          <w:lang w:val="es-AR"/>
        </w:rPr>
        <w:t>tación Transformadora San Agustí</w:t>
      </w:r>
      <w:r w:rsidRPr="00794C0E">
        <w:rPr>
          <w:rFonts w:cs="Arial"/>
          <w:b/>
          <w:bCs/>
          <w:sz w:val="22"/>
          <w:szCs w:val="22"/>
          <w:lang w:val="es-AR"/>
        </w:rPr>
        <w:t>n (ETSA)</w:t>
      </w:r>
    </w:p>
    <w:p w:rsidR="00FF4F77" w:rsidRPr="00794C0E" w:rsidRDefault="00FF4F77" w:rsidP="009D1692">
      <w:pPr>
        <w:pStyle w:val="ListParagraph"/>
        <w:ind w:left="0"/>
        <w:rPr>
          <w:rFonts w:cs="Arial"/>
          <w:b/>
          <w:bCs/>
          <w:sz w:val="22"/>
          <w:szCs w:val="22"/>
          <w:lang w:val="es-AR"/>
        </w:rPr>
      </w:pPr>
    </w:p>
    <w:p w:rsidR="004F7B12" w:rsidRPr="00794C0E" w:rsidRDefault="004F7B12" w:rsidP="003252C2">
      <w:pPr>
        <w:pStyle w:val="ListParagraph"/>
        <w:numPr>
          <w:ilvl w:val="1"/>
          <w:numId w:val="5"/>
        </w:numPr>
        <w:ind w:left="0" w:firstLine="0"/>
        <w:jc w:val="both"/>
        <w:rPr>
          <w:rFonts w:cs="Arial"/>
          <w:sz w:val="22"/>
          <w:szCs w:val="22"/>
          <w:lang w:val="es-AR"/>
        </w:rPr>
      </w:pPr>
      <w:r w:rsidRPr="00794C0E">
        <w:rPr>
          <w:rFonts w:cs="Arial"/>
          <w:sz w:val="22"/>
          <w:szCs w:val="22"/>
          <w:lang w:val="es-AR"/>
        </w:rPr>
        <w:t>Los beneficios surgen de valorizar los incrementos de producción. Como precios de referencia se utilizaron los precios al productor</w:t>
      </w:r>
      <w:r w:rsidR="00CB1BC9" w:rsidRPr="00794C0E">
        <w:rPr>
          <w:rFonts w:cs="Arial"/>
          <w:sz w:val="22"/>
          <w:szCs w:val="22"/>
          <w:lang w:val="es-AR"/>
        </w:rPr>
        <w:t xml:space="preserve"> segú</w:t>
      </w:r>
      <w:r w:rsidRPr="00794C0E">
        <w:rPr>
          <w:rFonts w:cs="Arial"/>
          <w:sz w:val="22"/>
          <w:szCs w:val="22"/>
          <w:lang w:val="es-AR"/>
        </w:rPr>
        <w:t xml:space="preserve">n el siguiente detalle: i) </w:t>
      </w:r>
      <w:r w:rsidRPr="00794C0E">
        <w:rPr>
          <w:rFonts w:cs="Arial"/>
          <w:color w:val="000000"/>
          <w:sz w:val="22"/>
          <w:szCs w:val="22"/>
          <w:lang w:val="es-AR" w:eastAsia="es-ES"/>
        </w:rPr>
        <w:t>Curtido orgánico de cueros: 53,63</w:t>
      </w:r>
      <w:r w:rsidRPr="00794C0E">
        <w:rPr>
          <w:rStyle w:val="FootnoteReference"/>
          <w:rFonts w:cs="Arial"/>
          <w:color w:val="000000"/>
          <w:sz w:val="22"/>
          <w:szCs w:val="22"/>
          <w:lang w:val="es-AR" w:eastAsia="es-ES"/>
        </w:rPr>
        <w:footnoteReference w:id="44"/>
      </w:r>
      <w:r w:rsidRPr="00794C0E">
        <w:rPr>
          <w:rFonts w:cs="Arial"/>
          <w:color w:val="000000"/>
          <w:sz w:val="22"/>
          <w:szCs w:val="22"/>
          <w:lang w:val="es-AR" w:eastAsia="es-ES"/>
        </w:rPr>
        <w:t xml:space="preserve"> U$S; ii) Lácteos: Leche: 0,279</w:t>
      </w:r>
      <w:r w:rsidRPr="00794C0E">
        <w:rPr>
          <w:rStyle w:val="FootnoteReference"/>
          <w:rFonts w:cs="Arial"/>
          <w:color w:val="000000"/>
          <w:sz w:val="22"/>
          <w:szCs w:val="22"/>
          <w:lang w:val="es-AR" w:eastAsia="es-ES"/>
        </w:rPr>
        <w:footnoteReference w:id="45"/>
      </w:r>
      <w:r w:rsidRPr="00794C0E">
        <w:rPr>
          <w:rFonts w:cs="Arial"/>
          <w:color w:val="000000"/>
          <w:sz w:val="22"/>
          <w:szCs w:val="22"/>
          <w:lang w:val="es-AR" w:eastAsia="es-ES"/>
        </w:rPr>
        <w:t xml:space="preserve"> U$S/litro, Yogurt: 0,469</w:t>
      </w:r>
      <w:r w:rsidRPr="00794C0E">
        <w:rPr>
          <w:rStyle w:val="FootnoteReference"/>
          <w:rFonts w:cs="Arial"/>
          <w:color w:val="000000"/>
          <w:sz w:val="22"/>
          <w:szCs w:val="22"/>
          <w:lang w:val="es-AR" w:eastAsia="es-ES"/>
        </w:rPr>
        <w:footnoteReference w:id="46"/>
      </w:r>
      <w:r w:rsidRPr="00794C0E">
        <w:rPr>
          <w:rFonts w:cs="Arial"/>
          <w:color w:val="000000"/>
          <w:sz w:val="22"/>
          <w:szCs w:val="22"/>
          <w:lang w:val="es-AR" w:eastAsia="es-ES"/>
        </w:rPr>
        <w:t xml:space="preserve"> U$S/litro; iii) Tabaco: 1,64</w:t>
      </w:r>
      <w:r w:rsidRPr="00794C0E">
        <w:rPr>
          <w:rStyle w:val="FootnoteReference"/>
          <w:rFonts w:cs="Arial"/>
          <w:color w:val="000000"/>
          <w:sz w:val="22"/>
          <w:szCs w:val="22"/>
          <w:lang w:val="es-AR" w:eastAsia="es-ES"/>
        </w:rPr>
        <w:footnoteReference w:id="47"/>
      </w:r>
      <w:r w:rsidRPr="00794C0E">
        <w:rPr>
          <w:rFonts w:cs="Arial"/>
          <w:color w:val="000000"/>
          <w:sz w:val="22"/>
          <w:szCs w:val="22"/>
          <w:lang w:val="es-AR" w:eastAsia="es-ES"/>
        </w:rPr>
        <w:t xml:space="preserve"> U$S/Kg</w:t>
      </w:r>
    </w:p>
    <w:p w:rsidR="004F7B12" w:rsidRPr="00794C0E" w:rsidRDefault="004F7B12" w:rsidP="009D1692">
      <w:pPr>
        <w:jc w:val="both"/>
        <w:rPr>
          <w:rFonts w:cs="Arial"/>
          <w:b/>
          <w:bCs/>
          <w:sz w:val="22"/>
          <w:szCs w:val="22"/>
          <w:lang w:val="es-AR"/>
        </w:rPr>
      </w:pPr>
    </w:p>
    <w:p w:rsidR="004F7B12" w:rsidRPr="00794C0E" w:rsidRDefault="00CB1BC9" w:rsidP="003252C2">
      <w:pPr>
        <w:pStyle w:val="ListParagraph"/>
        <w:numPr>
          <w:ilvl w:val="1"/>
          <w:numId w:val="5"/>
        </w:numPr>
        <w:ind w:left="0" w:firstLine="0"/>
        <w:jc w:val="both"/>
        <w:rPr>
          <w:rFonts w:cs="Arial"/>
          <w:bCs/>
          <w:sz w:val="22"/>
          <w:szCs w:val="22"/>
          <w:lang w:val="es-AR"/>
        </w:rPr>
      </w:pPr>
      <w:r w:rsidRPr="00794C0E">
        <w:rPr>
          <w:rFonts w:cs="Arial"/>
          <w:bCs/>
          <w:sz w:val="22"/>
          <w:szCs w:val="22"/>
          <w:lang w:val="es-AR"/>
        </w:rPr>
        <w:t>Para el primer año los resultados de la valorización de los beneficios se resumen en la siguiente Tabla, alcanzándose un beneficio de U$S 901,66 millones anuales.</w:t>
      </w:r>
    </w:p>
    <w:p w:rsidR="00C278D7" w:rsidRPr="00794C0E" w:rsidRDefault="003252C2" w:rsidP="00CB1BC9">
      <w:pPr>
        <w:jc w:val="center"/>
        <w:rPr>
          <w:rFonts w:cs="Arial"/>
          <w:b/>
          <w:bCs/>
          <w:lang w:val="es-AR"/>
        </w:rPr>
      </w:pPr>
      <w:r w:rsidRPr="00794C0E">
        <w:rPr>
          <w:rFonts w:cs="Arial"/>
          <w:b/>
          <w:bCs/>
          <w:lang w:val="es-AR"/>
        </w:rPr>
        <w:t xml:space="preserve">Tabla </w:t>
      </w:r>
      <w:r w:rsidR="00EC7B25" w:rsidRPr="00794C0E">
        <w:rPr>
          <w:rFonts w:cs="Arial"/>
          <w:b/>
          <w:bCs/>
          <w:lang w:val="es-AR"/>
        </w:rPr>
        <w:t>12</w:t>
      </w:r>
      <w:r w:rsidRPr="00794C0E">
        <w:rPr>
          <w:rFonts w:cs="Arial"/>
          <w:b/>
          <w:bCs/>
          <w:lang w:val="es-AR"/>
        </w:rPr>
        <w:t>.</w:t>
      </w:r>
      <w:r w:rsidR="00C278D7" w:rsidRPr="00794C0E">
        <w:rPr>
          <w:rFonts w:cs="Arial"/>
          <w:b/>
          <w:bCs/>
          <w:lang w:val="es-AR"/>
        </w:rPr>
        <w:t xml:space="preserve"> </w:t>
      </w:r>
      <w:r w:rsidR="00CB1BC9" w:rsidRPr="00794C0E">
        <w:rPr>
          <w:rFonts w:cs="Arial"/>
          <w:b/>
          <w:bCs/>
          <w:lang w:val="es-AR"/>
        </w:rPr>
        <w:t>Beneficios por la implementación del Proyecto.</w:t>
      </w:r>
    </w:p>
    <w:p w:rsidR="00CB1BC9" w:rsidRPr="00794C0E" w:rsidRDefault="00CB1BC9" w:rsidP="00CB1BC9">
      <w:pPr>
        <w:jc w:val="center"/>
        <w:rPr>
          <w:rFonts w:cs="Arial"/>
          <w:bCs/>
          <w:lang w:val="es-AR"/>
        </w:rPr>
      </w:pPr>
      <w:r w:rsidRPr="00794C0E">
        <w:rPr>
          <w:rFonts w:cs="Arial"/>
          <w:bCs/>
          <w:lang w:val="es-AR"/>
        </w:rPr>
        <w:t xml:space="preserve"> Año 1</w:t>
      </w:r>
    </w:p>
    <w:tbl>
      <w:tblPr>
        <w:tblW w:w="9531" w:type="dxa"/>
        <w:tblInd w:w="55" w:type="dxa"/>
        <w:tblLayout w:type="fixed"/>
        <w:tblCellMar>
          <w:left w:w="70" w:type="dxa"/>
          <w:right w:w="70" w:type="dxa"/>
        </w:tblCellMar>
        <w:tblLook w:val="04A0" w:firstRow="1" w:lastRow="0" w:firstColumn="1" w:lastColumn="0" w:noHBand="0" w:noVBand="1"/>
      </w:tblPr>
      <w:tblGrid>
        <w:gridCol w:w="1144"/>
        <w:gridCol w:w="1278"/>
        <w:gridCol w:w="1421"/>
        <w:gridCol w:w="1269"/>
        <w:gridCol w:w="996"/>
        <w:gridCol w:w="160"/>
        <w:gridCol w:w="691"/>
        <w:gridCol w:w="1296"/>
        <w:gridCol w:w="1276"/>
      </w:tblGrid>
      <w:tr w:rsidR="004F7B12" w:rsidRPr="00794C0E" w:rsidTr="00F06B79">
        <w:trPr>
          <w:trHeight w:val="1290"/>
        </w:trPr>
        <w:tc>
          <w:tcPr>
            <w:tcW w:w="114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Unidad de Medida</w:t>
            </w:r>
          </w:p>
        </w:tc>
        <w:tc>
          <w:tcPr>
            <w:tcW w:w="1278" w:type="dxa"/>
            <w:tcBorders>
              <w:top w:val="single" w:sz="4" w:space="0" w:color="auto"/>
              <w:left w:val="nil"/>
              <w:bottom w:val="single" w:sz="4" w:space="0" w:color="auto"/>
              <w:right w:val="single" w:sz="4" w:space="0" w:color="auto"/>
            </w:tcBorders>
            <w:shd w:val="clear" w:color="000000" w:fill="F2F2F2"/>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Volumen de Producción Anual</w:t>
            </w:r>
          </w:p>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(a)</w:t>
            </w:r>
          </w:p>
        </w:tc>
        <w:tc>
          <w:tcPr>
            <w:tcW w:w="1421" w:type="dxa"/>
            <w:tcBorders>
              <w:top w:val="single" w:sz="4" w:space="0" w:color="auto"/>
              <w:left w:val="nil"/>
              <w:bottom w:val="single" w:sz="4" w:space="0" w:color="auto"/>
              <w:right w:val="single" w:sz="4" w:space="0" w:color="auto"/>
            </w:tcBorders>
            <w:shd w:val="clear" w:color="000000" w:fill="F2F2F2"/>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Con Proyecto (Aumento de Producción) (b)</w:t>
            </w:r>
          </w:p>
        </w:tc>
        <w:tc>
          <w:tcPr>
            <w:tcW w:w="1269" w:type="dxa"/>
            <w:tcBorders>
              <w:top w:val="single" w:sz="4" w:space="0" w:color="auto"/>
              <w:left w:val="nil"/>
              <w:bottom w:val="single" w:sz="4" w:space="0" w:color="auto"/>
              <w:right w:val="single" w:sz="4" w:space="0" w:color="auto"/>
            </w:tcBorders>
            <w:shd w:val="clear" w:color="000000" w:fill="F2F2F2"/>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Incremento Anual de producción (a)*(b) = c</w:t>
            </w:r>
          </w:p>
        </w:tc>
        <w:tc>
          <w:tcPr>
            <w:tcW w:w="996" w:type="dxa"/>
            <w:tcBorders>
              <w:top w:val="single" w:sz="4" w:space="0" w:color="auto"/>
              <w:left w:val="nil"/>
              <w:bottom w:val="single" w:sz="4" w:space="0" w:color="auto"/>
              <w:right w:val="single" w:sz="4" w:space="0" w:color="000000"/>
            </w:tcBorders>
            <w:shd w:val="clear" w:color="000000" w:fill="F2F2F2"/>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Cantidad</w:t>
            </w:r>
          </w:p>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(d)</w:t>
            </w:r>
          </w:p>
        </w:tc>
        <w:tc>
          <w:tcPr>
            <w:tcW w:w="851" w:type="dxa"/>
            <w:gridSpan w:val="2"/>
            <w:tcBorders>
              <w:top w:val="single" w:sz="4" w:space="0" w:color="auto"/>
              <w:left w:val="nil"/>
              <w:bottom w:val="single" w:sz="4" w:space="0" w:color="auto"/>
              <w:right w:val="single" w:sz="4" w:space="0" w:color="auto"/>
            </w:tcBorders>
            <w:shd w:val="clear" w:color="000000" w:fill="F2F2F2"/>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 xml:space="preserve">U$S </w:t>
            </w:r>
          </w:p>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(kg y litro)</w:t>
            </w:r>
            <w:r w:rsidRPr="00794C0E">
              <w:rPr>
                <w:rFonts w:cs="Arial"/>
                <w:b/>
                <w:bCs/>
                <w:color w:val="000000"/>
                <w:lang w:val="es-ES" w:eastAsia="es-ES"/>
              </w:rPr>
              <w:br/>
              <w:t>( e )</w:t>
            </w:r>
          </w:p>
        </w:tc>
        <w:tc>
          <w:tcPr>
            <w:tcW w:w="1296" w:type="dxa"/>
            <w:tcBorders>
              <w:top w:val="single" w:sz="4" w:space="0" w:color="auto"/>
              <w:left w:val="nil"/>
              <w:bottom w:val="single" w:sz="4" w:space="0" w:color="auto"/>
              <w:right w:val="single" w:sz="4" w:space="0" w:color="auto"/>
            </w:tcBorders>
            <w:shd w:val="clear" w:color="000000" w:fill="F2F2F2"/>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Conversión (d*e)=f</w:t>
            </w:r>
          </w:p>
        </w:tc>
        <w:tc>
          <w:tcPr>
            <w:tcW w:w="1276" w:type="dxa"/>
            <w:tcBorders>
              <w:top w:val="single" w:sz="4" w:space="0" w:color="auto"/>
              <w:left w:val="nil"/>
              <w:bottom w:val="single" w:sz="4" w:space="0" w:color="auto"/>
              <w:right w:val="single" w:sz="4" w:space="0" w:color="auto"/>
            </w:tcBorders>
            <w:shd w:val="clear" w:color="000000" w:fill="F2F2F2"/>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Beneficio Anual en U$D</w:t>
            </w:r>
            <w:r w:rsidRPr="00794C0E">
              <w:rPr>
                <w:rFonts w:cs="Arial"/>
                <w:b/>
                <w:bCs/>
                <w:color w:val="000000"/>
                <w:lang w:val="es-ES" w:eastAsia="es-ES"/>
              </w:rPr>
              <w:br/>
              <w:t>(c*f)</w:t>
            </w:r>
          </w:p>
        </w:tc>
      </w:tr>
      <w:tr w:rsidR="004F7B12" w:rsidRPr="00794C0E" w:rsidTr="00F06B79">
        <w:trPr>
          <w:trHeight w:val="300"/>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4F7B12" w:rsidRPr="00794C0E" w:rsidRDefault="004F7B12" w:rsidP="00F06B79">
            <w:pPr>
              <w:jc w:val="center"/>
              <w:rPr>
                <w:rFonts w:cs="Arial"/>
                <w:color w:val="000000"/>
                <w:lang w:val="es-ES" w:eastAsia="es-ES"/>
              </w:rPr>
            </w:pPr>
            <w:r w:rsidRPr="00794C0E">
              <w:rPr>
                <w:rFonts w:cs="Arial"/>
                <w:color w:val="000000"/>
                <w:lang w:val="es-ES" w:eastAsia="es-ES"/>
              </w:rPr>
              <w:t>Vaquetas</w:t>
            </w:r>
          </w:p>
        </w:tc>
        <w:tc>
          <w:tcPr>
            <w:tcW w:w="1278" w:type="dxa"/>
            <w:tcBorders>
              <w:top w:val="nil"/>
              <w:left w:val="nil"/>
              <w:bottom w:val="single" w:sz="4" w:space="0" w:color="auto"/>
              <w:right w:val="single" w:sz="4" w:space="0" w:color="auto"/>
            </w:tcBorders>
            <w:shd w:val="clear" w:color="auto" w:fill="auto"/>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12.000</w:t>
            </w:r>
          </w:p>
        </w:tc>
        <w:tc>
          <w:tcPr>
            <w:tcW w:w="1421" w:type="dxa"/>
            <w:tcBorders>
              <w:top w:val="nil"/>
              <w:left w:val="nil"/>
              <w:bottom w:val="single" w:sz="4" w:space="0" w:color="auto"/>
              <w:right w:val="single" w:sz="4" w:space="0" w:color="auto"/>
            </w:tcBorders>
            <w:shd w:val="clear" w:color="auto" w:fill="auto"/>
            <w:vAlign w:val="center"/>
            <w:hideMark/>
          </w:tcPr>
          <w:p w:rsidR="004F7B12" w:rsidRPr="00794C0E" w:rsidRDefault="004F7B12" w:rsidP="00F06B79">
            <w:pPr>
              <w:jc w:val="center"/>
              <w:rPr>
                <w:rFonts w:cs="Arial"/>
                <w:color w:val="000000"/>
                <w:lang w:val="es-ES" w:eastAsia="es-ES"/>
              </w:rPr>
            </w:pPr>
            <w:r w:rsidRPr="00794C0E">
              <w:rPr>
                <w:rFonts w:cs="Arial"/>
                <w:color w:val="000000"/>
                <w:lang w:val="es-ES" w:eastAsia="es-ES"/>
              </w:rPr>
              <w:t>15%</w:t>
            </w:r>
          </w:p>
        </w:tc>
        <w:tc>
          <w:tcPr>
            <w:tcW w:w="1269" w:type="dxa"/>
            <w:tcBorders>
              <w:top w:val="nil"/>
              <w:left w:val="nil"/>
              <w:bottom w:val="single" w:sz="4" w:space="0" w:color="auto"/>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1.800</w:t>
            </w:r>
          </w:p>
        </w:tc>
        <w:tc>
          <w:tcPr>
            <w:tcW w:w="996" w:type="dxa"/>
            <w:tcBorders>
              <w:top w:val="nil"/>
              <w:left w:val="nil"/>
              <w:bottom w:val="single" w:sz="4" w:space="0" w:color="auto"/>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1,00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55,63</w:t>
            </w:r>
          </w:p>
        </w:tc>
        <w:tc>
          <w:tcPr>
            <w:tcW w:w="1296" w:type="dxa"/>
            <w:tcBorders>
              <w:top w:val="nil"/>
              <w:left w:val="nil"/>
              <w:bottom w:val="single" w:sz="4" w:space="0" w:color="auto"/>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55,63</w:t>
            </w:r>
          </w:p>
        </w:tc>
        <w:tc>
          <w:tcPr>
            <w:tcW w:w="1276" w:type="dxa"/>
            <w:tcBorders>
              <w:top w:val="nil"/>
              <w:left w:val="nil"/>
              <w:bottom w:val="single" w:sz="4" w:space="0" w:color="auto"/>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100.134</w:t>
            </w:r>
          </w:p>
        </w:tc>
      </w:tr>
      <w:tr w:rsidR="004F7B12" w:rsidRPr="00794C0E" w:rsidTr="00F06B79">
        <w:trPr>
          <w:trHeight w:val="300"/>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4F7B12" w:rsidRPr="00794C0E" w:rsidRDefault="004F7B12" w:rsidP="00F06B79">
            <w:pPr>
              <w:jc w:val="center"/>
              <w:rPr>
                <w:rFonts w:cs="Arial"/>
                <w:color w:val="000000"/>
                <w:lang w:val="es-ES" w:eastAsia="es-ES"/>
              </w:rPr>
            </w:pPr>
            <w:r w:rsidRPr="00794C0E">
              <w:rPr>
                <w:rFonts w:cs="Arial"/>
                <w:color w:val="000000"/>
                <w:lang w:val="es-ES" w:eastAsia="es-ES"/>
              </w:rPr>
              <w:t>Litros</w:t>
            </w:r>
          </w:p>
        </w:tc>
        <w:tc>
          <w:tcPr>
            <w:tcW w:w="1278" w:type="dxa"/>
            <w:tcBorders>
              <w:top w:val="nil"/>
              <w:left w:val="nil"/>
              <w:bottom w:val="single" w:sz="4" w:space="0" w:color="auto"/>
              <w:right w:val="single" w:sz="4" w:space="0" w:color="auto"/>
            </w:tcBorders>
            <w:shd w:val="clear" w:color="auto" w:fill="auto"/>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6.000</w:t>
            </w:r>
          </w:p>
        </w:tc>
        <w:tc>
          <w:tcPr>
            <w:tcW w:w="1421" w:type="dxa"/>
            <w:vMerge w:val="restart"/>
            <w:tcBorders>
              <w:top w:val="nil"/>
              <w:left w:val="single" w:sz="4" w:space="0" w:color="auto"/>
              <w:bottom w:val="single" w:sz="4" w:space="0" w:color="auto"/>
              <w:right w:val="single" w:sz="4" w:space="0" w:color="auto"/>
            </w:tcBorders>
            <w:shd w:val="clear" w:color="auto" w:fill="auto"/>
            <w:vAlign w:val="center"/>
            <w:hideMark/>
          </w:tcPr>
          <w:p w:rsidR="004F7B12" w:rsidRPr="00794C0E" w:rsidRDefault="004F7B12" w:rsidP="00F06B79">
            <w:pPr>
              <w:jc w:val="center"/>
              <w:rPr>
                <w:rFonts w:cs="Arial"/>
                <w:color w:val="000000"/>
                <w:lang w:val="es-ES" w:eastAsia="es-ES"/>
              </w:rPr>
            </w:pPr>
            <w:r w:rsidRPr="00794C0E">
              <w:rPr>
                <w:rFonts w:cs="Arial"/>
                <w:color w:val="000000"/>
                <w:lang w:val="es-ES" w:eastAsia="es-ES"/>
              </w:rPr>
              <w:t>25%</w:t>
            </w:r>
          </w:p>
        </w:tc>
        <w:tc>
          <w:tcPr>
            <w:tcW w:w="1269" w:type="dxa"/>
            <w:tcBorders>
              <w:top w:val="nil"/>
              <w:left w:val="nil"/>
              <w:bottom w:val="single" w:sz="4" w:space="0" w:color="auto"/>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1.500</w:t>
            </w:r>
          </w:p>
        </w:tc>
        <w:tc>
          <w:tcPr>
            <w:tcW w:w="996" w:type="dxa"/>
            <w:tcBorders>
              <w:top w:val="nil"/>
              <w:left w:val="nil"/>
              <w:bottom w:val="single" w:sz="4" w:space="0" w:color="auto"/>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1,00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0,28</w:t>
            </w:r>
          </w:p>
        </w:tc>
        <w:tc>
          <w:tcPr>
            <w:tcW w:w="1296" w:type="dxa"/>
            <w:tcBorders>
              <w:top w:val="nil"/>
              <w:left w:val="nil"/>
              <w:bottom w:val="single" w:sz="4" w:space="0" w:color="auto"/>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0,28</w:t>
            </w:r>
          </w:p>
        </w:tc>
        <w:tc>
          <w:tcPr>
            <w:tcW w:w="1276" w:type="dxa"/>
            <w:tcBorders>
              <w:top w:val="nil"/>
              <w:left w:val="nil"/>
              <w:bottom w:val="single" w:sz="4" w:space="0" w:color="auto"/>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419</w:t>
            </w:r>
          </w:p>
        </w:tc>
      </w:tr>
      <w:tr w:rsidR="004F7B12" w:rsidRPr="00794C0E" w:rsidTr="00F06B79">
        <w:trPr>
          <w:trHeight w:val="300"/>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4F7B12" w:rsidRPr="00794C0E" w:rsidRDefault="004F7B12" w:rsidP="00F06B79">
            <w:pPr>
              <w:jc w:val="center"/>
              <w:rPr>
                <w:rFonts w:cs="Arial"/>
                <w:color w:val="000000"/>
                <w:lang w:val="es-ES" w:eastAsia="es-ES"/>
              </w:rPr>
            </w:pPr>
            <w:r w:rsidRPr="00794C0E">
              <w:rPr>
                <w:rFonts w:cs="Arial"/>
                <w:color w:val="000000"/>
                <w:lang w:val="es-ES" w:eastAsia="es-ES"/>
              </w:rPr>
              <w:t>Litros</w:t>
            </w:r>
          </w:p>
        </w:tc>
        <w:tc>
          <w:tcPr>
            <w:tcW w:w="1278" w:type="dxa"/>
            <w:tcBorders>
              <w:top w:val="nil"/>
              <w:left w:val="nil"/>
              <w:bottom w:val="single" w:sz="4" w:space="0" w:color="auto"/>
              <w:right w:val="single" w:sz="4" w:space="0" w:color="auto"/>
            </w:tcBorders>
            <w:shd w:val="clear" w:color="auto" w:fill="auto"/>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715.253</w:t>
            </w:r>
          </w:p>
        </w:tc>
        <w:tc>
          <w:tcPr>
            <w:tcW w:w="1421" w:type="dxa"/>
            <w:vMerge/>
            <w:tcBorders>
              <w:top w:val="nil"/>
              <w:left w:val="single" w:sz="4" w:space="0" w:color="auto"/>
              <w:bottom w:val="single" w:sz="4" w:space="0" w:color="auto"/>
              <w:right w:val="single" w:sz="4" w:space="0" w:color="auto"/>
            </w:tcBorders>
            <w:vAlign w:val="center"/>
            <w:hideMark/>
          </w:tcPr>
          <w:p w:rsidR="004F7B12" w:rsidRPr="00794C0E" w:rsidRDefault="004F7B12" w:rsidP="00F06B79">
            <w:pPr>
              <w:rPr>
                <w:rFonts w:cs="Arial"/>
                <w:color w:val="000000"/>
                <w:lang w:val="es-ES" w:eastAsia="es-ES"/>
              </w:rPr>
            </w:pPr>
          </w:p>
        </w:tc>
        <w:tc>
          <w:tcPr>
            <w:tcW w:w="1269" w:type="dxa"/>
            <w:tcBorders>
              <w:top w:val="nil"/>
              <w:left w:val="nil"/>
              <w:bottom w:val="single" w:sz="4" w:space="0" w:color="auto"/>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178.813</w:t>
            </w:r>
          </w:p>
        </w:tc>
        <w:tc>
          <w:tcPr>
            <w:tcW w:w="996" w:type="dxa"/>
            <w:tcBorders>
              <w:top w:val="nil"/>
              <w:left w:val="nil"/>
              <w:bottom w:val="single" w:sz="4" w:space="0" w:color="auto"/>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1,00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0,47</w:t>
            </w:r>
          </w:p>
        </w:tc>
        <w:tc>
          <w:tcPr>
            <w:tcW w:w="1296" w:type="dxa"/>
            <w:tcBorders>
              <w:top w:val="nil"/>
              <w:left w:val="nil"/>
              <w:bottom w:val="single" w:sz="4" w:space="0" w:color="auto"/>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0,47</w:t>
            </w:r>
          </w:p>
        </w:tc>
        <w:tc>
          <w:tcPr>
            <w:tcW w:w="1276" w:type="dxa"/>
            <w:tcBorders>
              <w:top w:val="nil"/>
              <w:left w:val="nil"/>
              <w:bottom w:val="single" w:sz="4" w:space="0" w:color="auto"/>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75.423</w:t>
            </w:r>
          </w:p>
        </w:tc>
      </w:tr>
      <w:tr w:rsidR="004F7B12" w:rsidRPr="00794C0E" w:rsidTr="00F06B79">
        <w:trPr>
          <w:trHeight w:val="300"/>
        </w:trPr>
        <w:tc>
          <w:tcPr>
            <w:tcW w:w="1144" w:type="dxa"/>
            <w:tcBorders>
              <w:top w:val="nil"/>
              <w:left w:val="single" w:sz="4" w:space="0" w:color="auto"/>
              <w:bottom w:val="single" w:sz="4" w:space="0" w:color="auto"/>
              <w:right w:val="single" w:sz="4" w:space="0" w:color="auto"/>
            </w:tcBorders>
            <w:shd w:val="clear" w:color="auto" w:fill="auto"/>
            <w:vAlign w:val="center"/>
            <w:hideMark/>
          </w:tcPr>
          <w:p w:rsidR="004F7B12" w:rsidRPr="00794C0E" w:rsidRDefault="004F7B12" w:rsidP="00F06B79">
            <w:pPr>
              <w:jc w:val="center"/>
              <w:rPr>
                <w:rFonts w:cs="Arial"/>
                <w:color w:val="000000"/>
                <w:lang w:val="es-ES" w:eastAsia="es-ES"/>
              </w:rPr>
            </w:pPr>
            <w:r w:rsidRPr="00794C0E">
              <w:rPr>
                <w:rFonts w:cs="Arial"/>
                <w:color w:val="000000"/>
                <w:lang w:val="es-ES" w:eastAsia="es-ES"/>
              </w:rPr>
              <w:t>Toneladas</w:t>
            </w:r>
          </w:p>
        </w:tc>
        <w:tc>
          <w:tcPr>
            <w:tcW w:w="1278" w:type="dxa"/>
            <w:tcBorders>
              <w:top w:val="nil"/>
              <w:left w:val="nil"/>
              <w:bottom w:val="single" w:sz="4" w:space="0" w:color="auto"/>
              <w:right w:val="single" w:sz="4" w:space="0" w:color="auto"/>
            </w:tcBorders>
            <w:shd w:val="clear" w:color="auto" w:fill="auto"/>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4.980</w:t>
            </w:r>
          </w:p>
        </w:tc>
        <w:tc>
          <w:tcPr>
            <w:tcW w:w="1421" w:type="dxa"/>
            <w:tcBorders>
              <w:top w:val="nil"/>
              <w:left w:val="nil"/>
              <w:bottom w:val="single" w:sz="4" w:space="0" w:color="auto"/>
              <w:right w:val="single" w:sz="4" w:space="0" w:color="auto"/>
            </w:tcBorders>
            <w:shd w:val="clear" w:color="auto" w:fill="auto"/>
            <w:vAlign w:val="center"/>
            <w:hideMark/>
          </w:tcPr>
          <w:p w:rsidR="004F7B12" w:rsidRPr="00794C0E" w:rsidRDefault="004F7B12" w:rsidP="00F06B79">
            <w:pPr>
              <w:jc w:val="center"/>
              <w:rPr>
                <w:rFonts w:cs="Arial"/>
                <w:color w:val="000000"/>
                <w:lang w:val="es-ES" w:eastAsia="es-ES"/>
              </w:rPr>
            </w:pPr>
            <w:r w:rsidRPr="00794C0E">
              <w:rPr>
                <w:rFonts w:cs="Arial"/>
                <w:color w:val="000000"/>
                <w:lang w:val="es-ES" w:eastAsia="es-ES"/>
              </w:rPr>
              <w:t>20%</w:t>
            </w:r>
          </w:p>
        </w:tc>
        <w:tc>
          <w:tcPr>
            <w:tcW w:w="1269" w:type="dxa"/>
            <w:tcBorders>
              <w:top w:val="nil"/>
              <w:left w:val="nil"/>
              <w:bottom w:val="single" w:sz="4" w:space="0" w:color="auto"/>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827</w:t>
            </w:r>
          </w:p>
        </w:tc>
        <w:tc>
          <w:tcPr>
            <w:tcW w:w="996" w:type="dxa"/>
            <w:tcBorders>
              <w:top w:val="nil"/>
              <w:left w:val="nil"/>
              <w:bottom w:val="single" w:sz="4" w:space="0" w:color="auto"/>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1.000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0,47</w:t>
            </w:r>
          </w:p>
        </w:tc>
        <w:tc>
          <w:tcPr>
            <w:tcW w:w="1296" w:type="dxa"/>
            <w:tcBorders>
              <w:top w:val="nil"/>
              <w:left w:val="nil"/>
              <w:bottom w:val="single" w:sz="4" w:space="0" w:color="auto"/>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468,67</w:t>
            </w:r>
          </w:p>
        </w:tc>
        <w:tc>
          <w:tcPr>
            <w:tcW w:w="1276" w:type="dxa"/>
            <w:tcBorders>
              <w:top w:val="nil"/>
              <w:left w:val="nil"/>
              <w:bottom w:val="single" w:sz="4" w:space="0" w:color="auto"/>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348.694</w:t>
            </w:r>
          </w:p>
        </w:tc>
      </w:tr>
      <w:tr w:rsidR="004F7B12" w:rsidRPr="00794C0E" w:rsidTr="00F06B79">
        <w:trPr>
          <w:trHeight w:val="300"/>
        </w:trPr>
        <w:tc>
          <w:tcPr>
            <w:tcW w:w="1144" w:type="dxa"/>
            <w:vMerge w:val="restart"/>
            <w:tcBorders>
              <w:top w:val="nil"/>
              <w:left w:val="single" w:sz="4" w:space="0" w:color="auto"/>
              <w:bottom w:val="single" w:sz="4" w:space="0" w:color="auto"/>
              <w:right w:val="single" w:sz="4" w:space="0" w:color="auto"/>
            </w:tcBorders>
            <w:shd w:val="clear" w:color="auto" w:fill="auto"/>
            <w:vAlign w:val="center"/>
            <w:hideMark/>
          </w:tcPr>
          <w:p w:rsidR="004F7B12" w:rsidRPr="00794C0E" w:rsidRDefault="004F7B12" w:rsidP="00F06B79">
            <w:pPr>
              <w:jc w:val="center"/>
              <w:rPr>
                <w:rFonts w:cs="Arial"/>
                <w:color w:val="000000"/>
                <w:lang w:val="es-ES" w:eastAsia="es-ES"/>
              </w:rPr>
            </w:pPr>
            <w:r w:rsidRPr="00794C0E">
              <w:rPr>
                <w:rFonts w:cs="Arial"/>
                <w:color w:val="000000"/>
                <w:lang w:val="es-ES" w:eastAsia="es-ES"/>
              </w:rPr>
              <w:t>Kg</w:t>
            </w:r>
          </w:p>
        </w:tc>
        <w:tc>
          <w:tcPr>
            <w:tcW w:w="1278" w:type="dxa"/>
            <w:tcBorders>
              <w:top w:val="nil"/>
              <w:left w:val="nil"/>
              <w:bottom w:val="single" w:sz="4" w:space="0" w:color="auto"/>
              <w:right w:val="single" w:sz="4" w:space="0" w:color="auto"/>
            </w:tcBorders>
            <w:shd w:val="clear" w:color="auto" w:fill="auto"/>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9.665</w:t>
            </w:r>
          </w:p>
        </w:tc>
        <w:tc>
          <w:tcPr>
            <w:tcW w:w="1421" w:type="dxa"/>
            <w:vMerge w:val="restart"/>
            <w:tcBorders>
              <w:top w:val="nil"/>
              <w:left w:val="single" w:sz="4" w:space="0" w:color="auto"/>
              <w:bottom w:val="single" w:sz="4" w:space="0" w:color="auto"/>
              <w:right w:val="single" w:sz="4" w:space="0" w:color="auto"/>
            </w:tcBorders>
            <w:shd w:val="clear" w:color="auto" w:fill="auto"/>
            <w:vAlign w:val="center"/>
            <w:hideMark/>
          </w:tcPr>
          <w:p w:rsidR="004F7B12" w:rsidRPr="00794C0E" w:rsidRDefault="004F7B12" w:rsidP="00F06B79">
            <w:pPr>
              <w:jc w:val="center"/>
              <w:rPr>
                <w:rFonts w:cs="Arial"/>
                <w:color w:val="000000"/>
                <w:lang w:val="es-ES" w:eastAsia="es-ES"/>
              </w:rPr>
            </w:pPr>
            <w:r w:rsidRPr="00794C0E">
              <w:rPr>
                <w:rFonts w:cs="Arial"/>
                <w:color w:val="000000"/>
                <w:lang w:val="es-ES" w:eastAsia="es-ES"/>
              </w:rPr>
              <w:t>25%</w:t>
            </w:r>
          </w:p>
        </w:tc>
        <w:tc>
          <w:tcPr>
            <w:tcW w:w="12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84.569</w:t>
            </w:r>
          </w:p>
        </w:tc>
        <w:tc>
          <w:tcPr>
            <w:tcW w:w="9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1</w:t>
            </w:r>
          </w:p>
        </w:tc>
        <w:tc>
          <w:tcPr>
            <w:tcW w:w="85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1,65</w:t>
            </w:r>
          </w:p>
        </w:tc>
        <w:tc>
          <w:tcPr>
            <w:tcW w:w="12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1,65</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139.482</w:t>
            </w:r>
          </w:p>
        </w:tc>
      </w:tr>
      <w:tr w:rsidR="004F7B12" w:rsidRPr="00794C0E" w:rsidTr="00F06B79">
        <w:trPr>
          <w:trHeight w:val="300"/>
        </w:trPr>
        <w:tc>
          <w:tcPr>
            <w:tcW w:w="1144" w:type="dxa"/>
            <w:vMerge/>
            <w:tcBorders>
              <w:top w:val="nil"/>
              <w:left w:val="single" w:sz="4" w:space="0" w:color="auto"/>
              <w:bottom w:val="single" w:sz="4" w:space="0" w:color="auto"/>
              <w:right w:val="single" w:sz="4" w:space="0" w:color="auto"/>
            </w:tcBorders>
            <w:vAlign w:val="center"/>
            <w:hideMark/>
          </w:tcPr>
          <w:p w:rsidR="004F7B12" w:rsidRPr="00794C0E" w:rsidRDefault="004F7B12" w:rsidP="00F06B79">
            <w:pPr>
              <w:rPr>
                <w:rFonts w:cs="Arial"/>
                <w:color w:val="000000"/>
                <w:lang w:val="es-ES" w:eastAsia="es-ES"/>
              </w:rPr>
            </w:pPr>
          </w:p>
        </w:tc>
        <w:tc>
          <w:tcPr>
            <w:tcW w:w="1278" w:type="dxa"/>
            <w:tcBorders>
              <w:top w:val="nil"/>
              <w:left w:val="nil"/>
              <w:bottom w:val="single" w:sz="4" w:space="0" w:color="auto"/>
              <w:right w:val="single" w:sz="4" w:space="0" w:color="auto"/>
            </w:tcBorders>
            <w:shd w:val="clear" w:color="auto" w:fill="auto"/>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154.640</w:t>
            </w:r>
          </w:p>
        </w:tc>
        <w:tc>
          <w:tcPr>
            <w:tcW w:w="1421" w:type="dxa"/>
            <w:vMerge/>
            <w:tcBorders>
              <w:top w:val="nil"/>
              <w:left w:val="single" w:sz="4" w:space="0" w:color="auto"/>
              <w:bottom w:val="single" w:sz="4" w:space="0" w:color="auto"/>
              <w:right w:val="single" w:sz="4" w:space="0" w:color="auto"/>
            </w:tcBorders>
            <w:vAlign w:val="center"/>
            <w:hideMark/>
          </w:tcPr>
          <w:p w:rsidR="004F7B12" w:rsidRPr="00794C0E" w:rsidRDefault="004F7B12" w:rsidP="00F06B79">
            <w:pPr>
              <w:rPr>
                <w:rFonts w:cs="Arial"/>
                <w:color w:val="000000"/>
                <w:lang w:val="es-ES" w:eastAsia="es-ES"/>
              </w:rPr>
            </w:pPr>
          </w:p>
        </w:tc>
        <w:tc>
          <w:tcPr>
            <w:tcW w:w="1269" w:type="dxa"/>
            <w:vMerge/>
            <w:tcBorders>
              <w:top w:val="nil"/>
              <w:left w:val="single" w:sz="4" w:space="0" w:color="auto"/>
              <w:bottom w:val="single" w:sz="4" w:space="0" w:color="auto"/>
              <w:right w:val="single" w:sz="4" w:space="0" w:color="auto"/>
            </w:tcBorders>
            <w:vAlign w:val="center"/>
            <w:hideMark/>
          </w:tcPr>
          <w:p w:rsidR="004F7B12" w:rsidRPr="00794C0E" w:rsidRDefault="004F7B12" w:rsidP="00F06B79">
            <w:pPr>
              <w:rPr>
                <w:rFonts w:cs="Arial"/>
                <w:b/>
                <w:bCs/>
                <w:color w:val="000000"/>
                <w:lang w:val="es-ES" w:eastAsia="es-ES"/>
              </w:rPr>
            </w:pPr>
          </w:p>
        </w:tc>
        <w:tc>
          <w:tcPr>
            <w:tcW w:w="996" w:type="dxa"/>
            <w:vMerge/>
            <w:tcBorders>
              <w:top w:val="nil"/>
              <w:left w:val="single" w:sz="4" w:space="0" w:color="auto"/>
              <w:bottom w:val="single" w:sz="4" w:space="0" w:color="auto"/>
              <w:right w:val="single" w:sz="4" w:space="0" w:color="auto"/>
            </w:tcBorders>
            <w:vAlign w:val="center"/>
            <w:hideMark/>
          </w:tcPr>
          <w:p w:rsidR="004F7B12" w:rsidRPr="00794C0E" w:rsidRDefault="004F7B12" w:rsidP="00F06B79">
            <w:pPr>
              <w:rPr>
                <w:rFonts w:cs="Arial"/>
                <w:b/>
                <w:bCs/>
                <w:color w:val="000000"/>
                <w:lang w:val="es-ES" w:eastAsia="es-ES"/>
              </w:rPr>
            </w:pPr>
          </w:p>
        </w:tc>
        <w:tc>
          <w:tcPr>
            <w:tcW w:w="851" w:type="dxa"/>
            <w:gridSpan w:val="2"/>
            <w:vMerge/>
            <w:tcBorders>
              <w:top w:val="nil"/>
              <w:left w:val="single" w:sz="4" w:space="0" w:color="auto"/>
              <w:bottom w:val="single" w:sz="4" w:space="0" w:color="auto"/>
              <w:right w:val="single" w:sz="4" w:space="0" w:color="auto"/>
            </w:tcBorders>
            <w:vAlign w:val="center"/>
            <w:hideMark/>
          </w:tcPr>
          <w:p w:rsidR="004F7B12" w:rsidRPr="00794C0E" w:rsidRDefault="004F7B12" w:rsidP="00F06B79">
            <w:pPr>
              <w:rPr>
                <w:rFonts w:cs="Arial"/>
                <w:b/>
                <w:bCs/>
                <w:color w:val="000000"/>
                <w:lang w:val="es-ES" w:eastAsia="es-ES"/>
              </w:rPr>
            </w:pPr>
          </w:p>
        </w:tc>
        <w:tc>
          <w:tcPr>
            <w:tcW w:w="1296" w:type="dxa"/>
            <w:vMerge/>
            <w:tcBorders>
              <w:top w:val="nil"/>
              <w:left w:val="single" w:sz="4" w:space="0" w:color="auto"/>
              <w:bottom w:val="single" w:sz="4" w:space="0" w:color="auto"/>
              <w:right w:val="single" w:sz="4" w:space="0" w:color="auto"/>
            </w:tcBorders>
            <w:vAlign w:val="center"/>
            <w:hideMark/>
          </w:tcPr>
          <w:p w:rsidR="004F7B12" w:rsidRPr="00794C0E" w:rsidRDefault="004F7B12" w:rsidP="00F06B79">
            <w:pPr>
              <w:rPr>
                <w:rFonts w:cs="Arial"/>
                <w:b/>
                <w:bCs/>
                <w:color w:val="000000"/>
                <w:lang w:val="es-ES" w:eastAsia="es-ES"/>
              </w:rPr>
            </w:pPr>
          </w:p>
        </w:tc>
        <w:tc>
          <w:tcPr>
            <w:tcW w:w="1276" w:type="dxa"/>
            <w:vMerge/>
            <w:tcBorders>
              <w:top w:val="nil"/>
              <w:left w:val="single" w:sz="4" w:space="0" w:color="auto"/>
              <w:bottom w:val="single" w:sz="4" w:space="0" w:color="auto"/>
              <w:right w:val="single" w:sz="4" w:space="0" w:color="auto"/>
            </w:tcBorders>
            <w:vAlign w:val="center"/>
            <w:hideMark/>
          </w:tcPr>
          <w:p w:rsidR="004F7B12" w:rsidRPr="00794C0E" w:rsidRDefault="004F7B12" w:rsidP="00F06B79">
            <w:pPr>
              <w:rPr>
                <w:rFonts w:cs="Arial"/>
                <w:b/>
                <w:bCs/>
                <w:color w:val="000000"/>
                <w:lang w:val="es-ES" w:eastAsia="es-ES"/>
              </w:rPr>
            </w:pPr>
          </w:p>
        </w:tc>
      </w:tr>
      <w:tr w:rsidR="004F7B12" w:rsidRPr="00794C0E" w:rsidTr="00F06B79">
        <w:trPr>
          <w:trHeight w:val="300"/>
        </w:trPr>
        <w:tc>
          <w:tcPr>
            <w:tcW w:w="1144" w:type="dxa"/>
            <w:vMerge/>
            <w:tcBorders>
              <w:top w:val="nil"/>
              <w:left w:val="single" w:sz="4" w:space="0" w:color="auto"/>
              <w:bottom w:val="single" w:sz="4" w:space="0" w:color="auto"/>
              <w:right w:val="single" w:sz="4" w:space="0" w:color="auto"/>
            </w:tcBorders>
            <w:vAlign w:val="center"/>
            <w:hideMark/>
          </w:tcPr>
          <w:p w:rsidR="004F7B12" w:rsidRPr="00794C0E" w:rsidRDefault="004F7B12" w:rsidP="00F06B79">
            <w:pPr>
              <w:rPr>
                <w:rFonts w:cs="Arial"/>
                <w:color w:val="000000"/>
                <w:lang w:val="es-ES" w:eastAsia="es-ES"/>
              </w:rPr>
            </w:pPr>
          </w:p>
        </w:tc>
        <w:tc>
          <w:tcPr>
            <w:tcW w:w="1278" w:type="dxa"/>
            <w:tcBorders>
              <w:top w:val="nil"/>
              <w:left w:val="nil"/>
              <w:bottom w:val="single" w:sz="4" w:space="0" w:color="auto"/>
              <w:right w:val="single" w:sz="4" w:space="0" w:color="auto"/>
            </w:tcBorders>
            <w:shd w:val="clear" w:color="auto" w:fill="auto"/>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57.990</w:t>
            </w:r>
          </w:p>
        </w:tc>
        <w:tc>
          <w:tcPr>
            <w:tcW w:w="1421" w:type="dxa"/>
            <w:vMerge/>
            <w:tcBorders>
              <w:top w:val="nil"/>
              <w:left w:val="single" w:sz="4" w:space="0" w:color="auto"/>
              <w:bottom w:val="single" w:sz="4" w:space="0" w:color="auto"/>
              <w:right w:val="single" w:sz="4" w:space="0" w:color="auto"/>
            </w:tcBorders>
            <w:vAlign w:val="center"/>
            <w:hideMark/>
          </w:tcPr>
          <w:p w:rsidR="004F7B12" w:rsidRPr="00794C0E" w:rsidRDefault="004F7B12" w:rsidP="00F06B79">
            <w:pPr>
              <w:rPr>
                <w:rFonts w:cs="Arial"/>
                <w:color w:val="000000"/>
                <w:lang w:val="es-ES" w:eastAsia="es-ES"/>
              </w:rPr>
            </w:pPr>
          </w:p>
        </w:tc>
        <w:tc>
          <w:tcPr>
            <w:tcW w:w="1269" w:type="dxa"/>
            <w:vMerge/>
            <w:tcBorders>
              <w:top w:val="nil"/>
              <w:left w:val="single" w:sz="4" w:space="0" w:color="auto"/>
              <w:bottom w:val="single" w:sz="4" w:space="0" w:color="auto"/>
              <w:right w:val="single" w:sz="4" w:space="0" w:color="auto"/>
            </w:tcBorders>
            <w:vAlign w:val="center"/>
            <w:hideMark/>
          </w:tcPr>
          <w:p w:rsidR="004F7B12" w:rsidRPr="00794C0E" w:rsidRDefault="004F7B12" w:rsidP="00F06B79">
            <w:pPr>
              <w:rPr>
                <w:rFonts w:cs="Arial"/>
                <w:b/>
                <w:bCs/>
                <w:color w:val="000000"/>
                <w:lang w:val="es-ES" w:eastAsia="es-ES"/>
              </w:rPr>
            </w:pPr>
          </w:p>
        </w:tc>
        <w:tc>
          <w:tcPr>
            <w:tcW w:w="996" w:type="dxa"/>
            <w:vMerge/>
            <w:tcBorders>
              <w:top w:val="nil"/>
              <w:left w:val="single" w:sz="4" w:space="0" w:color="auto"/>
              <w:bottom w:val="single" w:sz="4" w:space="0" w:color="auto"/>
              <w:right w:val="single" w:sz="4" w:space="0" w:color="auto"/>
            </w:tcBorders>
            <w:vAlign w:val="center"/>
            <w:hideMark/>
          </w:tcPr>
          <w:p w:rsidR="004F7B12" w:rsidRPr="00794C0E" w:rsidRDefault="004F7B12" w:rsidP="00F06B79">
            <w:pPr>
              <w:rPr>
                <w:rFonts w:cs="Arial"/>
                <w:b/>
                <w:bCs/>
                <w:color w:val="000000"/>
                <w:lang w:val="es-ES" w:eastAsia="es-ES"/>
              </w:rPr>
            </w:pPr>
          </w:p>
        </w:tc>
        <w:tc>
          <w:tcPr>
            <w:tcW w:w="851" w:type="dxa"/>
            <w:gridSpan w:val="2"/>
            <w:vMerge/>
            <w:tcBorders>
              <w:top w:val="nil"/>
              <w:left w:val="single" w:sz="4" w:space="0" w:color="auto"/>
              <w:bottom w:val="single" w:sz="4" w:space="0" w:color="auto"/>
              <w:right w:val="single" w:sz="4" w:space="0" w:color="auto"/>
            </w:tcBorders>
            <w:vAlign w:val="center"/>
            <w:hideMark/>
          </w:tcPr>
          <w:p w:rsidR="004F7B12" w:rsidRPr="00794C0E" w:rsidRDefault="004F7B12" w:rsidP="00F06B79">
            <w:pPr>
              <w:rPr>
                <w:rFonts w:cs="Arial"/>
                <w:b/>
                <w:bCs/>
                <w:color w:val="000000"/>
                <w:lang w:val="es-ES" w:eastAsia="es-ES"/>
              </w:rPr>
            </w:pPr>
          </w:p>
        </w:tc>
        <w:tc>
          <w:tcPr>
            <w:tcW w:w="1296" w:type="dxa"/>
            <w:vMerge/>
            <w:tcBorders>
              <w:top w:val="nil"/>
              <w:left w:val="single" w:sz="4" w:space="0" w:color="auto"/>
              <w:bottom w:val="single" w:sz="4" w:space="0" w:color="auto"/>
              <w:right w:val="single" w:sz="4" w:space="0" w:color="auto"/>
            </w:tcBorders>
            <w:vAlign w:val="center"/>
            <w:hideMark/>
          </w:tcPr>
          <w:p w:rsidR="004F7B12" w:rsidRPr="00794C0E" w:rsidRDefault="004F7B12" w:rsidP="00F06B79">
            <w:pPr>
              <w:rPr>
                <w:rFonts w:cs="Arial"/>
                <w:b/>
                <w:bCs/>
                <w:color w:val="000000"/>
                <w:lang w:val="es-ES" w:eastAsia="es-ES"/>
              </w:rPr>
            </w:pPr>
          </w:p>
        </w:tc>
        <w:tc>
          <w:tcPr>
            <w:tcW w:w="1276" w:type="dxa"/>
            <w:vMerge/>
            <w:tcBorders>
              <w:top w:val="nil"/>
              <w:left w:val="single" w:sz="4" w:space="0" w:color="auto"/>
              <w:bottom w:val="single" w:sz="4" w:space="0" w:color="auto"/>
              <w:right w:val="single" w:sz="4" w:space="0" w:color="auto"/>
            </w:tcBorders>
            <w:vAlign w:val="center"/>
            <w:hideMark/>
          </w:tcPr>
          <w:p w:rsidR="004F7B12" w:rsidRPr="00794C0E" w:rsidRDefault="004F7B12" w:rsidP="00F06B79">
            <w:pPr>
              <w:rPr>
                <w:rFonts w:cs="Arial"/>
                <w:b/>
                <w:bCs/>
                <w:color w:val="000000"/>
                <w:lang w:val="es-ES" w:eastAsia="es-ES"/>
              </w:rPr>
            </w:pPr>
          </w:p>
        </w:tc>
      </w:tr>
      <w:tr w:rsidR="004F7B12" w:rsidRPr="00794C0E" w:rsidTr="00F06B79">
        <w:trPr>
          <w:trHeight w:val="300"/>
        </w:trPr>
        <w:tc>
          <w:tcPr>
            <w:tcW w:w="1144" w:type="dxa"/>
            <w:vMerge/>
            <w:tcBorders>
              <w:top w:val="nil"/>
              <w:left w:val="single" w:sz="4" w:space="0" w:color="auto"/>
              <w:bottom w:val="single" w:sz="4" w:space="0" w:color="auto"/>
              <w:right w:val="single" w:sz="4" w:space="0" w:color="auto"/>
            </w:tcBorders>
            <w:vAlign w:val="center"/>
            <w:hideMark/>
          </w:tcPr>
          <w:p w:rsidR="004F7B12" w:rsidRPr="00794C0E" w:rsidRDefault="004F7B12" w:rsidP="00F06B79">
            <w:pPr>
              <w:rPr>
                <w:rFonts w:cs="Arial"/>
                <w:color w:val="000000"/>
                <w:lang w:val="es-ES" w:eastAsia="es-ES"/>
              </w:rPr>
            </w:pPr>
          </w:p>
        </w:tc>
        <w:tc>
          <w:tcPr>
            <w:tcW w:w="1278" w:type="dxa"/>
            <w:tcBorders>
              <w:top w:val="nil"/>
              <w:left w:val="nil"/>
              <w:bottom w:val="single" w:sz="4" w:space="0" w:color="auto"/>
              <w:right w:val="single" w:sz="4" w:space="0" w:color="auto"/>
            </w:tcBorders>
            <w:shd w:val="clear" w:color="auto" w:fill="auto"/>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115.980</w:t>
            </w:r>
          </w:p>
        </w:tc>
        <w:tc>
          <w:tcPr>
            <w:tcW w:w="1421" w:type="dxa"/>
            <w:vMerge/>
            <w:tcBorders>
              <w:top w:val="nil"/>
              <w:left w:val="single" w:sz="4" w:space="0" w:color="auto"/>
              <w:bottom w:val="single" w:sz="4" w:space="0" w:color="auto"/>
              <w:right w:val="single" w:sz="4" w:space="0" w:color="auto"/>
            </w:tcBorders>
            <w:vAlign w:val="center"/>
            <w:hideMark/>
          </w:tcPr>
          <w:p w:rsidR="004F7B12" w:rsidRPr="00794C0E" w:rsidRDefault="004F7B12" w:rsidP="00F06B79">
            <w:pPr>
              <w:rPr>
                <w:rFonts w:cs="Arial"/>
                <w:color w:val="000000"/>
                <w:lang w:val="es-ES" w:eastAsia="es-ES"/>
              </w:rPr>
            </w:pPr>
          </w:p>
        </w:tc>
        <w:tc>
          <w:tcPr>
            <w:tcW w:w="1269" w:type="dxa"/>
            <w:vMerge/>
            <w:tcBorders>
              <w:top w:val="nil"/>
              <w:left w:val="single" w:sz="4" w:space="0" w:color="auto"/>
              <w:bottom w:val="single" w:sz="4" w:space="0" w:color="auto"/>
              <w:right w:val="single" w:sz="4" w:space="0" w:color="auto"/>
            </w:tcBorders>
            <w:vAlign w:val="center"/>
            <w:hideMark/>
          </w:tcPr>
          <w:p w:rsidR="004F7B12" w:rsidRPr="00794C0E" w:rsidRDefault="004F7B12" w:rsidP="00F06B79">
            <w:pPr>
              <w:rPr>
                <w:rFonts w:cs="Arial"/>
                <w:b/>
                <w:bCs/>
                <w:color w:val="000000"/>
                <w:lang w:val="es-ES" w:eastAsia="es-ES"/>
              </w:rPr>
            </w:pPr>
          </w:p>
        </w:tc>
        <w:tc>
          <w:tcPr>
            <w:tcW w:w="996" w:type="dxa"/>
            <w:vMerge/>
            <w:tcBorders>
              <w:top w:val="nil"/>
              <w:left w:val="single" w:sz="4" w:space="0" w:color="auto"/>
              <w:bottom w:val="single" w:sz="4" w:space="0" w:color="auto"/>
              <w:right w:val="single" w:sz="4" w:space="0" w:color="auto"/>
            </w:tcBorders>
            <w:vAlign w:val="center"/>
            <w:hideMark/>
          </w:tcPr>
          <w:p w:rsidR="004F7B12" w:rsidRPr="00794C0E" w:rsidRDefault="004F7B12" w:rsidP="00F06B79">
            <w:pPr>
              <w:rPr>
                <w:rFonts w:cs="Arial"/>
                <w:b/>
                <w:bCs/>
                <w:color w:val="000000"/>
                <w:lang w:val="es-ES" w:eastAsia="es-ES"/>
              </w:rPr>
            </w:pPr>
          </w:p>
        </w:tc>
        <w:tc>
          <w:tcPr>
            <w:tcW w:w="851" w:type="dxa"/>
            <w:gridSpan w:val="2"/>
            <w:vMerge/>
            <w:tcBorders>
              <w:top w:val="nil"/>
              <w:left w:val="single" w:sz="4" w:space="0" w:color="auto"/>
              <w:bottom w:val="single" w:sz="4" w:space="0" w:color="auto"/>
              <w:right w:val="single" w:sz="4" w:space="0" w:color="auto"/>
            </w:tcBorders>
            <w:vAlign w:val="center"/>
            <w:hideMark/>
          </w:tcPr>
          <w:p w:rsidR="004F7B12" w:rsidRPr="00794C0E" w:rsidRDefault="004F7B12" w:rsidP="00F06B79">
            <w:pPr>
              <w:rPr>
                <w:rFonts w:cs="Arial"/>
                <w:b/>
                <w:bCs/>
                <w:color w:val="000000"/>
                <w:lang w:val="es-ES" w:eastAsia="es-ES"/>
              </w:rPr>
            </w:pPr>
          </w:p>
        </w:tc>
        <w:tc>
          <w:tcPr>
            <w:tcW w:w="1296" w:type="dxa"/>
            <w:vMerge/>
            <w:tcBorders>
              <w:top w:val="nil"/>
              <w:left w:val="single" w:sz="4" w:space="0" w:color="auto"/>
              <w:bottom w:val="single" w:sz="4" w:space="0" w:color="auto"/>
              <w:right w:val="single" w:sz="4" w:space="0" w:color="auto"/>
            </w:tcBorders>
            <w:vAlign w:val="center"/>
            <w:hideMark/>
          </w:tcPr>
          <w:p w:rsidR="004F7B12" w:rsidRPr="00794C0E" w:rsidRDefault="004F7B12" w:rsidP="00F06B79">
            <w:pPr>
              <w:rPr>
                <w:rFonts w:cs="Arial"/>
                <w:b/>
                <w:bCs/>
                <w:color w:val="000000"/>
                <w:lang w:val="es-ES" w:eastAsia="es-ES"/>
              </w:rPr>
            </w:pPr>
          </w:p>
        </w:tc>
        <w:tc>
          <w:tcPr>
            <w:tcW w:w="1276" w:type="dxa"/>
            <w:vMerge/>
            <w:tcBorders>
              <w:top w:val="nil"/>
              <w:left w:val="single" w:sz="4" w:space="0" w:color="auto"/>
              <w:bottom w:val="single" w:sz="4" w:space="0" w:color="auto"/>
              <w:right w:val="single" w:sz="4" w:space="0" w:color="auto"/>
            </w:tcBorders>
            <w:vAlign w:val="center"/>
            <w:hideMark/>
          </w:tcPr>
          <w:p w:rsidR="004F7B12" w:rsidRPr="00794C0E" w:rsidRDefault="004F7B12" w:rsidP="00F06B79">
            <w:pPr>
              <w:rPr>
                <w:rFonts w:cs="Arial"/>
                <w:b/>
                <w:bCs/>
                <w:color w:val="000000"/>
                <w:lang w:val="es-ES" w:eastAsia="es-ES"/>
              </w:rPr>
            </w:pPr>
          </w:p>
        </w:tc>
      </w:tr>
      <w:tr w:rsidR="004F7B12" w:rsidRPr="00794C0E" w:rsidTr="00F06B79">
        <w:trPr>
          <w:trHeight w:val="600"/>
        </w:trPr>
        <w:tc>
          <w:tcPr>
            <w:tcW w:w="1144" w:type="dxa"/>
            <w:tcBorders>
              <w:top w:val="nil"/>
              <w:left w:val="single" w:sz="4" w:space="0" w:color="auto"/>
              <w:bottom w:val="nil"/>
              <w:right w:val="single" w:sz="4" w:space="0" w:color="auto"/>
            </w:tcBorders>
            <w:shd w:val="clear" w:color="auto" w:fill="auto"/>
            <w:vAlign w:val="center"/>
            <w:hideMark/>
          </w:tcPr>
          <w:p w:rsidR="004F7B12" w:rsidRPr="00794C0E" w:rsidRDefault="004F7B12" w:rsidP="00F06B79">
            <w:pPr>
              <w:jc w:val="center"/>
              <w:rPr>
                <w:rFonts w:cs="Arial"/>
                <w:color w:val="000000"/>
                <w:lang w:val="es-ES" w:eastAsia="es-ES"/>
              </w:rPr>
            </w:pPr>
            <w:r w:rsidRPr="00794C0E">
              <w:rPr>
                <w:rFonts w:cs="Arial"/>
                <w:color w:val="000000"/>
                <w:lang w:val="es-ES" w:eastAsia="es-ES"/>
              </w:rPr>
              <w:t>Kg</w:t>
            </w:r>
          </w:p>
        </w:tc>
        <w:tc>
          <w:tcPr>
            <w:tcW w:w="1278" w:type="dxa"/>
            <w:tcBorders>
              <w:top w:val="nil"/>
              <w:left w:val="nil"/>
              <w:bottom w:val="nil"/>
              <w:right w:val="single" w:sz="4" w:space="0" w:color="auto"/>
            </w:tcBorders>
            <w:shd w:val="clear" w:color="auto" w:fill="auto"/>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480.000</w:t>
            </w:r>
          </w:p>
        </w:tc>
        <w:tc>
          <w:tcPr>
            <w:tcW w:w="1421" w:type="dxa"/>
            <w:tcBorders>
              <w:top w:val="nil"/>
              <w:left w:val="nil"/>
              <w:bottom w:val="nil"/>
              <w:right w:val="single" w:sz="4" w:space="0" w:color="auto"/>
            </w:tcBorders>
            <w:shd w:val="clear" w:color="auto" w:fill="auto"/>
            <w:vAlign w:val="center"/>
            <w:hideMark/>
          </w:tcPr>
          <w:p w:rsidR="004F7B12" w:rsidRPr="00794C0E" w:rsidRDefault="004F7B12" w:rsidP="00F06B79">
            <w:pPr>
              <w:jc w:val="center"/>
              <w:rPr>
                <w:rFonts w:cs="Arial"/>
                <w:color w:val="000000"/>
                <w:lang w:val="es-ES" w:eastAsia="es-ES"/>
              </w:rPr>
            </w:pPr>
            <w:r w:rsidRPr="00794C0E">
              <w:rPr>
                <w:rFonts w:cs="Arial"/>
                <w:color w:val="000000"/>
                <w:lang w:val="es-ES" w:eastAsia="es-ES"/>
              </w:rPr>
              <w:t>30%</w:t>
            </w:r>
          </w:p>
        </w:tc>
        <w:tc>
          <w:tcPr>
            <w:tcW w:w="1269" w:type="dxa"/>
            <w:tcBorders>
              <w:top w:val="nil"/>
              <w:left w:val="nil"/>
              <w:bottom w:val="nil"/>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144.000</w:t>
            </w:r>
          </w:p>
        </w:tc>
        <w:tc>
          <w:tcPr>
            <w:tcW w:w="996" w:type="dxa"/>
            <w:tcBorders>
              <w:top w:val="nil"/>
              <w:left w:val="nil"/>
              <w:bottom w:val="nil"/>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1</w:t>
            </w:r>
          </w:p>
        </w:tc>
        <w:tc>
          <w:tcPr>
            <w:tcW w:w="851" w:type="dxa"/>
            <w:gridSpan w:val="2"/>
            <w:tcBorders>
              <w:top w:val="nil"/>
              <w:left w:val="nil"/>
              <w:bottom w:val="nil"/>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1,65</w:t>
            </w:r>
          </w:p>
        </w:tc>
        <w:tc>
          <w:tcPr>
            <w:tcW w:w="1296" w:type="dxa"/>
            <w:tcBorders>
              <w:top w:val="nil"/>
              <w:left w:val="nil"/>
              <w:bottom w:val="nil"/>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1,65</w:t>
            </w:r>
          </w:p>
        </w:tc>
        <w:tc>
          <w:tcPr>
            <w:tcW w:w="1276" w:type="dxa"/>
            <w:tcBorders>
              <w:top w:val="nil"/>
              <w:left w:val="nil"/>
              <w:bottom w:val="nil"/>
              <w:right w:val="single" w:sz="4" w:space="0" w:color="auto"/>
            </w:tcBorders>
            <w:shd w:val="clear" w:color="auto" w:fill="auto"/>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237.504</w:t>
            </w:r>
          </w:p>
        </w:tc>
      </w:tr>
      <w:tr w:rsidR="004F7B12" w:rsidRPr="00794C0E" w:rsidTr="00F06B79">
        <w:trPr>
          <w:trHeight w:val="510"/>
        </w:trPr>
        <w:tc>
          <w:tcPr>
            <w:tcW w:w="2422" w:type="dxa"/>
            <w:gridSpan w:val="2"/>
            <w:tcBorders>
              <w:top w:val="single" w:sz="4" w:space="0" w:color="auto"/>
              <w:left w:val="single" w:sz="4" w:space="0" w:color="auto"/>
              <w:bottom w:val="single" w:sz="4" w:space="0" w:color="auto"/>
              <w:right w:val="nil"/>
            </w:tcBorders>
            <w:shd w:val="clear" w:color="000000" w:fill="F2F2F2"/>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Beneficio Anual</w:t>
            </w:r>
          </w:p>
          <w:p w:rsidR="004F7B12" w:rsidRPr="00794C0E" w:rsidRDefault="004F7B12" w:rsidP="00F06B79">
            <w:pPr>
              <w:rPr>
                <w:rFonts w:cs="Arial"/>
                <w:b/>
                <w:bCs/>
                <w:color w:val="000000"/>
                <w:lang w:val="es-ES" w:eastAsia="es-ES"/>
              </w:rPr>
            </w:pPr>
            <w:r w:rsidRPr="00794C0E">
              <w:rPr>
                <w:rFonts w:cs="Arial"/>
                <w:b/>
                <w:bCs/>
                <w:color w:val="000000"/>
                <w:lang w:val="es-ES" w:eastAsia="es-ES"/>
              </w:rPr>
              <w:t> </w:t>
            </w:r>
          </w:p>
        </w:tc>
        <w:tc>
          <w:tcPr>
            <w:tcW w:w="1421" w:type="dxa"/>
            <w:tcBorders>
              <w:top w:val="single" w:sz="4" w:space="0" w:color="auto"/>
              <w:left w:val="nil"/>
              <w:bottom w:val="single" w:sz="4" w:space="0" w:color="auto"/>
              <w:right w:val="nil"/>
            </w:tcBorders>
            <w:shd w:val="clear" w:color="000000" w:fill="F2F2F2"/>
            <w:noWrap/>
            <w:vAlign w:val="bottom"/>
            <w:hideMark/>
          </w:tcPr>
          <w:p w:rsidR="004F7B12" w:rsidRPr="00794C0E" w:rsidRDefault="004F7B12" w:rsidP="00F06B79">
            <w:pPr>
              <w:rPr>
                <w:rFonts w:cs="Arial"/>
                <w:b/>
                <w:bCs/>
                <w:color w:val="000000"/>
                <w:lang w:val="es-ES" w:eastAsia="es-ES"/>
              </w:rPr>
            </w:pPr>
            <w:r w:rsidRPr="00794C0E">
              <w:rPr>
                <w:rFonts w:cs="Arial"/>
                <w:b/>
                <w:bCs/>
                <w:color w:val="000000"/>
                <w:lang w:val="es-ES" w:eastAsia="es-ES"/>
              </w:rPr>
              <w:t> </w:t>
            </w:r>
          </w:p>
        </w:tc>
        <w:tc>
          <w:tcPr>
            <w:tcW w:w="1269" w:type="dxa"/>
            <w:tcBorders>
              <w:top w:val="single" w:sz="4" w:space="0" w:color="auto"/>
              <w:left w:val="nil"/>
              <w:bottom w:val="single" w:sz="4" w:space="0" w:color="auto"/>
              <w:right w:val="nil"/>
            </w:tcBorders>
            <w:shd w:val="clear" w:color="000000" w:fill="F2F2F2"/>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 </w:t>
            </w:r>
          </w:p>
        </w:tc>
        <w:tc>
          <w:tcPr>
            <w:tcW w:w="996" w:type="dxa"/>
            <w:tcBorders>
              <w:top w:val="single" w:sz="4" w:space="0" w:color="auto"/>
              <w:left w:val="nil"/>
              <w:bottom w:val="single" w:sz="4" w:space="0" w:color="auto"/>
              <w:right w:val="nil"/>
            </w:tcBorders>
            <w:shd w:val="clear" w:color="000000" w:fill="F2F2F2"/>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 </w:t>
            </w:r>
          </w:p>
        </w:tc>
        <w:tc>
          <w:tcPr>
            <w:tcW w:w="160" w:type="dxa"/>
            <w:tcBorders>
              <w:top w:val="single" w:sz="4" w:space="0" w:color="auto"/>
              <w:left w:val="nil"/>
              <w:bottom w:val="single" w:sz="4" w:space="0" w:color="auto"/>
              <w:right w:val="nil"/>
            </w:tcBorders>
            <w:shd w:val="clear" w:color="000000" w:fill="F2F2F2"/>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 </w:t>
            </w:r>
          </w:p>
        </w:tc>
        <w:tc>
          <w:tcPr>
            <w:tcW w:w="691" w:type="dxa"/>
            <w:tcBorders>
              <w:top w:val="single" w:sz="4" w:space="0" w:color="auto"/>
              <w:left w:val="nil"/>
              <w:bottom w:val="single" w:sz="4" w:space="0" w:color="auto"/>
              <w:right w:val="nil"/>
            </w:tcBorders>
            <w:shd w:val="clear" w:color="000000" w:fill="F2F2F2"/>
            <w:noWrap/>
            <w:vAlign w:val="center"/>
            <w:hideMark/>
          </w:tcPr>
          <w:p w:rsidR="004F7B12" w:rsidRPr="00794C0E" w:rsidRDefault="004F7B12" w:rsidP="00F06B79">
            <w:pPr>
              <w:jc w:val="center"/>
              <w:rPr>
                <w:rFonts w:cs="Arial"/>
                <w:b/>
                <w:bCs/>
                <w:color w:val="000000"/>
                <w:lang w:val="es-ES" w:eastAsia="es-ES"/>
              </w:rPr>
            </w:pPr>
            <w:r w:rsidRPr="00794C0E">
              <w:rPr>
                <w:rFonts w:cs="Arial"/>
                <w:b/>
                <w:bCs/>
                <w:color w:val="000000"/>
                <w:lang w:val="es-ES" w:eastAsia="es-ES"/>
              </w:rPr>
              <w:t> </w:t>
            </w:r>
          </w:p>
        </w:tc>
        <w:tc>
          <w:tcPr>
            <w:tcW w:w="1296" w:type="dxa"/>
            <w:tcBorders>
              <w:top w:val="single" w:sz="4" w:space="0" w:color="auto"/>
              <w:left w:val="nil"/>
              <w:bottom w:val="single" w:sz="4" w:space="0" w:color="auto"/>
              <w:right w:val="nil"/>
            </w:tcBorders>
            <w:shd w:val="clear" w:color="000000" w:fill="F2F2F2"/>
            <w:noWrap/>
            <w:vAlign w:val="bottom"/>
            <w:hideMark/>
          </w:tcPr>
          <w:p w:rsidR="004F7B12" w:rsidRPr="00794C0E" w:rsidRDefault="004F7B12" w:rsidP="00F06B79">
            <w:pPr>
              <w:rPr>
                <w:rFonts w:cs="Arial"/>
                <w:b/>
                <w:bCs/>
                <w:color w:val="000000"/>
                <w:lang w:val="es-ES" w:eastAsia="es-ES"/>
              </w:rPr>
            </w:pPr>
            <w:r w:rsidRPr="00794C0E">
              <w:rPr>
                <w:rFonts w:cs="Arial"/>
                <w:b/>
                <w:bCs/>
                <w:color w:val="000000"/>
                <w:lang w:val="es-ES" w:eastAsia="es-ES"/>
              </w:rPr>
              <w:t> </w:t>
            </w:r>
          </w:p>
        </w:tc>
        <w:tc>
          <w:tcPr>
            <w:tcW w:w="1276" w:type="dxa"/>
            <w:tcBorders>
              <w:top w:val="single" w:sz="4" w:space="0" w:color="auto"/>
              <w:left w:val="nil"/>
              <w:bottom w:val="single" w:sz="4" w:space="0" w:color="auto"/>
              <w:right w:val="single" w:sz="4" w:space="0" w:color="auto"/>
            </w:tcBorders>
            <w:shd w:val="clear" w:color="000000" w:fill="F2F2F2"/>
            <w:noWrap/>
            <w:vAlign w:val="bottom"/>
            <w:hideMark/>
          </w:tcPr>
          <w:p w:rsidR="004F7B12" w:rsidRPr="00794C0E" w:rsidRDefault="004F7B12" w:rsidP="00F06B79">
            <w:pPr>
              <w:rPr>
                <w:rFonts w:cs="Arial"/>
                <w:b/>
                <w:bCs/>
                <w:color w:val="000000"/>
                <w:lang w:val="es-ES" w:eastAsia="es-ES"/>
              </w:rPr>
            </w:pPr>
            <w:r w:rsidRPr="00794C0E">
              <w:rPr>
                <w:rFonts w:cs="Arial"/>
                <w:b/>
                <w:bCs/>
                <w:color w:val="000000"/>
                <w:lang w:val="es-ES" w:eastAsia="es-ES"/>
              </w:rPr>
              <w:t xml:space="preserve">   901.656,54   </w:t>
            </w:r>
          </w:p>
        </w:tc>
      </w:tr>
    </w:tbl>
    <w:p w:rsidR="004F7B12" w:rsidRPr="00794C0E" w:rsidRDefault="00CB1BC9" w:rsidP="004F7B12">
      <w:pPr>
        <w:jc w:val="both"/>
        <w:rPr>
          <w:rFonts w:cs="Arial"/>
          <w:bCs/>
          <w:lang w:val="es-AR"/>
        </w:rPr>
      </w:pPr>
      <w:r w:rsidRPr="00794C0E">
        <w:rPr>
          <w:rFonts w:cs="Arial"/>
          <w:bCs/>
          <w:lang w:val="es-AR"/>
        </w:rPr>
        <w:t>Fuente: Elaboración Propia en base a supuestos y fuentes de información descriptas</w:t>
      </w:r>
    </w:p>
    <w:p w:rsidR="003252C2" w:rsidRPr="00794C0E" w:rsidRDefault="003252C2">
      <w:pPr>
        <w:rPr>
          <w:rFonts w:cs="Arial"/>
          <w:bCs/>
          <w:sz w:val="22"/>
          <w:szCs w:val="22"/>
          <w:lang w:val="es-AR"/>
        </w:rPr>
      </w:pPr>
    </w:p>
    <w:p w:rsidR="00F433CD" w:rsidRPr="00794C0E" w:rsidRDefault="00F433CD" w:rsidP="003252C2">
      <w:pPr>
        <w:pStyle w:val="ListParagraph"/>
        <w:numPr>
          <w:ilvl w:val="1"/>
          <w:numId w:val="5"/>
        </w:numPr>
        <w:ind w:left="0" w:firstLine="0"/>
        <w:jc w:val="both"/>
        <w:rPr>
          <w:rFonts w:cs="Arial"/>
          <w:bCs/>
          <w:sz w:val="22"/>
          <w:szCs w:val="22"/>
          <w:lang w:val="es-AR"/>
        </w:rPr>
      </w:pPr>
      <w:r w:rsidRPr="00794C0E">
        <w:rPr>
          <w:rFonts w:cs="Arial"/>
          <w:bCs/>
          <w:sz w:val="22"/>
          <w:szCs w:val="22"/>
          <w:lang w:val="es-AR"/>
        </w:rPr>
        <w:t>Para las proyecciones de los beneficios para el período bajo análisis se utilizaron las tasas de crecimiento evidenciadas en los últimos años para los sectores involucrados.</w:t>
      </w:r>
      <w:r w:rsidR="00E33D6F" w:rsidRPr="00794C0E">
        <w:rPr>
          <w:rFonts w:cs="Arial"/>
          <w:bCs/>
          <w:sz w:val="22"/>
          <w:szCs w:val="22"/>
          <w:lang w:val="es-AR"/>
        </w:rPr>
        <w:t xml:space="preserve"> </w:t>
      </w:r>
      <w:r w:rsidRPr="00794C0E">
        <w:rPr>
          <w:rFonts w:cs="Arial"/>
          <w:bCs/>
          <w:sz w:val="22"/>
          <w:szCs w:val="22"/>
          <w:lang w:val="es-AR"/>
        </w:rPr>
        <w:t xml:space="preserve">En </w:t>
      </w:r>
      <w:r w:rsidRPr="00794C0E">
        <w:rPr>
          <w:rFonts w:cs="Arial"/>
          <w:bCs/>
          <w:sz w:val="22"/>
          <w:szCs w:val="22"/>
          <w:lang w:val="es-AR"/>
        </w:rPr>
        <w:lastRenderedPageBreak/>
        <w:t xml:space="preserve">promedio, la producción </w:t>
      </w:r>
      <w:r w:rsidR="00E33D6F" w:rsidRPr="00794C0E">
        <w:rPr>
          <w:rFonts w:cs="Arial"/>
          <w:bCs/>
          <w:sz w:val="22"/>
          <w:szCs w:val="22"/>
          <w:lang w:val="es-AR"/>
        </w:rPr>
        <w:t xml:space="preserve">ponderada por cada una de las industrias y el peso relativo de cada una de ellas al total, </w:t>
      </w:r>
      <w:r w:rsidRPr="00794C0E">
        <w:rPr>
          <w:rFonts w:cs="Arial"/>
          <w:bCs/>
          <w:sz w:val="22"/>
          <w:szCs w:val="22"/>
          <w:lang w:val="es-AR"/>
        </w:rPr>
        <w:t xml:space="preserve">creció a </w:t>
      </w:r>
      <w:r w:rsidR="00E33D6F" w:rsidRPr="00794C0E">
        <w:rPr>
          <w:rFonts w:cs="Arial"/>
          <w:bCs/>
          <w:sz w:val="22"/>
          <w:szCs w:val="22"/>
          <w:lang w:val="es-AR"/>
        </w:rPr>
        <w:t>0,042 %</w:t>
      </w:r>
      <w:r w:rsidR="00E33D6F" w:rsidRPr="00794C0E">
        <w:rPr>
          <w:rStyle w:val="FootnoteReference"/>
          <w:rFonts w:cs="Arial"/>
          <w:bCs/>
          <w:sz w:val="22"/>
          <w:szCs w:val="22"/>
          <w:lang w:val="es-AR"/>
        </w:rPr>
        <w:footnoteReference w:id="48"/>
      </w:r>
    </w:p>
    <w:p w:rsidR="00CB1BC9" w:rsidRPr="00794C0E" w:rsidRDefault="00CB1BC9" w:rsidP="00F433CD">
      <w:pPr>
        <w:jc w:val="both"/>
        <w:rPr>
          <w:rFonts w:cs="Arial"/>
          <w:bCs/>
          <w:sz w:val="22"/>
          <w:szCs w:val="22"/>
          <w:lang w:val="es-AR"/>
        </w:rPr>
      </w:pPr>
    </w:p>
    <w:p w:rsidR="00CB1BC9" w:rsidRPr="00794C0E" w:rsidRDefault="00CB1BC9" w:rsidP="0084013F">
      <w:pPr>
        <w:pStyle w:val="ListParagraph"/>
        <w:numPr>
          <w:ilvl w:val="1"/>
          <w:numId w:val="5"/>
        </w:numPr>
        <w:ind w:left="0" w:firstLine="0"/>
        <w:jc w:val="both"/>
        <w:rPr>
          <w:rFonts w:cs="Arial"/>
          <w:bCs/>
          <w:sz w:val="22"/>
          <w:szCs w:val="22"/>
          <w:lang w:val="es-AR"/>
        </w:rPr>
      </w:pPr>
      <w:r w:rsidRPr="00794C0E">
        <w:rPr>
          <w:rFonts w:cs="Arial"/>
          <w:bCs/>
          <w:sz w:val="22"/>
          <w:szCs w:val="22"/>
          <w:lang w:val="es-AR"/>
        </w:rPr>
        <w:t xml:space="preserve">El análisis de rentabilidad del proyecto arroja un </w:t>
      </w:r>
      <w:r w:rsidRPr="00794C0E">
        <w:rPr>
          <w:rFonts w:cs="Arial"/>
          <w:b/>
          <w:bCs/>
          <w:sz w:val="22"/>
          <w:szCs w:val="22"/>
          <w:lang w:val="es-AR"/>
        </w:rPr>
        <w:t>VAN positivo de U$S</w:t>
      </w:r>
      <w:r w:rsidR="00E33D6F" w:rsidRPr="00794C0E">
        <w:rPr>
          <w:rFonts w:cs="Arial"/>
          <w:b/>
          <w:bCs/>
          <w:sz w:val="22"/>
          <w:szCs w:val="22"/>
          <w:lang w:val="es-AR"/>
        </w:rPr>
        <w:t>3.727.111</w:t>
      </w:r>
      <w:r w:rsidRPr="00794C0E">
        <w:rPr>
          <w:rFonts w:cs="Arial"/>
          <w:b/>
          <w:bCs/>
          <w:sz w:val="22"/>
          <w:szCs w:val="22"/>
          <w:lang w:val="es-AR"/>
        </w:rPr>
        <w:t xml:space="preserve"> </w:t>
      </w:r>
      <w:r w:rsidRPr="00794C0E">
        <w:rPr>
          <w:rFonts w:cs="Arial"/>
          <w:bCs/>
          <w:sz w:val="22"/>
          <w:szCs w:val="22"/>
          <w:lang w:val="es-AR"/>
        </w:rPr>
        <w:t xml:space="preserve">y una TIR superior a la tasa de descuento utilizada para descontar el flujo de beneficios netos igual </w:t>
      </w:r>
      <w:r w:rsidRPr="00794C0E">
        <w:rPr>
          <w:rFonts w:cs="Arial"/>
          <w:b/>
          <w:bCs/>
          <w:sz w:val="22"/>
          <w:szCs w:val="22"/>
          <w:lang w:val="es-AR"/>
        </w:rPr>
        <w:t>a</w:t>
      </w:r>
      <w:r w:rsidR="00E33D6F" w:rsidRPr="00794C0E">
        <w:rPr>
          <w:rFonts w:cs="Arial"/>
          <w:b/>
          <w:bCs/>
          <w:sz w:val="22"/>
          <w:szCs w:val="22"/>
          <w:lang w:val="es-AR"/>
        </w:rPr>
        <w:t xml:space="preserve"> 24.37 </w:t>
      </w:r>
      <w:r w:rsidRPr="00794C0E">
        <w:rPr>
          <w:rFonts w:cs="Arial"/>
          <w:b/>
          <w:bCs/>
          <w:sz w:val="22"/>
          <w:szCs w:val="22"/>
          <w:lang w:val="es-AR"/>
        </w:rPr>
        <w:t>%.</w:t>
      </w:r>
    </w:p>
    <w:p w:rsidR="00CB1BC9" w:rsidRPr="00794C0E" w:rsidRDefault="00CB1BC9">
      <w:pPr>
        <w:rPr>
          <w:rFonts w:cs="Arial"/>
          <w:bCs/>
          <w:sz w:val="22"/>
          <w:szCs w:val="22"/>
          <w:lang w:val="es-AR"/>
        </w:rPr>
      </w:pPr>
      <w:r w:rsidRPr="00794C0E">
        <w:rPr>
          <w:rFonts w:cs="Arial"/>
          <w:bCs/>
          <w:sz w:val="22"/>
          <w:szCs w:val="22"/>
          <w:lang w:val="es-AR"/>
        </w:rPr>
        <w:t xml:space="preserve"> </w:t>
      </w:r>
    </w:p>
    <w:p w:rsidR="00CB1BC9" w:rsidRPr="00794C0E" w:rsidRDefault="00CB1BC9" w:rsidP="00CB1BC9">
      <w:pPr>
        <w:jc w:val="center"/>
        <w:rPr>
          <w:rFonts w:cs="Arial"/>
          <w:b/>
          <w:bCs/>
          <w:lang w:val="es-AR"/>
        </w:rPr>
      </w:pPr>
      <w:r w:rsidRPr="00794C0E">
        <w:rPr>
          <w:rFonts w:cs="Arial"/>
          <w:b/>
          <w:bCs/>
          <w:lang w:val="es-AR"/>
        </w:rPr>
        <w:t xml:space="preserve">Tabla </w:t>
      </w:r>
      <w:r w:rsidR="00EC7B25" w:rsidRPr="00794C0E">
        <w:rPr>
          <w:rFonts w:cs="Arial"/>
          <w:b/>
          <w:bCs/>
          <w:lang w:val="es-AR"/>
        </w:rPr>
        <w:t>13</w:t>
      </w:r>
      <w:r w:rsidR="00C278D7" w:rsidRPr="00794C0E">
        <w:rPr>
          <w:rFonts w:cs="Arial"/>
          <w:b/>
          <w:bCs/>
          <w:lang w:val="es-AR"/>
        </w:rPr>
        <w:t xml:space="preserve">. </w:t>
      </w:r>
      <w:r w:rsidRPr="00794C0E">
        <w:rPr>
          <w:rFonts w:cs="Arial"/>
          <w:b/>
          <w:bCs/>
          <w:lang w:val="es-AR"/>
        </w:rPr>
        <w:t>VAN, TIR (ETSA)</w:t>
      </w:r>
    </w:p>
    <w:tbl>
      <w:tblPr>
        <w:tblW w:w="8310" w:type="dxa"/>
        <w:jc w:val="center"/>
        <w:tblInd w:w="55" w:type="dxa"/>
        <w:tblCellMar>
          <w:left w:w="70" w:type="dxa"/>
          <w:right w:w="70" w:type="dxa"/>
        </w:tblCellMar>
        <w:tblLook w:val="04A0" w:firstRow="1" w:lastRow="0" w:firstColumn="1" w:lastColumn="0" w:noHBand="0" w:noVBand="1"/>
      </w:tblPr>
      <w:tblGrid>
        <w:gridCol w:w="760"/>
        <w:gridCol w:w="2119"/>
        <w:gridCol w:w="1887"/>
        <w:gridCol w:w="1560"/>
        <w:gridCol w:w="1984"/>
      </w:tblGrid>
      <w:tr w:rsidR="00E33D6F" w:rsidRPr="00794C0E" w:rsidTr="00F44634">
        <w:trPr>
          <w:trHeight w:val="20"/>
          <w:jc w:val="center"/>
        </w:trPr>
        <w:tc>
          <w:tcPr>
            <w:tcW w:w="7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33D6F" w:rsidRPr="00794C0E" w:rsidRDefault="00E33D6F" w:rsidP="00E33D6F">
            <w:pPr>
              <w:jc w:val="center"/>
              <w:rPr>
                <w:rFonts w:cs="Arial"/>
                <w:b/>
                <w:bCs/>
                <w:color w:val="000000"/>
                <w:lang w:val="es-ES" w:eastAsia="es-ES"/>
              </w:rPr>
            </w:pPr>
            <w:r w:rsidRPr="00794C0E">
              <w:rPr>
                <w:rFonts w:cs="Arial"/>
                <w:b/>
                <w:bCs/>
                <w:color w:val="000000"/>
                <w:lang w:val="es-ES" w:eastAsia="es-ES"/>
              </w:rPr>
              <w:t>Años</w:t>
            </w:r>
          </w:p>
        </w:tc>
        <w:tc>
          <w:tcPr>
            <w:tcW w:w="2119" w:type="dxa"/>
            <w:tcBorders>
              <w:top w:val="single" w:sz="4" w:space="0" w:color="auto"/>
              <w:left w:val="nil"/>
              <w:bottom w:val="single" w:sz="4" w:space="0" w:color="auto"/>
              <w:right w:val="single" w:sz="4" w:space="0" w:color="auto"/>
            </w:tcBorders>
            <w:shd w:val="clear" w:color="000000" w:fill="D9D9D9"/>
            <w:vAlign w:val="center"/>
            <w:hideMark/>
          </w:tcPr>
          <w:p w:rsidR="00E33D6F" w:rsidRPr="00794C0E" w:rsidRDefault="00E33D6F" w:rsidP="00E33D6F">
            <w:pPr>
              <w:jc w:val="center"/>
              <w:rPr>
                <w:rFonts w:cs="Arial"/>
                <w:b/>
                <w:bCs/>
                <w:color w:val="000000"/>
                <w:lang w:val="es-ES" w:eastAsia="es-ES"/>
              </w:rPr>
            </w:pPr>
            <w:r w:rsidRPr="00794C0E">
              <w:rPr>
                <w:rFonts w:cs="Arial"/>
                <w:b/>
                <w:bCs/>
                <w:color w:val="000000"/>
                <w:lang w:val="es-ES" w:eastAsia="es-ES"/>
              </w:rPr>
              <w:t>Inversión</w:t>
            </w:r>
            <w:r w:rsidRPr="00794C0E">
              <w:rPr>
                <w:rFonts w:cs="Arial"/>
                <w:b/>
                <w:bCs/>
                <w:color w:val="000000"/>
                <w:lang w:val="es-ES" w:eastAsia="es-ES"/>
              </w:rPr>
              <w:br/>
              <w:t>(a precios sociales)</w:t>
            </w:r>
          </w:p>
        </w:tc>
        <w:tc>
          <w:tcPr>
            <w:tcW w:w="1887" w:type="dxa"/>
            <w:tcBorders>
              <w:top w:val="single" w:sz="4" w:space="0" w:color="auto"/>
              <w:left w:val="nil"/>
              <w:bottom w:val="single" w:sz="4" w:space="0" w:color="auto"/>
              <w:right w:val="single" w:sz="4" w:space="0" w:color="auto"/>
            </w:tcBorders>
            <w:shd w:val="clear" w:color="000000" w:fill="D9D9D9"/>
            <w:vAlign w:val="center"/>
            <w:hideMark/>
          </w:tcPr>
          <w:p w:rsidR="00E33D6F" w:rsidRPr="00794C0E" w:rsidRDefault="00E33D6F" w:rsidP="00E33D6F">
            <w:pPr>
              <w:jc w:val="center"/>
              <w:rPr>
                <w:rFonts w:cs="Arial"/>
                <w:b/>
                <w:bCs/>
                <w:color w:val="000000"/>
                <w:lang w:val="es-ES" w:eastAsia="es-ES"/>
              </w:rPr>
            </w:pPr>
            <w:r w:rsidRPr="00794C0E">
              <w:rPr>
                <w:rFonts w:cs="Arial"/>
                <w:b/>
                <w:bCs/>
                <w:color w:val="000000"/>
                <w:lang w:val="es-ES" w:eastAsia="es-ES"/>
              </w:rPr>
              <w:t>Mantenimiento y Operación</w:t>
            </w:r>
          </w:p>
        </w:tc>
        <w:tc>
          <w:tcPr>
            <w:tcW w:w="1560" w:type="dxa"/>
            <w:tcBorders>
              <w:top w:val="single" w:sz="4" w:space="0" w:color="auto"/>
              <w:left w:val="nil"/>
              <w:bottom w:val="single" w:sz="4" w:space="0" w:color="auto"/>
              <w:right w:val="single" w:sz="4" w:space="0" w:color="auto"/>
            </w:tcBorders>
            <w:shd w:val="clear" w:color="000000" w:fill="D9D9D9"/>
            <w:vAlign w:val="center"/>
            <w:hideMark/>
          </w:tcPr>
          <w:p w:rsidR="00E33D6F" w:rsidRPr="00794C0E" w:rsidRDefault="00E33D6F" w:rsidP="00E33D6F">
            <w:pPr>
              <w:jc w:val="center"/>
              <w:rPr>
                <w:rFonts w:cs="Arial"/>
                <w:b/>
                <w:bCs/>
                <w:color w:val="000000"/>
                <w:lang w:val="es-ES" w:eastAsia="es-ES"/>
              </w:rPr>
            </w:pPr>
            <w:r w:rsidRPr="00794C0E">
              <w:rPr>
                <w:rFonts w:cs="Arial"/>
                <w:b/>
                <w:bCs/>
                <w:color w:val="000000"/>
                <w:lang w:val="es-ES" w:eastAsia="es-ES"/>
              </w:rPr>
              <w:t>Beneficios</w:t>
            </w:r>
          </w:p>
        </w:tc>
        <w:tc>
          <w:tcPr>
            <w:tcW w:w="1984" w:type="dxa"/>
            <w:tcBorders>
              <w:top w:val="single" w:sz="4" w:space="0" w:color="auto"/>
              <w:left w:val="nil"/>
              <w:bottom w:val="single" w:sz="4" w:space="0" w:color="auto"/>
              <w:right w:val="single" w:sz="4" w:space="0" w:color="auto"/>
            </w:tcBorders>
            <w:shd w:val="clear" w:color="000000" w:fill="D9D9D9"/>
            <w:vAlign w:val="center"/>
            <w:hideMark/>
          </w:tcPr>
          <w:p w:rsidR="00E33D6F" w:rsidRPr="00794C0E" w:rsidRDefault="00E33D6F" w:rsidP="00E33D6F">
            <w:pPr>
              <w:jc w:val="center"/>
              <w:rPr>
                <w:rFonts w:cs="Arial"/>
                <w:b/>
                <w:bCs/>
                <w:color w:val="000000"/>
                <w:lang w:val="es-ES" w:eastAsia="es-ES"/>
              </w:rPr>
            </w:pPr>
            <w:r w:rsidRPr="00794C0E">
              <w:rPr>
                <w:rFonts w:cs="Arial"/>
                <w:b/>
                <w:bCs/>
                <w:color w:val="000000"/>
                <w:lang w:val="es-ES" w:eastAsia="es-ES"/>
              </w:rPr>
              <w:t>Beneficios Netos</w:t>
            </w:r>
          </w:p>
        </w:tc>
      </w:tr>
      <w:tr w:rsidR="00E33D6F" w:rsidRPr="00794C0E" w:rsidTr="00F44634">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0</w:t>
            </w:r>
          </w:p>
        </w:tc>
        <w:tc>
          <w:tcPr>
            <w:tcW w:w="2119"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 xml:space="preserve">1.710.100,0 </w:t>
            </w:r>
          </w:p>
        </w:tc>
        <w:tc>
          <w:tcPr>
            <w:tcW w:w="1887"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rPr>
                <w:rFonts w:cs="Arial"/>
                <w:color w:val="000000"/>
                <w:lang w:val="es-ES" w:eastAsia="es-ES"/>
              </w:rPr>
            </w:pPr>
            <w:r w:rsidRPr="00794C0E">
              <w:rPr>
                <w:rFonts w:cs="Arial"/>
                <w:color w:val="000000"/>
                <w:lang w:val="es-ES" w:eastAsia="es-ES"/>
              </w:rPr>
              <w:t> </w:t>
            </w:r>
          </w:p>
        </w:tc>
        <w:tc>
          <w:tcPr>
            <w:tcW w:w="1560"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rPr>
                <w:rFonts w:cs="Arial"/>
                <w:color w:val="000000"/>
                <w:lang w:val="es-ES" w:eastAsia="es-ES"/>
              </w:rPr>
            </w:pPr>
            <w:r w:rsidRPr="00794C0E">
              <w:rPr>
                <w:rFonts w:cs="Arial"/>
                <w:color w:val="000000"/>
                <w:lang w:val="es-ES" w:eastAsia="es-ES"/>
              </w:rPr>
              <w:t> </w:t>
            </w:r>
          </w:p>
        </w:tc>
        <w:tc>
          <w:tcPr>
            <w:tcW w:w="1984"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-1.710.100,0 </w:t>
            </w:r>
          </w:p>
        </w:tc>
      </w:tr>
      <w:tr w:rsidR="00E33D6F" w:rsidRPr="00794C0E" w:rsidTr="00F44634">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1</w:t>
            </w:r>
          </w:p>
        </w:tc>
        <w:tc>
          <w:tcPr>
            <w:tcW w:w="2119"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 xml:space="preserve">1.710.100,0 </w:t>
            </w:r>
          </w:p>
        </w:tc>
        <w:tc>
          <w:tcPr>
            <w:tcW w:w="1887"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rPr>
                <w:rFonts w:cs="Arial"/>
                <w:color w:val="000000"/>
                <w:lang w:val="es-ES" w:eastAsia="es-ES"/>
              </w:rPr>
            </w:pPr>
            <w:r w:rsidRPr="00794C0E">
              <w:rPr>
                <w:rFonts w:cs="Arial"/>
                <w:color w:val="000000"/>
                <w:lang w:val="es-ES" w:eastAsia="es-ES"/>
              </w:rPr>
              <w:t> </w:t>
            </w:r>
          </w:p>
        </w:tc>
        <w:tc>
          <w:tcPr>
            <w:tcW w:w="1560"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rPr>
                <w:rFonts w:cs="Arial"/>
                <w:color w:val="000000"/>
                <w:lang w:val="es-ES" w:eastAsia="es-ES"/>
              </w:rPr>
            </w:pPr>
            <w:r w:rsidRPr="00794C0E">
              <w:rPr>
                <w:rFonts w:cs="Arial"/>
                <w:color w:val="000000"/>
                <w:lang w:val="es-ES" w:eastAsia="es-ES"/>
              </w:rPr>
              <w:t> </w:t>
            </w:r>
          </w:p>
        </w:tc>
        <w:tc>
          <w:tcPr>
            <w:tcW w:w="1984"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-1.710.100,0 </w:t>
            </w:r>
          </w:p>
        </w:tc>
      </w:tr>
      <w:tr w:rsidR="00E33D6F" w:rsidRPr="00794C0E" w:rsidTr="00F44634">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2</w:t>
            </w:r>
          </w:p>
        </w:tc>
        <w:tc>
          <w:tcPr>
            <w:tcW w:w="2119"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 </w:t>
            </w:r>
          </w:p>
        </w:tc>
        <w:tc>
          <w:tcPr>
            <w:tcW w:w="1887"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135.240,0 </w:t>
            </w:r>
          </w:p>
        </w:tc>
        <w:tc>
          <w:tcPr>
            <w:tcW w:w="1560"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901.656,5 </w:t>
            </w:r>
          </w:p>
        </w:tc>
        <w:tc>
          <w:tcPr>
            <w:tcW w:w="1984"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766.416,5 </w:t>
            </w:r>
          </w:p>
        </w:tc>
      </w:tr>
      <w:tr w:rsidR="00E33D6F" w:rsidRPr="00794C0E" w:rsidTr="00F44634">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3</w:t>
            </w:r>
          </w:p>
        </w:tc>
        <w:tc>
          <w:tcPr>
            <w:tcW w:w="2119"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 </w:t>
            </w:r>
          </w:p>
        </w:tc>
        <w:tc>
          <w:tcPr>
            <w:tcW w:w="1887"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135.240,0 </w:t>
            </w:r>
          </w:p>
        </w:tc>
        <w:tc>
          <w:tcPr>
            <w:tcW w:w="1560"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939.300,7 </w:t>
            </w:r>
          </w:p>
        </w:tc>
        <w:tc>
          <w:tcPr>
            <w:tcW w:w="1984"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804.060,7 </w:t>
            </w:r>
          </w:p>
        </w:tc>
      </w:tr>
      <w:tr w:rsidR="00E33D6F" w:rsidRPr="00794C0E" w:rsidTr="00F44634">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4</w:t>
            </w:r>
          </w:p>
        </w:tc>
        <w:tc>
          <w:tcPr>
            <w:tcW w:w="2119"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 </w:t>
            </w:r>
          </w:p>
        </w:tc>
        <w:tc>
          <w:tcPr>
            <w:tcW w:w="1887"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135.240,0 </w:t>
            </w:r>
          </w:p>
        </w:tc>
        <w:tc>
          <w:tcPr>
            <w:tcW w:w="1560"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978.516,5 </w:t>
            </w:r>
          </w:p>
        </w:tc>
        <w:tc>
          <w:tcPr>
            <w:tcW w:w="1984"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843.276,5 </w:t>
            </w:r>
          </w:p>
        </w:tc>
      </w:tr>
      <w:tr w:rsidR="00E33D6F" w:rsidRPr="00794C0E" w:rsidTr="00F44634">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5</w:t>
            </w:r>
          </w:p>
        </w:tc>
        <w:tc>
          <w:tcPr>
            <w:tcW w:w="2119"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 </w:t>
            </w:r>
          </w:p>
        </w:tc>
        <w:tc>
          <w:tcPr>
            <w:tcW w:w="1887"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135.240,0 </w:t>
            </w:r>
          </w:p>
        </w:tc>
        <w:tc>
          <w:tcPr>
            <w:tcW w:w="1560"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1.019.369,6 </w:t>
            </w:r>
          </w:p>
        </w:tc>
        <w:tc>
          <w:tcPr>
            <w:tcW w:w="1984"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884.129,6 </w:t>
            </w:r>
          </w:p>
        </w:tc>
      </w:tr>
      <w:tr w:rsidR="00E33D6F" w:rsidRPr="00794C0E" w:rsidTr="00F44634">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6</w:t>
            </w:r>
          </w:p>
        </w:tc>
        <w:tc>
          <w:tcPr>
            <w:tcW w:w="2119"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 </w:t>
            </w:r>
          </w:p>
        </w:tc>
        <w:tc>
          <w:tcPr>
            <w:tcW w:w="1887"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135.240,0 </w:t>
            </w:r>
          </w:p>
        </w:tc>
        <w:tc>
          <w:tcPr>
            <w:tcW w:w="1560"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1.061.928,3 </w:t>
            </w:r>
          </w:p>
        </w:tc>
        <w:tc>
          <w:tcPr>
            <w:tcW w:w="1984"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926.688,3 </w:t>
            </w:r>
          </w:p>
        </w:tc>
      </w:tr>
      <w:tr w:rsidR="00E33D6F" w:rsidRPr="00794C0E" w:rsidTr="00F44634">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7</w:t>
            </w:r>
          </w:p>
        </w:tc>
        <w:tc>
          <w:tcPr>
            <w:tcW w:w="2119"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 </w:t>
            </w:r>
          </w:p>
        </w:tc>
        <w:tc>
          <w:tcPr>
            <w:tcW w:w="1887"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135.240,0 </w:t>
            </w:r>
          </w:p>
        </w:tc>
        <w:tc>
          <w:tcPr>
            <w:tcW w:w="1560"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1.106.263,8 </w:t>
            </w:r>
          </w:p>
        </w:tc>
        <w:tc>
          <w:tcPr>
            <w:tcW w:w="1984"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971.023,8 </w:t>
            </w:r>
          </w:p>
        </w:tc>
      </w:tr>
      <w:tr w:rsidR="00E33D6F" w:rsidRPr="00794C0E" w:rsidTr="00F44634">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8</w:t>
            </w:r>
          </w:p>
        </w:tc>
        <w:tc>
          <w:tcPr>
            <w:tcW w:w="2119"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 </w:t>
            </w:r>
          </w:p>
        </w:tc>
        <w:tc>
          <w:tcPr>
            <w:tcW w:w="1887"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135.240,0 </w:t>
            </w:r>
          </w:p>
        </w:tc>
        <w:tc>
          <w:tcPr>
            <w:tcW w:w="1560"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1.152.450,3 </w:t>
            </w:r>
          </w:p>
        </w:tc>
        <w:tc>
          <w:tcPr>
            <w:tcW w:w="1984"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1.017.210,3 </w:t>
            </w:r>
          </w:p>
        </w:tc>
      </w:tr>
      <w:tr w:rsidR="00E33D6F" w:rsidRPr="00794C0E" w:rsidTr="00F44634">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9</w:t>
            </w:r>
          </w:p>
        </w:tc>
        <w:tc>
          <w:tcPr>
            <w:tcW w:w="2119"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 </w:t>
            </w:r>
          </w:p>
        </w:tc>
        <w:tc>
          <w:tcPr>
            <w:tcW w:w="1887"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135.240,0 </w:t>
            </w:r>
          </w:p>
        </w:tc>
        <w:tc>
          <w:tcPr>
            <w:tcW w:w="1560"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1.200.565,1 </w:t>
            </w:r>
          </w:p>
        </w:tc>
        <w:tc>
          <w:tcPr>
            <w:tcW w:w="1984"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1.065.325,1 </w:t>
            </w:r>
          </w:p>
        </w:tc>
      </w:tr>
      <w:tr w:rsidR="00E33D6F" w:rsidRPr="00794C0E" w:rsidTr="00F44634">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10</w:t>
            </w:r>
          </w:p>
        </w:tc>
        <w:tc>
          <w:tcPr>
            <w:tcW w:w="2119"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 </w:t>
            </w:r>
          </w:p>
        </w:tc>
        <w:tc>
          <w:tcPr>
            <w:tcW w:w="1887"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135.240,0 </w:t>
            </w:r>
          </w:p>
        </w:tc>
        <w:tc>
          <w:tcPr>
            <w:tcW w:w="1560"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1.250.688,7 </w:t>
            </w:r>
          </w:p>
        </w:tc>
        <w:tc>
          <w:tcPr>
            <w:tcW w:w="1984"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1.115.448,7 </w:t>
            </w:r>
          </w:p>
        </w:tc>
      </w:tr>
      <w:tr w:rsidR="00E33D6F" w:rsidRPr="00794C0E" w:rsidTr="00F44634">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11</w:t>
            </w:r>
          </w:p>
        </w:tc>
        <w:tc>
          <w:tcPr>
            <w:tcW w:w="2119"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 </w:t>
            </w:r>
          </w:p>
        </w:tc>
        <w:tc>
          <w:tcPr>
            <w:tcW w:w="1887"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135.240,0 </w:t>
            </w:r>
          </w:p>
        </w:tc>
        <w:tc>
          <w:tcPr>
            <w:tcW w:w="1560"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1.302.904,9 </w:t>
            </w:r>
          </w:p>
        </w:tc>
        <w:tc>
          <w:tcPr>
            <w:tcW w:w="1984"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1.167.664,9 </w:t>
            </w:r>
          </w:p>
        </w:tc>
      </w:tr>
      <w:tr w:rsidR="00E33D6F" w:rsidRPr="00794C0E" w:rsidTr="00F44634">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12</w:t>
            </w:r>
          </w:p>
        </w:tc>
        <w:tc>
          <w:tcPr>
            <w:tcW w:w="2119"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 </w:t>
            </w:r>
          </w:p>
        </w:tc>
        <w:tc>
          <w:tcPr>
            <w:tcW w:w="1887"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135.240,0 </w:t>
            </w:r>
          </w:p>
        </w:tc>
        <w:tc>
          <w:tcPr>
            <w:tcW w:w="1560"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1.357.301,2 </w:t>
            </w:r>
          </w:p>
        </w:tc>
        <w:tc>
          <w:tcPr>
            <w:tcW w:w="1984"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1.222.061,2 </w:t>
            </w:r>
          </w:p>
        </w:tc>
      </w:tr>
      <w:tr w:rsidR="00E33D6F" w:rsidRPr="00794C0E" w:rsidTr="00F44634">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13</w:t>
            </w:r>
          </w:p>
        </w:tc>
        <w:tc>
          <w:tcPr>
            <w:tcW w:w="2119"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 </w:t>
            </w:r>
          </w:p>
        </w:tc>
        <w:tc>
          <w:tcPr>
            <w:tcW w:w="1887"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135.240,0 </w:t>
            </w:r>
          </w:p>
        </w:tc>
        <w:tc>
          <w:tcPr>
            <w:tcW w:w="1560"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1.413.968,5 </w:t>
            </w:r>
          </w:p>
        </w:tc>
        <w:tc>
          <w:tcPr>
            <w:tcW w:w="1984"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1.278.728,5 </w:t>
            </w:r>
          </w:p>
        </w:tc>
      </w:tr>
      <w:tr w:rsidR="00E33D6F" w:rsidRPr="00794C0E" w:rsidTr="00F44634">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14</w:t>
            </w:r>
          </w:p>
        </w:tc>
        <w:tc>
          <w:tcPr>
            <w:tcW w:w="2119"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 </w:t>
            </w:r>
          </w:p>
        </w:tc>
        <w:tc>
          <w:tcPr>
            <w:tcW w:w="1887"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135.240,0 </w:t>
            </w:r>
          </w:p>
        </w:tc>
        <w:tc>
          <w:tcPr>
            <w:tcW w:w="1560"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1.473.001,7 </w:t>
            </w:r>
          </w:p>
        </w:tc>
        <w:tc>
          <w:tcPr>
            <w:tcW w:w="1984"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1.337.761,7 </w:t>
            </w:r>
          </w:p>
        </w:tc>
      </w:tr>
      <w:tr w:rsidR="00E33D6F" w:rsidRPr="00794C0E" w:rsidTr="00F44634">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15</w:t>
            </w:r>
          </w:p>
        </w:tc>
        <w:tc>
          <w:tcPr>
            <w:tcW w:w="2119"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 </w:t>
            </w:r>
          </w:p>
        </w:tc>
        <w:tc>
          <w:tcPr>
            <w:tcW w:w="1887"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135.240,0 </w:t>
            </w:r>
          </w:p>
        </w:tc>
        <w:tc>
          <w:tcPr>
            <w:tcW w:w="1560"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1.534.499,5 </w:t>
            </w:r>
          </w:p>
        </w:tc>
        <w:tc>
          <w:tcPr>
            <w:tcW w:w="1984"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1.399.259,5 </w:t>
            </w:r>
          </w:p>
        </w:tc>
      </w:tr>
      <w:tr w:rsidR="00E33D6F" w:rsidRPr="00794C0E" w:rsidTr="00F44634">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16</w:t>
            </w:r>
          </w:p>
        </w:tc>
        <w:tc>
          <w:tcPr>
            <w:tcW w:w="2119"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 </w:t>
            </w:r>
          </w:p>
        </w:tc>
        <w:tc>
          <w:tcPr>
            <w:tcW w:w="1887"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135.240,0 </w:t>
            </w:r>
          </w:p>
        </w:tc>
        <w:tc>
          <w:tcPr>
            <w:tcW w:w="1560"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1.598.564,9 </w:t>
            </w:r>
          </w:p>
        </w:tc>
        <w:tc>
          <w:tcPr>
            <w:tcW w:w="1984"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1.463.324,9 </w:t>
            </w:r>
          </w:p>
        </w:tc>
      </w:tr>
      <w:tr w:rsidR="00E33D6F" w:rsidRPr="00794C0E" w:rsidTr="00F44634">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17</w:t>
            </w:r>
          </w:p>
        </w:tc>
        <w:tc>
          <w:tcPr>
            <w:tcW w:w="2119"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 </w:t>
            </w:r>
          </w:p>
        </w:tc>
        <w:tc>
          <w:tcPr>
            <w:tcW w:w="1887"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135.240,0 </w:t>
            </w:r>
          </w:p>
        </w:tc>
        <w:tc>
          <w:tcPr>
            <w:tcW w:w="1560"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1.665.305,0 </w:t>
            </w:r>
          </w:p>
        </w:tc>
        <w:tc>
          <w:tcPr>
            <w:tcW w:w="1984"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1.530.065,0 </w:t>
            </w:r>
          </w:p>
        </w:tc>
      </w:tr>
      <w:tr w:rsidR="00E33D6F" w:rsidRPr="00794C0E" w:rsidTr="00F44634">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18</w:t>
            </w:r>
          </w:p>
        </w:tc>
        <w:tc>
          <w:tcPr>
            <w:tcW w:w="2119"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 </w:t>
            </w:r>
          </w:p>
        </w:tc>
        <w:tc>
          <w:tcPr>
            <w:tcW w:w="1887"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135.240,0 </w:t>
            </w:r>
          </w:p>
        </w:tc>
        <w:tc>
          <w:tcPr>
            <w:tcW w:w="1560"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1.734.831,4 </w:t>
            </w:r>
          </w:p>
        </w:tc>
        <w:tc>
          <w:tcPr>
            <w:tcW w:w="1984"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1.599.591,4 </w:t>
            </w:r>
          </w:p>
        </w:tc>
      </w:tr>
      <w:tr w:rsidR="00E33D6F" w:rsidRPr="00794C0E" w:rsidTr="00F44634">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19</w:t>
            </w:r>
          </w:p>
        </w:tc>
        <w:tc>
          <w:tcPr>
            <w:tcW w:w="2119"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 </w:t>
            </w:r>
          </w:p>
        </w:tc>
        <w:tc>
          <w:tcPr>
            <w:tcW w:w="1887"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135.240,0 </w:t>
            </w:r>
          </w:p>
        </w:tc>
        <w:tc>
          <w:tcPr>
            <w:tcW w:w="1560"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1.807.260,7 </w:t>
            </w:r>
          </w:p>
        </w:tc>
        <w:tc>
          <w:tcPr>
            <w:tcW w:w="1984"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1.672.020,7 </w:t>
            </w:r>
          </w:p>
        </w:tc>
      </w:tr>
      <w:tr w:rsidR="00E33D6F" w:rsidRPr="00794C0E" w:rsidTr="00F44634">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20</w:t>
            </w:r>
          </w:p>
        </w:tc>
        <w:tc>
          <w:tcPr>
            <w:tcW w:w="2119"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 </w:t>
            </w:r>
          </w:p>
        </w:tc>
        <w:tc>
          <w:tcPr>
            <w:tcW w:w="1887"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135.240,0 </w:t>
            </w:r>
          </w:p>
        </w:tc>
        <w:tc>
          <w:tcPr>
            <w:tcW w:w="1560"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1.882.713,8 </w:t>
            </w:r>
          </w:p>
        </w:tc>
        <w:tc>
          <w:tcPr>
            <w:tcW w:w="1984"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1.747.473,8 </w:t>
            </w:r>
          </w:p>
        </w:tc>
      </w:tr>
      <w:tr w:rsidR="00E33D6F" w:rsidRPr="00794C0E" w:rsidTr="00F44634">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21</w:t>
            </w:r>
          </w:p>
        </w:tc>
        <w:tc>
          <w:tcPr>
            <w:tcW w:w="2119"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 </w:t>
            </w:r>
          </w:p>
        </w:tc>
        <w:tc>
          <w:tcPr>
            <w:tcW w:w="1887"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135.240,0 </w:t>
            </w:r>
          </w:p>
        </w:tc>
        <w:tc>
          <w:tcPr>
            <w:tcW w:w="1560"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1.961.317,1 </w:t>
            </w:r>
          </w:p>
        </w:tc>
        <w:tc>
          <w:tcPr>
            <w:tcW w:w="1984"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1.826.077,1 </w:t>
            </w:r>
          </w:p>
        </w:tc>
      </w:tr>
      <w:tr w:rsidR="00E33D6F" w:rsidRPr="00794C0E" w:rsidTr="00F44634">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22</w:t>
            </w:r>
          </w:p>
        </w:tc>
        <w:tc>
          <w:tcPr>
            <w:tcW w:w="2119"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 </w:t>
            </w:r>
          </w:p>
        </w:tc>
        <w:tc>
          <w:tcPr>
            <w:tcW w:w="1887"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135.240,0 </w:t>
            </w:r>
          </w:p>
        </w:tc>
        <w:tc>
          <w:tcPr>
            <w:tcW w:w="1560"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2.043.202,1 </w:t>
            </w:r>
          </w:p>
        </w:tc>
        <w:tc>
          <w:tcPr>
            <w:tcW w:w="1984"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1.907.962,1 </w:t>
            </w:r>
          </w:p>
        </w:tc>
      </w:tr>
      <w:tr w:rsidR="00E33D6F" w:rsidRPr="00794C0E" w:rsidTr="00F44634">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23</w:t>
            </w:r>
          </w:p>
        </w:tc>
        <w:tc>
          <w:tcPr>
            <w:tcW w:w="2119"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 </w:t>
            </w:r>
          </w:p>
        </w:tc>
        <w:tc>
          <w:tcPr>
            <w:tcW w:w="1887"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135.240,0 </w:t>
            </w:r>
          </w:p>
        </w:tc>
        <w:tc>
          <w:tcPr>
            <w:tcW w:w="1560"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2.128.505,8 </w:t>
            </w:r>
          </w:p>
        </w:tc>
        <w:tc>
          <w:tcPr>
            <w:tcW w:w="1984"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1.993.265,8 </w:t>
            </w:r>
          </w:p>
        </w:tc>
      </w:tr>
      <w:tr w:rsidR="00E33D6F" w:rsidRPr="00794C0E" w:rsidTr="00F44634">
        <w:trPr>
          <w:trHeight w:val="20"/>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24</w:t>
            </w:r>
          </w:p>
        </w:tc>
        <w:tc>
          <w:tcPr>
            <w:tcW w:w="2119"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center"/>
              <w:rPr>
                <w:rFonts w:cs="Arial"/>
                <w:color w:val="000000"/>
                <w:lang w:val="es-ES" w:eastAsia="es-ES"/>
              </w:rPr>
            </w:pPr>
            <w:r w:rsidRPr="00794C0E">
              <w:rPr>
                <w:rFonts w:cs="Arial"/>
                <w:color w:val="000000"/>
                <w:lang w:val="es-ES" w:eastAsia="es-ES"/>
              </w:rPr>
              <w:t> </w:t>
            </w:r>
          </w:p>
        </w:tc>
        <w:tc>
          <w:tcPr>
            <w:tcW w:w="1887"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135.240,0 </w:t>
            </w:r>
          </w:p>
        </w:tc>
        <w:tc>
          <w:tcPr>
            <w:tcW w:w="1560"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2.217.370,9 </w:t>
            </w:r>
          </w:p>
        </w:tc>
        <w:tc>
          <w:tcPr>
            <w:tcW w:w="1984" w:type="dxa"/>
            <w:tcBorders>
              <w:top w:val="nil"/>
              <w:left w:val="nil"/>
              <w:bottom w:val="single" w:sz="4" w:space="0" w:color="auto"/>
              <w:right w:val="single" w:sz="4" w:space="0" w:color="auto"/>
            </w:tcBorders>
            <w:shd w:val="clear" w:color="auto" w:fill="auto"/>
            <w:noWrap/>
            <w:vAlign w:val="center"/>
            <w:hideMark/>
          </w:tcPr>
          <w:p w:rsidR="00E33D6F" w:rsidRPr="00794C0E" w:rsidRDefault="00E33D6F" w:rsidP="00E33D6F">
            <w:pPr>
              <w:jc w:val="right"/>
              <w:rPr>
                <w:rFonts w:cs="Arial"/>
                <w:color w:val="000000"/>
                <w:lang w:val="es-ES" w:eastAsia="es-ES"/>
              </w:rPr>
            </w:pPr>
            <w:r w:rsidRPr="00794C0E">
              <w:rPr>
                <w:rFonts w:cs="Arial"/>
                <w:color w:val="000000"/>
                <w:lang w:val="es-ES" w:eastAsia="es-ES"/>
              </w:rPr>
              <w:t xml:space="preserve">2.082.130,9 </w:t>
            </w:r>
          </w:p>
        </w:tc>
      </w:tr>
    </w:tbl>
    <w:p w:rsidR="00E843EA" w:rsidRPr="00794C0E" w:rsidRDefault="00E843EA">
      <w:pPr>
        <w:rPr>
          <w:rFonts w:cs="Arial"/>
          <w:bCs/>
          <w:iCs/>
          <w:sz w:val="22"/>
          <w:szCs w:val="22"/>
          <w:highlight w:val="yellow"/>
          <w:lang w:val="es-AR"/>
        </w:rPr>
      </w:pPr>
    </w:p>
    <w:p w:rsidR="00FA2538" w:rsidRPr="00794C0E" w:rsidRDefault="001178AA" w:rsidP="00C278D7">
      <w:pPr>
        <w:pStyle w:val="ListParagraph"/>
        <w:numPr>
          <w:ilvl w:val="1"/>
          <w:numId w:val="5"/>
        </w:numPr>
        <w:ind w:left="0" w:firstLine="0"/>
        <w:jc w:val="both"/>
        <w:rPr>
          <w:rFonts w:cs="Arial"/>
          <w:bCs/>
          <w:iCs/>
          <w:sz w:val="22"/>
          <w:szCs w:val="22"/>
          <w:lang w:val="es-AR"/>
        </w:rPr>
      </w:pPr>
      <w:r w:rsidRPr="00794C0E">
        <w:rPr>
          <w:rFonts w:cs="Arial"/>
          <w:bCs/>
          <w:iCs/>
          <w:sz w:val="22"/>
          <w:szCs w:val="22"/>
          <w:lang w:val="es-AR"/>
        </w:rPr>
        <w:t xml:space="preserve">Para el análisis de sensibilidad </w:t>
      </w:r>
      <w:r w:rsidR="00CA31D3" w:rsidRPr="00794C0E">
        <w:rPr>
          <w:rFonts w:cs="Arial"/>
          <w:bCs/>
          <w:iCs/>
          <w:sz w:val="22"/>
          <w:szCs w:val="22"/>
          <w:lang w:val="es-AR"/>
        </w:rPr>
        <w:t xml:space="preserve">se </w:t>
      </w:r>
      <w:r w:rsidR="009E3415" w:rsidRPr="00794C0E">
        <w:rPr>
          <w:rFonts w:cs="Arial"/>
          <w:bCs/>
          <w:iCs/>
          <w:sz w:val="22"/>
          <w:szCs w:val="22"/>
          <w:lang w:val="es-AR"/>
        </w:rPr>
        <w:t xml:space="preserve">utilizó la modelación de </w:t>
      </w:r>
      <w:r w:rsidR="00FA2538" w:rsidRPr="00794C0E">
        <w:rPr>
          <w:rFonts w:cs="Arial"/>
          <w:bCs/>
          <w:iCs/>
          <w:sz w:val="22"/>
          <w:szCs w:val="22"/>
          <w:lang w:val="es-AR"/>
        </w:rPr>
        <w:t>Montecarlo</w:t>
      </w:r>
    </w:p>
    <w:p w:rsidR="00CA31D3" w:rsidRPr="00794C0E" w:rsidRDefault="00CA31D3" w:rsidP="00CA31D3">
      <w:pPr>
        <w:rPr>
          <w:rFonts w:cs="Arial"/>
          <w:lang w:val="es-ES_tradnl"/>
        </w:rPr>
      </w:pPr>
    </w:p>
    <w:p w:rsidR="00CA31D3" w:rsidRPr="00794C0E" w:rsidRDefault="00CA31D3" w:rsidP="00E843EA">
      <w:pPr>
        <w:jc w:val="center"/>
        <w:rPr>
          <w:rFonts w:cs="Arial"/>
        </w:rPr>
      </w:pPr>
      <w:r w:rsidRPr="00794C0E">
        <w:rPr>
          <w:rFonts w:cs="Arial"/>
          <w:noProof/>
          <w:lang w:val="es-ES_tradnl" w:eastAsia="es-ES_tradnl"/>
        </w:rPr>
        <w:lastRenderedPageBreak/>
        <w:drawing>
          <wp:inline distT="0" distB="0" distL="0" distR="0" wp14:anchorId="14E98187" wp14:editId="5D1ACA9E">
            <wp:extent cx="5038725" cy="1972834"/>
            <wp:effectExtent l="0" t="0" r="0" b="889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8725" cy="1972834"/>
                    </a:xfrm>
                    <a:prstGeom prst="rect">
                      <a:avLst/>
                    </a:prstGeom>
                    <a:noFill/>
                    <a:ln>
                      <a:noFill/>
                    </a:ln>
                  </pic:spPr>
                </pic:pic>
              </a:graphicData>
            </a:graphic>
          </wp:inline>
        </w:drawing>
      </w:r>
    </w:p>
    <w:p w:rsidR="00CA31D3" w:rsidRPr="00794C0E" w:rsidRDefault="00CA31D3" w:rsidP="00CA31D3">
      <w:pPr>
        <w:jc w:val="center"/>
        <w:rPr>
          <w:rFonts w:cs="Arial"/>
        </w:rPr>
      </w:pPr>
      <w:r w:rsidRPr="00794C0E">
        <w:rPr>
          <w:rFonts w:cs="Arial"/>
          <w:noProof/>
          <w:lang w:val="es-ES_tradnl" w:eastAsia="es-ES_tradnl"/>
        </w:rPr>
        <w:drawing>
          <wp:inline distT="0" distB="0" distL="0" distR="0" wp14:anchorId="67DC008A" wp14:editId="7E0D929C">
            <wp:extent cx="4547120" cy="2790825"/>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7120" cy="2790825"/>
                    </a:xfrm>
                    <a:prstGeom prst="rect">
                      <a:avLst/>
                    </a:prstGeom>
                    <a:noFill/>
                    <a:ln>
                      <a:noFill/>
                    </a:ln>
                  </pic:spPr>
                </pic:pic>
              </a:graphicData>
            </a:graphic>
          </wp:inline>
        </w:drawing>
      </w:r>
    </w:p>
    <w:p w:rsidR="00CA31D3" w:rsidRPr="00794C0E" w:rsidRDefault="00CA31D3" w:rsidP="00CA31D3">
      <w:pPr>
        <w:jc w:val="center"/>
        <w:rPr>
          <w:rFonts w:cs="Arial"/>
        </w:rPr>
      </w:pPr>
      <w:r w:rsidRPr="00794C0E">
        <w:rPr>
          <w:rFonts w:cs="Arial"/>
          <w:noProof/>
          <w:lang w:val="es-ES_tradnl" w:eastAsia="es-ES_tradnl"/>
        </w:rPr>
        <w:drawing>
          <wp:inline distT="0" distB="0" distL="0" distR="0" wp14:anchorId="69BE5AC3" wp14:editId="46ACE0DA">
            <wp:extent cx="4624715" cy="2838450"/>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31608" cy="2842680"/>
                    </a:xfrm>
                    <a:prstGeom prst="rect">
                      <a:avLst/>
                    </a:prstGeom>
                    <a:noFill/>
                    <a:ln>
                      <a:noFill/>
                    </a:ln>
                  </pic:spPr>
                </pic:pic>
              </a:graphicData>
            </a:graphic>
          </wp:inline>
        </w:drawing>
      </w:r>
    </w:p>
    <w:p w:rsidR="00F016A3" w:rsidRPr="00794C0E" w:rsidRDefault="00CA31D3" w:rsidP="00F016A3">
      <w:pPr>
        <w:pStyle w:val="ListParagraph"/>
        <w:numPr>
          <w:ilvl w:val="1"/>
          <w:numId w:val="5"/>
        </w:numPr>
        <w:ind w:left="0" w:firstLine="0"/>
        <w:jc w:val="both"/>
        <w:rPr>
          <w:rFonts w:cs="Arial"/>
          <w:b/>
          <w:lang w:val="es-ES_tradnl"/>
        </w:rPr>
      </w:pPr>
      <w:r w:rsidRPr="00794C0E">
        <w:rPr>
          <w:rFonts w:cs="Arial"/>
          <w:bCs/>
          <w:iCs/>
          <w:sz w:val="22"/>
          <w:szCs w:val="22"/>
          <w:lang w:val="es-AR"/>
        </w:rPr>
        <w:lastRenderedPageBreak/>
        <w:t xml:space="preserve">Al igual que para el resto de los proyectos, se puede determinar el intervalo de confianza del VAN y la TIR, para un nivel de confianza del 95 %. Los valores del intervalo para el </w:t>
      </w:r>
      <w:r w:rsidR="009E3415" w:rsidRPr="00794C0E">
        <w:rPr>
          <w:rFonts w:cs="Arial"/>
          <w:bCs/>
          <w:iCs/>
          <w:sz w:val="22"/>
          <w:szCs w:val="22"/>
          <w:lang w:val="es-AR"/>
        </w:rPr>
        <w:t xml:space="preserve">VAN </w:t>
      </w:r>
      <w:r w:rsidRPr="00794C0E">
        <w:rPr>
          <w:rFonts w:cs="Arial"/>
          <w:bCs/>
          <w:iCs/>
          <w:sz w:val="22"/>
          <w:szCs w:val="22"/>
          <w:lang w:val="es-AR"/>
        </w:rPr>
        <w:t xml:space="preserve">son de </w:t>
      </w:r>
      <w:r w:rsidR="009E3415" w:rsidRPr="00794C0E">
        <w:rPr>
          <w:rFonts w:cs="Arial"/>
          <w:bCs/>
          <w:iCs/>
          <w:sz w:val="22"/>
          <w:szCs w:val="22"/>
          <w:lang w:val="es-AR"/>
        </w:rPr>
        <w:t xml:space="preserve">U$S </w:t>
      </w:r>
      <w:r w:rsidRPr="00794C0E">
        <w:rPr>
          <w:rFonts w:cs="Arial"/>
          <w:bCs/>
          <w:iCs/>
          <w:sz w:val="22"/>
          <w:szCs w:val="22"/>
          <w:lang w:val="es-AR"/>
        </w:rPr>
        <w:t xml:space="preserve">2,59 </w:t>
      </w:r>
      <w:r w:rsidR="009E3415" w:rsidRPr="00794C0E">
        <w:rPr>
          <w:rFonts w:cs="Arial"/>
          <w:bCs/>
          <w:iCs/>
          <w:sz w:val="22"/>
          <w:szCs w:val="22"/>
          <w:lang w:val="es-AR"/>
        </w:rPr>
        <w:t xml:space="preserve">millones y U$S </w:t>
      </w:r>
      <w:r w:rsidRPr="00794C0E">
        <w:rPr>
          <w:rFonts w:cs="Arial"/>
          <w:bCs/>
          <w:iCs/>
          <w:sz w:val="22"/>
          <w:szCs w:val="22"/>
          <w:lang w:val="es-AR"/>
        </w:rPr>
        <w:t xml:space="preserve">4,87 millones y para la </w:t>
      </w:r>
      <w:r w:rsidR="009E3415" w:rsidRPr="00794C0E">
        <w:rPr>
          <w:rFonts w:cs="Arial"/>
          <w:bCs/>
          <w:iCs/>
          <w:sz w:val="22"/>
          <w:szCs w:val="22"/>
          <w:lang w:val="es-AR"/>
        </w:rPr>
        <w:t>TIR</w:t>
      </w:r>
      <w:r w:rsidRPr="00794C0E">
        <w:rPr>
          <w:rFonts w:cs="Arial"/>
          <w:bCs/>
          <w:iCs/>
          <w:sz w:val="22"/>
          <w:szCs w:val="22"/>
          <w:lang w:val="es-AR"/>
        </w:rPr>
        <w:t xml:space="preserve"> el mínimo 20,22 % y el máximo 28,66 %</w:t>
      </w:r>
    </w:p>
    <w:p w:rsidR="00CA31D3" w:rsidRPr="00794C0E" w:rsidRDefault="00CA31D3">
      <w:pPr>
        <w:rPr>
          <w:rFonts w:cs="Arial"/>
          <w:bCs/>
          <w:iCs/>
          <w:sz w:val="22"/>
          <w:szCs w:val="22"/>
          <w:u w:val="single"/>
          <w:lang w:val="es-AR"/>
        </w:rPr>
      </w:pPr>
    </w:p>
    <w:p w:rsidR="000D1CAF" w:rsidRPr="00794C0E" w:rsidRDefault="00FF4F77" w:rsidP="009D1692">
      <w:pPr>
        <w:jc w:val="both"/>
        <w:rPr>
          <w:rFonts w:cs="Arial"/>
          <w:b/>
          <w:bCs/>
          <w:sz w:val="22"/>
          <w:szCs w:val="22"/>
          <w:lang w:val="es-AR"/>
        </w:rPr>
      </w:pPr>
      <w:r w:rsidRPr="00794C0E">
        <w:rPr>
          <w:rFonts w:cs="Arial"/>
          <w:b/>
          <w:bCs/>
          <w:sz w:val="22"/>
          <w:szCs w:val="22"/>
          <w:lang w:val="es-AR"/>
        </w:rPr>
        <w:t>Parque Industrial de Salta (PISA)</w:t>
      </w:r>
    </w:p>
    <w:p w:rsidR="00445CB0" w:rsidRPr="00794C0E" w:rsidRDefault="00445CB0" w:rsidP="009D1692">
      <w:pPr>
        <w:jc w:val="both"/>
        <w:rPr>
          <w:rFonts w:cs="Arial"/>
          <w:b/>
          <w:bCs/>
          <w:sz w:val="22"/>
          <w:szCs w:val="22"/>
          <w:lang w:val="es-AR"/>
        </w:rPr>
      </w:pPr>
    </w:p>
    <w:p w:rsidR="000D1CAF" w:rsidRPr="00794C0E" w:rsidRDefault="00C278D7" w:rsidP="00C278D7">
      <w:pPr>
        <w:pStyle w:val="ListParagraph"/>
        <w:numPr>
          <w:ilvl w:val="1"/>
          <w:numId w:val="5"/>
        </w:numPr>
        <w:ind w:left="0" w:firstLine="0"/>
        <w:jc w:val="both"/>
        <w:rPr>
          <w:rFonts w:cs="Arial"/>
          <w:bCs/>
          <w:sz w:val="22"/>
          <w:szCs w:val="22"/>
          <w:lang w:val="es-AR"/>
        </w:rPr>
      </w:pPr>
      <w:r w:rsidRPr="00794C0E">
        <w:rPr>
          <w:rFonts w:cs="Arial"/>
          <w:bCs/>
          <w:sz w:val="22"/>
          <w:szCs w:val="22"/>
          <w:lang w:val="es-AR"/>
        </w:rPr>
        <w:t>Los beneficios para el proyecto en cuestión surge por el valor añadido producto de la valorización de los metros cuadrados para cada grupo de lotes. El resultado de la valorización, según los supuestos y metodología descripta, se pueden visualizar en la siguiente Tabla.</w:t>
      </w:r>
    </w:p>
    <w:p w:rsidR="00B46137" w:rsidRPr="00794C0E" w:rsidRDefault="00B46137" w:rsidP="00445CB0">
      <w:pPr>
        <w:jc w:val="center"/>
        <w:rPr>
          <w:rFonts w:cs="Arial"/>
          <w:b/>
          <w:bCs/>
          <w:lang w:val="es-AR"/>
        </w:rPr>
      </w:pPr>
    </w:p>
    <w:p w:rsidR="00445CB0" w:rsidRPr="00794C0E" w:rsidRDefault="00445CB0" w:rsidP="00445CB0">
      <w:pPr>
        <w:jc w:val="center"/>
        <w:rPr>
          <w:rFonts w:cs="Arial"/>
          <w:b/>
          <w:bCs/>
          <w:lang w:val="es-AR"/>
        </w:rPr>
      </w:pPr>
      <w:r w:rsidRPr="00794C0E">
        <w:rPr>
          <w:rFonts w:cs="Arial"/>
          <w:b/>
          <w:bCs/>
          <w:lang w:val="es-AR"/>
        </w:rPr>
        <w:t xml:space="preserve">Tabla </w:t>
      </w:r>
      <w:r w:rsidR="00EC7B25" w:rsidRPr="00794C0E">
        <w:rPr>
          <w:rFonts w:cs="Arial"/>
          <w:b/>
          <w:bCs/>
          <w:lang w:val="es-AR"/>
        </w:rPr>
        <w:t>14</w:t>
      </w:r>
      <w:r w:rsidR="00C278D7" w:rsidRPr="00794C0E">
        <w:rPr>
          <w:rFonts w:cs="Arial"/>
          <w:b/>
          <w:bCs/>
          <w:lang w:val="es-AR"/>
        </w:rPr>
        <w:t>. Diferencia en el valor de los lotes del PISA</w:t>
      </w:r>
    </w:p>
    <w:tbl>
      <w:tblPr>
        <w:tblW w:w="8630" w:type="dxa"/>
        <w:tblInd w:w="55" w:type="dxa"/>
        <w:tblCellMar>
          <w:left w:w="70" w:type="dxa"/>
          <w:right w:w="70" w:type="dxa"/>
        </w:tblCellMar>
        <w:tblLook w:val="04A0" w:firstRow="1" w:lastRow="0" w:firstColumn="1" w:lastColumn="0" w:noHBand="0" w:noVBand="1"/>
      </w:tblPr>
      <w:tblGrid>
        <w:gridCol w:w="2567"/>
        <w:gridCol w:w="1030"/>
        <w:gridCol w:w="1640"/>
        <w:gridCol w:w="1640"/>
        <w:gridCol w:w="1753"/>
      </w:tblGrid>
      <w:tr w:rsidR="00445CB0" w:rsidRPr="00794C0E" w:rsidTr="00F44634">
        <w:trPr>
          <w:trHeight w:val="20"/>
        </w:trPr>
        <w:tc>
          <w:tcPr>
            <w:tcW w:w="2567"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445CB0" w:rsidRPr="00794C0E" w:rsidRDefault="00445CB0" w:rsidP="00E72BAC">
            <w:pPr>
              <w:jc w:val="center"/>
              <w:rPr>
                <w:rFonts w:cs="Arial"/>
                <w:b/>
                <w:bCs/>
                <w:color w:val="000000"/>
                <w:sz w:val="18"/>
                <w:lang w:val="es-ES" w:eastAsia="es-ES"/>
              </w:rPr>
            </w:pPr>
            <w:r w:rsidRPr="00794C0E">
              <w:rPr>
                <w:rFonts w:cs="Arial"/>
                <w:b/>
                <w:bCs/>
                <w:color w:val="000000"/>
                <w:sz w:val="18"/>
                <w:lang w:val="es-ES" w:eastAsia="es-ES"/>
              </w:rPr>
              <w:t>Tipo</w:t>
            </w:r>
          </w:p>
        </w:tc>
        <w:tc>
          <w:tcPr>
            <w:tcW w:w="1030" w:type="dxa"/>
            <w:tcBorders>
              <w:top w:val="single" w:sz="4" w:space="0" w:color="auto"/>
              <w:left w:val="nil"/>
              <w:bottom w:val="single" w:sz="4" w:space="0" w:color="auto"/>
              <w:right w:val="single" w:sz="4" w:space="0" w:color="auto"/>
            </w:tcBorders>
            <w:shd w:val="clear" w:color="000000" w:fill="BFBFBF"/>
            <w:noWrap/>
            <w:vAlign w:val="bottom"/>
            <w:hideMark/>
          </w:tcPr>
          <w:p w:rsidR="00445CB0" w:rsidRPr="00794C0E" w:rsidRDefault="00445CB0" w:rsidP="00445CB0">
            <w:pPr>
              <w:jc w:val="center"/>
              <w:rPr>
                <w:rFonts w:cs="Arial"/>
                <w:b/>
                <w:bCs/>
                <w:color w:val="000000"/>
                <w:sz w:val="18"/>
                <w:lang w:val="es-ES" w:eastAsia="es-ES"/>
              </w:rPr>
            </w:pPr>
            <w:r w:rsidRPr="00794C0E">
              <w:rPr>
                <w:rFonts w:cs="Arial"/>
                <w:b/>
                <w:bCs/>
                <w:color w:val="000000"/>
                <w:sz w:val="18"/>
                <w:lang w:val="es-ES" w:eastAsia="es-ES"/>
              </w:rPr>
              <w:t>m</w:t>
            </w:r>
            <w:r w:rsidRPr="00794C0E">
              <w:rPr>
                <w:rFonts w:cs="Arial"/>
                <w:b/>
                <w:bCs/>
                <w:color w:val="000000"/>
                <w:sz w:val="18"/>
                <w:vertAlign w:val="superscript"/>
                <w:lang w:val="es-ES" w:eastAsia="es-ES"/>
              </w:rPr>
              <w:t>2</w:t>
            </w:r>
          </w:p>
        </w:tc>
        <w:tc>
          <w:tcPr>
            <w:tcW w:w="1640" w:type="dxa"/>
            <w:tcBorders>
              <w:top w:val="single" w:sz="4" w:space="0" w:color="auto"/>
              <w:left w:val="nil"/>
              <w:bottom w:val="single" w:sz="4" w:space="0" w:color="auto"/>
              <w:right w:val="single" w:sz="4" w:space="0" w:color="auto"/>
            </w:tcBorders>
            <w:shd w:val="clear" w:color="000000" w:fill="BFBFBF"/>
            <w:noWrap/>
            <w:vAlign w:val="bottom"/>
            <w:hideMark/>
          </w:tcPr>
          <w:p w:rsidR="00445CB0" w:rsidRPr="00794C0E" w:rsidRDefault="00445CB0" w:rsidP="00445CB0">
            <w:pPr>
              <w:jc w:val="center"/>
              <w:rPr>
                <w:rFonts w:cs="Arial"/>
                <w:b/>
                <w:bCs/>
                <w:color w:val="000000"/>
                <w:sz w:val="18"/>
                <w:lang w:val="es-ES" w:eastAsia="es-ES"/>
              </w:rPr>
            </w:pPr>
            <w:r w:rsidRPr="00794C0E">
              <w:rPr>
                <w:rFonts w:cs="Arial"/>
                <w:b/>
                <w:bCs/>
                <w:color w:val="000000"/>
                <w:sz w:val="18"/>
                <w:lang w:val="es-ES" w:eastAsia="es-ES"/>
              </w:rPr>
              <w:t>Sin Proyecto</w:t>
            </w:r>
          </w:p>
        </w:tc>
        <w:tc>
          <w:tcPr>
            <w:tcW w:w="1640" w:type="dxa"/>
            <w:tcBorders>
              <w:top w:val="single" w:sz="4" w:space="0" w:color="auto"/>
              <w:left w:val="nil"/>
              <w:bottom w:val="single" w:sz="4" w:space="0" w:color="auto"/>
              <w:right w:val="single" w:sz="4" w:space="0" w:color="auto"/>
            </w:tcBorders>
            <w:shd w:val="clear" w:color="000000" w:fill="BFBFBF"/>
            <w:noWrap/>
            <w:vAlign w:val="bottom"/>
            <w:hideMark/>
          </w:tcPr>
          <w:p w:rsidR="00445CB0" w:rsidRPr="00794C0E" w:rsidRDefault="00445CB0" w:rsidP="00445CB0">
            <w:pPr>
              <w:jc w:val="center"/>
              <w:rPr>
                <w:rFonts w:cs="Arial"/>
                <w:b/>
                <w:bCs/>
                <w:color w:val="000000"/>
                <w:sz w:val="18"/>
                <w:lang w:val="es-ES" w:eastAsia="es-ES"/>
              </w:rPr>
            </w:pPr>
            <w:r w:rsidRPr="00794C0E">
              <w:rPr>
                <w:rFonts w:cs="Arial"/>
                <w:b/>
                <w:bCs/>
                <w:color w:val="000000"/>
                <w:sz w:val="18"/>
                <w:lang w:val="es-ES" w:eastAsia="es-ES"/>
              </w:rPr>
              <w:t>Con Proyecto</w:t>
            </w:r>
          </w:p>
        </w:tc>
        <w:tc>
          <w:tcPr>
            <w:tcW w:w="1753" w:type="dxa"/>
            <w:tcBorders>
              <w:top w:val="single" w:sz="4" w:space="0" w:color="auto"/>
              <w:left w:val="nil"/>
              <w:bottom w:val="single" w:sz="4" w:space="0" w:color="auto"/>
              <w:right w:val="single" w:sz="4" w:space="0" w:color="auto"/>
            </w:tcBorders>
            <w:shd w:val="clear" w:color="000000" w:fill="BFBFBF"/>
            <w:noWrap/>
            <w:vAlign w:val="bottom"/>
            <w:hideMark/>
          </w:tcPr>
          <w:p w:rsidR="00445CB0" w:rsidRPr="00794C0E" w:rsidRDefault="00445CB0" w:rsidP="00445CB0">
            <w:pPr>
              <w:jc w:val="center"/>
              <w:rPr>
                <w:rFonts w:cs="Arial"/>
                <w:b/>
                <w:bCs/>
                <w:color w:val="000000"/>
                <w:sz w:val="18"/>
                <w:lang w:val="es-ES" w:eastAsia="es-ES"/>
              </w:rPr>
            </w:pPr>
            <w:r w:rsidRPr="00794C0E">
              <w:rPr>
                <w:rFonts w:cs="Arial"/>
                <w:b/>
                <w:bCs/>
                <w:color w:val="000000"/>
                <w:sz w:val="18"/>
                <w:lang w:val="es-ES" w:eastAsia="es-ES"/>
              </w:rPr>
              <w:t>Valor Añadido</w:t>
            </w:r>
          </w:p>
        </w:tc>
      </w:tr>
      <w:tr w:rsidR="00445CB0" w:rsidRPr="00794C0E" w:rsidTr="00F44634">
        <w:trPr>
          <w:trHeight w:val="2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445CB0" w:rsidRPr="00794C0E" w:rsidRDefault="00445CB0" w:rsidP="00E72BAC">
            <w:pPr>
              <w:rPr>
                <w:rFonts w:cs="Arial"/>
                <w:color w:val="000000"/>
                <w:sz w:val="18"/>
                <w:lang w:val="es-ES" w:eastAsia="es-ES"/>
              </w:rPr>
            </w:pPr>
            <w:r w:rsidRPr="00794C0E">
              <w:rPr>
                <w:rFonts w:cs="Arial"/>
                <w:color w:val="000000"/>
                <w:sz w:val="18"/>
                <w:lang w:val="es-ES" w:eastAsia="es-ES"/>
              </w:rPr>
              <w:t>Sobre Calle Principal</w:t>
            </w:r>
          </w:p>
        </w:tc>
        <w:tc>
          <w:tcPr>
            <w:tcW w:w="1030" w:type="dxa"/>
            <w:tcBorders>
              <w:top w:val="nil"/>
              <w:left w:val="nil"/>
              <w:bottom w:val="single" w:sz="4" w:space="0" w:color="auto"/>
              <w:right w:val="single" w:sz="4" w:space="0" w:color="auto"/>
            </w:tcBorders>
            <w:shd w:val="clear" w:color="auto" w:fill="auto"/>
            <w:noWrap/>
            <w:vAlign w:val="bottom"/>
            <w:hideMark/>
          </w:tcPr>
          <w:p w:rsidR="00445CB0" w:rsidRPr="00794C0E" w:rsidRDefault="00E72BAC" w:rsidP="00E72BAC">
            <w:pPr>
              <w:jc w:val="right"/>
              <w:rPr>
                <w:rFonts w:cs="Arial"/>
                <w:color w:val="000000"/>
                <w:sz w:val="18"/>
                <w:lang w:val="es-ES" w:eastAsia="es-ES"/>
              </w:rPr>
            </w:pPr>
            <w:r w:rsidRPr="00794C0E">
              <w:rPr>
                <w:rFonts w:cs="Arial"/>
                <w:color w:val="000000"/>
                <w:sz w:val="18"/>
                <w:lang w:val="es-ES" w:eastAsia="es-ES"/>
              </w:rPr>
              <w:t xml:space="preserve">   </w:t>
            </w:r>
            <w:r w:rsidR="00445CB0" w:rsidRPr="00794C0E">
              <w:rPr>
                <w:rFonts w:cs="Arial"/>
                <w:color w:val="000000"/>
                <w:sz w:val="18"/>
                <w:lang w:val="es-ES" w:eastAsia="es-ES"/>
              </w:rPr>
              <w:t xml:space="preserve">719.155   </w:t>
            </w:r>
          </w:p>
        </w:tc>
        <w:tc>
          <w:tcPr>
            <w:tcW w:w="1640" w:type="dxa"/>
            <w:tcBorders>
              <w:top w:val="nil"/>
              <w:left w:val="nil"/>
              <w:bottom w:val="single" w:sz="4" w:space="0" w:color="auto"/>
              <w:right w:val="single" w:sz="4" w:space="0" w:color="auto"/>
            </w:tcBorders>
            <w:shd w:val="clear" w:color="auto" w:fill="auto"/>
            <w:noWrap/>
            <w:vAlign w:val="bottom"/>
            <w:hideMark/>
          </w:tcPr>
          <w:p w:rsidR="00445CB0" w:rsidRPr="00794C0E" w:rsidRDefault="00445CB0" w:rsidP="00E72BAC">
            <w:pPr>
              <w:jc w:val="right"/>
              <w:rPr>
                <w:rFonts w:cs="Arial"/>
                <w:color w:val="000000"/>
                <w:sz w:val="18"/>
                <w:lang w:val="es-ES" w:eastAsia="es-ES"/>
              </w:rPr>
            </w:pPr>
            <w:r w:rsidRPr="00794C0E">
              <w:rPr>
                <w:rFonts w:cs="Arial"/>
                <w:color w:val="000000"/>
                <w:sz w:val="18"/>
                <w:lang w:val="es-ES" w:eastAsia="es-ES"/>
              </w:rPr>
              <w:t xml:space="preserve">7.055.150   </w:t>
            </w:r>
          </w:p>
        </w:tc>
        <w:tc>
          <w:tcPr>
            <w:tcW w:w="1640" w:type="dxa"/>
            <w:tcBorders>
              <w:top w:val="nil"/>
              <w:left w:val="nil"/>
              <w:bottom w:val="single" w:sz="4" w:space="0" w:color="auto"/>
              <w:right w:val="single" w:sz="4" w:space="0" w:color="auto"/>
            </w:tcBorders>
            <w:shd w:val="clear" w:color="auto" w:fill="auto"/>
            <w:noWrap/>
            <w:vAlign w:val="bottom"/>
            <w:hideMark/>
          </w:tcPr>
          <w:p w:rsidR="00445CB0" w:rsidRPr="00794C0E" w:rsidRDefault="00445CB0" w:rsidP="00E72BAC">
            <w:pPr>
              <w:jc w:val="right"/>
              <w:rPr>
                <w:rFonts w:cs="Arial"/>
                <w:color w:val="000000"/>
                <w:sz w:val="18"/>
                <w:lang w:val="es-ES" w:eastAsia="es-ES"/>
              </w:rPr>
            </w:pPr>
            <w:r w:rsidRPr="00794C0E">
              <w:rPr>
                <w:rFonts w:cs="Arial"/>
                <w:color w:val="000000"/>
                <w:sz w:val="18"/>
                <w:lang w:val="es-ES" w:eastAsia="es-ES"/>
              </w:rPr>
              <w:t xml:space="preserve">9.927.617   </w:t>
            </w:r>
          </w:p>
        </w:tc>
        <w:tc>
          <w:tcPr>
            <w:tcW w:w="1753" w:type="dxa"/>
            <w:tcBorders>
              <w:top w:val="nil"/>
              <w:left w:val="nil"/>
              <w:bottom w:val="single" w:sz="4" w:space="0" w:color="auto"/>
              <w:right w:val="single" w:sz="4" w:space="0" w:color="auto"/>
            </w:tcBorders>
            <w:shd w:val="clear" w:color="auto" w:fill="auto"/>
            <w:noWrap/>
            <w:vAlign w:val="bottom"/>
            <w:hideMark/>
          </w:tcPr>
          <w:p w:rsidR="00445CB0" w:rsidRPr="00794C0E" w:rsidRDefault="00445CB0" w:rsidP="00E72BAC">
            <w:pPr>
              <w:jc w:val="right"/>
              <w:rPr>
                <w:rFonts w:cs="Arial"/>
                <w:color w:val="000000"/>
                <w:sz w:val="18"/>
                <w:lang w:val="es-ES" w:eastAsia="es-ES"/>
              </w:rPr>
            </w:pPr>
            <w:r w:rsidRPr="00794C0E">
              <w:rPr>
                <w:rFonts w:cs="Arial"/>
                <w:color w:val="000000"/>
                <w:sz w:val="18"/>
                <w:lang w:val="es-ES" w:eastAsia="es-ES"/>
              </w:rPr>
              <w:t xml:space="preserve">2.872.467   </w:t>
            </w:r>
          </w:p>
        </w:tc>
      </w:tr>
      <w:tr w:rsidR="00445CB0" w:rsidRPr="00794C0E" w:rsidTr="00F44634">
        <w:trPr>
          <w:trHeight w:val="2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445CB0" w:rsidRPr="00794C0E" w:rsidRDefault="00445CB0" w:rsidP="00E72BAC">
            <w:pPr>
              <w:rPr>
                <w:rFonts w:cs="Arial"/>
                <w:color w:val="000000"/>
                <w:sz w:val="18"/>
                <w:lang w:val="es-ES" w:eastAsia="es-ES"/>
              </w:rPr>
            </w:pPr>
            <w:r w:rsidRPr="00794C0E">
              <w:rPr>
                <w:rFonts w:cs="Arial"/>
                <w:color w:val="000000"/>
                <w:sz w:val="18"/>
                <w:lang w:val="es-ES" w:eastAsia="es-ES"/>
              </w:rPr>
              <w:t>Sobre Calle Laterales</w:t>
            </w:r>
          </w:p>
        </w:tc>
        <w:tc>
          <w:tcPr>
            <w:tcW w:w="1030" w:type="dxa"/>
            <w:tcBorders>
              <w:top w:val="nil"/>
              <w:left w:val="nil"/>
              <w:bottom w:val="single" w:sz="4" w:space="0" w:color="auto"/>
              <w:right w:val="single" w:sz="4" w:space="0" w:color="auto"/>
            </w:tcBorders>
            <w:shd w:val="clear" w:color="auto" w:fill="auto"/>
            <w:noWrap/>
            <w:vAlign w:val="bottom"/>
            <w:hideMark/>
          </w:tcPr>
          <w:p w:rsidR="00445CB0" w:rsidRPr="00794C0E" w:rsidRDefault="00445CB0" w:rsidP="00E72BAC">
            <w:pPr>
              <w:jc w:val="right"/>
              <w:rPr>
                <w:rFonts w:cs="Arial"/>
                <w:color w:val="000000"/>
                <w:sz w:val="18"/>
                <w:lang w:val="es-ES" w:eastAsia="es-ES"/>
              </w:rPr>
            </w:pPr>
            <w:r w:rsidRPr="00794C0E">
              <w:rPr>
                <w:rFonts w:cs="Arial"/>
                <w:color w:val="000000"/>
                <w:sz w:val="18"/>
                <w:lang w:val="es-ES" w:eastAsia="es-ES"/>
              </w:rPr>
              <w:t xml:space="preserve">563.662   </w:t>
            </w:r>
          </w:p>
        </w:tc>
        <w:tc>
          <w:tcPr>
            <w:tcW w:w="1640" w:type="dxa"/>
            <w:tcBorders>
              <w:top w:val="nil"/>
              <w:left w:val="nil"/>
              <w:bottom w:val="single" w:sz="4" w:space="0" w:color="auto"/>
              <w:right w:val="single" w:sz="4" w:space="0" w:color="auto"/>
            </w:tcBorders>
            <w:shd w:val="clear" w:color="auto" w:fill="auto"/>
            <w:noWrap/>
            <w:vAlign w:val="bottom"/>
            <w:hideMark/>
          </w:tcPr>
          <w:p w:rsidR="00445CB0" w:rsidRPr="00794C0E" w:rsidRDefault="00445CB0" w:rsidP="00E72BAC">
            <w:pPr>
              <w:jc w:val="right"/>
              <w:rPr>
                <w:rFonts w:cs="Arial"/>
                <w:color w:val="000000"/>
                <w:sz w:val="18"/>
                <w:lang w:val="es-ES" w:eastAsia="es-ES"/>
              </w:rPr>
            </w:pPr>
            <w:r w:rsidRPr="00794C0E">
              <w:rPr>
                <w:rFonts w:cs="Arial"/>
                <w:color w:val="000000"/>
                <w:sz w:val="18"/>
                <w:lang w:val="es-ES" w:eastAsia="es-ES"/>
              </w:rPr>
              <w:t xml:space="preserve">3.686.475   </w:t>
            </w:r>
          </w:p>
        </w:tc>
        <w:tc>
          <w:tcPr>
            <w:tcW w:w="1640" w:type="dxa"/>
            <w:tcBorders>
              <w:top w:val="nil"/>
              <w:left w:val="nil"/>
              <w:bottom w:val="single" w:sz="4" w:space="0" w:color="auto"/>
              <w:right w:val="single" w:sz="4" w:space="0" w:color="auto"/>
            </w:tcBorders>
            <w:shd w:val="clear" w:color="auto" w:fill="auto"/>
            <w:noWrap/>
            <w:vAlign w:val="bottom"/>
            <w:hideMark/>
          </w:tcPr>
          <w:p w:rsidR="00445CB0" w:rsidRPr="00794C0E" w:rsidRDefault="00E72BAC" w:rsidP="00E72BAC">
            <w:pPr>
              <w:jc w:val="right"/>
              <w:rPr>
                <w:rFonts w:cs="Arial"/>
                <w:color w:val="000000"/>
                <w:sz w:val="18"/>
                <w:lang w:val="es-ES" w:eastAsia="es-ES"/>
              </w:rPr>
            </w:pPr>
            <w:r w:rsidRPr="00794C0E">
              <w:rPr>
                <w:rFonts w:cs="Arial"/>
                <w:color w:val="000000"/>
                <w:sz w:val="18"/>
                <w:lang w:val="es-ES" w:eastAsia="es-ES"/>
              </w:rPr>
              <w:t xml:space="preserve">         </w:t>
            </w:r>
            <w:r w:rsidR="00445CB0" w:rsidRPr="00794C0E">
              <w:rPr>
                <w:rFonts w:cs="Arial"/>
                <w:color w:val="000000"/>
                <w:sz w:val="18"/>
                <w:lang w:val="es-ES" w:eastAsia="es-ES"/>
              </w:rPr>
              <w:t xml:space="preserve">5.187.403   </w:t>
            </w:r>
          </w:p>
        </w:tc>
        <w:tc>
          <w:tcPr>
            <w:tcW w:w="1753" w:type="dxa"/>
            <w:tcBorders>
              <w:top w:val="nil"/>
              <w:left w:val="nil"/>
              <w:bottom w:val="single" w:sz="4" w:space="0" w:color="auto"/>
              <w:right w:val="single" w:sz="4" w:space="0" w:color="auto"/>
            </w:tcBorders>
            <w:shd w:val="clear" w:color="auto" w:fill="auto"/>
            <w:noWrap/>
            <w:vAlign w:val="bottom"/>
            <w:hideMark/>
          </w:tcPr>
          <w:p w:rsidR="00445CB0" w:rsidRPr="00794C0E" w:rsidRDefault="00445CB0" w:rsidP="00E72BAC">
            <w:pPr>
              <w:jc w:val="right"/>
              <w:rPr>
                <w:rFonts w:cs="Arial"/>
                <w:color w:val="000000"/>
                <w:sz w:val="18"/>
                <w:lang w:val="es-ES" w:eastAsia="es-ES"/>
              </w:rPr>
            </w:pPr>
            <w:r w:rsidRPr="00794C0E">
              <w:rPr>
                <w:rFonts w:cs="Arial"/>
                <w:color w:val="000000"/>
                <w:sz w:val="18"/>
                <w:lang w:val="es-ES" w:eastAsia="es-ES"/>
              </w:rPr>
              <w:t xml:space="preserve">        1.500.929   </w:t>
            </w:r>
          </w:p>
        </w:tc>
      </w:tr>
      <w:tr w:rsidR="00445CB0" w:rsidRPr="00794C0E" w:rsidTr="00F44634">
        <w:trPr>
          <w:trHeight w:val="2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445CB0" w:rsidRPr="00794C0E" w:rsidRDefault="00445CB0" w:rsidP="00E72BAC">
            <w:pPr>
              <w:rPr>
                <w:rFonts w:cs="Arial"/>
                <w:color w:val="000000"/>
                <w:sz w:val="18"/>
                <w:lang w:val="es-ES" w:eastAsia="es-ES"/>
              </w:rPr>
            </w:pPr>
            <w:r w:rsidRPr="00794C0E">
              <w:rPr>
                <w:rFonts w:cs="Arial"/>
                <w:color w:val="000000"/>
                <w:sz w:val="18"/>
                <w:lang w:val="es-ES" w:eastAsia="es-ES"/>
              </w:rPr>
              <w:t>Lotes para Relleno</w:t>
            </w:r>
          </w:p>
        </w:tc>
        <w:tc>
          <w:tcPr>
            <w:tcW w:w="1030" w:type="dxa"/>
            <w:tcBorders>
              <w:top w:val="nil"/>
              <w:left w:val="nil"/>
              <w:bottom w:val="single" w:sz="4" w:space="0" w:color="auto"/>
              <w:right w:val="single" w:sz="4" w:space="0" w:color="auto"/>
            </w:tcBorders>
            <w:shd w:val="clear" w:color="auto" w:fill="auto"/>
            <w:noWrap/>
            <w:vAlign w:val="bottom"/>
            <w:hideMark/>
          </w:tcPr>
          <w:p w:rsidR="00445CB0" w:rsidRPr="00794C0E" w:rsidRDefault="00E72BAC" w:rsidP="00E72BAC">
            <w:pPr>
              <w:jc w:val="right"/>
              <w:rPr>
                <w:rFonts w:cs="Arial"/>
                <w:color w:val="000000"/>
                <w:sz w:val="18"/>
                <w:lang w:val="es-ES" w:eastAsia="es-ES"/>
              </w:rPr>
            </w:pPr>
            <w:r w:rsidRPr="00794C0E">
              <w:rPr>
                <w:rFonts w:cs="Arial"/>
                <w:color w:val="000000"/>
                <w:sz w:val="18"/>
                <w:lang w:val="es-ES" w:eastAsia="es-ES"/>
              </w:rPr>
              <w:t xml:space="preserve">     </w:t>
            </w:r>
            <w:r w:rsidR="00445CB0" w:rsidRPr="00794C0E">
              <w:rPr>
                <w:rFonts w:cs="Arial"/>
                <w:color w:val="000000"/>
                <w:sz w:val="18"/>
                <w:lang w:val="es-ES" w:eastAsia="es-ES"/>
              </w:rPr>
              <w:t xml:space="preserve">97.183   </w:t>
            </w:r>
          </w:p>
        </w:tc>
        <w:tc>
          <w:tcPr>
            <w:tcW w:w="1640" w:type="dxa"/>
            <w:tcBorders>
              <w:top w:val="nil"/>
              <w:left w:val="nil"/>
              <w:bottom w:val="single" w:sz="4" w:space="0" w:color="auto"/>
              <w:right w:val="single" w:sz="4" w:space="0" w:color="auto"/>
            </w:tcBorders>
            <w:shd w:val="clear" w:color="auto" w:fill="auto"/>
            <w:noWrap/>
            <w:vAlign w:val="bottom"/>
            <w:hideMark/>
          </w:tcPr>
          <w:p w:rsidR="00445CB0" w:rsidRPr="00794C0E" w:rsidRDefault="00445CB0" w:rsidP="00E72BAC">
            <w:pPr>
              <w:jc w:val="right"/>
              <w:rPr>
                <w:rFonts w:cs="Arial"/>
                <w:color w:val="000000"/>
                <w:sz w:val="18"/>
                <w:lang w:val="es-ES" w:eastAsia="es-ES"/>
              </w:rPr>
            </w:pPr>
            <w:r w:rsidRPr="00794C0E">
              <w:rPr>
                <w:rFonts w:cs="Arial"/>
                <w:color w:val="000000"/>
                <w:sz w:val="18"/>
                <w:lang w:val="es-ES" w:eastAsia="es-ES"/>
              </w:rPr>
              <w:t xml:space="preserve">381.359   </w:t>
            </w:r>
          </w:p>
        </w:tc>
        <w:tc>
          <w:tcPr>
            <w:tcW w:w="1640" w:type="dxa"/>
            <w:tcBorders>
              <w:top w:val="nil"/>
              <w:left w:val="nil"/>
              <w:bottom w:val="single" w:sz="4" w:space="0" w:color="auto"/>
              <w:right w:val="single" w:sz="4" w:space="0" w:color="auto"/>
            </w:tcBorders>
            <w:shd w:val="clear" w:color="auto" w:fill="auto"/>
            <w:noWrap/>
            <w:vAlign w:val="bottom"/>
            <w:hideMark/>
          </w:tcPr>
          <w:p w:rsidR="00445CB0" w:rsidRPr="00794C0E" w:rsidRDefault="00445CB0" w:rsidP="00E72BAC">
            <w:pPr>
              <w:jc w:val="right"/>
              <w:rPr>
                <w:rFonts w:cs="Arial"/>
                <w:color w:val="000000"/>
                <w:sz w:val="18"/>
                <w:lang w:val="es-ES" w:eastAsia="es-ES"/>
              </w:rPr>
            </w:pPr>
            <w:r w:rsidRPr="00794C0E">
              <w:rPr>
                <w:rFonts w:cs="Arial"/>
                <w:color w:val="000000"/>
                <w:sz w:val="18"/>
                <w:lang w:val="es-ES" w:eastAsia="es-ES"/>
              </w:rPr>
              <w:t xml:space="preserve">536.628   </w:t>
            </w:r>
          </w:p>
        </w:tc>
        <w:tc>
          <w:tcPr>
            <w:tcW w:w="1753" w:type="dxa"/>
            <w:tcBorders>
              <w:top w:val="nil"/>
              <w:left w:val="nil"/>
              <w:bottom w:val="single" w:sz="4" w:space="0" w:color="auto"/>
              <w:right w:val="single" w:sz="4" w:space="0" w:color="auto"/>
            </w:tcBorders>
            <w:shd w:val="clear" w:color="auto" w:fill="auto"/>
            <w:noWrap/>
            <w:vAlign w:val="bottom"/>
            <w:hideMark/>
          </w:tcPr>
          <w:p w:rsidR="00445CB0" w:rsidRPr="00794C0E" w:rsidRDefault="00445CB0" w:rsidP="00E72BAC">
            <w:pPr>
              <w:jc w:val="right"/>
              <w:rPr>
                <w:rFonts w:cs="Arial"/>
                <w:color w:val="000000"/>
                <w:sz w:val="18"/>
                <w:lang w:val="es-ES" w:eastAsia="es-ES"/>
              </w:rPr>
            </w:pPr>
            <w:r w:rsidRPr="00794C0E">
              <w:rPr>
                <w:rFonts w:cs="Arial"/>
                <w:color w:val="000000"/>
                <w:sz w:val="18"/>
                <w:lang w:val="es-ES" w:eastAsia="es-ES"/>
              </w:rPr>
              <w:t xml:space="preserve">155.268   </w:t>
            </w:r>
          </w:p>
        </w:tc>
      </w:tr>
      <w:tr w:rsidR="00445CB0" w:rsidRPr="00794C0E" w:rsidTr="00F44634">
        <w:trPr>
          <w:trHeight w:val="20"/>
        </w:trPr>
        <w:tc>
          <w:tcPr>
            <w:tcW w:w="2567" w:type="dxa"/>
            <w:tcBorders>
              <w:top w:val="nil"/>
              <w:left w:val="single" w:sz="4" w:space="0" w:color="auto"/>
              <w:bottom w:val="single" w:sz="4" w:space="0" w:color="auto"/>
              <w:right w:val="single" w:sz="4" w:space="0" w:color="auto"/>
            </w:tcBorders>
            <w:shd w:val="clear" w:color="000000" w:fill="BFBFBF"/>
            <w:noWrap/>
            <w:vAlign w:val="bottom"/>
            <w:hideMark/>
          </w:tcPr>
          <w:p w:rsidR="00445CB0" w:rsidRPr="00794C0E" w:rsidRDefault="00445CB0" w:rsidP="00E72BAC">
            <w:pPr>
              <w:jc w:val="center"/>
              <w:rPr>
                <w:rFonts w:cs="Arial"/>
                <w:b/>
                <w:bCs/>
                <w:color w:val="000000"/>
                <w:sz w:val="18"/>
                <w:lang w:val="es-ES" w:eastAsia="es-ES"/>
              </w:rPr>
            </w:pPr>
            <w:r w:rsidRPr="00794C0E">
              <w:rPr>
                <w:rFonts w:cs="Arial"/>
                <w:b/>
                <w:bCs/>
                <w:color w:val="000000"/>
                <w:sz w:val="18"/>
                <w:lang w:val="es-ES" w:eastAsia="es-ES"/>
              </w:rPr>
              <w:t>Totales</w:t>
            </w:r>
          </w:p>
        </w:tc>
        <w:tc>
          <w:tcPr>
            <w:tcW w:w="1030" w:type="dxa"/>
            <w:tcBorders>
              <w:top w:val="nil"/>
              <w:left w:val="nil"/>
              <w:bottom w:val="single" w:sz="4" w:space="0" w:color="auto"/>
              <w:right w:val="single" w:sz="4" w:space="0" w:color="auto"/>
            </w:tcBorders>
            <w:shd w:val="clear" w:color="000000" w:fill="BFBFBF"/>
            <w:noWrap/>
            <w:vAlign w:val="bottom"/>
            <w:hideMark/>
          </w:tcPr>
          <w:p w:rsidR="00445CB0" w:rsidRPr="00794C0E" w:rsidRDefault="00445CB0" w:rsidP="00E72BAC">
            <w:pPr>
              <w:jc w:val="right"/>
              <w:rPr>
                <w:rFonts w:cs="Arial"/>
                <w:b/>
                <w:bCs/>
                <w:color w:val="000000"/>
                <w:sz w:val="18"/>
                <w:lang w:val="es-ES" w:eastAsia="es-ES"/>
              </w:rPr>
            </w:pPr>
            <w:r w:rsidRPr="00794C0E">
              <w:rPr>
                <w:rFonts w:cs="Arial"/>
                <w:b/>
                <w:bCs/>
                <w:color w:val="000000"/>
                <w:sz w:val="18"/>
                <w:lang w:val="es-ES" w:eastAsia="es-ES"/>
              </w:rPr>
              <w:t xml:space="preserve">1.380.000   </w:t>
            </w:r>
          </w:p>
        </w:tc>
        <w:tc>
          <w:tcPr>
            <w:tcW w:w="1640" w:type="dxa"/>
            <w:tcBorders>
              <w:top w:val="nil"/>
              <w:left w:val="nil"/>
              <w:bottom w:val="single" w:sz="4" w:space="0" w:color="auto"/>
              <w:right w:val="single" w:sz="4" w:space="0" w:color="auto"/>
            </w:tcBorders>
            <w:shd w:val="clear" w:color="000000" w:fill="BFBFBF"/>
            <w:noWrap/>
            <w:vAlign w:val="bottom"/>
            <w:hideMark/>
          </w:tcPr>
          <w:p w:rsidR="00445CB0" w:rsidRPr="00794C0E" w:rsidRDefault="00445CB0" w:rsidP="00E72BAC">
            <w:pPr>
              <w:jc w:val="right"/>
              <w:rPr>
                <w:rFonts w:cs="Arial"/>
                <w:b/>
                <w:bCs/>
                <w:color w:val="000000"/>
                <w:sz w:val="18"/>
                <w:lang w:val="es-ES" w:eastAsia="es-ES"/>
              </w:rPr>
            </w:pPr>
            <w:r w:rsidRPr="00794C0E">
              <w:rPr>
                <w:rFonts w:cs="Arial"/>
                <w:b/>
                <w:bCs/>
                <w:color w:val="000000"/>
                <w:sz w:val="18"/>
                <w:lang w:val="es-ES" w:eastAsia="es-ES"/>
              </w:rPr>
              <w:t xml:space="preserve">11.122.984  </w:t>
            </w:r>
          </w:p>
        </w:tc>
        <w:tc>
          <w:tcPr>
            <w:tcW w:w="1640" w:type="dxa"/>
            <w:tcBorders>
              <w:top w:val="nil"/>
              <w:left w:val="nil"/>
              <w:bottom w:val="single" w:sz="4" w:space="0" w:color="auto"/>
              <w:right w:val="single" w:sz="4" w:space="0" w:color="auto"/>
            </w:tcBorders>
            <w:shd w:val="clear" w:color="000000" w:fill="BFBFBF"/>
            <w:noWrap/>
            <w:vAlign w:val="bottom"/>
            <w:hideMark/>
          </w:tcPr>
          <w:p w:rsidR="00445CB0" w:rsidRPr="00794C0E" w:rsidRDefault="00445CB0" w:rsidP="00E72BAC">
            <w:pPr>
              <w:jc w:val="right"/>
              <w:rPr>
                <w:rFonts w:cs="Arial"/>
                <w:b/>
                <w:bCs/>
                <w:color w:val="000000"/>
                <w:sz w:val="18"/>
                <w:lang w:val="es-ES" w:eastAsia="es-ES"/>
              </w:rPr>
            </w:pPr>
            <w:r w:rsidRPr="00794C0E">
              <w:rPr>
                <w:rFonts w:cs="Arial"/>
                <w:b/>
                <w:bCs/>
                <w:color w:val="000000"/>
                <w:sz w:val="18"/>
                <w:lang w:val="es-ES" w:eastAsia="es-ES"/>
              </w:rPr>
              <w:t xml:space="preserve">15.651.648   </w:t>
            </w:r>
          </w:p>
        </w:tc>
        <w:tc>
          <w:tcPr>
            <w:tcW w:w="1753" w:type="dxa"/>
            <w:tcBorders>
              <w:top w:val="nil"/>
              <w:left w:val="nil"/>
              <w:bottom w:val="single" w:sz="4" w:space="0" w:color="auto"/>
              <w:right w:val="single" w:sz="4" w:space="0" w:color="auto"/>
            </w:tcBorders>
            <w:shd w:val="clear" w:color="000000" w:fill="BFBFBF"/>
            <w:noWrap/>
            <w:vAlign w:val="bottom"/>
            <w:hideMark/>
          </w:tcPr>
          <w:p w:rsidR="00445CB0" w:rsidRPr="00794C0E" w:rsidRDefault="00445CB0" w:rsidP="00E72BAC">
            <w:pPr>
              <w:jc w:val="right"/>
              <w:rPr>
                <w:rFonts w:cs="Arial"/>
                <w:b/>
                <w:bCs/>
                <w:color w:val="000000"/>
                <w:sz w:val="18"/>
                <w:lang w:val="es-ES" w:eastAsia="es-ES"/>
              </w:rPr>
            </w:pPr>
            <w:r w:rsidRPr="00794C0E">
              <w:rPr>
                <w:rFonts w:cs="Arial"/>
                <w:b/>
                <w:bCs/>
                <w:color w:val="000000"/>
                <w:sz w:val="18"/>
                <w:lang w:val="es-ES" w:eastAsia="es-ES"/>
              </w:rPr>
              <w:t xml:space="preserve">      4.528.664   </w:t>
            </w:r>
          </w:p>
        </w:tc>
      </w:tr>
    </w:tbl>
    <w:p w:rsidR="00E72BAC" w:rsidRPr="00794C0E" w:rsidRDefault="00E72BAC" w:rsidP="00E72BAC">
      <w:pPr>
        <w:pStyle w:val="ListParagraph"/>
        <w:ind w:left="0"/>
        <w:jc w:val="both"/>
        <w:rPr>
          <w:rFonts w:cs="Arial"/>
          <w:bCs/>
          <w:lang w:val="es-AR"/>
        </w:rPr>
      </w:pPr>
      <w:r w:rsidRPr="00794C0E">
        <w:rPr>
          <w:rFonts w:cs="Arial"/>
          <w:bCs/>
          <w:lang w:val="es-AR"/>
        </w:rPr>
        <w:t>Fuente: Elaboración Propia en base a valores y superficie de los lotes</w:t>
      </w:r>
    </w:p>
    <w:p w:rsidR="00E72BAC" w:rsidRPr="00794C0E" w:rsidRDefault="00E72BAC" w:rsidP="00E72BAC">
      <w:pPr>
        <w:pStyle w:val="ListParagraph"/>
        <w:ind w:left="0"/>
        <w:jc w:val="both"/>
        <w:rPr>
          <w:rFonts w:cs="Arial"/>
          <w:bCs/>
          <w:sz w:val="22"/>
          <w:szCs w:val="22"/>
          <w:lang w:val="es-AR"/>
        </w:rPr>
      </w:pPr>
    </w:p>
    <w:p w:rsidR="00E72BAC" w:rsidRPr="00794C0E" w:rsidRDefault="00E72BAC" w:rsidP="00E72BAC">
      <w:pPr>
        <w:pStyle w:val="ListParagraph"/>
        <w:numPr>
          <w:ilvl w:val="1"/>
          <w:numId w:val="5"/>
        </w:numPr>
        <w:ind w:left="0" w:firstLine="0"/>
        <w:jc w:val="both"/>
        <w:rPr>
          <w:rFonts w:cs="Arial"/>
          <w:bCs/>
          <w:sz w:val="22"/>
          <w:szCs w:val="22"/>
          <w:lang w:val="es-AR"/>
        </w:rPr>
      </w:pPr>
      <w:r w:rsidRPr="00794C0E">
        <w:rPr>
          <w:rFonts w:cs="Arial"/>
          <w:bCs/>
          <w:sz w:val="22"/>
          <w:szCs w:val="22"/>
          <w:lang w:val="es-AR"/>
        </w:rPr>
        <w:t>Los beneficios que el proyecto genera alcanzan los U$S 4.528.664.</w:t>
      </w:r>
    </w:p>
    <w:p w:rsidR="00B46137" w:rsidRPr="00794C0E" w:rsidRDefault="00B46137" w:rsidP="00E72BAC">
      <w:pPr>
        <w:pStyle w:val="ListParagraph"/>
        <w:ind w:left="0"/>
        <w:jc w:val="both"/>
        <w:rPr>
          <w:rFonts w:cs="Arial"/>
          <w:bCs/>
          <w:sz w:val="22"/>
          <w:szCs w:val="22"/>
          <w:lang w:val="es-AR"/>
        </w:rPr>
      </w:pPr>
    </w:p>
    <w:p w:rsidR="00E72BAC" w:rsidRPr="00794C0E" w:rsidRDefault="00E72BAC" w:rsidP="00B46137">
      <w:pPr>
        <w:pStyle w:val="ListParagraph"/>
        <w:numPr>
          <w:ilvl w:val="1"/>
          <w:numId w:val="5"/>
        </w:numPr>
        <w:ind w:left="0" w:firstLine="0"/>
        <w:jc w:val="both"/>
        <w:rPr>
          <w:rFonts w:cs="Arial"/>
          <w:bCs/>
          <w:sz w:val="22"/>
          <w:szCs w:val="22"/>
          <w:lang w:val="es-AR"/>
        </w:rPr>
      </w:pPr>
      <w:r w:rsidRPr="00794C0E">
        <w:rPr>
          <w:rFonts w:cs="Arial"/>
          <w:bCs/>
          <w:sz w:val="22"/>
          <w:szCs w:val="22"/>
          <w:lang w:val="es-AR"/>
        </w:rPr>
        <w:t xml:space="preserve">Los resultados de la evaluación arrojan un valor del VAN positivo de </w:t>
      </w:r>
      <w:r w:rsidR="00B46137" w:rsidRPr="00794C0E">
        <w:rPr>
          <w:rFonts w:cs="Arial"/>
          <w:b/>
          <w:bCs/>
          <w:sz w:val="22"/>
          <w:szCs w:val="22"/>
          <w:lang w:val="es-AR"/>
        </w:rPr>
        <w:t>U$</w:t>
      </w:r>
      <w:r w:rsidRPr="00794C0E">
        <w:rPr>
          <w:rFonts w:cs="Arial"/>
          <w:b/>
          <w:bCs/>
          <w:sz w:val="22"/>
          <w:szCs w:val="22"/>
          <w:lang w:val="es-AR"/>
        </w:rPr>
        <w:t>S</w:t>
      </w:r>
      <w:r w:rsidR="00B46137" w:rsidRPr="00794C0E">
        <w:rPr>
          <w:rFonts w:cs="Arial"/>
          <w:b/>
          <w:bCs/>
          <w:sz w:val="22"/>
          <w:szCs w:val="22"/>
          <w:lang w:val="es-AR"/>
        </w:rPr>
        <w:t xml:space="preserve">404.482 </w:t>
      </w:r>
      <w:r w:rsidRPr="00794C0E">
        <w:rPr>
          <w:rFonts w:cs="Arial"/>
          <w:bCs/>
          <w:sz w:val="22"/>
          <w:szCs w:val="22"/>
          <w:lang w:val="es-AR"/>
        </w:rPr>
        <w:t>y una TIR de</w:t>
      </w:r>
      <w:r w:rsidRPr="00794C0E">
        <w:rPr>
          <w:rFonts w:cs="Arial"/>
          <w:b/>
          <w:bCs/>
          <w:sz w:val="22"/>
          <w:szCs w:val="22"/>
          <w:lang w:val="es-AR"/>
        </w:rPr>
        <w:t xml:space="preserve"> </w:t>
      </w:r>
      <w:r w:rsidR="00B46137" w:rsidRPr="00794C0E">
        <w:rPr>
          <w:rFonts w:cs="Arial"/>
          <w:b/>
          <w:bCs/>
          <w:sz w:val="22"/>
          <w:szCs w:val="22"/>
          <w:lang w:val="es-AR"/>
        </w:rPr>
        <w:t xml:space="preserve">22,32 </w:t>
      </w:r>
      <w:r w:rsidRPr="00794C0E">
        <w:rPr>
          <w:rFonts w:cs="Arial"/>
          <w:b/>
          <w:bCs/>
          <w:sz w:val="22"/>
          <w:szCs w:val="22"/>
          <w:lang w:val="es-AR"/>
        </w:rPr>
        <w:t>%</w:t>
      </w:r>
      <w:r w:rsidRPr="00794C0E">
        <w:rPr>
          <w:rFonts w:cs="Arial"/>
          <w:bCs/>
          <w:sz w:val="22"/>
          <w:szCs w:val="22"/>
          <w:lang w:val="es-AR"/>
        </w:rPr>
        <w:t xml:space="preserve"> superior a la tasas de descuento utilizada para el análisis.</w:t>
      </w:r>
    </w:p>
    <w:p w:rsidR="00B46137" w:rsidRPr="00794C0E" w:rsidRDefault="00B46137">
      <w:pPr>
        <w:rPr>
          <w:rFonts w:cs="Arial"/>
          <w:b/>
          <w:bCs/>
          <w:lang w:val="es-AR"/>
        </w:rPr>
      </w:pPr>
    </w:p>
    <w:p w:rsidR="00B46137" w:rsidRPr="00794C0E" w:rsidRDefault="00B46137" w:rsidP="00B46137">
      <w:pPr>
        <w:jc w:val="center"/>
        <w:rPr>
          <w:rFonts w:cs="Arial"/>
          <w:b/>
          <w:bCs/>
          <w:lang w:val="es-AR"/>
        </w:rPr>
      </w:pPr>
      <w:r w:rsidRPr="00794C0E">
        <w:rPr>
          <w:rFonts w:cs="Arial"/>
          <w:b/>
          <w:bCs/>
          <w:lang w:val="es-AR"/>
        </w:rPr>
        <w:t xml:space="preserve">Tabla </w:t>
      </w:r>
      <w:r w:rsidR="00EC7B25" w:rsidRPr="00794C0E">
        <w:rPr>
          <w:rFonts w:cs="Arial"/>
          <w:b/>
          <w:bCs/>
          <w:lang w:val="es-AR"/>
        </w:rPr>
        <w:t>15</w:t>
      </w:r>
      <w:r w:rsidRPr="00794C0E">
        <w:rPr>
          <w:rFonts w:cs="Arial"/>
          <w:b/>
          <w:bCs/>
          <w:lang w:val="es-AR"/>
        </w:rPr>
        <w:t>. VAN, TIR (PISA)</w:t>
      </w:r>
    </w:p>
    <w:tbl>
      <w:tblPr>
        <w:tblW w:w="9219" w:type="dxa"/>
        <w:tblInd w:w="65" w:type="dxa"/>
        <w:tblCellMar>
          <w:left w:w="70" w:type="dxa"/>
          <w:right w:w="70" w:type="dxa"/>
        </w:tblCellMar>
        <w:tblLook w:val="04A0" w:firstRow="1" w:lastRow="0" w:firstColumn="1" w:lastColumn="0" w:noHBand="0" w:noVBand="1"/>
      </w:tblPr>
      <w:tblGrid>
        <w:gridCol w:w="1281"/>
        <w:gridCol w:w="3119"/>
        <w:gridCol w:w="1559"/>
        <w:gridCol w:w="1201"/>
        <w:gridCol w:w="2059"/>
      </w:tblGrid>
      <w:tr w:rsidR="00B46137" w:rsidRPr="00794C0E" w:rsidTr="00F44634">
        <w:trPr>
          <w:trHeight w:val="20"/>
        </w:trPr>
        <w:tc>
          <w:tcPr>
            <w:tcW w:w="128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46137" w:rsidRPr="00794C0E" w:rsidRDefault="00B46137" w:rsidP="00F44634">
            <w:pPr>
              <w:jc w:val="center"/>
              <w:rPr>
                <w:rFonts w:cs="Arial"/>
                <w:b/>
                <w:bCs/>
                <w:color w:val="000000"/>
                <w:sz w:val="18"/>
                <w:szCs w:val="18"/>
                <w:lang w:val="es-ES" w:eastAsia="es-ES"/>
              </w:rPr>
            </w:pPr>
            <w:r w:rsidRPr="00794C0E">
              <w:rPr>
                <w:rFonts w:cs="Arial"/>
                <w:b/>
                <w:bCs/>
                <w:color w:val="000000"/>
                <w:sz w:val="18"/>
                <w:szCs w:val="18"/>
                <w:lang w:val="es-ES" w:eastAsia="es-ES"/>
              </w:rPr>
              <w:t>Años</w:t>
            </w:r>
          </w:p>
        </w:tc>
        <w:tc>
          <w:tcPr>
            <w:tcW w:w="3119" w:type="dxa"/>
            <w:tcBorders>
              <w:top w:val="single" w:sz="4" w:space="0" w:color="auto"/>
              <w:left w:val="nil"/>
              <w:bottom w:val="single" w:sz="4" w:space="0" w:color="auto"/>
              <w:right w:val="single" w:sz="4" w:space="0" w:color="auto"/>
            </w:tcBorders>
            <w:shd w:val="clear" w:color="000000" w:fill="D9D9D9"/>
            <w:vAlign w:val="center"/>
            <w:hideMark/>
          </w:tcPr>
          <w:p w:rsidR="00B46137" w:rsidRPr="00794C0E" w:rsidRDefault="00B46137" w:rsidP="00F44634">
            <w:pPr>
              <w:jc w:val="center"/>
              <w:rPr>
                <w:rFonts w:cs="Arial"/>
                <w:b/>
                <w:bCs/>
                <w:color w:val="000000"/>
                <w:sz w:val="18"/>
                <w:szCs w:val="18"/>
                <w:lang w:val="es-ES" w:eastAsia="es-ES"/>
              </w:rPr>
            </w:pPr>
            <w:r w:rsidRPr="00794C0E">
              <w:rPr>
                <w:rFonts w:cs="Arial"/>
                <w:b/>
                <w:bCs/>
                <w:color w:val="000000"/>
                <w:sz w:val="18"/>
                <w:szCs w:val="18"/>
                <w:lang w:val="es-ES" w:eastAsia="es-ES"/>
              </w:rPr>
              <w:t>Inversión</w:t>
            </w:r>
            <w:r w:rsidRPr="00794C0E">
              <w:rPr>
                <w:rFonts w:cs="Arial"/>
                <w:b/>
                <w:bCs/>
                <w:color w:val="000000"/>
                <w:sz w:val="18"/>
                <w:szCs w:val="18"/>
                <w:lang w:val="es-ES" w:eastAsia="es-ES"/>
              </w:rPr>
              <w:br/>
              <w:t>(a precios sociales)</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B46137" w:rsidRPr="00794C0E" w:rsidRDefault="00B46137" w:rsidP="00F44634">
            <w:pPr>
              <w:jc w:val="center"/>
              <w:rPr>
                <w:rFonts w:cs="Arial"/>
                <w:b/>
                <w:bCs/>
                <w:color w:val="000000"/>
                <w:sz w:val="18"/>
                <w:szCs w:val="18"/>
                <w:lang w:val="es-ES" w:eastAsia="es-ES"/>
              </w:rPr>
            </w:pPr>
            <w:r w:rsidRPr="00794C0E">
              <w:rPr>
                <w:rFonts w:cs="Arial"/>
                <w:b/>
                <w:bCs/>
                <w:color w:val="000000"/>
                <w:sz w:val="18"/>
                <w:szCs w:val="18"/>
                <w:lang w:val="es-ES" w:eastAsia="es-ES"/>
              </w:rPr>
              <w:t>Mantenimiento y Operación</w:t>
            </w:r>
          </w:p>
        </w:tc>
        <w:tc>
          <w:tcPr>
            <w:tcW w:w="1201" w:type="dxa"/>
            <w:tcBorders>
              <w:top w:val="single" w:sz="4" w:space="0" w:color="auto"/>
              <w:left w:val="nil"/>
              <w:bottom w:val="single" w:sz="4" w:space="0" w:color="auto"/>
              <w:right w:val="single" w:sz="4" w:space="0" w:color="auto"/>
            </w:tcBorders>
            <w:shd w:val="clear" w:color="000000" w:fill="D9D9D9"/>
            <w:vAlign w:val="center"/>
            <w:hideMark/>
          </w:tcPr>
          <w:p w:rsidR="00B46137" w:rsidRPr="00794C0E" w:rsidRDefault="00B46137" w:rsidP="00F44634">
            <w:pPr>
              <w:jc w:val="center"/>
              <w:rPr>
                <w:rFonts w:cs="Arial"/>
                <w:b/>
                <w:bCs/>
                <w:color w:val="000000"/>
                <w:sz w:val="18"/>
                <w:szCs w:val="18"/>
                <w:lang w:val="es-ES" w:eastAsia="es-ES"/>
              </w:rPr>
            </w:pPr>
            <w:r w:rsidRPr="00794C0E">
              <w:rPr>
                <w:rFonts w:cs="Arial"/>
                <w:b/>
                <w:bCs/>
                <w:color w:val="000000"/>
                <w:sz w:val="18"/>
                <w:szCs w:val="18"/>
                <w:lang w:val="es-ES" w:eastAsia="es-ES"/>
              </w:rPr>
              <w:t>Beneficios</w:t>
            </w:r>
          </w:p>
        </w:tc>
        <w:tc>
          <w:tcPr>
            <w:tcW w:w="2059" w:type="dxa"/>
            <w:tcBorders>
              <w:top w:val="single" w:sz="4" w:space="0" w:color="auto"/>
              <w:left w:val="nil"/>
              <w:bottom w:val="single" w:sz="4" w:space="0" w:color="auto"/>
              <w:right w:val="single" w:sz="4" w:space="0" w:color="auto"/>
            </w:tcBorders>
            <w:shd w:val="clear" w:color="000000" w:fill="D9D9D9"/>
            <w:vAlign w:val="center"/>
            <w:hideMark/>
          </w:tcPr>
          <w:p w:rsidR="00B46137" w:rsidRPr="00794C0E" w:rsidRDefault="00B46137" w:rsidP="00F44634">
            <w:pPr>
              <w:jc w:val="center"/>
              <w:rPr>
                <w:rFonts w:cs="Arial"/>
                <w:b/>
                <w:bCs/>
                <w:color w:val="000000"/>
                <w:sz w:val="18"/>
                <w:szCs w:val="18"/>
                <w:lang w:val="es-ES" w:eastAsia="es-ES"/>
              </w:rPr>
            </w:pPr>
            <w:r w:rsidRPr="00794C0E">
              <w:rPr>
                <w:rFonts w:cs="Arial"/>
                <w:b/>
                <w:bCs/>
                <w:color w:val="000000"/>
                <w:sz w:val="18"/>
                <w:szCs w:val="18"/>
                <w:lang w:val="es-ES" w:eastAsia="es-ES"/>
              </w:rPr>
              <w:t>Beneficios Netos</w:t>
            </w:r>
          </w:p>
        </w:tc>
      </w:tr>
      <w:tr w:rsidR="00B46137" w:rsidRPr="00794C0E" w:rsidTr="00F44634">
        <w:trPr>
          <w:trHeight w:val="2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0</w:t>
            </w:r>
          </w:p>
        </w:tc>
        <w:tc>
          <w:tcPr>
            <w:tcW w:w="311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1.452.745,5 </w:t>
            </w:r>
          </w:p>
        </w:tc>
        <w:tc>
          <w:tcPr>
            <w:tcW w:w="15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rPr>
                <w:rFonts w:cs="Arial"/>
                <w:color w:val="000000"/>
                <w:sz w:val="18"/>
                <w:szCs w:val="18"/>
                <w:lang w:val="es-ES" w:eastAsia="es-ES"/>
              </w:rPr>
            </w:pPr>
            <w:r w:rsidRPr="00794C0E">
              <w:rPr>
                <w:rFonts w:cs="Arial"/>
                <w:color w:val="000000"/>
                <w:sz w:val="18"/>
                <w:szCs w:val="18"/>
                <w:lang w:val="es-ES" w:eastAsia="es-ES"/>
              </w:rPr>
              <w:t> </w:t>
            </w:r>
          </w:p>
        </w:tc>
        <w:tc>
          <w:tcPr>
            <w:tcW w:w="1201"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rPr>
                <w:rFonts w:cs="Arial"/>
                <w:color w:val="000000"/>
                <w:sz w:val="18"/>
                <w:szCs w:val="18"/>
                <w:lang w:val="es-ES" w:eastAsia="es-ES"/>
              </w:rPr>
            </w:pPr>
            <w:r w:rsidRPr="00794C0E">
              <w:rPr>
                <w:rFonts w:cs="Arial"/>
                <w:color w:val="000000"/>
                <w:sz w:val="18"/>
                <w:szCs w:val="18"/>
                <w:lang w:val="es-ES" w:eastAsia="es-ES"/>
              </w:rPr>
              <w:t> </w:t>
            </w:r>
          </w:p>
        </w:tc>
        <w:tc>
          <w:tcPr>
            <w:tcW w:w="20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-1.452.745,5 </w:t>
            </w:r>
          </w:p>
        </w:tc>
      </w:tr>
      <w:tr w:rsidR="00B46137" w:rsidRPr="00794C0E" w:rsidTr="00F44634">
        <w:trPr>
          <w:trHeight w:val="2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1</w:t>
            </w:r>
          </w:p>
        </w:tc>
        <w:tc>
          <w:tcPr>
            <w:tcW w:w="311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1.452.745,5 </w:t>
            </w:r>
          </w:p>
        </w:tc>
        <w:tc>
          <w:tcPr>
            <w:tcW w:w="15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rPr>
                <w:rFonts w:cs="Arial"/>
                <w:color w:val="000000"/>
                <w:sz w:val="18"/>
                <w:szCs w:val="18"/>
                <w:lang w:val="es-ES" w:eastAsia="es-ES"/>
              </w:rPr>
            </w:pPr>
            <w:r w:rsidRPr="00794C0E">
              <w:rPr>
                <w:rFonts w:cs="Arial"/>
                <w:color w:val="000000"/>
                <w:sz w:val="18"/>
                <w:szCs w:val="18"/>
                <w:lang w:val="es-ES" w:eastAsia="es-ES"/>
              </w:rPr>
              <w:t> </w:t>
            </w:r>
          </w:p>
        </w:tc>
        <w:tc>
          <w:tcPr>
            <w:tcW w:w="1201"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rPr>
                <w:rFonts w:cs="Arial"/>
                <w:color w:val="000000"/>
                <w:sz w:val="18"/>
                <w:szCs w:val="18"/>
                <w:lang w:val="es-ES" w:eastAsia="es-ES"/>
              </w:rPr>
            </w:pPr>
            <w:r w:rsidRPr="00794C0E">
              <w:rPr>
                <w:rFonts w:cs="Arial"/>
                <w:color w:val="000000"/>
                <w:sz w:val="18"/>
                <w:szCs w:val="18"/>
                <w:lang w:val="es-ES" w:eastAsia="es-ES"/>
              </w:rPr>
              <w:t> </w:t>
            </w:r>
          </w:p>
        </w:tc>
        <w:tc>
          <w:tcPr>
            <w:tcW w:w="20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-1.452.745,5 </w:t>
            </w:r>
          </w:p>
        </w:tc>
      </w:tr>
      <w:tr w:rsidR="00B46137" w:rsidRPr="00794C0E" w:rsidTr="00F44634">
        <w:trPr>
          <w:trHeight w:val="2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2</w:t>
            </w:r>
          </w:p>
        </w:tc>
        <w:tc>
          <w:tcPr>
            <w:tcW w:w="311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 </w:t>
            </w:r>
          </w:p>
        </w:tc>
        <w:tc>
          <w:tcPr>
            <w:tcW w:w="15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29.054,9 </w:t>
            </w:r>
          </w:p>
        </w:tc>
        <w:tc>
          <w:tcPr>
            <w:tcW w:w="1201"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2.264.332,0 </w:t>
            </w:r>
          </w:p>
        </w:tc>
        <w:tc>
          <w:tcPr>
            <w:tcW w:w="20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2.235.277,1 </w:t>
            </w:r>
          </w:p>
        </w:tc>
      </w:tr>
      <w:tr w:rsidR="00B46137" w:rsidRPr="00794C0E" w:rsidTr="00F44634">
        <w:trPr>
          <w:trHeight w:val="2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3</w:t>
            </w:r>
          </w:p>
        </w:tc>
        <w:tc>
          <w:tcPr>
            <w:tcW w:w="311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 </w:t>
            </w:r>
          </w:p>
        </w:tc>
        <w:tc>
          <w:tcPr>
            <w:tcW w:w="15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29.345,5 </w:t>
            </w:r>
          </w:p>
        </w:tc>
        <w:tc>
          <w:tcPr>
            <w:tcW w:w="1201"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2.264.332,0 </w:t>
            </w:r>
          </w:p>
        </w:tc>
        <w:tc>
          <w:tcPr>
            <w:tcW w:w="20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2.234.986,6 </w:t>
            </w:r>
          </w:p>
        </w:tc>
      </w:tr>
      <w:tr w:rsidR="00B46137" w:rsidRPr="00794C0E" w:rsidTr="00F44634">
        <w:trPr>
          <w:trHeight w:val="2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4</w:t>
            </w:r>
          </w:p>
        </w:tc>
        <w:tc>
          <w:tcPr>
            <w:tcW w:w="311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 </w:t>
            </w:r>
          </w:p>
        </w:tc>
        <w:tc>
          <w:tcPr>
            <w:tcW w:w="15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29.638,9 </w:t>
            </w:r>
          </w:p>
        </w:tc>
        <w:tc>
          <w:tcPr>
            <w:tcW w:w="1201"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rPr>
                <w:rFonts w:cs="Arial"/>
                <w:color w:val="000000"/>
                <w:sz w:val="18"/>
                <w:szCs w:val="18"/>
                <w:lang w:val="es-ES" w:eastAsia="es-ES"/>
              </w:rPr>
            </w:pPr>
            <w:r w:rsidRPr="00794C0E">
              <w:rPr>
                <w:rFonts w:cs="Arial"/>
                <w:color w:val="000000"/>
                <w:sz w:val="18"/>
                <w:szCs w:val="18"/>
                <w:lang w:val="es-ES" w:eastAsia="es-ES"/>
              </w:rPr>
              <w:t> </w:t>
            </w:r>
          </w:p>
        </w:tc>
        <w:tc>
          <w:tcPr>
            <w:tcW w:w="20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-29.638,9 </w:t>
            </w:r>
          </w:p>
        </w:tc>
      </w:tr>
      <w:tr w:rsidR="00B46137" w:rsidRPr="00794C0E" w:rsidTr="00F44634">
        <w:trPr>
          <w:trHeight w:val="2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5</w:t>
            </w:r>
          </w:p>
        </w:tc>
        <w:tc>
          <w:tcPr>
            <w:tcW w:w="311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 </w:t>
            </w:r>
          </w:p>
        </w:tc>
        <w:tc>
          <w:tcPr>
            <w:tcW w:w="15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29.935,3 </w:t>
            </w:r>
          </w:p>
        </w:tc>
        <w:tc>
          <w:tcPr>
            <w:tcW w:w="1201"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rPr>
                <w:rFonts w:cs="Arial"/>
                <w:color w:val="000000"/>
                <w:sz w:val="18"/>
                <w:szCs w:val="18"/>
                <w:lang w:val="es-ES" w:eastAsia="es-ES"/>
              </w:rPr>
            </w:pPr>
            <w:r w:rsidRPr="00794C0E">
              <w:rPr>
                <w:rFonts w:cs="Arial"/>
                <w:color w:val="000000"/>
                <w:sz w:val="18"/>
                <w:szCs w:val="18"/>
                <w:lang w:val="es-ES" w:eastAsia="es-ES"/>
              </w:rPr>
              <w:t> </w:t>
            </w:r>
          </w:p>
        </w:tc>
        <w:tc>
          <w:tcPr>
            <w:tcW w:w="20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-29.935,3 </w:t>
            </w:r>
          </w:p>
        </w:tc>
      </w:tr>
      <w:tr w:rsidR="00B46137" w:rsidRPr="00794C0E" w:rsidTr="00F44634">
        <w:trPr>
          <w:trHeight w:val="2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6</w:t>
            </w:r>
          </w:p>
        </w:tc>
        <w:tc>
          <w:tcPr>
            <w:tcW w:w="311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 </w:t>
            </w:r>
          </w:p>
        </w:tc>
        <w:tc>
          <w:tcPr>
            <w:tcW w:w="15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30.234,7 </w:t>
            </w:r>
          </w:p>
        </w:tc>
        <w:tc>
          <w:tcPr>
            <w:tcW w:w="1201"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rPr>
                <w:rFonts w:cs="Arial"/>
                <w:color w:val="000000"/>
                <w:sz w:val="18"/>
                <w:szCs w:val="18"/>
                <w:lang w:val="es-ES" w:eastAsia="es-ES"/>
              </w:rPr>
            </w:pPr>
            <w:r w:rsidRPr="00794C0E">
              <w:rPr>
                <w:rFonts w:cs="Arial"/>
                <w:color w:val="000000"/>
                <w:sz w:val="18"/>
                <w:szCs w:val="18"/>
                <w:lang w:val="es-ES" w:eastAsia="es-ES"/>
              </w:rPr>
              <w:t> </w:t>
            </w:r>
          </w:p>
        </w:tc>
        <w:tc>
          <w:tcPr>
            <w:tcW w:w="20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-30.234,7 </w:t>
            </w:r>
          </w:p>
        </w:tc>
      </w:tr>
      <w:tr w:rsidR="00B46137" w:rsidRPr="00794C0E" w:rsidTr="00F44634">
        <w:trPr>
          <w:trHeight w:val="2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7</w:t>
            </w:r>
          </w:p>
        </w:tc>
        <w:tc>
          <w:tcPr>
            <w:tcW w:w="311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 </w:t>
            </w:r>
          </w:p>
        </w:tc>
        <w:tc>
          <w:tcPr>
            <w:tcW w:w="15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30.537,0 </w:t>
            </w:r>
          </w:p>
        </w:tc>
        <w:tc>
          <w:tcPr>
            <w:tcW w:w="1201"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rPr>
                <w:rFonts w:cs="Arial"/>
                <w:color w:val="000000"/>
                <w:sz w:val="18"/>
                <w:szCs w:val="18"/>
                <w:lang w:val="es-ES" w:eastAsia="es-ES"/>
              </w:rPr>
            </w:pPr>
            <w:r w:rsidRPr="00794C0E">
              <w:rPr>
                <w:rFonts w:cs="Arial"/>
                <w:color w:val="000000"/>
                <w:sz w:val="18"/>
                <w:szCs w:val="18"/>
                <w:lang w:val="es-ES" w:eastAsia="es-ES"/>
              </w:rPr>
              <w:t> </w:t>
            </w:r>
          </w:p>
        </w:tc>
        <w:tc>
          <w:tcPr>
            <w:tcW w:w="20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-30.537,0 </w:t>
            </w:r>
          </w:p>
        </w:tc>
      </w:tr>
      <w:tr w:rsidR="00B46137" w:rsidRPr="00794C0E" w:rsidTr="00F44634">
        <w:trPr>
          <w:trHeight w:val="2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8</w:t>
            </w:r>
          </w:p>
        </w:tc>
        <w:tc>
          <w:tcPr>
            <w:tcW w:w="311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 </w:t>
            </w:r>
          </w:p>
        </w:tc>
        <w:tc>
          <w:tcPr>
            <w:tcW w:w="15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30.842,4 </w:t>
            </w:r>
          </w:p>
        </w:tc>
        <w:tc>
          <w:tcPr>
            <w:tcW w:w="1201"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rPr>
                <w:rFonts w:cs="Arial"/>
                <w:color w:val="000000"/>
                <w:sz w:val="18"/>
                <w:szCs w:val="18"/>
                <w:lang w:val="es-ES" w:eastAsia="es-ES"/>
              </w:rPr>
            </w:pPr>
            <w:r w:rsidRPr="00794C0E">
              <w:rPr>
                <w:rFonts w:cs="Arial"/>
                <w:color w:val="000000"/>
                <w:sz w:val="18"/>
                <w:szCs w:val="18"/>
                <w:lang w:val="es-ES" w:eastAsia="es-ES"/>
              </w:rPr>
              <w:t> </w:t>
            </w:r>
          </w:p>
        </w:tc>
        <w:tc>
          <w:tcPr>
            <w:tcW w:w="20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-30.842,4 </w:t>
            </w:r>
          </w:p>
        </w:tc>
      </w:tr>
      <w:tr w:rsidR="00B46137" w:rsidRPr="00794C0E" w:rsidTr="00F44634">
        <w:trPr>
          <w:trHeight w:val="2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9</w:t>
            </w:r>
          </w:p>
        </w:tc>
        <w:tc>
          <w:tcPr>
            <w:tcW w:w="311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 </w:t>
            </w:r>
          </w:p>
        </w:tc>
        <w:tc>
          <w:tcPr>
            <w:tcW w:w="15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31.150,8 </w:t>
            </w:r>
          </w:p>
        </w:tc>
        <w:tc>
          <w:tcPr>
            <w:tcW w:w="1201"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rPr>
                <w:rFonts w:cs="Arial"/>
                <w:color w:val="000000"/>
                <w:sz w:val="18"/>
                <w:szCs w:val="18"/>
                <w:lang w:val="es-ES" w:eastAsia="es-ES"/>
              </w:rPr>
            </w:pPr>
            <w:r w:rsidRPr="00794C0E">
              <w:rPr>
                <w:rFonts w:cs="Arial"/>
                <w:color w:val="000000"/>
                <w:sz w:val="18"/>
                <w:szCs w:val="18"/>
                <w:lang w:val="es-ES" w:eastAsia="es-ES"/>
              </w:rPr>
              <w:t> </w:t>
            </w:r>
          </w:p>
        </w:tc>
        <w:tc>
          <w:tcPr>
            <w:tcW w:w="20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-31.150,8 </w:t>
            </w:r>
          </w:p>
        </w:tc>
      </w:tr>
      <w:tr w:rsidR="00B46137" w:rsidRPr="00794C0E" w:rsidTr="00F44634">
        <w:trPr>
          <w:trHeight w:val="2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10</w:t>
            </w:r>
          </w:p>
        </w:tc>
        <w:tc>
          <w:tcPr>
            <w:tcW w:w="311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 </w:t>
            </w:r>
          </w:p>
        </w:tc>
        <w:tc>
          <w:tcPr>
            <w:tcW w:w="15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31.462,3 </w:t>
            </w:r>
          </w:p>
        </w:tc>
        <w:tc>
          <w:tcPr>
            <w:tcW w:w="1201"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rPr>
                <w:rFonts w:cs="Arial"/>
                <w:color w:val="000000"/>
                <w:sz w:val="18"/>
                <w:szCs w:val="18"/>
                <w:lang w:val="es-ES" w:eastAsia="es-ES"/>
              </w:rPr>
            </w:pPr>
            <w:r w:rsidRPr="00794C0E">
              <w:rPr>
                <w:rFonts w:cs="Arial"/>
                <w:color w:val="000000"/>
                <w:sz w:val="18"/>
                <w:szCs w:val="18"/>
                <w:lang w:val="es-ES" w:eastAsia="es-ES"/>
              </w:rPr>
              <w:t> </w:t>
            </w:r>
          </w:p>
        </w:tc>
        <w:tc>
          <w:tcPr>
            <w:tcW w:w="20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-31.462,3 </w:t>
            </w:r>
          </w:p>
        </w:tc>
      </w:tr>
      <w:tr w:rsidR="00B46137" w:rsidRPr="00794C0E" w:rsidTr="00F44634">
        <w:trPr>
          <w:trHeight w:val="2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11</w:t>
            </w:r>
          </w:p>
        </w:tc>
        <w:tc>
          <w:tcPr>
            <w:tcW w:w="311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 </w:t>
            </w:r>
          </w:p>
        </w:tc>
        <w:tc>
          <w:tcPr>
            <w:tcW w:w="15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31.776,9 </w:t>
            </w:r>
          </w:p>
        </w:tc>
        <w:tc>
          <w:tcPr>
            <w:tcW w:w="1201"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rPr>
                <w:rFonts w:cs="Arial"/>
                <w:color w:val="000000"/>
                <w:sz w:val="18"/>
                <w:szCs w:val="18"/>
                <w:lang w:val="es-ES" w:eastAsia="es-ES"/>
              </w:rPr>
            </w:pPr>
            <w:r w:rsidRPr="00794C0E">
              <w:rPr>
                <w:rFonts w:cs="Arial"/>
                <w:color w:val="000000"/>
                <w:sz w:val="18"/>
                <w:szCs w:val="18"/>
                <w:lang w:val="es-ES" w:eastAsia="es-ES"/>
              </w:rPr>
              <w:t> </w:t>
            </w:r>
          </w:p>
        </w:tc>
        <w:tc>
          <w:tcPr>
            <w:tcW w:w="20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-31.776,9 </w:t>
            </w:r>
          </w:p>
        </w:tc>
      </w:tr>
      <w:tr w:rsidR="00B46137" w:rsidRPr="00794C0E" w:rsidTr="00F44634">
        <w:trPr>
          <w:trHeight w:val="2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12</w:t>
            </w:r>
          </w:p>
        </w:tc>
        <w:tc>
          <w:tcPr>
            <w:tcW w:w="311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 </w:t>
            </w:r>
          </w:p>
        </w:tc>
        <w:tc>
          <w:tcPr>
            <w:tcW w:w="15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32.094,7 </w:t>
            </w:r>
          </w:p>
        </w:tc>
        <w:tc>
          <w:tcPr>
            <w:tcW w:w="1201"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rPr>
                <w:rFonts w:cs="Arial"/>
                <w:color w:val="000000"/>
                <w:sz w:val="18"/>
                <w:szCs w:val="18"/>
                <w:lang w:val="es-ES" w:eastAsia="es-ES"/>
              </w:rPr>
            </w:pPr>
            <w:r w:rsidRPr="00794C0E">
              <w:rPr>
                <w:rFonts w:cs="Arial"/>
                <w:color w:val="000000"/>
                <w:sz w:val="18"/>
                <w:szCs w:val="18"/>
                <w:lang w:val="es-ES" w:eastAsia="es-ES"/>
              </w:rPr>
              <w:t> </w:t>
            </w:r>
          </w:p>
        </w:tc>
        <w:tc>
          <w:tcPr>
            <w:tcW w:w="20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-32.094,7 </w:t>
            </w:r>
          </w:p>
        </w:tc>
      </w:tr>
      <w:tr w:rsidR="00B46137" w:rsidRPr="00794C0E" w:rsidTr="00F44634">
        <w:trPr>
          <w:trHeight w:val="2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13</w:t>
            </w:r>
          </w:p>
        </w:tc>
        <w:tc>
          <w:tcPr>
            <w:tcW w:w="311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 </w:t>
            </w:r>
          </w:p>
        </w:tc>
        <w:tc>
          <w:tcPr>
            <w:tcW w:w="15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32.415,6 </w:t>
            </w:r>
          </w:p>
        </w:tc>
        <w:tc>
          <w:tcPr>
            <w:tcW w:w="1201"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rPr>
                <w:rFonts w:cs="Arial"/>
                <w:color w:val="000000"/>
                <w:sz w:val="18"/>
                <w:szCs w:val="18"/>
                <w:lang w:val="es-ES" w:eastAsia="es-ES"/>
              </w:rPr>
            </w:pPr>
            <w:r w:rsidRPr="00794C0E">
              <w:rPr>
                <w:rFonts w:cs="Arial"/>
                <w:color w:val="000000"/>
                <w:sz w:val="18"/>
                <w:szCs w:val="18"/>
                <w:lang w:val="es-ES" w:eastAsia="es-ES"/>
              </w:rPr>
              <w:t> </w:t>
            </w:r>
          </w:p>
        </w:tc>
        <w:tc>
          <w:tcPr>
            <w:tcW w:w="20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-32.415,6 </w:t>
            </w:r>
          </w:p>
        </w:tc>
      </w:tr>
      <w:tr w:rsidR="00B46137" w:rsidRPr="00794C0E" w:rsidTr="00F44634">
        <w:trPr>
          <w:trHeight w:val="2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14</w:t>
            </w:r>
          </w:p>
        </w:tc>
        <w:tc>
          <w:tcPr>
            <w:tcW w:w="311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 </w:t>
            </w:r>
          </w:p>
        </w:tc>
        <w:tc>
          <w:tcPr>
            <w:tcW w:w="15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32.739,8 </w:t>
            </w:r>
          </w:p>
        </w:tc>
        <w:tc>
          <w:tcPr>
            <w:tcW w:w="1201"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rPr>
                <w:rFonts w:cs="Arial"/>
                <w:color w:val="000000"/>
                <w:sz w:val="18"/>
                <w:szCs w:val="18"/>
                <w:lang w:val="es-ES" w:eastAsia="es-ES"/>
              </w:rPr>
            </w:pPr>
            <w:r w:rsidRPr="00794C0E">
              <w:rPr>
                <w:rFonts w:cs="Arial"/>
                <w:color w:val="000000"/>
                <w:sz w:val="18"/>
                <w:szCs w:val="18"/>
                <w:lang w:val="es-ES" w:eastAsia="es-ES"/>
              </w:rPr>
              <w:t> </w:t>
            </w:r>
          </w:p>
        </w:tc>
        <w:tc>
          <w:tcPr>
            <w:tcW w:w="20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-32.739,8 </w:t>
            </w:r>
          </w:p>
        </w:tc>
      </w:tr>
      <w:tr w:rsidR="00B46137" w:rsidRPr="00794C0E" w:rsidTr="00F44634">
        <w:trPr>
          <w:trHeight w:val="2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15</w:t>
            </w:r>
          </w:p>
        </w:tc>
        <w:tc>
          <w:tcPr>
            <w:tcW w:w="311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 </w:t>
            </w:r>
          </w:p>
        </w:tc>
        <w:tc>
          <w:tcPr>
            <w:tcW w:w="15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33.067,2 </w:t>
            </w:r>
          </w:p>
        </w:tc>
        <w:tc>
          <w:tcPr>
            <w:tcW w:w="1201"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rPr>
                <w:rFonts w:cs="Arial"/>
                <w:color w:val="000000"/>
                <w:sz w:val="18"/>
                <w:szCs w:val="18"/>
                <w:lang w:val="es-ES" w:eastAsia="es-ES"/>
              </w:rPr>
            </w:pPr>
            <w:r w:rsidRPr="00794C0E">
              <w:rPr>
                <w:rFonts w:cs="Arial"/>
                <w:color w:val="000000"/>
                <w:sz w:val="18"/>
                <w:szCs w:val="18"/>
                <w:lang w:val="es-ES" w:eastAsia="es-ES"/>
              </w:rPr>
              <w:t> </w:t>
            </w:r>
          </w:p>
        </w:tc>
        <w:tc>
          <w:tcPr>
            <w:tcW w:w="20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-33.067,2 </w:t>
            </w:r>
          </w:p>
        </w:tc>
      </w:tr>
      <w:tr w:rsidR="00B46137" w:rsidRPr="00794C0E" w:rsidTr="00F44634">
        <w:trPr>
          <w:trHeight w:val="2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16</w:t>
            </w:r>
          </w:p>
        </w:tc>
        <w:tc>
          <w:tcPr>
            <w:tcW w:w="311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 </w:t>
            </w:r>
          </w:p>
        </w:tc>
        <w:tc>
          <w:tcPr>
            <w:tcW w:w="15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33.397,9 </w:t>
            </w:r>
          </w:p>
        </w:tc>
        <w:tc>
          <w:tcPr>
            <w:tcW w:w="1201"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rPr>
                <w:rFonts w:cs="Arial"/>
                <w:color w:val="000000"/>
                <w:sz w:val="18"/>
                <w:szCs w:val="18"/>
                <w:lang w:val="es-ES" w:eastAsia="es-ES"/>
              </w:rPr>
            </w:pPr>
            <w:r w:rsidRPr="00794C0E">
              <w:rPr>
                <w:rFonts w:cs="Arial"/>
                <w:color w:val="000000"/>
                <w:sz w:val="18"/>
                <w:szCs w:val="18"/>
                <w:lang w:val="es-ES" w:eastAsia="es-ES"/>
              </w:rPr>
              <w:t> </w:t>
            </w:r>
          </w:p>
        </w:tc>
        <w:tc>
          <w:tcPr>
            <w:tcW w:w="20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-33.397,9 </w:t>
            </w:r>
          </w:p>
        </w:tc>
      </w:tr>
      <w:tr w:rsidR="00B46137" w:rsidRPr="00794C0E" w:rsidTr="00F44634">
        <w:trPr>
          <w:trHeight w:val="2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17</w:t>
            </w:r>
          </w:p>
        </w:tc>
        <w:tc>
          <w:tcPr>
            <w:tcW w:w="311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 </w:t>
            </w:r>
          </w:p>
        </w:tc>
        <w:tc>
          <w:tcPr>
            <w:tcW w:w="15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33.731,8 </w:t>
            </w:r>
          </w:p>
        </w:tc>
        <w:tc>
          <w:tcPr>
            <w:tcW w:w="1201"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rPr>
                <w:rFonts w:cs="Arial"/>
                <w:color w:val="000000"/>
                <w:sz w:val="18"/>
                <w:szCs w:val="18"/>
                <w:lang w:val="es-ES" w:eastAsia="es-ES"/>
              </w:rPr>
            </w:pPr>
            <w:r w:rsidRPr="00794C0E">
              <w:rPr>
                <w:rFonts w:cs="Arial"/>
                <w:color w:val="000000"/>
                <w:sz w:val="18"/>
                <w:szCs w:val="18"/>
                <w:lang w:val="es-ES" w:eastAsia="es-ES"/>
              </w:rPr>
              <w:t> </w:t>
            </w:r>
          </w:p>
        </w:tc>
        <w:tc>
          <w:tcPr>
            <w:tcW w:w="20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-33.731,8 </w:t>
            </w:r>
          </w:p>
        </w:tc>
      </w:tr>
      <w:tr w:rsidR="00B46137" w:rsidRPr="00794C0E" w:rsidTr="00F44634">
        <w:trPr>
          <w:trHeight w:val="2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18</w:t>
            </w:r>
          </w:p>
        </w:tc>
        <w:tc>
          <w:tcPr>
            <w:tcW w:w="311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 </w:t>
            </w:r>
          </w:p>
        </w:tc>
        <w:tc>
          <w:tcPr>
            <w:tcW w:w="15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34.069,2 </w:t>
            </w:r>
          </w:p>
        </w:tc>
        <w:tc>
          <w:tcPr>
            <w:tcW w:w="1201"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rPr>
                <w:rFonts w:cs="Arial"/>
                <w:color w:val="000000"/>
                <w:sz w:val="18"/>
                <w:szCs w:val="18"/>
                <w:lang w:val="es-ES" w:eastAsia="es-ES"/>
              </w:rPr>
            </w:pPr>
            <w:r w:rsidRPr="00794C0E">
              <w:rPr>
                <w:rFonts w:cs="Arial"/>
                <w:color w:val="000000"/>
                <w:sz w:val="18"/>
                <w:szCs w:val="18"/>
                <w:lang w:val="es-ES" w:eastAsia="es-ES"/>
              </w:rPr>
              <w:t> </w:t>
            </w:r>
          </w:p>
        </w:tc>
        <w:tc>
          <w:tcPr>
            <w:tcW w:w="20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-34.069,2 </w:t>
            </w:r>
          </w:p>
        </w:tc>
      </w:tr>
      <w:tr w:rsidR="00B46137" w:rsidRPr="00794C0E" w:rsidTr="00F44634">
        <w:trPr>
          <w:trHeight w:val="2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19</w:t>
            </w:r>
          </w:p>
        </w:tc>
        <w:tc>
          <w:tcPr>
            <w:tcW w:w="311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 </w:t>
            </w:r>
          </w:p>
        </w:tc>
        <w:tc>
          <w:tcPr>
            <w:tcW w:w="15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34.409,9 </w:t>
            </w:r>
          </w:p>
        </w:tc>
        <w:tc>
          <w:tcPr>
            <w:tcW w:w="1201"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rPr>
                <w:rFonts w:cs="Arial"/>
                <w:color w:val="000000"/>
                <w:sz w:val="18"/>
                <w:szCs w:val="18"/>
                <w:lang w:val="es-ES" w:eastAsia="es-ES"/>
              </w:rPr>
            </w:pPr>
            <w:r w:rsidRPr="00794C0E">
              <w:rPr>
                <w:rFonts w:cs="Arial"/>
                <w:color w:val="000000"/>
                <w:sz w:val="18"/>
                <w:szCs w:val="18"/>
                <w:lang w:val="es-ES" w:eastAsia="es-ES"/>
              </w:rPr>
              <w:t> </w:t>
            </w:r>
          </w:p>
        </w:tc>
        <w:tc>
          <w:tcPr>
            <w:tcW w:w="20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-34.409,9 </w:t>
            </w:r>
          </w:p>
        </w:tc>
      </w:tr>
      <w:tr w:rsidR="00B46137" w:rsidRPr="00794C0E" w:rsidTr="00F44634">
        <w:trPr>
          <w:trHeight w:val="2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20</w:t>
            </w:r>
          </w:p>
        </w:tc>
        <w:tc>
          <w:tcPr>
            <w:tcW w:w="311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 </w:t>
            </w:r>
          </w:p>
        </w:tc>
        <w:tc>
          <w:tcPr>
            <w:tcW w:w="15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34.754,0 </w:t>
            </w:r>
          </w:p>
        </w:tc>
        <w:tc>
          <w:tcPr>
            <w:tcW w:w="1201"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rPr>
                <w:rFonts w:cs="Arial"/>
                <w:color w:val="000000"/>
                <w:sz w:val="18"/>
                <w:szCs w:val="18"/>
                <w:lang w:val="es-ES" w:eastAsia="es-ES"/>
              </w:rPr>
            </w:pPr>
            <w:r w:rsidRPr="00794C0E">
              <w:rPr>
                <w:rFonts w:cs="Arial"/>
                <w:color w:val="000000"/>
                <w:sz w:val="18"/>
                <w:szCs w:val="18"/>
                <w:lang w:val="es-ES" w:eastAsia="es-ES"/>
              </w:rPr>
              <w:t> </w:t>
            </w:r>
          </w:p>
        </w:tc>
        <w:tc>
          <w:tcPr>
            <w:tcW w:w="20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-34.754,0 </w:t>
            </w:r>
          </w:p>
        </w:tc>
      </w:tr>
      <w:tr w:rsidR="00B46137" w:rsidRPr="00794C0E" w:rsidTr="00F44634">
        <w:trPr>
          <w:trHeight w:val="2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21</w:t>
            </w:r>
          </w:p>
        </w:tc>
        <w:tc>
          <w:tcPr>
            <w:tcW w:w="311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 </w:t>
            </w:r>
          </w:p>
        </w:tc>
        <w:tc>
          <w:tcPr>
            <w:tcW w:w="15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35.101,5 </w:t>
            </w:r>
          </w:p>
        </w:tc>
        <w:tc>
          <w:tcPr>
            <w:tcW w:w="1201"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rPr>
                <w:rFonts w:cs="Arial"/>
                <w:color w:val="000000"/>
                <w:sz w:val="18"/>
                <w:szCs w:val="18"/>
                <w:lang w:val="es-ES" w:eastAsia="es-ES"/>
              </w:rPr>
            </w:pPr>
            <w:r w:rsidRPr="00794C0E">
              <w:rPr>
                <w:rFonts w:cs="Arial"/>
                <w:color w:val="000000"/>
                <w:sz w:val="18"/>
                <w:szCs w:val="18"/>
                <w:lang w:val="es-ES" w:eastAsia="es-ES"/>
              </w:rPr>
              <w:t> </w:t>
            </w:r>
          </w:p>
        </w:tc>
        <w:tc>
          <w:tcPr>
            <w:tcW w:w="20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-35.101,5 </w:t>
            </w:r>
          </w:p>
        </w:tc>
      </w:tr>
      <w:tr w:rsidR="00B46137" w:rsidRPr="00794C0E" w:rsidTr="00F44634">
        <w:trPr>
          <w:trHeight w:val="2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22</w:t>
            </w:r>
          </w:p>
        </w:tc>
        <w:tc>
          <w:tcPr>
            <w:tcW w:w="311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 </w:t>
            </w:r>
          </w:p>
        </w:tc>
        <w:tc>
          <w:tcPr>
            <w:tcW w:w="15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35.452,5 </w:t>
            </w:r>
          </w:p>
        </w:tc>
        <w:tc>
          <w:tcPr>
            <w:tcW w:w="1201"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rPr>
                <w:rFonts w:cs="Arial"/>
                <w:color w:val="000000"/>
                <w:sz w:val="18"/>
                <w:szCs w:val="18"/>
                <w:lang w:val="es-ES" w:eastAsia="es-ES"/>
              </w:rPr>
            </w:pPr>
            <w:r w:rsidRPr="00794C0E">
              <w:rPr>
                <w:rFonts w:cs="Arial"/>
                <w:color w:val="000000"/>
                <w:sz w:val="18"/>
                <w:szCs w:val="18"/>
                <w:lang w:val="es-ES" w:eastAsia="es-ES"/>
              </w:rPr>
              <w:t> </w:t>
            </w:r>
          </w:p>
        </w:tc>
        <w:tc>
          <w:tcPr>
            <w:tcW w:w="20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-35.452,5 </w:t>
            </w:r>
          </w:p>
        </w:tc>
      </w:tr>
      <w:tr w:rsidR="00B46137" w:rsidRPr="00794C0E" w:rsidTr="00F44634">
        <w:trPr>
          <w:trHeight w:val="2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23</w:t>
            </w:r>
          </w:p>
        </w:tc>
        <w:tc>
          <w:tcPr>
            <w:tcW w:w="311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 </w:t>
            </w:r>
          </w:p>
        </w:tc>
        <w:tc>
          <w:tcPr>
            <w:tcW w:w="15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35.807,0 </w:t>
            </w:r>
          </w:p>
        </w:tc>
        <w:tc>
          <w:tcPr>
            <w:tcW w:w="1201"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rPr>
                <w:rFonts w:cs="Arial"/>
                <w:color w:val="000000"/>
                <w:sz w:val="18"/>
                <w:szCs w:val="18"/>
                <w:lang w:val="es-ES" w:eastAsia="es-ES"/>
              </w:rPr>
            </w:pPr>
            <w:r w:rsidRPr="00794C0E">
              <w:rPr>
                <w:rFonts w:cs="Arial"/>
                <w:color w:val="000000"/>
                <w:sz w:val="18"/>
                <w:szCs w:val="18"/>
                <w:lang w:val="es-ES" w:eastAsia="es-ES"/>
              </w:rPr>
              <w:t> </w:t>
            </w:r>
          </w:p>
        </w:tc>
        <w:tc>
          <w:tcPr>
            <w:tcW w:w="20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-35.807,0 </w:t>
            </w:r>
          </w:p>
        </w:tc>
      </w:tr>
      <w:tr w:rsidR="00B46137" w:rsidRPr="00794C0E" w:rsidTr="00F44634">
        <w:trPr>
          <w:trHeight w:val="2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24</w:t>
            </w:r>
          </w:p>
        </w:tc>
        <w:tc>
          <w:tcPr>
            <w:tcW w:w="311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center"/>
              <w:rPr>
                <w:rFonts w:cs="Arial"/>
                <w:color w:val="000000"/>
                <w:sz w:val="18"/>
                <w:szCs w:val="18"/>
                <w:lang w:val="es-ES" w:eastAsia="es-ES"/>
              </w:rPr>
            </w:pPr>
            <w:r w:rsidRPr="00794C0E">
              <w:rPr>
                <w:rFonts w:cs="Arial"/>
                <w:color w:val="000000"/>
                <w:sz w:val="18"/>
                <w:szCs w:val="18"/>
                <w:lang w:val="es-ES" w:eastAsia="es-ES"/>
              </w:rPr>
              <w:t> </w:t>
            </w:r>
          </w:p>
        </w:tc>
        <w:tc>
          <w:tcPr>
            <w:tcW w:w="15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36.165,1 </w:t>
            </w:r>
          </w:p>
        </w:tc>
        <w:tc>
          <w:tcPr>
            <w:tcW w:w="1201"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rPr>
                <w:rFonts w:cs="Arial"/>
                <w:color w:val="000000"/>
                <w:sz w:val="18"/>
                <w:szCs w:val="18"/>
                <w:lang w:val="es-ES" w:eastAsia="es-ES"/>
              </w:rPr>
            </w:pPr>
            <w:r w:rsidRPr="00794C0E">
              <w:rPr>
                <w:rFonts w:cs="Arial"/>
                <w:color w:val="000000"/>
                <w:sz w:val="18"/>
                <w:szCs w:val="18"/>
                <w:lang w:val="es-ES" w:eastAsia="es-ES"/>
              </w:rPr>
              <w:t> </w:t>
            </w:r>
          </w:p>
        </w:tc>
        <w:tc>
          <w:tcPr>
            <w:tcW w:w="2059" w:type="dxa"/>
            <w:tcBorders>
              <w:top w:val="nil"/>
              <w:left w:val="nil"/>
              <w:bottom w:val="single" w:sz="4" w:space="0" w:color="auto"/>
              <w:right w:val="single" w:sz="4" w:space="0" w:color="auto"/>
            </w:tcBorders>
            <w:shd w:val="clear" w:color="auto" w:fill="auto"/>
            <w:noWrap/>
            <w:vAlign w:val="center"/>
            <w:hideMark/>
          </w:tcPr>
          <w:p w:rsidR="00B46137" w:rsidRPr="00794C0E" w:rsidRDefault="00B46137" w:rsidP="00F44634">
            <w:pPr>
              <w:jc w:val="right"/>
              <w:rPr>
                <w:rFonts w:cs="Arial"/>
                <w:color w:val="000000"/>
                <w:sz w:val="18"/>
                <w:szCs w:val="18"/>
                <w:lang w:val="es-ES" w:eastAsia="es-ES"/>
              </w:rPr>
            </w:pPr>
            <w:r w:rsidRPr="00794C0E">
              <w:rPr>
                <w:rFonts w:cs="Arial"/>
                <w:color w:val="000000"/>
                <w:sz w:val="18"/>
                <w:szCs w:val="18"/>
                <w:lang w:val="es-ES" w:eastAsia="es-ES"/>
              </w:rPr>
              <w:t xml:space="preserve">-36.165,1 </w:t>
            </w:r>
          </w:p>
        </w:tc>
      </w:tr>
    </w:tbl>
    <w:p w:rsidR="00E843EA" w:rsidRPr="00794C0E" w:rsidRDefault="00E843EA" w:rsidP="00E843EA">
      <w:pPr>
        <w:pStyle w:val="ListParagraph"/>
        <w:ind w:left="0"/>
        <w:rPr>
          <w:rFonts w:cs="Arial"/>
          <w:bCs/>
          <w:sz w:val="22"/>
          <w:szCs w:val="22"/>
          <w:lang w:val="es-AR"/>
        </w:rPr>
      </w:pPr>
    </w:p>
    <w:p w:rsidR="00E72BAC" w:rsidRPr="00794C0E" w:rsidRDefault="00FA2538" w:rsidP="00E72BAC">
      <w:pPr>
        <w:pStyle w:val="ListParagraph"/>
        <w:numPr>
          <w:ilvl w:val="1"/>
          <w:numId w:val="5"/>
        </w:numPr>
        <w:ind w:left="0" w:firstLine="0"/>
        <w:rPr>
          <w:rFonts w:cs="Arial"/>
          <w:bCs/>
          <w:sz w:val="22"/>
          <w:szCs w:val="22"/>
          <w:lang w:val="es-AR"/>
        </w:rPr>
      </w:pPr>
      <w:r w:rsidRPr="00794C0E">
        <w:rPr>
          <w:rFonts w:cs="Arial"/>
          <w:bCs/>
          <w:sz w:val="22"/>
          <w:szCs w:val="22"/>
          <w:lang w:val="es-AR"/>
        </w:rPr>
        <w:lastRenderedPageBreak/>
        <w:t>Análisis de Sensibilidad</w:t>
      </w:r>
      <w:r w:rsidR="00CA31D3" w:rsidRPr="00794C0E">
        <w:rPr>
          <w:rFonts w:cs="Arial"/>
          <w:bCs/>
          <w:sz w:val="22"/>
          <w:szCs w:val="22"/>
          <w:lang w:val="es-AR"/>
        </w:rPr>
        <w:t xml:space="preserve">: a un nivel de confianza del 95 %, el VAN asume valores entre U$S -0.06 millones y U$S </w:t>
      </w:r>
      <w:r w:rsidR="00DC4A9D" w:rsidRPr="00794C0E">
        <w:rPr>
          <w:rFonts w:cs="Arial"/>
          <w:bCs/>
          <w:sz w:val="22"/>
          <w:szCs w:val="22"/>
          <w:lang w:val="es-AR"/>
        </w:rPr>
        <w:t>0.86 millones y la TIR entre 11.34 % y 32.92 %</w:t>
      </w:r>
    </w:p>
    <w:p w:rsidR="003252C2" w:rsidRPr="00794C0E" w:rsidRDefault="003252C2">
      <w:pPr>
        <w:rPr>
          <w:rFonts w:cs="Arial"/>
          <w:b/>
          <w:sz w:val="22"/>
          <w:szCs w:val="22"/>
          <w:lang w:val="es-AR"/>
        </w:rPr>
      </w:pPr>
    </w:p>
    <w:p w:rsidR="00CA31D3" w:rsidRPr="00794C0E" w:rsidRDefault="00CA31D3" w:rsidP="00F44634">
      <w:pPr>
        <w:jc w:val="center"/>
        <w:rPr>
          <w:rFonts w:cs="Arial"/>
        </w:rPr>
      </w:pPr>
      <w:r w:rsidRPr="00794C0E">
        <w:rPr>
          <w:rFonts w:cs="Arial"/>
          <w:noProof/>
          <w:lang w:val="es-ES_tradnl" w:eastAsia="es-ES_tradnl"/>
        </w:rPr>
        <w:drawing>
          <wp:inline distT="0" distB="0" distL="0" distR="0" wp14:anchorId="713AE841" wp14:editId="7BECF661">
            <wp:extent cx="4972050" cy="1946729"/>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72050" cy="1946729"/>
                    </a:xfrm>
                    <a:prstGeom prst="rect">
                      <a:avLst/>
                    </a:prstGeom>
                    <a:noFill/>
                    <a:ln>
                      <a:noFill/>
                    </a:ln>
                  </pic:spPr>
                </pic:pic>
              </a:graphicData>
            </a:graphic>
          </wp:inline>
        </w:drawing>
      </w:r>
    </w:p>
    <w:p w:rsidR="00CA31D3" w:rsidRPr="00794C0E" w:rsidRDefault="00CA31D3" w:rsidP="00F44634">
      <w:pPr>
        <w:jc w:val="center"/>
        <w:rPr>
          <w:rFonts w:cs="Arial"/>
        </w:rPr>
      </w:pPr>
      <w:r w:rsidRPr="00794C0E">
        <w:rPr>
          <w:rFonts w:cs="Arial"/>
          <w:noProof/>
          <w:lang w:val="es-ES_tradnl" w:eastAsia="es-ES_tradnl"/>
        </w:rPr>
        <w:drawing>
          <wp:inline distT="0" distB="0" distL="0" distR="0" wp14:anchorId="4CB4CF50" wp14:editId="4F821571">
            <wp:extent cx="4305300" cy="2642406"/>
            <wp:effectExtent l="0" t="0" r="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09211" cy="2644806"/>
                    </a:xfrm>
                    <a:prstGeom prst="rect">
                      <a:avLst/>
                    </a:prstGeom>
                    <a:noFill/>
                    <a:ln>
                      <a:noFill/>
                    </a:ln>
                  </pic:spPr>
                </pic:pic>
              </a:graphicData>
            </a:graphic>
          </wp:inline>
        </w:drawing>
      </w:r>
    </w:p>
    <w:p w:rsidR="00CA31D3" w:rsidRPr="00794C0E" w:rsidRDefault="00CA31D3" w:rsidP="00F44634">
      <w:pPr>
        <w:jc w:val="center"/>
        <w:rPr>
          <w:rFonts w:cs="Arial"/>
        </w:rPr>
      </w:pPr>
      <w:r w:rsidRPr="00794C0E">
        <w:rPr>
          <w:rFonts w:cs="Arial"/>
          <w:noProof/>
          <w:lang w:val="es-ES_tradnl" w:eastAsia="es-ES_tradnl"/>
        </w:rPr>
        <w:drawing>
          <wp:inline distT="0" distB="0" distL="0" distR="0" wp14:anchorId="4C7D60AC" wp14:editId="00F29169">
            <wp:extent cx="4267775" cy="26193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3300" cy="2622766"/>
                    </a:xfrm>
                    <a:prstGeom prst="rect">
                      <a:avLst/>
                    </a:prstGeom>
                    <a:noFill/>
                    <a:ln>
                      <a:noFill/>
                    </a:ln>
                  </pic:spPr>
                </pic:pic>
              </a:graphicData>
            </a:graphic>
          </wp:inline>
        </w:drawing>
      </w:r>
    </w:p>
    <w:p w:rsidR="003252C2" w:rsidRPr="00794C0E" w:rsidRDefault="003252C2" w:rsidP="003252C2">
      <w:pPr>
        <w:jc w:val="both"/>
        <w:rPr>
          <w:rFonts w:cs="Arial"/>
          <w:b/>
          <w:bCs/>
          <w:sz w:val="22"/>
          <w:szCs w:val="22"/>
          <w:lang w:val="pt-BR"/>
        </w:rPr>
      </w:pPr>
      <w:r w:rsidRPr="00794C0E">
        <w:rPr>
          <w:rFonts w:cs="Arial"/>
          <w:b/>
          <w:bCs/>
          <w:sz w:val="22"/>
          <w:szCs w:val="22"/>
          <w:lang w:val="pt-BR"/>
        </w:rPr>
        <w:lastRenderedPageBreak/>
        <w:t>Obras Sobre ruta Provincial Nº 8 (RPNº 8)</w:t>
      </w:r>
    </w:p>
    <w:p w:rsidR="0048416B" w:rsidRPr="00794C0E" w:rsidRDefault="0048416B" w:rsidP="009D1692">
      <w:pPr>
        <w:rPr>
          <w:rFonts w:cs="Arial"/>
          <w:b/>
          <w:sz w:val="22"/>
          <w:szCs w:val="22"/>
          <w:lang w:val="pt-BR"/>
        </w:rPr>
      </w:pPr>
    </w:p>
    <w:p w:rsidR="00C62106" w:rsidRPr="00794C0E" w:rsidRDefault="00E43808" w:rsidP="00C62106">
      <w:pPr>
        <w:pStyle w:val="ListParagraph"/>
        <w:numPr>
          <w:ilvl w:val="1"/>
          <w:numId w:val="5"/>
        </w:numPr>
        <w:ind w:left="0" w:firstLine="0"/>
        <w:jc w:val="both"/>
        <w:rPr>
          <w:rFonts w:cs="Arial"/>
          <w:bCs/>
          <w:sz w:val="22"/>
          <w:szCs w:val="22"/>
          <w:lang w:val="es-AR"/>
        </w:rPr>
      </w:pPr>
      <w:r w:rsidRPr="00794C0E">
        <w:rPr>
          <w:rFonts w:cs="Arial"/>
          <w:bCs/>
          <w:sz w:val="22"/>
          <w:szCs w:val="22"/>
          <w:lang w:val="es-AR"/>
        </w:rPr>
        <w:t xml:space="preserve">Como se describió en el capítulo 2, para evaluar la rentabilidad del proyecto se utilizó la metodología RED. Ante la evaluación se demuestra que la alternativa definida como 1, arroja un valor del </w:t>
      </w:r>
      <w:r w:rsidRPr="00794C0E">
        <w:rPr>
          <w:rFonts w:cs="Arial"/>
          <w:b/>
          <w:bCs/>
          <w:sz w:val="22"/>
          <w:szCs w:val="22"/>
          <w:lang w:val="es-AR"/>
        </w:rPr>
        <w:t>VAN positivo de U$S 1,</w:t>
      </w:r>
      <w:r w:rsidR="00C62106" w:rsidRPr="00794C0E">
        <w:rPr>
          <w:rFonts w:cs="Arial"/>
          <w:b/>
          <w:bCs/>
          <w:sz w:val="22"/>
          <w:szCs w:val="22"/>
          <w:lang w:val="es-AR"/>
        </w:rPr>
        <w:t>1</w:t>
      </w:r>
      <w:r w:rsidR="007D0A62" w:rsidRPr="00794C0E">
        <w:rPr>
          <w:rFonts w:cs="Arial"/>
          <w:b/>
          <w:bCs/>
          <w:sz w:val="22"/>
          <w:szCs w:val="22"/>
          <w:lang w:val="es-AR"/>
        </w:rPr>
        <w:t>1</w:t>
      </w:r>
      <w:r w:rsidRPr="00794C0E">
        <w:rPr>
          <w:rFonts w:cs="Arial"/>
          <w:b/>
          <w:bCs/>
          <w:sz w:val="22"/>
          <w:szCs w:val="22"/>
          <w:lang w:val="es-AR"/>
        </w:rPr>
        <w:t xml:space="preserve"> millones y una TIR de 1</w:t>
      </w:r>
      <w:r w:rsidR="00C62106" w:rsidRPr="00794C0E">
        <w:rPr>
          <w:rFonts w:cs="Arial"/>
          <w:b/>
          <w:bCs/>
          <w:sz w:val="22"/>
          <w:szCs w:val="22"/>
          <w:lang w:val="es-AR"/>
        </w:rPr>
        <w:t>4</w:t>
      </w:r>
      <w:r w:rsidRPr="00794C0E">
        <w:rPr>
          <w:rFonts w:cs="Arial"/>
          <w:b/>
          <w:bCs/>
          <w:sz w:val="22"/>
          <w:szCs w:val="22"/>
          <w:lang w:val="es-AR"/>
        </w:rPr>
        <w:t>,</w:t>
      </w:r>
      <w:r w:rsidR="00C62106" w:rsidRPr="00794C0E">
        <w:rPr>
          <w:rFonts w:cs="Arial"/>
          <w:b/>
          <w:bCs/>
          <w:sz w:val="22"/>
          <w:szCs w:val="22"/>
          <w:lang w:val="es-AR"/>
        </w:rPr>
        <w:t>89</w:t>
      </w:r>
      <w:r w:rsidRPr="00794C0E">
        <w:rPr>
          <w:rFonts w:cs="Arial"/>
          <w:b/>
          <w:bCs/>
          <w:sz w:val="22"/>
          <w:szCs w:val="22"/>
          <w:lang w:val="es-AR"/>
        </w:rPr>
        <w:t>%</w:t>
      </w:r>
      <w:r w:rsidRPr="00794C0E">
        <w:rPr>
          <w:rFonts w:cs="Arial"/>
          <w:bCs/>
          <w:sz w:val="22"/>
          <w:szCs w:val="22"/>
          <w:lang w:val="es-AR"/>
        </w:rPr>
        <w:t xml:space="preserve"> superior a la tasas de descuento. </w:t>
      </w:r>
    </w:p>
    <w:p w:rsidR="00C62106" w:rsidRPr="00794C0E" w:rsidRDefault="00C62106" w:rsidP="00C62106">
      <w:pPr>
        <w:pStyle w:val="ListParagraph"/>
        <w:ind w:left="0"/>
        <w:jc w:val="center"/>
        <w:rPr>
          <w:rFonts w:cs="Arial"/>
          <w:b/>
          <w:bCs/>
          <w:lang w:val="es-AR"/>
        </w:rPr>
      </w:pPr>
      <w:r w:rsidRPr="00794C0E">
        <w:rPr>
          <w:rFonts w:cs="Arial"/>
          <w:b/>
          <w:bCs/>
          <w:lang w:val="es-AR"/>
        </w:rPr>
        <w:t>Tabla 16</w:t>
      </w:r>
      <w:r w:rsidR="007D0A62" w:rsidRPr="00794C0E">
        <w:rPr>
          <w:rFonts w:cs="Arial"/>
          <w:b/>
          <w:bCs/>
          <w:lang w:val="es-AR"/>
        </w:rPr>
        <w:t xml:space="preserve">. </w:t>
      </w:r>
      <w:r w:rsidRPr="00794C0E">
        <w:rPr>
          <w:rFonts w:cs="Arial"/>
          <w:b/>
          <w:bCs/>
          <w:lang w:val="es-AR"/>
        </w:rPr>
        <w:t>VAN</w:t>
      </w:r>
      <w:r w:rsidR="007D0A62" w:rsidRPr="00794C0E">
        <w:rPr>
          <w:rFonts w:cs="Arial"/>
          <w:b/>
          <w:bCs/>
          <w:lang w:val="es-AR"/>
        </w:rPr>
        <w:t xml:space="preserve">, TIR </w:t>
      </w:r>
      <w:r w:rsidRPr="00794C0E">
        <w:rPr>
          <w:rFonts w:cs="Arial"/>
          <w:b/>
          <w:bCs/>
          <w:lang w:val="es-AR"/>
        </w:rPr>
        <w:t>del Proyecto</w:t>
      </w:r>
    </w:p>
    <w:p w:rsidR="007D0A62" w:rsidRPr="00794C0E" w:rsidRDefault="007D0A62" w:rsidP="00C62106">
      <w:pPr>
        <w:pStyle w:val="ListParagraph"/>
        <w:ind w:left="0"/>
        <w:jc w:val="center"/>
        <w:rPr>
          <w:rFonts w:cs="Arial"/>
          <w:b/>
          <w:bCs/>
          <w:lang w:val="es-AR"/>
        </w:rPr>
      </w:pPr>
      <w:r w:rsidRPr="00794C0E">
        <w:rPr>
          <w:rFonts w:cs="Arial"/>
          <w:noProof/>
          <w:lang w:val="es-ES_tradnl" w:eastAsia="es-ES_tradnl"/>
        </w:rPr>
        <w:drawing>
          <wp:inline distT="0" distB="0" distL="0" distR="0" wp14:anchorId="74C12456" wp14:editId="309BE41E">
            <wp:extent cx="5072914" cy="26289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72914" cy="2628900"/>
                    </a:xfrm>
                    <a:prstGeom prst="rect">
                      <a:avLst/>
                    </a:prstGeom>
                    <a:noFill/>
                    <a:ln>
                      <a:noFill/>
                    </a:ln>
                  </pic:spPr>
                </pic:pic>
              </a:graphicData>
            </a:graphic>
          </wp:inline>
        </w:drawing>
      </w:r>
    </w:p>
    <w:p w:rsidR="007D0A62" w:rsidRPr="00794C0E" w:rsidRDefault="007D0A62" w:rsidP="00794C0E">
      <w:pPr>
        <w:pStyle w:val="ListParagraph"/>
        <w:ind w:left="0" w:firstLine="720"/>
        <w:rPr>
          <w:rFonts w:cs="Arial"/>
          <w:bCs/>
          <w:sz w:val="18"/>
          <w:szCs w:val="18"/>
          <w:lang w:val="es-AR"/>
        </w:rPr>
      </w:pPr>
      <w:r w:rsidRPr="00794C0E">
        <w:rPr>
          <w:rFonts w:cs="Arial"/>
          <w:bCs/>
          <w:sz w:val="18"/>
          <w:szCs w:val="18"/>
          <w:lang w:val="es-AR"/>
        </w:rPr>
        <w:t>Fuente: Resultados del Modelo RED</w:t>
      </w:r>
    </w:p>
    <w:p w:rsidR="00F44634" w:rsidRPr="00794C0E" w:rsidRDefault="00F44634" w:rsidP="007D0A62">
      <w:pPr>
        <w:pStyle w:val="ListParagraph"/>
        <w:ind w:left="0"/>
        <w:rPr>
          <w:rFonts w:cs="Arial"/>
          <w:b/>
          <w:bCs/>
          <w:lang w:val="es-AR"/>
        </w:rPr>
      </w:pPr>
    </w:p>
    <w:p w:rsidR="007D0A62" w:rsidRPr="00794C0E" w:rsidRDefault="00E43808" w:rsidP="007D0A62">
      <w:pPr>
        <w:pStyle w:val="ListParagraph"/>
        <w:numPr>
          <w:ilvl w:val="1"/>
          <w:numId w:val="5"/>
        </w:numPr>
        <w:ind w:left="0" w:firstLine="0"/>
        <w:rPr>
          <w:rFonts w:cs="Arial"/>
          <w:bCs/>
          <w:sz w:val="22"/>
          <w:szCs w:val="22"/>
          <w:lang w:val="es-AR"/>
        </w:rPr>
      </w:pPr>
      <w:r w:rsidRPr="00794C0E">
        <w:rPr>
          <w:rFonts w:cs="Arial"/>
          <w:bCs/>
          <w:sz w:val="22"/>
          <w:szCs w:val="22"/>
          <w:lang w:val="es-AR"/>
        </w:rPr>
        <w:t>Análisis de Sensibilidad</w:t>
      </w:r>
      <w:r w:rsidR="007D0A62" w:rsidRPr="00794C0E">
        <w:rPr>
          <w:rFonts w:cs="Arial"/>
          <w:bCs/>
          <w:sz w:val="22"/>
          <w:szCs w:val="22"/>
          <w:lang w:val="es-AR"/>
        </w:rPr>
        <w:t xml:space="preserve">. El análisis muestra cuan sensible es la TIR y el VAN a cambios en las 21 variables que explican los resultados. </w:t>
      </w:r>
      <w:r w:rsidR="00CC1CAB" w:rsidRPr="00794C0E">
        <w:rPr>
          <w:rFonts w:cs="Arial"/>
          <w:bCs/>
          <w:sz w:val="22"/>
          <w:szCs w:val="22"/>
          <w:lang w:val="es-AR"/>
        </w:rPr>
        <w:t>Los resultados son muy sensibles a la longitud del camino</w:t>
      </w:r>
    </w:p>
    <w:p w:rsidR="00CC1CAB" w:rsidRPr="00794C0E" w:rsidRDefault="00CC1CAB" w:rsidP="00CC1CAB">
      <w:pPr>
        <w:pStyle w:val="ListParagraph"/>
        <w:ind w:left="0"/>
        <w:rPr>
          <w:rFonts w:cs="Arial"/>
          <w:bCs/>
          <w:sz w:val="22"/>
          <w:szCs w:val="22"/>
          <w:lang w:val="es-AR"/>
        </w:rPr>
      </w:pPr>
    </w:p>
    <w:p w:rsidR="00E4526F" w:rsidRPr="00794C0E" w:rsidRDefault="00CC1CAB" w:rsidP="00F44634">
      <w:pPr>
        <w:pStyle w:val="ListParagraph"/>
        <w:ind w:left="0"/>
        <w:jc w:val="center"/>
        <w:rPr>
          <w:rFonts w:cs="Arial"/>
          <w:b/>
          <w:bCs/>
          <w:iCs/>
          <w:sz w:val="22"/>
          <w:szCs w:val="22"/>
          <w:lang w:val="es-AR"/>
        </w:rPr>
      </w:pPr>
      <w:r w:rsidRPr="00794C0E">
        <w:rPr>
          <w:rFonts w:cs="Arial"/>
          <w:b/>
          <w:bCs/>
          <w:lang w:val="es-AR"/>
        </w:rPr>
        <w:lastRenderedPageBreak/>
        <w:t>Tabla 17. Análisis de Sensibilidad</w:t>
      </w:r>
      <w:r w:rsidR="007D0A62" w:rsidRPr="00794C0E">
        <w:rPr>
          <w:rFonts w:cs="Arial"/>
          <w:noProof/>
          <w:lang w:val="es-ES_tradnl" w:eastAsia="es-ES_tradnl"/>
        </w:rPr>
        <w:drawing>
          <wp:inline distT="0" distB="0" distL="0" distR="0" wp14:anchorId="678B0EEA" wp14:editId="5CC813CD">
            <wp:extent cx="5791141" cy="4486275"/>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6674" cy="4490562"/>
                    </a:xfrm>
                    <a:prstGeom prst="rect">
                      <a:avLst/>
                    </a:prstGeom>
                    <a:noFill/>
                    <a:ln>
                      <a:noFill/>
                    </a:ln>
                  </pic:spPr>
                </pic:pic>
              </a:graphicData>
            </a:graphic>
          </wp:inline>
        </w:drawing>
      </w:r>
    </w:p>
    <w:p w:rsidR="00974284" w:rsidRPr="00794C0E" w:rsidRDefault="00406FDF" w:rsidP="009D1692">
      <w:pPr>
        <w:pStyle w:val="Heading1"/>
        <w:numPr>
          <w:ilvl w:val="0"/>
          <w:numId w:val="5"/>
        </w:numPr>
        <w:ind w:left="0" w:firstLine="0"/>
        <w:jc w:val="left"/>
        <w:rPr>
          <w:rFonts w:ascii="Arial" w:hAnsi="Arial" w:cs="Arial"/>
          <w:i w:val="0"/>
          <w:lang w:val="es-AR"/>
        </w:rPr>
      </w:pPr>
      <w:bookmarkStart w:id="7" w:name="_Toc460335658"/>
      <w:r w:rsidRPr="00794C0E">
        <w:rPr>
          <w:rFonts w:ascii="Arial" w:hAnsi="Arial" w:cs="Arial"/>
          <w:i w:val="0"/>
          <w:lang w:val="es-AR"/>
        </w:rPr>
        <w:t xml:space="preserve">Resumen de la Evaluación  y </w:t>
      </w:r>
      <w:r w:rsidR="00974284" w:rsidRPr="00794C0E">
        <w:rPr>
          <w:rFonts w:ascii="Arial" w:hAnsi="Arial" w:cs="Arial"/>
          <w:i w:val="0"/>
          <w:lang w:val="es-AR"/>
        </w:rPr>
        <w:t>Conclusiones</w:t>
      </w:r>
      <w:bookmarkEnd w:id="7"/>
    </w:p>
    <w:p w:rsidR="00974284" w:rsidRPr="00794C0E" w:rsidRDefault="00974284" w:rsidP="009D1692">
      <w:pPr>
        <w:pStyle w:val="Heading1"/>
        <w:jc w:val="both"/>
        <w:rPr>
          <w:rFonts w:ascii="Arial" w:hAnsi="Arial" w:cs="Arial"/>
          <w:i w:val="0"/>
          <w:lang w:val="es-AR"/>
        </w:rPr>
      </w:pPr>
    </w:p>
    <w:p w:rsidR="00974284" w:rsidRPr="00794C0E" w:rsidRDefault="00406FDF" w:rsidP="00E567E7">
      <w:pPr>
        <w:pStyle w:val="ListParagraph"/>
        <w:numPr>
          <w:ilvl w:val="1"/>
          <w:numId w:val="5"/>
        </w:numPr>
        <w:ind w:left="0" w:firstLine="0"/>
        <w:jc w:val="both"/>
        <w:rPr>
          <w:rFonts w:cs="Arial"/>
          <w:bCs/>
          <w:sz w:val="22"/>
          <w:szCs w:val="22"/>
          <w:lang w:val="es-AR"/>
        </w:rPr>
      </w:pPr>
      <w:r w:rsidRPr="00794C0E">
        <w:rPr>
          <w:rFonts w:cs="Arial"/>
          <w:bCs/>
          <w:sz w:val="22"/>
          <w:szCs w:val="22"/>
          <w:lang w:val="es-AR"/>
        </w:rPr>
        <w:t>Todos los proyectos que fueron evaluados resultados tener una rentabilidad positiva según el Valor Actual Neto y tuvieron una Tasa Interna de Retorno superior al 12 %, que es la tasa de descuento utilizada para descontar el flujo de fondos de los proyectos.</w:t>
      </w:r>
    </w:p>
    <w:p w:rsidR="00406FDF" w:rsidRPr="00794C0E" w:rsidRDefault="00406FDF" w:rsidP="00406FDF">
      <w:pPr>
        <w:rPr>
          <w:rFonts w:cs="Arial"/>
          <w:lang w:val="es-AR"/>
        </w:rPr>
      </w:pPr>
    </w:p>
    <w:p w:rsidR="00406FDF" w:rsidRPr="00794C0E" w:rsidRDefault="00406FDF" w:rsidP="00E567E7">
      <w:pPr>
        <w:pStyle w:val="ListParagraph"/>
        <w:numPr>
          <w:ilvl w:val="1"/>
          <w:numId w:val="5"/>
        </w:numPr>
        <w:ind w:left="0" w:firstLine="0"/>
        <w:jc w:val="both"/>
        <w:rPr>
          <w:rFonts w:cs="Arial"/>
          <w:bCs/>
          <w:sz w:val="22"/>
          <w:szCs w:val="22"/>
          <w:lang w:val="es-AR"/>
        </w:rPr>
      </w:pPr>
      <w:r w:rsidRPr="00794C0E">
        <w:rPr>
          <w:rFonts w:cs="Arial"/>
          <w:bCs/>
          <w:sz w:val="22"/>
          <w:szCs w:val="22"/>
          <w:lang w:val="es-AR"/>
        </w:rPr>
        <w:t>En la siguiente tabla se exponen los resultados alcanzados</w:t>
      </w:r>
    </w:p>
    <w:p w:rsidR="00406FDF" w:rsidRPr="00794C0E" w:rsidRDefault="00406FDF" w:rsidP="00E567E7">
      <w:pPr>
        <w:pStyle w:val="ListParagraph"/>
        <w:ind w:left="0"/>
        <w:jc w:val="both"/>
        <w:rPr>
          <w:rFonts w:cs="Arial"/>
          <w:bCs/>
          <w:sz w:val="22"/>
          <w:szCs w:val="22"/>
          <w:lang w:val="es-AR"/>
        </w:rPr>
      </w:pPr>
    </w:p>
    <w:p w:rsidR="00406FDF" w:rsidRPr="00794C0E" w:rsidRDefault="00406FDF" w:rsidP="00F44634">
      <w:pPr>
        <w:tabs>
          <w:tab w:val="left" w:pos="5664"/>
        </w:tabs>
        <w:jc w:val="center"/>
        <w:rPr>
          <w:rFonts w:cs="Arial"/>
          <w:b/>
          <w:lang w:val="es-AR"/>
        </w:rPr>
      </w:pPr>
      <w:r w:rsidRPr="00794C0E">
        <w:rPr>
          <w:rFonts w:cs="Arial"/>
          <w:b/>
          <w:lang w:val="es-AR"/>
        </w:rPr>
        <w:t xml:space="preserve">Tabla </w:t>
      </w:r>
      <w:r w:rsidR="00CC1CAB" w:rsidRPr="00794C0E">
        <w:rPr>
          <w:rFonts w:cs="Arial"/>
          <w:b/>
          <w:lang w:val="es-AR"/>
        </w:rPr>
        <w:t>18</w:t>
      </w:r>
      <w:r w:rsidR="00061FFC" w:rsidRPr="00794C0E">
        <w:rPr>
          <w:rFonts w:cs="Arial"/>
          <w:b/>
          <w:lang w:val="es-AR"/>
        </w:rPr>
        <w:t>. Resumen de Resultados</w:t>
      </w:r>
    </w:p>
    <w:tbl>
      <w:tblPr>
        <w:tblW w:w="8580" w:type="dxa"/>
        <w:tblInd w:w="55" w:type="dxa"/>
        <w:tblCellMar>
          <w:left w:w="70" w:type="dxa"/>
          <w:right w:w="70" w:type="dxa"/>
        </w:tblCellMar>
        <w:tblLook w:val="04A0" w:firstRow="1" w:lastRow="0" w:firstColumn="1" w:lastColumn="0" w:noHBand="0" w:noVBand="1"/>
      </w:tblPr>
      <w:tblGrid>
        <w:gridCol w:w="5620"/>
        <w:gridCol w:w="1760"/>
        <w:gridCol w:w="1200"/>
      </w:tblGrid>
      <w:tr w:rsidR="00061FFC" w:rsidRPr="00794C0E" w:rsidTr="00061FFC">
        <w:trPr>
          <w:trHeight w:val="255"/>
        </w:trPr>
        <w:tc>
          <w:tcPr>
            <w:tcW w:w="562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61FFC" w:rsidRPr="00794C0E" w:rsidRDefault="00061FFC" w:rsidP="00061FFC">
            <w:pPr>
              <w:jc w:val="center"/>
              <w:rPr>
                <w:rFonts w:cs="Arial"/>
                <w:b/>
                <w:bCs/>
                <w:color w:val="000000"/>
                <w:lang w:val="es-ES" w:eastAsia="es-ES"/>
              </w:rPr>
            </w:pPr>
            <w:r w:rsidRPr="00794C0E">
              <w:rPr>
                <w:rFonts w:cs="Arial"/>
                <w:b/>
                <w:bCs/>
                <w:color w:val="000000"/>
                <w:lang w:val="es-ES" w:eastAsia="es-ES"/>
              </w:rPr>
              <w:t>Proyectos</w:t>
            </w:r>
          </w:p>
        </w:tc>
        <w:tc>
          <w:tcPr>
            <w:tcW w:w="1760" w:type="dxa"/>
            <w:tcBorders>
              <w:top w:val="single" w:sz="4" w:space="0" w:color="auto"/>
              <w:left w:val="nil"/>
              <w:bottom w:val="single" w:sz="4" w:space="0" w:color="auto"/>
              <w:right w:val="single" w:sz="4" w:space="0" w:color="auto"/>
            </w:tcBorders>
            <w:shd w:val="clear" w:color="000000" w:fill="BFBFBF"/>
            <w:noWrap/>
            <w:vAlign w:val="bottom"/>
            <w:hideMark/>
          </w:tcPr>
          <w:p w:rsidR="00061FFC" w:rsidRPr="00794C0E" w:rsidRDefault="00061FFC" w:rsidP="00061FFC">
            <w:pPr>
              <w:jc w:val="center"/>
              <w:rPr>
                <w:rFonts w:cs="Arial"/>
                <w:b/>
                <w:bCs/>
                <w:color w:val="000000"/>
                <w:lang w:val="es-ES" w:eastAsia="es-ES"/>
              </w:rPr>
            </w:pPr>
            <w:r w:rsidRPr="00794C0E">
              <w:rPr>
                <w:rFonts w:cs="Arial"/>
                <w:b/>
                <w:bCs/>
                <w:color w:val="000000"/>
                <w:lang w:val="es-ES" w:eastAsia="es-ES"/>
              </w:rPr>
              <w:t>VAN (U$S)</w:t>
            </w:r>
          </w:p>
        </w:tc>
        <w:tc>
          <w:tcPr>
            <w:tcW w:w="1200" w:type="dxa"/>
            <w:tcBorders>
              <w:top w:val="single" w:sz="4" w:space="0" w:color="auto"/>
              <w:left w:val="nil"/>
              <w:bottom w:val="single" w:sz="4" w:space="0" w:color="auto"/>
              <w:right w:val="single" w:sz="4" w:space="0" w:color="auto"/>
            </w:tcBorders>
            <w:shd w:val="clear" w:color="000000" w:fill="BFBFBF"/>
            <w:noWrap/>
            <w:vAlign w:val="bottom"/>
            <w:hideMark/>
          </w:tcPr>
          <w:p w:rsidR="00061FFC" w:rsidRPr="00794C0E" w:rsidRDefault="00061FFC" w:rsidP="00061FFC">
            <w:pPr>
              <w:jc w:val="center"/>
              <w:rPr>
                <w:rFonts w:cs="Arial"/>
                <w:b/>
                <w:bCs/>
                <w:color w:val="000000"/>
                <w:lang w:val="es-ES" w:eastAsia="es-ES"/>
              </w:rPr>
            </w:pPr>
            <w:r w:rsidRPr="00794C0E">
              <w:rPr>
                <w:rFonts w:cs="Arial"/>
                <w:b/>
                <w:bCs/>
                <w:color w:val="000000"/>
                <w:lang w:val="es-ES" w:eastAsia="es-ES"/>
              </w:rPr>
              <w:t>TIR (%)</w:t>
            </w:r>
          </w:p>
        </w:tc>
      </w:tr>
      <w:tr w:rsidR="00061FFC" w:rsidRPr="00794C0E" w:rsidTr="00061FFC">
        <w:trPr>
          <w:trHeight w:val="255"/>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rsidR="00061FFC" w:rsidRPr="00794C0E" w:rsidRDefault="00061FFC" w:rsidP="00061FFC">
            <w:pPr>
              <w:jc w:val="both"/>
              <w:rPr>
                <w:rFonts w:cs="Arial"/>
                <w:color w:val="000000"/>
                <w:lang w:val="es-ES" w:eastAsia="es-ES"/>
              </w:rPr>
            </w:pPr>
            <w:r w:rsidRPr="00794C0E">
              <w:rPr>
                <w:rFonts w:cs="Arial"/>
                <w:color w:val="000000"/>
                <w:lang w:val="es-AR" w:eastAsia="es-ES"/>
              </w:rPr>
              <w:t>Administración Tributaria y Catastral Provincial (ATCP)</w:t>
            </w:r>
          </w:p>
        </w:tc>
        <w:tc>
          <w:tcPr>
            <w:tcW w:w="1760" w:type="dxa"/>
            <w:tcBorders>
              <w:top w:val="nil"/>
              <w:left w:val="nil"/>
              <w:bottom w:val="single" w:sz="4" w:space="0" w:color="auto"/>
              <w:right w:val="single" w:sz="4" w:space="0" w:color="auto"/>
            </w:tcBorders>
            <w:shd w:val="clear" w:color="auto" w:fill="auto"/>
            <w:noWrap/>
            <w:vAlign w:val="bottom"/>
            <w:hideMark/>
          </w:tcPr>
          <w:p w:rsidR="00061FFC" w:rsidRPr="00794C0E" w:rsidRDefault="00061FFC" w:rsidP="00E4526F">
            <w:pPr>
              <w:jc w:val="right"/>
              <w:rPr>
                <w:rFonts w:cs="Arial"/>
                <w:color w:val="000000"/>
                <w:lang w:val="es-ES" w:eastAsia="es-ES"/>
              </w:rPr>
            </w:pPr>
            <w:r w:rsidRPr="00794C0E">
              <w:rPr>
                <w:rFonts w:cs="Arial"/>
                <w:color w:val="000000"/>
                <w:lang w:val="es-ES" w:eastAsia="es-ES"/>
              </w:rPr>
              <w:t>11.488.902</w:t>
            </w:r>
          </w:p>
        </w:tc>
        <w:tc>
          <w:tcPr>
            <w:tcW w:w="1200" w:type="dxa"/>
            <w:tcBorders>
              <w:top w:val="nil"/>
              <w:left w:val="nil"/>
              <w:bottom w:val="single" w:sz="4" w:space="0" w:color="auto"/>
              <w:right w:val="single" w:sz="4" w:space="0" w:color="auto"/>
            </w:tcBorders>
            <w:shd w:val="clear" w:color="auto" w:fill="auto"/>
            <w:noWrap/>
            <w:vAlign w:val="bottom"/>
            <w:hideMark/>
          </w:tcPr>
          <w:p w:rsidR="00061FFC" w:rsidRPr="00794C0E" w:rsidRDefault="00061FFC" w:rsidP="00E4526F">
            <w:pPr>
              <w:jc w:val="right"/>
              <w:rPr>
                <w:rFonts w:cs="Arial"/>
                <w:color w:val="000000"/>
                <w:lang w:val="es-ES" w:eastAsia="es-ES"/>
              </w:rPr>
            </w:pPr>
            <w:r w:rsidRPr="00794C0E">
              <w:rPr>
                <w:rFonts w:cs="Arial"/>
                <w:color w:val="000000"/>
                <w:lang w:val="es-ES" w:eastAsia="es-ES"/>
              </w:rPr>
              <w:t>21,53</w:t>
            </w:r>
          </w:p>
        </w:tc>
      </w:tr>
      <w:tr w:rsidR="00061FFC" w:rsidRPr="00794C0E" w:rsidTr="00061FFC">
        <w:trPr>
          <w:trHeight w:val="255"/>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rsidR="00061FFC" w:rsidRPr="00794C0E" w:rsidRDefault="00061FFC" w:rsidP="00061FFC">
            <w:pPr>
              <w:jc w:val="both"/>
              <w:rPr>
                <w:rFonts w:cs="Arial"/>
                <w:color w:val="000000"/>
                <w:lang w:val="es-ES" w:eastAsia="es-ES"/>
              </w:rPr>
            </w:pPr>
            <w:r w:rsidRPr="00794C0E">
              <w:rPr>
                <w:rFonts w:cs="Arial"/>
                <w:color w:val="000000"/>
                <w:lang w:val="es-AR" w:eastAsia="es-ES"/>
              </w:rPr>
              <w:t>Gestión Financiera y Eficiencia del Gasto Público (GFEGP)</w:t>
            </w:r>
          </w:p>
        </w:tc>
        <w:tc>
          <w:tcPr>
            <w:tcW w:w="1760" w:type="dxa"/>
            <w:tcBorders>
              <w:top w:val="nil"/>
              <w:left w:val="nil"/>
              <w:bottom w:val="single" w:sz="4" w:space="0" w:color="auto"/>
              <w:right w:val="single" w:sz="4" w:space="0" w:color="auto"/>
            </w:tcBorders>
            <w:shd w:val="clear" w:color="auto" w:fill="auto"/>
            <w:noWrap/>
            <w:vAlign w:val="bottom"/>
            <w:hideMark/>
          </w:tcPr>
          <w:p w:rsidR="00061FFC" w:rsidRPr="00794C0E" w:rsidRDefault="00E4526F" w:rsidP="00E4526F">
            <w:pPr>
              <w:jc w:val="right"/>
              <w:rPr>
                <w:rFonts w:cs="Arial"/>
                <w:color w:val="000000"/>
                <w:lang w:val="es-ES" w:eastAsia="es-ES"/>
              </w:rPr>
            </w:pPr>
            <w:r w:rsidRPr="00794C0E">
              <w:rPr>
                <w:rFonts w:cs="Arial"/>
                <w:color w:val="000000"/>
                <w:lang w:val="es-ES" w:eastAsia="es-ES"/>
              </w:rPr>
              <w:t>2.379.437</w:t>
            </w:r>
          </w:p>
        </w:tc>
        <w:tc>
          <w:tcPr>
            <w:tcW w:w="1200" w:type="dxa"/>
            <w:tcBorders>
              <w:top w:val="nil"/>
              <w:left w:val="nil"/>
              <w:bottom w:val="single" w:sz="4" w:space="0" w:color="auto"/>
              <w:right w:val="single" w:sz="4" w:space="0" w:color="auto"/>
            </w:tcBorders>
            <w:shd w:val="clear" w:color="auto" w:fill="auto"/>
            <w:noWrap/>
            <w:vAlign w:val="bottom"/>
            <w:hideMark/>
          </w:tcPr>
          <w:p w:rsidR="00061FFC" w:rsidRPr="00794C0E" w:rsidRDefault="00061FFC" w:rsidP="00E4526F">
            <w:pPr>
              <w:jc w:val="right"/>
              <w:rPr>
                <w:rFonts w:cs="Arial"/>
                <w:color w:val="000000"/>
                <w:lang w:val="es-ES" w:eastAsia="es-ES"/>
              </w:rPr>
            </w:pPr>
            <w:r w:rsidRPr="00794C0E">
              <w:rPr>
                <w:rFonts w:cs="Arial"/>
                <w:color w:val="000000"/>
                <w:lang w:val="es-ES" w:eastAsia="es-ES"/>
              </w:rPr>
              <w:t>2</w:t>
            </w:r>
            <w:r w:rsidR="00E4526F" w:rsidRPr="00794C0E">
              <w:rPr>
                <w:rFonts w:cs="Arial"/>
                <w:color w:val="000000"/>
                <w:lang w:val="es-ES" w:eastAsia="es-ES"/>
              </w:rPr>
              <w:t>0</w:t>
            </w:r>
            <w:r w:rsidRPr="00794C0E">
              <w:rPr>
                <w:rFonts w:cs="Arial"/>
                <w:color w:val="000000"/>
                <w:lang w:val="es-ES" w:eastAsia="es-ES"/>
              </w:rPr>
              <w:t>,</w:t>
            </w:r>
            <w:r w:rsidR="00E4526F" w:rsidRPr="00794C0E">
              <w:rPr>
                <w:rFonts w:cs="Arial"/>
                <w:color w:val="000000"/>
                <w:lang w:val="es-ES" w:eastAsia="es-ES"/>
              </w:rPr>
              <w:t>69</w:t>
            </w:r>
          </w:p>
        </w:tc>
      </w:tr>
      <w:tr w:rsidR="00061FFC" w:rsidRPr="00794C0E" w:rsidTr="00061FFC">
        <w:trPr>
          <w:trHeight w:val="255"/>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rsidR="00061FFC" w:rsidRPr="00794C0E" w:rsidRDefault="00061FFC" w:rsidP="00061FFC">
            <w:pPr>
              <w:jc w:val="both"/>
              <w:rPr>
                <w:rFonts w:cs="Arial"/>
                <w:color w:val="000000"/>
                <w:lang w:val="es-ES" w:eastAsia="es-ES"/>
              </w:rPr>
            </w:pPr>
            <w:r w:rsidRPr="00794C0E">
              <w:rPr>
                <w:rFonts w:cs="Arial"/>
                <w:color w:val="000000"/>
                <w:lang w:val="es-AR" w:eastAsia="es-ES"/>
              </w:rPr>
              <w:t>Red de Gas Natural del Sur (RGNS)</w:t>
            </w:r>
          </w:p>
        </w:tc>
        <w:tc>
          <w:tcPr>
            <w:tcW w:w="1760" w:type="dxa"/>
            <w:tcBorders>
              <w:top w:val="nil"/>
              <w:left w:val="nil"/>
              <w:bottom w:val="single" w:sz="4" w:space="0" w:color="auto"/>
              <w:right w:val="single" w:sz="4" w:space="0" w:color="auto"/>
            </w:tcBorders>
            <w:shd w:val="clear" w:color="auto" w:fill="auto"/>
            <w:noWrap/>
            <w:vAlign w:val="bottom"/>
            <w:hideMark/>
          </w:tcPr>
          <w:p w:rsidR="00061FFC" w:rsidRPr="00794C0E" w:rsidRDefault="00263EF1" w:rsidP="0091534A">
            <w:pPr>
              <w:jc w:val="right"/>
              <w:rPr>
                <w:rFonts w:cs="Arial"/>
                <w:color w:val="000000"/>
                <w:lang w:val="es-ES" w:eastAsia="es-ES"/>
              </w:rPr>
            </w:pPr>
            <w:r w:rsidRPr="00794C0E">
              <w:rPr>
                <w:rFonts w:cs="Arial"/>
                <w:color w:val="000000"/>
                <w:lang w:val="es-ES" w:eastAsia="es-ES"/>
              </w:rPr>
              <w:t>3.293.07</w:t>
            </w:r>
            <w:r w:rsidR="0091534A" w:rsidRPr="00794C0E">
              <w:rPr>
                <w:rFonts w:cs="Arial"/>
                <w:color w:val="000000"/>
                <w:lang w:val="es-ES" w:eastAsia="es-ES"/>
              </w:rPr>
              <w:t>1</w:t>
            </w:r>
            <w:r w:rsidRPr="00794C0E">
              <w:rPr>
                <w:rFonts w:cs="Arial"/>
                <w:color w:val="000000"/>
                <w:lang w:val="es-ES" w:eastAsia="es-ES"/>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061FFC" w:rsidRPr="00794C0E" w:rsidRDefault="00263EF1" w:rsidP="00263EF1">
            <w:pPr>
              <w:jc w:val="right"/>
              <w:rPr>
                <w:rFonts w:cs="Arial"/>
                <w:color w:val="000000"/>
                <w:lang w:val="es-ES" w:eastAsia="es-ES"/>
              </w:rPr>
            </w:pPr>
            <w:r w:rsidRPr="00794C0E">
              <w:rPr>
                <w:rFonts w:cs="Arial"/>
                <w:color w:val="000000"/>
                <w:lang w:val="es-ES" w:eastAsia="es-ES"/>
              </w:rPr>
              <w:t>16.41</w:t>
            </w:r>
          </w:p>
        </w:tc>
      </w:tr>
      <w:tr w:rsidR="00061FFC" w:rsidRPr="00794C0E" w:rsidTr="00061FFC">
        <w:trPr>
          <w:trHeight w:val="255"/>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rsidR="00061FFC" w:rsidRPr="00794C0E" w:rsidRDefault="00061FFC" w:rsidP="00061FFC">
            <w:pPr>
              <w:jc w:val="both"/>
              <w:rPr>
                <w:rFonts w:cs="Arial"/>
                <w:color w:val="000000"/>
                <w:lang w:val="es-ES" w:eastAsia="es-ES"/>
              </w:rPr>
            </w:pPr>
            <w:r w:rsidRPr="00794C0E">
              <w:rPr>
                <w:rFonts w:cs="Arial"/>
                <w:color w:val="000000"/>
                <w:lang w:val="es-AR" w:eastAsia="es-ES"/>
              </w:rPr>
              <w:t>Estación Transformadora San Agustín (ETSA)</w:t>
            </w:r>
          </w:p>
        </w:tc>
        <w:tc>
          <w:tcPr>
            <w:tcW w:w="1760" w:type="dxa"/>
            <w:tcBorders>
              <w:top w:val="nil"/>
              <w:left w:val="nil"/>
              <w:bottom w:val="single" w:sz="4" w:space="0" w:color="auto"/>
              <w:right w:val="single" w:sz="4" w:space="0" w:color="auto"/>
            </w:tcBorders>
            <w:shd w:val="clear" w:color="auto" w:fill="auto"/>
            <w:noWrap/>
            <w:vAlign w:val="bottom"/>
            <w:hideMark/>
          </w:tcPr>
          <w:p w:rsidR="00061FFC" w:rsidRPr="00794C0E" w:rsidRDefault="00061FFC" w:rsidP="00E4526F">
            <w:pPr>
              <w:jc w:val="right"/>
              <w:rPr>
                <w:rFonts w:cs="Arial"/>
                <w:color w:val="000000"/>
                <w:lang w:val="es-ES" w:eastAsia="es-ES"/>
              </w:rPr>
            </w:pPr>
            <w:r w:rsidRPr="00794C0E">
              <w:rPr>
                <w:rFonts w:cs="Arial"/>
                <w:color w:val="000000"/>
                <w:lang w:val="es-ES" w:eastAsia="es-ES"/>
              </w:rPr>
              <w:t>3.727.111</w:t>
            </w:r>
          </w:p>
        </w:tc>
        <w:tc>
          <w:tcPr>
            <w:tcW w:w="1200" w:type="dxa"/>
            <w:tcBorders>
              <w:top w:val="nil"/>
              <w:left w:val="nil"/>
              <w:bottom w:val="single" w:sz="4" w:space="0" w:color="auto"/>
              <w:right w:val="single" w:sz="4" w:space="0" w:color="auto"/>
            </w:tcBorders>
            <w:shd w:val="clear" w:color="auto" w:fill="auto"/>
            <w:noWrap/>
            <w:vAlign w:val="bottom"/>
            <w:hideMark/>
          </w:tcPr>
          <w:p w:rsidR="00061FFC" w:rsidRPr="00794C0E" w:rsidRDefault="00061FFC" w:rsidP="00E4526F">
            <w:pPr>
              <w:jc w:val="right"/>
              <w:rPr>
                <w:rFonts w:cs="Arial"/>
                <w:color w:val="000000"/>
                <w:lang w:val="es-ES" w:eastAsia="es-ES"/>
              </w:rPr>
            </w:pPr>
            <w:r w:rsidRPr="00794C0E">
              <w:rPr>
                <w:rFonts w:cs="Arial"/>
                <w:color w:val="000000"/>
                <w:lang w:val="es-ES" w:eastAsia="es-ES"/>
              </w:rPr>
              <w:t>24,37</w:t>
            </w:r>
          </w:p>
        </w:tc>
      </w:tr>
      <w:tr w:rsidR="00061FFC" w:rsidRPr="00794C0E" w:rsidTr="00061FFC">
        <w:trPr>
          <w:trHeight w:val="255"/>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rsidR="00061FFC" w:rsidRPr="00794C0E" w:rsidRDefault="00061FFC" w:rsidP="00061FFC">
            <w:pPr>
              <w:jc w:val="both"/>
              <w:rPr>
                <w:rFonts w:cs="Arial"/>
                <w:color w:val="000000"/>
                <w:lang w:val="es-ES" w:eastAsia="es-ES"/>
              </w:rPr>
            </w:pPr>
            <w:r w:rsidRPr="00794C0E">
              <w:rPr>
                <w:rFonts w:cs="Arial"/>
                <w:color w:val="000000"/>
                <w:lang w:val="es-AR" w:eastAsia="es-ES"/>
              </w:rPr>
              <w:t>Parque Industrial de Salta (PISA)</w:t>
            </w:r>
          </w:p>
        </w:tc>
        <w:tc>
          <w:tcPr>
            <w:tcW w:w="1760" w:type="dxa"/>
            <w:tcBorders>
              <w:top w:val="nil"/>
              <w:left w:val="nil"/>
              <w:bottom w:val="single" w:sz="4" w:space="0" w:color="auto"/>
              <w:right w:val="single" w:sz="4" w:space="0" w:color="auto"/>
            </w:tcBorders>
            <w:shd w:val="clear" w:color="auto" w:fill="auto"/>
            <w:noWrap/>
            <w:vAlign w:val="bottom"/>
            <w:hideMark/>
          </w:tcPr>
          <w:p w:rsidR="00061FFC" w:rsidRPr="00794C0E" w:rsidRDefault="00E4526F" w:rsidP="00E4526F">
            <w:pPr>
              <w:jc w:val="right"/>
              <w:rPr>
                <w:rFonts w:cs="Arial"/>
                <w:color w:val="000000"/>
                <w:lang w:val="es-ES" w:eastAsia="es-ES"/>
              </w:rPr>
            </w:pPr>
            <w:r w:rsidRPr="00794C0E">
              <w:rPr>
                <w:rFonts w:cs="Arial"/>
                <w:color w:val="000000"/>
                <w:lang w:val="es-ES" w:eastAsia="es-ES"/>
              </w:rPr>
              <w:t>404.482</w:t>
            </w:r>
          </w:p>
        </w:tc>
        <w:tc>
          <w:tcPr>
            <w:tcW w:w="1200" w:type="dxa"/>
            <w:tcBorders>
              <w:top w:val="nil"/>
              <w:left w:val="nil"/>
              <w:bottom w:val="single" w:sz="4" w:space="0" w:color="auto"/>
              <w:right w:val="single" w:sz="4" w:space="0" w:color="auto"/>
            </w:tcBorders>
            <w:shd w:val="clear" w:color="auto" w:fill="auto"/>
            <w:noWrap/>
            <w:vAlign w:val="bottom"/>
            <w:hideMark/>
          </w:tcPr>
          <w:p w:rsidR="00061FFC" w:rsidRPr="00794C0E" w:rsidRDefault="00E4526F" w:rsidP="00E4526F">
            <w:pPr>
              <w:jc w:val="right"/>
              <w:rPr>
                <w:rFonts w:cs="Arial"/>
                <w:color w:val="000000"/>
                <w:lang w:val="es-ES" w:eastAsia="es-ES"/>
              </w:rPr>
            </w:pPr>
            <w:r w:rsidRPr="00794C0E">
              <w:rPr>
                <w:rFonts w:cs="Arial"/>
                <w:color w:val="000000"/>
                <w:lang w:val="es-ES" w:eastAsia="es-ES"/>
              </w:rPr>
              <w:t>22,32</w:t>
            </w:r>
          </w:p>
        </w:tc>
      </w:tr>
      <w:tr w:rsidR="00061FFC" w:rsidRPr="00794C0E" w:rsidTr="00061FFC">
        <w:trPr>
          <w:trHeight w:val="255"/>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rsidR="00061FFC" w:rsidRPr="00794C0E" w:rsidRDefault="00061FFC" w:rsidP="00061FFC">
            <w:pPr>
              <w:jc w:val="both"/>
              <w:rPr>
                <w:rFonts w:cs="Arial"/>
                <w:color w:val="000000"/>
                <w:lang w:val="pt-BR" w:eastAsia="es-ES"/>
              </w:rPr>
            </w:pPr>
            <w:r w:rsidRPr="00794C0E">
              <w:rPr>
                <w:rFonts w:cs="Arial"/>
                <w:color w:val="000000"/>
                <w:lang w:val="pt-BR" w:eastAsia="es-ES"/>
              </w:rPr>
              <w:t>Obras Sobre ruta Provincial Nº 8 (RPNº 8)</w:t>
            </w:r>
          </w:p>
        </w:tc>
        <w:tc>
          <w:tcPr>
            <w:tcW w:w="1760" w:type="dxa"/>
            <w:tcBorders>
              <w:top w:val="nil"/>
              <w:left w:val="nil"/>
              <w:bottom w:val="single" w:sz="4" w:space="0" w:color="auto"/>
              <w:right w:val="single" w:sz="4" w:space="0" w:color="auto"/>
            </w:tcBorders>
            <w:shd w:val="clear" w:color="auto" w:fill="auto"/>
            <w:noWrap/>
            <w:vAlign w:val="bottom"/>
            <w:hideMark/>
          </w:tcPr>
          <w:p w:rsidR="00061FFC" w:rsidRPr="00794C0E" w:rsidRDefault="00EC1734" w:rsidP="00CC1CAB">
            <w:pPr>
              <w:jc w:val="right"/>
              <w:rPr>
                <w:rFonts w:cs="Arial"/>
                <w:color w:val="000000"/>
                <w:lang w:val="es-ES" w:eastAsia="es-ES"/>
              </w:rPr>
            </w:pPr>
            <w:r w:rsidRPr="00794C0E">
              <w:rPr>
                <w:rFonts w:cs="Arial"/>
                <w:color w:val="000000"/>
                <w:lang w:val="es-ES" w:eastAsia="es-ES"/>
              </w:rPr>
              <w:t>1.</w:t>
            </w:r>
            <w:r w:rsidR="00CC1CAB" w:rsidRPr="00794C0E">
              <w:rPr>
                <w:rFonts w:cs="Arial"/>
                <w:color w:val="000000"/>
                <w:lang w:val="es-ES" w:eastAsia="es-ES"/>
              </w:rPr>
              <w:t>111</w:t>
            </w:r>
            <w:r w:rsidRPr="00794C0E">
              <w:rPr>
                <w:rFonts w:cs="Arial"/>
                <w:color w:val="000000"/>
                <w:lang w:val="es-ES" w:eastAsia="es-ES"/>
              </w:rPr>
              <w:t>.000</w:t>
            </w:r>
          </w:p>
        </w:tc>
        <w:tc>
          <w:tcPr>
            <w:tcW w:w="1200" w:type="dxa"/>
            <w:tcBorders>
              <w:top w:val="nil"/>
              <w:left w:val="nil"/>
              <w:bottom w:val="single" w:sz="4" w:space="0" w:color="auto"/>
              <w:right w:val="single" w:sz="4" w:space="0" w:color="auto"/>
            </w:tcBorders>
            <w:shd w:val="clear" w:color="auto" w:fill="auto"/>
            <w:noWrap/>
            <w:vAlign w:val="bottom"/>
            <w:hideMark/>
          </w:tcPr>
          <w:p w:rsidR="00061FFC" w:rsidRPr="00794C0E" w:rsidRDefault="00EC1734" w:rsidP="00CC1CAB">
            <w:pPr>
              <w:jc w:val="right"/>
              <w:rPr>
                <w:rFonts w:cs="Arial"/>
                <w:color w:val="000000"/>
                <w:lang w:val="es-ES" w:eastAsia="es-ES"/>
              </w:rPr>
            </w:pPr>
            <w:r w:rsidRPr="00794C0E">
              <w:rPr>
                <w:rFonts w:cs="Arial"/>
                <w:color w:val="000000"/>
                <w:lang w:val="es-ES" w:eastAsia="es-ES"/>
              </w:rPr>
              <w:t>1</w:t>
            </w:r>
            <w:r w:rsidR="00CC1CAB" w:rsidRPr="00794C0E">
              <w:rPr>
                <w:rFonts w:cs="Arial"/>
                <w:color w:val="000000"/>
                <w:lang w:val="es-ES" w:eastAsia="es-ES"/>
              </w:rPr>
              <w:t>4</w:t>
            </w:r>
            <w:r w:rsidRPr="00794C0E">
              <w:rPr>
                <w:rFonts w:cs="Arial"/>
                <w:color w:val="000000"/>
                <w:lang w:val="es-ES" w:eastAsia="es-ES"/>
              </w:rPr>
              <w:t>,</w:t>
            </w:r>
            <w:r w:rsidR="00CC1CAB" w:rsidRPr="00794C0E">
              <w:rPr>
                <w:rFonts w:cs="Arial"/>
                <w:color w:val="000000"/>
                <w:lang w:val="es-ES" w:eastAsia="es-ES"/>
              </w:rPr>
              <w:t>89</w:t>
            </w:r>
          </w:p>
        </w:tc>
      </w:tr>
    </w:tbl>
    <w:p w:rsidR="00932E35" w:rsidRPr="00794C0E" w:rsidRDefault="00E4526F" w:rsidP="00E4526F">
      <w:pPr>
        <w:rPr>
          <w:rFonts w:cs="Arial"/>
          <w:bCs/>
          <w:iCs/>
          <w:lang w:val="es-AR"/>
        </w:rPr>
      </w:pPr>
      <w:r w:rsidRPr="00794C0E">
        <w:rPr>
          <w:rFonts w:cs="Arial"/>
          <w:bCs/>
          <w:iCs/>
          <w:lang w:val="es-AR"/>
        </w:rPr>
        <w:t>Fuente: Elaboración Propia en base a resultados de la evaluación</w:t>
      </w:r>
    </w:p>
    <w:p w:rsidR="00E4526F" w:rsidRPr="00794C0E" w:rsidRDefault="00E4526F" w:rsidP="00406FDF">
      <w:pPr>
        <w:jc w:val="center"/>
        <w:rPr>
          <w:rFonts w:cs="Arial"/>
          <w:b/>
          <w:bCs/>
          <w:iCs/>
          <w:sz w:val="22"/>
          <w:szCs w:val="22"/>
          <w:lang w:val="es-AR"/>
        </w:rPr>
      </w:pPr>
    </w:p>
    <w:p w:rsidR="00406FDF" w:rsidRPr="00794C0E" w:rsidRDefault="00406FDF" w:rsidP="00406FDF">
      <w:pPr>
        <w:jc w:val="center"/>
        <w:rPr>
          <w:rFonts w:cs="Arial"/>
          <w:b/>
          <w:bCs/>
          <w:iCs/>
          <w:sz w:val="22"/>
          <w:szCs w:val="22"/>
          <w:lang w:val="es-AR"/>
        </w:rPr>
      </w:pPr>
    </w:p>
    <w:p w:rsidR="00061FFC" w:rsidRPr="00794C0E" w:rsidRDefault="00061FFC" w:rsidP="00E567E7">
      <w:pPr>
        <w:pStyle w:val="ListParagraph"/>
        <w:numPr>
          <w:ilvl w:val="1"/>
          <w:numId w:val="5"/>
        </w:numPr>
        <w:ind w:left="0" w:firstLine="0"/>
        <w:jc w:val="both"/>
        <w:rPr>
          <w:rFonts w:cs="Arial"/>
          <w:bCs/>
          <w:sz w:val="22"/>
          <w:szCs w:val="22"/>
          <w:lang w:val="es-AR"/>
        </w:rPr>
      </w:pPr>
      <w:r w:rsidRPr="00794C0E">
        <w:rPr>
          <w:rFonts w:cs="Arial"/>
          <w:bCs/>
          <w:sz w:val="22"/>
          <w:szCs w:val="22"/>
          <w:lang w:val="es-AR"/>
        </w:rPr>
        <w:lastRenderedPageBreak/>
        <w:t>Los resultados permiten verificar que l</w:t>
      </w:r>
      <w:r w:rsidR="00E4526F" w:rsidRPr="00794C0E">
        <w:rPr>
          <w:rFonts w:cs="Arial"/>
          <w:bCs/>
          <w:sz w:val="22"/>
          <w:szCs w:val="22"/>
          <w:lang w:val="es-AR"/>
        </w:rPr>
        <w:t xml:space="preserve">os proyectos más rentables son el proyecto de inversión ETSA, seguido del PISA. </w:t>
      </w:r>
    </w:p>
    <w:p w:rsidR="00E4526F" w:rsidRPr="00794C0E" w:rsidRDefault="00E4526F" w:rsidP="00E567E7">
      <w:pPr>
        <w:pStyle w:val="ListParagraph"/>
        <w:ind w:left="0"/>
        <w:jc w:val="both"/>
        <w:rPr>
          <w:rFonts w:cs="Arial"/>
          <w:bCs/>
          <w:sz w:val="22"/>
          <w:szCs w:val="22"/>
          <w:lang w:val="es-AR"/>
        </w:rPr>
      </w:pPr>
    </w:p>
    <w:p w:rsidR="000A3157" w:rsidRPr="00794C0E" w:rsidRDefault="00061FFC" w:rsidP="00E567E7">
      <w:pPr>
        <w:pStyle w:val="ListParagraph"/>
        <w:numPr>
          <w:ilvl w:val="1"/>
          <w:numId w:val="5"/>
        </w:numPr>
        <w:ind w:left="0" w:firstLine="0"/>
        <w:jc w:val="both"/>
        <w:rPr>
          <w:rFonts w:cs="Arial"/>
          <w:bCs/>
          <w:sz w:val="22"/>
          <w:szCs w:val="22"/>
          <w:lang w:val="es-AR"/>
        </w:rPr>
      </w:pPr>
      <w:r w:rsidRPr="00794C0E">
        <w:rPr>
          <w:rFonts w:cs="Arial"/>
          <w:bCs/>
          <w:sz w:val="22"/>
          <w:szCs w:val="22"/>
          <w:lang w:val="es-AR"/>
        </w:rPr>
        <w:t>Todos los proyectos fueron testeados antes ensayos que fuerzan los resultados ante cambios en los parámetros y supuestos utilizados para el cálculo del Valor Actual Neto (Sensivity Analysis).</w:t>
      </w:r>
      <w:r w:rsidR="000A3157" w:rsidRPr="00794C0E">
        <w:rPr>
          <w:rFonts w:cs="Arial"/>
          <w:bCs/>
          <w:sz w:val="22"/>
          <w:szCs w:val="22"/>
          <w:lang w:val="es-AR"/>
        </w:rPr>
        <w:t xml:space="preserve"> Para cada proyecto, se han calculado los valores del intervalo de confianza a un nivel del 95 %, tanto para el VAN como para la TIR su valor de ocurrencia. En la Tabla siguiente se muestran los resultados</w:t>
      </w:r>
      <w:r w:rsidR="00CC1CAB" w:rsidRPr="00794C0E">
        <w:rPr>
          <w:rStyle w:val="FootnoteReference"/>
          <w:rFonts w:cs="Arial"/>
          <w:bCs/>
          <w:sz w:val="22"/>
          <w:szCs w:val="22"/>
          <w:lang w:val="es-AR"/>
        </w:rPr>
        <w:footnoteReference w:id="49"/>
      </w:r>
    </w:p>
    <w:p w:rsidR="000A3157" w:rsidRPr="00794C0E" w:rsidRDefault="000A3157" w:rsidP="00E567E7">
      <w:pPr>
        <w:pStyle w:val="ListParagraph"/>
        <w:ind w:left="0"/>
        <w:jc w:val="both"/>
        <w:rPr>
          <w:rFonts w:cs="Arial"/>
          <w:bCs/>
          <w:sz w:val="22"/>
          <w:szCs w:val="22"/>
          <w:lang w:val="es-AR"/>
        </w:rPr>
      </w:pPr>
    </w:p>
    <w:p w:rsidR="00D912E2" w:rsidRPr="00794C0E" w:rsidRDefault="00D912E2" w:rsidP="000A3157">
      <w:pPr>
        <w:rPr>
          <w:rFonts w:cs="Arial"/>
          <w:lang w:val="es-AR"/>
        </w:rPr>
      </w:pPr>
    </w:p>
    <w:p w:rsidR="00D912E2" w:rsidRPr="00794C0E" w:rsidRDefault="00D912E2" w:rsidP="00D912E2">
      <w:pPr>
        <w:jc w:val="center"/>
        <w:rPr>
          <w:rFonts w:cs="Arial"/>
          <w:b/>
          <w:lang w:val="es-AR"/>
        </w:rPr>
      </w:pPr>
      <w:r w:rsidRPr="00794C0E">
        <w:rPr>
          <w:rFonts w:cs="Arial"/>
          <w:b/>
          <w:lang w:val="es-AR"/>
        </w:rPr>
        <w:t xml:space="preserve">Tabla </w:t>
      </w:r>
      <w:r w:rsidR="00CC1CAB" w:rsidRPr="00794C0E">
        <w:rPr>
          <w:rFonts w:cs="Arial"/>
          <w:b/>
          <w:lang w:val="es-AR"/>
        </w:rPr>
        <w:t>19</w:t>
      </w:r>
      <w:r w:rsidRPr="00794C0E">
        <w:rPr>
          <w:rFonts w:cs="Arial"/>
          <w:b/>
          <w:lang w:val="es-AR"/>
        </w:rPr>
        <w:t>. Análisis de Sensibilidad</w:t>
      </w:r>
    </w:p>
    <w:tbl>
      <w:tblPr>
        <w:tblW w:w="6060" w:type="dxa"/>
        <w:jc w:val="center"/>
        <w:tblInd w:w="55" w:type="dxa"/>
        <w:tblCellMar>
          <w:left w:w="70" w:type="dxa"/>
          <w:right w:w="70" w:type="dxa"/>
        </w:tblCellMar>
        <w:tblLook w:val="04A0" w:firstRow="1" w:lastRow="0" w:firstColumn="1" w:lastColumn="0" w:noHBand="0" w:noVBand="1"/>
      </w:tblPr>
      <w:tblGrid>
        <w:gridCol w:w="1279"/>
        <w:gridCol w:w="641"/>
        <w:gridCol w:w="860"/>
        <w:gridCol w:w="820"/>
        <w:gridCol w:w="860"/>
        <w:gridCol w:w="820"/>
        <w:gridCol w:w="780"/>
      </w:tblGrid>
      <w:tr w:rsidR="00D912E2" w:rsidRPr="00794C0E" w:rsidTr="00D912E2">
        <w:trPr>
          <w:trHeight w:val="300"/>
          <w:jc w:val="center"/>
        </w:trPr>
        <w:tc>
          <w:tcPr>
            <w:tcW w:w="1279"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D912E2" w:rsidRPr="00794C0E" w:rsidRDefault="00D912E2" w:rsidP="00D912E2">
            <w:pPr>
              <w:jc w:val="center"/>
              <w:rPr>
                <w:rFonts w:cs="Arial"/>
                <w:b/>
                <w:bCs/>
                <w:color w:val="000000"/>
                <w:lang w:val="es-ES" w:eastAsia="es-ES"/>
              </w:rPr>
            </w:pPr>
            <w:r w:rsidRPr="00794C0E">
              <w:rPr>
                <w:rFonts w:cs="Arial"/>
                <w:b/>
                <w:bCs/>
                <w:color w:val="000000"/>
                <w:lang w:val="es-ES" w:eastAsia="es-ES"/>
              </w:rPr>
              <w:t>Proyecto</w:t>
            </w:r>
          </w:p>
        </w:tc>
        <w:tc>
          <w:tcPr>
            <w:tcW w:w="2321" w:type="dxa"/>
            <w:gridSpan w:val="3"/>
            <w:tcBorders>
              <w:top w:val="single" w:sz="4" w:space="0" w:color="auto"/>
              <w:left w:val="nil"/>
              <w:bottom w:val="single" w:sz="4" w:space="0" w:color="auto"/>
              <w:right w:val="single" w:sz="4" w:space="0" w:color="000000"/>
            </w:tcBorders>
            <w:shd w:val="clear" w:color="000000" w:fill="D9D9D9"/>
            <w:vAlign w:val="center"/>
            <w:hideMark/>
          </w:tcPr>
          <w:p w:rsidR="00D912E2" w:rsidRPr="00794C0E" w:rsidRDefault="00D912E2" w:rsidP="00D912E2">
            <w:pPr>
              <w:jc w:val="center"/>
              <w:rPr>
                <w:rFonts w:cs="Arial"/>
                <w:b/>
                <w:bCs/>
                <w:color w:val="000000"/>
                <w:lang w:val="es-ES" w:eastAsia="es-ES"/>
              </w:rPr>
            </w:pPr>
            <w:r w:rsidRPr="00794C0E">
              <w:rPr>
                <w:rFonts w:cs="Arial"/>
                <w:b/>
                <w:bCs/>
                <w:color w:val="000000"/>
                <w:lang w:val="es-ES" w:eastAsia="es-ES"/>
              </w:rPr>
              <w:t>VAN (MM U$S)</w:t>
            </w:r>
          </w:p>
        </w:tc>
        <w:tc>
          <w:tcPr>
            <w:tcW w:w="2460" w:type="dxa"/>
            <w:gridSpan w:val="3"/>
            <w:tcBorders>
              <w:top w:val="single" w:sz="4" w:space="0" w:color="auto"/>
              <w:left w:val="nil"/>
              <w:bottom w:val="single" w:sz="4" w:space="0" w:color="auto"/>
              <w:right w:val="single" w:sz="4" w:space="0" w:color="auto"/>
            </w:tcBorders>
            <w:shd w:val="clear" w:color="000000" w:fill="D9D9D9"/>
            <w:vAlign w:val="center"/>
            <w:hideMark/>
          </w:tcPr>
          <w:p w:rsidR="00D912E2" w:rsidRPr="00794C0E" w:rsidRDefault="00D912E2" w:rsidP="00D912E2">
            <w:pPr>
              <w:jc w:val="center"/>
              <w:rPr>
                <w:rFonts w:cs="Arial"/>
                <w:b/>
                <w:bCs/>
                <w:color w:val="000000"/>
                <w:lang w:val="es-ES" w:eastAsia="es-ES"/>
              </w:rPr>
            </w:pPr>
            <w:r w:rsidRPr="00794C0E">
              <w:rPr>
                <w:rFonts w:cs="Arial"/>
                <w:b/>
                <w:bCs/>
                <w:color w:val="000000"/>
                <w:lang w:val="es-ES" w:eastAsia="es-ES"/>
              </w:rPr>
              <w:t>TIR (%)</w:t>
            </w:r>
          </w:p>
        </w:tc>
      </w:tr>
      <w:tr w:rsidR="00D912E2" w:rsidRPr="00794C0E" w:rsidTr="00D912E2">
        <w:trPr>
          <w:trHeight w:val="300"/>
          <w:jc w:val="center"/>
        </w:trPr>
        <w:tc>
          <w:tcPr>
            <w:tcW w:w="1279" w:type="dxa"/>
            <w:vMerge/>
            <w:tcBorders>
              <w:top w:val="single" w:sz="4" w:space="0" w:color="auto"/>
              <w:left w:val="single" w:sz="4" w:space="0" w:color="auto"/>
              <w:bottom w:val="single" w:sz="4" w:space="0" w:color="000000"/>
              <w:right w:val="single" w:sz="4" w:space="0" w:color="auto"/>
            </w:tcBorders>
            <w:vAlign w:val="center"/>
            <w:hideMark/>
          </w:tcPr>
          <w:p w:rsidR="00D912E2" w:rsidRPr="00794C0E" w:rsidRDefault="00D912E2" w:rsidP="00D912E2">
            <w:pPr>
              <w:rPr>
                <w:rFonts w:cs="Arial"/>
                <w:b/>
                <w:bCs/>
                <w:color w:val="000000"/>
                <w:lang w:val="es-ES" w:eastAsia="es-ES"/>
              </w:rPr>
            </w:pPr>
          </w:p>
        </w:tc>
        <w:tc>
          <w:tcPr>
            <w:tcW w:w="641" w:type="dxa"/>
            <w:tcBorders>
              <w:top w:val="nil"/>
              <w:left w:val="nil"/>
              <w:bottom w:val="single" w:sz="4" w:space="0" w:color="auto"/>
              <w:right w:val="single" w:sz="4" w:space="0" w:color="auto"/>
            </w:tcBorders>
            <w:shd w:val="clear" w:color="000000" w:fill="D9D9D9"/>
            <w:vAlign w:val="center"/>
            <w:hideMark/>
          </w:tcPr>
          <w:p w:rsidR="00D912E2" w:rsidRPr="00794C0E" w:rsidRDefault="00D912E2" w:rsidP="00D912E2">
            <w:pPr>
              <w:jc w:val="center"/>
              <w:rPr>
                <w:rFonts w:cs="Arial"/>
                <w:b/>
                <w:bCs/>
                <w:color w:val="000000"/>
                <w:lang w:val="es-ES" w:eastAsia="es-ES"/>
              </w:rPr>
            </w:pPr>
            <w:r w:rsidRPr="00794C0E">
              <w:rPr>
                <w:rFonts w:cs="Arial"/>
                <w:b/>
                <w:bCs/>
                <w:color w:val="000000"/>
                <w:lang w:val="es-ES" w:eastAsia="es-ES"/>
              </w:rPr>
              <w:t>Real</w:t>
            </w:r>
          </w:p>
        </w:tc>
        <w:tc>
          <w:tcPr>
            <w:tcW w:w="860" w:type="dxa"/>
            <w:tcBorders>
              <w:top w:val="nil"/>
              <w:left w:val="nil"/>
              <w:bottom w:val="single" w:sz="4" w:space="0" w:color="auto"/>
              <w:right w:val="single" w:sz="4" w:space="0" w:color="auto"/>
            </w:tcBorders>
            <w:shd w:val="clear" w:color="000000" w:fill="D9D9D9"/>
            <w:vAlign w:val="center"/>
            <w:hideMark/>
          </w:tcPr>
          <w:p w:rsidR="00D912E2" w:rsidRPr="00794C0E" w:rsidRDefault="00D912E2" w:rsidP="00D912E2">
            <w:pPr>
              <w:jc w:val="center"/>
              <w:rPr>
                <w:rFonts w:cs="Arial"/>
                <w:color w:val="000000"/>
                <w:lang w:val="es-ES" w:eastAsia="es-ES"/>
              </w:rPr>
            </w:pPr>
            <w:r w:rsidRPr="00794C0E">
              <w:rPr>
                <w:rFonts w:cs="Arial"/>
                <w:color w:val="000000"/>
                <w:lang w:val="es-ES" w:eastAsia="es-ES"/>
              </w:rPr>
              <w:t>Min</w:t>
            </w:r>
          </w:p>
        </w:tc>
        <w:tc>
          <w:tcPr>
            <w:tcW w:w="820" w:type="dxa"/>
            <w:tcBorders>
              <w:top w:val="nil"/>
              <w:left w:val="nil"/>
              <w:bottom w:val="single" w:sz="4" w:space="0" w:color="auto"/>
              <w:right w:val="single" w:sz="4" w:space="0" w:color="auto"/>
            </w:tcBorders>
            <w:shd w:val="clear" w:color="000000" w:fill="D9D9D9"/>
            <w:vAlign w:val="center"/>
            <w:hideMark/>
          </w:tcPr>
          <w:p w:rsidR="00D912E2" w:rsidRPr="00794C0E" w:rsidRDefault="00D912E2" w:rsidP="00D912E2">
            <w:pPr>
              <w:jc w:val="center"/>
              <w:rPr>
                <w:rFonts w:cs="Arial"/>
                <w:color w:val="000000"/>
                <w:lang w:val="es-ES" w:eastAsia="es-ES"/>
              </w:rPr>
            </w:pPr>
            <w:r w:rsidRPr="00794C0E">
              <w:rPr>
                <w:rFonts w:cs="Arial"/>
                <w:color w:val="000000"/>
                <w:lang w:val="es-ES" w:eastAsia="es-ES"/>
              </w:rPr>
              <w:t>Màx</w:t>
            </w:r>
          </w:p>
        </w:tc>
        <w:tc>
          <w:tcPr>
            <w:tcW w:w="860" w:type="dxa"/>
            <w:tcBorders>
              <w:top w:val="nil"/>
              <w:left w:val="nil"/>
              <w:bottom w:val="single" w:sz="4" w:space="0" w:color="auto"/>
              <w:right w:val="single" w:sz="4" w:space="0" w:color="auto"/>
            </w:tcBorders>
            <w:shd w:val="clear" w:color="000000" w:fill="D9D9D9"/>
            <w:vAlign w:val="center"/>
            <w:hideMark/>
          </w:tcPr>
          <w:p w:rsidR="00D912E2" w:rsidRPr="00794C0E" w:rsidRDefault="00D912E2" w:rsidP="00D912E2">
            <w:pPr>
              <w:jc w:val="center"/>
              <w:rPr>
                <w:rFonts w:cs="Arial"/>
                <w:b/>
                <w:bCs/>
                <w:color w:val="000000"/>
                <w:lang w:val="es-ES" w:eastAsia="es-ES"/>
              </w:rPr>
            </w:pPr>
            <w:r w:rsidRPr="00794C0E">
              <w:rPr>
                <w:rFonts w:cs="Arial"/>
                <w:b/>
                <w:bCs/>
                <w:color w:val="000000"/>
                <w:lang w:val="es-ES" w:eastAsia="es-ES"/>
              </w:rPr>
              <w:t>Real</w:t>
            </w:r>
          </w:p>
        </w:tc>
        <w:tc>
          <w:tcPr>
            <w:tcW w:w="820" w:type="dxa"/>
            <w:tcBorders>
              <w:top w:val="nil"/>
              <w:left w:val="nil"/>
              <w:bottom w:val="single" w:sz="4" w:space="0" w:color="auto"/>
              <w:right w:val="single" w:sz="4" w:space="0" w:color="auto"/>
            </w:tcBorders>
            <w:shd w:val="clear" w:color="000000" w:fill="D9D9D9"/>
            <w:vAlign w:val="center"/>
            <w:hideMark/>
          </w:tcPr>
          <w:p w:rsidR="00D912E2" w:rsidRPr="00794C0E" w:rsidRDefault="00D912E2" w:rsidP="00D912E2">
            <w:pPr>
              <w:jc w:val="center"/>
              <w:rPr>
                <w:rFonts w:cs="Arial"/>
                <w:color w:val="000000"/>
                <w:lang w:val="es-ES" w:eastAsia="es-ES"/>
              </w:rPr>
            </w:pPr>
            <w:r w:rsidRPr="00794C0E">
              <w:rPr>
                <w:rFonts w:cs="Arial"/>
                <w:color w:val="000000"/>
                <w:lang w:val="es-ES" w:eastAsia="es-ES"/>
              </w:rPr>
              <w:t>Min</w:t>
            </w:r>
          </w:p>
        </w:tc>
        <w:tc>
          <w:tcPr>
            <w:tcW w:w="780" w:type="dxa"/>
            <w:tcBorders>
              <w:top w:val="nil"/>
              <w:left w:val="nil"/>
              <w:bottom w:val="single" w:sz="4" w:space="0" w:color="auto"/>
              <w:right w:val="single" w:sz="4" w:space="0" w:color="auto"/>
            </w:tcBorders>
            <w:shd w:val="clear" w:color="000000" w:fill="D9D9D9"/>
            <w:vAlign w:val="center"/>
            <w:hideMark/>
          </w:tcPr>
          <w:p w:rsidR="00D912E2" w:rsidRPr="00794C0E" w:rsidRDefault="00D912E2" w:rsidP="00D912E2">
            <w:pPr>
              <w:jc w:val="center"/>
              <w:rPr>
                <w:rFonts w:cs="Arial"/>
                <w:color w:val="000000"/>
                <w:lang w:val="es-ES" w:eastAsia="es-ES"/>
              </w:rPr>
            </w:pPr>
            <w:r w:rsidRPr="00794C0E">
              <w:rPr>
                <w:rFonts w:cs="Arial"/>
                <w:color w:val="000000"/>
                <w:lang w:val="es-ES" w:eastAsia="es-ES"/>
              </w:rPr>
              <w:t>Máx</w:t>
            </w:r>
          </w:p>
        </w:tc>
      </w:tr>
      <w:tr w:rsidR="00D912E2" w:rsidRPr="00794C0E" w:rsidTr="00D912E2">
        <w:trPr>
          <w:trHeight w:val="300"/>
          <w:jc w:val="center"/>
        </w:trPr>
        <w:tc>
          <w:tcPr>
            <w:tcW w:w="1279" w:type="dxa"/>
            <w:tcBorders>
              <w:top w:val="nil"/>
              <w:left w:val="single" w:sz="4" w:space="0" w:color="auto"/>
              <w:bottom w:val="single" w:sz="4" w:space="0" w:color="auto"/>
              <w:right w:val="single" w:sz="4" w:space="0" w:color="auto"/>
            </w:tcBorders>
            <w:shd w:val="clear" w:color="auto" w:fill="auto"/>
            <w:vAlign w:val="center"/>
            <w:hideMark/>
          </w:tcPr>
          <w:p w:rsidR="00D912E2" w:rsidRPr="00794C0E" w:rsidRDefault="00D912E2" w:rsidP="00D912E2">
            <w:pPr>
              <w:rPr>
                <w:rFonts w:cs="Arial"/>
                <w:color w:val="000000"/>
                <w:lang w:val="es-ES" w:eastAsia="es-ES"/>
              </w:rPr>
            </w:pPr>
            <w:r w:rsidRPr="00794C0E">
              <w:rPr>
                <w:rFonts w:cs="Arial"/>
                <w:color w:val="000000"/>
                <w:lang w:val="es-AR" w:eastAsia="es-ES"/>
              </w:rPr>
              <w:t>ATCP</w:t>
            </w:r>
          </w:p>
        </w:tc>
        <w:tc>
          <w:tcPr>
            <w:tcW w:w="641" w:type="dxa"/>
            <w:tcBorders>
              <w:top w:val="nil"/>
              <w:left w:val="nil"/>
              <w:bottom w:val="single" w:sz="4" w:space="0" w:color="auto"/>
              <w:right w:val="single" w:sz="4" w:space="0" w:color="auto"/>
            </w:tcBorders>
            <w:shd w:val="clear" w:color="auto" w:fill="auto"/>
            <w:noWrap/>
            <w:vAlign w:val="center"/>
            <w:hideMark/>
          </w:tcPr>
          <w:p w:rsidR="00D912E2" w:rsidRPr="00794C0E" w:rsidRDefault="00D912E2" w:rsidP="00D912E2">
            <w:pPr>
              <w:jc w:val="center"/>
              <w:rPr>
                <w:rFonts w:cs="Arial"/>
                <w:b/>
                <w:bCs/>
                <w:color w:val="000000"/>
                <w:lang w:val="es-ES" w:eastAsia="es-ES"/>
              </w:rPr>
            </w:pPr>
            <w:r w:rsidRPr="00794C0E">
              <w:rPr>
                <w:rFonts w:cs="Arial"/>
                <w:b/>
                <w:bCs/>
                <w:color w:val="000000"/>
                <w:lang w:val="es-ES" w:eastAsia="es-ES"/>
              </w:rPr>
              <w:t>11,49</w:t>
            </w:r>
          </w:p>
        </w:tc>
        <w:tc>
          <w:tcPr>
            <w:tcW w:w="860" w:type="dxa"/>
            <w:tcBorders>
              <w:top w:val="nil"/>
              <w:left w:val="nil"/>
              <w:bottom w:val="single" w:sz="4" w:space="0" w:color="auto"/>
              <w:right w:val="single" w:sz="4" w:space="0" w:color="auto"/>
            </w:tcBorders>
            <w:shd w:val="clear" w:color="auto" w:fill="auto"/>
            <w:noWrap/>
            <w:vAlign w:val="center"/>
            <w:hideMark/>
          </w:tcPr>
          <w:p w:rsidR="00D912E2" w:rsidRPr="00794C0E" w:rsidRDefault="00D912E2" w:rsidP="00D912E2">
            <w:pPr>
              <w:jc w:val="center"/>
              <w:rPr>
                <w:rFonts w:cs="Arial"/>
                <w:color w:val="000000"/>
                <w:lang w:val="es-ES" w:eastAsia="es-ES"/>
              </w:rPr>
            </w:pPr>
            <w:r w:rsidRPr="00794C0E">
              <w:rPr>
                <w:rFonts w:cs="Arial"/>
                <w:color w:val="000000"/>
                <w:lang w:val="es-ES" w:eastAsia="es-ES"/>
              </w:rPr>
              <w:t>10,73</w:t>
            </w:r>
          </w:p>
        </w:tc>
        <w:tc>
          <w:tcPr>
            <w:tcW w:w="820" w:type="dxa"/>
            <w:tcBorders>
              <w:top w:val="nil"/>
              <w:left w:val="nil"/>
              <w:bottom w:val="single" w:sz="4" w:space="0" w:color="auto"/>
              <w:right w:val="single" w:sz="4" w:space="0" w:color="auto"/>
            </w:tcBorders>
            <w:shd w:val="clear" w:color="auto" w:fill="auto"/>
            <w:noWrap/>
            <w:vAlign w:val="center"/>
            <w:hideMark/>
          </w:tcPr>
          <w:p w:rsidR="00D912E2" w:rsidRPr="00794C0E" w:rsidRDefault="00D912E2" w:rsidP="00D912E2">
            <w:pPr>
              <w:jc w:val="center"/>
              <w:rPr>
                <w:rFonts w:cs="Arial"/>
                <w:color w:val="000000"/>
                <w:lang w:val="es-ES" w:eastAsia="es-ES"/>
              </w:rPr>
            </w:pPr>
            <w:r w:rsidRPr="00794C0E">
              <w:rPr>
                <w:rFonts w:cs="Arial"/>
                <w:color w:val="000000"/>
                <w:lang w:val="es-ES" w:eastAsia="es-ES"/>
              </w:rPr>
              <w:t>12,92</w:t>
            </w:r>
          </w:p>
        </w:tc>
        <w:tc>
          <w:tcPr>
            <w:tcW w:w="860" w:type="dxa"/>
            <w:tcBorders>
              <w:top w:val="nil"/>
              <w:left w:val="nil"/>
              <w:bottom w:val="single" w:sz="4" w:space="0" w:color="auto"/>
              <w:right w:val="single" w:sz="4" w:space="0" w:color="auto"/>
            </w:tcBorders>
            <w:shd w:val="clear" w:color="auto" w:fill="auto"/>
            <w:noWrap/>
            <w:vAlign w:val="center"/>
            <w:hideMark/>
          </w:tcPr>
          <w:p w:rsidR="00D912E2" w:rsidRPr="00794C0E" w:rsidRDefault="00D912E2" w:rsidP="00D912E2">
            <w:pPr>
              <w:jc w:val="center"/>
              <w:rPr>
                <w:rFonts w:cs="Arial"/>
                <w:b/>
                <w:bCs/>
                <w:color w:val="000000"/>
                <w:lang w:val="es-ES" w:eastAsia="es-ES"/>
              </w:rPr>
            </w:pPr>
            <w:r w:rsidRPr="00794C0E">
              <w:rPr>
                <w:rFonts w:cs="Arial"/>
                <w:b/>
                <w:bCs/>
                <w:color w:val="000000"/>
                <w:lang w:val="es-ES" w:eastAsia="es-ES"/>
              </w:rPr>
              <w:t>21,53</w:t>
            </w:r>
          </w:p>
        </w:tc>
        <w:tc>
          <w:tcPr>
            <w:tcW w:w="820" w:type="dxa"/>
            <w:tcBorders>
              <w:top w:val="nil"/>
              <w:left w:val="nil"/>
              <w:bottom w:val="single" w:sz="4" w:space="0" w:color="auto"/>
              <w:right w:val="single" w:sz="4" w:space="0" w:color="auto"/>
            </w:tcBorders>
            <w:shd w:val="clear" w:color="auto" w:fill="auto"/>
            <w:noWrap/>
            <w:vAlign w:val="center"/>
            <w:hideMark/>
          </w:tcPr>
          <w:p w:rsidR="00D912E2" w:rsidRPr="00794C0E" w:rsidRDefault="00D912E2" w:rsidP="00D912E2">
            <w:pPr>
              <w:jc w:val="center"/>
              <w:rPr>
                <w:rFonts w:cs="Arial"/>
                <w:color w:val="000000"/>
                <w:lang w:val="es-ES" w:eastAsia="es-ES"/>
              </w:rPr>
            </w:pPr>
            <w:r w:rsidRPr="00794C0E">
              <w:rPr>
                <w:rFonts w:cs="Arial"/>
                <w:color w:val="000000"/>
                <w:lang w:val="es-ES" w:eastAsia="es-ES"/>
              </w:rPr>
              <w:t>20,03</w:t>
            </w:r>
          </w:p>
        </w:tc>
        <w:tc>
          <w:tcPr>
            <w:tcW w:w="780" w:type="dxa"/>
            <w:tcBorders>
              <w:top w:val="nil"/>
              <w:left w:val="nil"/>
              <w:bottom w:val="single" w:sz="4" w:space="0" w:color="auto"/>
              <w:right w:val="single" w:sz="4" w:space="0" w:color="auto"/>
            </w:tcBorders>
            <w:shd w:val="clear" w:color="auto" w:fill="auto"/>
            <w:noWrap/>
            <w:vAlign w:val="center"/>
            <w:hideMark/>
          </w:tcPr>
          <w:p w:rsidR="00D912E2" w:rsidRPr="00794C0E" w:rsidRDefault="00D912E2" w:rsidP="00D912E2">
            <w:pPr>
              <w:jc w:val="center"/>
              <w:rPr>
                <w:rFonts w:cs="Arial"/>
                <w:color w:val="000000"/>
                <w:lang w:val="es-ES" w:eastAsia="es-ES"/>
              </w:rPr>
            </w:pPr>
            <w:r w:rsidRPr="00794C0E">
              <w:rPr>
                <w:rFonts w:cs="Arial"/>
                <w:color w:val="000000"/>
                <w:lang w:val="es-ES" w:eastAsia="es-ES"/>
              </w:rPr>
              <w:t>23,08</w:t>
            </w:r>
          </w:p>
        </w:tc>
      </w:tr>
      <w:tr w:rsidR="00D912E2" w:rsidRPr="00794C0E" w:rsidTr="00D912E2">
        <w:trPr>
          <w:trHeight w:val="300"/>
          <w:jc w:val="center"/>
        </w:trPr>
        <w:tc>
          <w:tcPr>
            <w:tcW w:w="1279" w:type="dxa"/>
            <w:tcBorders>
              <w:top w:val="nil"/>
              <w:left w:val="single" w:sz="4" w:space="0" w:color="auto"/>
              <w:bottom w:val="single" w:sz="4" w:space="0" w:color="auto"/>
              <w:right w:val="single" w:sz="4" w:space="0" w:color="auto"/>
            </w:tcBorders>
            <w:shd w:val="clear" w:color="auto" w:fill="auto"/>
            <w:vAlign w:val="center"/>
            <w:hideMark/>
          </w:tcPr>
          <w:p w:rsidR="00D912E2" w:rsidRPr="00794C0E" w:rsidRDefault="00D912E2" w:rsidP="00D912E2">
            <w:pPr>
              <w:rPr>
                <w:rFonts w:cs="Arial"/>
                <w:color w:val="000000"/>
                <w:lang w:val="es-ES" w:eastAsia="es-ES"/>
              </w:rPr>
            </w:pPr>
            <w:r w:rsidRPr="00794C0E">
              <w:rPr>
                <w:rFonts w:cs="Arial"/>
                <w:color w:val="000000"/>
                <w:lang w:val="es-AR" w:eastAsia="es-ES"/>
              </w:rPr>
              <w:t>GFEGP</w:t>
            </w:r>
          </w:p>
        </w:tc>
        <w:tc>
          <w:tcPr>
            <w:tcW w:w="641" w:type="dxa"/>
            <w:tcBorders>
              <w:top w:val="nil"/>
              <w:left w:val="nil"/>
              <w:bottom w:val="single" w:sz="4" w:space="0" w:color="auto"/>
              <w:right w:val="single" w:sz="4" w:space="0" w:color="auto"/>
            </w:tcBorders>
            <w:shd w:val="clear" w:color="auto" w:fill="auto"/>
            <w:noWrap/>
            <w:vAlign w:val="center"/>
            <w:hideMark/>
          </w:tcPr>
          <w:p w:rsidR="00D912E2" w:rsidRPr="00794C0E" w:rsidRDefault="00D912E2" w:rsidP="00D912E2">
            <w:pPr>
              <w:jc w:val="center"/>
              <w:rPr>
                <w:rFonts w:cs="Arial"/>
                <w:b/>
                <w:bCs/>
                <w:color w:val="000000"/>
                <w:lang w:val="es-ES" w:eastAsia="es-ES"/>
              </w:rPr>
            </w:pPr>
            <w:r w:rsidRPr="00794C0E">
              <w:rPr>
                <w:rFonts w:cs="Arial"/>
                <w:b/>
                <w:bCs/>
                <w:color w:val="000000"/>
                <w:lang w:val="es-ES" w:eastAsia="es-ES"/>
              </w:rPr>
              <w:t>2,38</w:t>
            </w:r>
          </w:p>
        </w:tc>
        <w:tc>
          <w:tcPr>
            <w:tcW w:w="860" w:type="dxa"/>
            <w:tcBorders>
              <w:top w:val="nil"/>
              <w:left w:val="nil"/>
              <w:bottom w:val="single" w:sz="4" w:space="0" w:color="auto"/>
              <w:right w:val="single" w:sz="4" w:space="0" w:color="auto"/>
            </w:tcBorders>
            <w:shd w:val="clear" w:color="auto" w:fill="auto"/>
            <w:noWrap/>
            <w:vAlign w:val="center"/>
            <w:hideMark/>
          </w:tcPr>
          <w:p w:rsidR="00D912E2" w:rsidRPr="00794C0E" w:rsidRDefault="00D912E2" w:rsidP="00D912E2">
            <w:pPr>
              <w:jc w:val="center"/>
              <w:rPr>
                <w:rFonts w:cs="Arial"/>
                <w:color w:val="000000"/>
                <w:lang w:val="es-ES" w:eastAsia="es-ES"/>
              </w:rPr>
            </w:pPr>
            <w:r w:rsidRPr="00794C0E">
              <w:rPr>
                <w:rFonts w:cs="Arial"/>
                <w:color w:val="000000"/>
                <w:lang w:val="es-ES" w:eastAsia="es-ES"/>
              </w:rPr>
              <w:t>1,20</w:t>
            </w:r>
          </w:p>
        </w:tc>
        <w:tc>
          <w:tcPr>
            <w:tcW w:w="820" w:type="dxa"/>
            <w:tcBorders>
              <w:top w:val="nil"/>
              <w:left w:val="nil"/>
              <w:bottom w:val="single" w:sz="4" w:space="0" w:color="auto"/>
              <w:right w:val="single" w:sz="4" w:space="0" w:color="auto"/>
            </w:tcBorders>
            <w:shd w:val="clear" w:color="auto" w:fill="auto"/>
            <w:noWrap/>
            <w:vAlign w:val="center"/>
            <w:hideMark/>
          </w:tcPr>
          <w:p w:rsidR="00D912E2" w:rsidRPr="00794C0E" w:rsidRDefault="00D912E2" w:rsidP="00D912E2">
            <w:pPr>
              <w:jc w:val="center"/>
              <w:rPr>
                <w:rFonts w:cs="Arial"/>
                <w:color w:val="000000"/>
                <w:lang w:val="es-ES" w:eastAsia="es-ES"/>
              </w:rPr>
            </w:pPr>
            <w:r w:rsidRPr="00794C0E">
              <w:rPr>
                <w:rFonts w:cs="Arial"/>
                <w:color w:val="000000"/>
                <w:lang w:val="es-ES" w:eastAsia="es-ES"/>
              </w:rPr>
              <w:t>3,55</w:t>
            </w:r>
          </w:p>
        </w:tc>
        <w:tc>
          <w:tcPr>
            <w:tcW w:w="860" w:type="dxa"/>
            <w:tcBorders>
              <w:top w:val="nil"/>
              <w:left w:val="nil"/>
              <w:bottom w:val="single" w:sz="4" w:space="0" w:color="auto"/>
              <w:right w:val="single" w:sz="4" w:space="0" w:color="auto"/>
            </w:tcBorders>
            <w:shd w:val="clear" w:color="auto" w:fill="auto"/>
            <w:noWrap/>
            <w:vAlign w:val="center"/>
            <w:hideMark/>
          </w:tcPr>
          <w:p w:rsidR="00D912E2" w:rsidRPr="00794C0E" w:rsidRDefault="00D912E2" w:rsidP="00D912E2">
            <w:pPr>
              <w:jc w:val="center"/>
              <w:rPr>
                <w:rFonts w:cs="Arial"/>
                <w:b/>
                <w:bCs/>
                <w:color w:val="000000"/>
                <w:lang w:val="es-ES" w:eastAsia="es-ES"/>
              </w:rPr>
            </w:pPr>
            <w:r w:rsidRPr="00794C0E">
              <w:rPr>
                <w:rFonts w:cs="Arial"/>
                <w:b/>
                <w:bCs/>
                <w:color w:val="000000"/>
                <w:lang w:val="es-ES" w:eastAsia="es-ES"/>
              </w:rPr>
              <w:t>20,69</w:t>
            </w:r>
          </w:p>
        </w:tc>
        <w:tc>
          <w:tcPr>
            <w:tcW w:w="820" w:type="dxa"/>
            <w:tcBorders>
              <w:top w:val="nil"/>
              <w:left w:val="nil"/>
              <w:bottom w:val="single" w:sz="4" w:space="0" w:color="auto"/>
              <w:right w:val="single" w:sz="4" w:space="0" w:color="auto"/>
            </w:tcBorders>
            <w:shd w:val="clear" w:color="auto" w:fill="auto"/>
            <w:noWrap/>
            <w:vAlign w:val="center"/>
            <w:hideMark/>
          </w:tcPr>
          <w:p w:rsidR="00D912E2" w:rsidRPr="00794C0E" w:rsidRDefault="00D912E2" w:rsidP="00D912E2">
            <w:pPr>
              <w:jc w:val="center"/>
              <w:rPr>
                <w:rFonts w:cs="Arial"/>
                <w:color w:val="000000"/>
                <w:lang w:val="es-ES" w:eastAsia="es-ES"/>
              </w:rPr>
            </w:pPr>
            <w:r w:rsidRPr="00794C0E">
              <w:rPr>
                <w:rFonts w:cs="Arial"/>
                <w:color w:val="000000"/>
                <w:lang w:val="es-ES" w:eastAsia="es-ES"/>
              </w:rPr>
              <w:t>15,35</w:t>
            </w:r>
          </w:p>
        </w:tc>
        <w:tc>
          <w:tcPr>
            <w:tcW w:w="780" w:type="dxa"/>
            <w:tcBorders>
              <w:top w:val="nil"/>
              <w:left w:val="nil"/>
              <w:bottom w:val="single" w:sz="4" w:space="0" w:color="auto"/>
              <w:right w:val="single" w:sz="4" w:space="0" w:color="auto"/>
            </w:tcBorders>
            <w:shd w:val="clear" w:color="auto" w:fill="auto"/>
            <w:noWrap/>
            <w:vAlign w:val="center"/>
            <w:hideMark/>
          </w:tcPr>
          <w:p w:rsidR="00D912E2" w:rsidRPr="00794C0E" w:rsidRDefault="00D912E2" w:rsidP="00D912E2">
            <w:pPr>
              <w:jc w:val="center"/>
              <w:rPr>
                <w:rFonts w:cs="Arial"/>
                <w:color w:val="000000"/>
                <w:lang w:val="es-ES" w:eastAsia="es-ES"/>
              </w:rPr>
            </w:pPr>
            <w:r w:rsidRPr="00794C0E">
              <w:rPr>
                <w:rFonts w:cs="Arial"/>
                <w:color w:val="000000"/>
                <w:lang w:val="es-ES" w:eastAsia="es-ES"/>
              </w:rPr>
              <w:t>22,33</w:t>
            </w:r>
          </w:p>
        </w:tc>
      </w:tr>
      <w:tr w:rsidR="00D912E2" w:rsidRPr="00794C0E" w:rsidTr="00D912E2">
        <w:trPr>
          <w:trHeight w:val="300"/>
          <w:jc w:val="center"/>
        </w:trPr>
        <w:tc>
          <w:tcPr>
            <w:tcW w:w="1279" w:type="dxa"/>
            <w:tcBorders>
              <w:top w:val="nil"/>
              <w:left w:val="single" w:sz="4" w:space="0" w:color="auto"/>
              <w:bottom w:val="single" w:sz="4" w:space="0" w:color="auto"/>
              <w:right w:val="single" w:sz="4" w:space="0" w:color="auto"/>
            </w:tcBorders>
            <w:shd w:val="clear" w:color="auto" w:fill="auto"/>
            <w:vAlign w:val="center"/>
            <w:hideMark/>
          </w:tcPr>
          <w:p w:rsidR="00D912E2" w:rsidRPr="00794C0E" w:rsidRDefault="00D912E2" w:rsidP="00D912E2">
            <w:pPr>
              <w:rPr>
                <w:rFonts w:cs="Arial"/>
                <w:color w:val="000000"/>
                <w:lang w:val="es-ES" w:eastAsia="es-ES"/>
              </w:rPr>
            </w:pPr>
            <w:r w:rsidRPr="00794C0E">
              <w:rPr>
                <w:rFonts w:cs="Arial"/>
                <w:color w:val="000000"/>
                <w:lang w:val="es-AR" w:eastAsia="es-ES"/>
              </w:rPr>
              <w:t>RGNS</w:t>
            </w:r>
          </w:p>
        </w:tc>
        <w:tc>
          <w:tcPr>
            <w:tcW w:w="641" w:type="dxa"/>
            <w:tcBorders>
              <w:top w:val="nil"/>
              <w:left w:val="nil"/>
              <w:bottom w:val="single" w:sz="4" w:space="0" w:color="auto"/>
              <w:right w:val="single" w:sz="4" w:space="0" w:color="auto"/>
            </w:tcBorders>
            <w:shd w:val="clear" w:color="auto" w:fill="auto"/>
            <w:noWrap/>
            <w:vAlign w:val="center"/>
            <w:hideMark/>
          </w:tcPr>
          <w:p w:rsidR="00D912E2" w:rsidRPr="00794C0E" w:rsidRDefault="00D912E2" w:rsidP="00D912E2">
            <w:pPr>
              <w:jc w:val="center"/>
              <w:rPr>
                <w:rFonts w:cs="Arial"/>
                <w:b/>
                <w:bCs/>
                <w:color w:val="000000"/>
                <w:lang w:val="es-ES" w:eastAsia="es-ES"/>
              </w:rPr>
            </w:pPr>
            <w:r w:rsidRPr="00794C0E">
              <w:rPr>
                <w:rFonts w:cs="Arial"/>
                <w:b/>
                <w:bCs/>
                <w:color w:val="000000"/>
                <w:lang w:val="es-ES" w:eastAsia="es-ES"/>
              </w:rPr>
              <w:t>3,29</w:t>
            </w:r>
          </w:p>
        </w:tc>
        <w:tc>
          <w:tcPr>
            <w:tcW w:w="860" w:type="dxa"/>
            <w:tcBorders>
              <w:top w:val="nil"/>
              <w:left w:val="nil"/>
              <w:bottom w:val="single" w:sz="4" w:space="0" w:color="auto"/>
              <w:right w:val="single" w:sz="4" w:space="0" w:color="auto"/>
            </w:tcBorders>
            <w:shd w:val="clear" w:color="auto" w:fill="auto"/>
            <w:noWrap/>
            <w:vAlign w:val="center"/>
            <w:hideMark/>
          </w:tcPr>
          <w:p w:rsidR="00D912E2" w:rsidRPr="00794C0E" w:rsidRDefault="00D912E2" w:rsidP="00D912E2">
            <w:pPr>
              <w:jc w:val="center"/>
              <w:rPr>
                <w:rFonts w:cs="Arial"/>
                <w:color w:val="000000"/>
                <w:lang w:val="es-ES" w:eastAsia="es-ES"/>
              </w:rPr>
            </w:pPr>
            <w:r w:rsidRPr="00794C0E">
              <w:rPr>
                <w:rFonts w:cs="Arial"/>
                <w:color w:val="000000"/>
                <w:lang w:val="es-ES" w:eastAsia="es-ES"/>
              </w:rPr>
              <w:t>1,39</w:t>
            </w:r>
          </w:p>
        </w:tc>
        <w:tc>
          <w:tcPr>
            <w:tcW w:w="820" w:type="dxa"/>
            <w:tcBorders>
              <w:top w:val="nil"/>
              <w:left w:val="nil"/>
              <w:bottom w:val="single" w:sz="4" w:space="0" w:color="auto"/>
              <w:right w:val="single" w:sz="4" w:space="0" w:color="auto"/>
            </w:tcBorders>
            <w:shd w:val="clear" w:color="auto" w:fill="auto"/>
            <w:noWrap/>
            <w:vAlign w:val="center"/>
            <w:hideMark/>
          </w:tcPr>
          <w:p w:rsidR="00D912E2" w:rsidRPr="00794C0E" w:rsidRDefault="00D912E2" w:rsidP="00D912E2">
            <w:pPr>
              <w:jc w:val="center"/>
              <w:rPr>
                <w:rFonts w:cs="Arial"/>
                <w:color w:val="000000"/>
                <w:lang w:val="es-ES" w:eastAsia="es-ES"/>
              </w:rPr>
            </w:pPr>
            <w:r w:rsidRPr="00794C0E">
              <w:rPr>
                <w:rFonts w:cs="Arial"/>
                <w:color w:val="000000"/>
                <w:lang w:val="es-ES" w:eastAsia="es-ES"/>
              </w:rPr>
              <w:t>5,23</w:t>
            </w:r>
          </w:p>
        </w:tc>
        <w:tc>
          <w:tcPr>
            <w:tcW w:w="860" w:type="dxa"/>
            <w:tcBorders>
              <w:top w:val="nil"/>
              <w:left w:val="nil"/>
              <w:bottom w:val="single" w:sz="4" w:space="0" w:color="auto"/>
              <w:right w:val="single" w:sz="4" w:space="0" w:color="auto"/>
            </w:tcBorders>
            <w:shd w:val="clear" w:color="auto" w:fill="auto"/>
            <w:noWrap/>
            <w:vAlign w:val="center"/>
            <w:hideMark/>
          </w:tcPr>
          <w:p w:rsidR="00D912E2" w:rsidRPr="00794C0E" w:rsidRDefault="00D912E2" w:rsidP="00D912E2">
            <w:pPr>
              <w:jc w:val="center"/>
              <w:rPr>
                <w:rFonts w:cs="Arial"/>
                <w:b/>
                <w:bCs/>
                <w:color w:val="000000"/>
                <w:lang w:val="es-ES" w:eastAsia="es-ES"/>
              </w:rPr>
            </w:pPr>
            <w:r w:rsidRPr="00794C0E">
              <w:rPr>
                <w:rFonts w:cs="Arial"/>
                <w:b/>
                <w:bCs/>
                <w:color w:val="000000"/>
                <w:lang w:val="es-ES" w:eastAsia="es-ES"/>
              </w:rPr>
              <w:t>16,41</w:t>
            </w:r>
          </w:p>
        </w:tc>
        <w:tc>
          <w:tcPr>
            <w:tcW w:w="820" w:type="dxa"/>
            <w:tcBorders>
              <w:top w:val="nil"/>
              <w:left w:val="nil"/>
              <w:bottom w:val="single" w:sz="4" w:space="0" w:color="auto"/>
              <w:right w:val="single" w:sz="4" w:space="0" w:color="auto"/>
            </w:tcBorders>
            <w:shd w:val="clear" w:color="auto" w:fill="auto"/>
            <w:noWrap/>
            <w:vAlign w:val="center"/>
            <w:hideMark/>
          </w:tcPr>
          <w:p w:rsidR="00D912E2" w:rsidRPr="00794C0E" w:rsidRDefault="00D912E2" w:rsidP="00D912E2">
            <w:pPr>
              <w:jc w:val="center"/>
              <w:rPr>
                <w:rFonts w:cs="Arial"/>
                <w:color w:val="000000"/>
                <w:lang w:val="es-ES" w:eastAsia="es-ES"/>
              </w:rPr>
            </w:pPr>
            <w:r w:rsidRPr="00794C0E">
              <w:rPr>
                <w:rFonts w:cs="Arial"/>
                <w:color w:val="000000"/>
                <w:lang w:val="es-ES" w:eastAsia="es-ES"/>
              </w:rPr>
              <w:t>13,17</w:t>
            </w:r>
          </w:p>
        </w:tc>
        <w:tc>
          <w:tcPr>
            <w:tcW w:w="780" w:type="dxa"/>
            <w:tcBorders>
              <w:top w:val="nil"/>
              <w:left w:val="nil"/>
              <w:bottom w:val="single" w:sz="4" w:space="0" w:color="auto"/>
              <w:right w:val="single" w:sz="4" w:space="0" w:color="auto"/>
            </w:tcBorders>
            <w:shd w:val="clear" w:color="auto" w:fill="auto"/>
            <w:noWrap/>
            <w:vAlign w:val="center"/>
            <w:hideMark/>
          </w:tcPr>
          <w:p w:rsidR="00D912E2" w:rsidRPr="00794C0E" w:rsidRDefault="00D912E2" w:rsidP="00D912E2">
            <w:pPr>
              <w:jc w:val="center"/>
              <w:rPr>
                <w:rFonts w:cs="Arial"/>
                <w:color w:val="000000"/>
                <w:lang w:val="es-ES" w:eastAsia="es-ES"/>
              </w:rPr>
            </w:pPr>
            <w:r w:rsidRPr="00794C0E">
              <w:rPr>
                <w:rFonts w:cs="Arial"/>
                <w:color w:val="000000"/>
                <w:lang w:val="es-ES" w:eastAsia="es-ES"/>
              </w:rPr>
              <w:t>19,95</w:t>
            </w:r>
          </w:p>
        </w:tc>
      </w:tr>
      <w:tr w:rsidR="00D912E2" w:rsidRPr="00794C0E" w:rsidTr="00D912E2">
        <w:trPr>
          <w:trHeight w:val="300"/>
          <w:jc w:val="center"/>
        </w:trPr>
        <w:tc>
          <w:tcPr>
            <w:tcW w:w="1279" w:type="dxa"/>
            <w:tcBorders>
              <w:top w:val="nil"/>
              <w:left w:val="single" w:sz="4" w:space="0" w:color="auto"/>
              <w:bottom w:val="single" w:sz="4" w:space="0" w:color="auto"/>
              <w:right w:val="single" w:sz="4" w:space="0" w:color="auto"/>
            </w:tcBorders>
            <w:shd w:val="clear" w:color="auto" w:fill="auto"/>
            <w:vAlign w:val="center"/>
            <w:hideMark/>
          </w:tcPr>
          <w:p w:rsidR="00D912E2" w:rsidRPr="00794C0E" w:rsidRDefault="00D912E2" w:rsidP="00D912E2">
            <w:pPr>
              <w:rPr>
                <w:rFonts w:cs="Arial"/>
                <w:color w:val="000000"/>
                <w:lang w:val="es-ES" w:eastAsia="es-ES"/>
              </w:rPr>
            </w:pPr>
            <w:r w:rsidRPr="00794C0E">
              <w:rPr>
                <w:rFonts w:cs="Arial"/>
                <w:color w:val="000000"/>
                <w:lang w:val="es-AR" w:eastAsia="es-ES"/>
              </w:rPr>
              <w:t>ETSA</w:t>
            </w:r>
          </w:p>
        </w:tc>
        <w:tc>
          <w:tcPr>
            <w:tcW w:w="641" w:type="dxa"/>
            <w:tcBorders>
              <w:top w:val="nil"/>
              <w:left w:val="nil"/>
              <w:bottom w:val="single" w:sz="4" w:space="0" w:color="auto"/>
              <w:right w:val="single" w:sz="4" w:space="0" w:color="auto"/>
            </w:tcBorders>
            <w:shd w:val="clear" w:color="auto" w:fill="auto"/>
            <w:noWrap/>
            <w:vAlign w:val="center"/>
            <w:hideMark/>
          </w:tcPr>
          <w:p w:rsidR="00D912E2" w:rsidRPr="00794C0E" w:rsidRDefault="00D912E2" w:rsidP="00D912E2">
            <w:pPr>
              <w:jc w:val="center"/>
              <w:rPr>
                <w:rFonts w:cs="Arial"/>
                <w:b/>
                <w:bCs/>
                <w:color w:val="000000"/>
                <w:lang w:val="es-ES" w:eastAsia="es-ES"/>
              </w:rPr>
            </w:pPr>
            <w:r w:rsidRPr="00794C0E">
              <w:rPr>
                <w:rFonts w:cs="Arial"/>
                <w:b/>
                <w:bCs/>
                <w:color w:val="000000"/>
                <w:lang w:val="es-ES" w:eastAsia="es-ES"/>
              </w:rPr>
              <w:t>3,73</w:t>
            </w:r>
          </w:p>
        </w:tc>
        <w:tc>
          <w:tcPr>
            <w:tcW w:w="860" w:type="dxa"/>
            <w:tcBorders>
              <w:top w:val="nil"/>
              <w:left w:val="nil"/>
              <w:bottom w:val="single" w:sz="4" w:space="0" w:color="auto"/>
              <w:right w:val="single" w:sz="4" w:space="0" w:color="auto"/>
            </w:tcBorders>
            <w:shd w:val="clear" w:color="auto" w:fill="auto"/>
            <w:noWrap/>
            <w:vAlign w:val="center"/>
            <w:hideMark/>
          </w:tcPr>
          <w:p w:rsidR="00D912E2" w:rsidRPr="00794C0E" w:rsidRDefault="00D912E2" w:rsidP="00D912E2">
            <w:pPr>
              <w:jc w:val="center"/>
              <w:rPr>
                <w:rFonts w:cs="Arial"/>
                <w:color w:val="000000"/>
                <w:lang w:val="es-ES" w:eastAsia="es-ES"/>
              </w:rPr>
            </w:pPr>
            <w:r w:rsidRPr="00794C0E">
              <w:rPr>
                <w:rFonts w:cs="Arial"/>
                <w:color w:val="000000"/>
                <w:lang w:val="es-ES" w:eastAsia="es-ES"/>
              </w:rPr>
              <w:t>2,59</w:t>
            </w:r>
          </w:p>
        </w:tc>
        <w:tc>
          <w:tcPr>
            <w:tcW w:w="820" w:type="dxa"/>
            <w:tcBorders>
              <w:top w:val="nil"/>
              <w:left w:val="nil"/>
              <w:bottom w:val="single" w:sz="4" w:space="0" w:color="auto"/>
              <w:right w:val="single" w:sz="4" w:space="0" w:color="auto"/>
            </w:tcBorders>
            <w:shd w:val="clear" w:color="auto" w:fill="auto"/>
            <w:noWrap/>
            <w:vAlign w:val="center"/>
            <w:hideMark/>
          </w:tcPr>
          <w:p w:rsidR="00D912E2" w:rsidRPr="00794C0E" w:rsidRDefault="00D912E2" w:rsidP="00D912E2">
            <w:pPr>
              <w:jc w:val="center"/>
              <w:rPr>
                <w:rFonts w:cs="Arial"/>
                <w:color w:val="000000"/>
                <w:lang w:val="es-ES" w:eastAsia="es-ES"/>
              </w:rPr>
            </w:pPr>
            <w:r w:rsidRPr="00794C0E">
              <w:rPr>
                <w:rFonts w:cs="Arial"/>
                <w:color w:val="000000"/>
                <w:lang w:val="es-ES" w:eastAsia="es-ES"/>
              </w:rPr>
              <w:t>4,87</w:t>
            </w:r>
          </w:p>
        </w:tc>
        <w:tc>
          <w:tcPr>
            <w:tcW w:w="860" w:type="dxa"/>
            <w:tcBorders>
              <w:top w:val="nil"/>
              <w:left w:val="nil"/>
              <w:bottom w:val="single" w:sz="4" w:space="0" w:color="auto"/>
              <w:right w:val="single" w:sz="4" w:space="0" w:color="auto"/>
            </w:tcBorders>
            <w:shd w:val="clear" w:color="auto" w:fill="auto"/>
            <w:noWrap/>
            <w:vAlign w:val="center"/>
            <w:hideMark/>
          </w:tcPr>
          <w:p w:rsidR="00D912E2" w:rsidRPr="00794C0E" w:rsidRDefault="00D912E2" w:rsidP="00D912E2">
            <w:pPr>
              <w:jc w:val="center"/>
              <w:rPr>
                <w:rFonts w:cs="Arial"/>
                <w:b/>
                <w:bCs/>
                <w:color w:val="000000"/>
                <w:lang w:val="es-ES" w:eastAsia="es-ES"/>
              </w:rPr>
            </w:pPr>
            <w:r w:rsidRPr="00794C0E">
              <w:rPr>
                <w:rFonts w:cs="Arial"/>
                <w:b/>
                <w:bCs/>
                <w:color w:val="000000"/>
                <w:lang w:val="es-ES" w:eastAsia="es-ES"/>
              </w:rPr>
              <w:t>24,37</w:t>
            </w:r>
          </w:p>
        </w:tc>
        <w:tc>
          <w:tcPr>
            <w:tcW w:w="820" w:type="dxa"/>
            <w:tcBorders>
              <w:top w:val="nil"/>
              <w:left w:val="nil"/>
              <w:bottom w:val="single" w:sz="4" w:space="0" w:color="auto"/>
              <w:right w:val="single" w:sz="4" w:space="0" w:color="auto"/>
            </w:tcBorders>
            <w:shd w:val="clear" w:color="auto" w:fill="auto"/>
            <w:noWrap/>
            <w:vAlign w:val="center"/>
            <w:hideMark/>
          </w:tcPr>
          <w:p w:rsidR="00D912E2" w:rsidRPr="00794C0E" w:rsidRDefault="00D912E2" w:rsidP="00D912E2">
            <w:pPr>
              <w:jc w:val="center"/>
              <w:rPr>
                <w:rFonts w:cs="Arial"/>
                <w:color w:val="000000"/>
                <w:lang w:val="es-ES" w:eastAsia="es-ES"/>
              </w:rPr>
            </w:pPr>
            <w:r w:rsidRPr="00794C0E">
              <w:rPr>
                <w:rFonts w:cs="Arial"/>
                <w:color w:val="000000"/>
                <w:lang w:val="es-ES" w:eastAsia="es-ES"/>
              </w:rPr>
              <w:t>20,22</w:t>
            </w:r>
          </w:p>
        </w:tc>
        <w:tc>
          <w:tcPr>
            <w:tcW w:w="780" w:type="dxa"/>
            <w:tcBorders>
              <w:top w:val="nil"/>
              <w:left w:val="nil"/>
              <w:bottom w:val="single" w:sz="4" w:space="0" w:color="auto"/>
              <w:right w:val="single" w:sz="4" w:space="0" w:color="auto"/>
            </w:tcBorders>
            <w:shd w:val="clear" w:color="auto" w:fill="auto"/>
            <w:noWrap/>
            <w:vAlign w:val="center"/>
            <w:hideMark/>
          </w:tcPr>
          <w:p w:rsidR="00D912E2" w:rsidRPr="00794C0E" w:rsidRDefault="00D912E2" w:rsidP="00D912E2">
            <w:pPr>
              <w:jc w:val="center"/>
              <w:rPr>
                <w:rFonts w:cs="Arial"/>
                <w:color w:val="000000"/>
                <w:lang w:val="es-ES" w:eastAsia="es-ES"/>
              </w:rPr>
            </w:pPr>
            <w:r w:rsidRPr="00794C0E">
              <w:rPr>
                <w:rFonts w:cs="Arial"/>
                <w:color w:val="000000"/>
                <w:lang w:val="es-ES" w:eastAsia="es-ES"/>
              </w:rPr>
              <w:t>28,66</w:t>
            </w:r>
          </w:p>
        </w:tc>
      </w:tr>
      <w:tr w:rsidR="00D912E2" w:rsidRPr="00794C0E" w:rsidTr="00D912E2">
        <w:trPr>
          <w:trHeight w:val="300"/>
          <w:jc w:val="center"/>
        </w:trPr>
        <w:tc>
          <w:tcPr>
            <w:tcW w:w="1279" w:type="dxa"/>
            <w:tcBorders>
              <w:top w:val="nil"/>
              <w:left w:val="single" w:sz="4" w:space="0" w:color="auto"/>
              <w:bottom w:val="single" w:sz="4" w:space="0" w:color="auto"/>
              <w:right w:val="single" w:sz="4" w:space="0" w:color="auto"/>
            </w:tcBorders>
            <w:shd w:val="clear" w:color="auto" w:fill="auto"/>
            <w:vAlign w:val="center"/>
            <w:hideMark/>
          </w:tcPr>
          <w:p w:rsidR="00D912E2" w:rsidRPr="00794C0E" w:rsidRDefault="00D912E2" w:rsidP="00D912E2">
            <w:pPr>
              <w:rPr>
                <w:rFonts w:cs="Arial"/>
                <w:color w:val="000000"/>
                <w:lang w:val="es-ES" w:eastAsia="es-ES"/>
              </w:rPr>
            </w:pPr>
            <w:r w:rsidRPr="00794C0E">
              <w:rPr>
                <w:rFonts w:cs="Arial"/>
                <w:color w:val="000000"/>
                <w:lang w:val="es-AR" w:eastAsia="es-ES"/>
              </w:rPr>
              <w:t>PISA</w:t>
            </w:r>
          </w:p>
        </w:tc>
        <w:tc>
          <w:tcPr>
            <w:tcW w:w="641" w:type="dxa"/>
            <w:tcBorders>
              <w:top w:val="nil"/>
              <w:left w:val="nil"/>
              <w:bottom w:val="single" w:sz="4" w:space="0" w:color="auto"/>
              <w:right w:val="single" w:sz="4" w:space="0" w:color="auto"/>
            </w:tcBorders>
            <w:shd w:val="clear" w:color="auto" w:fill="auto"/>
            <w:noWrap/>
            <w:vAlign w:val="center"/>
            <w:hideMark/>
          </w:tcPr>
          <w:p w:rsidR="00D912E2" w:rsidRPr="00794C0E" w:rsidRDefault="00D912E2" w:rsidP="00D912E2">
            <w:pPr>
              <w:jc w:val="center"/>
              <w:rPr>
                <w:rFonts w:cs="Arial"/>
                <w:b/>
                <w:bCs/>
                <w:color w:val="000000"/>
                <w:lang w:val="es-ES" w:eastAsia="es-ES"/>
              </w:rPr>
            </w:pPr>
            <w:r w:rsidRPr="00794C0E">
              <w:rPr>
                <w:rFonts w:cs="Arial"/>
                <w:b/>
                <w:bCs/>
                <w:color w:val="000000"/>
                <w:lang w:val="es-ES" w:eastAsia="es-ES"/>
              </w:rPr>
              <w:t>0,41</w:t>
            </w:r>
          </w:p>
        </w:tc>
        <w:tc>
          <w:tcPr>
            <w:tcW w:w="860" w:type="dxa"/>
            <w:tcBorders>
              <w:top w:val="nil"/>
              <w:left w:val="nil"/>
              <w:bottom w:val="single" w:sz="4" w:space="0" w:color="auto"/>
              <w:right w:val="single" w:sz="4" w:space="0" w:color="auto"/>
            </w:tcBorders>
            <w:shd w:val="clear" w:color="auto" w:fill="auto"/>
            <w:noWrap/>
            <w:vAlign w:val="center"/>
            <w:hideMark/>
          </w:tcPr>
          <w:p w:rsidR="00D912E2" w:rsidRPr="00794C0E" w:rsidRDefault="00D912E2" w:rsidP="00D912E2">
            <w:pPr>
              <w:jc w:val="center"/>
              <w:rPr>
                <w:rFonts w:cs="Arial"/>
                <w:color w:val="000000"/>
                <w:lang w:val="es-ES" w:eastAsia="es-ES"/>
              </w:rPr>
            </w:pPr>
            <w:r w:rsidRPr="00794C0E">
              <w:rPr>
                <w:rFonts w:cs="Arial"/>
                <w:color w:val="000000"/>
                <w:lang w:val="es-ES" w:eastAsia="es-ES"/>
              </w:rPr>
              <w:t>-0,06</w:t>
            </w:r>
          </w:p>
        </w:tc>
        <w:tc>
          <w:tcPr>
            <w:tcW w:w="820" w:type="dxa"/>
            <w:tcBorders>
              <w:top w:val="nil"/>
              <w:left w:val="nil"/>
              <w:bottom w:val="single" w:sz="4" w:space="0" w:color="auto"/>
              <w:right w:val="single" w:sz="4" w:space="0" w:color="auto"/>
            </w:tcBorders>
            <w:shd w:val="clear" w:color="auto" w:fill="auto"/>
            <w:noWrap/>
            <w:vAlign w:val="center"/>
            <w:hideMark/>
          </w:tcPr>
          <w:p w:rsidR="00D912E2" w:rsidRPr="00794C0E" w:rsidRDefault="00D912E2" w:rsidP="00D912E2">
            <w:pPr>
              <w:jc w:val="center"/>
              <w:rPr>
                <w:rFonts w:cs="Arial"/>
                <w:color w:val="000000"/>
                <w:lang w:val="es-ES" w:eastAsia="es-ES"/>
              </w:rPr>
            </w:pPr>
            <w:r w:rsidRPr="00794C0E">
              <w:rPr>
                <w:rFonts w:cs="Arial"/>
                <w:color w:val="000000"/>
                <w:lang w:val="es-ES" w:eastAsia="es-ES"/>
              </w:rPr>
              <w:t>0,86</w:t>
            </w:r>
          </w:p>
        </w:tc>
        <w:tc>
          <w:tcPr>
            <w:tcW w:w="860" w:type="dxa"/>
            <w:tcBorders>
              <w:top w:val="nil"/>
              <w:left w:val="nil"/>
              <w:bottom w:val="single" w:sz="4" w:space="0" w:color="auto"/>
              <w:right w:val="single" w:sz="4" w:space="0" w:color="auto"/>
            </w:tcBorders>
            <w:shd w:val="clear" w:color="auto" w:fill="auto"/>
            <w:noWrap/>
            <w:vAlign w:val="center"/>
            <w:hideMark/>
          </w:tcPr>
          <w:p w:rsidR="00D912E2" w:rsidRPr="00794C0E" w:rsidRDefault="00D912E2" w:rsidP="00D912E2">
            <w:pPr>
              <w:jc w:val="center"/>
              <w:rPr>
                <w:rFonts w:cs="Arial"/>
                <w:b/>
                <w:bCs/>
                <w:color w:val="000000"/>
                <w:lang w:val="es-ES" w:eastAsia="es-ES"/>
              </w:rPr>
            </w:pPr>
            <w:r w:rsidRPr="00794C0E">
              <w:rPr>
                <w:rFonts w:cs="Arial"/>
                <w:b/>
                <w:bCs/>
                <w:color w:val="000000"/>
                <w:lang w:val="es-ES" w:eastAsia="es-ES"/>
              </w:rPr>
              <w:t>22,32</w:t>
            </w:r>
          </w:p>
        </w:tc>
        <w:tc>
          <w:tcPr>
            <w:tcW w:w="820" w:type="dxa"/>
            <w:tcBorders>
              <w:top w:val="nil"/>
              <w:left w:val="nil"/>
              <w:bottom w:val="single" w:sz="4" w:space="0" w:color="auto"/>
              <w:right w:val="single" w:sz="4" w:space="0" w:color="auto"/>
            </w:tcBorders>
            <w:shd w:val="clear" w:color="auto" w:fill="auto"/>
            <w:noWrap/>
            <w:vAlign w:val="center"/>
            <w:hideMark/>
          </w:tcPr>
          <w:p w:rsidR="00D912E2" w:rsidRPr="00794C0E" w:rsidRDefault="00D912E2" w:rsidP="00D912E2">
            <w:pPr>
              <w:jc w:val="center"/>
              <w:rPr>
                <w:rFonts w:cs="Arial"/>
                <w:color w:val="000000"/>
                <w:lang w:val="es-ES" w:eastAsia="es-ES"/>
              </w:rPr>
            </w:pPr>
            <w:r w:rsidRPr="00794C0E">
              <w:rPr>
                <w:rFonts w:cs="Arial"/>
                <w:color w:val="000000"/>
                <w:lang w:val="es-ES" w:eastAsia="es-ES"/>
              </w:rPr>
              <w:t>11,34</w:t>
            </w:r>
          </w:p>
        </w:tc>
        <w:tc>
          <w:tcPr>
            <w:tcW w:w="780" w:type="dxa"/>
            <w:tcBorders>
              <w:top w:val="nil"/>
              <w:left w:val="nil"/>
              <w:bottom w:val="single" w:sz="4" w:space="0" w:color="auto"/>
              <w:right w:val="single" w:sz="4" w:space="0" w:color="auto"/>
            </w:tcBorders>
            <w:shd w:val="clear" w:color="auto" w:fill="auto"/>
            <w:noWrap/>
            <w:vAlign w:val="center"/>
            <w:hideMark/>
          </w:tcPr>
          <w:p w:rsidR="00D912E2" w:rsidRPr="00794C0E" w:rsidRDefault="00D912E2" w:rsidP="00D912E2">
            <w:pPr>
              <w:jc w:val="center"/>
              <w:rPr>
                <w:rFonts w:cs="Arial"/>
                <w:color w:val="000000"/>
                <w:lang w:val="es-ES" w:eastAsia="es-ES"/>
              </w:rPr>
            </w:pPr>
            <w:r w:rsidRPr="00794C0E">
              <w:rPr>
                <w:rFonts w:cs="Arial"/>
                <w:color w:val="000000"/>
                <w:lang w:val="es-ES" w:eastAsia="es-ES"/>
              </w:rPr>
              <w:t>32,92</w:t>
            </w:r>
          </w:p>
        </w:tc>
      </w:tr>
    </w:tbl>
    <w:p w:rsidR="00D912E2" w:rsidRPr="00794C0E" w:rsidRDefault="00D912E2" w:rsidP="00D912E2">
      <w:pPr>
        <w:jc w:val="center"/>
        <w:rPr>
          <w:rFonts w:cs="Arial"/>
          <w:bCs/>
          <w:iCs/>
          <w:lang w:val="es-AR"/>
        </w:rPr>
      </w:pPr>
      <w:r w:rsidRPr="00794C0E">
        <w:rPr>
          <w:rFonts w:cs="Arial"/>
          <w:bCs/>
          <w:iCs/>
          <w:lang w:val="es-AR"/>
        </w:rPr>
        <w:t xml:space="preserve">            Fuente: Elaboración Propia en base a resultados del análisis de sensibilidad</w:t>
      </w:r>
    </w:p>
    <w:p w:rsidR="000A3157" w:rsidRPr="00794C0E" w:rsidRDefault="000A3157" w:rsidP="000A3157">
      <w:pPr>
        <w:rPr>
          <w:rFonts w:cs="Arial"/>
          <w:lang w:val="es-AR"/>
        </w:rPr>
      </w:pPr>
    </w:p>
    <w:p w:rsidR="00061FFC" w:rsidRPr="00794C0E" w:rsidRDefault="00061FFC" w:rsidP="00E567E7">
      <w:pPr>
        <w:pStyle w:val="ListParagraph"/>
        <w:numPr>
          <w:ilvl w:val="1"/>
          <w:numId w:val="5"/>
        </w:numPr>
        <w:ind w:left="0" w:firstLine="0"/>
        <w:jc w:val="both"/>
        <w:rPr>
          <w:rFonts w:cs="Arial"/>
          <w:bCs/>
          <w:sz w:val="22"/>
          <w:szCs w:val="22"/>
          <w:lang w:val="es-AR"/>
        </w:rPr>
      </w:pPr>
      <w:r w:rsidRPr="00794C0E">
        <w:rPr>
          <w:rFonts w:cs="Arial"/>
          <w:bCs/>
          <w:sz w:val="22"/>
          <w:szCs w:val="22"/>
          <w:lang w:val="es-AR"/>
        </w:rPr>
        <w:t>Para los proyectos de fortalecimiento en los sistemas de admini</w:t>
      </w:r>
      <w:r w:rsidR="008639DD" w:rsidRPr="00794C0E">
        <w:rPr>
          <w:rFonts w:cs="Arial"/>
          <w:bCs/>
          <w:sz w:val="22"/>
          <w:szCs w:val="22"/>
          <w:lang w:val="es-AR"/>
        </w:rPr>
        <w:t>s</w:t>
      </w:r>
      <w:r w:rsidRPr="00794C0E">
        <w:rPr>
          <w:rFonts w:cs="Arial"/>
          <w:bCs/>
          <w:sz w:val="22"/>
          <w:szCs w:val="22"/>
          <w:lang w:val="es-AR"/>
        </w:rPr>
        <w:t>traci</w:t>
      </w:r>
      <w:r w:rsidR="008639DD" w:rsidRPr="00794C0E">
        <w:rPr>
          <w:rFonts w:cs="Arial"/>
          <w:bCs/>
          <w:sz w:val="22"/>
          <w:szCs w:val="22"/>
          <w:lang w:val="es-AR"/>
        </w:rPr>
        <w:t>ó</w:t>
      </w:r>
      <w:r w:rsidRPr="00794C0E">
        <w:rPr>
          <w:rFonts w:cs="Arial"/>
          <w:bCs/>
          <w:sz w:val="22"/>
          <w:szCs w:val="22"/>
          <w:lang w:val="es-AR"/>
        </w:rPr>
        <w:t>n tributaria y f</w:t>
      </w:r>
      <w:r w:rsidR="00E4526F" w:rsidRPr="00794C0E">
        <w:rPr>
          <w:rFonts w:cs="Arial"/>
          <w:bCs/>
          <w:sz w:val="22"/>
          <w:szCs w:val="22"/>
          <w:lang w:val="es-AR"/>
        </w:rPr>
        <w:t xml:space="preserve">inanciera se puede concluir que la rentabilidad es muy sensible al monto de las inversiones y a la curva de inversión. En ambos casos, las inversiones se realizan en un período mayor al año, </w:t>
      </w:r>
      <w:r w:rsidR="00EC1734" w:rsidRPr="00794C0E">
        <w:rPr>
          <w:rFonts w:cs="Arial"/>
          <w:bCs/>
          <w:sz w:val="22"/>
          <w:szCs w:val="22"/>
          <w:lang w:val="es-AR"/>
        </w:rPr>
        <w:t xml:space="preserve">ya que son proyectos se van ejecutando por etapas: diagnóstico, diseño de sistemas, compra </w:t>
      </w:r>
      <w:r w:rsidR="00CC1CAB" w:rsidRPr="00794C0E">
        <w:rPr>
          <w:rFonts w:cs="Arial"/>
          <w:bCs/>
          <w:sz w:val="22"/>
          <w:szCs w:val="22"/>
          <w:lang w:val="es-AR"/>
        </w:rPr>
        <w:t>de equipos, implementación.</w:t>
      </w:r>
    </w:p>
    <w:p w:rsidR="00CC1CAB" w:rsidRPr="00794C0E" w:rsidRDefault="00CC1CAB" w:rsidP="00CC1CAB">
      <w:pPr>
        <w:pStyle w:val="ListParagraph"/>
        <w:ind w:left="0"/>
        <w:jc w:val="both"/>
        <w:rPr>
          <w:rFonts w:cs="Arial"/>
          <w:bCs/>
          <w:sz w:val="22"/>
          <w:szCs w:val="22"/>
          <w:lang w:val="es-AR"/>
        </w:rPr>
      </w:pPr>
    </w:p>
    <w:p w:rsidR="00061FFC" w:rsidRPr="00794C0E" w:rsidRDefault="00061FFC" w:rsidP="00E567E7">
      <w:pPr>
        <w:pStyle w:val="ListParagraph"/>
        <w:numPr>
          <w:ilvl w:val="1"/>
          <w:numId w:val="5"/>
        </w:numPr>
        <w:ind w:left="0" w:firstLine="0"/>
        <w:jc w:val="both"/>
        <w:rPr>
          <w:rFonts w:cs="Arial"/>
          <w:bCs/>
          <w:sz w:val="22"/>
          <w:szCs w:val="22"/>
          <w:lang w:val="es-AR"/>
        </w:rPr>
      </w:pPr>
      <w:r w:rsidRPr="00794C0E">
        <w:rPr>
          <w:rFonts w:cs="Arial"/>
          <w:bCs/>
          <w:sz w:val="22"/>
          <w:szCs w:val="22"/>
          <w:lang w:val="es-AR"/>
        </w:rPr>
        <w:t xml:space="preserve">Por su parte, en el caso de los proyectos de inversión, se puede afirmar que </w:t>
      </w:r>
      <w:r w:rsidR="00EC1734" w:rsidRPr="00794C0E">
        <w:rPr>
          <w:rFonts w:cs="Arial"/>
          <w:bCs/>
          <w:sz w:val="22"/>
          <w:szCs w:val="22"/>
          <w:lang w:val="es-AR"/>
        </w:rPr>
        <w:t xml:space="preserve">el proyecto de la ruta provincial en Salta es el menos rentable. Una de las variables que más explican la rentabilidad </w:t>
      </w:r>
      <w:r w:rsidR="00CC1CAB" w:rsidRPr="00794C0E">
        <w:rPr>
          <w:rFonts w:cs="Arial"/>
          <w:bCs/>
          <w:sz w:val="22"/>
          <w:szCs w:val="22"/>
          <w:lang w:val="es-AR"/>
        </w:rPr>
        <w:t xml:space="preserve">en este </w:t>
      </w:r>
      <w:r w:rsidR="00EC1734" w:rsidRPr="00794C0E">
        <w:rPr>
          <w:rFonts w:cs="Arial"/>
          <w:bCs/>
          <w:sz w:val="22"/>
          <w:szCs w:val="22"/>
          <w:lang w:val="es-AR"/>
        </w:rPr>
        <w:t xml:space="preserve">proyecto es </w:t>
      </w:r>
      <w:r w:rsidR="00CC1CAB" w:rsidRPr="00794C0E">
        <w:rPr>
          <w:rFonts w:cs="Arial"/>
          <w:bCs/>
          <w:sz w:val="22"/>
          <w:szCs w:val="22"/>
          <w:lang w:val="es-AR"/>
        </w:rPr>
        <w:t>la longitud del camino.</w:t>
      </w:r>
      <w:r w:rsidRPr="00794C0E">
        <w:rPr>
          <w:rFonts w:cs="Arial"/>
          <w:bCs/>
          <w:sz w:val="22"/>
          <w:szCs w:val="22"/>
          <w:lang w:val="es-AR"/>
        </w:rPr>
        <w:br w:type="page"/>
      </w:r>
    </w:p>
    <w:p w:rsidR="009F49A3" w:rsidRPr="00794C0E" w:rsidRDefault="007E2BEB" w:rsidP="009D1692">
      <w:pPr>
        <w:pStyle w:val="Heading1"/>
        <w:jc w:val="both"/>
        <w:rPr>
          <w:rFonts w:ascii="Arial" w:hAnsi="Arial" w:cs="Arial"/>
          <w:i w:val="0"/>
          <w:lang w:val="es-AR"/>
        </w:rPr>
      </w:pPr>
      <w:bookmarkStart w:id="9" w:name="_Toc460335659"/>
      <w:r w:rsidRPr="00794C0E">
        <w:rPr>
          <w:rFonts w:ascii="Arial" w:hAnsi="Arial" w:cs="Arial"/>
          <w:i w:val="0"/>
          <w:lang w:val="es-AR"/>
        </w:rPr>
        <w:lastRenderedPageBreak/>
        <w:t>Bibliografía y Fuentes</w:t>
      </w:r>
      <w:bookmarkEnd w:id="5"/>
      <w:bookmarkEnd w:id="9"/>
    </w:p>
    <w:p w:rsidR="001172E2" w:rsidRPr="00794C0E" w:rsidRDefault="001172E2" w:rsidP="009D1692">
      <w:pPr>
        <w:jc w:val="both"/>
        <w:rPr>
          <w:rFonts w:cs="Arial"/>
          <w:bCs/>
          <w:sz w:val="22"/>
          <w:szCs w:val="22"/>
          <w:highlight w:val="yellow"/>
          <w:lang w:val="es-AR"/>
        </w:rPr>
      </w:pPr>
    </w:p>
    <w:p w:rsidR="00106B89" w:rsidRPr="00794C0E" w:rsidRDefault="00106B89" w:rsidP="00106B89">
      <w:pPr>
        <w:pStyle w:val="ListParagraph"/>
        <w:numPr>
          <w:ilvl w:val="0"/>
          <w:numId w:val="16"/>
        </w:numPr>
        <w:jc w:val="both"/>
        <w:rPr>
          <w:rFonts w:cs="Arial"/>
          <w:bCs/>
          <w:sz w:val="22"/>
          <w:szCs w:val="22"/>
          <w:lang w:val="es-AR"/>
        </w:rPr>
      </w:pPr>
      <w:r w:rsidRPr="00794C0E">
        <w:rPr>
          <w:rFonts w:cs="Arial"/>
          <w:bCs/>
          <w:sz w:val="22"/>
          <w:szCs w:val="22"/>
          <w:lang w:val="es-AR"/>
        </w:rPr>
        <w:t>Archondo-Callao, R (2004). Modelo de Evaluación Económica de Caminos  de Bajo Volumen de Tránsito</w:t>
      </w:r>
    </w:p>
    <w:p w:rsidR="00106B89" w:rsidRPr="00794C0E" w:rsidRDefault="00106B89" w:rsidP="00106B89">
      <w:pPr>
        <w:pStyle w:val="ListParagraph"/>
        <w:ind w:left="720"/>
        <w:jc w:val="both"/>
        <w:rPr>
          <w:rFonts w:cs="Arial"/>
          <w:bCs/>
          <w:sz w:val="22"/>
          <w:szCs w:val="22"/>
          <w:lang w:val="es-AR"/>
        </w:rPr>
      </w:pPr>
    </w:p>
    <w:p w:rsidR="00EC7B25" w:rsidRPr="00794C0E" w:rsidRDefault="00EC7B25" w:rsidP="00EC7B25">
      <w:pPr>
        <w:pStyle w:val="ListParagraph"/>
        <w:numPr>
          <w:ilvl w:val="0"/>
          <w:numId w:val="16"/>
        </w:numPr>
        <w:jc w:val="both"/>
        <w:rPr>
          <w:rFonts w:cs="Arial"/>
          <w:bCs/>
          <w:sz w:val="22"/>
          <w:szCs w:val="22"/>
          <w:lang w:val="es-AR"/>
        </w:rPr>
      </w:pPr>
      <w:r w:rsidRPr="00794C0E">
        <w:rPr>
          <w:rFonts w:cs="Arial"/>
          <w:bCs/>
          <w:sz w:val="22"/>
          <w:szCs w:val="22"/>
          <w:lang w:val="es-AR"/>
        </w:rPr>
        <w:t>Castro et al. (2014) “Desafíos y potencial del impuesto inmobiliario en la Argentina” (2014). CIPPEC, Documento de Trabajo Nº 120, se muestra esa evolución.</w:t>
      </w:r>
    </w:p>
    <w:p w:rsidR="00106B89" w:rsidRPr="00794C0E" w:rsidRDefault="00106B89" w:rsidP="00106B89">
      <w:pPr>
        <w:pStyle w:val="ListParagraph"/>
        <w:ind w:left="720"/>
        <w:jc w:val="both"/>
        <w:rPr>
          <w:rFonts w:cs="Arial"/>
          <w:bCs/>
          <w:sz w:val="22"/>
          <w:szCs w:val="22"/>
          <w:lang w:val="es-AR"/>
        </w:rPr>
      </w:pPr>
    </w:p>
    <w:p w:rsidR="00106B89" w:rsidRPr="00794C0E" w:rsidRDefault="00106B89" w:rsidP="00106B89">
      <w:pPr>
        <w:pStyle w:val="ListParagraph"/>
        <w:numPr>
          <w:ilvl w:val="0"/>
          <w:numId w:val="16"/>
        </w:numPr>
        <w:jc w:val="both"/>
        <w:rPr>
          <w:rFonts w:cs="Arial"/>
          <w:bCs/>
          <w:sz w:val="22"/>
          <w:szCs w:val="22"/>
          <w:lang w:val="es-AR"/>
        </w:rPr>
      </w:pPr>
      <w:r w:rsidRPr="00794C0E">
        <w:rPr>
          <w:rFonts w:cs="Arial"/>
          <w:bCs/>
          <w:sz w:val="22"/>
          <w:szCs w:val="22"/>
          <w:lang w:val="es-AR"/>
        </w:rPr>
        <w:t>Censo Población 2010. INDEC</w:t>
      </w:r>
    </w:p>
    <w:p w:rsidR="00106B89" w:rsidRPr="00794C0E" w:rsidRDefault="00106B89" w:rsidP="00106B89">
      <w:pPr>
        <w:pStyle w:val="ListParagraph"/>
        <w:rPr>
          <w:rFonts w:cs="Arial"/>
          <w:bCs/>
          <w:sz w:val="22"/>
          <w:szCs w:val="22"/>
          <w:lang w:val="es-AR"/>
        </w:rPr>
      </w:pPr>
    </w:p>
    <w:p w:rsidR="00106B89" w:rsidRPr="00794C0E" w:rsidRDefault="00106B89" w:rsidP="00106B89">
      <w:pPr>
        <w:pStyle w:val="ListParagraph"/>
        <w:numPr>
          <w:ilvl w:val="0"/>
          <w:numId w:val="16"/>
        </w:numPr>
        <w:jc w:val="both"/>
        <w:rPr>
          <w:rFonts w:cs="Arial"/>
          <w:bCs/>
          <w:sz w:val="22"/>
          <w:szCs w:val="22"/>
          <w:lang w:val="es-AR"/>
        </w:rPr>
      </w:pPr>
      <w:r w:rsidRPr="00794C0E">
        <w:rPr>
          <w:rFonts w:cs="Arial"/>
          <w:bCs/>
          <w:sz w:val="22"/>
          <w:szCs w:val="22"/>
          <w:lang w:val="es-AR"/>
        </w:rPr>
        <w:t>Dirección Nacional de Vialidad. Octubre 2015</w:t>
      </w:r>
    </w:p>
    <w:p w:rsidR="00106B89" w:rsidRPr="00794C0E" w:rsidRDefault="00106B89" w:rsidP="00106B89">
      <w:pPr>
        <w:pStyle w:val="ListParagraph"/>
        <w:ind w:left="720"/>
        <w:jc w:val="both"/>
        <w:rPr>
          <w:rFonts w:cs="Arial"/>
          <w:bCs/>
          <w:sz w:val="22"/>
          <w:szCs w:val="22"/>
          <w:lang w:val="es-AR"/>
        </w:rPr>
      </w:pPr>
      <w:r w:rsidRPr="00794C0E">
        <w:rPr>
          <w:rFonts w:cs="Arial"/>
          <w:bCs/>
          <w:sz w:val="22"/>
          <w:szCs w:val="22"/>
          <w:lang w:val="es-AR"/>
        </w:rPr>
        <w:t>“http://www.vialidad.gob.ar/sites/default/files/CostoOperativo%20por%20veh%C3%ADculo_0.pdf”</w:t>
      </w:r>
    </w:p>
    <w:p w:rsidR="00106B89" w:rsidRPr="00794C0E" w:rsidRDefault="00106B89" w:rsidP="00106B89">
      <w:pPr>
        <w:pStyle w:val="ListParagraph"/>
        <w:rPr>
          <w:rFonts w:cs="Arial"/>
          <w:bCs/>
          <w:sz w:val="22"/>
          <w:szCs w:val="22"/>
          <w:lang w:val="es-AR"/>
        </w:rPr>
      </w:pPr>
    </w:p>
    <w:p w:rsidR="00EC1734" w:rsidRPr="00794C0E" w:rsidRDefault="00EC7B25" w:rsidP="00EC7B25">
      <w:pPr>
        <w:pStyle w:val="ListParagraph"/>
        <w:numPr>
          <w:ilvl w:val="0"/>
          <w:numId w:val="16"/>
        </w:numPr>
        <w:jc w:val="both"/>
        <w:rPr>
          <w:rFonts w:cs="Arial"/>
          <w:bCs/>
          <w:sz w:val="22"/>
          <w:szCs w:val="22"/>
          <w:lang w:val="es-AR"/>
        </w:rPr>
      </w:pPr>
      <w:r w:rsidRPr="00794C0E">
        <w:rPr>
          <w:rFonts w:cs="Arial"/>
          <w:bCs/>
          <w:sz w:val="22"/>
          <w:szCs w:val="22"/>
          <w:lang w:val="es-AR"/>
        </w:rPr>
        <w:t>DNCFP (2012), “</w:t>
      </w:r>
      <w:r w:rsidR="00EC1734" w:rsidRPr="00794C0E">
        <w:rPr>
          <w:rFonts w:cs="Arial"/>
          <w:bCs/>
          <w:sz w:val="22"/>
          <w:szCs w:val="22"/>
          <w:lang w:val="es-AR"/>
        </w:rPr>
        <w:t>Política tributaria provincial: avances en el Impuesto Inmobiliario” de la Dirección Nacional de Coordinación Fiscal con las Provincias, Subsecretaría de Relaciones con las Provincias, Secretaría de Hacienda, Ministerio de Economía y Finanzas Públicas de la Nación</w:t>
      </w:r>
    </w:p>
    <w:p w:rsidR="00EC1734" w:rsidRPr="00794C0E" w:rsidRDefault="00EC1734" w:rsidP="00EC7B25">
      <w:pPr>
        <w:jc w:val="both"/>
        <w:rPr>
          <w:rFonts w:cs="Arial"/>
          <w:bCs/>
          <w:sz w:val="22"/>
          <w:szCs w:val="22"/>
          <w:lang w:val="es-AR"/>
        </w:rPr>
      </w:pPr>
    </w:p>
    <w:p w:rsidR="00EC7B25" w:rsidRPr="00794C0E" w:rsidRDefault="00EC7B25" w:rsidP="00EC7B25">
      <w:pPr>
        <w:pStyle w:val="ListParagraph"/>
        <w:numPr>
          <w:ilvl w:val="0"/>
          <w:numId w:val="16"/>
        </w:numPr>
        <w:jc w:val="both"/>
        <w:rPr>
          <w:rFonts w:cs="Arial"/>
          <w:bCs/>
          <w:sz w:val="22"/>
          <w:szCs w:val="22"/>
          <w:lang w:val="es-AR"/>
        </w:rPr>
      </w:pPr>
      <w:r w:rsidRPr="00794C0E">
        <w:rPr>
          <w:rFonts w:cs="Arial"/>
          <w:bCs/>
          <w:sz w:val="22"/>
          <w:szCs w:val="22"/>
          <w:lang w:val="es-AR"/>
        </w:rPr>
        <w:t xml:space="preserve"> “El sistema tributario Colombiano: Impacto sobre la eficiencia y la competitividad</w:t>
      </w:r>
    </w:p>
    <w:p w:rsidR="00EC7B25" w:rsidRPr="00794C0E" w:rsidRDefault="00794C0E" w:rsidP="00EC7B25">
      <w:pPr>
        <w:pStyle w:val="ListParagraph"/>
        <w:ind w:left="720"/>
        <w:jc w:val="both"/>
        <w:rPr>
          <w:rFonts w:cs="Arial"/>
          <w:bCs/>
          <w:sz w:val="22"/>
          <w:szCs w:val="22"/>
          <w:lang w:val="es-AR"/>
        </w:rPr>
      </w:pPr>
      <w:hyperlink r:id="rId38" w:history="1">
        <w:r w:rsidR="00EC7B25" w:rsidRPr="00794C0E">
          <w:rPr>
            <w:rFonts w:cs="Arial"/>
            <w:bCs/>
            <w:sz w:val="22"/>
            <w:szCs w:val="22"/>
            <w:lang w:val="es-AR"/>
          </w:rPr>
          <w:t>http://www.dian.gov.co/descargas/servicios/OEEDocumentos/Estudios/Tributacionycompetitividad.pdf</w:t>
        </w:r>
      </w:hyperlink>
    </w:p>
    <w:p w:rsidR="00EC7B25" w:rsidRPr="00794C0E" w:rsidRDefault="00EC7B25" w:rsidP="00EC7B25">
      <w:pPr>
        <w:pStyle w:val="ListParagraph"/>
        <w:rPr>
          <w:rFonts w:cs="Arial"/>
          <w:bCs/>
          <w:sz w:val="22"/>
          <w:szCs w:val="22"/>
          <w:lang w:val="es-AR"/>
        </w:rPr>
      </w:pPr>
    </w:p>
    <w:p w:rsidR="00EC7B25" w:rsidRPr="00794C0E" w:rsidRDefault="00EC7B25" w:rsidP="00EC7B25">
      <w:pPr>
        <w:pStyle w:val="ListParagraph"/>
        <w:numPr>
          <w:ilvl w:val="0"/>
          <w:numId w:val="16"/>
        </w:numPr>
        <w:jc w:val="both"/>
        <w:rPr>
          <w:rFonts w:cs="Arial"/>
          <w:bCs/>
          <w:sz w:val="22"/>
          <w:szCs w:val="22"/>
          <w:lang w:val="es-AR"/>
        </w:rPr>
      </w:pPr>
      <w:r w:rsidRPr="00794C0E">
        <w:rPr>
          <w:rFonts w:cs="Arial"/>
          <w:bCs/>
          <w:sz w:val="22"/>
          <w:szCs w:val="22"/>
          <w:lang w:val="es-AR"/>
        </w:rPr>
        <w:t>Evaluación Económica del Programa de Mejoramiento de Barrios IV (AR-L1149)</w:t>
      </w:r>
    </w:p>
    <w:p w:rsidR="00106B89" w:rsidRPr="00794C0E" w:rsidRDefault="00106B89" w:rsidP="00106B89">
      <w:pPr>
        <w:pStyle w:val="ListParagraph"/>
        <w:ind w:left="720"/>
        <w:jc w:val="both"/>
        <w:rPr>
          <w:rFonts w:cs="Arial"/>
          <w:bCs/>
          <w:sz w:val="22"/>
          <w:szCs w:val="22"/>
          <w:lang w:val="es-AR"/>
        </w:rPr>
      </w:pPr>
    </w:p>
    <w:p w:rsidR="00106B89" w:rsidRPr="00794C0E" w:rsidRDefault="00106B89" w:rsidP="00106B89">
      <w:pPr>
        <w:pStyle w:val="ListParagraph"/>
        <w:numPr>
          <w:ilvl w:val="0"/>
          <w:numId w:val="16"/>
        </w:numPr>
        <w:jc w:val="both"/>
        <w:rPr>
          <w:rFonts w:cs="Arial"/>
          <w:bCs/>
          <w:sz w:val="22"/>
          <w:szCs w:val="22"/>
          <w:lang w:val="es-AR"/>
        </w:rPr>
      </w:pPr>
      <w:r w:rsidRPr="00794C0E">
        <w:rPr>
          <w:rFonts w:cs="Arial"/>
          <w:bCs/>
          <w:sz w:val="22"/>
          <w:szCs w:val="22"/>
          <w:lang w:val="es-AR"/>
        </w:rPr>
        <w:t>Guías Metodológicas de CEPAL</w:t>
      </w:r>
    </w:p>
    <w:p w:rsidR="00106B89" w:rsidRPr="00794C0E" w:rsidRDefault="00106B89" w:rsidP="00106B89">
      <w:pPr>
        <w:pStyle w:val="ListParagraph"/>
        <w:ind w:left="720"/>
        <w:jc w:val="both"/>
        <w:rPr>
          <w:rFonts w:cs="Arial"/>
          <w:bCs/>
          <w:sz w:val="22"/>
          <w:szCs w:val="22"/>
          <w:lang w:val="es-AR"/>
        </w:rPr>
      </w:pPr>
      <w:r w:rsidRPr="00794C0E">
        <w:rPr>
          <w:rFonts w:cs="Arial"/>
          <w:bCs/>
          <w:sz w:val="22"/>
          <w:szCs w:val="22"/>
          <w:lang w:val="es-AR"/>
        </w:rPr>
        <w:t>http://www.cepal.org/cgibin/getprod.asp?xml=/ilpes/noticias/paginas/8/52958/P52958.xml&amp;base=/tpl/blanco.xsl</w:t>
      </w:r>
    </w:p>
    <w:p w:rsidR="00106B89" w:rsidRPr="00794C0E" w:rsidRDefault="00106B89" w:rsidP="00106B89">
      <w:pPr>
        <w:jc w:val="both"/>
        <w:rPr>
          <w:rFonts w:cs="Arial"/>
          <w:bCs/>
          <w:sz w:val="22"/>
          <w:szCs w:val="22"/>
          <w:lang w:val="es-AR"/>
        </w:rPr>
      </w:pPr>
    </w:p>
    <w:p w:rsidR="00106B89" w:rsidRPr="00794C0E" w:rsidRDefault="00106B89" w:rsidP="00106B89">
      <w:pPr>
        <w:pStyle w:val="ListParagraph"/>
        <w:numPr>
          <w:ilvl w:val="0"/>
          <w:numId w:val="16"/>
        </w:numPr>
        <w:jc w:val="both"/>
        <w:rPr>
          <w:rFonts w:cs="Arial"/>
          <w:bCs/>
          <w:sz w:val="22"/>
          <w:szCs w:val="22"/>
          <w:lang w:val="es-AR"/>
        </w:rPr>
      </w:pPr>
      <w:r w:rsidRPr="00794C0E">
        <w:rPr>
          <w:rFonts w:cs="Arial"/>
          <w:bCs/>
          <w:sz w:val="22"/>
          <w:szCs w:val="22"/>
        </w:rPr>
        <w:t xml:space="preserve">Harberger, A. (1978): "On the Use of Distributional Weights in Social Cost-Benefit Analysis", Journal of Political Economy Vol. 86 (June): págs. </w:t>
      </w:r>
      <w:r w:rsidRPr="00794C0E">
        <w:rPr>
          <w:rFonts w:cs="Arial"/>
          <w:bCs/>
          <w:sz w:val="22"/>
          <w:szCs w:val="22"/>
          <w:lang w:val="es-AR"/>
        </w:rPr>
        <w:t>S87-S120</w:t>
      </w:r>
    </w:p>
    <w:p w:rsidR="00106B89" w:rsidRPr="00794C0E" w:rsidRDefault="00106B89" w:rsidP="00106B89">
      <w:pPr>
        <w:jc w:val="both"/>
        <w:rPr>
          <w:rFonts w:cs="Arial"/>
          <w:bCs/>
          <w:sz w:val="22"/>
          <w:szCs w:val="22"/>
          <w:lang w:val="es-AR"/>
        </w:rPr>
      </w:pPr>
    </w:p>
    <w:p w:rsidR="00106B89" w:rsidRPr="00794C0E" w:rsidRDefault="00794C0E" w:rsidP="00106B89">
      <w:pPr>
        <w:pStyle w:val="ListParagraph"/>
        <w:numPr>
          <w:ilvl w:val="0"/>
          <w:numId w:val="16"/>
        </w:numPr>
        <w:jc w:val="both"/>
        <w:rPr>
          <w:rFonts w:cs="Arial"/>
          <w:bCs/>
          <w:sz w:val="22"/>
          <w:szCs w:val="22"/>
          <w:lang w:val="es-AR"/>
        </w:rPr>
      </w:pPr>
      <w:hyperlink r:id="rId39" w:history="1">
        <w:r w:rsidR="00106B89" w:rsidRPr="00794C0E">
          <w:rPr>
            <w:rFonts w:cs="Arial"/>
            <w:bCs/>
            <w:sz w:val="22"/>
            <w:szCs w:val="22"/>
            <w:lang w:val="es-AR"/>
          </w:rPr>
          <w:t>http://www.agroindustria.gob.ar/sitio/areas/ss_lecheria/estadisticas/</w:t>
        </w:r>
      </w:hyperlink>
      <w:r w:rsidR="00106B89" w:rsidRPr="00794C0E">
        <w:rPr>
          <w:rFonts w:cs="Arial"/>
          <w:bCs/>
          <w:sz w:val="22"/>
          <w:szCs w:val="22"/>
          <w:lang w:val="es-AR"/>
        </w:rPr>
        <w:t xml:space="preserve"> </w:t>
      </w:r>
    </w:p>
    <w:p w:rsidR="00106B89" w:rsidRPr="00794C0E" w:rsidRDefault="00106B89" w:rsidP="00106B89">
      <w:pPr>
        <w:jc w:val="both"/>
        <w:rPr>
          <w:rFonts w:cs="Arial"/>
          <w:bCs/>
          <w:sz w:val="22"/>
          <w:szCs w:val="22"/>
          <w:lang w:val="es-AR"/>
        </w:rPr>
      </w:pPr>
    </w:p>
    <w:p w:rsidR="00106B89" w:rsidRPr="00794C0E" w:rsidRDefault="00106B89" w:rsidP="00106B89">
      <w:pPr>
        <w:pStyle w:val="ListParagraph"/>
        <w:numPr>
          <w:ilvl w:val="0"/>
          <w:numId w:val="16"/>
        </w:numPr>
        <w:jc w:val="both"/>
        <w:rPr>
          <w:rFonts w:cs="Arial"/>
          <w:bCs/>
          <w:sz w:val="22"/>
          <w:szCs w:val="22"/>
          <w:lang w:val="es-AR"/>
        </w:rPr>
      </w:pPr>
      <w:r w:rsidRPr="00794C0E">
        <w:rPr>
          <w:rFonts w:cs="Arial"/>
          <w:bCs/>
          <w:sz w:val="22"/>
          <w:szCs w:val="22"/>
          <w:lang w:val="es-AR"/>
        </w:rPr>
        <w:t>http://www.agroindustria.gob.ar/sitio/areas/ss_lecheria/estadisticas/_03_precios/_archivos/PR004.php</w:t>
      </w:r>
    </w:p>
    <w:p w:rsidR="00106B89" w:rsidRPr="00794C0E" w:rsidRDefault="00106B89" w:rsidP="00106B89">
      <w:pPr>
        <w:jc w:val="both"/>
        <w:rPr>
          <w:rFonts w:cs="Arial"/>
          <w:bCs/>
          <w:sz w:val="22"/>
          <w:szCs w:val="22"/>
          <w:lang w:val="es-AR"/>
        </w:rPr>
      </w:pPr>
    </w:p>
    <w:p w:rsidR="00106B89" w:rsidRPr="00794C0E" w:rsidRDefault="00794C0E" w:rsidP="00106B89">
      <w:pPr>
        <w:pStyle w:val="ListParagraph"/>
        <w:numPr>
          <w:ilvl w:val="0"/>
          <w:numId w:val="16"/>
        </w:numPr>
        <w:jc w:val="both"/>
        <w:rPr>
          <w:rFonts w:cs="Arial"/>
          <w:bCs/>
          <w:sz w:val="22"/>
          <w:szCs w:val="22"/>
          <w:lang w:val="es-AR"/>
        </w:rPr>
      </w:pPr>
      <w:hyperlink r:id="rId40" w:history="1">
        <w:r w:rsidR="00106B89" w:rsidRPr="00794C0E">
          <w:rPr>
            <w:rFonts w:cs="Arial"/>
            <w:bCs/>
            <w:sz w:val="22"/>
            <w:szCs w:val="22"/>
            <w:lang w:val="es-AR"/>
          </w:rPr>
          <w:t>http://www.agroindustria.gob.ar/site/agricultura/tabaco/02=produccion_y_mercados/01interno/produccion/evolucion2014.pdf</w:t>
        </w:r>
      </w:hyperlink>
    </w:p>
    <w:p w:rsidR="00106B89" w:rsidRPr="00794C0E" w:rsidRDefault="00106B89" w:rsidP="00106B89">
      <w:pPr>
        <w:jc w:val="both"/>
        <w:rPr>
          <w:rFonts w:cs="Arial"/>
          <w:bCs/>
          <w:sz w:val="22"/>
          <w:szCs w:val="22"/>
          <w:lang w:val="es-AR"/>
        </w:rPr>
      </w:pPr>
    </w:p>
    <w:p w:rsidR="00106B89" w:rsidRPr="00794C0E" w:rsidRDefault="00106B89" w:rsidP="00106B89">
      <w:pPr>
        <w:pStyle w:val="ListParagraph"/>
        <w:numPr>
          <w:ilvl w:val="0"/>
          <w:numId w:val="16"/>
        </w:numPr>
        <w:jc w:val="both"/>
        <w:rPr>
          <w:rFonts w:cs="Arial"/>
          <w:bCs/>
          <w:sz w:val="22"/>
          <w:szCs w:val="22"/>
          <w:lang w:val="es-AR"/>
        </w:rPr>
      </w:pPr>
      <w:r w:rsidRPr="00794C0E">
        <w:rPr>
          <w:rFonts w:cs="Arial"/>
          <w:bCs/>
          <w:sz w:val="22"/>
          <w:szCs w:val="22"/>
          <w:lang w:val="es-AR"/>
        </w:rPr>
        <w:t>:</w:t>
      </w:r>
      <w:hyperlink r:id="rId41" w:history="1">
        <w:r w:rsidRPr="00794C0E">
          <w:rPr>
            <w:rFonts w:cs="Arial"/>
            <w:bCs/>
            <w:sz w:val="22"/>
            <w:szCs w:val="22"/>
            <w:lang w:val="es-AR"/>
          </w:rPr>
          <w:t>http://www.agroindustria.gob.ar/site/agricultura/tabaco/02=produccion_y_mercados/01-interno/index.php</w:t>
        </w:r>
      </w:hyperlink>
      <w:r w:rsidRPr="00794C0E">
        <w:rPr>
          <w:rFonts w:cs="Arial"/>
          <w:bCs/>
          <w:sz w:val="22"/>
          <w:szCs w:val="22"/>
          <w:lang w:val="es-AR"/>
        </w:rPr>
        <w:t>.</w:t>
      </w:r>
    </w:p>
    <w:p w:rsidR="00106B89" w:rsidRPr="00794C0E" w:rsidRDefault="00106B89" w:rsidP="00106B89">
      <w:pPr>
        <w:jc w:val="both"/>
        <w:rPr>
          <w:rFonts w:cs="Arial"/>
          <w:bCs/>
          <w:sz w:val="22"/>
          <w:szCs w:val="22"/>
          <w:lang w:val="es-AR"/>
        </w:rPr>
      </w:pPr>
    </w:p>
    <w:p w:rsidR="00106B89" w:rsidRPr="00794C0E" w:rsidRDefault="00794C0E" w:rsidP="00106B89">
      <w:pPr>
        <w:pStyle w:val="ListParagraph"/>
        <w:numPr>
          <w:ilvl w:val="0"/>
          <w:numId w:val="16"/>
        </w:numPr>
        <w:jc w:val="both"/>
        <w:rPr>
          <w:rFonts w:cs="Arial"/>
          <w:bCs/>
          <w:sz w:val="22"/>
          <w:szCs w:val="22"/>
          <w:lang w:val="es-AR"/>
        </w:rPr>
      </w:pPr>
      <w:hyperlink r:id="rId42" w:history="1">
        <w:r w:rsidR="00106B89" w:rsidRPr="00794C0E">
          <w:rPr>
            <w:rFonts w:cs="Arial"/>
            <w:bCs/>
            <w:sz w:val="22"/>
            <w:szCs w:val="22"/>
            <w:lang w:val="es-AR"/>
          </w:rPr>
          <w:t>http://www.indec.gov.ar/nivel4_default.asp?id_tema_1=3&amp;id_tema_2=8&amp;id_tema_3=89</w:t>
        </w:r>
      </w:hyperlink>
      <w:r w:rsidR="00106B89" w:rsidRPr="00794C0E">
        <w:rPr>
          <w:rFonts w:cs="Arial"/>
          <w:bCs/>
          <w:sz w:val="22"/>
          <w:szCs w:val="22"/>
          <w:lang w:val="es-AR"/>
        </w:rPr>
        <w:t xml:space="preserve"> .</w:t>
      </w:r>
    </w:p>
    <w:p w:rsidR="00106B89" w:rsidRPr="00794C0E" w:rsidRDefault="00106B89" w:rsidP="00106B89">
      <w:pPr>
        <w:pStyle w:val="ListParagraph"/>
        <w:ind w:left="720"/>
        <w:jc w:val="both"/>
        <w:rPr>
          <w:rFonts w:cs="Arial"/>
          <w:bCs/>
          <w:sz w:val="22"/>
          <w:szCs w:val="22"/>
          <w:lang w:val="es-AR"/>
        </w:rPr>
      </w:pPr>
      <w:r w:rsidRPr="00794C0E">
        <w:rPr>
          <w:rFonts w:cs="Arial"/>
          <w:bCs/>
          <w:sz w:val="22"/>
          <w:szCs w:val="22"/>
          <w:lang w:val="es-AR"/>
        </w:rPr>
        <w:t>.</w:t>
      </w:r>
    </w:p>
    <w:p w:rsidR="00106B89" w:rsidRPr="00794C0E" w:rsidRDefault="00794C0E" w:rsidP="00106B89">
      <w:pPr>
        <w:pStyle w:val="ListParagraph"/>
        <w:numPr>
          <w:ilvl w:val="0"/>
          <w:numId w:val="16"/>
        </w:numPr>
        <w:jc w:val="both"/>
        <w:rPr>
          <w:rFonts w:cs="Arial"/>
          <w:bCs/>
          <w:sz w:val="22"/>
          <w:szCs w:val="22"/>
          <w:lang w:val="es-AR"/>
        </w:rPr>
      </w:pPr>
      <w:hyperlink r:id="rId43" w:history="1">
        <w:r w:rsidR="00106B89" w:rsidRPr="00794C0E">
          <w:rPr>
            <w:rFonts w:cs="Arial"/>
            <w:bCs/>
            <w:sz w:val="22"/>
            <w:szCs w:val="22"/>
            <w:lang w:val="es-AR"/>
          </w:rPr>
          <w:t>http://www.agroindustria.gob.ar/sitio/areas/ss_lecheria/estadisticas/_02_industrial/</w:t>
        </w:r>
      </w:hyperlink>
    </w:p>
    <w:p w:rsidR="00106B89" w:rsidRPr="00794C0E" w:rsidRDefault="00106B89" w:rsidP="00106B89">
      <w:pPr>
        <w:pStyle w:val="ListParagraph"/>
        <w:numPr>
          <w:ilvl w:val="0"/>
          <w:numId w:val="16"/>
        </w:numPr>
        <w:jc w:val="both"/>
        <w:rPr>
          <w:rFonts w:cs="Arial"/>
          <w:bCs/>
          <w:sz w:val="22"/>
          <w:szCs w:val="22"/>
          <w:lang w:val="es-AR"/>
        </w:rPr>
      </w:pPr>
      <w:r w:rsidRPr="00794C0E">
        <w:rPr>
          <w:rFonts w:cs="Arial"/>
          <w:bCs/>
          <w:sz w:val="22"/>
          <w:szCs w:val="22"/>
          <w:lang w:val="es-AR"/>
        </w:rPr>
        <w:t>https://www.boletinoficial.gob.ar/pdf/linkQR/dC92VDIraVphVm8rdTVReEh2ZkU0dz09)</w:t>
      </w:r>
    </w:p>
    <w:p w:rsidR="00106B89" w:rsidRPr="00794C0E" w:rsidRDefault="00106B89" w:rsidP="00106B89">
      <w:pPr>
        <w:jc w:val="both"/>
        <w:rPr>
          <w:rFonts w:cs="Arial"/>
          <w:bCs/>
          <w:sz w:val="22"/>
          <w:szCs w:val="22"/>
          <w:lang w:val="es-AR"/>
        </w:rPr>
      </w:pPr>
    </w:p>
    <w:p w:rsidR="00106B89" w:rsidRPr="00794C0E" w:rsidRDefault="00106B89" w:rsidP="00106B89">
      <w:pPr>
        <w:pStyle w:val="ListParagraph"/>
        <w:numPr>
          <w:ilvl w:val="0"/>
          <w:numId w:val="16"/>
        </w:numPr>
        <w:jc w:val="both"/>
        <w:rPr>
          <w:rFonts w:cs="Arial"/>
          <w:bCs/>
          <w:sz w:val="22"/>
          <w:szCs w:val="22"/>
          <w:lang w:val="es-AR"/>
        </w:rPr>
      </w:pPr>
      <w:r w:rsidRPr="00794C0E">
        <w:rPr>
          <w:rFonts w:cs="Arial"/>
          <w:bCs/>
          <w:sz w:val="22"/>
          <w:szCs w:val="22"/>
          <w:lang w:val="es-AR"/>
        </w:rPr>
        <w:lastRenderedPageBreak/>
        <w:t>http://www.enargas.gov.ar/MarcoLegal/Resoluciones/Data/R16_i3728.pdf</w:t>
      </w:r>
    </w:p>
    <w:p w:rsidR="00106B89" w:rsidRPr="00794C0E" w:rsidRDefault="00106B89" w:rsidP="00106B89">
      <w:pPr>
        <w:jc w:val="both"/>
        <w:rPr>
          <w:rFonts w:cs="Arial"/>
          <w:bCs/>
          <w:sz w:val="22"/>
          <w:szCs w:val="22"/>
          <w:lang w:val="es-AR"/>
        </w:rPr>
      </w:pPr>
    </w:p>
    <w:p w:rsidR="00106B89" w:rsidRPr="00794C0E" w:rsidRDefault="00106B89" w:rsidP="00106B89">
      <w:pPr>
        <w:pStyle w:val="ListParagraph"/>
        <w:numPr>
          <w:ilvl w:val="0"/>
          <w:numId w:val="16"/>
        </w:numPr>
        <w:jc w:val="both"/>
        <w:rPr>
          <w:rFonts w:cs="Arial"/>
          <w:bCs/>
          <w:sz w:val="22"/>
          <w:szCs w:val="22"/>
          <w:lang w:val="es-AR"/>
        </w:rPr>
      </w:pPr>
      <w:r w:rsidRPr="00794C0E">
        <w:rPr>
          <w:rFonts w:cs="Arial"/>
          <w:bCs/>
          <w:sz w:val="22"/>
          <w:szCs w:val="22"/>
          <w:lang w:val="es-AR"/>
        </w:rPr>
        <w:t>http://www.inti.gob.ar/lacteos/pdf/Cuadernillo_Yogur.pdf</w:t>
      </w:r>
    </w:p>
    <w:p w:rsidR="00106B89" w:rsidRPr="00794C0E" w:rsidRDefault="00106B89" w:rsidP="00106B89">
      <w:pPr>
        <w:jc w:val="both"/>
        <w:rPr>
          <w:rFonts w:cs="Arial"/>
          <w:bCs/>
          <w:sz w:val="22"/>
          <w:szCs w:val="22"/>
          <w:lang w:val="es-AR"/>
        </w:rPr>
      </w:pPr>
    </w:p>
    <w:p w:rsidR="00106B89" w:rsidRPr="00794C0E" w:rsidRDefault="00106B89" w:rsidP="00106B89">
      <w:pPr>
        <w:pStyle w:val="ListParagraph"/>
        <w:numPr>
          <w:ilvl w:val="0"/>
          <w:numId w:val="16"/>
        </w:numPr>
        <w:jc w:val="both"/>
        <w:rPr>
          <w:rFonts w:cs="Arial"/>
          <w:bCs/>
          <w:sz w:val="22"/>
          <w:szCs w:val="22"/>
          <w:lang w:val="es-AR"/>
        </w:rPr>
      </w:pPr>
      <w:r w:rsidRPr="00794C0E">
        <w:rPr>
          <w:rFonts w:cs="Arial"/>
          <w:bCs/>
          <w:sz w:val="22"/>
          <w:szCs w:val="22"/>
        </w:rPr>
        <w:t xml:space="preserve">Ibarra Salazar, J y Cervantes Sortes, L (2008) “Determinants of Property Tax Revenues in Tamaulipas: Institutions and the Northern Border Area. </w:t>
      </w:r>
      <w:r w:rsidRPr="00794C0E">
        <w:rPr>
          <w:rFonts w:cs="Arial"/>
          <w:bCs/>
          <w:sz w:val="22"/>
          <w:szCs w:val="22"/>
          <w:lang w:val="es-AR"/>
        </w:rPr>
        <w:t>Frontera Norte, Vol. 21, Núm. 42, julio-diciembre de 2009;</w:t>
      </w:r>
    </w:p>
    <w:p w:rsidR="00106B89" w:rsidRPr="00794C0E" w:rsidRDefault="00106B89" w:rsidP="00106B89">
      <w:pPr>
        <w:pStyle w:val="ListParagraph"/>
        <w:rPr>
          <w:rFonts w:cs="Arial"/>
          <w:bCs/>
          <w:sz w:val="22"/>
          <w:szCs w:val="22"/>
          <w:lang w:val="es-AR"/>
        </w:rPr>
      </w:pPr>
    </w:p>
    <w:p w:rsidR="00106B89" w:rsidRPr="00794C0E" w:rsidRDefault="00106B89" w:rsidP="00106B89">
      <w:pPr>
        <w:pStyle w:val="ListParagraph"/>
        <w:numPr>
          <w:ilvl w:val="0"/>
          <w:numId w:val="16"/>
        </w:numPr>
        <w:jc w:val="both"/>
        <w:rPr>
          <w:rFonts w:cs="Arial"/>
          <w:bCs/>
          <w:sz w:val="22"/>
          <w:szCs w:val="22"/>
          <w:lang w:val="es-AR"/>
        </w:rPr>
      </w:pPr>
      <w:r w:rsidRPr="00794C0E">
        <w:rPr>
          <w:rFonts w:cs="Arial"/>
          <w:bCs/>
          <w:sz w:val="22"/>
          <w:szCs w:val="22"/>
          <w:lang w:val="es-AR"/>
        </w:rPr>
        <w:t>Índice de Precios Mayoristas, INDEC.</w:t>
      </w:r>
    </w:p>
    <w:p w:rsidR="00106B89" w:rsidRPr="00794C0E" w:rsidRDefault="00106B89" w:rsidP="00106B89">
      <w:pPr>
        <w:jc w:val="both"/>
        <w:rPr>
          <w:rFonts w:cs="Arial"/>
          <w:bCs/>
          <w:sz w:val="22"/>
          <w:szCs w:val="22"/>
          <w:lang w:val="es-AR"/>
        </w:rPr>
      </w:pPr>
    </w:p>
    <w:p w:rsidR="00106B89" w:rsidRPr="00794C0E" w:rsidRDefault="00106B89" w:rsidP="00106B89">
      <w:pPr>
        <w:pStyle w:val="ListParagraph"/>
        <w:numPr>
          <w:ilvl w:val="0"/>
          <w:numId w:val="16"/>
        </w:numPr>
        <w:jc w:val="both"/>
        <w:rPr>
          <w:rFonts w:cs="Arial"/>
          <w:bCs/>
          <w:sz w:val="22"/>
          <w:szCs w:val="22"/>
          <w:lang w:val="es-AR"/>
        </w:rPr>
      </w:pPr>
      <w:r w:rsidRPr="00794C0E">
        <w:rPr>
          <w:rFonts w:cs="Arial"/>
          <w:bCs/>
          <w:sz w:val="22"/>
          <w:szCs w:val="22"/>
          <w:lang w:val="es-AR"/>
        </w:rPr>
        <w:t>Informe de Ingeniería ante proyecto: Mejoramiento de Caminos Rurales “RP N° 8, tr: Gral Güemes – Esq. de Quisto. Febrero 2011</w:t>
      </w:r>
    </w:p>
    <w:p w:rsidR="00106B89" w:rsidRPr="00794C0E" w:rsidRDefault="00106B89" w:rsidP="00106B89">
      <w:pPr>
        <w:jc w:val="both"/>
        <w:rPr>
          <w:rFonts w:cs="Arial"/>
          <w:bCs/>
          <w:sz w:val="22"/>
          <w:szCs w:val="22"/>
          <w:lang w:val="es-AR"/>
        </w:rPr>
      </w:pPr>
    </w:p>
    <w:p w:rsidR="00106B89" w:rsidRPr="00794C0E" w:rsidRDefault="00106B89" w:rsidP="00106B89">
      <w:pPr>
        <w:pStyle w:val="ListParagraph"/>
        <w:numPr>
          <w:ilvl w:val="0"/>
          <w:numId w:val="16"/>
        </w:numPr>
        <w:jc w:val="both"/>
        <w:rPr>
          <w:rFonts w:cs="Arial"/>
          <w:bCs/>
          <w:sz w:val="22"/>
          <w:szCs w:val="22"/>
          <w:lang w:val="es-AR"/>
        </w:rPr>
      </w:pPr>
      <w:r w:rsidRPr="00794C0E">
        <w:rPr>
          <w:rFonts w:cs="Arial"/>
          <w:bCs/>
          <w:sz w:val="22"/>
          <w:szCs w:val="22"/>
          <w:lang w:val="es-AR"/>
        </w:rPr>
        <w:t>“La incidencia de la dotación de redes de infraestructura en el precio del suelo. El caso de los municipios de expansión del Area Metropolitana de Buenos Aires”. Lincoln Institute of Land Policy, Abril 2014.</w:t>
      </w:r>
    </w:p>
    <w:p w:rsidR="00106B89" w:rsidRPr="00794C0E" w:rsidRDefault="00106B89" w:rsidP="00106B89">
      <w:pPr>
        <w:pStyle w:val="ListParagraph"/>
        <w:ind w:left="720"/>
        <w:jc w:val="both"/>
        <w:rPr>
          <w:rFonts w:cs="Arial"/>
          <w:bCs/>
          <w:sz w:val="22"/>
          <w:szCs w:val="22"/>
          <w:lang w:val="es-AR"/>
        </w:rPr>
      </w:pPr>
    </w:p>
    <w:p w:rsidR="00EC1734" w:rsidRPr="00794C0E" w:rsidRDefault="00EC1734" w:rsidP="00EC7B25">
      <w:pPr>
        <w:pStyle w:val="ListParagraph"/>
        <w:numPr>
          <w:ilvl w:val="0"/>
          <w:numId w:val="16"/>
        </w:numPr>
        <w:jc w:val="both"/>
        <w:rPr>
          <w:rFonts w:cs="Arial"/>
          <w:bCs/>
          <w:sz w:val="22"/>
          <w:szCs w:val="22"/>
          <w:lang w:val="es-AR"/>
        </w:rPr>
      </w:pPr>
      <w:r w:rsidRPr="00794C0E">
        <w:rPr>
          <w:rFonts w:cs="Arial"/>
          <w:bCs/>
          <w:sz w:val="22"/>
          <w:szCs w:val="22"/>
          <w:lang w:val="es-AR"/>
        </w:rPr>
        <w:t>Piffano, H (2012): “La Incidencia de las Políticas Públicas sobre la Actividad Rural, el Escenario Comparado</w:t>
      </w:r>
      <w:r w:rsidR="00EC7B25" w:rsidRPr="00794C0E">
        <w:rPr>
          <w:rFonts w:cs="Arial"/>
          <w:bCs/>
          <w:sz w:val="22"/>
          <w:szCs w:val="22"/>
          <w:lang w:val="es-AR"/>
        </w:rPr>
        <w:t xml:space="preserve"> </w:t>
      </w:r>
      <w:r w:rsidRPr="00794C0E">
        <w:rPr>
          <w:rFonts w:cs="Arial"/>
          <w:bCs/>
          <w:sz w:val="22"/>
          <w:szCs w:val="22"/>
          <w:lang w:val="es-AR"/>
        </w:rPr>
        <w:t>y la Propuesta de Reforma Tributaria. Documento de Trabajo Nro. 96. Departamento de Economía. FCE UNLP. Marzo, 2013</w:t>
      </w:r>
    </w:p>
    <w:p w:rsidR="00106B89" w:rsidRPr="00794C0E" w:rsidRDefault="00106B89" w:rsidP="00106B89">
      <w:pPr>
        <w:pStyle w:val="ListParagraph"/>
        <w:rPr>
          <w:rFonts w:cs="Arial"/>
          <w:bCs/>
          <w:sz w:val="22"/>
          <w:szCs w:val="22"/>
          <w:lang w:val="es-AR"/>
        </w:rPr>
      </w:pPr>
    </w:p>
    <w:p w:rsidR="00106B89" w:rsidRPr="00794C0E" w:rsidRDefault="00106B89" w:rsidP="00106B89">
      <w:pPr>
        <w:pStyle w:val="ListParagraph"/>
        <w:numPr>
          <w:ilvl w:val="0"/>
          <w:numId w:val="16"/>
        </w:numPr>
        <w:jc w:val="both"/>
        <w:rPr>
          <w:rFonts w:cs="Arial"/>
          <w:bCs/>
          <w:sz w:val="22"/>
          <w:szCs w:val="22"/>
          <w:lang w:val="es-AR"/>
        </w:rPr>
      </w:pPr>
      <w:r w:rsidRPr="00794C0E">
        <w:rPr>
          <w:rFonts w:cs="Arial"/>
          <w:bCs/>
          <w:sz w:val="22"/>
          <w:szCs w:val="22"/>
          <w:lang w:val="es-AR"/>
        </w:rPr>
        <w:t>“Política Fiscal Municipal con Federalismo Cooperativo Hacendario. El sistema catastral como estrategia para incrementar la recaudación predial”.</w:t>
      </w:r>
    </w:p>
    <w:p w:rsidR="00106B89" w:rsidRPr="00794C0E" w:rsidRDefault="00794C0E" w:rsidP="00106B89">
      <w:pPr>
        <w:pStyle w:val="ListParagraph"/>
        <w:ind w:left="720"/>
        <w:jc w:val="both"/>
        <w:rPr>
          <w:rFonts w:cs="Arial"/>
          <w:bCs/>
          <w:sz w:val="22"/>
          <w:szCs w:val="22"/>
          <w:lang w:val="es-AR"/>
        </w:rPr>
      </w:pPr>
      <w:hyperlink r:id="rId44" w:history="1">
        <w:r w:rsidR="00106B89" w:rsidRPr="00794C0E">
          <w:rPr>
            <w:rFonts w:cs="Arial"/>
            <w:bCs/>
            <w:sz w:val="22"/>
            <w:szCs w:val="22"/>
            <w:lang w:val="es-AR"/>
          </w:rPr>
          <w:t>http://www.cefp.gob.mx/portal_archivos/convocatoria/pfp2011/pfp2011-2.pdf</w:t>
        </w:r>
      </w:hyperlink>
      <w:r w:rsidR="00106B89" w:rsidRPr="00794C0E">
        <w:rPr>
          <w:rFonts w:cs="Arial"/>
          <w:bCs/>
          <w:sz w:val="22"/>
          <w:szCs w:val="22"/>
          <w:lang w:val="es-AR"/>
        </w:rPr>
        <w:t>.</w:t>
      </w:r>
    </w:p>
    <w:p w:rsidR="00EC7B25" w:rsidRPr="00794C0E" w:rsidRDefault="00EC7B25" w:rsidP="00EC7B25">
      <w:pPr>
        <w:pStyle w:val="ListParagraph"/>
        <w:ind w:left="720"/>
        <w:jc w:val="both"/>
        <w:rPr>
          <w:rFonts w:cs="Arial"/>
          <w:bCs/>
          <w:sz w:val="22"/>
          <w:szCs w:val="22"/>
          <w:lang w:val="es-AR"/>
        </w:rPr>
      </w:pPr>
    </w:p>
    <w:p w:rsidR="00EC7B25" w:rsidRPr="00794C0E" w:rsidRDefault="00EC7B25" w:rsidP="00EC7B25">
      <w:pPr>
        <w:pStyle w:val="ListParagraph"/>
        <w:numPr>
          <w:ilvl w:val="0"/>
          <w:numId w:val="16"/>
        </w:numPr>
        <w:jc w:val="both"/>
        <w:rPr>
          <w:rFonts w:cs="Arial"/>
          <w:bCs/>
          <w:sz w:val="22"/>
          <w:szCs w:val="22"/>
          <w:lang w:val="es-AR"/>
        </w:rPr>
      </w:pPr>
      <w:r w:rsidRPr="00794C0E">
        <w:rPr>
          <w:rFonts w:cs="Arial"/>
          <w:bCs/>
          <w:sz w:val="22"/>
          <w:szCs w:val="22"/>
          <w:lang w:val="es-AR"/>
        </w:rPr>
        <w:t>Porto, A et al (2011) “Determinantes de una estructura tributaria. Estudio de un caso”, se muestra como pierde participación el Impuesto Inmobiliario en la recaudación total en los últimos años. blogs.eco.unc.edu.ar/jifp/files/45jifp_t38.pdf</w:t>
      </w:r>
    </w:p>
    <w:p w:rsidR="00106B89" w:rsidRPr="00794C0E" w:rsidRDefault="00106B89" w:rsidP="00106B89">
      <w:pPr>
        <w:pStyle w:val="ListParagraph"/>
        <w:ind w:left="720"/>
        <w:jc w:val="both"/>
        <w:rPr>
          <w:rFonts w:cs="Arial"/>
          <w:bCs/>
          <w:sz w:val="22"/>
          <w:szCs w:val="22"/>
          <w:lang w:val="es-AR"/>
        </w:rPr>
      </w:pPr>
    </w:p>
    <w:p w:rsidR="00106B89" w:rsidRPr="00794C0E" w:rsidRDefault="00106B89" w:rsidP="00106B89">
      <w:pPr>
        <w:pStyle w:val="ListParagraph"/>
        <w:numPr>
          <w:ilvl w:val="0"/>
          <w:numId w:val="16"/>
        </w:numPr>
        <w:jc w:val="both"/>
        <w:rPr>
          <w:rFonts w:cs="Arial"/>
          <w:bCs/>
          <w:sz w:val="22"/>
          <w:szCs w:val="22"/>
          <w:lang w:val="es-AR"/>
        </w:rPr>
      </w:pPr>
      <w:r w:rsidRPr="00794C0E">
        <w:rPr>
          <w:rFonts w:cs="Arial"/>
          <w:bCs/>
          <w:sz w:val="22"/>
          <w:szCs w:val="22"/>
          <w:lang w:val="es-AR"/>
        </w:rPr>
        <w:t>Resolución Nº 6. Ente General de Parques y Areas Industriales. Salta. Marzo 2016.</w:t>
      </w:r>
    </w:p>
    <w:p w:rsidR="00EC1734" w:rsidRPr="00794C0E" w:rsidRDefault="00EC1734" w:rsidP="009D1692">
      <w:pPr>
        <w:jc w:val="both"/>
        <w:rPr>
          <w:rFonts w:cs="Arial"/>
          <w:bCs/>
          <w:sz w:val="22"/>
          <w:szCs w:val="22"/>
          <w:lang w:val="es-AR"/>
        </w:rPr>
      </w:pPr>
    </w:p>
    <w:p w:rsidR="00EC7B25" w:rsidRPr="00794C0E" w:rsidRDefault="00EC7B25" w:rsidP="00EC7B25">
      <w:pPr>
        <w:pStyle w:val="ListParagraph"/>
        <w:numPr>
          <w:ilvl w:val="0"/>
          <w:numId w:val="16"/>
        </w:numPr>
        <w:jc w:val="both"/>
        <w:rPr>
          <w:rFonts w:cs="Arial"/>
          <w:bCs/>
          <w:sz w:val="22"/>
          <w:szCs w:val="22"/>
          <w:lang w:val="es-AR"/>
        </w:rPr>
      </w:pPr>
      <w:r w:rsidRPr="00794C0E">
        <w:rPr>
          <w:rFonts w:cs="Arial"/>
          <w:bCs/>
          <w:sz w:val="22"/>
          <w:szCs w:val="22"/>
          <w:lang w:val="es-AR"/>
        </w:rPr>
        <w:t xml:space="preserve">Secretaría de Obras y Servicios Públicos de la Provincia de Corrientes y distribuidora de gas GASNEA </w:t>
      </w:r>
    </w:p>
    <w:p w:rsidR="00EC7B25" w:rsidRPr="00794C0E" w:rsidRDefault="00EC7B25" w:rsidP="00106B89">
      <w:pPr>
        <w:pStyle w:val="ListParagraph"/>
        <w:ind w:left="720"/>
        <w:jc w:val="both"/>
        <w:rPr>
          <w:rFonts w:cs="Arial"/>
          <w:bCs/>
          <w:sz w:val="22"/>
          <w:szCs w:val="22"/>
          <w:lang w:val="es-AR"/>
        </w:rPr>
      </w:pPr>
    </w:p>
    <w:p w:rsidR="00EC7B25" w:rsidRPr="00794C0E" w:rsidRDefault="00EC7B25" w:rsidP="00106B89">
      <w:pPr>
        <w:pStyle w:val="ListParagraph"/>
        <w:ind w:left="720"/>
        <w:jc w:val="both"/>
        <w:rPr>
          <w:rFonts w:cs="Arial"/>
          <w:bCs/>
          <w:sz w:val="22"/>
          <w:szCs w:val="22"/>
          <w:lang w:val="es-AR"/>
        </w:rPr>
      </w:pPr>
    </w:p>
    <w:p w:rsidR="00EC7B25" w:rsidRPr="00794C0E" w:rsidRDefault="00EC7B25" w:rsidP="00106B89">
      <w:pPr>
        <w:pStyle w:val="ListParagraph"/>
        <w:ind w:left="720"/>
        <w:jc w:val="both"/>
        <w:rPr>
          <w:rFonts w:cs="Arial"/>
          <w:bCs/>
          <w:sz w:val="22"/>
          <w:szCs w:val="22"/>
          <w:lang w:val="es-AR"/>
        </w:rPr>
      </w:pPr>
    </w:p>
    <w:sectPr w:rsidR="00EC7B25" w:rsidRPr="00794C0E" w:rsidSect="00F44634">
      <w:footerReference w:type="default" r:id="rId45"/>
      <w:pgSz w:w="12240" w:h="15840" w:code="1"/>
      <w:pgMar w:top="1800" w:right="1440" w:bottom="180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DA9" w:rsidRDefault="00104DA9">
      <w:r>
        <w:separator/>
      </w:r>
    </w:p>
  </w:endnote>
  <w:endnote w:type="continuationSeparator" w:id="0">
    <w:p w:rsidR="00104DA9" w:rsidRDefault="00104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New Roman Bold">
    <w:altName w:val="Times New Roman"/>
    <w:panose1 w:val="02020803070505020304"/>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MJGKGJ+Sylfaen">
    <w:altName w:val="Sylfae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DA9" w:rsidRDefault="00104D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04DA9" w:rsidRDefault="00104DA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804359"/>
      <w:docPartObj>
        <w:docPartGallery w:val="Page Numbers (Bottom of Page)"/>
        <w:docPartUnique/>
      </w:docPartObj>
    </w:sdtPr>
    <w:sdtEndPr>
      <w:rPr>
        <w:noProof/>
      </w:rPr>
    </w:sdtEndPr>
    <w:sdtContent>
      <w:p w:rsidR="003A5B5A" w:rsidRDefault="003A5B5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3A5B5A" w:rsidRDefault="003A5B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B5A" w:rsidRDefault="003A5B5A">
    <w:pPr>
      <w:pStyle w:val="Footer"/>
      <w:jc w:val="center"/>
    </w:pPr>
  </w:p>
  <w:p w:rsidR="003A5B5A" w:rsidRDefault="003A5B5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DA9" w:rsidRDefault="00104DA9">
    <w:pPr>
      <w:pStyle w:val="Footer"/>
      <w:jc w:val="right"/>
    </w:pPr>
  </w:p>
  <w:p w:rsidR="00104DA9" w:rsidRDefault="00104DA9">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rPr>
      <w:id w:val="-288586112"/>
      <w:docPartObj>
        <w:docPartGallery w:val="Page Numbers (Bottom of Page)"/>
        <w:docPartUnique/>
      </w:docPartObj>
    </w:sdtPr>
    <w:sdtEndPr>
      <w:rPr>
        <w:noProof/>
      </w:rPr>
    </w:sdtEndPr>
    <w:sdtContent>
      <w:p w:rsidR="003A5B5A" w:rsidRPr="003A5B5A" w:rsidRDefault="003A5B5A">
        <w:pPr>
          <w:pStyle w:val="Footer"/>
          <w:jc w:val="center"/>
          <w:rPr>
            <w:rFonts w:ascii="Arial" w:hAnsi="Arial" w:cs="Arial"/>
            <w:sz w:val="20"/>
          </w:rPr>
        </w:pPr>
        <w:r w:rsidRPr="003A5B5A">
          <w:rPr>
            <w:rFonts w:ascii="Arial" w:hAnsi="Arial" w:cs="Arial"/>
            <w:sz w:val="20"/>
          </w:rPr>
          <w:fldChar w:fldCharType="begin"/>
        </w:r>
        <w:r w:rsidRPr="003A5B5A">
          <w:rPr>
            <w:rFonts w:ascii="Arial" w:hAnsi="Arial" w:cs="Arial"/>
            <w:sz w:val="20"/>
          </w:rPr>
          <w:instrText xml:space="preserve"> PAGE   \* MERGEFORMAT </w:instrText>
        </w:r>
        <w:r w:rsidRPr="003A5B5A">
          <w:rPr>
            <w:rFonts w:ascii="Arial" w:hAnsi="Arial" w:cs="Arial"/>
            <w:sz w:val="20"/>
          </w:rPr>
          <w:fldChar w:fldCharType="separate"/>
        </w:r>
        <w:r w:rsidR="00794C0E">
          <w:rPr>
            <w:rFonts w:ascii="Arial" w:hAnsi="Arial" w:cs="Arial"/>
            <w:noProof/>
            <w:sz w:val="20"/>
          </w:rPr>
          <w:t>38</w:t>
        </w:r>
        <w:r w:rsidRPr="003A5B5A">
          <w:rPr>
            <w:rFonts w:ascii="Arial" w:hAnsi="Arial" w:cs="Arial"/>
            <w:noProof/>
            <w:sz w:val="20"/>
          </w:rPr>
          <w:fldChar w:fldCharType="end"/>
        </w:r>
      </w:p>
    </w:sdtContent>
  </w:sdt>
  <w:p w:rsidR="00104DA9" w:rsidRPr="003A5B5A" w:rsidRDefault="00104DA9" w:rsidP="00104DA9">
    <w:pPr>
      <w:pStyle w:val="Footer"/>
      <w:rPr>
        <w:rFonts w:ascii="Arial" w:hAnsi="Arial"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DA9" w:rsidRDefault="00104DA9">
      <w:r>
        <w:separator/>
      </w:r>
    </w:p>
  </w:footnote>
  <w:footnote w:type="continuationSeparator" w:id="0">
    <w:p w:rsidR="00104DA9" w:rsidRDefault="00104DA9">
      <w:r>
        <w:continuationSeparator/>
      </w:r>
    </w:p>
  </w:footnote>
  <w:footnote w:id="1">
    <w:p w:rsidR="00104DA9" w:rsidRPr="00104DA9" w:rsidRDefault="00104DA9" w:rsidP="00794C0E">
      <w:pPr>
        <w:pStyle w:val="FootnoteText"/>
        <w:spacing w:after="0"/>
        <w:ind w:left="270" w:hanging="270"/>
        <w:rPr>
          <w:rFonts w:ascii="Arial" w:hAnsi="Arial" w:cs="Arial"/>
          <w:bCs/>
          <w:spacing w:val="0"/>
          <w:sz w:val="18"/>
          <w:szCs w:val="18"/>
          <w:lang w:val="es-ES_tradnl"/>
        </w:rPr>
      </w:pPr>
      <w:r w:rsidRPr="00104DA9">
        <w:rPr>
          <w:rStyle w:val="FootnoteReference"/>
          <w:rFonts w:ascii="Arial" w:hAnsi="Arial" w:cs="Arial"/>
          <w:sz w:val="18"/>
          <w:szCs w:val="18"/>
        </w:rPr>
        <w:footnoteRef/>
      </w:r>
      <w:r w:rsidRPr="00104DA9">
        <w:rPr>
          <w:rFonts w:ascii="Arial" w:hAnsi="Arial" w:cs="Arial"/>
          <w:sz w:val="18"/>
          <w:szCs w:val="18"/>
          <w:lang w:val="es-AR"/>
        </w:rPr>
        <w:t xml:space="preserve"> </w:t>
      </w:r>
      <w:r>
        <w:rPr>
          <w:rFonts w:ascii="Arial" w:hAnsi="Arial" w:cs="Arial"/>
          <w:sz w:val="18"/>
          <w:szCs w:val="18"/>
          <w:lang w:val="es-AR"/>
        </w:rPr>
        <w:tab/>
      </w:r>
      <w:r w:rsidRPr="00104DA9">
        <w:rPr>
          <w:rFonts w:ascii="Arial" w:hAnsi="Arial" w:cs="Arial"/>
          <w:bCs/>
          <w:spacing w:val="0"/>
          <w:sz w:val="18"/>
          <w:szCs w:val="18"/>
          <w:lang w:val="es-ES_tradnl"/>
        </w:rPr>
        <w:t>El programa contará adicionalmente con gastos de Administración (US$2,4 millones), destinado a la creación de la UE y a los gastos para la elaboración de informes e imprevistos.</w:t>
      </w:r>
    </w:p>
  </w:footnote>
  <w:footnote w:id="2">
    <w:p w:rsidR="00104DA9" w:rsidRPr="00104DA9" w:rsidRDefault="00104DA9" w:rsidP="00794C0E">
      <w:pPr>
        <w:ind w:left="270" w:hanging="270"/>
        <w:jc w:val="both"/>
        <w:rPr>
          <w:rFonts w:cs="Arial"/>
          <w:sz w:val="18"/>
          <w:szCs w:val="18"/>
          <w:lang w:val="es-AR"/>
        </w:rPr>
      </w:pPr>
      <w:r w:rsidRPr="00104DA9">
        <w:rPr>
          <w:rStyle w:val="FootnoteReference"/>
          <w:rFonts w:cs="Arial"/>
          <w:sz w:val="18"/>
          <w:szCs w:val="18"/>
        </w:rPr>
        <w:footnoteRef/>
      </w:r>
      <w:r w:rsidRPr="00104DA9">
        <w:rPr>
          <w:rFonts w:cs="Arial"/>
          <w:sz w:val="18"/>
          <w:szCs w:val="18"/>
          <w:lang w:val="es-AR"/>
        </w:rPr>
        <w:t xml:space="preserve"> </w:t>
      </w:r>
      <w:r>
        <w:rPr>
          <w:rFonts w:cs="Arial"/>
          <w:sz w:val="18"/>
          <w:szCs w:val="18"/>
          <w:lang w:val="es-AR"/>
        </w:rPr>
        <w:tab/>
      </w:r>
      <w:r w:rsidRPr="00104DA9">
        <w:rPr>
          <w:rFonts w:cs="Arial"/>
          <w:bCs/>
          <w:sz w:val="18"/>
          <w:szCs w:val="18"/>
          <w:lang w:val="es-ES_tradnl"/>
        </w:rPr>
        <w:t>Mediante un Fondo compuesto por dos tramos (un Fondo Inicial al cual acceden las provincias de igual manera, condicionado a la firma de un Convenio; y un Fondo Complementario, que sólo podrán acceder aquellas provincias que demuestren un grado de avance en las actividades y metas del Componente I).</w:t>
      </w:r>
    </w:p>
  </w:footnote>
  <w:footnote w:id="3">
    <w:p w:rsidR="00104DA9" w:rsidRPr="00104DA9" w:rsidRDefault="00104DA9" w:rsidP="00794C0E">
      <w:pPr>
        <w:pStyle w:val="FootnoteText"/>
        <w:spacing w:after="0"/>
        <w:ind w:left="270" w:hanging="270"/>
        <w:rPr>
          <w:rFonts w:ascii="Arial" w:hAnsi="Arial" w:cs="Arial"/>
          <w:color w:val="FF0000"/>
          <w:sz w:val="18"/>
          <w:szCs w:val="18"/>
          <w:lang w:val="es-AR"/>
        </w:rPr>
      </w:pPr>
      <w:r w:rsidRPr="00104DA9">
        <w:rPr>
          <w:rStyle w:val="FootnoteReference"/>
          <w:rFonts w:ascii="Arial" w:hAnsi="Arial" w:cs="Arial"/>
          <w:sz w:val="18"/>
          <w:szCs w:val="18"/>
        </w:rPr>
        <w:footnoteRef/>
      </w:r>
      <w:r w:rsidRPr="00104DA9">
        <w:rPr>
          <w:rFonts w:ascii="Arial" w:hAnsi="Arial" w:cs="Arial"/>
          <w:sz w:val="18"/>
          <w:szCs w:val="18"/>
          <w:lang w:val="es-AR"/>
        </w:rPr>
        <w:t xml:space="preserve"> </w:t>
      </w:r>
      <w:r>
        <w:rPr>
          <w:rFonts w:ascii="Arial" w:hAnsi="Arial" w:cs="Arial"/>
          <w:sz w:val="18"/>
          <w:szCs w:val="18"/>
          <w:lang w:val="es-AR"/>
        </w:rPr>
        <w:tab/>
      </w:r>
      <w:r w:rsidRPr="00104DA9">
        <w:rPr>
          <w:rFonts w:ascii="Arial" w:hAnsi="Arial" w:cs="Arial"/>
          <w:sz w:val="18"/>
          <w:szCs w:val="18"/>
          <w:lang w:val="es-AR"/>
        </w:rPr>
        <w:t>Los cuatro proyectos contemplan información que surge de los estudios de prefactibilidad realizados por los gobiernos provinciales involucrados.</w:t>
      </w:r>
    </w:p>
  </w:footnote>
  <w:footnote w:id="4">
    <w:p w:rsidR="00104DA9" w:rsidRPr="00104DA9" w:rsidRDefault="00104DA9" w:rsidP="00794C0E">
      <w:pPr>
        <w:pStyle w:val="FootnoteText"/>
        <w:spacing w:after="0"/>
        <w:ind w:left="270" w:hanging="270"/>
        <w:rPr>
          <w:rFonts w:ascii="Arial" w:hAnsi="Arial" w:cs="Arial"/>
          <w:sz w:val="18"/>
          <w:szCs w:val="18"/>
          <w:lang w:val="es-ES"/>
        </w:rPr>
      </w:pPr>
      <w:r w:rsidRPr="00104DA9">
        <w:rPr>
          <w:rStyle w:val="FootnoteReference"/>
          <w:rFonts w:ascii="Arial" w:hAnsi="Arial" w:cs="Arial"/>
          <w:sz w:val="18"/>
          <w:szCs w:val="18"/>
        </w:rPr>
        <w:footnoteRef/>
      </w:r>
      <w:r w:rsidRPr="00104DA9">
        <w:rPr>
          <w:rFonts w:ascii="Arial" w:hAnsi="Arial" w:cs="Arial"/>
          <w:sz w:val="18"/>
          <w:szCs w:val="18"/>
          <w:lang w:val="es-AR"/>
        </w:rPr>
        <w:t xml:space="preserve"> </w:t>
      </w:r>
      <w:r>
        <w:rPr>
          <w:rFonts w:ascii="Arial" w:hAnsi="Arial" w:cs="Arial"/>
          <w:sz w:val="18"/>
          <w:szCs w:val="18"/>
          <w:lang w:val="es-AR"/>
        </w:rPr>
        <w:tab/>
      </w:r>
      <w:r w:rsidRPr="00104DA9">
        <w:rPr>
          <w:rFonts w:ascii="Arial" w:hAnsi="Arial" w:cs="Arial"/>
          <w:sz w:val="18"/>
          <w:szCs w:val="18"/>
          <w:lang w:val="es-AR"/>
        </w:rPr>
        <w:t xml:space="preserve">Para la </w:t>
      </w:r>
      <w:r w:rsidRPr="00104DA9">
        <w:rPr>
          <w:rFonts w:ascii="Arial" w:hAnsi="Arial" w:cs="Arial"/>
          <w:sz w:val="18"/>
          <w:szCs w:val="18"/>
          <w:lang w:val="es-ES"/>
        </w:rPr>
        <w:t>determinación de Razón de Precios de Cuenta se utilizó las estimaciones realizadas en la Evaluación Económica del Programa de Mejoramiento de Barrios IV (AR-L1149)</w:t>
      </w:r>
    </w:p>
  </w:footnote>
  <w:footnote w:id="5">
    <w:p w:rsidR="00104DA9" w:rsidRPr="00104DA9" w:rsidRDefault="00104DA9" w:rsidP="00794C0E">
      <w:pPr>
        <w:pStyle w:val="FootnoteText"/>
        <w:spacing w:after="0"/>
        <w:ind w:left="270" w:hanging="270"/>
        <w:rPr>
          <w:rFonts w:ascii="Arial" w:hAnsi="Arial" w:cs="Arial"/>
          <w:sz w:val="18"/>
          <w:szCs w:val="18"/>
          <w:lang w:val="es-AR"/>
        </w:rPr>
      </w:pPr>
      <w:r w:rsidRPr="00104DA9">
        <w:rPr>
          <w:rStyle w:val="FootnoteReference"/>
          <w:rFonts w:ascii="Arial" w:hAnsi="Arial" w:cs="Arial"/>
          <w:sz w:val="18"/>
          <w:szCs w:val="18"/>
        </w:rPr>
        <w:footnoteRef/>
      </w:r>
      <w:r w:rsidRPr="00104DA9">
        <w:rPr>
          <w:rFonts w:ascii="Arial" w:hAnsi="Arial" w:cs="Arial"/>
          <w:sz w:val="18"/>
          <w:szCs w:val="18"/>
          <w:lang w:val="es-AR"/>
        </w:rPr>
        <w:t xml:space="preserve"> </w:t>
      </w:r>
      <w:r>
        <w:rPr>
          <w:rFonts w:ascii="Arial" w:hAnsi="Arial" w:cs="Arial"/>
          <w:sz w:val="18"/>
          <w:szCs w:val="18"/>
          <w:lang w:val="es-AR"/>
        </w:rPr>
        <w:tab/>
      </w:r>
      <w:r w:rsidRPr="00104DA9">
        <w:rPr>
          <w:rFonts w:ascii="Arial" w:hAnsi="Arial" w:cs="Arial"/>
          <w:sz w:val="18"/>
          <w:szCs w:val="18"/>
          <w:lang w:val="es-AR"/>
        </w:rPr>
        <w:t>Para cada uno de los análisis realizados, se especifican los parámetros utilizados y los supuestos críticos y fuentes de información y estadísticas consultadas.</w:t>
      </w:r>
    </w:p>
  </w:footnote>
  <w:footnote w:id="6">
    <w:p w:rsidR="00104DA9" w:rsidRPr="00104DA9" w:rsidRDefault="00104DA9" w:rsidP="00794C0E">
      <w:pPr>
        <w:pStyle w:val="FootnoteText"/>
        <w:spacing w:after="0"/>
        <w:ind w:left="270" w:hanging="270"/>
        <w:rPr>
          <w:rFonts w:ascii="Arial" w:hAnsi="Arial" w:cs="Arial"/>
          <w:sz w:val="18"/>
          <w:szCs w:val="18"/>
          <w:lang w:val="es-AR"/>
        </w:rPr>
      </w:pPr>
      <w:r w:rsidRPr="00104DA9">
        <w:rPr>
          <w:rStyle w:val="FootnoteReference"/>
          <w:rFonts w:ascii="Arial" w:hAnsi="Arial" w:cs="Arial"/>
          <w:sz w:val="18"/>
          <w:szCs w:val="18"/>
        </w:rPr>
        <w:footnoteRef/>
      </w:r>
      <w:r w:rsidRPr="00104DA9">
        <w:rPr>
          <w:rFonts w:ascii="Arial" w:hAnsi="Arial" w:cs="Arial"/>
          <w:sz w:val="18"/>
          <w:szCs w:val="18"/>
          <w:lang w:val="es-AR"/>
        </w:rPr>
        <w:t xml:space="preserve"> </w:t>
      </w:r>
      <w:r>
        <w:rPr>
          <w:rFonts w:ascii="Arial" w:hAnsi="Arial" w:cs="Arial"/>
          <w:sz w:val="18"/>
          <w:szCs w:val="18"/>
          <w:lang w:val="es-AR"/>
        </w:rPr>
        <w:tab/>
      </w:r>
      <w:r w:rsidRPr="00104DA9">
        <w:rPr>
          <w:rFonts w:ascii="Arial" w:hAnsi="Arial" w:cs="Arial"/>
          <w:sz w:val="18"/>
          <w:szCs w:val="18"/>
          <w:lang w:val="es-AR"/>
        </w:rPr>
        <w:t>Fuente: Dirección Nacional de Coordinación Fiscal con Provincias del Ministerio de Hacienda y Finanzas de la Nación.</w:t>
      </w:r>
    </w:p>
  </w:footnote>
  <w:footnote w:id="7">
    <w:p w:rsidR="00104DA9" w:rsidRPr="00104DA9" w:rsidRDefault="00104DA9" w:rsidP="00794C0E">
      <w:pPr>
        <w:pStyle w:val="FootnoteText"/>
        <w:spacing w:after="0"/>
        <w:ind w:left="270" w:hanging="270"/>
        <w:rPr>
          <w:rFonts w:ascii="Arial" w:hAnsi="Arial" w:cs="Arial"/>
          <w:sz w:val="18"/>
          <w:szCs w:val="18"/>
          <w:highlight w:val="yellow"/>
          <w:lang w:val="es-AR"/>
        </w:rPr>
      </w:pPr>
      <w:r w:rsidRPr="00104DA9">
        <w:rPr>
          <w:rStyle w:val="FootnoteReference"/>
          <w:rFonts w:ascii="Arial" w:hAnsi="Arial" w:cs="Arial"/>
          <w:sz w:val="18"/>
          <w:szCs w:val="18"/>
        </w:rPr>
        <w:footnoteRef/>
      </w:r>
      <w:r w:rsidRPr="00104DA9">
        <w:rPr>
          <w:rFonts w:ascii="Arial" w:hAnsi="Arial" w:cs="Arial"/>
          <w:sz w:val="18"/>
          <w:szCs w:val="18"/>
          <w:lang w:val="es-AR"/>
        </w:rPr>
        <w:t xml:space="preserve"> </w:t>
      </w:r>
      <w:r>
        <w:rPr>
          <w:rFonts w:ascii="Arial" w:hAnsi="Arial" w:cs="Arial"/>
          <w:sz w:val="18"/>
          <w:szCs w:val="18"/>
          <w:lang w:val="es-AR"/>
        </w:rPr>
        <w:tab/>
      </w:r>
      <w:r w:rsidRPr="00104DA9">
        <w:rPr>
          <w:rFonts w:ascii="Arial" w:hAnsi="Arial" w:cs="Arial"/>
          <w:sz w:val="18"/>
          <w:szCs w:val="18"/>
          <w:lang w:val="es-AR"/>
        </w:rPr>
        <w:t>Según “Política tributaria provincial: avances en el Impuesto Inmobiliario” (2012), de la Dirección Nacional de Coordinación Fiscal con las Provincias, Subsecretaría de Relaciones con las Provincias, Secretaría de Hacienda, Ministerio de Economía y Finanzas Públicas de la Nación,  las provincias de Buenos Aires, Córdoba, Santa Fé y Entre Ríos han realizado importantes reforma en el Impuesto Inmobiliario entre los años 2008-2012, principalmente revalúos fiscales y reformas del esquema de alícuotas en sus especies rural y urbano, lo que ha generado importantes incrementos en la recaudación del impuesto, de más del 30 % en términos reales para todo el período.</w:t>
      </w:r>
    </w:p>
  </w:footnote>
  <w:footnote w:id="8">
    <w:p w:rsidR="00104DA9" w:rsidRPr="00104DA9" w:rsidRDefault="00104DA9" w:rsidP="00794C0E">
      <w:pPr>
        <w:pStyle w:val="FootnoteText"/>
        <w:spacing w:after="0"/>
        <w:ind w:left="270" w:hanging="270"/>
        <w:rPr>
          <w:rFonts w:ascii="Arial" w:hAnsi="Arial" w:cs="Arial"/>
          <w:sz w:val="18"/>
          <w:szCs w:val="18"/>
          <w:lang w:val="es-AR"/>
        </w:rPr>
      </w:pPr>
      <w:r w:rsidRPr="00104DA9">
        <w:rPr>
          <w:rStyle w:val="FootnoteReference"/>
          <w:rFonts w:ascii="Arial" w:hAnsi="Arial" w:cs="Arial"/>
          <w:sz w:val="18"/>
          <w:szCs w:val="18"/>
        </w:rPr>
        <w:footnoteRef/>
      </w:r>
      <w:r w:rsidRPr="00104DA9">
        <w:rPr>
          <w:rFonts w:ascii="Arial" w:hAnsi="Arial" w:cs="Arial"/>
          <w:sz w:val="18"/>
          <w:szCs w:val="18"/>
          <w:lang w:val="es-ES"/>
        </w:rPr>
        <w:t xml:space="preserve"> </w:t>
      </w:r>
      <w:r>
        <w:rPr>
          <w:rFonts w:ascii="Arial" w:hAnsi="Arial" w:cs="Arial"/>
          <w:sz w:val="18"/>
          <w:szCs w:val="18"/>
          <w:lang w:val="es-ES"/>
        </w:rPr>
        <w:tab/>
      </w:r>
      <w:r w:rsidRPr="00104DA9">
        <w:rPr>
          <w:rFonts w:ascii="Arial" w:hAnsi="Arial" w:cs="Arial"/>
          <w:sz w:val="18"/>
          <w:szCs w:val="18"/>
          <w:lang w:val="es-AR"/>
        </w:rPr>
        <w:t>En Porto, A et al (2011) “Determinantes de una estructura tributaria. Estudio de un caso”, se muestra como pierde participación el Impuesto Inmobiliario en la recaudación total en los últimos años. blogs.eco.unc.edu.ar/jifp/files/45jifp_t38.pdf</w:t>
      </w:r>
    </w:p>
  </w:footnote>
  <w:footnote w:id="9">
    <w:p w:rsidR="00104DA9" w:rsidRPr="00104DA9" w:rsidRDefault="00104DA9" w:rsidP="00794C0E">
      <w:pPr>
        <w:pStyle w:val="FootnoteText"/>
        <w:spacing w:after="0"/>
        <w:ind w:left="270" w:hanging="270"/>
        <w:rPr>
          <w:rFonts w:ascii="Arial" w:hAnsi="Arial" w:cs="Arial"/>
          <w:sz w:val="18"/>
          <w:szCs w:val="18"/>
          <w:lang w:val="es-ES"/>
        </w:rPr>
      </w:pPr>
      <w:r w:rsidRPr="00104DA9">
        <w:rPr>
          <w:rStyle w:val="FootnoteReference"/>
          <w:rFonts w:ascii="Arial" w:hAnsi="Arial" w:cs="Arial"/>
          <w:sz w:val="18"/>
          <w:szCs w:val="18"/>
        </w:rPr>
        <w:footnoteRef/>
      </w:r>
      <w:r w:rsidRPr="00104DA9">
        <w:rPr>
          <w:rFonts w:ascii="Arial" w:hAnsi="Arial" w:cs="Arial"/>
          <w:sz w:val="18"/>
          <w:szCs w:val="18"/>
          <w:lang w:val="es-ES"/>
        </w:rPr>
        <w:t xml:space="preserve"> </w:t>
      </w:r>
      <w:r>
        <w:rPr>
          <w:rFonts w:ascii="Arial" w:hAnsi="Arial" w:cs="Arial"/>
          <w:sz w:val="18"/>
          <w:szCs w:val="18"/>
          <w:lang w:val="es-ES"/>
        </w:rPr>
        <w:tab/>
      </w:r>
      <w:r w:rsidRPr="00104DA9">
        <w:rPr>
          <w:rFonts w:ascii="Arial" w:hAnsi="Arial" w:cs="Arial"/>
          <w:sz w:val="18"/>
          <w:szCs w:val="18"/>
          <w:lang w:val="es-ES"/>
        </w:rPr>
        <w:t>En Castro et al. (2014) “Desafíos y potencial del impuesto inmobiliario en la Argentina” (2014). CIPPEC, Documento de Trabajo Nº 120, se muestra esa evolución.</w:t>
      </w:r>
    </w:p>
  </w:footnote>
  <w:footnote w:id="10">
    <w:p w:rsidR="00104DA9" w:rsidRPr="00104DA9" w:rsidRDefault="00104DA9" w:rsidP="00794C0E">
      <w:pPr>
        <w:pStyle w:val="FootnoteText"/>
        <w:spacing w:after="0"/>
        <w:ind w:left="270" w:hanging="270"/>
        <w:rPr>
          <w:rFonts w:ascii="Arial" w:hAnsi="Arial" w:cs="Arial"/>
          <w:sz w:val="18"/>
          <w:szCs w:val="18"/>
          <w:lang w:val="es-AR"/>
        </w:rPr>
      </w:pPr>
      <w:r w:rsidRPr="00104DA9">
        <w:rPr>
          <w:rStyle w:val="FootnoteReference"/>
          <w:rFonts w:ascii="Arial" w:hAnsi="Arial" w:cs="Arial"/>
          <w:sz w:val="18"/>
          <w:szCs w:val="18"/>
        </w:rPr>
        <w:footnoteRef/>
      </w:r>
      <w:r w:rsidRPr="00104DA9">
        <w:rPr>
          <w:rFonts w:ascii="Arial" w:hAnsi="Arial" w:cs="Arial"/>
          <w:sz w:val="18"/>
          <w:szCs w:val="18"/>
          <w:lang w:val="es-AR"/>
        </w:rPr>
        <w:t xml:space="preserve"> </w:t>
      </w:r>
      <w:r w:rsidR="00794C0E">
        <w:rPr>
          <w:rFonts w:ascii="Arial" w:hAnsi="Arial" w:cs="Arial"/>
          <w:sz w:val="18"/>
          <w:szCs w:val="18"/>
          <w:lang w:val="es-AR"/>
        </w:rPr>
        <w:tab/>
      </w:r>
      <w:r w:rsidRPr="00104DA9">
        <w:rPr>
          <w:rFonts w:ascii="Arial" w:hAnsi="Arial" w:cs="Arial"/>
          <w:sz w:val="18"/>
          <w:szCs w:val="18"/>
          <w:lang w:val="es-AR"/>
        </w:rPr>
        <w:t>Entre otros se puede citar:</w:t>
      </w:r>
    </w:p>
    <w:p w:rsidR="00104DA9" w:rsidRPr="00104DA9" w:rsidRDefault="00104DA9" w:rsidP="00794C0E">
      <w:pPr>
        <w:pStyle w:val="FootnoteText"/>
        <w:spacing w:after="0"/>
        <w:ind w:left="270" w:hanging="270"/>
        <w:rPr>
          <w:rFonts w:ascii="Arial" w:hAnsi="Arial" w:cs="Arial"/>
          <w:sz w:val="18"/>
          <w:szCs w:val="18"/>
          <w:lang w:val="es-AR"/>
        </w:rPr>
      </w:pPr>
      <w:r w:rsidRPr="00104DA9">
        <w:rPr>
          <w:rFonts w:ascii="Arial" w:hAnsi="Arial" w:cs="Arial"/>
          <w:sz w:val="18"/>
          <w:szCs w:val="18"/>
          <w:lang w:val="es-AR"/>
        </w:rPr>
        <w:t xml:space="preserve"> </w:t>
      </w:r>
      <w:r>
        <w:rPr>
          <w:rFonts w:ascii="Arial" w:hAnsi="Arial" w:cs="Arial"/>
          <w:sz w:val="18"/>
          <w:szCs w:val="18"/>
          <w:lang w:val="es-AR"/>
        </w:rPr>
        <w:tab/>
      </w:r>
      <w:r w:rsidRPr="00104DA9">
        <w:rPr>
          <w:rFonts w:ascii="Arial" w:hAnsi="Arial" w:cs="Arial"/>
          <w:sz w:val="18"/>
          <w:szCs w:val="18"/>
          <w:lang w:val="es-AR"/>
        </w:rPr>
        <w:t>“El sistema tributario Colombiano: Impacto sobre la eficiencia y la competitividad</w:t>
      </w:r>
    </w:p>
    <w:p w:rsidR="00104DA9" w:rsidRPr="00104DA9" w:rsidRDefault="00794C0E" w:rsidP="00794C0E">
      <w:pPr>
        <w:pStyle w:val="FootnoteText"/>
        <w:spacing w:after="0"/>
        <w:ind w:left="270" w:firstLine="0"/>
        <w:rPr>
          <w:rFonts w:ascii="Arial" w:hAnsi="Arial" w:cs="Arial"/>
          <w:sz w:val="18"/>
          <w:szCs w:val="18"/>
          <w:lang w:val="es-AR"/>
        </w:rPr>
      </w:pPr>
      <w:hyperlink r:id="rId1" w:history="1">
        <w:r w:rsidR="00104DA9" w:rsidRPr="00104DA9">
          <w:rPr>
            <w:rStyle w:val="Hyperlink"/>
            <w:rFonts w:ascii="Arial" w:hAnsi="Arial" w:cs="Arial"/>
            <w:sz w:val="18"/>
            <w:szCs w:val="18"/>
            <w:lang w:val="es-AR"/>
          </w:rPr>
          <w:t>http://www.dian.gov.co/descargas/servicios/OEEDocumentos/Estudios/Tributacionycompetitividad.pdf</w:t>
        </w:r>
      </w:hyperlink>
    </w:p>
    <w:p w:rsidR="00104DA9" w:rsidRPr="00104DA9" w:rsidRDefault="00104DA9" w:rsidP="00794C0E">
      <w:pPr>
        <w:pStyle w:val="FootnoteText"/>
        <w:spacing w:after="0"/>
        <w:ind w:left="270" w:firstLine="0"/>
        <w:rPr>
          <w:rFonts w:ascii="Arial" w:hAnsi="Arial" w:cs="Arial"/>
          <w:sz w:val="18"/>
          <w:szCs w:val="18"/>
          <w:lang w:val="es-AR"/>
        </w:rPr>
      </w:pPr>
      <w:r w:rsidRPr="00104DA9">
        <w:rPr>
          <w:rFonts w:ascii="Arial" w:hAnsi="Arial" w:cs="Arial"/>
          <w:sz w:val="18"/>
          <w:szCs w:val="18"/>
        </w:rPr>
        <w:t xml:space="preserve">Ibarra Salazar, J y Cervantes Sortes, L (2008) “Determinants of Property Tax Revenues in Tamaulipas: Institutions and the Northern Border Area. </w:t>
      </w:r>
      <w:r w:rsidRPr="00104DA9">
        <w:rPr>
          <w:rFonts w:ascii="Arial" w:hAnsi="Arial" w:cs="Arial"/>
          <w:sz w:val="18"/>
          <w:szCs w:val="18"/>
          <w:lang w:val="es-AR"/>
        </w:rPr>
        <w:t>Frontera Norte, Vol. 21, Núm. 42, julio-diciembre de 2009;</w:t>
      </w:r>
    </w:p>
    <w:p w:rsidR="00104DA9" w:rsidRPr="00104DA9" w:rsidRDefault="00104DA9" w:rsidP="00794C0E">
      <w:pPr>
        <w:pStyle w:val="FootnoteText"/>
        <w:spacing w:after="0"/>
        <w:ind w:left="270" w:firstLine="0"/>
        <w:rPr>
          <w:rFonts w:ascii="Arial" w:hAnsi="Arial" w:cs="Arial"/>
          <w:sz w:val="18"/>
          <w:szCs w:val="18"/>
          <w:lang w:val="es-AR"/>
        </w:rPr>
      </w:pPr>
      <w:r w:rsidRPr="00104DA9">
        <w:rPr>
          <w:rFonts w:ascii="Arial" w:hAnsi="Arial" w:cs="Arial"/>
          <w:sz w:val="18"/>
          <w:szCs w:val="18"/>
          <w:lang w:val="es-AR"/>
        </w:rPr>
        <w:t>(2011) “Política Fiscal Municipal con Federalismo Cooperativo Hacendario. El sistema catastral como estrategia para incrementar la recaudación predial”.</w:t>
      </w:r>
    </w:p>
    <w:p w:rsidR="00104DA9" w:rsidRPr="00104DA9" w:rsidRDefault="00104DA9" w:rsidP="00794C0E">
      <w:pPr>
        <w:pStyle w:val="FootnoteText"/>
        <w:spacing w:after="0"/>
        <w:ind w:left="270" w:hanging="270"/>
        <w:rPr>
          <w:rFonts w:ascii="Arial" w:hAnsi="Arial" w:cs="Arial"/>
          <w:sz w:val="18"/>
          <w:szCs w:val="18"/>
          <w:lang w:val="es-AR"/>
        </w:rPr>
      </w:pPr>
      <w:r w:rsidRPr="00104DA9">
        <w:rPr>
          <w:rFonts w:ascii="Arial" w:hAnsi="Arial" w:cs="Arial"/>
          <w:sz w:val="18"/>
          <w:szCs w:val="18"/>
          <w:lang w:val="es-AR"/>
        </w:rPr>
        <w:t xml:space="preserve"> </w:t>
      </w:r>
      <w:r w:rsidR="00794C0E">
        <w:rPr>
          <w:rFonts w:ascii="Arial" w:hAnsi="Arial" w:cs="Arial"/>
          <w:sz w:val="18"/>
          <w:szCs w:val="18"/>
          <w:lang w:val="es-AR"/>
        </w:rPr>
        <w:tab/>
      </w:r>
      <w:hyperlink r:id="rId2" w:history="1">
        <w:r w:rsidRPr="00104DA9">
          <w:rPr>
            <w:rStyle w:val="Hyperlink"/>
            <w:rFonts w:ascii="Arial" w:hAnsi="Arial" w:cs="Arial"/>
            <w:sz w:val="18"/>
            <w:szCs w:val="18"/>
            <w:lang w:val="es-AR"/>
          </w:rPr>
          <w:t>http://www.cefp.gob.mx/portal_archivos/convocatoria/pfp2011/pfp2011-2.pdf</w:t>
        </w:r>
      </w:hyperlink>
      <w:r w:rsidRPr="00104DA9">
        <w:rPr>
          <w:rFonts w:ascii="Arial" w:hAnsi="Arial" w:cs="Arial"/>
          <w:sz w:val="18"/>
          <w:szCs w:val="18"/>
          <w:lang w:val="es-AR"/>
        </w:rPr>
        <w:t>.</w:t>
      </w:r>
    </w:p>
    <w:p w:rsidR="00104DA9" w:rsidRPr="00104DA9" w:rsidRDefault="00104DA9" w:rsidP="00794C0E">
      <w:pPr>
        <w:pStyle w:val="FootnoteText"/>
        <w:spacing w:after="0"/>
        <w:ind w:left="270" w:firstLine="0"/>
        <w:rPr>
          <w:rFonts w:ascii="Arial" w:hAnsi="Arial" w:cs="Arial"/>
          <w:sz w:val="18"/>
          <w:szCs w:val="18"/>
          <w:lang w:val="es-AR"/>
        </w:rPr>
      </w:pPr>
      <w:r w:rsidRPr="00104DA9">
        <w:rPr>
          <w:rFonts w:ascii="Arial" w:hAnsi="Arial" w:cs="Arial"/>
          <w:sz w:val="18"/>
          <w:szCs w:val="18"/>
          <w:lang w:val="es-AR"/>
        </w:rPr>
        <w:t>Piffano, H (2012): “La Incidencia de las Políticas Públicas sobre la Actividad Rural, el Escenario Comparado</w:t>
      </w:r>
    </w:p>
    <w:p w:rsidR="00104DA9" w:rsidRPr="00104DA9" w:rsidRDefault="00104DA9" w:rsidP="00794C0E">
      <w:pPr>
        <w:pStyle w:val="FootnoteText"/>
        <w:spacing w:after="0"/>
        <w:ind w:left="270" w:firstLine="0"/>
        <w:rPr>
          <w:rFonts w:ascii="Arial" w:hAnsi="Arial" w:cs="Arial"/>
          <w:sz w:val="18"/>
          <w:szCs w:val="18"/>
          <w:lang w:val="es-AR"/>
        </w:rPr>
      </w:pPr>
      <w:r w:rsidRPr="00104DA9">
        <w:rPr>
          <w:rFonts w:ascii="Arial" w:hAnsi="Arial" w:cs="Arial"/>
          <w:sz w:val="18"/>
          <w:szCs w:val="18"/>
          <w:lang w:val="es-AR"/>
        </w:rPr>
        <w:t>y la Propuesta de Reforma Tributaria. Documento de Trabajo Nro. 96. Departamento de Economía. FCE UNLP. Marzo, 2013</w:t>
      </w:r>
    </w:p>
  </w:footnote>
  <w:footnote w:id="11">
    <w:p w:rsidR="00104DA9" w:rsidRPr="00104DA9" w:rsidRDefault="00104DA9" w:rsidP="00794C0E">
      <w:pPr>
        <w:pStyle w:val="FootnoteText"/>
        <w:spacing w:after="0"/>
        <w:ind w:left="270" w:hanging="270"/>
        <w:rPr>
          <w:rFonts w:ascii="Arial" w:hAnsi="Arial" w:cs="Arial"/>
          <w:i/>
          <w:sz w:val="18"/>
          <w:szCs w:val="18"/>
          <w:lang w:val="es-ES"/>
        </w:rPr>
      </w:pPr>
      <w:r w:rsidRPr="00104DA9">
        <w:rPr>
          <w:rStyle w:val="FootnoteReference"/>
          <w:rFonts w:ascii="Arial" w:hAnsi="Arial" w:cs="Arial"/>
          <w:sz w:val="18"/>
          <w:szCs w:val="18"/>
        </w:rPr>
        <w:footnoteRef/>
      </w:r>
      <w:r w:rsidRPr="00104DA9">
        <w:rPr>
          <w:rFonts w:ascii="Arial" w:hAnsi="Arial" w:cs="Arial"/>
          <w:sz w:val="18"/>
          <w:szCs w:val="18"/>
          <w:lang w:val="es-ES"/>
        </w:rPr>
        <w:t xml:space="preserve"> </w:t>
      </w:r>
      <w:r w:rsidR="00794C0E">
        <w:rPr>
          <w:rFonts w:ascii="Arial" w:hAnsi="Arial" w:cs="Arial"/>
          <w:sz w:val="18"/>
          <w:szCs w:val="18"/>
          <w:lang w:val="es-ES"/>
        </w:rPr>
        <w:tab/>
      </w:r>
      <w:r w:rsidRPr="00104DA9">
        <w:rPr>
          <w:rFonts w:ascii="Arial" w:hAnsi="Arial" w:cs="Arial"/>
          <w:sz w:val="18"/>
          <w:szCs w:val="18"/>
          <w:lang w:val="es-ES"/>
        </w:rPr>
        <w:t xml:space="preserve">La fórmula es reducción de la expresión de la sumatoria de las diferencias entre la variación de la recaudación interanual, como consecuencia de la variación del cociente entre la recaudación del impuesto inmobiliario en relación al total de la recaudación, de la situación con proyecto vs la situación sin proyecto. Así para cada año la recaudación se expresa como </w:t>
      </w:r>
      <w:r w:rsidRPr="00104DA9">
        <w:rPr>
          <w:rFonts w:ascii="Arial" w:hAnsi="Arial" w:cs="Arial"/>
          <w:i/>
          <w:sz w:val="18"/>
          <w:szCs w:val="18"/>
          <w:lang w:val="es-ES"/>
        </w:rPr>
        <w:t>Imn</w:t>
      </w:r>
      <w:r w:rsidRPr="00104DA9">
        <w:rPr>
          <w:rFonts w:ascii="Arial" w:hAnsi="Arial" w:cs="Arial"/>
          <w:i/>
          <w:sz w:val="18"/>
          <w:szCs w:val="18"/>
          <w:vertAlign w:val="subscript"/>
          <w:lang w:val="es-ES"/>
        </w:rPr>
        <w:t>t+2</w:t>
      </w:r>
      <w:r w:rsidRPr="00104DA9">
        <w:rPr>
          <w:rFonts w:ascii="Arial" w:hAnsi="Arial" w:cs="Arial"/>
          <w:i/>
          <w:sz w:val="18"/>
          <w:szCs w:val="18"/>
          <w:lang w:val="es-ES"/>
        </w:rPr>
        <w:t xml:space="preserve"> = (Imn</w:t>
      </w:r>
      <w:r w:rsidRPr="00104DA9">
        <w:rPr>
          <w:rFonts w:ascii="Arial" w:hAnsi="Arial" w:cs="Arial"/>
          <w:i/>
          <w:sz w:val="18"/>
          <w:szCs w:val="18"/>
          <w:vertAlign w:val="subscript"/>
          <w:lang w:val="es-ES"/>
        </w:rPr>
        <w:t>t+1</w:t>
      </w:r>
      <w:r w:rsidRPr="00104DA9">
        <w:rPr>
          <w:rFonts w:ascii="Arial" w:hAnsi="Arial" w:cs="Arial"/>
          <w:i/>
          <w:sz w:val="18"/>
          <w:szCs w:val="18"/>
          <w:lang w:val="es-ES"/>
        </w:rPr>
        <w:t>/R</w:t>
      </w:r>
      <w:r w:rsidRPr="00104DA9">
        <w:rPr>
          <w:rFonts w:ascii="Arial" w:hAnsi="Arial" w:cs="Arial"/>
          <w:i/>
          <w:sz w:val="18"/>
          <w:szCs w:val="18"/>
          <w:vertAlign w:val="subscript"/>
          <w:lang w:val="es-ES"/>
        </w:rPr>
        <w:t>t+1</w:t>
      </w:r>
      <w:r w:rsidRPr="00104DA9">
        <w:rPr>
          <w:rFonts w:ascii="Arial" w:hAnsi="Arial" w:cs="Arial"/>
          <w:i/>
          <w:sz w:val="18"/>
          <w:szCs w:val="18"/>
          <w:lang w:val="es-ES"/>
        </w:rPr>
        <w:t>)*R</w:t>
      </w:r>
      <w:r w:rsidRPr="00104DA9">
        <w:rPr>
          <w:rFonts w:ascii="Arial" w:hAnsi="Arial" w:cs="Arial"/>
          <w:i/>
          <w:sz w:val="18"/>
          <w:szCs w:val="18"/>
          <w:vertAlign w:val="subscript"/>
          <w:lang w:val="es-ES"/>
        </w:rPr>
        <w:t>t</w:t>
      </w:r>
    </w:p>
  </w:footnote>
  <w:footnote w:id="12">
    <w:p w:rsidR="00104DA9" w:rsidRPr="00104DA9" w:rsidRDefault="00104DA9" w:rsidP="00794C0E">
      <w:pPr>
        <w:pStyle w:val="FootnoteText"/>
        <w:spacing w:after="0"/>
        <w:ind w:left="270" w:hanging="270"/>
        <w:rPr>
          <w:rFonts w:ascii="Arial" w:hAnsi="Arial" w:cs="Arial"/>
          <w:sz w:val="18"/>
          <w:szCs w:val="18"/>
          <w:lang w:val="es-ES"/>
        </w:rPr>
      </w:pPr>
      <w:r w:rsidRPr="00104DA9">
        <w:rPr>
          <w:rStyle w:val="FootnoteReference"/>
          <w:rFonts w:ascii="Arial" w:hAnsi="Arial" w:cs="Arial"/>
          <w:sz w:val="18"/>
          <w:szCs w:val="18"/>
        </w:rPr>
        <w:footnoteRef/>
      </w:r>
      <w:r w:rsidRPr="00104DA9">
        <w:rPr>
          <w:rFonts w:ascii="Arial" w:hAnsi="Arial" w:cs="Arial"/>
          <w:sz w:val="18"/>
          <w:szCs w:val="18"/>
          <w:lang w:val="es-ES"/>
        </w:rPr>
        <w:t xml:space="preserve"> </w:t>
      </w:r>
      <w:r w:rsidR="00794C0E">
        <w:rPr>
          <w:rFonts w:ascii="Arial" w:hAnsi="Arial" w:cs="Arial"/>
          <w:sz w:val="18"/>
          <w:szCs w:val="18"/>
          <w:lang w:val="es-ES"/>
        </w:rPr>
        <w:tab/>
      </w:r>
      <w:r w:rsidRPr="00104DA9">
        <w:rPr>
          <w:rFonts w:ascii="Arial" w:hAnsi="Arial" w:cs="Arial"/>
          <w:sz w:val="18"/>
          <w:szCs w:val="18"/>
          <w:lang w:val="es-ES"/>
        </w:rPr>
        <w:t>Ver nota al pie 4.</w:t>
      </w:r>
    </w:p>
  </w:footnote>
  <w:footnote w:id="13">
    <w:p w:rsidR="00104DA9" w:rsidRPr="00104DA9" w:rsidRDefault="00104DA9" w:rsidP="00794C0E">
      <w:pPr>
        <w:pStyle w:val="FootnoteText"/>
        <w:spacing w:after="0"/>
        <w:ind w:left="270" w:hanging="270"/>
        <w:rPr>
          <w:rFonts w:ascii="Arial" w:hAnsi="Arial" w:cs="Arial"/>
          <w:sz w:val="18"/>
          <w:szCs w:val="18"/>
          <w:lang w:val="es-ES_tradnl"/>
        </w:rPr>
      </w:pPr>
      <w:r w:rsidRPr="00104DA9">
        <w:rPr>
          <w:rStyle w:val="FootnoteReference"/>
          <w:rFonts w:ascii="Arial" w:hAnsi="Arial" w:cs="Arial"/>
          <w:sz w:val="18"/>
          <w:szCs w:val="18"/>
        </w:rPr>
        <w:footnoteRef/>
      </w:r>
      <w:r w:rsidRPr="00104DA9">
        <w:rPr>
          <w:rFonts w:ascii="Arial" w:hAnsi="Arial" w:cs="Arial"/>
          <w:sz w:val="18"/>
          <w:szCs w:val="18"/>
          <w:lang w:val="es-ES"/>
        </w:rPr>
        <w:t xml:space="preserve"> </w:t>
      </w:r>
      <w:r w:rsidR="00794C0E">
        <w:rPr>
          <w:rFonts w:ascii="Arial" w:hAnsi="Arial" w:cs="Arial"/>
          <w:sz w:val="18"/>
          <w:szCs w:val="18"/>
          <w:lang w:val="es-ES"/>
        </w:rPr>
        <w:tab/>
      </w:r>
      <w:r w:rsidRPr="00104DA9">
        <w:rPr>
          <w:rFonts w:ascii="Arial" w:hAnsi="Arial" w:cs="Arial"/>
          <w:sz w:val="18"/>
          <w:szCs w:val="18"/>
          <w:lang w:val="es-ES"/>
        </w:rPr>
        <w:t xml:space="preserve">Si bien no se tienen precisiones acerca de las herramientas que se implementarán en los gobiernos provinciales que están vinculadas a las reformas en materia de catastro y administración tributaria, proyectos de estas características suponen un mantenimiento de las inversiones entre un 2% y 5%. </w:t>
      </w:r>
    </w:p>
  </w:footnote>
  <w:footnote w:id="14">
    <w:p w:rsidR="00104DA9" w:rsidRPr="00104DA9" w:rsidRDefault="00104DA9" w:rsidP="00794C0E">
      <w:pPr>
        <w:pStyle w:val="FootnoteText"/>
        <w:spacing w:after="0"/>
        <w:ind w:left="270" w:hanging="270"/>
        <w:rPr>
          <w:rFonts w:ascii="Arial" w:hAnsi="Arial" w:cs="Arial"/>
          <w:sz w:val="18"/>
          <w:szCs w:val="18"/>
          <w:lang w:val="es-ES_tradnl"/>
        </w:rPr>
      </w:pPr>
      <w:r w:rsidRPr="00104DA9">
        <w:rPr>
          <w:rStyle w:val="FootnoteReference"/>
          <w:rFonts w:ascii="Arial" w:hAnsi="Arial" w:cs="Arial"/>
          <w:sz w:val="18"/>
          <w:szCs w:val="18"/>
        </w:rPr>
        <w:footnoteRef/>
      </w:r>
      <w:r w:rsidRPr="00104DA9">
        <w:rPr>
          <w:rFonts w:ascii="Arial" w:hAnsi="Arial" w:cs="Arial"/>
          <w:sz w:val="18"/>
          <w:szCs w:val="18"/>
          <w:lang w:val="es-ES_tradnl"/>
        </w:rPr>
        <w:t xml:space="preserve"> </w:t>
      </w:r>
      <w:r w:rsidR="00794C0E">
        <w:rPr>
          <w:rFonts w:ascii="Arial" w:hAnsi="Arial" w:cs="Arial"/>
          <w:sz w:val="18"/>
          <w:szCs w:val="18"/>
          <w:lang w:val="es-ES_tradnl"/>
        </w:rPr>
        <w:tab/>
      </w:r>
      <w:r w:rsidRPr="00104DA9">
        <w:rPr>
          <w:rFonts w:ascii="Arial" w:hAnsi="Arial" w:cs="Arial"/>
          <w:sz w:val="18"/>
          <w:szCs w:val="18"/>
          <w:lang w:val="es-ES_tradnl"/>
        </w:rPr>
        <w:t>Se han comprobado anomalías en las prestaciones en casi todas las provincias argentinas, donde las mayores irregularidades se advierten en aquellas provincias que durante los años 90s, han iniciado el traspaso de las cajas de previsión social al Sistema Nacional (ANSES).</w:t>
      </w:r>
    </w:p>
  </w:footnote>
  <w:footnote w:id="15">
    <w:p w:rsidR="00104DA9" w:rsidRPr="00104DA9" w:rsidRDefault="00104DA9" w:rsidP="00794C0E">
      <w:pPr>
        <w:pStyle w:val="FootnoteText"/>
        <w:spacing w:after="0"/>
        <w:ind w:left="270" w:hanging="270"/>
        <w:rPr>
          <w:rFonts w:ascii="Arial" w:hAnsi="Arial" w:cs="Arial"/>
          <w:sz w:val="18"/>
          <w:szCs w:val="18"/>
          <w:lang w:val="es-AR"/>
        </w:rPr>
      </w:pPr>
      <w:r w:rsidRPr="00104DA9">
        <w:rPr>
          <w:rStyle w:val="FootnoteReference"/>
          <w:rFonts w:ascii="Arial" w:hAnsi="Arial" w:cs="Arial"/>
          <w:sz w:val="18"/>
          <w:szCs w:val="18"/>
          <w:lang w:val="es-AR"/>
        </w:rPr>
        <w:footnoteRef/>
      </w:r>
      <w:r w:rsidRPr="00104DA9">
        <w:rPr>
          <w:rFonts w:ascii="Arial" w:hAnsi="Arial" w:cs="Arial"/>
          <w:sz w:val="18"/>
          <w:szCs w:val="18"/>
          <w:lang w:val="es-AR"/>
        </w:rPr>
        <w:t xml:space="preserve"> </w:t>
      </w:r>
      <w:r w:rsidR="00794C0E">
        <w:rPr>
          <w:rFonts w:ascii="Arial" w:hAnsi="Arial" w:cs="Arial"/>
          <w:sz w:val="18"/>
          <w:szCs w:val="18"/>
          <w:lang w:val="es-AR"/>
        </w:rPr>
        <w:tab/>
      </w:r>
      <w:r w:rsidRPr="00104DA9">
        <w:rPr>
          <w:rFonts w:ascii="Arial" w:hAnsi="Arial" w:cs="Arial"/>
          <w:sz w:val="18"/>
          <w:szCs w:val="18"/>
          <w:lang w:val="es-AR"/>
        </w:rPr>
        <w:t xml:space="preserve">En base a datos del censo 2010, alrededor del 80% de las viviendas consumen gas envasado. </w:t>
      </w:r>
    </w:p>
  </w:footnote>
  <w:footnote w:id="16">
    <w:p w:rsidR="00104DA9" w:rsidRPr="00104DA9" w:rsidRDefault="00104DA9" w:rsidP="00794C0E">
      <w:pPr>
        <w:pStyle w:val="FootnoteText"/>
        <w:spacing w:after="0"/>
        <w:ind w:left="270" w:hanging="270"/>
        <w:rPr>
          <w:rFonts w:ascii="Arial" w:hAnsi="Arial" w:cs="Arial"/>
          <w:sz w:val="18"/>
          <w:szCs w:val="18"/>
          <w:lang w:val="es-AR"/>
        </w:rPr>
      </w:pPr>
      <w:r w:rsidRPr="00104DA9">
        <w:rPr>
          <w:rStyle w:val="FootnoteReference"/>
          <w:rFonts w:ascii="Arial" w:hAnsi="Arial" w:cs="Arial"/>
          <w:sz w:val="18"/>
          <w:szCs w:val="18"/>
          <w:lang w:val="es-AR"/>
        </w:rPr>
        <w:footnoteRef/>
      </w:r>
      <w:r>
        <w:rPr>
          <w:rFonts w:ascii="Arial" w:hAnsi="Arial" w:cs="Arial"/>
          <w:sz w:val="18"/>
          <w:szCs w:val="18"/>
        </w:rPr>
        <w:t xml:space="preserve"> </w:t>
      </w:r>
      <w:r w:rsidR="00794C0E">
        <w:rPr>
          <w:rFonts w:ascii="Arial" w:hAnsi="Arial" w:cs="Arial"/>
          <w:sz w:val="18"/>
          <w:szCs w:val="18"/>
        </w:rPr>
        <w:tab/>
      </w:r>
      <w:r w:rsidRPr="00104DA9">
        <w:rPr>
          <w:rFonts w:ascii="Arial" w:hAnsi="Arial" w:cs="Arial"/>
          <w:sz w:val="18"/>
          <w:szCs w:val="18"/>
        </w:rPr>
        <w:t xml:space="preserve">HARBERGER, A. [1978]: "On the Use of Distributional Weights in Social Cost-Benefit Analysis", Journal of Political Economy Vol. 86 (June): págs. </w:t>
      </w:r>
      <w:r w:rsidRPr="00104DA9">
        <w:rPr>
          <w:rFonts w:ascii="Arial" w:hAnsi="Arial" w:cs="Arial"/>
          <w:sz w:val="18"/>
          <w:szCs w:val="18"/>
          <w:lang w:val="es-AR"/>
        </w:rPr>
        <w:t>S87-S120</w:t>
      </w:r>
    </w:p>
  </w:footnote>
  <w:footnote w:id="17">
    <w:p w:rsidR="00104DA9" w:rsidRPr="00104DA9" w:rsidRDefault="00104DA9" w:rsidP="00794C0E">
      <w:pPr>
        <w:pStyle w:val="FootnoteText"/>
        <w:spacing w:after="0"/>
        <w:ind w:left="270" w:hanging="270"/>
        <w:rPr>
          <w:rFonts w:ascii="Arial" w:hAnsi="Arial" w:cs="Arial"/>
          <w:sz w:val="18"/>
          <w:szCs w:val="18"/>
          <w:lang w:val="es-AR"/>
        </w:rPr>
      </w:pPr>
      <w:r w:rsidRPr="00104DA9">
        <w:rPr>
          <w:rStyle w:val="FootnoteReference"/>
          <w:rFonts w:ascii="Arial" w:hAnsi="Arial" w:cs="Arial"/>
          <w:sz w:val="18"/>
          <w:szCs w:val="18"/>
          <w:lang w:val="es-AR"/>
        </w:rPr>
        <w:footnoteRef/>
      </w:r>
      <w:r>
        <w:rPr>
          <w:rFonts w:ascii="Arial" w:hAnsi="Arial" w:cs="Arial"/>
          <w:color w:val="000000"/>
          <w:sz w:val="18"/>
          <w:szCs w:val="18"/>
          <w:lang w:val="es-AR"/>
        </w:rPr>
        <w:t xml:space="preserve"> </w:t>
      </w:r>
      <w:r w:rsidR="00794C0E">
        <w:rPr>
          <w:rFonts w:ascii="Arial" w:hAnsi="Arial" w:cs="Arial"/>
          <w:color w:val="000000"/>
          <w:sz w:val="18"/>
          <w:szCs w:val="18"/>
          <w:lang w:val="es-AR"/>
        </w:rPr>
        <w:tab/>
      </w:r>
      <w:r w:rsidRPr="00104DA9">
        <w:rPr>
          <w:rFonts w:ascii="Arial" w:hAnsi="Arial" w:cs="Arial"/>
          <w:color w:val="000000"/>
          <w:sz w:val="18"/>
          <w:szCs w:val="18"/>
          <w:lang w:val="es-AR"/>
        </w:rPr>
        <w:t>Se simuló el consumo para una vivienda en base al uso de: horno, cocina con dos hornallas, calefón de 10 litros. En base a estos datos, el consumo anual ronda entre los 1041 y 1.250 m3 de gas. Para esta evaluación se supuso el mínimo consumo</w:t>
      </w:r>
    </w:p>
  </w:footnote>
  <w:footnote w:id="18">
    <w:p w:rsidR="00104DA9" w:rsidRPr="00104DA9" w:rsidRDefault="00104DA9" w:rsidP="00794C0E">
      <w:pPr>
        <w:pStyle w:val="NormalWeb"/>
        <w:ind w:left="270" w:hanging="270"/>
        <w:jc w:val="both"/>
        <w:rPr>
          <w:rFonts w:ascii="Arial" w:hAnsi="Arial" w:cs="Arial"/>
          <w:color w:val="000000"/>
          <w:sz w:val="18"/>
          <w:szCs w:val="18"/>
          <w:lang w:val="es-AR"/>
        </w:rPr>
      </w:pPr>
      <w:r w:rsidRPr="00104DA9">
        <w:rPr>
          <w:rStyle w:val="FootnoteReference"/>
          <w:rFonts w:ascii="Arial" w:hAnsi="Arial" w:cs="Arial"/>
          <w:sz w:val="18"/>
          <w:szCs w:val="18"/>
          <w:lang w:val="es-AR"/>
        </w:rPr>
        <w:footnoteRef/>
      </w:r>
      <w:r>
        <w:rPr>
          <w:rFonts w:ascii="Arial" w:hAnsi="Arial" w:cs="Arial"/>
          <w:color w:val="000000"/>
          <w:sz w:val="18"/>
          <w:szCs w:val="18"/>
          <w:lang w:val="es-AR"/>
        </w:rPr>
        <w:t xml:space="preserve"> </w:t>
      </w:r>
      <w:r w:rsidR="00794C0E">
        <w:rPr>
          <w:rFonts w:ascii="Arial" w:hAnsi="Arial" w:cs="Arial"/>
          <w:color w:val="000000"/>
          <w:sz w:val="18"/>
          <w:szCs w:val="18"/>
          <w:lang w:val="es-AR"/>
        </w:rPr>
        <w:tab/>
      </w:r>
      <w:r w:rsidRPr="00104DA9">
        <w:rPr>
          <w:rFonts w:ascii="Arial" w:hAnsi="Arial" w:cs="Arial"/>
          <w:color w:val="000000"/>
          <w:sz w:val="18"/>
          <w:szCs w:val="18"/>
          <w:lang w:val="es-AR"/>
        </w:rPr>
        <w:t>Guías Metodológicas de CEPAL</w:t>
      </w:r>
    </w:p>
    <w:p w:rsidR="00104DA9" w:rsidRPr="00104DA9" w:rsidRDefault="00794C0E" w:rsidP="00794C0E">
      <w:pPr>
        <w:pStyle w:val="NormalWeb"/>
        <w:ind w:left="270"/>
        <w:jc w:val="both"/>
        <w:rPr>
          <w:rFonts w:ascii="Arial" w:hAnsi="Arial" w:cs="Arial"/>
          <w:sz w:val="18"/>
          <w:szCs w:val="18"/>
          <w:lang w:val="es-AR"/>
        </w:rPr>
      </w:pPr>
      <w:hyperlink r:id="rId3" w:history="1">
        <w:r w:rsidR="00104DA9" w:rsidRPr="009734AA">
          <w:rPr>
            <w:rStyle w:val="Hyperlink"/>
            <w:rFonts w:ascii="Arial" w:hAnsi="Arial" w:cs="Arial"/>
            <w:sz w:val="18"/>
            <w:szCs w:val="18"/>
            <w:lang w:val="es-AR"/>
          </w:rPr>
          <w:t>http://www.cepal.org/cgibin/getprod.asp?xml=/ilpes/noticias/paginas/8/52958/P52958.xml&amp;base=/tpl/blanco.xsl</w:t>
        </w:r>
      </w:hyperlink>
      <w:r w:rsidR="00104DA9">
        <w:rPr>
          <w:rFonts w:ascii="Arial" w:hAnsi="Arial" w:cs="Arial"/>
          <w:color w:val="000000"/>
          <w:sz w:val="18"/>
          <w:szCs w:val="18"/>
          <w:lang w:val="es-AR"/>
        </w:rPr>
        <w:t xml:space="preserve"> </w:t>
      </w:r>
    </w:p>
  </w:footnote>
  <w:footnote w:id="19">
    <w:p w:rsidR="00104DA9" w:rsidRPr="00104DA9" w:rsidRDefault="00104DA9" w:rsidP="00794C0E">
      <w:pPr>
        <w:pStyle w:val="FootnoteText"/>
        <w:spacing w:after="0"/>
        <w:ind w:left="270" w:hanging="270"/>
        <w:rPr>
          <w:rFonts w:ascii="Arial" w:hAnsi="Arial" w:cs="Arial"/>
          <w:color w:val="000000"/>
          <w:sz w:val="18"/>
          <w:szCs w:val="18"/>
          <w:lang w:val="es-AR"/>
        </w:rPr>
      </w:pPr>
      <w:r w:rsidRPr="00104DA9">
        <w:rPr>
          <w:rStyle w:val="FootnoteReference"/>
          <w:rFonts w:ascii="Arial" w:hAnsi="Arial" w:cs="Arial"/>
          <w:sz w:val="18"/>
          <w:szCs w:val="18"/>
          <w:lang w:val="es-AR"/>
        </w:rPr>
        <w:footnoteRef/>
      </w:r>
      <w:r w:rsidRPr="00104DA9">
        <w:rPr>
          <w:rFonts w:ascii="Arial" w:hAnsi="Arial" w:cs="Arial"/>
          <w:sz w:val="18"/>
          <w:szCs w:val="18"/>
          <w:lang w:val="es-AR"/>
        </w:rPr>
        <w:t xml:space="preserve"> </w:t>
      </w:r>
      <w:r w:rsidR="00794C0E">
        <w:rPr>
          <w:rFonts w:ascii="Arial" w:hAnsi="Arial" w:cs="Arial"/>
          <w:sz w:val="18"/>
          <w:szCs w:val="18"/>
          <w:lang w:val="es-AR"/>
        </w:rPr>
        <w:tab/>
      </w:r>
      <w:r w:rsidRPr="00104DA9">
        <w:rPr>
          <w:rFonts w:ascii="Arial" w:hAnsi="Arial" w:cs="Arial"/>
          <w:sz w:val="18"/>
          <w:szCs w:val="18"/>
          <w:lang w:val="es-AR"/>
        </w:rPr>
        <w:t>En base a datos provistos por la Secretaría de Obras y Servicios Públicos de la Provincia de Corrientes y distribuidora de gas GASNEA, s</w:t>
      </w:r>
      <w:r w:rsidRPr="00104DA9">
        <w:rPr>
          <w:rFonts w:ascii="Arial" w:hAnsi="Arial" w:cs="Arial"/>
          <w:color w:val="000000"/>
          <w:sz w:val="18"/>
          <w:szCs w:val="18"/>
          <w:lang w:val="es-AR"/>
        </w:rPr>
        <w:t>e calculó tomó como referencia el precio de mercado de una garrafa de 10kg de gas envasado. La misma contiene 12,8 m</w:t>
      </w:r>
      <w:r w:rsidRPr="00104DA9">
        <w:rPr>
          <w:rFonts w:ascii="Arial" w:hAnsi="Arial" w:cs="Arial"/>
          <w:color w:val="000000"/>
          <w:sz w:val="18"/>
          <w:szCs w:val="18"/>
          <w:vertAlign w:val="superscript"/>
          <w:lang w:val="es-AR"/>
        </w:rPr>
        <w:t xml:space="preserve">3 </w:t>
      </w:r>
      <w:r w:rsidRPr="00104DA9">
        <w:rPr>
          <w:rFonts w:ascii="Arial" w:hAnsi="Arial" w:cs="Arial"/>
          <w:color w:val="000000"/>
          <w:sz w:val="18"/>
          <w:szCs w:val="18"/>
          <w:lang w:val="es-AR"/>
        </w:rPr>
        <w:t>de gas. El precio de referencia (Resolución Número 19/152016 Ministerio de Energía de la Nación) de la garrafa es de 87,78 pesos, los que implica un valor de $6,86 el m</w:t>
      </w:r>
      <w:r w:rsidRPr="00104DA9">
        <w:rPr>
          <w:rFonts w:ascii="Arial" w:hAnsi="Arial" w:cs="Arial"/>
          <w:color w:val="000000"/>
          <w:sz w:val="18"/>
          <w:szCs w:val="18"/>
          <w:vertAlign w:val="superscript"/>
          <w:lang w:val="es-AR"/>
        </w:rPr>
        <w:t>3</w:t>
      </w:r>
      <w:r w:rsidRPr="00104DA9">
        <w:rPr>
          <w:rFonts w:ascii="Arial" w:hAnsi="Arial" w:cs="Arial"/>
          <w:color w:val="000000"/>
          <w:sz w:val="18"/>
          <w:szCs w:val="18"/>
          <w:lang w:val="es-AR"/>
        </w:rPr>
        <w:t>(https://www.boletinoficial.gob.ar/pdf/linkQR/dC92VDIraVphVm8rdTVReEh2ZkU0dz09)</w:t>
      </w:r>
    </w:p>
  </w:footnote>
  <w:footnote w:id="20">
    <w:p w:rsidR="00104DA9" w:rsidRPr="00104DA9" w:rsidRDefault="00104DA9" w:rsidP="00794C0E">
      <w:pPr>
        <w:pStyle w:val="FootnoteText"/>
        <w:spacing w:after="0"/>
        <w:ind w:left="270" w:hanging="270"/>
        <w:rPr>
          <w:rFonts w:ascii="Arial" w:hAnsi="Arial" w:cs="Arial"/>
          <w:color w:val="000000"/>
          <w:sz w:val="18"/>
          <w:szCs w:val="18"/>
          <w:lang w:val="es-AR"/>
        </w:rPr>
      </w:pPr>
      <w:r w:rsidRPr="00104DA9">
        <w:rPr>
          <w:rStyle w:val="FootnoteReference"/>
          <w:rFonts w:ascii="Arial" w:hAnsi="Arial" w:cs="Arial"/>
          <w:sz w:val="18"/>
          <w:szCs w:val="18"/>
          <w:lang w:val="es-AR"/>
        </w:rPr>
        <w:footnoteRef/>
      </w:r>
      <w:r>
        <w:rPr>
          <w:rFonts w:ascii="Arial" w:hAnsi="Arial" w:cs="Arial"/>
          <w:color w:val="000000"/>
          <w:sz w:val="18"/>
          <w:szCs w:val="18"/>
          <w:lang w:val="es-AR"/>
        </w:rPr>
        <w:t xml:space="preserve"> </w:t>
      </w:r>
      <w:r w:rsidR="00794C0E">
        <w:rPr>
          <w:rFonts w:ascii="Arial" w:hAnsi="Arial" w:cs="Arial"/>
          <w:color w:val="000000"/>
          <w:sz w:val="18"/>
          <w:szCs w:val="18"/>
          <w:lang w:val="es-AR"/>
        </w:rPr>
        <w:tab/>
      </w:r>
      <w:r w:rsidRPr="00104DA9">
        <w:rPr>
          <w:rFonts w:ascii="Arial" w:hAnsi="Arial" w:cs="Arial"/>
          <w:color w:val="000000"/>
          <w:sz w:val="18"/>
          <w:szCs w:val="18"/>
          <w:lang w:val="es-AR"/>
        </w:rPr>
        <w:t>Precio de referencia en base a la resolución de ENERGAS. Se tomó como referencia el usuario residencial clase R3 válido para abril 2016. Se destaca que si bien se ha tomado como dato la política de subsidios vigente en Argentina, las correcciones en las tarifas deberían generar beneficios adicionales, ya que la heterogeneidad en los criterios implícitos vigentes, subestiman los beneficios que se esperarían una vez que sea llevada a cabo la intervención</w:t>
      </w:r>
    </w:p>
    <w:p w:rsidR="00104DA9" w:rsidRPr="00104DA9" w:rsidRDefault="00104DA9" w:rsidP="00794C0E">
      <w:pPr>
        <w:pStyle w:val="FootnoteText"/>
        <w:spacing w:after="0"/>
        <w:ind w:left="270" w:firstLine="0"/>
        <w:rPr>
          <w:rFonts w:ascii="Arial" w:hAnsi="Arial" w:cs="Arial"/>
          <w:sz w:val="18"/>
          <w:szCs w:val="18"/>
          <w:lang w:val="es-AR"/>
        </w:rPr>
      </w:pPr>
      <w:r w:rsidRPr="00104DA9">
        <w:rPr>
          <w:rFonts w:ascii="Arial" w:hAnsi="Arial" w:cs="Arial"/>
          <w:color w:val="000000"/>
          <w:sz w:val="18"/>
          <w:szCs w:val="18"/>
          <w:lang w:val="es-AR"/>
        </w:rPr>
        <w:t xml:space="preserve"> </w:t>
      </w:r>
      <w:hyperlink r:id="rId4" w:history="1">
        <w:r w:rsidRPr="009734AA">
          <w:rPr>
            <w:rStyle w:val="Hyperlink"/>
            <w:rFonts w:ascii="Arial" w:hAnsi="Arial" w:cs="Arial"/>
            <w:sz w:val="18"/>
            <w:szCs w:val="18"/>
            <w:lang w:val="es-AR"/>
          </w:rPr>
          <w:t>http://www.enargas.gov.ar/MarcoLegal/Resoluciones/Data/R16_i3728.pdf</w:t>
        </w:r>
      </w:hyperlink>
      <w:r>
        <w:rPr>
          <w:rFonts w:ascii="Arial" w:hAnsi="Arial" w:cs="Arial"/>
          <w:color w:val="000000"/>
          <w:sz w:val="18"/>
          <w:szCs w:val="18"/>
          <w:lang w:val="es-AR"/>
        </w:rPr>
        <w:t xml:space="preserve"> </w:t>
      </w:r>
    </w:p>
  </w:footnote>
  <w:footnote w:id="21">
    <w:p w:rsidR="00104DA9" w:rsidRPr="00104DA9" w:rsidRDefault="00104DA9" w:rsidP="00794C0E">
      <w:pPr>
        <w:pStyle w:val="FootnoteText"/>
        <w:spacing w:after="0"/>
        <w:ind w:left="270" w:hanging="270"/>
        <w:rPr>
          <w:rFonts w:ascii="Arial" w:hAnsi="Arial" w:cs="Arial"/>
          <w:sz w:val="18"/>
          <w:szCs w:val="18"/>
          <w:lang w:val="es-ES"/>
        </w:rPr>
      </w:pPr>
      <w:r w:rsidRPr="00104DA9">
        <w:rPr>
          <w:rStyle w:val="FootnoteReference"/>
          <w:rFonts w:ascii="Arial" w:hAnsi="Arial" w:cs="Arial"/>
          <w:sz w:val="18"/>
          <w:szCs w:val="18"/>
        </w:rPr>
        <w:footnoteRef/>
      </w:r>
      <w:r w:rsidRPr="00104DA9">
        <w:rPr>
          <w:rFonts w:ascii="Arial" w:hAnsi="Arial" w:cs="Arial"/>
          <w:sz w:val="18"/>
          <w:szCs w:val="18"/>
          <w:lang w:val="es-ES"/>
        </w:rPr>
        <w:t xml:space="preserve"> </w:t>
      </w:r>
      <w:r w:rsidR="00794C0E">
        <w:rPr>
          <w:rFonts w:ascii="Arial" w:hAnsi="Arial" w:cs="Arial"/>
          <w:sz w:val="18"/>
          <w:szCs w:val="18"/>
          <w:lang w:val="es-ES"/>
        </w:rPr>
        <w:tab/>
      </w:r>
      <w:r w:rsidRPr="00104DA9">
        <w:rPr>
          <w:rFonts w:ascii="Arial" w:hAnsi="Arial" w:cs="Arial"/>
          <w:sz w:val="18"/>
          <w:szCs w:val="18"/>
          <w:lang w:val="es-ES"/>
        </w:rPr>
        <w:t xml:space="preserve">Los beneficios no sólo se visualizan por el menor precio del gas natural como alternativa el gas de garrafa, sino que además existe evidencia de que la provisión de gas natural se considera una energía alternativa más “limpia” </w:t>
      </w:r>
    </w:p>
  </w:footnote>
  <w:footnote w:id="22">
    <w:p w:rsidR="00104DA9" w:rsidRPr="00104DA9" w:rsidRDefault="00104DA9" w:rsidP="00794C0E">
      <w:pPr>
        <w:pStyle w:val="FootnoteText"/>
        <w:spacing w:after="0"/>
        <w:ind w:left="270" w:hanging="270"/>
        <w:rPr>
          <w:rFonts w:ascii="Arial" w:hAnsi="Arial" w:cs="Arial"/>
          <w:sz w:val="18"/>
          <w:szCs w:val="18"/>
          <w:lang w:val="es-AR"/>
        </w:rPr>
      </w:pPr>
      <w:r w:rsidRPr="00104DA9">
        <w:rPr>
          <w:rStyle w:val="FootnoteReference"/>
          <w:rFonts w:ascii="Arial" w:hAnsi="Arial" w:cs="Arial"/>
          <w:sz w:val="18"/>
          <w:szCs w:val="18"/>
          <w:lang w:val="es-AR"/>
        </w:rPr>
        <w:footnoteRef/>
      </w:r>
      <w:r>
        <w:rPr>
          <w:rFonts w:ascii="Arial" w:hAnsi="Arial" w:cs="Arial"/>
          <w:sz w:val="18"/>
          <w:szCs w:val="18"/>
          <w:lang w:val="es-AR"/>
        </w:rPr>
        <w:t xml:space="preserve"> </w:t>
      </w:r>
      <w:r w:rsidRPr="00104DA9">
        <w:rPr>
          <w:rFonts w:ascii="Arial" w:hAnsi="Arial" w:cs="Arial"/>
          <w:sz w:val="18"/>
          <w:szCs w:val="18"/>
          <w:lang w:val="es-AR"/>
        </w:rPr>
        <w:t>Las industrias beneficiarias serán: Frigoríficos, Maderera, Citrícola - Miel,  Yerbatera, Arrocera, Hilandería.</w:t>
      </w:r>
    </w:p>
  </w:footnote>
  <w:footnote w:id="23">
    <w:p w:rsidR="00104DA9" w:rsidRPr="00104DA9" w:rsidRDefault="00104DA9" w:rsidP="00794C0E">
      <w:pPr>
        <w:pStyle w:val="FootnoteText"/>
        <w:spacing w:after="0"/>
        <w:ind w:left="270" w:hanging="270"/>
        <w:rPr>
          <w:rFonts w:ascii="Arial" w:hAnsi="Arial" w:cs="Arial"/>
          <w:sz w:val="18"/>
          <w:szCs w:val="18"/>
          <w:lang w:val="es-AR"/>
        </w:rPr>
      </w:pPr>
      <w:r w:rsidRPr="00104DA9">
        <w:rPr>
          <w:rStyle w:val="FootnoteReference"/>
          <w:rFonts w:ascii="Arial" w:hAnsi="Arial" w:cs="Arial"/>
          <w:sz w:val="18"/>
          <w:szCs w:val="18"/>
          <w:lang w:val="es-AR"/>
        </w:rPr>
        <w:footnoteRef/>
      </w:r>
      <w:r w:rsidRPr="00104DA9">
        <w:rPr>
          <w:rFonts w:ascii="Arial" w:hAnsi="Arial" w:cs="Arial"/>
          <w:color w:val="000000"/>
          <w:sz w:val="18"/>
          <w:szCs w:val="18"/>
          <w:lang w:val="es-AR"/>
        </w:rPr>
        <w:t xml:space="preserve"> Para proyectar la sustitución de utilización de energías alternativas, se tomaron datos censales provistos por el Gobierno Provincial. En particular existe un estudio específico que releva el caso de la Industria Arrocera, que es el que mejor muestra la realidad actual. </w:t>
      </w:r>
    </w:p>
  </w:footnote>
  <w:footnote w:id="24">
    <w:p w:rsidR="00104DA9" w:rsidRPr="00104DA9" w:rsidRDefault="00104DA9" w:rsidP="00794C0E">
      <w:pPr>
        <w:pStyle w:val="FootnoteText"/>
        <w:spacing w:after="0"/>
        <w:ind w:left="270" w:hanging="270"/>
        <w:rPr>
          <w:rFonts w:ascii="Arial" w:hAnsi="Arial" w:cs="Arial"/>
          <w:sz w:val="18"/>
          <w:szCs w:val="18"/>
          <w:lang w:val="es-ES"/>
        </w:rPr>
      </w:pPr>
      <w:r w:rsidRPr="00104DA9">
        <w:rPr>
          <w:rStyle w:val="FootnoteReference"/>
          <w:rFonts w:ascii="Arial" w:hAnsi="Arial" w:cs="Arial"/>
          <w:sz w:val="18"/>
          <w:szCs w:val="18"/>
        </w:rPr>
        <w:footnoteRef/>
      </w:r>
      <w:r w:rsidRPr="00104DA9">
        <w:rPr>
          <w:rFonts w:ascii="Arial" w:hAnsi="Arial" w:cs="Arial"/>
          <w:sz w:val="18"/>
          <w:szCs w:val="18"/>
          <w:lang w:val="es-ES_tradnl"/>
        </w:rPr>
        <w:t xml:space="preserve"> </w:t>
      </w:r>
      <w:r w:rsidR="00794C0E">
        <w:rPr>
          <w:rFonts w:ascii="Arial" w:hAnsi="Arial" w:cs="Arial"/>
          <w:sz w:val="18"/>
          <w:szCs w:val="18"/>
          <w:lang w:val="es-ES_tradnl"/>
        </w:rPr>
        <w:tab/>
      </w:r>
      <w:r w:rsidRPr="00104DA9">
        <w:rPr>
          <w:rFonts w:ascii="Arial" w:hAnsi="Arial" w:cs="Arial"/>
          <w:sz w:val="18"/>
          <w:szCs w:val="18"/>
          <w:lang w:val="es-ES"/>
        </w:rPr>
        <w:t>Para el excedente de los usuarios residenciales, se proyectaron los beneficios según estos supuestos para el período considerado para la evaluación, que toma como año de inicio un 60 % de la conexión de gas para consumidores residenciales, alcanzando el 80 % en el último año considerado para la proyección del flujo de beneficios netos, según experiencias de las provincias mencionadas.</w:t>
      </w:r>
    </w:p>
  </w:footnote>
  <w:footnote w:id="25">
    <w:p w:rsidR="00104DA9" w:rsidRPr="00104DA9" w:rsidRDefault="00104DA9" w:rsidP="00794C0E">
      <w:pPr>
        <w:pStyle w:val="FootnoteText"/>
        <w:spacing w:after="0"/>
        <w:ind w:left="270" w:hanging="270"/>
        <w:rPr>
          <w:rFonts w:ascii="Arial" w:hAnsi="Arial" w:cs="Arial"/>
          <w:sz w:val="18"/>
          <w:szCs w:val="18"/>
          <w:lang w:val="es-ES"/>
        </w:rPr>
      </w:pPr>
      <w:r w:rsidRPr="00104DA9">
        <w:rPr>
          <w:rStyle w:val="FootnoteReference"/>
          <w:rFonts w:ascii="Arial" w:hAnsi="Arial" w:cs="Arial"/>
          <w:sz w:val="18"/>
          <w:szCs w:val="18"/>
        </w:rPr>
        <w:footnoteRef/>
      </w:r>
      <w:r w:rsidRPr="00104DA9">
        <w:rPr>
          <w:rFonts w:ascii="Arial" w:hAnsi="Arial" w:cs="Arial"/>
          <w:sz w:val="18"/>
          <w:szCs w:val="18"/>
          <w:lang w:val="es-ES"/>
        </w:rPr>
        <w:t xml:space="preserve"> </w:t>
      </w:r>
      <w:r w:rsidR="00794C0E">
        <w:rPr>
          <w:rFonts w:ascii="Arial" w:hAnsi="Arial" w:cs="Arial"/>
          <w:sz w:val="18"/>
          <w:szCs w:val="18"/>
          <w:lang w:val="es-ES"/>
        </w:rPr>
        <w:tab/>
      </w:r>
      <w:r w:rsidRPr="00104DA9">
        <w:rPr>
          <w:rFonts w:ascii="Arial" w:hAnsi="Arial" w:cs="Arial"/>
          <w:sz w:val="18"/>
          <w:szCs w:val="18"/>
          <w:lang w:val="es-ES"/>
        </w:rPr>
        <w:t>De estos costos el 40% son los de 36.000 metros de caño de 8”.  Del restante 60%, los costos se distribuyen 10% para el tributo para la fibra óptica; 10% equipos complementarios y 80% tendido, soldaduras, pruebas, etc.)</w:t>
      </w:r>
      <w:r>
        <w:rPr>
          <w:rFonts w:ascii="Arial" w:hAnsi="Arial" w:cs="Arial"/>
          <w:sz w:val="18"/>
          <w:szCs w:val="18"/>
          <w:lang w:val="es-ES"/>
        </w:rPr>
        <w:t>.</w:t>
      </w:r>
    </w:p>
  </w:footnote>
  <w:footnote w:id="26">
    <w:p w:rsidR="00104DA9" w:rsidRPr="00104DA9" w:rsidRDefault="00104DA9" w:rsidP="00794C0E">
      <w:pPr>
        <w:pStyle w:val="FootnoteText"/>
        <w:spacing w:after="0"/>
        <w:ind w:left="270" w:hanging="270"/>
        <w:rPr>
          <w:rFonts w:ascii="Arial" w:hAnsi="Arial" w:cs="Arial"/>
          <w:sz w:val="18"/>
          <w:szCs w:val="18"/>
          <w:lang w:val="es-ES_tradnl"/>
        </w:rPr>
      </w:pPr>
      <w:r w:rsidRPr="00104DA9">
        <w:rPr>
          <w:rStyle w:val="FootnoteReference"/>
          <w:rFonts w:ascii="Arial" w:hAnsi="Arial" w:cs="Arial"/>
          <w:sz w:val="18"/>
          <w:szCs w:val="18"/>
        </w:rPr>
        <w:footnoteRef/>
      </w:r>
      <w:r w:rsidRPr="00104DA9">
        <w:rPr>
          <w:rFonts w:ascii="Arial" w:hAnsi="Arial" w:cs="Arial"/>
          <w:sz w:val="18"/>
          <w:szCs w:val="18"/>
          <w:lang w:val="es-ES_tradnl"/>
        </w:rPr>
        <w:t xml:space="preserve"> </w:t>
      </w:r>
      <w:r w:rsidR="00794C0E">
        <w:rPr>
          <w:rFonts w:ascii="Arial" w:hAnsi="Arial" w:cs="Arial"/>
          <w:sz w:val="18"/>
          <w:szCs w:val="18"/>
          <w:lang w:val="es-ES_tradnl"/>
        </w:rPr>
        <w:tab/>
      </w:r>
      <w:r w:rsidRPr="00104DA9">
        <w:rPr>
          <w:rFonts w:ascii="Arial" w:hAnsi="Arial" w:cs="Arial"/>
          <w:sz w:val="18"/>
          <w:szCs w:val="18"/>
          <w:lang w:val="es-ES_tradnl"/>
        </w:rPr>
        <w:t>La cantidad de Leche necesaria para producir 1 litro de yogurt varía entre 1,05 y 1,2 litros de leche. Se supone un escenario conservador, en el cual por cada litro de yogurt se necesita 1,2 litros de leche. http://www.inti.gob.ar/lacteos/pdf/Cuadernillo_Yogur.pdf</w:t>
      </w:r>
    </w:p>
  </w:footnote>
  <w:footnote w:id="27">
    <w:p w:rsidR="00104DA9" w:rsidRPr="00104DA9" w:rsidRDefault="00104DA9" w:rsidP="00794C0E">
      <w:pPr>
        <w:pStyle w:val="FootnoteText"/>
        <w:spacing w:after="0"/>
        <w:ind w:left="270" w:hanging="270"/>
        <w:rPr>
          <w:rFonts w:ascii="Arial" w:hAnsi="Arial" w:cs="Arial"/>
          <w:sz w:val="18"/>
          <w:szCs w:val="18"/>
          <w:lang w:val="es-AR"/>
        </w:rPr>
      </w:pPr>
      <w:r w:rsidRPr="00104DA9">
        <w:rPr>
          <w:rStyle w:val="FootnoteReference"/>
          <w:rFonts w:ascii="Arial" w:hAnsi="Arial" w:cs="Arial"/>
          <w:sz w:val="18"/>
          <w:szCs w:val="18"/>
        </w:rPr>
        <w:footnoteRef/>
      </w:r>
      <w:r w:rsidRPr="00104DA9">
        <w:rPr>
          <w:rFonts w:ascii="Arial" w:hAnsi="Arial" w:cs="Arial"/>
          <w:sz w:val="18"/>
          <w:szCs w:val="18"/>
          <w:lang w:val="es-ES_tradnl"/>
        </w:rPr>
        <w:t xml:space="preserve"> </w:t>
      </w:r>
      <w:r w:rsidR="00794C0E">
        <w:rPr>
          <w:rFonts w:ascii="Arial" w:hAnsi="Arial" w:cs="Arial"/>
          <w:sz w:val="18"/>
          <w:szCs w:val="18"/>
          <w:lang w:val="es-ES_tradnl"/>
        </w:rPr>
        <w:tab/>
      </w:r>
      <w:r w:rsidRPr="00104DA9">
        <w:rPr>
          <w:rFonts w:ascii="Arial" w:hAnsi="Arial" w:cs="Arial"/>
          <w:sz w:val="18"/>
          <w:szCs w:val="18"/>
          <w:lang w:val="es-AR"/>
        </w:rPr>
        <w:t>En el capítulo de Rentabilidad se especifican los precios y el incremento de los volúmenes de producción estimados, así como las hipótesis para la proyección de los beneficios.</w:t>
      </w:r>
    </w:p>
  </w:footnote>
  <w:footnote w:id="28">
    <w:p w:rsidR="00104DA9" w:rsidRPr="00104DA9" w:rsidRDefault="00104DA9" w:rsidP="00794C0E">
      <w:pPr>
        <w:pStyle w:val="FootnoteText"/>
        <w:spacing w:after="0"/>
        <w:ind w:left="270" w:hanging="270"/>
        <w:rPr>
          <w:rFonts w:ascii="Arial" w:hAnsi="Arial" w:cs="Arial"/>
          <w:sz w:val="18"/>
          <w:szCs w:val="18"/>
          <w:lang w:val="es-ES_tradnl"/>
        </w:rPr>
      </w:pPr>
      <w:r w:rsidRPr="00104DA9">
        <w:rPr>
          <w:rStyle w:val="FootnoteReference"/>
          <w:rFonts w:ascii="Arial" w:hAnsi="Arial" w:cs="Arial"/>
          <w:sz w:val="18"/>
          <w:szCs w:val="18"/>
        </w:rPr>
        <w:footnoteRef/>
      </w:r>
      <w:r w:rsidRPr="00104DA9">
        <w:rPr>
          <w:rFonts w:ascii="Arial" w:hAnsi="Arial" w:cs="Arial"/>
          <w:sz w:val="18"/>
          <w:szCs w:val="18"/>
          <w:lang w:val="es-ES"/>
        </w:rPr>
        <w:t xml:space="preserve"> </w:t>
      </w:r>
      <w:r w:rsidR="00794C0E">
        <w:rPr>
          <w:rFonts w:ascii="Arial" w:hAnsi="Arial" w:cs="Arial"/>
          <w:sz w:val="18"/>
          <w:szCs w:val="18"/>
          <w:lang w:val="es-ES"/>
        </w:rPr>
        <w:tab/>
      </w:r>
      <w:r w:rsidRPr="00104DA9">
        <w:rPr>
          <w:rFonts w:ascii="Arial" w:hAnsi="Arial" w:cs="Arial"/>
          <w:sz w:val="18"/>
          <w:szCs w:val="18"/>
          <w:lang w:val="es-ES"/>
        </w:rPr>
        <w:t xml:space="preserve">Dentro de los costos se incluyen: </w:t>
      </w:r>
      <w:r w:rsidRPr="00104DA9">
        <w:rPr>
          <w:rFonts w:ascii="Arial" w:hAnsi="Arial" w:cs="Arial"/>
          <w:sz w:val="18"/>
          <w:szCs w:val="18"/>
          <w:lang w:val="es-ES_tradnl"/>
        </w:rPr>
        <w:t>Playa $800,000; Dos Campos de Línea 132 Kv - Entrada y Salida $907,000; Antena 132 Kv $58,000; Campo Transformador lado 132 Kv $1,629,100; Tablero Servicio Auxiliares CA y CC $199,000; Medión Smec $91,800; Campo Interruptor General 13,2 Kv $236,100; Campo Interruptor Generales 33 Kv $247,600; Tablero de Control y Protecciones Campo 33 y 13,2 Kv $221,000; Equipos para Comunicación$575,000.</w:t>
      </w:r>
    </w:p>
  </w:footnote>
  <w:footnote w:id="29">
    <w:p w:rsidR="00104DA9" w:rsidRPr="00104DA9" w:rsidRDefault="00104DA9" w:rsidP="00794C0E">
      <w:pPr>
        <w:pStyle w:val="FootnoteText"/>
        <w:spacing w:after="0"/>
        <w:ind w:left="270" w:hanging="270"/>
        <w:rPr>
          <w:rFonts w:ascii="Arial" w:hAnsi="Arial" w:cs="Arial"/>
          <w:sz w:val="18"/>
          <w:szCs w:val="18"/>
          <w:lang w:val="es-AR"/>
        </w:rPr>
      </w:pPr>
      <w:r w:rsidRPr="00104DA9">
        <w:rPr>
          <w:rStyle w:val="FootnoteReference"/>
          <w:rFonts w:ascii="Arial" w:hAnsi="Arial" w:cs="Arial"/>
          <w:sz w:val="18"/>
          <w:szCs w:val="18"/>
        </w:rPr>
        <w:footnoteRef/>
      </w:r>
      <w:r w:rsidRPr="00104DA9">
        <w:rPr>
          <w:rFonts w:ascii="Arial" w:hAnsi="Arial" w:cs="Arial"/>
          <w:sz w:val="18"/>
          <w:szCs w:val="18"/>
          <w:lang w:val="es-ES_tradnl"/>
        </w:rPr>
        <w:t xml:space="preserve"> </w:t>
      </w:r>
      <w:r w:rsidR="00794C0E">
        <w:rPr>
          <w:rFonts w:ascii="Arial" w:hAnsi="Arial" w:cs="Arial"/>
          <w:sz w:val="18"/>
          <w:szCs w:val="18"/>
          <w:lang w:val="es-ES_tradnl"/>
        </w:rPr>
        <w:tab/>
      </w:r>
      <w:r w:rsidRPr="00104DA9">
        <w:rPr>
          <w:rFonts w:ascii="Arial" w:hAnsi="Arial" w:cs="Arial"/>
          <w:sz w:val="18"/>
          <w:szCs w:val="18"/>
          <w:lang w:val="es-AR"/>
        </w:rPr>
        <w:t>Resolución Nº 6. Ente General de Parques y Areas Industriales. Salta. Marzo 2016. El valor establecido se fundamenta en la política de promoción que ha establecido el Gobierno Provincial, para inducir a las empresas a trasladarse fuera del ejido urbano,  además de otorgarse beneficios impositivos que no serán considerados en el análisis.</w:t>
      </w:r>
    </w:p>
  </w:footnote>
  <w:footnote w:id="30">
    <w:p w:rsidR="00104DA9" w:rsidRPr="00104DA9" w:rsidRDefault="00104DA9" w:rsidP="00794C0E">
      <w:pPr>
        <w:pStyle w:val="FootnoteText"/>
        <w:spacing w:after="0"/>
        <w:ind w:left="270" w:hanging="270"/>
        <w:rPr>
          <w:rFonts w:ascii="Arial" w:hAnsi="Arial" w:cs="Arial"/>
          <w:sz w:val="18"/>
          <w:szCs w:val="18"/>
          <w:lang w:val="es-AR"/>
        </w:rPr>
      </w:pPr>
      <w:r w:rsidRPr="00104DA9">
        <w:rPr>
          <w:rStyle w:val="FootnoteReference"/>
          <w:rFonts w:ascii="Arial" w:hAnsi="Arial" w:cs="Arial"/>
          <w:sz w:val="18"/>
          <w:szCs w:val="18"/>
        </w:rPr>
        <w:footnoteRef/>
      </w:r>
      <w:r w:rsidRPr="00104DA9">
        <w:rPr>
          <w:rFonts w:ascii="Arial" w:hAnsi="Arial" w:cs="Arial"/>
          <w:sz w:val="18"/>
          <w:szCs w:val="18"/>
          <w:lang w:val="es-ES_tradnl"/>
        </w:rPr>
        <w:t xml:space="preserve"> </w:t>
      </w:r>
      <w:r w:rsidR="00794C0E">
        <w:rPr>
          <w:rFonts w:ascii="Arial" w:hAnsi="Arial" w:cs="Arial"/>
          <w:sz w:val="18"/>
          <w:szCs w:val="18"/>
          <w:lang w:val="es-ES_tradnl"/>
        </w:rPr>
        <w:tab/>
      </w:r>
      <w:r w:rsidRPr="00104DA9">
        <w:rPr>
          <w:rFonts w:ascii="Arial" w:hAnsi="Arial" w:cs="Arial"/>
          <w:sz w:val="18"/>
          <w:szCs w:val="18"/>
          <w:lang w:val="es-ES_tradnl"/>
        </w:rPr>
        <w:t>“La incidencia de la dotación de redes de infraestructura en el precio del suelo. El caso de los municipios de expansión del Area Metropolitana de Buenos Aires”. Lincoln Institute of Land Policy, Abril 2014.</w:t>
      </w:r>
    </w:p>
  </w:footnote>
  <w:footnote w:id="31">
    <w:p w:rsidR="00104DA9" w:rsidRPr="00104DA9" w:rsidRDefault="00104DA9" w:rsidP="00794C0E">
      <w:pPr>
        <w:pStyle w:val="FootnoteText"/>
        <w:spacing w:after="0"/>
        <w:ind w:left="270" w:hanging="270"/>
        <w:rPr>
          <w:rFonts w:ascii="Arial" w:hAnsi="Arial" w:cs="Arial"/>
          <w:sz w:val="18"/>
          <w:szCs w:val="18"/>
          <w:lang w:val="es-AR"/>
        </w:rPr>
      </w:pPr>
      <w:r w:rsidRPr="00104DA9">
        <w:rPr>
          <w:rStyle w:val="FootnoteReference"/>
          <w:rFonts w:ascii="Arial" w:hAnsi="Arial" w:cs="Arial"/>
          <w:sz w:val="18"/>
          <w:szCs w:val="18"/>
        </w:rPr>
        <w:footnoteRef/>
      </w:r>
      <w:r w:rsidRPr="00104DA9">
        <w:rPr>
          <w:rFonts w:ascii="Arial" w:hAnsi="Arial" w:cs="Arial"/>
          <w:sz w:val="18"/>
          <w:szCs w:val="18"/>
          <w:lang w:val="es-ES_tradnl"/>
        </w:rPr>
        <w:t xml:space="preserve"> </w:t>
      </w:r>
      <w:r w:rsidR="00794C0E">
        <w:rPr>
          <w:rFonts w:ascii="Arial" w:hAnsi="Arial" w:cs="Arial"/>
          <w:sz w:val="18"/>
          <w:szCs w:val="18"/>
          <w:lang w:val="es-ES_tradnl"/>
        </w:rPr>
        <w:tab/>
      </w:r>
      <w:r w:rsidRPr="00104DA9">
        <w:rPr>
          <w:rFonts w:ascii="Arial" w:hAnsi="Arial" w:cs="Arial"/>
          <w:sz w:val="18"/>
          <w:szCs w:val="18"/>
          <w:lang w:val="es-AR"/>
        </w:rPr>
        <w:t>Se supuso que es similar al valor de desagües cloacales.</w:t>
      </w:r>
    </w:p>
  </w:footnote>
  <w:footnote w:id="32">
    <w:p w:rsidR="00104DA9" w:rsidRPr="00104DA9" w:rsidRDefault="00104DA9" w:rsidP="00794C0E">
      <w:pPr>
        <w:pStyle w:val="FootnoteText"/>
        <w:spacing w:after="0"/>
        <w:ind w:left="270" w:hanging="270"/>
        <w:rPr>
          <w:rFonts w:ascii="Arial" w:hAnsi="Arial" w:cs="Arial"/>
          <w:sz w:val="18"/>
          <w:szCs w:val="18"/>
          <w:lang w:val="es-ES"/>
        </w:rPr>
      </w:pPr>
      <w:r w:rsidRPr="00104DA9">
        <w:rPr>
          <w:rStyle w:val="FootnoteReference"/>
          <w:rFonts w:ascii="Arial" w:hAnsi="Arial" w:cs="Arial"/>
          <w:sz w:val="18"/>
          <w:szCs w:val="18"/>
        </w:rPr>
        <w:footnoteRef/>
      </w:r>
      <w:r w:rsidRPr="00104DA9">
        <w:rPr>
          <w:rFonts w:ascii="Arial" w:hAnsi="Arial" w:cs="Arial"/>
          <w:sz w:val="18"/>
          <w:szCs w:val="18"/>
          <w:lang w:val="es-ES_tradnl"/>
        </w:rPr>
        <w:t xml:space="preserve"> </w:t>
      </w:r>
      <w:r w:rsidR="00794C0E">
        <w:rPr>
          <w:rFonts w:ascii="Arial" w:hAnsi="Arial" w:cs="Arial"/>
          <w:sz w:val="18"/>
          <w:szCs w:val="18"/>
          <w:lang w:val="es-ES_tradnl"/>
        </w:rPr>
        <w:tab/>
      </w:r>
      <w:r w:rsidRPr="00104DA9">
        <w:rPr>
          <w:rFonts w:ascii="Arial" w:hAnsi="Arial" w:cs="Arial"/>
          <w:sz w:val="18"/>
          <w:szCs w:val="18"/>
          <w:lang w:val="es-ES_tradnl"/>
        </w:rPr>
        <w:t>Ver Resolución op. cit en nota al pie</w:t>
      </w:r>
    </w:p>
  </w:footnote>
  <w:footnote w:id="33">
    <w:p w:rsidR="00104DA9" w:rsidRPr="00104DA9" w:rsidRDefault="00104DA9" w:rsidP="00794C0E">
      <w:pPr>
        <w:pStyle w:val="FootnoteText"/>
        <w:spacing w:after="0"/>
        <w:ind w:left="270" w:hanging="270"/>
        <w:rPr>
          <w:rFonts w:ascii="Arial" w:hAnsi="Arial" w:cs="Arial"/>
          <w:sz w:val="18"/>
          <w:szCs w:val="18"/>
          <w:lang w:val="es-ES_tradnl"/>
        </w:rPr>
      </w:pPr>
      <w:r w:rsidRPr="00104DA9">
        <w:rPr>
          <w:rStyle w:val="FootnoteReference"/>
          <w:rFonts w:ascii="Arial" w:hAnsi="Arial" w:cs="Arial"/>
          <w:sz w:val="18"/>
          <w:szCs w:val="18"/>
        </w:rPr>
        <w:footnoteRef/>
      </w:r>
      <w:r w:rsidRPr="00104DA9">
        <w:rPr>
          <w:rFonts w:ascii="Arial" w:hAnsi="Arial" w:cs="Arial"/>
          <w:sz w:val="18"/>
          <w:szCs w:val="18"/>
          <w:lang w:val="es-ES_tradnl"/>
        </w:rPr>
        <w:t xml:space="preserve"> </w:t>
      </w:r>
      <w:r w:rsidR="00794C0E">
        <w:rPr>
          <w:rFonts w:ascii="Arial" w:hAnsi="Arial" w:cs="Arial"/>
          <w:sz w:val="18"/>
          <w:szCs w:val="18"/>
          <w:lang w:val="es-ES_tradnl"/>
        </w:rPr>
        <w:tab/>
      </w:r>
      <w:r w:rsidRPr="00104DA9">
        <w:rPr>
          <w:rFonts w:ascii="Arial" w:hAnsi="Arial" w:cs="Arial"/>
          <w:sz w:val="18"/>
          <w:szCs w:val="18"/>
          <w:lang w:val="es-ES_tradnl"/>
        </w:rPr>
        <w:t>Datos provistos por Dirección de Vialidad Provincial para años 2011/2012, actualizada a junio de 2016.</w:t>
      </w:r>
    </w:p>
  </w:footnote>
  <w:footnote w:id="34">
    <w:p w:rsidR="00104DA9" w:rsidRPr="00104DA9" w:rsidRDefault="00104DA9" w:rsidP="00794C0E">
      <w:pPr>
        <w:pStyle w:val="FootnoteText"/>
        <w:spacing w:after="0"/>
        <w:ind w:left="270" w:hanging="270"/>
        <w:rPr>
          <w:rFonts w:ascii="Arial" w:hAnsi="Arial" w:cs="Arial"/>
          <w:sz w:val="18"/>
          <w:szCs w:val="18"/>
          <w:lang w:val="es-ES_tradnl"/>
        </w:rPr>
      </w:pPr>
      <w:r w:rsidRPr="00104DA9">
        <w:rPr>
          <w:rStyle w:val="FootnoteReference"/>
          <w:rFonts w:ascii="Arial" w:hAnsi="Arial" w:cs="Arial"/>
          <w:sz w:val="18"/>
          <w:szCs w:val="18"/>
        </w:rPr>
        <w:footnoteRef/>
      </w:r>
      <w:r w:rsidRPr="00104DA9">
        <w:rPr>
          <w:rFonts w:ascii="Arial" w:hAnsi="Arial" w:cs="Arial"/>
          <w:sz w:val="18"/>
          <w:szCs w:val="18"/>
          <w:lang w:val="es-ES_tradnl"/>
        </w:rPr>
        <w:t xml:space="preserve"> </w:t>
      </w:r>
      <w:r w:rsidR="00794C0E">
        <w:rPr>
          <w:rFonts w:ascii="Arial" w:hAnsi="Arial" w:cs="Arial"/>
          <w:sz w:val="18"/>
          <w:szCs w:val="18"/>
          <w:lang w:val="es-ES_tradnl"/>
        </w:rPr>
        <w:tab/>
      </w:r>
      <w:r w:rsidRPr="00104DA9">
        <w:rPr>
          <w:rFonts w:ascii="Arial" w:hAnsi="Arial" w:cs="Arial"/>
          <w:sz w:val="18"/>
          <w:szCs w:val="18"/>
          <w:lang w:val="es-ES_tradnl"/>
        </w:rPr>
        <w:t>A precios sociales por kilómetro</w:t>
      </w:r>
    </w:p>
  </w:footnote>
  <w:footnote w:id="35">
    <w:p w:rsidR="00104DA9" w:rsidRPr="00104DA9" w:rsidRDefault="00104DA9" w:rsidP="00794C0E">
      <w:pPr>
        <w:pStyle w:val="FootnoteText"/>
        <w:spacing w:after="0"/>
        <w:ind w:left="270" w:hanging="270"/>
        <w:rPr>
          <w:rFonts w:ascii="Arial" w:hAnsi="Arial" w:cs="Arial"/>
          <w:sz w:val="18"/>
          <w:szCs w:val="18"/>
          <w:lang w:val="es-ES_tradnl"/>
        </w:rPr>
      </w:pPr>
      <w:r w:rsidRPr="00104DA9">
        <w:rPr>
          <w:rStyle w:val="FootnoteReference"/>
          <w:rFonts w:ascii="Arial" w:hAnsi="Arial" w:cs="Arial"/>
          <w:sz w:val="18"/>
          <w:szCs w:val="18"/>
        </w:rPr>
        <w:footnoteRef/>
      </w:r>
      <w:r w:rsidRPr="00104DA9">
        <w:rPr>
          <w:rFonts w:ascii="Arial" w:hAnsi="Arial" w:cs="Arial"/>
          <w:sz w:val="18"/>
          <w:szCs w:val="18"/>
          <w:lang w:val="es-ES_tradnl"/>
        </w:rPr>
        <w:t xml:space="preserve"> </w:t>
      </w:r>
      <w:r w:rsidR="00794C0E">
        <w:rPr>
          <w:rFonts w:ascii="Arial" w:hAnsi="Arial" w:cs="Arial"/>
          <w:sz w:val="18"/>
          <w:szCs w:val="18"/>
          <w:lang w:val="es-ES_tradnl"/>
        </w:rPr>
        <w:tab/>
      </w:r>
      <w:r w:rsidRPr="00104DA9">
        <w:rPr>
          <w:rFonts w:ascii="Arial" w:hAnsi="Arial" w:cs="Arial"/>
          <w:sz w:val="18"/>
          <w:szCs w:val="18"/>
          <w:lang w:val="es-ES_tradnl"/>
        </w:rPr>
        <w:t xml:space="preserve">Para el análisis se supone que el kilometro pavimentado cuesta dos veces y media más que la consolidación del camino de ripio. </w:t>
      </w:r>
    </w:p>
  </w:footnote>
  <w:footnote w:id="36">
    <w:p w:rsidR="00104DA9" w:rsidRPr="00104DA9" w:rsidRDefault="00104DA9" w:rsidP="00794C0E">
      <w:pPr>
        <w:pStyle w:val="FootnoteText"/>
        <w:spacing w:after="0"/>
        <w:ind w:left="270" w:hanging="270"/>
        <w:rPr>
          <w:rFonts w:ascii="Arial" w:hAnsi="Arial" w:cs="Arial"/>
          <w:sz w:val="18"/>
          <w:szCs w:val="18"/>
          <w:lang w:val="es-ES"/>
        </w:rPr>
      </w:pPr>
      <w:r w:rsidRPr="00104DA9">
        <w:rPr>
          <w:rStyle w:val="FootnoteReference"/>
          <w:rFonts w:ascii="Arial" w:hAnsi="Arial" w:cs="Arial"/>
          <w:sz w:val="18"/>
          <w:szCs w:val="18"/>
        </w:rPr>
        <w:footnoteRef/>
      </w:r>
      <w:r w:rsidRPr="00104DA9">
        <w:rPr>
          <w:rFonts w:ascii="Arial" w:hAnsi="Arial" w:cs="Arial"/>
          <w:sz w:val="18"/>
          <w:szCs w:val="18"/>
          <w:lang w:val="es-ES_tradnl"/>
        </w:rPr>
        <w:t xml:space="preserve"> </w:t>
      </w:r>
      <w:r w:rsidR="00794C0E">
        <w:rPr>
          <w:rFonts w:ascii="Arial" w:hAnsi="Arial" w:cs="Arial"/>
          <w:sz w:val="18"/>
          <w:szCs w:val="18"/>
          <w:lang w:val="es-ES_tradnl"/>
        </w:rPr>
        <w:tab/>
      </w:r>
      <w:r w:rsidRPr="00104DA9">
        <w:rPr>
          <w:rFonts w:ascii="Arial" w:hAnsi="Arial" w:cs="Arial"/>
          <w:sz w:val="18"/>
          <w:szCs w:val="18"/>
          <w:lang w:val="es-ES"/>
        </w:rPr>
        <w:t>Se utilizaron valores conocidos para para caminos en la Provincia de Corrientes, sobre la Ruta Provincial Nº 13. Para el cálculo se supuso que  se realizan limpieza de alcantarillas 2 veces al año. El costo de mantenimiento representa 2,64 % de la inversión</w:t>
      </w:r>
    </w:p>
  </w:footnote>
  <w:footnote w:id="37">
    <w:p w:rsidR="00104DA9" w:rsidRPr="00104DA9" w:rsidRDefault="00104DA9" w:rsidP="00794C0E">
      <w:pPr>
        <w:pStyle w:val="FootnoteText"/>
        <w:spacing w:after="0"/>
        <w:ind w:left="270" w:hanging="270"/>
        <w:rPr>
          <w:rFonts w:ascii="Arial" w:hAnsi="Arial" w:cs="Arial"/>
          <w:sz w:val="18"/>
          <w:szCs w:val="18"/>
          <w:lang w:val="es-ES_tradnl"/>
        </w:rPr>
      </w:pPr>
      <w:r w:rsidRPr="00104DA9">
        <w:rPr>
          <w:rStyle w:val="FootnoteReference"/>
          <w:rFonts w:ascii="Arial" w:hAnsi="Arial" w:cs="Arial"/>
          <w:sz w:val="18"/>
          <w:szCs w:val="18"/>
        </w:rPr>
        <w:footnoteRef/>
      </w:r>
      <w:r w:rsidRPr="00104DA9">
        <w:rPr>
          <w:rFonts w:ascii="Arial" w:hAnsi="Arial" w:cs="Arial"/>
          <w:sz w:val="18"/>
          <w:szCs w:val="18"/>
          <w:lang w:val="es-ES_tradnl"/>
        </w:rPr>
        <w:t xml:space="preserve"> </w:t>
      </w:r>
      <w:r w:rsidR="00794C0E">
        <w:rPr>
          <w:rFonts w:ascii="Arial" w:hAnsi="Arial" w:cs="Arial"/>
          <w:sz w:val="18"/>
          <w:szCs w:val="18"/>
          <w:lang w:val="es-ES_tradnl"/>
        </w:rPr>
        <w:tab/>
      </w:r>
      <w:r w:rsidRPr="00104DA9">
        <w:rPr>
          <w:rFonts w:ascii="Arial" w:hAnsi="Arial" w:cs="Arial"/>
          <w:sz w:val="18"/>
          <w:szCs w:val="18"/>
          <w:lang w:val="es-ES_tradnl"/>
        </w:rPr>
        <w:t>Informe de Ingeniería ante proyecto: Mejoramiento de Caminos Rurales “RP N° 8, tr: Gral Güemes – Esq. de Quisto. Febrero 2011</w:t>
      </w:r>
    </w:p>
  </w:footnote>
  <w:footnote w:id="38">
    <w:p w:rsidR="00104DA9" w:rsidRPr="00104DA9" w:rsidRDefault="00104DA9" w:rsidP="00794C0E">
      <w:pPr>
        <w:pStyle w:val="FootnoteText"/>
        <w:spacing w:after="0"/>
        <w:ind w:left="270" w:hanging="270"/>
        <w:rPr>
          <w:rFonts w:ascii="Arial" w:hAnsi="Arial" w:cs="Arial"/>
          <w:sz w:val="18"/>
          <w:szCs w:val="18"/>
          <w:lang w:val="es-ES_tradnl"/>
        </w:rPr>
      </w:pPr>
      <w:r w:rsidRPr="00104DA9">
        <w:rPr>
          <w:rStyle w:val="FootnoteReference"/>
          <w:rFonts w:ascii="Arial" w:hAnsi="Arial" w:cs="Arial"/>
          <w:sz w:val="18"/>
          <w:szCs w:val="18"/>
        </w:rPr>
        <w:footnoteRef/>
      </w:r>
      <w:r w:rsidRPr="00104DA9">
        <w:rPr>
          <w:rFonts w:ascii="Arial" w:hAnsi="Arial" w:cs="Arial"/>
          <w:sz w:val="18"/>
          <w:szCs w:val="18"/>
          <w:lang w:val="es-ES_tradnl"/>
        </w:rPr>
        <w:t xml:space="preserve"> </w:t>
      </w:r>
      <w:r w:rsidR="00794C0E">
        <w:rPr>
          <w:rFonts w:ascii="Arial" w:hAnsi="Arial" w:cs="Arial"/>
          <w:sz w:val="18"/>
          <w:szCs w:val="18"/>
          <w:lang w:val="es-ES_tradnl"/>
        </w:rPr>
        <w:tab/>
      </w:r>
      <w:r w:rsidRPr="00104DA9">
        <w:rPr>
          <w:rFonts w:ascii="Arial" w:hAnsi="Arial" w:cs="Arial"/>
          <w:sz w:val="18"/>
          <w:szCs w:val="18"/>
          <w:lang w:val="es-ES_tradnl"/>
        </w:rPr>
        <w:t>COSTOP, Dirección Nacional de Vialidad. Octubre 2015</w:t>
      </w:r>
    </w:p>
    <w:p w:rsidR="00104DA9" w:rsidRPr="00104DA9" w:rsidRDefault="00104DA9" w:rsidP="00794C0E">
      <w:pPr>
        <w:pStyle w:val="FootnoteText"/>
        <w:spacing w:after="0"/>
        <w:ind w:left="270" w:hanging="270"/>
        <w:rPr>
          <w:rFonts w:ascii="Arial" w:hAnsi="Arial" w:cs="Arial"/>
          <w:sz w:val="18"/>
          <w:szCs w:val="18"/>
          <w:lang w:val="es-ES_tradnl"/>
        </w:rPr>
      </w:pPr>
      <w:r w:rsidRPr="00104DA9">
        <w:rPr>
          <w:rFonts w:ascii="Arial" w:hAnsi="Arial" w:cs="Arial"/>
          <w:sz w:val="18"/>
          <w:szCs w:val="18"/>
          <w:lang w:val="es-ES_tradnl"/>
        </w:rPr>
        <w:t xml:space="preserve"> </w:t>
      </w:r>
      <w:r w:rsidR="00794C0E">
        <w:rPr>
          <w:rFonts w:ascii="Arial" w:hAnsi="Arial" w:cs="Arial"/>
          <w:sz w:val="18"/>
          <w:szCs w:val="18"/>
          <w:lang w:val="es-ES_tradnl"/>
        </w:rPr>
        <w:tab/>
      </w:r>
      <w:hyperlink r:id="rId5" w:history="1">
        <w:r w:rsidR="00794C0E" w:rsidRPr="00F63009">
          <w:rPr>
            <w:rStyle w:val="Hyperlink"/>
            <w:rFonts w:ascii="Arial" w:hAnsi="Arial" w:cs="Arial"/>
            <w:sz w:val="18"/>
            <w:szCs w:val="18"/>
            <w:lang w:val="es-ES_tradnl"/>
          </w:rPr>
          <w:t>http://www.vialidad.gob.ar/sites/default/files/CostoOperativo%20por%20veh%C3%ADculo_0.pdf</w:t>
        </w:r>
      </w:hyperlink>
      <w:r w:rsidR="00794C0E">
        <w:rPr>
          <w:rFonts w:ascii="Arial" w:hAnsi="Arial" w:cs="Arial"/>
          <w:sz w:val="18"/>
          <w:szCs w:val="18"/>
          <w:lang w:val="es-ES_tradnl"/>
        </w:rPr>
        <w:t xml:space="preserve"> </w:t>
      </w:r>
    </w:p>
  </w:footnote>
  <w:footnote w:id="39">
    <w:p w:rsidR="00104DA9" w:rsidRPr="00104DA9" w:rsidRDefault="00104DA9" w:rsidP="00794C0E">
      <w:pPr>
        <w:pStyle w:val="FootnoteText"/>
        <w:spacing w:after="0"/>
        <w:ind w:left="270" w:hanging="270"/>
        <w:rPr>
          <w:rFonts w:ascii="Arial" w:hAnsi="Arial" w:cs="Arial"/>
          <w:sz w:val="18"/>
          <w:szCs w:val="18"/>
          <w:lang w:val="es-ES_tradnl"/>
        </w:rPr>
      </w:pPr>
      <w:r w:rsidRPr="00104DA9">
        <w:rPr>
          <w:rStyle w:val="FootnoteReference"/>
          <w:rFonts w:ascii="Arial" w:hAnsi="Arial" w:cs="Arial"/>
          <w:sz w:val="18"/>
          <w:szCs w:val="18"/>
        </w:rPr>
        <w:footnoteRef/>
      </w:r>
      <w:r w:rsidRPr="00104DA9">
        <w:rPr>
          <w:rFonts w:ascii="Arial" w:hAnsi="Arial" w:cs="Arial"/>
          <w:sz w:val="18"/>
          <w:szCs w:val="18"/>
          <w:lang w:val="es-ES_tradnl"/>
        </w:rPr>
        <w:t xml:space="preserve"> </w:t>
      </w:r>
      <w:r w:rsidR="00794C0E">
        <w:rPr>
          <w:rFonts w:ascii="Arial" w:hAnsi="Arial" w:cs="Arial"/>
          <w:sz w:val="18"/>
          <w:szCs w:val="18"/>
          <w:lang w:val="es-ES_tradnl"/>
        </w:rPr>
        <w:tab/>
      </w:r>
      <w:r w:rsidRPr="00104DA9">
        <w:rPr>
          <w:rFonts w:ascii="Arial" w:hAnsi="Arial" w:cs="Arial"/>
          <w:sz w:val="18"/>
          <w:szCs w:val="18"/>
          <w:lang w:val="es-ES_tradnl"/>
        </w:rPr>
        <w:t>Este dato es alternativo a utilizar la elasticidad precio de demanda para el transporte.</w:t>
      </w:r>
    </w:p>
  </w:footnote>
  <w:footnote w:id="40">
    <w:p w:rsidR="00104DA9" w:rsidRPr="00104DA9" w:rsidRDefault="00104DA9" w:rsidP="00794C0E">
      <w:pPr>
        <w:pStyle w:val="Default"/>
        <w:ind w:left="270" w:hanging="270"/>
        <w:jc w:val="both"/>
        <w:rPr>
          <w:rFonts w:ascii="Arial" w:hAnsi="Arial" w:cs="Arial"/>
          <w:sz w:val="18"/>
          <w:szCs w:val="18"/>
        </w:rPr>
      </w:pPr>
      <w:r w:rsidRPr="00104DA9">
        <w:rPr>
          <w:rStyle w:val="FootnoteReference"/>
          <w:rFonts w:ascii="Arial" w:hAnsi="Arial" w:cs="Arial"/>
          <w:sz w:val="18"/>
          <w:szCs w:val="18"/>
        </w:rPr>
        <w:footnoteRef/>
      </w:r>
      <w:r w:rsidRPr="00104DA9">
        <w:rPr>
          <w:rFonts w:ascii="Arial" w:hAnsi="Arial" w:cs="Arial"/>
          <w:sz w:val="18"/>
          <w:szCs w:val="18"/>
        </w:rPr>
        <w:t xml:space="preserve"> </w:t>
      </w:r>
      <w:r w:rsidR="00794C0E">
        <w:rPr>
          <w:rFonts w:ascii="Arial" w:hAnsi="Arial" w:cs="Arial"/>
          <w:sz w:val="18"/>
          <w:szCs w:val="18"/>
        </w:rPr>
        <w:tab/>
      </w:r>
      <w:r w:rsidRPr="00104DA9">
        <w:rPr>
          <w:rFonts w:ascii="Arial" w:hAnsi="Arial" w:cs="Arial"/>
          <w:color w:val="auto"/>
          <w:sz w:val="18"/>
          <w:szCs w:val="18"/>
        </w:rPr>
        <w:t>Archondo-Callao, R</w:t>
      </w:r>
      <w:r w:rsidRPr="00104DA9">
        <w:rPr>
          <w:rFonts w:ascii="Arial" w:hAnsi="Arial" w:cs="Arial"/>
          <w:sz w:val="18"/>
          <w:szCs w:val="18"/>
        </w:rPr>
        <w:t xml:space="preserve"> (2004).</w:t>
      </w:r>
      <w:r w:rsidRPr="00104DA9">
        <w:rPr>
          <w:rFonts w:ascii="Arial" w:hAnsi="Arial" w:cs="Arial"/>
          <w:color w:val="auto"/>
          <w:sz w:val="18"/>
          <w:szCs w:val="18"/>
        </w:rPr>
        <w:t xml:space="preserve"> Modelo de Evaluación Económica de Caminos  de Bajo Volumen de Tránsito</w:t>
      </w:r>
    </w:p>
  </w:footnote>
  <w:footnote w:id="41">
    <w:p w:rsidR="00104DA9" w:rsidRPr="00104DA9" w:rsidRDefault="00104DA9" w:rsidP="00794C0E">
      <w:pPr>
        <w:pStyle w:val="FootnoteText"/>
        <w:spacing w:after="0"/>
        <w:ind w:left="270" w:hanging="270"/>
        <w:rPr>
          <w:rFonts w:ascii="Arial" w:hAnsi="Arial" w:cs="Arial"/>
          <w:sz w:val="18"/>
          <w:szCs w:val="18"/>
          <w:lang w:val="es-ES_tradnl"/>
        </w:rPr>
      </w:pPr>
      <w:r w:rsidRPr="00104DA9">
        <w:rPr>
          <w:rStyle w:val="FootnoteReference"/>
          <w:rFonts w:ascii="Arial" w:hAnsi="Arial" w:cs="Arial"/>
          <w:sz w:val="18"/>
          <w:szCs w:val="18"/>
        </w:rPr>
        <w:footnoteRef/>
      </w:r>
      <w:r w:rsidRPr="00104DA9">
        <w:rPr>
          <w:rFonts w:ascii="Arial" w:hAnsi="Arial" w:cs="Arial"/>
          <w:sz w:val="18"/>
          <w:szCs w:val="18"/>
          <w:lang w:val="es-ES_tradnl"/>
        </w:rPr>
        <w:t xml:space="preserve">  </w:t>
      </w:r>
      <w:r w:rsidR="00794C0E">
        <w:rPr>
          <w:rFonts w:ascii="Arial" w:hAnsi="Arial" w:cs="Arial"/>
          <w:sz w:val="18"/>
          <w:szCs w:val="18"/>
          <w:lang w:val="es-ES_tradnl"/>
        </w:rPr>
        <w:tab/>
      </w:r>
      <w:r w:rsidRPr="00104DA9">
        <w:rPr>
          <w:rFonts w:ascii="Arial" w:hAnsi="Arial" w:cs="Arial"/>
          <w:sz w:val="18"/>
          <w:szCs w:val="18"/>
          <w:lang w:val="es-ES_tradnl"/>
        </w:rPr>
        <w:t>Se tomó como referencia el valor de la hora del conductor más el pasajero por motivo trabajo.</w:t>
      </w:r>
    </w:p>
  </w:footnote>
  <w:footnote w:id="42">
    <w:p w:rsidR="00104DA9" w:rsidRPr="00104DA9" w:rsidRDefault="00104DA9" w:rsidP="00794C0E">
      <w:pPr>
        <w:pStyle w:val="FootnoteText"/>
        <w:spacing w:after="0"/>
        <w:ind w:left="270" w:hanging="270"/>
        <w:rPr>
          <w:rFonts w:ascii="Arial" w:hAnsi="Arial" w:cs="Arial"/>
          <w:sz w:val="18"/>
          <w:szCs w:val="18"/>
          <w:lang w:val="es-ES_tradnl"/>
        </w:rPr>
      </w:pPr>
      <w:r w:rsidRPr="00104DA9">
        <w:rPr>
          <w:rStyle w:val="FootnoteReference"/>
          <w:rFonts w:ascii="Arial" w:hAnsi="Arial" w:cs="Arial"/>
          <w:sz w:val="18"/>
          <w:szCs w:val="18"/>
        </w:rPr>
        <w:footnoteRef/>
      </w:r>
      <w:r w:rsidRPr="00104DA9">
        <w:rPr>
          <w:rFonts w:ascii="Arial" w:hAnsi="Arial" w:cs="Arial"/>
          <w:sz w:val="18"/>
          <w:szCs w:val="18"/>
          <w:lang w:val="es-ES_tradnl"/>
        </w:rPr>
        <w:t xml:space="preserve">  </w:t>
      </w:r>
      <w:r w:rsidR="00794C0E">
        <w:rPr>
          <w:rFonts w:ascii="Arial" w:hAnsi="Arial" w:cs="Arial"/>
          <w:sz w:val="18"/>
          <w:szCs w:val="18"/>
          <w:lang w:val="es-ES_tradnl"/>
        </w:rPr>
        <w:tab/>
      </w:r>
      <w:r w:rsidRPr="00104DA9">
        <w:rPr>
          <w:rFonts w:ascii="Arial" w:hAnsi="Arial" w:cs="Arial"/>
          <w:sz w:val="18"/>
          <w:szCs w:val="18"/>
          <w:lang w:val="es-ES_tradnl"/>
        </w:rPr>
        <w:t>Como referencia se utilizó el salario del COSTOP ajustados por el incremento salarial de junio 2016 y, se tomaron en cuenta las horas extras en base a los valores sindicales. http://www.camioneros.org.ar/</w:t>
      </w:r>
    </w:p>
  </w:footnote>
  <w:footnote w:id="43">
    <w:p w:rsidR="00104DA9" w:rsidRPr="00104DA9" w:rsidRDefault="00104DA9" w:rsidP="00794C0E">
      <w:pPr>
        <w:pStyle w:val="FootnoteText"/>
        <w:spacing w:after="0"/>
        <w:ind w:left="270" w:hanging="270"/>
        <w:rPr>
          <w:rFonts w:ascii="Arial" w:hAnsi="Arial" w:cs="Arial"/>
          <w:sz w:val="18"/>
          <w:szCs w:val="18"/>
          <w:lang w:val="es-ES"/>
        </w:rPr>
      </w:pPr>
      <w:r w:rsidRPr="00104DA9">
        <w:rPr>
          <w:rStyle w:val="FootnoteReference"/>
          <w:rFonts w:ascii="Arial" w:hAnsi="Arial" w:cs="Arial"/>
          <w:sz w:val="18"/>
          <w:szCs w:val="18"/>
        </w:rPr>
        <w:footnoteRef/>
      </w:r>
      <w:r w:rsidRPr="00104DA9">
        <w:rPr>
          <w:rFonts w:ascii="Arial" w:hAnsi="Arial" w:cs="Arial"/>
          <w:sz w:val="18"/>
          <w:szCs w:val="18"/>
          <w:lang w:val="es-ES_tradnl"/>
        </w:rPr>
        <w:t xml:space="preserve"> </w:t>
      </w:r>
      <w:r w:rsidR="00794C0E">
        <w:rPr>
          <w:rFonts w:ascii="Arial" w:hAnsi="Arial" w:cs="Arial"/>
          <w:sz w:val="18"/>
          <w:szCs w:val="18"/>
          <w:lang w:val="es-ES_tradnl"/>
        </w:rPr>
        <w:tab/>
      </w:r>
      <w:r w:rsidRPr="00104DA9">
        <w:rPr>
          <w:rFonts w:ascii="Arial" w:hAnsi="Arial" w:cs="Arial"/>
          <w:sz w:val="18"/>
          <w:szCs w:val="18"/>
          <w:lang w:val="es-ES"/>
        </w:rPr>
        <w:t>El proyecto no calcula beneficios por reducción de emisiones de gases contaminantes. Si bien no se tenían precisiones acerca de ese particular al momento de realizar la evaluación, es dable esperar beneficios positivos adicionales. No caben dudas que determinan esos beneficios haría que el proyecto sea aún más rentables.</w:t>
      </w:r>
    </w:p>
  </w:footnote>
  <w:footnote w:id="44">
    <w:p w:rsidR="00104DA9" w:rsidRPr="00104DA9" w:rsidRDefault="00104DA9" w:rsidP="00794C0E">
      <w:pPr>
        <w:pStyle w:val="FootnoteText"/>
        <w:spacing w:after="0"/>
        <w:ind w:left="270" w:hanging="270"/>
        <w:rPr>
          <w:rFonts w:ascii="Arial" w:hAnsi="Arial" w:cs="Arial"/>
          <w:sz w:val="18"/>
          <w:szCs w:val="18"/>
          <w:lang w:val="es-ES_tradnl"/>
        </w:rPr>
      </w:pPr>
      <w:r w:rsidRPr="00104DA9">
        <w:rPr>
          <w:rStyle w:val="FootnoteReference"/>
          <w:rFonts w:ascii="Arial" w:hAnsi="Arial" w:cs="Arial"/>
          <w:sz w:val="18"/>
          <w:szCs w:val="18"/>
        </w:rPr>
        <w:footnoteRef/>
      </w:r>
      <w:r w:rsidRPr="00104DA9">
        <w:rPr>
          <w:rFonts w:ascii="Arial" w:hAnsi="Arial" w:cs="Arial"/>
          <w:sz w:val="18"/>
          <w:szCs w:val="18"/>
          <w:lang w:val="es-ES_tradnl"/>
        </w:rPr>
        <w:t xml:space="preserve"> </w:t>
      </w:r>
      <w:r w:rsidR="00794C0E">
        <w:rPr>
          <w:rFonts w:ascii="Arial" w:hAnsi="Arial" w:cs="Arial"/>
          <w:sz w:val="18"/>
          <w:szCs w:val="18"/>
          <w:lang w:val="es-ES_tradnl"/>
        </w:rPr>
        <w:tab/>
      </w:r>
      <w:r w:rsidRPr="00104DA9">
        <w:rPr>
          <w:rFonts w:ascii="Arial" w:hAnsi="Arial" w:cs="Arial"/>
          <w:sz w:val="18"/>
          <w:szCs w:val="18"/>
          <w:lang w:val="es-ES_tradnl"/>
        </w:rPr>
        <w:t xml:space="preserve">Datos de mercado relevados de para el mercado mayorista: Valor Promedio de cuero entero, espesor y tinte promedio, entre  U$S45 y U$S 60 (prom. U$S 53,63 la pieza). </w:t>
      </w:r>
    </w:p>
  </w:footnote>
  <w:footnote w:id="45">
    <w:p w:rsidR="00104DA9" w:rsidRPr="00104DA9" w:rsidRDefault="00104DA9" w:rsidP="00794C0E">
      <w:pPr>
        <w:pStyle w:val="FootnoteText"/>
        <w:spacing w:after="0"/>
        <w:ind w:left="270" w:hanging="270"/>
        <w:rPr>
          <w:rFonts w:ascii="Arial" w:hAnsi="Arial" w:cs="Arial"/>
          <w:sz w:val="18"/>
          <w:szCs w:val="18"/>
          <w:lang w:val="es-ES_tradnl"/>
        </w:rPr>
      </w:pPr>
      <w:r w:rsidRPr="00104DA9">
        <w:rPr>
          <w:rStyle w:val="FootnoteReference"/>
          <w:rFonts w:ascii="Arial" w:hAnsi="Arial" w:cs="Arial"/>
          <w:sz w:val="18"/>
          <w:szCs w:val="18"/>
        </w:rPr>
        <w:footnoteRef/>
      </w:r>
      <w:r w:rsidRPr="00104DA9">
        <w:rPr>
          <w:rFonts w:ascii="Arial" w:hAnsi="Arial" w:cs="Arial"/>
          <w:sz w:val="18"/>
          <w:szCs w:val="18"/>
          <w:lang w:val="es-ES_tradnl"/>
        </w:rPr>
        <w:t xml:space="preserve"> </w:t>
      </w:r>
      <w:r w:rsidR="00794C0E">
        <w:rPr>
          <w:rFonts w:ascii="Arial" w:hAnsi="Arial" w:cs="Arial"/>
          <w:sz w:val="18"/>
          <w:szCs w:val="18"/>
          <w:lang w:val="es-ES_tradnl"/>
        </w:rPr>
        <w:tab/>
      </w:r>
      <w:r w:rsidRPr="00104DA9">
        <w:rPr>
          <w:rFonts w:ascii="Arial" w:hAnsi="Arial" w:cs="Arial"/>
          <w:sz w:val="18"/>
          <w:szCs w:val="18"/>
          <w:lang w:val="es-ES_tradnl"/>
        </w:rPr>
        <w:t xml:space="preserve">Precio oficial Junio 2016. </w:t>
      </w:r>
      <w:hyperlink r:id="rId6" w:history="1">
        <w:r w:rsidRPr="00104DA9">
          <w:rPr>
            <w:rStyle w:val="Hyperlink"/>
            <w:rFonts w:ascii="Arial" w:hAnsi="Arial" w:cs="Arial"/>
            <w:sz w:val="18"/>
            <w:szCs w:val="18"/>
            <w:lang w:val="es-ES_tradnl"/>
          </w:rPr>
          <w:t>http://www.agroindustria.gob.ar/sitio/areas/ss_lecheria/estadisticas/</w:t>
        </w:r>
      </w:hyperlink>
      <w:r w:rsidRPr="00104DA9">
        <w:rPr>
          <w:rFonts w:ascii="Arial" w:hAnsi="Arial" w:cs="Arial"/>
          <w:sz w:val="18"/>
          <w:szCs w:val="18"/>
          <w:lang w:val="es-ES_tradnl"/>
        </w:rPr>
        <w:t xml:space="preserve"> </w:t>
      </w:r>
    </w:p>
  </w:footnote>
  <w:footnote w:id="46">
    <w:p w:rsidR="00104DA9" w:rsidRPr="00104DA9" w:rsidRDefault="00104DA9" w:rsidP="00794C0E">
      <w:pPr>
        <w:pStyle w:val="FootnoteText"/>
        <w:spacing w:after="0"/>
        <w:ind w:left="270" w:hanging="270"/>
        <w:rPr>
          <w:rFonts w:ascii="Arial" w:hAnsi="Arial" w:cs="Arial"/>
          <w:sz w:val="18"/>
          <w:szCs w:val="18"/>
          <w:lang w:val="es-ES_tradnl"/>
        </w:rPr>
      </w:pPr>
      <w:r w:rsidRPr="00104DA9">
        <w:rPr>
          <w:rStyle w:val="FootnoteReference"/>
          <w:rFonts w:ascii="Arial" w:hAnsi="Arial" w:cs="Arial"/>
          <w:sz w:val="18"/>
          <w:szCs w:val="18"/>
        </w:rPr>
        <w:footnoteRef/>
      </w:r>
      <w:r w:rsidR="00F44634">
        <w:rPr>
          <w:rFonts w:ascii="Arial" w:hAnsi="Arial" w:cs="Arial"/>
          <w:sz w:val="18"/>
          <w:szCs w:val="18"/>
          <w:lang w:val="es-ES_tradnl"/>
        </w:rPr>
        <w:t xml:space="preserve"> </w:t>
      </w:r>
      <w:r w:rsidR="00794C0E">
        <w:rPr>
          <w:rFonts w:ascii="Arial" w:hAnsi="Arial" w:cs="Arial"/>
          <w:sz w:val="18"/>
          <w:szCs w:val="18"/>
          <w:lang w:val="es-ES_tradnl"/>
        </w:rPr>
        <w:tab/>
      </w:r>
      <w:r w:rsidRPr="00104DA9">
        <w:rPr>
          <w:rFonts w:ascii="Arial" w:hAnsi="Arial" w:cs="Arial"/>
          <w:sz w:val="18"/>
          <w:szCs w:val="18"/>
          <w:lang w:val="es-ES_tradnl"/>
        </w:rPr>
        <w:t>Precios en base a Índice de Precios Mayoristas, INDEC.</w:t>
      </w:r>
    </w:p>
    <w:p w:rsidR="00104DA9" w:rsidRPr="00104DA9" w:rsidRDefault="00794C0E" w:rsidP="00794C0E">
      <w:pPr>
        <w:pStyle w:val="FootnoteText"/>
        <w:spacing w:after="0"/>
        <w:ind w:left="270" w:firstLine="0"/>
        <w:rPr>
          <w:rFonts w:ascii="Arial" w:hAnsi="Arial" w:cs="Arial"/>
          <w:sz w:val="18"/>
          <w:szCs w:val="18"/>
          <w:lang w:val="es-ES_tradnl"/>
        </w:rPr>
      </w:pPr>
      <w:hyperlink r:id="rId7" w:history="1">
        <w:r w:rsidR="00F44634" w:rsidRPr="009734AA">
          <w:rPr>
            <w:rStyle w:val="Hyperlink"/>
            <w:rFonts w:ascii="Arial" w:hAnsi="Arial" w:cs="Arial"/>
            <w:sz w:val="18"/>
            <w:szCs w:val="18"/>
            <w:lang w:val="es-ES_tradnl"/>
          </w:rPr>
          <w:t>http://www.agroindustria.gob.ar/sitio/areas/ss_lecheria/estadisticas/_03_precios/_archivos/PR004.php</w:t>
        </w:r>
      </w:hyperlink>
      <w:r w:rsidR="00F44634">
        <w:rPr>
          <w:rFonts w:ascii="Arial" w:hAnsi="Arial" w:cs="Arial"/>
          <w:sz w:val="18"/>
          <w:szCs w:val="18"/>
          <w:lang w:val="es-ES_tradnl"/>
        </w:rPr>
        <w:t xml:space="preserve"> </w:t>
      </w:r>
    </w:p>
  </w:footnote>
  <w:footnote w:id="47">
    <w:p w:rsidR="00104DA9" w:rsidRPr="00104DA9" w:rsidRDefault="00104DA9" w:rsidP="00794C0E">
      <w:pPr>
        <w:pStyle w:val="FootnoteText"/>
        <w:spacing w:after="0"/>
        <w:ind w:left="270" w:hanging="270"/>
        <w:rPr>
          <w:rFonts w:ascii="Arial" w:hAnsi="Arial" w:cs="Arial"/>
          <w:sz w:val="18"/>
          <w:szCs w:val="18"/>
          <w:lang w:val="es-ES_tradnl"/>
        </w:rPr>
      </w:pPr>
      <w:r w:rsidRPr="00104DA9">
        <w:rPr>
          <w:rStyle w:val="FootnoteReference"/>
          <w:rFonts w:ascii="Arial" w:hAnsi="Arial" w:cs="Arial"/>
          <w:sz w:val="18"/>
          <w:szCs w:val="18"/>
        </w:rPr>
        <w:footnoteRef/>
      </w:r>
      <w:r w:rsidR="00F44634">
        <w:rPr>
          <w:rFonts w:ascii="Arial" w:hAnsi="Arial" w:cs="Arial"/>
          <w:sz w:val="18"/>
          <w:szCs w:val="18"/>
          <w:lang w:val="es-ES_tradnl"/>
        </w:rPr>
        <w:t xml:space="preserve"> </w:t>
      </w:r>
      <w:r w:rsidR="00794C0E">
        <w:rPr>
          <w:rFonts w:ascii="Arial" w:hAnsi="Arial" w:cs="Arial"/>
          <w:sz w:val="18"/>
          <w:szCs w:val="18"/>
          <w:lang w:val="es-ES_tradnl"/>
        </w:rPr>
        <w:tab/>
      </w:r>
      <w:r w:rsidRPr="00104DA9">
        <w:rPr>
          <w:rFonts w:ascii="Arial" w:hAnsi="Arial" w:cs="Arial"/>
          <w:sz w:val="18"/>
          <w:szCs w:val="18"/>
          <w:lang w:val="es-ES_tradnl"/>
        </w:rPr>
        <w:t>Precios por kg en base a la campaña 2014/15.</w:t>
      </w:r>
      <w:r w:rsidR="00F44634">
        <w:rPr>
          <w:rFonts w:ascii="Arial" w:hAnsi="Arial" w:cs="Arial"/>
          <w:sz w:val="18"/>
          <w:szCs w:val="18"/>
          <w:lang w:val="es-ES_tradnl"/>
        </w:rPr>
        <w:t xml:space="preserve"> </w:t>
      </w:r>
    </w:p>
    <w:p w:rsidR="00104DA9" w:rsidRPr="00104DA9" w:rsidRDefault="00794C0E" w:rsidP="00794C0E">
      <w:pPr>
        <w:pStyle w:val="FootnoteText"/>
        <w:spacing w:after="0"/>
        <w:ind w:left="270" w:firstLine="0"/>
        <w:rPr>
          <w:rFonts w:ascii="Arial" w:hAnsi="Arial" w:cs="Arial"/>
          <w:sz w:val="18"/>
          <w:szCs w:val="18"/>
          <w:lang w:val="es-ES_tradnl"/>
        </w:rPr>
      </w:pPr>
      <w:hyperlink r:id="rId8" w:history="1">
        <w:r w:rsidR="00104DA9" w:rsidRPr="00104DA9">
          <w:rPr>
            <w:rStyle w:val="Hyperlink"/>
            <w:rFonts w:ascii="Arial" w:hAnsi="Arial" w:cs="Arial"/>
            <w:sz w:val="18"/>
            <w:szCs w:val="18"/>
            <w:lang w:val="es-ES_tradnl"/>
          </w:rPr>
          <w:t>http://www.agroindustria.gob.ar/site/agricultura/tabaco/02=produccion_y_mercados/01interno/produccion/evolucion2014.pdf</w:t>
        </w:r>
      </w:hyperlink>
      <w:r w:rsidR="00104DA9" w:rsidRPr="00104DA9">
        <w:rPr>
          <w:rFonts w:ascii="Arial" w:hAnsi="Arial" w:cs="Arial"/>
          <w:sz w:val="18"/>
          <w:szCs w:val="18"/>
          <w:lang w:val="es-ES_tradnl"/>
        </w:rPr>
        <w:t xml:space="preserve"> </w:t>
      </w:r>
    </w:p>
  </w:footnote>
  <w:footnote w:id="48">
    <w:p w:rsidR="00104DA9" w:rsidRPr="00104DA9" w:rsidRDefault="00104DA9" w:rsidP="00794C0E">
      <w:pPr>
        <w:pStyle w:val="FootnoteText"/>
        <w:spacing w:after="0"/>
        <w:ind w:left="270" w:hanging="270"/>
        <w:rPr>
          <w:rFonts w:ascii="Arial" w:hAnsi="Arial" w:cs="Arial"/>
          <w:sz w:val="18"/>
          <w:szCs w:val="18"/>
          <w:lang w:val="es-ES_tradnl"/>
        </w:rPr>
      </w:pPr>
      <w:r w:rsidRPr="00104DA9">
        <w:rPr>
          <w:rStyle w:val="FootnoteReference"/>
          <w:rFonts w:ascii="Arial" w:hAnsi="Arial" w:cs="Arial"/>
          <w:sz w:val="18"/>
          <w:szCs w:val="18"/>
        </w:rPr>
        <w:footnoteRef/>
      </w:r>
      <w:r w:rsidR="00794C0E">
        <w:rPr>
          <w:rFonts w:ascii="Arial" w:hAnsi="Arial" w:cs="Arial"/>
          <w:sz w:val="18"/>
          <w:szCs w:val="18"/>
          <w:lang w:val="es-ES_tradnl"/>
        </w:rPr>
        <w:t xml:space="preserve"> </w:t>
      </w:r>
      <w:r w:rsidR="00794C0E">
        <w:rPr>
          <w:rFonts w:ascii="Arial" w:hAnsi="Arial" w:cs="Arial"/>
          <w:sz w:val="18"/>
          <w:szCs w:val="18"/>
          <w:lang w:val="es-ES_tradnl"/>
        </w:rPr>
        <w:tab/>
      </w:r>
      <w:r w:rsidRPr="00104DA9">
        <w:rPr>
          <w:rFonts w:ascii="Arial" w:hAnsi="Arial" w:cs="Arial"/>
          <w:sz w:val="18"/>
          <w:szCs w:val="18"/>
          <w:lang w:val="es-ES_tradnl"/>
        </w:rPr>
        <w:t>Tabaco:</w:t>
      </w:r>
      <w:hyperlink r:id="rId9" w:history="1">
        <w:r w:rsidRPr="00104DA9">
          <w:rPr>
            <w:rStyle w:val="Hyperlink"/>
            <w:rFonts w:ascii="Arial" w:hAnsi="Arial" w:cs="Arial"/>
            <w:sz w:val="18"/>
            <w:szCs w:val="18"/>
            <w:lang w:val="es-ES_tradnl"/>
          </w:rPr>
          <w:t>http://www.agroindustria.gob.ar/site/agricultura/tabaco/02=produccion_y_mercados/01-interno/index.php</w:t>
        </w:r>
      </w:hyperlink>
      <w:r w:rsidRPr="00104DA9">
        <w:rPr>
          <w:rFonts w:ascii="Arial" w:hAnsi="Arial" w:cs="Arial"/>
          <w:sz w:val="18"/>
          <w:szCs w:val="18"/>
          <w:lang w:val="es-ES_tradnl"/>
        </w:rPr>
        <w:t>. Tasa de crecimiento promedio de producción para las campañas  2010-2015</w:t>
      </w:r>
      <w:r w:rsidRPr="00104DA9">
        <w:rPr>
          <w:rFonts w:ascii="Arial" w:hAnsi="Arial" w:cs="Arial"/>
          <w:sz w:val="18"/>
          <w:szCs w:val="18"/>
          <w:lang w:val="es-ES_tradnl"/>
        </w:rPr>
        <w:tab/>
        <w:t xml:space="preserve">; Ganadería: </w:t>
      </w:r>
      <w:hyperlink r:id="rId10" w:history="1">
        <w:r w:rsidRPr="00104DA9">
          <w:rPr>
            <w:rStyle w:val="Hyperlink"/>
            <w:rFonts w:ascii="Arial" w:hAnsi="Arial" w:cs="Arial"/>
            <w:sz w:val="18"/>
            <w:szCs w:val="18"/>
            <w:lang w:val="es-ES_tradnl"/>
          </w:rPr>
          <w:t>http://www.indec.gov.ar/nivel4_default.asp?id_tema_1=3&amp;id_tema_2=8&amp;id_tema_3=89</w:t>
        </w:r>
      </w:hyperlink>
      <w:r w:rsidRPr="00104DA9">
        <w:rPr>
          <w:rFonts w:ascii="Arial" w:hAnsi="Arial" w:cs="Arial"/>
          <w:sz w:val="18"/>
          <w:szCs w:val="18"/>
          <w:lang w:val="es-ES_tradnl"/>
        </w:rPr>
        <w:t xml:space="preserve"> .</w:t>
      </w:r>
    </w:p>
    <w:p w:rsidR="00104DA9" w:rsidRPr="00104DA9" w:rsidRDefault="00104DA9" w:rsidP="00794C0E">
      <w:pPr>
        <w:pStyle w:val="FootnoteText"/>
        <w:spacing w:after="0"/>
        <w:ind w:left="270" w:firstLine="0"/>
        <w:rPr>
          <w:rFonts w:ascii="Arial" w:hAnsi="Arial" w:cs="Arial"/>
          <w:sz w:val="18"/>
          <w:szCs w:val="18"/>
          <w:lang w:val="es-ES_tradnl"/>
        </w:rPr>
      </w:pPr>
      <w:r w:rsidRPr="00104DA9">
        <w:rPr>
          <w:rFonts w:ascii="Arial" w:hAnsi="Arial" w:cs="Arial"/>
          <w:sz w:val="18"/>
          <w:szCs w:val="18"/>
          <w:lang w:val="es-ES_tradnl"/>
        </w:rPr>
        <w:t>Tasa de crecimiento de las cabezas faenadas  2010-2014.</w:t>
      </w:r>
    </w:p>
    <w:p w:rsidR="00104DA9" w:rsidRPr="00104DA9" w:rsidRDefault="00104DA9" w:rsidP="00794C0E">
      <w:pPr>
        <w:pStyle w:val="FootnoteText"/>
        <w:spacing w:after="0"/>
        <w:ind w:left="270" w:firstLine="0"/>
        <w:rPr>
          <w:rFonts w:ascii="Arial" w:hAnsi="Arial" w:cs="Arial"/>
          <w:sz w:val="18"/>
          <w:szCs w:val="18"/>
          <w:lang w:val="es-ES_tradnl"/>
        </w:rPr>
      </w:pPr>
      <w:r w:rsidRPr="00104DA9">
        <w:rPr>
          <w:rFonts w:ascii="Arial" w:hAnsi="Arial" w:cs="Arial"/>
          <w:sz w:val="18"/>
          <w:szCs w:val="18"/>
          <w:lang w:val="es-ES_tradnl"/>
        </w:rPr>
        <w:t xml:space="preserve">Lácteos: </w:t>
      </w:r>
      <w:hyperlink r:id="rId11" w:history="1">
        <w:r w:rsidRPr="00104DA9">
          <w:rPr>
            <w:rStyle w:val="Hyperlink"/>
            <w:rFonts w:ascii="Arial" w:hAnsi="Arial" w:cs="Arial"/>
            <w:sz w:val="18"/>
            <w:szCs w:val="18"/>
            <w:lang w:val="es-ES_tradnl"/>
          </w:rPr>
          <w:t>http://www.agroindustria.gob.ar/sitio/areas/ss_lecheria/estadisticas/_02_industrial/</w:t>
        </w:r>
      </w:hyperlink>
      <w:r w:rsidRPr="00104DA9">
        <w:rPr>
          <w:rFonts w:ascii="Arial" w:hAnsi="Arial" w:cs="Arial"/>
          <w:sz w:val="18"/>
          <w:szCs w:val="18"/>
          <w:lang w:val="es-ES_tradnl"/>
        </w:rPr>
        <w:t xml:space="preserve"> . Tasa de crecimiento promedio de la producción de leche años 2010-2015</w:t>
      </w:r>
      <w:r w:rsidRPr="00104DA9">
        <w:rPr>
          <w:rFonts w:ascii="Arial" w:hAnsi="Arial" w:cs="Arial"/>
          <w:sz w:val="18"/>
          <w:szCs w:val="18"/>
          <w:lang w:val="es-ES_tradnl"/>
        </w:rPr>
        <w:tab/>
      </w:r>
      <w:r w:rsidRPr="00104DA9">
        <w:rPr>
          <w:rFonts w:ascii="Arial" w:hAnsi="Arial" w:cs="Arial"/>
          <w:sz w:val="18"/>
          <w:szCs w:val="18"/>
          <w:lang w:val="es-ES_tradnl"/>
        </w:rPr>
        <w:tab/>
      </w:r>
      <w:r w:rsidRPr="00104DA9">
        <w:rPr>
          <w:rFonts w:ascii="Arial" w:hAnsi="Arial" w:cs="Arial"/>
          <w:sz w:val="18"/>
          <w:szCs w:val="18"/>
          <w:lang w:val="es-ES_tradnl"/>
        </w:rPr>
        <w:tab/>
      </w:r>
      <w:r w:rsidRPr="00104DA9">
        <w:rPr>
          <w:rFonts w:ascii="Arial" w:hAnsi="Arial" w:cs="Arial"/>
          <w:sz w:val="18"/>
          <w:szCs w:val="18"/>
          <w:lang w:val="es-ES_tradnl"/>
        </w:rPr>
        <w:tab/>
      </w:r>
      <w:r w:rsidRPr="00104DA9">
        <w:rPr>
          <w:rFonts w:ascii="Arial" w:hAnsi="Arial" w:cs="Arial"/>
          <w:sz w:val="18"/>
          <w:szCs w:val="18"/>
          <w:lang w:val="es-ES_tradnl"/>
        </w:rPr>
        <w:tab/>
      </w:r>
      <w:r w:rsidRPr="00104DA9">
        <w:rPr>
          <w:rFonts w:ascii="Arial" w:hAnsi="Arial" w:cs="Arial"/>
          <w:sz w:val="18"/>
          <w:szCs w:val="18"/>
          <w:lang w:val="es-ES_tradnl"/>
        </w:rPr>
        <w:tab/>
      </w:r>
      <w:r w:rsidRPr="00104DA9">
        <w:rPr>
          <w:rFonts w:ascii="Arial" w:hAnsi="Arial" w:cs="Arial"/>
          <w:sz w:val="18"/>
          <w:szCs w:val="18"/>
          <w:lang w:val="es-ES_tradnl"/>
        </w:rPr>
        <w:tab/>
      </w:r>
      <w:r w:rsidRPr="00104DA9">
        <w:rPr>
          <w:rFonts w:ascii="Arial" w:hAnsi="Arial" w:cs="Arial"/>
          <w:sz w:val="18"/>
          <w:szCs w:val="18"/>
          <w:lang w:val="es-ES_tradnl"/>
        </w:rPr>
        <w:tab/>
      </w:r>
      <w:r w:rsidRPr="00104DA9">
        <w:rPr>
          <w:rFonts w:ascii="Arial" w:hAnsi="Arial" w:cs="Arial"/>
          <w:sz w:val="18"/>
          <w:szCs w:val="18"/>
          <w:lang w:val="es-ES_tradnl"/>
        </w:rPr>
        <w:tab/>
      </w:r>
      <w:r w:rsidRPr="00104DA9">
        <w:rPr>
          <w:rFonts w:ascii="Arial" w:hAnsi="Arial" w:cs="Arial"/>
          <w:sz w:val="18"/>
          <w:szCs w:val="18"/>
          <w:lang w:val="es-ES_tradnl"/>
        </w:rPr>
        <w:tab/>
      </w:r>
      <w:r w:rsidRPr="00104DA9">
        <w:rPr>
          <w:rFonts w:ascii="Arial" w:hAnsi="Arial" w:cs="Arial"/>
          <w:sz w:val="18"/>
          <w:szCs w:val="18"/>
          <w:lang w:val="es-ES_tradnl"/>
        </w:rPr>
        <w:tab/>
      </w:r>
    </w:p>
  </w:footnote>
  <w:footnote w:id="49">
    <w:p w:rsidR="00104DA9" w:rsidRPr="00104DA9" w:rsidRDefault="00104DA9" w:rsidP="00794C0E">
      <w:pPr>
        <w:pStyle w:val="FootnoteText"/>
        <w:spacing w:after="0"/>
        <w:ind w:left="270" w:hanging="270"/>
        <w:rPr>
          <w:rFonts w:ascii="Arial" w:hAnsi="Arial" w:cs="Arial"/>
          <w:sz w:val="18"/>
          <w:szCs w:val="18"/>
          <w:lang w:val="es-ES"/>
        </w:rPr>
      </w:pPr>
      <w:r w:rsidRPr="00104DA9">
        <w:rPr>
          <w:rStyle w:val="FootnoteReference"/>
          <w:rFonts w:ascii="Arial" w:hAnsi="Arial" w:cs="Arial"/>
          <w:sz w:val="18"/>
          <w:szCs w:val="18"/>
        </w:rPr>
        <w:footnoteRef/>
      </w:r>
      <w:r w:rsidRPr="00104DA9">
        <w:rPr>
          <w:rFonts w:ascii="Arial" w:hAnsi="Arial" w:cs="Arial"/>
          <w:sz w:val="18"/>
          <w:szCs w:val="18"/>
          <w:lang w:val="es-ES_tradnl"/>
        </w:rPr>
        <w:t xml:space="preserve"> </w:t>
      </w:r>
      <w:r w:rsidR="00794C0E">
        <w:rPr>
          <w:rFonts w:ascii="Arial" w:hAnsi="Arial" w:cs="Arial"/>
          <w:sz w:val="18"/>
          <w:szCs w:val="18"/>
          <w:lang w:val="es-ES_tradnl"/>
        </w:rPr>
        <w:tab/>
      </w:r>
      <w:bookmarkStart w:id="8" w:name="_GoBack"/>
      <w:bookmarkEnd w:id="8"/>
      <w:r w:rsidRPr="00104DA9">
        <w:rPr>
          <w:rFonts w:ascii="Arial" w:hAnsi="Arial" w:cs="Arial"/>
          <w:sz w:val="18"/>
          <w:szCs w:val="18"/>
          <w:lang w:val="es-ES"/>
        </w:rPr>
        <w:t xml:space="preserve">Para el Proyecto de Obras sobre Ruta Provincial Nº 8 no se exponen los resultados del análisis de sensibilidad, para que el Modelo utilizado (RED), arroja estos análisis como parte de los resultados de rentabilidad.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upperRoman"/>
      <w:lvlText w:val="%1."/>
      <w:lvlJc w:val="center"/>
      <w:pPr>
        <w:tabs>
          <w:tab w:val="num" w:pos="648"/>
        </w:tabs>
        <w:ind w:left="0" w:firstLine="288"/>
      </w:pPr>
      <w:rPr>
        <w:b/>
        <w:i w:val="0"/>
      </w:rPr>
    </w:lvl>
    <w:lvl w:ilvl="1">
      <w:start w:val="1"/>
      <w:numFmt w:val="decimal"/>
      <w:lvlText w:val="%1.%2"/>
      <w:lvlJc w:val="left"/>
      <w:pPr>
        <w:tabs>
          <w:tab w:val="num" w:pos="720"/>
        </w:tabs>
        <w:ind w:left="720" w:hanging="720"/>
      </w:pPr>
      <w:rPr>
        <w:b w:val="0"/>
      </w:rPr>
    </w:lvl>
    <w:lvl w:ilvl="2">
      <w:start w:val="1"/>
      <w:numFmt w:val="lowerLette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
    <w:nsid w:val="1ED337F9"/>
    <w:multiLevelType w:val="hybridMultilevel"/>
    <w:tmpl w:val="8EF8531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93A5F9B"/>
    <w:multiLevelType w:val="hybridMultilevel"/>
    <w:tmpl w:val="9D56807C"/>
    <w:lvl w:ilvl="0" w:tplc="E6607CF8">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CDB1ACC"/>
    <w:multiLevelType w:val="multilevel"/>
    <w:tmpl w:val="97D0ABF0"/>
    <w:lvl w:ilvl="0">
      <w:start w:val="4"/>
      <w:numFmt w:val="none"/>
      <w:suff w:val="space"/>
      <w:lvlText w:val="4.1"/>
      <w:lvlJc w:val="left"/>
      <w:pPr>
        <w:ind w:left="360" w:hanging="360"/>
      </w:pPr>
      <w:rPr>
        <w:rFonts w:hint="default"/>
      </w:rPr>
    </w:lvl>
    <w:lvl w:ilvl="1">
      <w:start w:val="2"/>
      <w:numFmt w:val="decimal"/>
      <w:pStyle w:val="ListContinue"/>
      <w:lvlText w:val="3.%2."/>
      <w:lvlJc w:val="left"/>
      <w:pPr>
        <w:tabs>
          <w:tab w:val="num" w:pos="907"/>
        </w:tabs>
        <w:ind w:left="0" w:firstLine="0"/>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335C1876"/>
    <w:multiLevelType w:val="multilevel"/>
    <w:tmpl w:val="C08E850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color w:val="auto"/>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3D11655"/>
    <w:multiLevelType w:val="hybridMultilevel"/>
    <w:tmpl w:val="8D0C669E"/>
    <w:lvl w:ilvl="0" w:tplc="3050EA40">
      <w:start w:val="1"/>
      <w:numFmt w:val="decimal"/>
      <w:lvlText w:val="%1."/>
      <w:lvlJc w:val="left"/>
      <w:pPr>
        <w:ind w:left="1068" w:hanging="360"/>
      </w:pPr>
      <w:rPr>
        <w:i w:val="0"/>
      </w:rPr>
    </w:lvl>
    <w:lvl w:ilvl="1" w:tplc="B5AC3EAE">
      <w:start w:val="1"/>
      <w:numFmt w:val="decimal"/>
      <w:lvlText w:val="%2."/>
      <w:lvlJc w:val="left"/>
      <w:pPr>
        <w:tabs>
          <w:tab w:val="num" w:pos="0"/>
        </w:tabs>
        <w:ind w:left="0" w:firstLine="0"/>
      </w:pPr>
      <w:rPr>
        <w:rFonts w:hint="default"/>
        <w:b w:val="0"/>
        <w:i w:val="0"/>
        <w:sz w:val="24"/>
        <w:szCs w:val="24"/>
      </w:rPr>
    </w:lvl>
    <w:lvl w:ilvl="2" w:tplc="0C0A001B">
      <w:start w:val="1"/>
      <w:numFmt w:val="lowerRoman"/>
      <w:lvlText w:val="%3."/>
      <w:lvlJc w:val="right"/>
      <w:pPr>
        <w:ind w:left="2508" w:hanging="180"/>
      </w:pPr>
    </w:lvl>
    <w:lvl w:ilvl="3" w:tplc="E29ACA7E">
      <w:numFmt w:val="bullet"/>
      <w:lvlText w:val="-"/>
      <w:lvlJc w:val="left"/>
      <w:pPr>
        <w:ind w:left="3228" w:hanging="360"/>
      </w:pPr>
      <w:rPr>
        <w:rFonts w:ascii="Times New Roman" w:eastAsia="Times New Roman" w:hAnsi="Times New Roman" w:cs="Times New Roman" w:hint="default"/>
      </w:r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
    <w:nsid w:val="34DE5E60"/>
    <w:multiLevelType w:val="hybridMultilevel"/>
    <w:tmpl w:val="EE9A432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7">
    <w:nsid w:val="375D3599"/>
    <w:multiLevelType w:val="multilevel"/>
    <w:tmpl w:val="C28CF754"/>
    <w:lvl w:ilvl="0">
      <w:start w:val="1"/>
      <w:numFmt w:val="none"/>
      <w:lvlRestart w:val="0"/>
      <w:pStyle w:val="FirstHeading"/>
      <w:suff w:val="nothing"/>
      <w:lvlText w:val=""/>
      <w:lvlJc w:val="left"/>
      <w:pPr>
        <w:ind w:left="4824" w:hanging="720"/>
      </w:pPr>
    </w:lvl>
    <w:lvl w:ilvl="1">
      <w:start w:val="1"/>
      <w:numFmt w:val="decimal"/>
      <w:pStyle w:val="SecHeading"/>
      <w:lvlText w:val="%2."/>
      <w:lvlJc w:val="left"/>
      <w:pPr>
        <w:tabs>
          <w:tab w:val="num" w:pos="5400"/>
        </w:tabs>
        <w:ind w:left="5400" w:hanging="576"/>
      </w:pPr>
      <w:rPr>
        <w:b/>
      </w:rPr>
    </w:lvl>
    <w:lvl w:ilvl="2">
      <w:start w:val="1"/>
      <w:numFmt w:val="lowerLetter"/>
      <w:pStyle w:val="SubHeading1"/>
      <w:lvlText w:val="%3)"/>
      <w:lvlJc w:val="left"/>
      <w:pPr>
        <w:tabs>
          <w:tab w:val="num" w:pos="5976"/>
        </w:tabs>
        <w:ind w:left="5976" w:hanging="576"/>
      </w:pPr>
      <w:rPr>
        <w:b/>
      </w:rPr>
    </w:lvl>
    <w:lvl w:ilvl="3">
      <w:start w:val="1"/>
      <w:numFmt w:val="lowerRoman"/>
      <w:pStyle w:val="Subheading2"/>
      <w:lvlText w:val="(%4)"/>
      <w:lvlJc w:val="right"/>
      <w:pPr>
        <w:tabs>
          <w:tab w:val="num" w:pos="6480"/>
        </w:tabs>
        <w:ind w:left="6480" w:hanging="288"/>
      </w:pPr>
      <w:rPr>
        <w:b/>
      </w:rPr>
    </w:lvl>
    <w:lvl w:ilvl="4">
      <w:start w:val="1"/>
      <w:numFmt w:val="decimal"/>
      <w:pStyle w:val="Heading5"/>
      <w:lvlText w:val="%5)"/>
      <w:lvlJc w:val="left"/>
      <w:pPr>
        <w:ind w:left="5112" w:hanging="432"/>
      </w:pPr>
    </w:lvl>
    <w:lvl w:ilvl="5">
      <w:start w:val="1"/>
      <w:numFmt w:val="lowerLetter"/>
      <w:pStyle w:val="Heading6"/>
      <w:lvlText w:val="%6)"/>
      <w:lvlJc w:val="left"/>
      <w:pPr>
        <w:ind w:left="5256" w:hanging="432"/>
      </w:pPr>
    </w:lvl>
    <w:lvl w:ilvl="6">
      <w:start w:val="1"/>
      <w:numFmt w:val="lowerRoman"/>
      <w:pStyle w:val="Heading7"/>
      <w:lvlText w:val="%7)"/>
      <w:lvlJc w:val="right"/>
      <w:pPr>
        <w:ind w:left="5400" w:hanging="288"/>
      </w:pPr>
    </w:lvl>
    <w:lvl w:ilvl="7">
      <w:start w:val="1"/>
      <w:numFmt w:val="lowerLetter"/>
      <w:pStyle w:val="Heading8"/>
      <w:lvlText w:val="%8."/>
      <w:lvlJc w:val="left"/>
      <w:pPr>
        <w:ind w:left="5544" w:hanging="432"/>
      </w:pPr>
    </w:lvl>
    <w:lvl w:ilvl="8">
      <w:start w:val="1"/>
      <w:numFmt w:val="lowerRoman"/>
      <w:pStyle w:val="Heading9"/>
      <w:lvlText w:val="%9."/>
      <w:lvlJc w:val="right"/>
      <w:pPr>
        <w:ind w:left="5688" w:hanging="144"/>
      </w:pPr>
    </w:lvl>
  </w:abstractNum>
  <w:abstractNum w:abstractNumId="8">
    <w:nsid w:val="37C37286"/>
    <w:multiLevelType w:val="multilevel"/>
    <w:tmpl w:val="19F63D02"/>
    <w:lvl w:ilvl="0">
      <w:start w:val="1"/>
      <w:numFmt w:val="upperRoman"/>
      <w:lvlRestart w:val="0"/>
      <w:pStyle w:val="Chapter"/>
      <w:lvlText w:val="%1."/>
      <w:lvlJc w:val="center"/>
      <w:pPr>
        <w:tabs>
          <w:tab w:val="num" w:pos="1800"/>
        </w:tabs>
        <w:ind w:left="1152" w:firstLine="288"/>
      </w:pPr>
      <w:rPr>
        <w:b/>
        <w:i w:val="0"/>
      </w:rPr>
    </w:lvl>
    <w:lvl w:ilvl="1">
      <w:start w:val="1"/>
      <w:numFmt w:val="decimal"/>
      <w:pStyle w:val="Paragraph"/>
      <w:isLgl/>
      <w:lvlText w:val="%1.%2"/>
      <w:lvlJc w:val="left"/>
      <w:pPr>
        <w:tabs>
          <w:tab w:val="num" w:pos="2448"/>
        </w:tabs>
        <w:ind w:left="2448" w:hanging="1296"/>
      </w:pPr>
    </w:lvl>
    <w:lvl w:ilvl="2">
      <w:start w:val="1"/>
      <w:numFmt w:val="lowerLetter"/>
      <w:pStyle w:val="subpar"/>
      <w:lvlText w:val="%3."/>
      <w:lvlJc w:val="left"/>
      <w:pPr>
        <w:tabs>
          <w:tab w:val="num" w:pos="2304"/>
        </w:tabs>
        <w:ind w:left="2304" w:hanging="432"/>
      </w:pPr>
    </w:lvl>
    <w:lvl w:ilvl="3">
      <w:start w:val="1"/>
      <w:numFmt w:val="lowerRoman"/>
      <w:pStyle w:val="SubSubPar"/>
      <w:lvlText w:val="%4."/>
      <w:lvlJc w:val="right"/>
      <w:pPr>
        <w:tabs>
          <w:tab w:val="num" w:pos="2736"/>
        </w:tabs>
        <w:ind w:left="2736" w:hanging="288"/>
      </w:pPr>
    </w:lvl>
    <w:lvl w:ilvl="4">
      <w:start w:val="1"/>
      <w:numFmt w:val="decimal"/>
      <w:lvlText w:val="%1.%2.%3.%4.%5"/>
      <w:lvlJc w:val="left"/>
      <w:pPr>
        <w:ind w:left="2160" w:hanging="1008"/>
      </w:pPr>
    </w:lvl>
    <w:lvl w:ilvl="5">
      <w:start w:val="1"/>
      <w:numFmt w:val="decimal"/>
      <w:lvlText w:val="%1.%2.%3.%4.%5.%6"/>
      <w:lvlJc w:val="left"/>
      <w:pPr>
        <w:ind w:left="2304" w:hanging="1152"/>
      </w:pPr>
    </w:lvl>
    <w:lvl w:ilvl="6">
      <w:start w:val="1"/>
      <w:numFmt w:val="decimal"/>
      <w:lvlText w:val="%1.%2.%3.%4.%5.%6.%7"/>
      <w:lvlJc w:val="left"/>
      <w:pPr>
        <w:ind w:left="2448" w:hanging="1296"/>
      </w:pPr>
    </w:lvl>
    <w:lvl w:ilvl="7">
      <w:start w:val="1"/>
      <w:numFmt w:val="decimal"/>
      <w:lvlText w:val="%1.%2.%3.%4.%5.%6.%7.%8"/>
      <w:lvlJc w:val="left"/>
      <w:pPr>
        <w:ind w:left="2592" w:hanging="1440"/>
      </w:pPr>
    </w:lvl>
    <w:lvl w:ilvl="8">
      <w:start w:val="1"/>
      <w:numFmt w:val="decimal"/>
      <w:lvlText w:val="%1.%2.%3.%4.%5.%6.%7.%8.%9"/>
      <w:lvlJc w:val="left"/>
      <w:pPr>
        <w:ind w:left="2736" w:hanging="1584"/>
      </w:pPr>
    </w:lvl>
  </w:abstractNum>
  <w:abstractNum w:abstractNumId="9">
    <w:nsid w:val="391F0A96"/>
    <w:multiLevelType w:val="hybridMultilevel"/>
    <w:tmpl w:val="84AAE59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3BE46970"/>
    <w:multiLevelType w:val="hybridMultilevel"/>
    <w:tmpl w:val="9CE2004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98B0F75"/>
    <w:multiLevelType w:val="multilevel"/>
    <w:tmpl w:val="236ADBC6"/>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4ADA5B92"/>
    <w:multiLevelType w:val="multilevel"/>
    <w:tmpl w:val="F0E2BAAE"/>
    <w:lvl w:ilvl="0">
      <w:start w:val="1"/>
      <w:numFmt w:val="decimal"/>
      <w:pStyle w:val="SPLAP1"/>
      <w:lvlText w:val="%1."/>
      <w:lvlJc w:val="left"/>
      <w:pPr>
        <w:tabs>
          <w:tab w:val="num" w:pos="360"/>
        </w:tabs>
        <w:ind w:left="360" w:hanging="360"/>
      </w:pPr>
      <w:rPr>
        <w:rFonts w:ascii="Arial" w:hAnsi="Arial" w:hint="default"/>
        <w:b/>
      </w:rPr>
    </w:lvl>
    <w:lvl w:ilvl="1">
      <w:start w:val="1"/>
      <w:numFmt w:val="decimal"/>
      <w:pStyle w:val="SPLAP2"/>
      <w:lvlText w:val="%1.%2."/>
      <w:lvlJc w:val="left"/>
      <w:pPr>
        <w:tabs>
          <w:tab w:val="num" w:pos="720"/>
        </w:tabs>
        <w:ind w:left="432" w:hanging="432"/>
      </w:pPr>
      <w:rPr>
        <w:rFonts w:hint="default"/>
      </w:rPr>
    </w:lvl>
    <w:lvl w:ilvl="2">
      <w:start w:val="1"/>
      <w:numFmt w:val="decimal"/>
      <w:pStyle w:val="SPLAP3"/>
      <w:lvlText w:val="%1.%2.%3."/>
      <w:lvlJc w:val="left"/>
      <w:pPr>
        <w:tabs>
          <w:tab w:val="num" w:pos="2139"/>
        </w:tabs>
        <w:ind w:left="1923"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nsid w:val="5C92191F"/>
    <w:multiLevelType w:val="hybridMultilevel"/>
    <w:tmpl w:val="F1FCF510"/>
    <w:lvl w:ilvl="0" w:tplc="048CA6F0">
      <w:start w:val="2"/>
      <w:numFmt w:val="decimal"/>
      <w:lvlText w:val="%1.1."/>
      <w:lvlJc w:val="left"/>
      <w:pPr>
        <w:ind w:left="720" w:hanging="360"/>
      </w:pPr>
      <w:rPr>
        <w:rFonts w:hint="default"/>
        <w:b w:val="0"/>
        <w:i w:val="0"/>
        <w:cap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48467CB"/>
    <w:multiLevelType w:val="hybridMultilevel"/>
    <w:tmpl w:val="C8D08AB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71201694"/>
    <w:multiLevelType w:val="hybridMultilevel"/>
    <w:tmpl w:val="DF7E71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3240F39"/>
    <w:multiLevelType w:val="hybridMultilevel"/>
    <w:tmpl w:val="C77A158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7"/>
  </w:num>
  <w:num w:numId="4">
    <w:abstractNumId w:val="11"/>
  </w:num>
  <w:num w:numId="5">
    <w:abstractNumId w:val="4"/>
  </w:num>
  <w:num w:numId="6">
    <w:abstractNumId w:val="1"/>
  </w:num>
  <w:num w:numId="7">
    <w:abstractNumId w:val="15"/>
  </w:num>
  <w:num w:numId="8">
    <w:abstractNumId w:val="13"/>
  </w:num>
  <w:num w:numId="9">
    <w:abstractNumId w:val="2"/>
  </w:num>
  <w:num w:numId="10">
    <w:abstractNumId w:val="14"/>
  </w:num>
  <w:num w:numId="11">
    <w:abstractNumId w:val="9"/>
  </w:num>
  <w:num w:numId="12">
    <w:abstractNumId w:val="16"/>
  </w:num>
  <w:num w:numId="13">
    <w:abstractNumId w:val="3"/>
  </w:num>
  <w:num w:numId="14">
    <w:abstractNumId w:val="5"/>
  </w:num>
  <w:num w:numId="15">
    <w:abstractNumId w:val="6"/>
  </w:num>
  <w:num w:numId="16">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63F"/>
    <w:rsid w:val="000013B0"/>
    <w:rsid w:val="0000289A"/>
    <w:rsid w:val="00002A36"/>
    <w:rsid w:val="00002E81"/>
    <w:rsid w:val="000035A6"/>
    <w:rsid w:val="00003A3A"/>
    <w:rsid w:val="00003A75"/>
    <w:rsid w:val="00007876"/>
    <w:rsid w:val="0001021A"/>
    <w:rsid w:val="00011216"/>
    <w:rsid w:val="00012304"/>
    <w:rsid w:val="00013786"/>
    <w:rsid w:val="00014C1A"/>
    <w:rsid w:val="00014EED"/>
    <w:rsid w:val="0001557A"/>
    <w:rsid w:val="000161D6"/>
    <w:rsid w:val="00016A31"/>
    <w:rsid w:val="00017171"/>
    <w:rsid w:val="00017858"/>
    <w:rsid w:val="00017ADA"/>
    <w:rsid w:val="000205B8"/>
    <w:rsid w:val="00020866"/>
    <w:rsid w:val="00020B70"/>
    <w:rsid w:val="00021368"/>
    <w:rsid w:val="00022906"/>
    <w:rsid w:val="00022973"/>
    <w:rsid w:val="0002351C"/>
    <w:rsid w:val="000242A0"/>
    <w:rsid w:val="00024FF6"/>
    <w:rsid w:val="00025073"/>
    <w:rsid w:val="0002538C"/>
    <w:rsid w:val="0002543B"/>
    <w:rsid w:val="00025B27"/>
    <w:rsid w:val="00026591"/>
    <w:rsid w:val="00026908"/>
    <w:rsid w:val="00026DDF"/>
    <w:rsid w:val="00027651"/>
    <w:rsid w:val="00027CC7"/>
    <w:rsid w:val="0003089C"/>
    <w:rsid w:val="000309CC"/>
    <w:rsid w:val="00030E41"/>
    <w:rsid w:val="00031571"/>
    <w:rsid w:val="000318F6"/>
    <w:rsid w:val="00031E33"/>
    <w:rsid w:val="00033C06"/>
    <w:rsid w:val="00033F9D"/>
    <w:rsid w:val="000354C1"/>
    <w:rsid w:val="00037FDC"/>
    <w:rsid w:val="000407E1"/>
    <w:rsid w:val="000410D7"/>
    <w:rsid w:val="00042039"/>
    <w:rsid w:val="000435B8"/>
    <w:rsid w:val="00044543"/>
    <w:rsid w:val="00044EA1"/>
    <w:rsid w:val="00046193"/>
    <w:rsid w:val="00046536"/>
    <w:rsid w:val="0004679F"/>
    <w:rsid w:val="0004721C"/>
    <w:rsid w:val="000477C2"/>
    <w:rsid w:val="000479AB"/>
    <w:rsid w:val="00047CBA"/>
    <w:rsid w:val="000522E7"/>
    <w:rsid w:val="00052CA6"/>
    <w:rsid w:val="00053CE0"/>
    <w:rsid w:val="00055060"/>
    <w:rsid w:val="00055DFD"/>
    <w:rsid w:val="00056671"/>
    <w:rsid w:val="00056693"/>
    <w:rsid w:val="000573FF"/>
    <w:rsid w:val="00057D19"/>
    <w:rsid w:val="00060771"/>
    <w:rsid w:val="00060CD8"/>
    <w:rsid w:val="00061FFC"/>
    <w:rsid w:val="00062F1C"/>
    <w:rsid w:val="000638A9"/>
    <w:rsid w:val="00065C79"/>
    <w:rsid w:val="00067AB6"/>
    <w:rsid w:val="0007019D"/>
    <w:rsid w:val="000708F7"/>
    <w:rsid w:val="0007138C"/>
    <w:rsid w:val="000717B9"/>
    <w:rsid w:val="00071E19"/>
    <w:rsid w:val="000722A1"/>
    <w:rsid w:val="0007246E"/>
    <w:rsid w:val="00072D25"/>
    <w:rsid w:val="00072DC3"/>
    <w:rsid w:val="00072E70"/>
    <w:rsid w:val="00072ED2"/>
    <w:rsid w:val="00073033"/>
    <w:rsid w:val="00073229"/>
    <w:rsid w:val="00073269"/>
    <w:rsid w:val="00073D5A"/>
    <w:rsid w:val="00075595"/>
    <w:rsid w:val="00075A82"/>
    <w:rsid w:val="000769BA"/>
    <w:rsid w:val="00076A4A"/>
    <w:rsid w:val="00077B0E"/>
    <w:rsid w:val="00077C07"/>
    <w:rsid w:val="00077D56"/>
    <w:rsid w:val="00077E1E"/>
    <w:rsid w:val="0008094D"/>
    <w:rsid w:val="0008131C"/>
    <w:rsid w:val="00081504"/>
    <w:rsid w:val="000818E3"/>
    <w:rsid w:val="000820CF"/>
    <w:rsid w:val="000821C6"/>
    <w:rsid w:val="000822B7"/>
    <w:rsid w:val="000827C0"/>
    <w:rsid w:val="0008354C"/>
    <w:rsid w:val="000842E8"/>
    <w:rsid w:val="00085D5D"/>
    <w:rsid w:val="000863A4"/>
    <w:rsid w:val="000864DA"/>
    <w:rsid w:val="000868E6"/>
    <w:rsid w:val="00086CFA"/>
    <w:rsid w:val="000875A4"/>
    <w:rsid w:val="0008760A"/>
    <w:rsid w:val="00087696"/>
    <w:rsid w:val="00087933"/>
    <w:rsid w:val="000879A2"/>
    <w:rsid w:val="00087F39"/>
    <w:rsid w:val="00090A7E"/>
    <w:rsid w:val="00090FFC"/>
    <w:rsid w:val="00091222"/>
    <w:rsid w:val="00092AC6"/>
    <w:rsid w:val="0009315B"/>
    <w:rsid w:val="00093AD7"/>
    <w:rsid w:val="00093B1B"/>
    <w:rsid w:val="00096214"/>
    <w:rsid w:val="00096A25"/>
    <w:rsid w:val="00097604"/>
    <w:rsid w:val="00097D9C"/>
    <w:rsid w:val="000A09C7"/>
    <w:rsid w:val="000A0C87"/>
    <w:rsid w:val="000A0DBA"/>
    <w:rsid w:val="000A1397"/>
    <w:rsid w:val="000A1DEA"/>
    <w:rsid w:val="000A1E58"/>
    <w:rsid w:val="000A2DA5"/>
    <w:rsid w:val="000A3157"/>
    <w:rsid w:val="000A38CF"/>
    <w:rsid w:val="000A4262"/>
    <w:rsid w:val="000A52E0"/>
    <w:rsid w:val="000A547C"/>
    <w:rsid w:val="000A5614"/>
    <w:rsid w:val="000A68E3"/>
    <w:rsid w:val="000A6E9F"/>
    <w:rsid w:val="000A7278"/>
    <w:rsid w:val="000A7B28"/>
    <w:rsid w:val="000B0BFF"/>
    <w:rsid w:val="000B0C14"/>
    <w:rsid w:val="000B2616"/>
    <w:rsid w:val="000B2DD2"/>
    <w:rsid w:val="000B43CE"/>
    <w:rsid w:val="000B4DB4"/>
    <w:rsid w:val="000B5501"/>
    <w:rsid w:val="000B5E8F"/>
    <w:rsid w:val="000C022B"/>
    <w:rsid w:val="000C0D88"/>
    <w:rsid w:val="000C1D24"/>
    <w:rsid w:val="000C246F"/>
    <w:rsid w:val="000C4A33"/>
    <w:rsid w:val="000C4BF1"/>
    <w:rsid w:val="000C5CAD"/>
    <w:rsid w:val="000C6719"/>
    <w:rsid w:val="000C7DD3"/>
    <w:rsid w:val="000D00C2"/>
    <w:rsid w:val="000D0102"/>
    <w:rsid w:val="000D0A8C"/>
    <w:rsid w:val="000D0C18"/>
    <w:rsid w:val="000D14DF"/>
    <w:rsid w:val="000D1530"/>
    <w:rsid w:val="000D1637"/>
    <w:rsid w:val="000D185E"/>
    <w:rsid w:val="000D1CAF"/>
    <w:rsid w:val="000D2138"/>
    <w:rsid w:val="000D2F32"/>
    <w:rsid w:val="000D3B2B"/>
    <w:rsid w:val="000D3D24"/>
    <w:rsid w:val="000D53FF"/>
    <w:rsid w:val="000D555B"/>
    <w:rsid w:val="000D5877"/>
    <w:rsid w:val="000D592A"/>
    <w:rsid w:val="000D606F"/>
    <w:rsid w:val="000D64AE"/>
    <w:rsid w:val="000D6F06"/>
    <w:rsid w:val="000D7869"/>
    <w:rsid w:val="000E1509"/>
    <w:rsid w:val="000E2C42"/>
    <w:rsid w:val="000E46F1"/>
    <w:rsid w:val="000E5583"/>
    <w:rsid w:val="000E59B4"/>
    <w:rsid w:val="000E65C1"/>
    <w:rsid w:val="000E66CD"/>
    <w:rsid w:val="000E6F56"/>
    <w:rsid w:val="000E78D7"/>
    <w:rsid w:val="000F1272"/>
    <w:rsid w:val="000F26E2"/>
    <w:rsid w:val="000F281D"/>
    <w:rsid w:val="000F38FB"/>
    <w:rsid w:val="000F3956"/>
    <w:rsid w:val="000F5078"/>
    <w:rsid w:val="000F5A92"/>
    <w:rsid w:val="000F5A9B"/>
    <w:rsid w:val="000F7044"/>
    <w:rsid w:val="000F73A1"/>
    <w:rsid w:val="00100871"/>
    <w:rsid w:val="001008A1"/>
    <w:rsid w:val="0010137A"/>
    <w:rsid w:val="0010168F"/>
    <w:rsid w:val="0010231E"/>
    <w:rsid w:val="00103725"/>
    <w:rsid w:val="00104428"/>
    <w:rsid w:val="00104483"/>
    <w:rsid w:val="0010462F"/>
    <w:rsid w:val="00104950"/>
    <w:rsid w:val="00104DA9"/>
    <w:rsid w:val="0010503C"/>
    <w:rsid w:val="00105139"/>
    <w:rsid w:val="001054C1"/>
    <w:rsid w:val="00105EE3"/>
    <w:rsid w:val="00106B89"/>
    <w:rsid w:val="0010764E"/>
    <w:rsid w:val="00107B3F"/>
    <w:rsid w:val="001100E5"/>
    <w:rsid w:val="001131B4"/>
    <w:rsid w:val="00113E9B"/>
    <w:rsid w:val="001141F2"/>
    <w:rsid w:val="001145D5"/>
    <w:rsid w:val="00114E51"/>
    <w:rsid w:val="0011699B"/>
    <w:rsid w:val="001172E2"/>
    <w:rsid w:val="001176A3"/>
    <w:rsid w:val="001177D2"/>
    <w:rsid w:val="001178AA"/>
    <w:rsid w:val="00117A14"/>
    <w:rsid w:val="001200F7"/>
    <w:rsid w:val="0012073F"/>
    <w:rsid w:val="00121561"/>
    <w:rsid w:val="0012167B"/>
    <w:rsid w:val="00121D70"/>
    <w:rsid w:val="0012252C"/>
    <w:rsid w:val="00122E20"/>
    <w:rsid w:val="00123A48"/>
    <w:rsid w:val="001247C7"/>
    <w:rsid w:val="0012482D"/>
    <w:rsid w:val="00125280"/>
    <w:rsid w:val="00125AB1"/>
    <w:rsid w:val="001262DE"/>
    <w:rsid w:val="0012755E"/>
    <w:rsid w:val="00130605"/>
    <w:rsid w:val="00133409"/>
    <w:rsid w:val="001334FA"/>
    <w:rsid w:val="001337A0"/>
    <w:rsid w:val="00133F6A"/>
    <w:rsid w:val="00135662"/>
    <w:rsid w:val="001357A0"/>
    <w:rsid w:val="001363C5"/>
    <w:rsid w:val="001378AB"/>
    <w:rsid w:val="00137D60"/>
    <w:rsid w:val="0014140B"/>
    <w:rsid w:val="0014338B"/>
    <w:rsid w:val="00145336"/>
    <w:rsid w:val="0014797D"/>
    <w:rsid w:val="00150E9B"/>
    <w:rsid w:val="00150FE6"/>
    <w:rsid w:val="0015137F"/>
    <w:rsid w:val="001518C4"/>
    <w:rsid w:val="00152929"/>
    <w:rsid w:val="0015573D"/>
    <w:rsid w:val="00160470"/>
    <w:rsid w:val="001604E1"/>
    <w:rsid w:val="001610D3"/>
    <w:rsid w:val="00161294"/>
    <w:rsid w:val="00161452"/>
    <w:rsid w:val="00162BFC"/>
    <w:rsid w:val="001633EB"/>
    <w:rsid w:val="00164114"/>
    <w:rsid w:val="0016432C"/>
    <w:rsid w:val="001652C9"/>
    <w:rsid w:val="00165D2F"/>
    <w:rsid w:val="00165E41"/>
    <w:rsid w:val="00170099"/>
    <w:rsid w:val="001700E3"/>
    <w:rsid w:val="001709D7"/>
    <w:rsid w:val="00171521"/>
    <w:rsid w:val="001717E8"/>
    <w:rsid w:val="00171B63"/>
    <w:rsid w:val="00172654"/>
    <w:rsid w:val="00172683"/>
    <w:rsid w:val="00173AC0"/>
    <w:rsid w:val="001740A8"/>
    <w:rsid w:val="001743BD"/>
    <w:rsid w:val="00174D47"/>
    <w:rsid w:val="001752C6"/>
    <w:rsid w:val="001778BD"/>
    <w:rsid w:val="0018001F"/>
    <w:rsid w:val="00181BE2"/>
    <w:rsid w:val="00181C6D"/>
    <w:rsid w:val="001821D3"/>
    <w:rsid w:val="001821EE"/>
    <w:rsid w:val="001823F0"/>
    <w:rsid w:val="00184765"/>
    <w:rsid w:val="00184D90"/>
    <w:rsid w:val="00186005"/>
    <w:rsid w:val="001862D7"/>
    <w:rsid w:val="0018746D"/>
    <w:rsid w:val="001875DF"/>
    <w:rsid w:val="00190141"/>
    <w:rsid w:val="00190463"/>
    <w:rsid w:val="00190C80"/>
    <w:rsid w:val="00191A4D"/>
    <w:rsid w:val="00193100"/>
    <w:rsid w:val="00193214"/>
    <w:rsid w:val="001934FB"/>
    <w:rsid w:val="00193B4A"/>
    <w:rsid w:val="0019459A"/>
    <w:rsid w:val="00195A5B"/>
    <w:rsid w:val="00195B52"/>
    <w:rsid w:val="00195C9B"/>
    <w:rsid w:val="00197383"/>
    <w:rsid w:val="00197BB7"/>
    <w:rsid w:val="001A011F"/>
    <w:rsid w:val="001A0CDA"/>
    <w:rsid w:val="001A1248"/>
    <w:rsid w:val="001A1655"/>
    <w:rsid w:val="001A1A4E"/>
    <w:rsid w:val="001A1C35"/>
    <w:rsid w:val="001A24F0"/>
    <w:rsid w:val="001A2920"/>
    <w:rsid w:val="001A2C9C"/>
    <w:rsid w:val="001A3202"/>
    <w:rsid w:val="001A345D"/>
    <w:rsid w:val="001A38F9"/>
    <w:rsid w:val="001A3AB3"/>
    <w:rsid w:val="001A4E89"/>
    <w:rsid w:val="001A7E1C"/>
    <w:rsid w:val="001B1807"/>
    <w:rsid w:val="001B3BE5"/>
    <w:rsid w:val="001B5BFF"/>
    <w:rsid w:val="001B675A"/>
    <w:rsid w:val="001B6C6B"/>
    <w:rsid w:val="001B7404"/>
    <w:rsid w:val="001B7DF2"/>
    <w:rsid w:val="001C0264"/>
    <w:rsid w:val="001C0CEF"/>
    <w:rsid w:val="001C0D79"/>
    <w:rsid w:val="001C0E05"/>
    <w:rsid w:val="001C1BE9"/>
    <w:rsid w:val="001C3024"/>
    <w:rsid w:val="001C3152"/>
    <w:rsid w:val="001C33D2"/>
    <w:rsid w:val="001C3A24"/>
    <w:rsid w:val="001C4C28"/>
    <w:rsid w:val="001C4FB2"/>
    <w:rsid w:val="001C58B4"/>
    <w:rsid w:val="001C5A86"/>
    <w:rsid w:val="001C5E2C"/>
    <w:rsid w:val="001C5F18"/>
    <w:rsid w:val="001C6396"/>
    <w:rsid w:val="001C7757"/>
    <w:rsid w:val="001C7958"/>
    <w:rsid w:val="001D0298"/>
    <w:rsid w:val="001D0658"/>
    <w:rsid w:val="001D080A"/>
    <w:rsid w:val="001D0D0A"/>
    <w:rsid w:val="001D0D48"/>
    <w:rsid w:val="001D0E95"/>
    <w:rsid w:val="001D11AA"/>
    <w:rsid w:val="001D136A"/>
    <w:rsid w:val="001D1469"/>
    <w:rsid w:val="001D159A"/>
    <w:rsid w:val="001D3F7B"/>
    <w:rsid w:val="001D45B1"/>
    <w:rsid w:val="001D502F"/>
    <w:rsid w:val="001D5127"/>
    <w:rsid w:val="001D54F4"/>
    <w:rsid w:val="001D5978"/>
    <w:rsid w:val="001D6564"/>
    <w:rsid w:val="001D66D9"/>
    <w:rsid w:val="001D69FA"/>
    <w:rsid w:val="001D7088"/>
    <w:rsid w:val="001D7C0C"/>
    <w:rsid w:val="001E1276"/>
    <w:rsid w:val="001E1D12"/>
    <w:rsid w:val="001E2A27"/>
    <w:rsid w:val="001E3030"/>
    <w:rsid w:val="001E3077"/>
    <w:rsid w:val="001E316D"/>
    <w:rsid w:val="001E3DAF"/>
    <w:rsid w:val="001E40B2"/>
    <w:rsid w:val="001E4865"/>
    <w:rsid w:val="001E4B0C"/>
    <w:rsid w:val="001E4DEF"/>
    <w:rsid w:val="001E64DF"/>
    <w:rsid w:val="001E69AB"/>
    <w:rsid w:val="001E6EC7"/>
    <w:rsid w:val="001E713A"/>
    <w:rsid w:val="001E7353"/>
    <w:rsid w:val="001E740A"/>
    <w:rsid w:val="001E7CB0"/>
    <w:rsid w:val="001F0B2F"/>
    <w:rsid w:val="001F0DE0"/>
    <w:rsid w:val="001F0EB9"/>
    <w:rsid w:val="001F1AD7"/>
    <w:rsid w:val="001F22B7"/>
    <w:rsid w:val="001F245C"/>
    <w:rsid w:val="001F2E21"/>
    <w:rsid w:val="001F2EFA"/>
    <w:rsid w:val="001F3758"/>
    <w:rsid w:val="001F3957"/>
    <w:rsid w:val="001F3B2E"/>
    <w:rsid w:val="001F3D7A"/>
    <w:rsid w:val="001F4549"/>
    <w:rsid w:val="001F55FD"/>
    <w:rsid w:val="001F58FD"/>
    <w:rsid w:val="001F5F2D"/>
    <w:rsid w:val="001F62CD"/>
    <w:rsid w:val="001F6845"/>
    <w:rsid w:val="001F75DB"/>
    <w:rsid w:val="001F7AFE"/>
    <w:rsid w:val="00200173"/>
    <w:rsid w:val="00202298"/>
    <w:rsid w:val="0020271D"/>
    <w:rsid w:val="00204003"/>
    <w:rsid w:val="0020443C"/>
    <w:rsid w:val="0020445E"/>
    <w:rsid w:val="002050A0"/>
    <w:rsid w:val="00205252"/>
    <w:rsid w:val="002060F2"/>
    <w:rsid w:val="00206AEC"/>
    <w:rsid w:val="002070B9"/>
    <w:rsid w:val="0020770C"/>
    <w:rsid w:val="00207B49"/>
    <w:rsid w:val="002110F3"/>
    <w:rsid w:val="002117F1"/>
    <w:rsid w:val="00212460"/>
    <w:rsid w:val="00214BDB"/>
    <w:rsid w:val="002159AE"/>
    <w:rsid w:val="002163E3"/>
    <w:rsid w:val="00216D0C"/>
    <w:rsid w:val="00217784"/>
    <w:rsid w:val="00217CF5"/>
    <w:rsid w:val="00220498"/>
    <w:rsid w:val="00220525"/>
    <w:rsid w:val="002209DE"/>
    <w:rsid w:val="00220B44"/>
    <w:rsid w:val="00220B4C"/>
    <w:rsid w:val="002215AD"/>
    <w:rsid w:val="00222742"/>
    <w:rsid w:val="0022295B"/>
    <w:rsid w:val="002237EC"/>
    <w:rsid w:val="0022409C"/>
    <w:rsid w:val="00224EB6"/>
    <w:rsid w:val="00224EC2"/>
    <w:rsid w:val="00225323"/>
    <w:rsid w:val="00226029"/>
    <w:rsid w:val="00226883"/>
    <w:rsid w:val="00227812"/>
    <w:rsid w:val="00227EDE"/>
    <w:rsid w:val="0023032B"/>
    <w:rsid w:val="00230A38"/>
    <w:rsid w:val="00230B7E"/>
    <w:rsid w:val="00231271"/>
    <w:rsid w:val="0023133A"/>
    <w:rsid w:val="00231C04"/>
    <w:rsid w:val="00232002"/>
    <w:rsid w:val="00232F5A"/>
    <w:rsid w:val="00233759"/>
    <w:rsid w:val="00233DCF"/>
    <w:rsid w:val="002343B5"/>
    <w:rsid w:val="00235BBF"/>
    <w:rsid w:val="00240A70"/>
    <w:rsid w:val="002415B4"/>
    <w:rsid w:val="00241C40"/>
    <w:rsid w:val="00243CDA"/>
    <w:rsid w:val="002446E0"/>
    <w:rsid w:val="0024481D"/>
    <w:rsid w:val="0024509F"/>
    <w:rsid w:val="00245E81"/>
    <w:rsid w:val="002461AD"/>
    <w:rsid w:val="002462C7"/>
    <w:rsid w:val="00246811"/>
    <w:rsid w:val="0024763F"/>
    <w:rsid w:val="00251C46"/>
    <w:rsid w:val="00251C96"/>
    <w:rsid w:val="002532CC"/>
    <w:rsid w:val="00253364"/>
    <w:rsid w:val="00254A58"/>
    <w:rsid w:val="00254F6D"/>
    <w:rsid w:val="002566CE"/>
    <w:rsid w:val="002567DC"/>
    <w:rsid w:val="00256B75"/>
    <w:rsid w:val="002573BD"/>
    <w:rsid w:val="00257AA5"/>
    <w:rsid w:val="00260A1C"/>
    <w:rsid w:val="00260EE9"/>
    <w:rsid w:val="0026227B"/>
    <w:rsid w:val="00263BE9"/>
    <w:rsid w:val="00263EF1"/>
    <w:rsid w:val="00264092"/>
    <w:rsid w:val="002646FE"/>
    <w:rsid w:val="00264AC8"/>
    <w:rsid w:val="00264BAE"/>
    <w:rsid w:val="00270E07"/>
    <w:rsid w:val="002712CB"/>
    <w:rsid w:val="00271E8A"/>
    <w:rsid w:val="00271FF0"/>
    <w:rsid w:val="0027371D"/>
    <w:rsid w:val="00273CDC"/>
    <w:rsid w:val="00273CFB"/>
    <w:rsid w:val="00273E11"/>
    <w:rsid w:val="00274669"/>
    <w:rsid w:val="00274740"/>
    <w:rsid w:val="002747A3"/>
    <w:rsid w:val="00274988"/>
    <w:rsid w:val="00275057"/>
    <w:rsid w:val="00275549"/>
    <w:rsid w:val="0027593D"/>
    <w:rsid w:val="00275D62"/>
    <w:rsid w:val="00276197"/>
    <w:rsid w:val="0027702F"/>
    <w:rsid w:val="002800F9"/>
    <w:rsid w:val="00280831"/>
    <w:rsid w:val="00280AE8"/>
    <w:rsid w:val="0028221A"/>
    <w:rsid w:val="002823E3"/>
    <w:rsid w:val="002842DB"/>
    <w:rsid w:val="00285011"/>
    <w:rsid w:val="002850A7"/>
    <w:rsid w:val="00285A4D"/>
    <w:rsid w:val="00286279"/>
    <w:rsid w:val="00286B6B"/>
    <w:rsid w:val="00287686"/>
    <w:rsid w:val="00287A31"/>
    <w:rsid w:val="002909FA"/>
    <w:rsid w:val="00290FFD"/>
    <w:rsid w:val="0029166E"/>
    <w:rsid w:val="00291AFF"/>
    <w:rsid w:val="00292787"/>
    <w:rsid w:val="00292B55"/>
    <w:rsid w:val="00292F45"/>
    <w:rsid w:val="002933A5"/>
    <w:rsid w:val="00293F55"/>
    <w:rsid w:val="0029558C"/>
    <w:rsid w:val="00295F8A"/>
    <w:rsid w:val="00297E6B"/>
    <w:rsid w:val="002A0175"/>
    <w:rsid w:val="002A0997"/>
    <w:rsid w:val="002A1F4D"/>
    <w:rsid w:val="002A323B"/>
    <w:rsid w:val="002A3266"/>
    <w:rsid w:val="002A5559"/>
    <w:rsid w:val="002A5667"/>
    <w:rsid w:val="002A696D"/>
    <w:rsid w:val="002A7005"/>
    <w:rsid w:val="002A742F"/>
    <w:rsid w:val="002B000F"/>
    <w:rsid w:val="002B0646"/>
    <w:rsid w:val="002B09AD"/>
    <w:rsid w:val="002B148C"/>
    <w:rsid w:val="002B1544"/>
    <w:rsid w:val="002B172C"/>
    <w:rsid w:val="002B1A35"/>
    <w:rsid w:val="002B30A7"/>
    <w:rsid w:val="002B33B6"/>
    <w:rsid w:val="002B48DA"/>
    <w:rsid w:val="002B49FA"/>
    <w:rsid w:val="002B4BF0"/>
    <w:rsid w:val="002B60F1"/>
    <w:rsid w:val="002B6D13"/>
    <w:rsid w:val="002B7766"/>
    <w:rsid w:val="002B7888"/>
    <w:rsid w:val="002B7F62"/>
    <w:rsid w:val="002C06F9"/>
    <w:rsid w:val="002C0887"/>
    <w:rsid w:val="002C0C7F"/>
    <w:rsid w:val="002C1B74"/>
    <w:rsid w:val="002C1F1B"/>
    <w:rsid w:val="002C1FE5"/>
    <w:rsid w:val="002C264A"/>
    <w:rsid w:val="002C2B98"/>
    <w:rsid w:val="002C3159"/>
    <w:rsid w:val="002C332E"/>
    <w:rsid w:val="002C3648"/>
    <w:rsid w:val="002C584E"/>
    <w:rsid w:val="002C5931"/>
    <w:rsid w:val="002C6548"/>
    <w:rsid w:val="002C6D55"/>
    <w:rsid w:val="002C733C"/>
    <w:rsid w:val="002D0860"/>
    <w:rsid w:val="002D0D3E"/>
    <w:rsid w:val="002D194E"/>
    <w:rsid w:val="002D253F"/>
    <w:rsid w:val="002D2DE2"/>
    <w:rsid w:val="002D3D6D"/>
    <w:rsid w:val="002D45DC"/>
    <w:rsid w:val="002D532F"/>
    <w:rsid w:val="002D5392"/>
    <w:rsid w:val="002D5A9B"/>
    <w:rsid w:val="002D610A"/>
    <w:rsid w:val="002D7297"/>
    <w:rsid w:val="002E0098"/>
    <w:rsid w:val="002E0F65"/>
    <w:rsid w:val="002E20DD"/>
    <w:rsid w:val="002E2A9A"/>
    <w:rsid w:val="002E43BB"/>
    <w:rsid w:val="002E51DF"/>
    <w:rsid w:val="002E550E"/>
    <w:rsid w:val="002E60D1"/>
    <w:rsid w:val="002E74A0"/>
    <w:rsid w:val="002E784E"/>
    <w:rsid w:val="002E7A8B"/>
    <w:rsid w:val="002F12ED"/>
    <w:rsid w:val="002F30D4"/>
    <w:rsid w:val="002F601F"/>
    <w:rsid w:val="00300B2F"/>
    <w:rsid w:val="003031E7"/>
    <w:rsid w:val="0030477C"/>
    <w:rsid w:val="003059CF"/>
    <w:rsid w:val="00306152"/>
    <w:rsid w:val="00306AA0"/>
    <w:rsid w:val="00306E7F"/>
    <w:rsid w:val="00307E5B"/>
    <w:rsid w:val="003118E1"/>
    <w:rsid w:val="00311D45"/>
    <w:rsid w:val="003121BC"/>
    <w:rsid w:val="0031315C"/>
    <w:rsid w:val="00313A20"/>
    <w:rsid w:val="0031425D"/>
    <w:rsid w:val="003145D6"/>
    <w:rsid w:val="003165CB"/>
    <w:rsid w:val="00316B4C"/>
    <w:rsid w:val="00316E8F"/>
    <w:rsid w:val="0031775D"/>
    <w:rsid w:val="00320227"/>
    <w:rsid w:val="00321173"/>
    <w:rsid w:val="00321B5E"/>
    <w:rsid w:val="003224F2"/>
    <w:rsid w:val="00322AC0"/>
    <w:rsid w:val="00322EF2"/>
    <w:rsid w:val="003236BD"/>
    <w:rsid w:val="00324361"/>
    <w:rsid w:val="003243F3"/>
    <w:rsid w:val="0032481F"/>
    <w:rsid w:val="003252C2"/>
    <w:rsid w:val="0032537D"/>
    <w:rsid w:val="0032561B"/>
    <w:rsid w:val="00325AF3"/>
    <w:rsid w:val="00326E59"/>
    <w:rsid w:val="00326EAF"/>
    <w:rsid w:val="003322E9"/>
    <w:rsid w:val="00332C65"/>
    <w:rsid w:val="00333253"/>
    <w:rsid w:val="0033357C"/>
    <w:rsid w:val="00333610"/>
    <w:rsid w:val="0033386B"/>
    <w:rsid w:val="00334211"/>
    <w:rsid w:val="003343FC"/>
    <w:rsid w:val="00334473"/>
    <w:rsid w:val="00335190"/>
    <w:rsid w:val="00335D8F"/>
    <w:rsid w:val="00335EBF"/>
    <w:rsid w:val="0033632C"/>
    <w:rsid w:val="00336BBF"/>
    <w:rsid w:val="00336BEE"/>
    <w:rsid w:val="00336E79"/>
    <w:rsid w:val="003375D2"/>
    <w:rsid w:val="00337EFD"/>
    <w:rsid w:val="00337F32"/>
    <w:rsid w:val="00340CBF"/>
    <w:rsid w:val="00341D31"/>
    <w:rsid w:val="00341E88"/>
    <w:rsid w:val="00343142"/>
    <w:rsid w:val="0034426D"/>
    <w:rsid w:val="0034498C"/>
    <w:rsid w:val="0034551B"/>
    <w:rsid w:val="003466C9"/>
    <w:rsid w:val="003470C2"/>
    <w:rsid w:val="0034753A"/>
    <w:rsid w:val="00347AC5"/>
    <w:rsid w:val="00347D22"/>
    <w:rsid w:val="00350D6C"/>
    <w:rsid w:val="00351116"/>
    <w:rsid w:val="00352E55"/>
    <w:rsid w:val="00353609"/>
    <w:rsid w:val="00353A96"/>
    <w:rsid w:val="00353E2D"/>
    <w:rsid w:val="00353E94"/>
    <w:rsid w:val="00353F0F"/>
    <w:rsid w:val="0035451A"/>
    <w:rsid w:val="00354A2E"/>
    <w:rsid w:val="00355EB1"/>
    <w:rsid w:val="0035629B"/>
    <w:rsid w:val="00356941"/>
    <w:rsid w:val="003571F5"/>
    <w:rsid w:val="00357F4F"/>
    <w:rsid w:val="00357FDC"/>
    <w:rsid w:val="00360606"/>
    <w:rsid w:val="00361670"/>
    <w:rsid w:val="00362A45"/>
    <w:rsid w:val="00362B6A"/>
    <w:rsid w:val="00362F25"/>
    <w:rsid w:val="00364C1D"/>
    <w:rsid w:val="00364CF9"/>
    <w:rsid w:val="003660F9"/>
    <w:rsid w:val="00366D68"/>
    <w:rsid w:val="0037133A"/>
    <w:rsid w:val="00371621"/>
    <w:rsid w:val="00371ACB"/>
    <w:rsid w:val="003722F0"/>
    <w:rsid w:val="00372ABF"/>
    <w:rsid w:val="00372E15"/>
    <w:rsid w:val="003732C0"/>
    <w:rsid w:val="0037348A"/>
    <w:rsid w:val="00376D49"/>
    <w:rsid w:val="00376E1A"/>
    <w:rsid w:val="00377150"/>
    <w:rsid w:val="00377E06"/>
    <w:rsid w:val="00381309"/>
    <w:rsid w:val="00381360"/>
    <w:rsid w:val="003819C5"/>
    <w:rsid w:val="003821F6"/>
    <w:rsid w:val="00382682"/>
    <w:rsid w:val="003826E0"/>
    <w:rsid w:val="00382FBF"/>
    <w:rsid w:val="003840DB"/>
    <w:rsid w:val="003846FB"/>
    <w:rsid w:val="003863FE"/>
    <w:rsid w:val="003902C5"/>
    <w:rsid w:val="003914B8"/>
    <w:rsid w:val="003919D7"/>
    <w:rsid w:val="0039260C"/>
    <w:rsid w:val="003926E5"/>
    <w:rsid w:val="00392780"/>
    <w:rsid w:val="003932C9"/>
    <w:rsid w:val="003936AD"/>
    <w:rsid w:val="003937F2"/>
    <w:rsid w:val="003940AD"/>
    <w:rsid w:val="003942E6"/>
    <w:rsid w:val="00394841"/>
    <w:rsid w:val="00396232"/>
    <w:rsid w:val="003A0146"/>
    <w:rsid w:val="003A096F"/>
    <w:rsid w:val="003A0E49"/>
    <w:rsid w:val="003A139B"/>
    <w:rsid w:val="003A1A4D"/>
    <w:rsid w:val="003A1C0A"/>
    <w:rsid w:val="003A225B"/>
    <w:rsid w:val="003A4F9A"/>
    <w:rsid w:val="003A5581"/>
    <w:rsid w:val="003A5ABC"/>
    <w:rsid w:val="003A5B5A"/>
    <w:rsid w:val="003A6E59"/>
    <w:rsid w:val="003B0C07"/>
    <w:rsid w:val="003B15FD"/>
    <w:rsid w:val="003B1C74"/>
    <w:rsid w:val="003B25C9"/>
    <w:rsid w:val="003B3270"/>
    <w:rsid w:val="003B39A9"/>
    <w:rsid w:val="003B3B19"/>
    <w:rsid w:val="003B5394"/>
    <w:rsid w:val="003B5AA2"/>
    <w:rsid w:val="003B5ED3"/>
    <w:rsid w:val="003B5F6B"/>
    <w:rsid w:val="003B6FEE"/>
    <w:rsid w:val="003C0AC6"/>
    <w:rsid w:val="003C0CCB"/>
    <w:rsid w:val="003C1314"/>
    <w:rsid w:val="003C1741"/>
    <w:rsid w:val="003C361A"/>
    <w:rsid w:val="003C40AE"/>
    <w:rsid w:val="003C4DC7"/>
    <w:rsid w:val="003C57D2"/>
    <w:rsid w:val="003C58F2"/>
    <w:rsid w:val="003C6C03"/>
    <w:rsid w:val="003C6C1B"/>
    <w:rsid w:val="003C6CD1"/>
    <w:rsid w:val="003D016D"/>
    <w:rsid w:val="003D076A"/>
    <w:rsid w:val="003D0D26"/>
    <w:rsid w:val="003D17A5"/>
    <w:rsid w:val="003D1D2D"/>
    <w:rsid w:val="003D259F"/>
    <w:rsid w:val="003D4410"/>
    <w:rsid w:val="003D4A95"/>
    <w:rsid w:val="003D4C42"/>
    <w:rsid w:val="003D4D5B"/>
    <w:rsid w:val="003D5119"/>
    <w:rsid w:val="003D57F5"/>
    <w:rsid w:val="003D6505"/>
    <w:rsid w:val="003D6E7B"/>
    <w:rsid w:val="003D7FD8"/>
    <w:rsid w:val="003E2708"/>
    <w:rsid w:val="003E2739"/>
    <w:rsid w:val="003E4872"/>
    <w:rsid w:val="003E51BB"/>
    <w:rsid w:val="003E59C0"/>
    <w:rsid w:val="003E5B41"/>
    <w:rsid w:val="003E5B59"/>
    <w:rsid w:val="003E60B7"/>
    <w:rsid w:val="003E76ED"/>
    <w:rsid w:val="003F01AA"/>
    <w:rsid w:val="003F0916"/>
    <w:rsid w:val="003F13F4"/>
    <w:rsid w:val="003F1DF5"/>
    <w:rsid w:val="003F2031"/>
    <w:rsid w:val="003F2164"/>
    <w:rsid w:val="003F2733"/>
    <w:rsid w:val="003F291C"/>
    <w:rsid w:val="003F3D6A"/>
    <w:rsid w:val="003F4731"/>
    <w:rsid w:val="003F4DBD"/>
    <w:rsid w:val="003F4EB2"/>
    <w:rsid w:val="003F5839"/>
    <w:rsid w:val="003F587F"/>
    <w:rsid w:val="003F6A5E"/>
    <w:rsid w:val="003F78B0"/>
    <w:rsid w:val="00400313"/>
    <w:rsid w:val="0040125C"/>
    <w:rsid w:val="00402697"/>
    <w:rsid w:val="00402BC0"/>
    <w:rsid w:val="00402D4C"/>
    <w:rsid w:val="00402DC5"/>
    <w:rsid w:val="00403E1E"/>
    <w:rsid w:val="00405125"/>
    <w:rsid w:val="00406D42"/>
    <w:rsid w:val="00406FDF"/>
    <w:rsid w:val="004100EA"/>
    <w:rsid w:val="0041075B"/>
    <w:rsid w:val="004119EE"/>
    <w:rsid w:val="00411FAF"/>
    <w:rsid w:val="00413168"/>
    <w:rsid w:val="00413908"/>
    <w:rsid w:val="00413AC7"/>
    <w:rsid w:val="00413BBC"/>
    <w:rsid w:val="00414489"/>
    <w:rsid w:val="00415C1D"/>
    <w:rsid w:val="00415D57"/>
    <w:rsid w:val="004167A1"/>
    <w:rsid w:val="0041718B"/>
    <w:rsid w:val="00417466"/>
    <w:rsid w:val="00417F6F"/>
    <w:rsid w:val="00420CD7"/>
    <w:rsid w:val="00420F71"/>
    <w:rsid w:val="00421E04"/>
    <w:rsid w:val="004230EE"/>
    <w:rsid w:val="004236AC"/>
    <w:rsid w:val="004241BF"/>
    <w:rsid w:val="00424794"/>
    <w:rsid w:val="00424F41"/>
    <w:rsid w:val="00426953"/>
    <w:rsid w:val="004269B2"/>
    <w:rsid w:val="00426EE4"/>
    <w:rsid w:val="00427762"/>
    <w:rsid w:val="00427C01"/>
    <w:rsid w:val="00430CFE"/>
    <w:rsid w:val="0043392D"/>
    <w:rsid w:val="004339A1"/>
    <w:rsid w:val="0043423A"/>
    <w:rsid w:val="00434E9C"/>
    <w:rsid w:val="004352A9"/>
    <w:rsid w:val="00435669"/>
    <w:rsid w:val="0043624D"/>
    <w:rsid w:val="00436FD2"/>
    <w:rsid w:val="00437666"/>
    <w:rsid w:val="00440921"/>
    <w:rsid w:val="00440AD9"/>
    <w:rsid w:val="00442BDD"/>
    <w:rsid w:val="004433D6"/>
    <w:rsid w:val="00443D5A"/>
    <w:rsid w:val="004458AF"/>
    <w:rsid w:val="00445CB0"/>
    <w:rsid w:val="00445D44"/>
    <w:rsid w:val="00445E50"/>
    <w:rsid w:val="004462E0"/>
    <w:rsid w:val="00446D36"/>
    <w:rsid w:val="0044703B"/>
    <w:rsid w:val="004470C9"/>
    <w:rsid w:val="0044741F"/>
    <w:rsid w:val="0044747C"/>
    <w:rsid w:val="0045090B"/>
    <w:rsid w:val="00451BA3"/>
    <w:rsid w:val="00452300"/>
    <w:rsid w:val="004524D3"/>
    <w:rsid w:val="00452B8A"/>
    <w:rsid w:val="0045316A"/>
    <w:rsid w:val="004548F6"/>
    <w:rsid w:val="004553CB"/>
    <w:rsid w:val="00460591"/>
    <w:rsid w:val="00460DF4"/>
    <w:rsid w:val="00461DA8"/>
    <w:rsid w:val="00462526"/>
    <w:rsid w:val="00462594"/>
    <w:rsid w:val="0046279A"/>
    <w:rsid w:val="0046337E"/>
    <w:rsid w:val="00464065"/>
    <w:rsid w:val="00464118"/>
    <w:rsid w:val="004642CA"/>
    <w:rsid w:val="0046486D"/>
    <w:rsid w:val="004648C5"/>
    <w:rsid w:val="004652F1"/>
    <w:rsid w:val="00465C76"/>
    <w:rsid w:val="0046618E"/>
    <w:rsid w:val="004661C2"/>
    <w:rsid w:val="00467080"/>
    <w:rsid w:val="00467D81"/>
    <w:rsid w:val="004701EC"/>
    <w:rsid w:val="004703A6"/>
    <w:rsid w:val="00471011"/>
    <w:rsid w:val="004717A9"/>
    <w:rsid w:val="00471AC4"/>
    <w:rsid w:val="00471D63"/>
    <w:rsid w:val="00473131"/>
    <w:rsid w:val="0047613D"/>
    <w:rsid w:val="004772A2"/>
    <w:rsid w:val="004776EA"/>
    <w:rsid w:val="00477B81"/>
    <w:rsid w:val="00477C5D"/>
    <w:rsid w:val="004801D6"/>
    <w:rsid w:val="004806D0"/>
    <w:rsid w:val="00480818"/>
    <w:rsid w:val="0048129E"/>
    <w:rsid w:val="00481C4D"/>
    <w:rsid w:val="00481D3D"/>
    <w:rsid w:val="004822C1"/>
    <w:rsid w:val="0048264A"/>
    <w:rsid w:val="00482964"/>
    <w:rsid w:val="00482A3C"/>
    <w:rsid w:val="00482CE0"/>
    <w:rsid w:val="004832B2"/>
    <w:rsid w:val="00483304"/>
    <w:rsid w:val="004835E2"/>
    <w:rsid w:val="00484057"/>
    <w:rsid w:val="0048416B"/>
    <w:rsid w:val="00484236"/>
    <w:rsid w:val="004844C5"/>
    <w:rsid w:val="00484B09"/>
    <w:rsid w:val="004859F1"/>
    <w:rsid w:val="00486FD8"/>
    <w:rsid w:val="00487A42"/>
    <w:rsid w:val="00487FF3"/>
    <w:rsid w:val="0049004B"/>
    <w:rsid w:val="0049071B"/>
    <w:rsid w:val="004908BA"/>
    <w:rsid w:val="0049211A"/>
    <w:rsid w:val="00492142"/>
    <w:rsid w:val="0049286D"/>
    <w:rsid w:val="00492AA5"/>
    <w:rsid w:val="00492E4A"/>
    <w:rsid w:val="00492FFD"/>
    <w:rsid w:val="00493514"/>
    <w:rsid w:val="00493F5A"/>
    <w:rsid w:val="004941ED"/>
    <w:rsid w:val="004948BF"/>
    <w:rsid w:val="00494BA0"/>
    <w:rsid w:val="00496A87"/>
    <w:rsid w:val="00496D34"/>
    <w:rsid w:val="00497CF0"/>
    <w:rsid w:val="004A0161"/>
    <w:rsid w:val="004A020F"/>
    <w:rsid w:val="004A07D1"/>
    <w:rsid w:val="004A1540"/>
    <w:rsid w:val="004A4FBB"/>
    <w:rsid w:val="004A5839"/>
    <w:rsid w:val="004A6BDC"/>
    <w:rsid w:val="004A6FDC"/>
    <w:rsid w:val="004A7177"/>
    <w:rsid w:val="004A7B52"/>
    <w:rsid w:val="004B29D1"/>
    <w:rsid w:val="004B2FEB"/>
    <w:rsid w:val="004B3759"/>
    <w:rsid w:val="004B39F7"/>
    <w:rsid w:val="004B4943"/>
    <w:rsid w:val="004B551D"/>
    <w:rsid w:val="004B5D74"/>
    <w:rsid w:val="004B5FB1"/>
    <w:rsid w:val="004B6D1D"/>
    <w:rsid w:val="004B7714"/>
    <w:rsid w:val="004B78D6"/>
    <w:rsid w:val="004B7F2B"/>
    <w:rsid w:val="004C10DF"/>
    <w:rsid w:val="004C2020"/>
    <w:rsid w:val="004C2FDB"/>
    <w:rsid w:val="004C4E80"/>
    <w:rsid w:val="004C642D"/>
    <w:rsid w:val="004C6D19"/>
    <w:rsid w:val="004C7F2D"/>
    <w:rsid w:val="004D05C1"/>
    <w:rsid w:val="004D16E3"/>
    <w:rsid w:val="004D1BF9"/>
    <w:rsid w:val="004D22D5"/>
    <w:rsid w:val="004D2A94"/>
    <w:rsid w:val="004D2B03"/>
    <w:rsid w:val="004D2B0E"/>
    <w:rsid w:val="004D2B1F"/>
    <w:rsid w:val="004D2F20"/>
    <w:rsid w:val="004D2F33"/>
    <w:rsid w:val="004D3A51"/>
    <w:rsid w:val="004D3AC6"/>
    <w:rsid w:val="004D3FEE"/>
    <w:rsid w:val="004D4D18"/>
    <w:rsid w:val="004D549A"/>
    <w:rsid w:val="004D76D3"/>
    <w:rsid w:val="004E078A"/>
    <w:rsid w:val="004E0AC8"/>
    <w:rsid w:val="004E0B18"/>
    <w:rsid w:val="004E0E42"/>
    <w:rsid w:val="004E2132"/>
    <w:rsid w:val="004E2276"/>
    <w:rsid w:val="004E26F3"/>
    <w:rsid w:val="004E279D"/>
    <w:rsid w:val="004E2CB0"/>
    <w:rsid w:val="004E2EDF"/>
    <w:rsid w:val="004E30E2"/>
    <w:rsid w:val="004E3847"/>
    <w:rsid w:val="004E3DF5"/>
    <w:rsid w:val="004E3E87"/>
    <w:rsid w:val="004E4A72"/>
    <w:rsid w:val="004E4B48"/>
    <w:rsid w:val="004E4F25"/>
    <w:rsid w:val="004E536A"/>
    <w:rsid w:val="004E5544"/>
    <w:rsid w:val="004E5599"/>
    <w:rsid w:val="004E666D"/>
    <w:rsid w:val="004E6FB8"/>
    <w:rsid w:val="004E712E"/>
    <w:rsid w:val="004E7C45"/>
    <w:rsid w:val="004E7D88"/>
    <w:rsid w:val="004F0612"/>
    <w:rsid w:val="004F2275"/>
    <w:rsid w:val="004F2AE7"/>
    <w:rsid w:val="004F2E71"/>
    <w:rsid w:val="004F41D3"/>
    <w:rsid w:val="004F5F20"/>
    <w:rsid w:val="004F61C2"/>
    <w:rsid w:val="004F7AB9"/>
    <w:rsid w:val="004F7B12"/>
    <w:rsid w:val="0050076A"/>
    <w:rsid w:val="00501792"/>
    <w:rsid w:val="005026E6"/>
    <w:rsid w:val="005030F6"/>
    <w:rsid w:val="005045CD"/>
    <w:rsid w:val="00504996"/>
    <w:rsid w:val="00504E67"/>
    <w:rsid w:val="005056F8"/>
    <w:rsid w:val="00506809"/>
    <w:rsid w:val="00506F7A"/>
    <w:rsid w:val="00507D11"/>
    <w:rsid w:val="00507F64"/>
    <w:rsid w:val="0051024C"/>
    <w:rsid w:val="0051036F"/>
    <w:rsid w:val="0051053B"/>
    <w:rsid w:val="005108AA"/>
    <w:rsid w:val="00511941"/>
    <w:rsid w:val="00512E1C"/>
    <w:rsid w:val="00513845"/>
    <w:rsid w:val="00513EFA"/>
    <w:rsid w:val="00514B51"/>
    <w:rsid w:val="00515B57"/>
    <w:rsid w:val="00515C13"/>
    <w:rsid w:val="00516704"/>
    <w:rsid w:val="00516C29"/>
    <w:rsid w:val="0051712C"/>
    <w:rsid w:val="005174EE"/>
    <w:rsid w:val="005178F1"/>
    <w:rsid w:val="00517F3C"/>
    <w:rsid w:val="005215B6"/>
    <w:rsid w:val="00521714"/>
    <w:rsid w:val="00522852"/>
    <w:rsid w:val="00523254"/>
    <w:rsid w:val="00523DFD"/>
    <w:rsid w:val="005245DD"/>
    <w:rsid w:val="00525747"/>
    <w:rsid w:val="0052652F"/>
    <w:rsid w:val="00526866"/>
    <w:rsid w:val="005301B1"/>
    <w:rsid w:val="0053029F"/>
    <w:rsid w:val="0053051F"/>
    <w:rsid w:val="00530E07"/>
    <w:rsid w:val="005318B0"/>
    <w:rsid w:val="00531AFE"/>
    <w:rsid w:val="0053286A"/>
    <w:rsid w:val="005329A5"/>
    <w:rsid w:val="00532AD2"/>
    <w:rsid w:val="00532B5E"/>
    <w:rsid w:val="00532BD7"/>
    <w:rsid w:val="0053364D"/>
    <w:rsid w:val="00535B78"/>
    <w:rsid w:val="00536F93"/>
    <w:rsid w:val="00537B9B"/>
    <w:rsid w:val="00537D7F"/>
    <w:rsid w:val="00540105"/>
    <w:rsid w:val="00541568"/>
    <w:rsid w:val="00543805"/>
    <w:rsid w:val="00543C15"/>
    <w:rsid w:val="005455FC"/>
    <w:rsid w:val="005457F4"/>
    <w:rsid w:val="00547997"/>
    <w:rsid w:val="00550997"/>
    <w:rsid w:val="00550DD8"/>
    <w:rsid w:val="00554595"/>
    <w:rsid w:val="00554975"/>
    <w:rsid w:val="005549BF"/>
    <w:rsid w:val="00554D9D"/>
    <w:rsid w:val="00555442"/>
    <w:rsid w:val="00555D25"/>
    <w:rsid w:val="00555D39"/>
    <w:rsid w:val="0055610D"/>
    <w:rsid w:val="00556480"/>
    <w:rsid w:val="00556B7D"/>
    <w:rsid w:val="00556E90"/>
    <w:rsid w:val="0056076B"/>
    <w:rsid w:val="005611FD"/>
    <w:rsid w:val="00562419"/>
    <w:rsid w:val="0056266B"/>
    <w:rsid w:val="005628D2"/>
    <w:rsid w:val="00563917"/>
    <w:rsid w:val="00563C1D"/>
    <w:rsid w:val="00563E23"/>
    <w:rsid w:val="00563FC4"/>
    <w:rsid w:val="00564D72"/>
    <w:rsid w:val="0056520C"/>
    <w:rsid w:val="00565830"/>
    <w:rsid w:val="00565BE2"/>
    <w:rsid w:val="00566C52"/>
    <w:rsid w:val="00567187"/>
    <w:rsid w:val="00567D1E"/>
    <w:rsid w:val="00575C68"/>
    <w:rsid w:val="00576A5B"/>
    <w:rsid w:val="00576BCF"/>
    <w:rsid w:val="00576F54"/>
    <w:rsid w:val="0057749C"/>
    <w:rsid w:val="005778E8"/>
    <w:rsid w:val="00580094"/>
    <w:rsid w:val="00580653"/>
    <w:rsid w:val="00581BD1"/>
    <w:rsid w:val="005829DD"/>
    <w:rsid w:val="00582E1A"/>
    <w:rsid w:val="00583D92"/>
    <w:rsid w:val="00583E52"/>
    <w:rsid w:val="00584327"/>
    <w:rsid w:val="00585B7D"/>
    <w:rsid w:val="00586A77"/>
    <w:rsid w:val="005875CF"/>
    <w:rsid w:val="005901B0"/>
    <w:rsid w:val="00591A34"/>
    <w:rsid w:val="00591BA6"/>
    <w:rsid w:val="00591C79"/>
    <w:rsid w:val="00593614"/>
    <w:rsid w:val="00593A78"/>
    <w:rsid w:val="00594566"/>
    <w:rsid w:val="00594619"/>
    <w:rsid w:val="005957FE"/>
    <w:rsid w:val="005A1097"/>
    <w:rsid w:val="005A12C9"/>
    <w:rsid w:val="005A159E"/>
    <w:rsid w:val="005A168F"/>
    <w:rsid w:val="005A17C2"/>
    <w:rsid w:val="005A261D"/>
    <w:rsid w:val="005A2BA9"/>
    <w:rsid w:val="005A31F6"/>
    <w:rsid w:val="005A363A"/>
    <w:rsid w:val="005A41B8"/>
    <w:rsid w:val="005A46CC"/>
    <w:rsid w:val="005A4D7D"/>
    <w:rsid w:val="005A5B91"/>
    <w:rsid w:val="005A5C1D"/>
    <w:rsid w:val="005A6205"/>
    <w:rsid w:val="005A7A8D"/>
    <w:rsid w:val="005A7D64"/>
    <w:rsid w:val="005B0519"/>
    <w:rsid w:val="005B0E64"/>
    <w:rsid w:val="005B0FC1"/>
    <w:rsid w:val="005B1814"/>
    <w:rsid w:val="005B2126"/>
    <w:rsid w:val="005B2609"/>
    <w:rsid w:val="005B2818"/>
    <w:rsid w:val="005B2AFC"/>
    <w:rsid w:val="005B5A35"/>
    <w:rsid w:val="005B5FD1"/>
    <w:rsid w:val="005B6C94"/>
    <w:rsid w:val="005B6D6C"/>
    <w:rsid w:val="005C0A9B"/>
    <w:rsid w:val="005C0D01"/>
    <w:rsid w:val="005C1680"/>
    <w:rsid w:val="005C17FE"/>
    <w:rsid w:val="005C2A41"/>
    <w:rsid w:val="005C3F01"/>
    <w:rsid w:val="005C563D"/>
    <w:rsid w:val="005C5759"/>
    <w:rsid w:val="005C59BC"/>
    <w:rsid w:val="005C59D8"/>
    <w:rsid w:val="005C5EE5"/>
    <w:rsid w:val="005C670E"/>
    <w:rsid w:val="005C6AE4"/>
    <w:rsid w:val="005C6F62"/>
    <w:rsid w:val="005C7328"/>
    <w:rsid w:val="005D0001"/>
    <w:rsid w:val="005D0177"/>
    <w:rsid w:val="005D17B2"/>
    <w:rsid w:val="005D1CAA"/>
    <w:rsid w:val="005D1D9E"/>
    <w:rsid w:val="005D40FD"/>
    <w:rsid w:val="005D4280"/>
    <w:rsid w:val="005D63FB"/>
    <w:rsid w:val="005D73BD"/>
    <w:rsid w:val="005E05FE"/>
    <w:rsid w:val="005E1857"/>
    <w:rsid w:val="005E1CC1"/>
    <w:rsid w:val="005E26F8"/>
    <w:rsid w:val="005E31FF"/>
    <w:rsid w:val="005E385B"/>
    <w:rsid w:val="005E38C0"/>
    <w:rsid w:val="005E391C"/>
    <w:rsid w:val="005E3CD6"/>
    <w:rsid w:val="005E4338"/>
    <w:rsid w:val="005E502E"/>
    <w:rsid w:val="005E67E8"/>
    <w:rsid w:val="005E6E58"/>
    <w:rsid w:val="005E7365"/>
    <w:rsid w:val="005E77D6"/>
    <w:rsid w:val="005E7BA3"/>
    <w:rsid w:val="005E7F01"/>
    <w:rsid w:val="005F02C2"/>
    <w:rsid w:val="005F03A0"/>
    <w:rsid w:val="005F1A15"/>
    <w:rsid w:val="005F2A54"/>
    <w:rsid w:val="005F2ED7"/>
    <w:rsid w:val="005F3003"/>
    <w:rsid w:val="005F33B5"/>
    <w:rsid w:val="005F33D3"/>
    <w:rsid w:val="005F3E16"/>
    <w:rsid w:val="005F49E8"/>
    <w:rsid w:val="005F4BF8"/>
    <w:rsid w:val="005F4F0C"/>
    <w:rsid w:val="005F5457"/>
    <w:rsid w:val="005F6535"/>
    <w:rsid w:val="00601813"/>
    <w:rsid w:val="00601968"/>
    <w:rsid w:val="006030FB"/>
    <w:rsid w:val="00603C0C"/>
    <w:rsid w:val="00604592"/>
    <w:rsid w:val="006048B2"/>
    <w:rsid w:val="0060493C"/>
    <w:rsid w:val="00604BEE"/>
    <w:rsid w:val="00605042"/>
    <w:rsid w:val="006057FD"/>
    <w:rsid w:val="00606028"/>
    <w:rsid w:val="00606D2E"/>
    <w:rsid w:val="00607009"/>
    <w:rsid w:val="0061041F"/>
    <w:rsid w:val="0061077A"/>
    <w:rsid w:val="00610CAB"/>
    <w:rsid w:val="00611108"/>
    <w:rsid w:val="00611CA2"/>
    <w:rsid w:val="00611DAE"/>
    <w:rsid w:val="006125DA"/>
    <w:rsid w:val="00612740"/>
    <w:rsid w:val="00612B26"/>
    <w:rsid w:val="00613606"/>
    <w:rsid w:val="006137EC"/>
    <w:rsid w:val="0061476E"/>
    <w:rsid w:val="00614770"/>
    <w:rsid w:val="00614EBC"/>
    <w:rsid w:val="00615932"/>
    <w:rsid w:val="0061615A"/>
    <w:rsid w:val="0061626E"/>
    <w:rsid w:val="00617232"/>
    <w:rsid w:val="00617252"/>
    <w:rsid w:val="006172EE"/>
    <w:rsid w:val="0061733B"/>
    <w:rsid w:val="00621115"/>
    <w:rsid w:val="006215A5"/>
    <w:rsid w:val="00621E54"/>
    <w:rsid w:val="006232E7"/>
    <w:rsid w:val="006233DB"/>
    <w:rsid w:val="0062446E"/>
    <w:rsid w:val="00624625"/>
    <w:rsid w:val="00624BA5"/>
    <w:rsid w:val="00624D9B"/>
    <w:rsid w:val="00625500"/>
    <w:rsid w:val="006260B4"/>
    <w:rsid w:val="0062633A"/>
    <w:rsid w:val="00626516"/>
    <w:rsid w:val="00627ADA"/>
    <w:rsid w:val="006302DF"/>
    <w:rsid w:val="006303BB"/>
    <w:rsid w:val="00630E4F"/>
    <w:rsid w:val="00631890"/>
    <w:rsid w:val="0063264F"/>
    <w:rsid w:val="00632A4C"/>
    <w:rsid w:val="00632F3D"/>
    <w:rsid w:val="00633BAD"/>
    <w:rsid w:val="0063420F"/>
    <w:rsid w:val="006347AD"/>
    <w:rsid w:val="00636AAC"/>
    <w:rsid w:val="0063757C"/>
    <w:rsid w:val="00637583"/>
    <w:rsid w:val="00637D8E"/>
    <w:rsid w:val="00640D39"/>
    <w:rsid w:val="006418BB"/>
    <w:rsid w:val="00641E3F"/>
    <w:rsid w:val="00642344"/>
    <w:rsid w:val="0064261D"/>
    <w:rsid w:val="00643304"/>
    <w:rsid w:val="006437F8"/>
    <w:rsid w:val="00645A09"/>
    <w:rsid w:val="00647C6E"/>
    <w:rsid w:val="00647EC8"/>
    <w:rsid w:val="00650430"/>
    <w:rsid w:val="006509BB"/>
    <w:rsid w:val="006510A8"/>
    <w:rsid w:val="006523EF"/>
    <w:rsid w:val="00652571"/>
    <w:rsid w:val="0065310C"/>
    <w:rsid w:val="0065312E"/>
    <w:rsid w:val="006537F3"/>
    <w:rsid w:val="00653EEA"/>
    <w:rsid w:val="00656576"/>
    <w:rsid w:val="0065680F"/>
    <w:rsid w:val="00656B71"/>
    <w:rsid w:val="006575B2"/>
    <w:rsid w:val="00657EEA"/>
    <w:rsid w:val="00660B05"/>
    <w:rsid w:val="0066122C"/>
    <w:rsid w:val="006625E9"/>
    <w:rsid w:val="00662FB9"/>
    <w:rsid w:val="00663276"/>
    <w:rsid w:val="00663748"/>
    <w:rsid w:val="006637AD"/>
    <w:rsid w:val="006648D4"/>
    <w:rsid w:val="00665246"/>
    <w:rsid w:val="006666C8"/>
    <w:rsid w:val="006678A4"/>
    <w:rsid w:val="00667DDC"/>
    <w:rsid w:val="00670035"/>
    <w:rsid w:val="006707B9"/>
    <w:rsid w:val="0067112A"/>
    <w:rsid w:val="00671321"/>
    <w:rsid w:val="0067143C"/>
    <w:rsid w:val="00671567"/>
    <w:rsid w:val="0067217E"/>
    <w:rsid w:val="00672291"/>
    <w:rsid w:val="00672391"/>
    <w:rsid w:val="00672C0F"/>
    <w:rsid w:val="00672CAB"/>
    <w:rsid w:val="0067370E"/>
    <w:rsid w:val="00674DFC"/>
    <w:rsid w:val="006755B7"/>
    <w:rsid w:val="0067668A"/>
    <w:rsid w:val="00676928"/>
    <w:rsid w:val="00676AD4"/>
    <w:rsid w:val="00677AD5"/>
    <w:rsid w:val="00680160"/>
    <w:rsid w:val="006801F4"/>
    <w:rsid w:val="00680E60"/>
    <w:rsid w:val="00681284"/>
    <w:rsid w:val="006814A2"/>
    <w:rsid w:val="00681CBC"/>
    <w:rsid w:val="00682A8C"/>
    <w:rsid w:val="00684283"/>
    <w:rsid w:val="00685318"/>
    <w:rsid w:val="00685536"/>
    <w:rsid w:val="00686A00"/>
    <w:rsid w:val="00687105"/>
    <w:rsid w:val="006901CC"/>
    <w:rsid w:val="00690DB7"/>
    <w:rsid w:val="00692427"/>
    <w:rsid w:val="00692961"/>
    <w:rsid w:val="00693210"/>
    <w:rsid w:val="006932AC"/>
    <w:rsid w:val="00693D96"/>
    <w:rsid w:val="00693F8E"/>
    <w:rsid w:val="00695D72"/>
    <w:rsid w:val="00696679"/>
    <w:rsid w:val="006967D9"/>
    <w:rsid w:val="00696865"/>
    <w:rsid w:val="006968D8"/>
    <w:rsid w:val="00696A2F"/>
    <w:rsid w:val="006972D1"/>
    <w:rsid w:val="0069767E"/>
    <w:rsid w:val="006A0036"/>
    <w:rsid w:val="006A0382"/>
    <w:rsid w:val="006A0B83"/>
    <w:rsid w:val="006A1358"/>
    <w:rsid w:val="006A14B6"/>
    <w:rsid w:val="006A1C78"/>
    <w:rsid w:val="006A27BC"/>
    <w:rsid w:val="006A321C"/>
    <w:rsid w:val="006A35B9"/>
    <w:rsid w:val="006A545F"/>
    <w:rsid w:val="006A5C0C"/>
    <w:rsid w:val="006A5D21"/>
    <w:rsid w:val="006A5FD1"/>
    <w:rsid w:val="006A65F6"/>
    <w:rsid w:val="006A67AB"/>
    <w:rsid w:val="006A6AB1"/>
    <w:rsid w:val="006B0316"/>
    <w:rsid w:val="006B077A"/>
    <w:rsid w:val="006B0C76"/>
    <w:rsid w:val="006B2456"/>
    <w:rsid w:val="006B26D4"/>
    <w:rsid w:val="006B3494"/>
    <w:rsid w:val="006B36AA"/>
    <w:rsid w:val="006B3B19"/>
    <w:rsid w:val="006B4050"/>
    <w:rsid w:val="006B4966"/>
    <w:rsid w:val="006B4D83"/>
    <w:rsid w:val="006B51E4"/>
    <w:rsid w:val="006B564F"/>
    <w:rsid w:val="006B5967"/>
    <w:rsid w:val="006B61B9"/>
    <w:rsid w:val="006B66D5"/>
    <w:rsid w:val="006B6EC3"/>
    <w:rsid w:val="006B704B"/>
    <w:rsid w:val="006B7FBB"/>
    <w:rsid w:val="006C08E1"/>
    <w:rsid w:val="006C0BF6"/>
    <w:rsid w:val="006C14CE"/>
    <w:rsid w:val="006C162F"/>
    <w:rsid w:val="006C2573"/>
    <w:rsid w:val="006C2B30"/>
    <w:rsid w:val="006C36F5"/>
    <w:rsid w:val="006C3B4F"/>
    <w:rsid w:val="006C3EAE"/>
    <w:rsid w:val="006C439A"/>
    <w:rsid w:val="006C4864"/>
    <w:rsid w:val="006C4F3A"/>
    <w:rsid w:val="006C5604"/>
    <w:rsid w:val="006C577B"/>
    <w:rsid w:val="006C67EE"/>
    <w:rsid w:val="006D0314"/>
    <w:rsid w:val="006D0E14"/>
    <w:rsid w:val="006D0F41"/>
    <w:rsid w:val="006D1A1A"/>
    <w:rsid w:val="006D1B92"/>
    <w:rsid w:val="006D2C8E"/>
    <w:rsid w:val="006D5FE0"/>
    <w:rsid w:val="006D67D6"/>
    <w:rsid w:val="006D6A66"/>
    <w:rsid w:val="006D7E58"/>
    <w:rsid w:val="006E2730"/>
    <w:rsid w:val="006E2E48"/>
    <w:rsid w:val="006E34B9"/>
    <w:rsid w:val="006E38AE"/>
    <w:rsid w:val="006E3A70"/>
    <w:rsid w:val="006E4401"/>
    <w:rsid w:val="006E46C4"/>
    <w:rsid w:val="006E530B"/>
    <w:rsid w:val="006E54F7"/>
    <w:rsid w:val="006E5A7C"/>
    <w:rsid w:val="006E6264"/>
    <w:rsid w:val="006E6457"/>
    <w:rsid w:val="006F05A4"/>
    <w:rsid w:val="006F06A2"/>
    <w:rsid w:val="006F3D66"/>
    <w:rsid w:val="006F4304"/>
    <w:rsid w:val="006F618C"/>
    <w:rsid w:val="006F6453"/>
    <w:rsid w:val="006F6630"/>
    <w:rsid w:val="006F7FAB"/>
    <w:rsid w:val="00700EBE"/>
    <w:rsid w:val="00701229"/>
    <w:rsid w:val="00701A76"/>
    <w:rsid w:val="0070343F"/>
    <w:rsid w:val="007062AA"/>
    <w:rsid w:val="007065FC"/>
    <w:rsid w:val="00706706"/>
    <w:rsid w:val="007068FB"/>
    <w:rsid w:val="00706B5C"/>
    <w:rsid w:val="00707259"/>
    <w:rsid w:val="00707567"/>
    <w:rsid w:val="00707E09"/>
    <w:rsid w:val="00710508"/>
    <w:rsid w:val="00710F48"/>
    <w:rsid w:val="00711F50"/>
    <w:rsid w:val="00712059"/>
    <w:rsid w:val="00712FD1"/>
    <w:rsid w:val="0071330B"/>
    <w:rsid w:val="00715EE3"/>
    <w:rsid w:val="00717681"/>
    <w:rsid w:val="0071776B"/>
    <w:rsid w:val="0072072D"/>
    <w:rsid w:val="007215F5"/>
    <w:rsid w:val="0072166D"/>
    <w:rsid w:val="00722602"/>
    <w:rsid w:val="0072298B"/>
    <w:rsid w:val="007230B5"/>
    <w:rsid w:val="0072327F"/>
    <w:rsid w:val="007246D3"/>
    <w:rsid w:val="007250C0"/>
    <w:rsid w:val="007258DD"/>
    <w:rsid w:val="00725B6D"/>
    <w:rsid w:val="00725BBF"/>
    <w:rsid w:val="00725D8D"/>
    <w:rsid w:val="00727220"/>
    <w:rsid w:val="00727887"/>
    <w:rsid w:val="00727C2A"/>
    <w:rsid w:val="00727E83"/>
    <w:rsid w:val="00731476"/>
    <w:rsid w:val="00733F84"/>
    <w:rsid w:val="00734334"/>
    <w:rsid w:val="007353A8"/>
    <w:rsid w:val="0073598B"/>
    <w:rsid w:val="00735A4B"/>
    <w:rsid w:val="00735CA0"/>
    <w:rsid w:val="0073630F"/>
    <w:rsid w:val="007370D2"/>
    <w:rsid w:val="00740480"/>
    <w:rsid w:val="007409E4"/>
    <w:rsid w:val="0074152C"/>
    <w:rsid w:val="00741F17"/>
    <w:rsid w:val="00742107"/>
    <w:rsid w:val="007427EB"/>
    <w:rsid w:val="007448C2"/>
    <w:rsid w:val="00744F93"/>
    <w:rsid w:val="00745AF7"/>
    <w:rsid w:val="00745BD7"/>
    <w:rsid w:val="00745FA9"/>
    <w:rsid w:val="007461CB"/>
    <w:rsid w:val="00747085"/>
    <w:rsid w:val="00752537"/>
    <w:rsid w:val="007537DA"/>
    <w:rsid w:val="00753916"/>
    <w:rsid w:val="007547DA"/>
    <w:rsid w:val="00755EF0"/>
    <w:rsid w:val="00755FB7"/>
    <w:rsid w:val="007568FF"/>
    <w:rsid w:val="00757DE1"/>
    <w:rsid w:val="0076090A"/>
    <w:rsid w:val="007617A3"/>
    <w:rsid w:val="00761B41"/>
    <w:rsid w:val="00763239"/>
    <w:rsid w:val="007632E5"/>
    <w:rsid w:val="00763437"/>
    <w:rsid w:val="00763785"/>
    <w:rsid w:val="007638BA"/>
    <w:rsid w:val="00764604"/>
    <w:rsid w:val="00764790"/>
    <w:rsid w:val="00764C15"/>
    <w:rsid w:val="00765C70"/>
    <w:rsid w:val="00766373"/>
    <w:rsid w:val="00766D7E"/>
    <w:rsid w:val="00767BE5"/>
    <w:rsid w:val="00767F7F"/>
    <w:rsid w:val="007707AB"/>
    <w:rsid w:val="007708BE"/>
    <w:rsid w:val="00770BDA"/>
    <w:rsid w:val="00770D7F"/>
    <w:rsid w:val="00771B13"/>
    <w:rsid w:val="00771BFC"/>
    <w:rsid w:val="00772F5B"/>
    <w:rsid w:val="00774073"/>
    <w:rsid w:val="00775E97"/>
    <w:rsid w:val="00776441"/>
    <w:rsid w:val="00777005"/>
    <w:rsid w:val="007776EE"/>
    <w:rsid w:val="00777772"/>
    <w:rsid w:val="00780825"/>
    <w:rsid w:val="007825D3"/>
    <w:rsid w:val="007853A4"/>
    <w:rsid w:val="00785FC1"/>
    <w:rsid w:val="0078624A"/>
    <w:rsid w:val="00786631"/>
    <w:rsid w:val="007873CF"/>
    <w:rsid w:val="00790270"/>
    <w:rsid w:val="00790411"/>
    <w:rsid w:val="0079107F"/>
    <w:rsid w:val="00791225"/>
    <w:rsid w:val="00793710"/>
    <w:rsid w:val="007939EA"/>
    <w:rsid w:val="00794C0E"/>
    <w:rsid w:val="00794F49"/>
    <w:rsid w:val="00794FB6"/>
    <w:rsid w:val="00795305"/>
    <w:rsid w:val="007953C0"/>
    <w:rsid w:val="007956E5"/>
    <w:rsid w:val="0079593A"/>
    <w:rsid w:val="00795D2F"/>
    <w:rsid w:val="0079609A"/>
    <w:rsid w:val="00796191"/>
    <w:rsid w:val="0079674D"/>
    <w:rsid w:val="00797037"/>
    <w:rsid w:val="007A0694"/>
    <w:rsid w:val="007A0A9F"/>
    <w:rsid w:val="007A0E14"/>
    <w:rsid w:val="007A1759"/>
    <w:rsid w:val="007A3222"/>
    <w:rsid w:val="007A4501"/>
    <w:rsid w:val="007A4594"/>
    <w:rsid w:val="007A4916"/>
    <w:rsid w:val="007A63D3"/>
    <w:rsid w:val="007A648D"/>
    <w:rsid w:val="007A6E48"/>
    <w:rsid w:val="007A7519"/>
    <w:rsid w:val="007B0EF8"/>
    <w:rsid w:val="007B140F"/>
    <w:rsid w:val="007B3126"/>
    <w:rsid w:val="007B31AD"/>
    <w:rsid w:val="007B4332"/>
    <w:rsid w:val="007B50B2"/>
    <w:rsid w:val="007B61E8"/>
    <w:rsid w:val="007B6634"/>
    <w:rsid w:val="007B7001"/>
    <w:rsid w:val="007B7BF7"/>
    <w:rsid w:val="007B7CE8"/>
    <w:rsid w:val="007C0CBC"/>
    <w:rsid w:val="007C1C31"/>
    <w:rsid w:val="007C1E86"/>
    <w:rsid w:val="007C2AA9"/>
    <w:rsid w:val="007C3EF4"/>
    <w:rsid w:val="007C44E2"/>
    <w:rsid w:val="007C524F"/>
    <w:rsid w:val="007C6224"/>
    <w:rsid w:val="007C67B7"/>
    <w:rsid w:val="007C6A3E"/>
    <w:rsid w:val="007C7084"/>
    <w:rsid w:val="007C7220"/>
    <w:rsid w:val="007D04DC"/>
    <w:rsid w:val="007D0A62"/>
    <w:rsid w:val="007D0B13"/>
    <w:rsid w:val="007D18FA"/>
    <w:rsid w:val="007D1A61"/>
    <w:rsid w:val="007D1AB1"/>
    <w:rsid w:val="007D2211"/>
    <w:rsid w:val="007D34A1"/>
    <w:rsid w:val="007D34D1"/>
    <w:rsid w:val="007D3953"/>
    <w:rsid w:val="007D43AF"/>
    <w:rsid w:val="007D4491"/>
    <w:rsid w:val="007D4DDA"/>
    <w:rsid w:val="007D5728"/>
    <w:rsid w:val="007D57F5"/>
    <w:rsid w:val="007D66AD"/>
    <w:rsid w:val="007D696F"/>
    <w:rsid w:val="007D6F22"/>
    <w:rsid w:val="007E044D"/>
    <w:rsid w:val="007E08B0"/>
    <w:rsid w:val="007E1967"/>
    <w:rsid w:val="007E210D"/>
    <w:rsid w:val="007E2BEB"/>
    <w:rsid w:val="007E4585"/>
    <w:rsid w:val="007E547D"/>
    <w:rsid w:val="007E6259"/>
    <w:rsid w:val="007F0ABD"/>
    <w:rsid w:val="007F0CBA"/>
    <w:rsid w:val="007F1069"/>
    <w:rsid w:val="007F1877"/>
    <w:rsid w:val="007F23E3"/>
    <w:rsid w:val="007F3725"/>
    <w:rsid w:val="007F3787"/>
    <w:rsid w:val="007F4956"/>
    <w:rsid w:val="007F4A16"/>
    <w:rsid w:val="007F541D"/>
    <w:rsid w:val="007F5469"/>
    <w:rsid w:val="007F6F80"/>
    <w:rsid w:val="00800915"/>
    <w:rsid w:val="00800CE9"/>
    <w:rsid w:val="008019E5"/>
    <w:rsid w:val="00801BF7"/>
    <w:rsid w:val="008021BC"/>
    <w:rsid w:val="00802887"/>
    <w:rsid w:val="00802EE1"/>
    <w:rsid w:val="0080459D"/>
    <w:rsid w:val="00804C5F"/>
    <w:rsid w:val="0080560E"/>
    <w:rsid w:val="00806967"/>
    <w:rsid w:val="00806B5E"/>
    <w:rsid w:val="0080726B"/>
    <w:rsid w:val="00807EBC"/>
    <w:rsid w:val="0081244D"/>
    <w:rsid w:val="00812D0C"/>
    <w:rsid w:val="00813788"/>
    <w:rsid w:val="00813EC5"/>
    <w:rsid w:val="00814A7E"/>
    <w:rsid w:val="0081588A"/>
    <w:rsid w:val="00815924"/>
    <w:rsid w:val="00815978"/>
    <w:rsid w:val="008159BA"/>
    <w:rsid w:val="00816D4A"/>
    <w:rsid w:val="00817065"/>
    <w:rsid w:val="00817973"/>
    <w:rsid w:val="0082031C"/>
    <w:rsid w:val="00820470"/>
    <w:rsid w:val="00821838"/>
    <w:rsid w:val="008219F1"/>
    <w:rsid w:val="00821D5E"/>
    <w:rsid w:val="00821FB7"/>
    <w:rsid w:val="008220C1"/>
    <w:rsid w:val="00822550"/>
    <w:rsid w:val="00822E52"/>
    <w:rsid w:val="00823A77"/>
    <w:rsid w:val="0082406A"/>
    <w:rsid w:val="00824B3F"/>
    <w:rsid w:val="008254C4"/>
    <w:rsid w:val="008263EA"/>
    <w:rsid w:val="00826EA1"/>
    <w:rsid w:val="00827189"/>
    <w:rsid w:val="008275C9"/>
    <w:rsid w:val="008309D6"/>
    <w:rsid w:val="00832564"/>
    <w:rsid w:val="008329BD"/>
    <w:rsid w:val="00832ECC"/>
    <w:rsid w:val="008331FE"/>
    <w:rsid w:val="00835203"/>
    <w:rsid w:val="008355D8"/>
    <w:rsid w:val="00836BEC"/>
    <w:rsid w:val="00837BA5"/>
    <w:rsid w:val="0084013F"/>
    <w:rsid w:val="008406DC"/>
    <w:rsid w:val="0084119C"/>
    <w:rsid w:val="00841A98"/>
    <w:rsid w:val="00841FEA"/>
    <w:rsid w:val="00842E5E"/>
    <w:rsid w:val="0084328D"/>
    <w:rsid w:val="00843378"/>
    <w:rsid w:val="008435D6"/>
    <w:rsid w:val="00843B04"/>
    <w:rsid w:val="00843DA3"/>
    <w:rsid w:val="00843E20"/>
    <w:rsid w:val="00846195"/>
    <w:rsid w:val="00846B51"/>
    <w:rsid w:val="008470A1"/>
    <w:rsid w:val="00847D26"/>
    <w:rsid w:val="008507B3"/>
    <w:rsid w:val="008530E8"/>
    <w:rsid w:val="00853914"/>
    <w:rsid w:val="008541F6"/>
    <w:rsid w:val="00854ABD"/>
    <w:rsid w:val="00855E40"/>
    <w:rsid w:val="00856265"/>
    <w:rsid w:val="008571F2"/>
    <w:rsid w:val="00857903"/>
    <w:rsid w:val="00857B46"/>
    <w:rsid w:val="00860163"/>
    <w:rsid w:val="00860933"/>
    <w:rsid w:val="00860D38"/>
    <w:rsid w:val="00860E44"/>
    <w:rsid w:val="00862017"/>
    <w:rsid w:val="008624A7"/>
    <w:rsid w:val="00862785"/>
    <w:rsid w:val="0086293B"/>
    <w:rsid w:val="008639DD"/>
    <w:rsid w:val="00863CD2"/>
    <w:rsid w:val="00863DEE"/>
    <w:rsid w:val="008648A2"/>
    <w:rsid w:val="008653FD"/>
    <w:rsid w:val="008700D7"/>
    <w:rsid w:val="008701BF"/>
    <w:rsid w:val="008706FE"/>
    <w:rsid w:val="008706FF"/>
    <w:rsid w:val="00871E08"/>
    <w:rsid w:val="0087234A"/>
    <w:rsid w:val="00872A76"/>
    <w:rsid w:val="00872D29"/>
    <w:rsid w:val="00873322"/>
    <w:rsid w:val="0087382E"/>
    <w:rsid w:val="008743BE"/>
    <w:rsid w:val="00874F8C"/>
    <w:rsid w:val="008764E2"/>
    <w:rsid w:val="00876FB4"/>
    <w:rsid w:val="0087727B"/>
    <w:rsid w:val="00877C8D"/>
    <w:rsid w:val="00877CE1"/>
    <w:rsid w:val="0088059E"/>
    <w:rsid w:val="00880B0B"/>
    <w:rsid w:val="00880FDB"/>
    <w:rsid w:val="00881F9E"/>
    <w:rsid w:val="00883299"/>
    <w:rsid w:val="0088399B"/>
    <w:rsid w:val="00884157"/>
    <w:rsid w:val="008857B3"/>
    <w:rsid w:val="00885DB0"/>
    <w:rsid w:val="008867D5"/>
    <w:rsid w:val="00887802"/>
    <w:rsid w:val="00887A8C"/>
    <w:rsid w:val="00890D95"/>
    <w:rsid w:val="008920EF"/>
    <w:rsid w:val="0089245B"/>
    <w:rsid w:val="008925AA"/>
    <w:rsid w:val="0089548D"/>
    <w:rsid w:val="008A0F26"/>
    <w:rsid w:val="008A1266"/>
    <w:rsid w:val="008A17EE"/>
    <w:rsid w:val="008A1B46"/>
    <w:rsid w:val="008A21DF"/>
    <w:rsid w:val="008A24DE"/>
    <w:rsid w:val="008A2BB1"/>
    <w:rsid w:val="008A3D9B"/>
    <w:rsid w:val="008A5381"/>
    <w:rsid w:val="008A54D1"/>
    <w:rsid w:val="008A66F5"/>
    <w:rsid w:val="008A6C93"/>
    <w:rsid w:val="008A732A"/>
    <w:rsid w:val="008A74AF"/>
    <w:rsid w:val="008A77F7"/>
    <w:rsid w:val="008B07EE"/>
    <w:rsid w:val="008B0DBB"/>
    <w:rsid w:val="008B1474"/>
    <w:rsid w:val="008B1834"/>
    <w:rsid w:val="008B1C83"/>
    <w:rsid w:val="008B2D1A"/>
    <w:rsid w:val="008B2E47"/>
    <w:rsid w:val="008B34D7"/>
    <w:rsid w:val="008B3A25"/>
    <w:rsid w:val="008B3AE9"/>
    <w:rsid w:val="008B4956"/>
    <w:rsid w:val="008B4A31"/>
    <w:rsid w:val="008B4D14"/>
    <w:rsid w:val="008B5ACB"/>
    <w:rsid w:val="008B62FA"/>
    <w:rsid w:val="008B634A"/>
    <w:rsid w:val="008B673A"/>
    <w:rsid w:val="008B675B"/>
    <w:rsid w:val="008B6CAE"/>
    <w:rsid w:val="008B6D02"/>
    <w:rsid w:val="008B6F4A"/>
    <w:rsid w:val="008B78BF"/>
    <w:rsid w:val="008B7C69"/>
    <w:rsid w:val="008C145C"/>
    <w:rsid w:val="008C18C7"/>
    <w:rsid w:val="008C190A"/>
    <w:rsid w:val="008C1A44"/>
    <w:rsid w:val="008C26A4"/>
    <w:rsid w:val="008C2CE2"/>
    <w:rsid w:val="008C2E4F"/>
    <w:rsid w:val="008C34A9"/>
    <w:rsid w:val="008C374A"/>
    <w:rsid w:val="008C425A"/>
    <w:rsid w:val="008C46CC"/>
    <w:rsid w:val="008C55E4"/>
    <w:rsid w:val="008C5AF8"/>
    <w:rsid w:val="008C5BB0"/>
    <w:rsid w:val="008C6D86"/>
    <w:rsid w:val="008C7FCE"/>
    <w:rsid w:val="008D0DB1"/>
    <w:rsid w:val="008D0E79"/>
    <w:rsid w:val="008D107A"/>
    <w:rsid w:val="008D1CD5"/>
    <w:rsid w:val="008D2971"/>
    <w:rsid w:val="008D29DE"/>
    <w:rsid w:val="008D30C6"/>
    <w:rsid w:val="008D4610"/>
    <w:rsid w:val="008D4E6E"/>
    <w:rsid w:val="008D4F94"/>
    <w:rsid w:val="008D676A"/>
    <w:rsid w:val="008D746E"/>
    <w:rsid w:val="008D7932"/>
    <w:rsid w:val="008E04C0"/>
    <w:rsid w:val="008E0A0E"/>
    <w:rsid w:val="008E1D91"/>
    <w:rsid w:val="008E24CB"/>
    <w:rsid w:val="008E267E"/>
    <w:rsid w:val="008E339C"/>
    <w:rsid w:val="008E3650"/>
    <w:rsid w:val="008E37A9"/>
    <w:rsid w:val="008E4A4B"/>
    <w:rsid w:val="008E4B3A"/>
    <w:rsid w:val="008E5098"/>
    <w:rsid w:val="008E510B"/>
    <w:rsid w:val="008E5A01"/>
    <w:rsid w:val="008E72A0"/>
    <w:rsid w:val="008E739F"/>
    <w:rsid w:val="008F0650"/>
    <w:rsid w:val="008F0C67"/>
    <w:rsid w:val="008F0D13"/>
    <w:rsid w:val="008F455A"/>
    <w:rsid w:val="008F49B0"/>
    <w:rsid w:val="008F5A70"/>
    <w:rsid w:val="008F5DB7"/>
    <w:rsid w:val="008F680B"/>
    <w:rsid w:val="008F70E5"/>
    <w:rsid w:val="008F7662"/>
    <w:rsid w:val="0090218A"/>
    <w:rsid w:val="009024B1"/>
    <w:rsid w:val="009033D4"/>
    <w:rsid w:val="00903497"/>
    <w:rsid w:val="009038B5"/>
    <w:rsid w:val="00905A19"/>
    <w:rsid w:val="00906810"/>
    <w:rsid w:val="0091215A"/>
    <w:rsid w:val="00912421"/>
    <w:rsid w:val="009131E7"/>
    <w:rsid w:val="00913238"/>
    <w:rsid w:val="00913F5B"/>
    <w:rsid w:val="00914A08"/>
    <w:rsid w:val="0091534A"/>
    <w:rsid w:val="00915FFC"/>
    <w:rsid w:val="009164BD"/>
    <w:rsid w:val="00916F84"/>
    <w:rsid w:val="009174DE"/>
    <w:rsid w:val="009179C3"/>
    <w:rsid w:val="00917DA2"/>
    <w:rsid w:val="00920A7F"/>
    <w:rsid w:val="00920B87"/>
    <w:rsid w:val="00920BA6"/>
    <w:rsid w:val="0092117F"/>
    <w:rsid w:val="00922E79"/>
    <w:rsid w:val="00922ED1"/>
    <w:rsid w:val="009235E3"/>
    <w:rsid w:val="00924900"/>
    <w:rsid w:val="00924D56"/>
    <w:rsid w:val="00924FCB"/>
    <w:rsid w:val="00925EA2"/>
    <w:rsid w:val="00926B3A"/>
    <w:rsid w:val="0092706C"/>
    <w:rsid w:val="00927464"/>
    <w:rsid w:val="009276BC"/>
    <w:rsid w:val="00927C9C"/>
    <w:rsid w:val="00930283"/>
    <w:rsid w:val="009302B7"/>
    <w:rsid w:val="009314AD"/>
    <w:rsid w:val="00932E35"/>
    <w:rsid w:val="0093407C"/>
    <w:rsid w:val="009372C5"/>
    <w:rsid w:val="0094148D"/>
    <w:rsid w:val="009415D4"/>
    <w:rsid w:val="00941BEB"/>
    <w:rsid w:val="00942351"/>
    <w:rsid w:val="009428B1"/>
    <w:rsid w:val="00942982"/>
    <w:rsid w:val="00942B8D"/>
    <w:rsid w:val="00942EA3"/>
    <w:rsid w:val="0094377F"/>
    <w:rsid w:val="00943AE2"/>
    <w:rsid w:val="00943CDD"/>
    <w:rsid w:val="00943F53"/>
    <w:rsid w:val="009448F9"/>
    <w:rsid w:val="00944D7F"/>
    <w:rsid w:val="00944DED"/>
    <w:rsid w:val="00945364"/>
    <w:rsid w:val="00946524"/>
    <w:rsid w:val="009466A4"/>
    <w:rsid w:val="00946A83"/>
    <w:rsid w:val="00950358"/>
    <w:rsid w:val="009515A5"/>
    <w:rsid w:val="00952528"/>
    <w:rsid w:val="0095252B"/>
    <w:rsid w:val="009525DC"/>
    <w:rsid w:val="009525F7"/>
    <w:rsid w:val="00952EE0"/>
    <w:rsid w:val="00952F55"/>
    <w:rsid w:val="00953880"/>
    <w:rsid w:val="0095389F"/>
    <w:rsid w:val="00953B82"/>
    <w:rsid w:val="009548EA"/>
    <w:rsid w:val="00954CC4"/>
    <w:rsid w:val="00954E70"/>
    <w:rsid w:val="009553AB"/>
    <w:rsid w:val="00955549"/>
    <w:rsid w:val="0095658E"/>
    <w:rsid w:val="00956C9B"/>
    <w:rsid w:val="00956FC8"/>
    <w:rsid w:val="0095702B"/>
    <w:rsid w:val="00957059"/>
    <w:rsid w:val="00957267"/>
    <w:rsid w:val="00957821"/>
    <w:rsid w:val="00957AA4"/>
    <w:rsid w:val="00961724"/>
    <w:rsid w:val="0096315B"/>
    <w:rsid w:val="009632BB"/>
    <w:rsid w:val="00963A10"/>
    <w:rsid w:val="00963C2D"/>
    <w:rsid w:val="00963E16"/>
    <w:rsid w:val="0096438D"/>
    <w:rsid w:val="00964E69"/>
    <w:rsid w:val="0096551C"/>
    <w:rsid w:val="009662FA"/>
    <w:rsid w:val="00967C24"/>
    <w:rsid w:val="009700ED"/>
    <w:rsid w:val="009705FE"/>
    <w:rsid w:val="0097147C"/>
    <w:rsid w:val="009718BA"/>
    <w:rsid w:val="009720A3"/>
    <w:rsid w:val="00973F6B"/>
    <w:rsid w:val="00974284"/>
    <w:rsid w:val="009742B4"/>
    <w:rsid w:val="00974637"/>
    <w:rsid w:val="009751DF"/>
    <w:rsid w:val="009755FC"/>
    <w:rsid w:val="0097560A"/>
    <w:rsid w:val="00975C05"/>
    <w:rsid w:val="00975D88"/>
    <w:rsid w:val="009764CB"/>
    <w:rsid w:val="00980060"/>
    <w:rsid w:val="00981D14"/>
    <w:rsid w:val="00982495"/>
    <w:rsid w:val="00983731"/>
    <w:rsid w:val="00984346"/>
    <w:rsid w:val="00984647"/>
    <w:rsid w:val="00986C77"/>
    <w:rsid w:val="00990B73"/>
    <w:rsid w:val="00991193"/>
    <w:rsid w:val="0099129E"/>
    <w:rsid w:val="00992077"/>
    <w:rsid w:val="00993306"/>
    <w:rsid w:val="009941A9"/>
    <w:rsid w:val="00996C6F"/>
    <w:rsid w:val="00996EF6"/>
    <w:rsid w:val="00996F77"/>
    <w:rsid w:val="009A1244"/>
    <w:rsid w:val="009A2298"/>
    <w:rsid w:val="009A24A5"/>
    <w:rsid w:val="009A2628"/>
    <w:rsid w:val="009A283F"/>
    <w:rsid w:val="009A28F4"/>
    <w:rsid w:val="009A33BE"/>
    <w:rsid w:val="009A34F2"/>
    <w:rsid w:val="009A3795"/>
    <w:rsid w:val="009A5A1E"/>
    <w:rsid w:val="009A5BE4"/>
    <w:rsid w:val="009A5FE3"/>
    <w:rsid w:val="009A62DF"/>
    <w:rsid w:val="009A6310"/>
    <w:rsid w:val="009A698C"/>
    <w:rsid w:val="009B0CCF"/>
    <w:rsid w:val="009B15E2"/>
    <w:rsid w:val="009B1792"/>
    <w:rsid w:val="009B1EB7"/>
    <w:rsid w:val="009B2432"/>
    <w:rsid w:val="009B2433"/>
    <w:rsid w:val="009B2559"/>
    <w:rsid w:val="009B32FA"/>
    <w:rsid w:val="009B3336"/>
    <w:rsid w:val="009B4F75"/>
    <w:rsid w:val="009B51CF"/>
    <w:rsid w:val="009B63FB"/>
    <w:rsid w:val="009B6CA0"/>
    <w:rsid w:val="009C0A22"/>
    <w:rsid w:val="009C14FA"/>
    <w:rsid w:val="009C22E7"/>
    <w:rsid w:val="009C269F"/>
    <w:rsid w:val="009C2EE2"/>
    <w:rsid w:val="009C4A8F"/>
    <w:rsid w:val="009C4C3C"/>
    <w:rsid w:val="009C62A4"/>
    <w:rsid w:val="009C6A15"/>
    <w:rsid w:val="009C6DA1"/>
    <w:rsid w:val="009C795C"/>
    <w:rsid w:val="009D036D"/>
    <w:rsid w:val="009D0EF0"/>
    <w:rsid w:val="009D1692"/>
    <w:rsid w:val="009D284F"/>
    <w:rsid w:val="009D31D7"/>
    <w:rsid w:val="009D33FE"/>
    <w:rsid w:val="009D3518"/>
    <w:rsid w:val="009D46BA"/>
    <w:rsid w:val="009D65BD"/>
    <w:rsid w:val="009D6D36"/>
    <w:rsid w:val="009D6E33"/>
    <w:rsid w:val="009D79E3"/>
    <w:rsid w:val="009D7B90"/>
    <w:rsid w:val="009E0DD6"/>
    <w:rsid w:val="009E1C8E"/>
    <w:rsid w:val="009E2329"/>
    <w:rsid w:val="009E2560"/>
    <w:rsid w:val="009E273A"/>
    <w:rsid w:val="009E3415"/>
    <w:rsid w:val="009E3636"/>
    <w:rsid w:val="009E44F3"/>
    <w:rsid w:val="009E4EE3"/>
    <w:rsid w:val="009E5757"/>
    <w:rsid w:val="009E637D"/>
    <w:rsid w:val="009E6456"/>
    <w:rsid w:val="009E71DF"/>
    <w:rsid w:val="009F00B1"/>
    <w:rsid w:val="009F011F"/>
    <w:rsid w:val="009F063D"/>
    <w:rsid w:val="009F1223"/>
    <w:rsid w:val="009F14F8"/>
    <w:rsid w:val="009F1594"/>
    <w:rsid w:val="009F2203"/>
    <w:rsid w:val="009F2500"/>
    <w:rsid w:val="009F2C9F"/>
    <w:rsid w:val="009F386E"/>
    <w:rsid w:val="009F49A3"/>
    <w:rsid w:val="009F4A69"/>
    <w:rsid w:val="009F574C"/>
    <w:rsid w:val="009F5875"/>
    <w:rsid w:val="009F5A7B"/>
    <w:rsid w:val="009F5D5B"/>
    <w:rsid w:val="009F76C2"/>
    <w:rsid w:val="00A00F42"/>
    <w:rsid w:val="00A0187B"/>
    <w:rsid w:val="00A01BC5"/>
    <w:rsid w:val="00A01FA1"/>
    <w:rsid w:val="00A03007"/>
    <w:rsid w:val="00A04A58"/>
    <w:rsid w:val="00A05983"/>
    <w:rsid w:val="00A07443"/>
    <w:rsid w:val="00A07778"/>
    <w:rsid w:val="00A07A04"/>
    <w:rsid w:val="00A07E41"/>
    <w:rsid w:val="00A10A56"/>
    <w:rsid w:val="00A11B8A"/>
    <w:rsid w:val="00A12A54"/>
    <w:rsid w:val="00A137C0"/>
    <w:rsid w:val="00A13A64"/>
    <w:rsid w:val="00A141FB"/>
    <w:rsid w:val="00A143A5"/>
    <w:rsid w:val="00A15A0D"/>
    <w:rsid w:val="00A21916"/>
    <w:rsid w:val="00A222C2"/>
    <w:rsid w:val="00A22BD3"/>
    <w:rsid w:val="00A23304"/>
    <w:rsid w:val="00A244AB"/>
    <w:rsid w:val="00A26381"/>
    <w:rsid w:val="00A265F2"/>
    <w:rsid w:val="00A26A75"/>
    <w:rsid w:val="00A26C72"/>
    <w:rsid w:val="00A27023"/>
    <w:rsid w:val="00A277C8"/>
    <w:rsid w:val="00A27EF4"/>
    <w:rsid w:val="00A3222C"/>
    <w:rsid w:val="00A326D1"/>
    <w:rsid w:val="00A32E95"/>
    <w:rsid w:val="00A342B2"/>
    <w:rsid w:val="00A342D1"/>
    <w:rsid w:val="00A35398"/>
    <w:rsid w:val="00A3758B"/>
    <w:rsid w:val="00A379C6"/>
    <w:rsid w:val="00A4123D"/>
    <w:rsid w:val="00A412D7"/>
    <w:rsid w:val="00A414B5"/>
    <w:rsid w:val="00A421AD"/>
    <w:rsid w:val="00A425D1"/>
    <w:rsid w:val="00A427F0"/>
    <w:rsid w:val="00A428D4"/>
    <w:rsid w:val="00A42994"/>
    <w:rsid w:val="00A42A6E"/>
    <w:rsid w:val="00A42C86"/>
    <w:rsid w:val="00A435BC"/>
    <w:rsid w:val="00A46643"/>
    <w:rsid w:val="00A46EB0"/>
    <w:rsid w:val="00A46F8C"/>
    <w:rsid w:val="00A47FBA"/>
    <w:rsid w:val="00A50153"/>
    <w:rsid w:val="00A50711"/>
    <w:rsid w:val="00A50727"/>
    <w:rsid w:val="00A51E19"/>
    <w:rsid w:val="00A52B33"/>
    <w:rsid w:val="00A53F16"/>
    <w:rsid w:val="00A56746"/>
    <w:rsid w:val="00A56B77"/>
    <w:rsid w:val="00A600E9"/>
    <w:rsid w:val="00A60F90"/>
    <w:rsid w:val="00A6133F"/>
    <w:rsid w:val="00A624C1"/>
    <w:rsid w:val="00A62A41"/>
    <w:rsid w:val="00A62A45"/>
    <w:rsid w:val="00A63733"/>
    <w:rsid w:val="00A640D2"/>
    <w:rsid w:val="00A64D82"/>
    <w:rsid w:val="00A64EFE"/>
    <w:rsid w:val="00A65045"/>
    <w:rsid w:val="00A65D93"/>
    <w:rsid w:val="00A661F0"/>
    <w:rsid w:val="00A662F5"/>
    <w:rsid w:val="00A66ABC"/>
    <w:rsid w:val="00A707E8"/>
    <w:rsid w:val="00A70F71"/>
    <w:rsid w:val="00A71618"/>
    <w:rsid w:val="00A71930"/>
    <w:rsid w:val="00A71BC1"/>
    <w:rsid w:val="00A7251C"/>
    <w:rsid w:val="00A7497E"/>
    <w:rsid w:val="00A74A47"/>
    <w:rsid w:val="00A74E2F"/>
    <w:rsid w:val="00A755AC"/>
    <w:rsid w:val="00A7621B"/>
    <w:rsid w:val="00A76259"/>
    <w:rsid w:val="00A764DA"/>
    <w:rsid w:val="00A81EA6"/>
    <w:rsid w:val="00A82540"/>
    <w:rsid w:val="00A82945"/>
    <w:rsid w:val="00A84658"/>
    <w:rsid w:val="00A84C1F"/>
    <w:rsid w:val="00A85132"/>
    <w:rsid w:val="00A856A2"/>
    <w:rsid w:val="00A857C8"/>
    <w:rsid w:val="00A85F8B"/>
    <w:rsid w:val="00A8735D"/>
    <w:rsid w:val="00A87544"/>
    <w:rsid w:val="00A90EC0"/>
    <w:rsid w:val="00A91D00"/>
    <w:rsid w:val="00A922ED"/>
    <w:rsid w:val="00A92AE8"/>
    <w:rsid w:val="00A92F89"/>
    <w:rsid w:val="00A933C8"/>
    <w:rsid w:val="00A93C21"/>
    <w:rsid w:val="00A940F3"/>
    <w:rsid w:val="00A949B4"/>
    <w:rsid w:val="00A95C83"/>
    <w:rsid w:val="00A96825"/>
    <w:rsid w:val="00A96D13"/>
    <w:rsid w:val="00A974E5"/>
    <w:rsid w:val="00A975B3"/>
    <w:rsid w:val="00AA06F4"/>
    <w:rsid w:val="00AA0A94"/>
    <w:rsid w:val="00AA1D62"/>
    <w:rsid w:val="00AA2F76"/>
    <w:rsid w:val="00AA3587"/>
    <w:rsid w:val="00AA3AB5"/>
    <w:rsid w:val="00AA40F5"/>
    <w:rsid w:val="00AA4935"/>
    <w:rsid w:val="00AA54F8"/>
    <w:rsid w:val="00AA677C"/>
    <w:rsid w:val="00AA71C0"/>
    <w:rsid w:val="00AA7DA3"/>
    <w:rsid w:val="00AA7DA8"/>
    <w:rsid w:val="00AB028D"/>
    <w:rsid w:val="00AB04B3"/>
    <w:rsid w:val="00AB0E31"/>
    <w:rsid w:val="00AB1CD6"/>
    <w:rsid w:val="00AB3BB9"/>
    <w:rsid w:val="00AB4155"/>
    <w:rsid w:val="00AB46A0"/>
    <w:rsid w:val="00AB48DD"/>
    <w:rsid w:val="00AB5169"/>
    <w:rsid w:val="00AB58A9"/>
    <w:rsid w:val="00AB5D02"/>
    <w:rsid w:val="00AB61FD"/>
    <w:rsid w:val="00AB6590"/>
    <w:rsid w:val="00AB671E"/>
    <w:rsid w:val="00AB69BB"/>
    <w:rsid w:val="00AB6A42"/>
    <w:rsid w:val="00AB6FFA"/>
    <w:rsid w:val="00AB7FC2"/>
    <w:rsid w:val="00AC010B"/>
    <w:rsid w:val="00AC1494"/>
    <w:rsid w:val="00AC23F5"/>
    <w:rsid w:val="00AC3485"/>
    <w:rsid w:val="00AC375B"/>
    <w:rsid w:val="00AC3DA8"/>
    <w:rsid w:val="00AC48F1"/>
    <w:rsid w:val="00AC4CC9"/>
    <w:rsid w:val="00AC5AF5"/>
    <w:rsid w:val="00AC5DBF"/>
    <w:rsid w:val="00AC674A"/>
    <w:rsid w:val="00AC76D9"/>
    <w:rsid w:val="00AC7AB9"/>
    <w:rsid w:val="00AC7AC4"/>
    <w:rsid w:val="00AD045A"/>
    <w:rsid w:val="00AD082D"/>
    <w:rsid w:val="00AD2E17"/>
    <w:rsid w:val="00AD3168"/>
    <w:rsid w:val="00AD3441"/>
    <w:rsid w:val="00AD364A"/>
    <w:rsid w:val="00AD41EB"/>
    <w:rsid w:val="00AD563B"/>
    <w:rsid w:val="00AD5730"/>
    <w:rsid w:val="00AD588F"/>
    <w:rsid w:val="00AD5A74"/>
    <w:rsid w:val="00AD6E7E"/>
    <w:rsid w:val="00AD7003"/>
    <w:rsid w:val="00AD731B"/>
    <w:rsid w:val="00AE037B"/>
    <w:rsid w:val="00AE14D8"/>
    <w:rsid w:val="00AE181F"/>
    <w:rsid w:val="00AE20D8"/>
    <w:rsid w:val="00AE32C3"/>
    <w:rsid w:val="00AE360A"/>
    <w:rsid w:val="00AE3977"/>
    <w:rsid w:val="00AE39D1"/>
    <w:rsid w:val="00AE498F"/>
    <w:rsid w:val="00AE5890"/>
    <w:rsid w:val="00AE641E"/>
    <w:rsid w:val="00AE6E04"/>
    <w:rsid w:val="00AE73F3"/>
    <w:rsid w:val="00AE7D94"/>
    <w:rsid w:val="00AF002C"/>
    <w:rsid w:val="00AF0F69"/>
    <w:rsid w:val="00AF1062"/>
    <w:rsid w:val="00AF1367"/>
    <w:rsid w:val="00AF166E"/>
    <w:rsid w:val="00AF1CD9"/>
    <w:rsid w:val="00AF1F4F"/>
    <w:rsid w:val="00AF23E6"/>
    <w:rsid w:val="00AF270F"/>
    <w:rsid w:val="00AF3B7A"/>
    <w:rsid w:val="00AF5168"/>
    <w:rsid w:val="00AF55D9"/>
    <w:rsid w:val="00AF5D7A"/>
    <w:rsid w:val="00AF6255"/>
    <w:rsid w:val="00AF65DA"/>
    <w:rsid w:val="00AF6AC2"/>
    <w:rsid w:val="00AF6F7A"/>
    <w:rsid w:val="00AF794E"/>
    <w:rsid w:val="00AF7D85"/>
    <w:rsid w:val="00B007EA"/>
    <w:rsid w:val="00B01605"/>
    <w:rsid w:val="00B02A34"/>
    <w:rsid w:val="00B03193"/>
    <w:rsid w:val="00B04503"/>
    <w:rsid w:val="00B04D15"/>
    <w:rsid w:val="00B06EFB"/>
    <w:rsid w:val="00B0725A"/>
    <w:rsid w:val="00B10769"/>
    <w:rsid w:val="00B11278"/>
    <w:rsid w:val="00B11679"/>
    <w:rsid w:val="00B11701"/>
    <w:rsid w:val="00B11F9A"/>
    <w:rsid w:val="00B12086"/>
    <w:rsid w:val="00B13EC3"/>
    <w:rsid w:val="00B13F6E"/>
    <w:rsid w:val="00B14E5D"/>
    <w:rsid w:val="00B15025"/>
    <w:rsid w:val="00B1562F"/>
    <w:rsid w:val="00B1579C"/>
    <w:rsid w:val="00B15C6D"/>
    <w:rsid w:val="00B16564"/>
    <w:rsid w:val="00B16660"/>
    <w:rsid w:val="00B16767"/>
    <w:rsid w:val="00B1729E"/>
    <w:rsid w:val="00B20096"/>
    <w:rsid w:val="00B20795"/>
    <w:rsid w:val="00B21903"/>
    <w:rsid w:val="00B22039"/>
    <w:rsid w:val="00B22663"/>
    <w:rsid w:val="00B22C05"/>
    <w:rsid w:val="00B24F6D"/>
    <w:rsid w:val="00B25028"/>
    <w:rsid w:val="00B251F9"/>
    <w:rsid w:val="00B25274"/>
    <w:rsid w:val="00B26146"/>
    <w:rsid w:val="00B26327"/>
    <w:rsid w:val="00B2700D"/>
    <w:rsid w:val="00B275A3"/>
    <w:rsid w:val="00B2779E"/>
    <w:rsid w:val="00B30659"/>
    <w:rsid w:val="00B30BFA"/>
    <w:rsid w:val="00B31127"/>
    <w:rsid w:val="00B313C9"/>
    <w:rsid w:val="00B3143D"/>
    <w:rsid w:val="00B31B73"/>
    <w:rsid w:val="00B31CD4"/>
    <w:rsid w:val="00B32AF2"/>
    <w:rsid w:val="00B3342C"/>
    <w:rsid w:val="00B34C2C"/>
    <w:rsid w:val="00B34EBB"/>
    <w:rsid w:val="00B3573C"/>
    <w:rsid w:val="00B35923"/>
    <w:rsid w:val="00B36836"/>
    <w:rsid w:val="00B36DB3"/>
    <w:rsid w:val="00B36EA5"/>
    <w:rsid w:val="00B37E97"/>
    <w:rsid w:val="00B40E83"/>
    <w:rsid w:val="00B41FA8"/>
    <w:rsid w:val="00B43545"/>
    <w:rsid w:val="00B43AC8"/>
    <w:rsid w:val="00B4427A"/>
    <w:rsid w:val="00B44480"/>
    <w:rsid w:val="00B446ED"/>
    <w:rsid w:val="00B44914"/>
    <w:rsid w:val="00B45527"/>
    <w:rsid w:val="00B45E0B"/>
    <w:rsid w:val="00B460DA"/>
    <w:rsid w:val="00B46137"/>
    <w:rsid w:val="00B47671"/>
    <w:rsid w:val="00B50375"/>
    <w:rsid w:val="00B51B21"/>
    <w:rsid w:val="00B53040"/>
    <w:rsid w:val="00B5367F"/>
    <w:rsid w:val="00B53A99"/>
    <w:rsid w:val="00B54023"/>
    <w:rsid w:val="00B5517A"/>
    <w:rsid w:val="00B562E7"/>
    <w:rsid w:val="00B56456"/>
    <w:rsid w:val="00B570C0"/>
    <w:rsid w:val="00B60025"/>
    <w:rsid w:val="00B604FF"/>
    <w:rsid w:val="00B60FBA"/>
    <w:rsid w:val="00B61223"/>
    <w:rsid w:val="00B612A3"/>
    <w:rsid w:val="00B6132B"/>
    <w:rsid w:val="00B61935"/>
    <w:rsid w:val="00B61EFC"/>
    <w:rsid w:val="00B624E8"/>
    <w:rsid w:val="00B63DEC"/>
    <w:rsid w:val="00B63F2C"/>
    <w:rsid w:val="00B640D5"/>
    <w:rsid w:val="00B656E5"/>
    <w:rsid w:val="00B65706"/>
    <w:rsid w:val="00B66751"/>
    <w:rsid w:val="00B66BE0"/>
    <w:rsid w:val="00B70FA6"/>
    <w:rsid w:val="00B718A2"/>
    <w:rsid w:val="00B71B8F"/>
    <w:rsid w:val="00B73307"/>
    <w:rsid w:val="00B7345A"/>
    <w:rsid w:val="00B735A2"/>
    <w:rsid w:val="00B73853"/>
    <w:rsid w:val="00B73DB5"/>
    <w:rsid w:val="00B75E6A"/>
    <w:rsid w:val="00B76C7F"/>
    <w:rsid w:val="00B77AF5"/>
    <w:rsid w:val="00B81FA0"/>
    <w:rsid w:val="00B830FB"/>
    <w:rsid w:val="00B83434"/>
    <w:rsid w:val="00B8532A"/>
    <w:rsid w:val="00B8561D"/>
    <w:rsid w:val="00B85A26"/>
    <w:rsid w:val="00B86A21"/>
    <w:rsid w:val="00B86EF8"/>
    <w:rsid w:val="00B877DA"/>
    <w:rsid w:val="00B87801"/>
    <w:rsid w:val="00B879F4"/>
    <w:rsid w:val="00B87A8C"/>
    <w:rsid w:val="00B92AD9"/>
    <w:rsid w:val="00B93136"/>
    <w:rsid w:val="00B9348E"/>
    <w:rsid w:val="00B95A95"/>
    <w:rsid w:val="00B95C37"/>
    <w:rsid w:val="00B9623F"/>
    <w:rsid w:val="00B9638D"/>
    <w:rsid w:val="00B96BEF"/>
    <w:rsid w:val="00B97525"/>
    <w:rsid w:val="00B97903"/>
    <w:rsid w:val="00B97FA4"/>
    <w:rsid w:val="00BA0EDD"/>
    <w:rsid w:val="00BA1559"/>
    <w:rsid w:val="00BA1A3A"/>
    <w:rsid w:val="00BA1E97"/>
    <w:rsid w:val="00BA2D20"/>
    <w:rsid w:val="00BA2F5A"/>
    <w:rsid w:val="00BA3450"/>
    <w:rsid w:val="00BA409B"/>
    <w:rsid w:val="00BA43BE"/>
    <w:rsid w:val="00BA4A78"/>
    <w:rsid w:val="00BA4ABE"/>
    <w:rsid w:val="00BA4C80"/>
    <w:rsid w:val="00BA4CAB"/>
    <w:rsid w:val="00BA5CFC"/>
    <w:rsid w:val="00BA79AB"/>
    <w:rsid w:val="00BA7BBD"/>
    <w:rsid w:val="00BA7CD7"/>
    <w:rsid w:val="00BB01DC"/>
    <w:rsid w:val="00BB0830"/>
    <w:rsid w:val="00BB10DA"/>
    <w:rsid w:val="00BB169F"/>
    <w:rsid w:val="00BB2E9D"/>
    <w:rsid w:val="00BB441A"/>
    <w:rsid w:val="00BB4D1C"/>
    <w:rsid w:val="00BB4EA5"/>
    <w:rsid w:val="00BB55EB"/>
    <w:rsid w:val="00BB5A56"/>
    <w:rsid w:val="00BB5EC6"/>
    <w:rsid w:val="00BB6547"/>
    <w:rsid w:val="00BB66B7"/>
    <w:rsid w:val="00BB7575"/>
    <w:rsid w:val="00BB7C0F"/>
    <w:rsid w:val="00BC0B29"/>
    <w:rsid w:val="00BC0BBF"/>
    <w:rsid w:val="00BC0BF4"/>
    <w:rsid w:val="00BC0C51"/>
    <w:rsid w:val="00BC1C96"/>
    <w:rsid w:val="00BC3151"/>
    <w:rsid w:val="00BC36BC"/>
    <w:rsid w:val="00BC3D26"/>
    <w:rsid w:val="00BC3FD7"/>
    <w:rsid w:val="00BC46CA"/>
    <w:rsid w:val="00BC5BA6"/>
    <w:rsid w:val="00BC5DE0"/>
    <w:rsid w:val="00BC60FD"/>
    <w:rsid w:val="00BD0006"/>
    <w:rsid w:val="00BD06E1"/>
    <w:rsid w:val="00BD0C10"/>
    <w:rsid w:val="00BD0F2F"/>
    <w:rsid w:val="00BD134D"/>
    <w:rsid w:val="00BD1732"/>
    <w:rsid w:val="00BD19E9"/>
    <w:rsid w:val="00BD1A45"/>
    <w:rsid w:val="00BD1B63"/>
    <w:rsid w:val="00BD26BE"/>
    <w:rsid w:val="00BD3896"/>
    <w:rsid w:val="00BD3D46"/>
    <w:rsid w:val="00BD41E0"/>
    <w:rsid w:val="00BD4983"/>
    <w:rsid w:val="00BD52DB"/>
    <w:rsid w:val="00BD5576"/>
    <w:rsid w:val="00BD5E3D"/>
    <w:rsid w:val="00BD614D"/>
    <w:rsid w:val="00BD6991"/>
    <w:rsid w:val="00BD705A"/>
    <w:rsid w:val="00BE0265"/>
    <w:rsid w:val="00BE0E83"/>
    <w:rsid w:val="00BE15CF"/>
    <w:rsid w:val="00BE21A9"/>
    <w:rsid w:val="00BE26B6"/>
    <w:rsid w:val="00BE2DE3"/>
    <w:rsid w:val="00BE2EFB"/>
    <w:rsid w:val="00BE4717"/>
    <w:rsid w:val="00BE47E7"/>
    <w:rsid w:val="00BE48DA"/>
    <w:rsid w:val="00BE516A"/>
    <w:rsid w:val="00BE52E1"/>
    <w:rsid w:val="00BE6B32"/>
    <w:rsid w:val="00BE7719"/>
    <w:rsid w:val="00BF17B9"/>
    <w:rsid w:val="00BF1F6B"/>
    <w:rsid w:val="00BF2405"/>
    <w:rsid w:val="00BF3946"/>
    <w:rsid w:val="00BF39E0"/>
    <w:rsid w:val="00BF47EF"/>
    <w:rsid w:val="00BF4B3A"/>
    <w:rsid w:val="00BF4F94"/>
    <w:rsid w:val="00BF5DC4"/>
    <w:rsid w:val="00C0000A"/>
    <w:rsid w:val="00C00374"/>
    <w:rsid w:val="00C006E6"/>
    <w:rsid w:val="00C01957"/>
    <w:rsid w:val="00C01F4D"/>
    <w:rsid w:val="00C03318"/>
    <w:rsid w:val="00C03DA5"/>
    <w:rsid w:val="00C03E3F"/>
    <w:rsid w:val="00C06167"/>
    <w:rsid w:val="00C06727"/>
    <w:rsid w:val="00C06814"/>
    <w:rsid w:val="00C06BAC"/>
    <w:rsid w:val="00C07140"/>
    <w:rsid w:val="00C07204"/>
    <w:rsid w:val="00C076A9"/>
    <w:rsid w:val="00C07CA8"/>
    <w:rsid w:val="00C102DA"/>
    <w:rsid w:val="00C11028"/>
    <w:rsid w:val="00C1115F"/>
    <w:rsid w:val="00C11443"/>
    <w:rsid w:val="00C116BA"/>
    <w:rsid w:val="00C1347A"/>
    <w:rsid w:val="00C1402E"/>
    <w:rsid w:val="00C14AA0"/>
    <w:rsid w:val="00C1533C"/>
    <w:rsid w:val="00C15A62"/>
    <w:rsid w:val="00C163BB"/>
    <w:rsid w:val="00C16712"/>
    <w:rsid w:val="00C16F20"/>
    <w:rsid w:val="00C1715F"/>
    <w:rsid w:val="00C17575"/>
    <w:rsid w:val="00C17A0A"/>
    <w:rsid w:val="00C20178"/>
    <w:rsid w:val="00C20ECD"/>
    <w:rsid w:val="00C23CA9"/>
    <w:rsid w:val="00C25FD1"/>
    <w:rsid w:val="00C26465"/>
    <w:rsid w:val="00C26C09"/>
    <w:rsid w:val="00C278D7"/>
    <w:rsid w:val="00C2793F"/>
    <w:rsid w:val="00C30758"/>
    <w:rsid w:val="00C31C97"/>
    <w:rsid w:val="00C325FA"/>
    <w:rsid w:val="00C32859"/>
    <w:rsid w:val="00C32951"/>
    <w:rsid w:val="00C32967"/>
    <w:rsid w:val="00C33348"/>
    <w:rsid w:val="00C33ADF"/>
    <w:rsid w:val="00C33F84"/>
    <w:rsid w:val="00C34557"/>
    <w:rsid w:val="00C34FBC"/>
    <w:rsid w:val="00C3567D"/>
    <w:rsid w:val="00C35ECC"/>
    <w:rsid w:val="00C36D38"/>
    <w:rsid w:val="00C375C6"/>
    <w:rsid w:val="00C37D9A"/>
    <w:rsid w:val="00C37EBE"/>
    <w:rsid w:val="00C406CF"/>
    <w:rsid w:val="00C40F23"/>
    <w:rsid w:val="00C41200"/>
    <w:rsid w:val="00C4173B"/>
    <w:rsid w:val="00C41F78"/>
    <w:rsid w:val="00C41FDC"/>
    <w:rsid w:val="00C43121"/>
    <w:rsid w:val="00C436A9"/>
    <w:rsid w:val="00C439C5"/>
    <w:rsid w:val="00C4428C"/>
    <w:rsid w:val="00C444B3"/>
    <w:rsid w:val="00C44B3B"/>
    <w:rsid w:val="00C44E70"/>
    <w:rsid w:val="00C45074"/>
    <w:rsid w:val="00C47AF2"/>
    <w:rsid w:val="00C53064"/>
    <w:rsid w:val="00C5402D"/>
    <w:rsid w:val="00C54C8E"/>
    <w:rsid w:val="00C55584"/>
    <w:rsid w:val="00C55B3C"/>
    <w:rsid w:val="00C56260"/>
    <w:rsid w:val="00C60615"/>
    <w:rsid w:val="00C60E95"/>
    <w:rsid w:val="00C62106"/>
    <w:rsid w:val="00C6273F"/>
    <w:rsid w:val="00C62DBC"/>
    <w:rsid w:val="00C62EE1"/>
    <w:rsid w:val="00C633D2"/>
    <w:rsid w:val="00C6348E"/>
    <w:rsid w:val="00C636EA"/>
    <w:rsid w:val="00C648EF"/>
    <w:rsid w:val="00C64C6A"/>
    <w:rsid w:val="00C64D89"/>
    <w:rsid w:val="00C65E27"/>
    <w:rsid w:val="00C67A16"/>
    <w:rsid w:val="00C72122"/>
    <w:rsid w:val="00C7322A"/>
    <w:rsid w:val="00C73F3B"/>
    <w:rsid w:val="00C74856"/>
    <w:rsid w:val="00C757B9"/>
    <w:rsid w:val="00C75846"/>
    <w:rsid w:val="00C765DC"/>
    <w:rsid w:val="00C77FD8"/>
    <w:rsid w:val="00C801D9"/>
    <w:rsid w:val="00C8120B"/>
    <w:rsid w:val="00C826B8"/>
    <w:rsid w:val="00C82AFD"/>
    <w:rsid w:val="00C85AEC"/>
    <w:rsid w:val="00C864C7"/>
    <w:rsid w:val="00C873C5"/>
    <w:rsid w:val="00C9202B"/>
    <w:rsid w:val="00C9468C"/>
    <w:rsid w:val="00C949CC"/>
    <w:rsid w:val="00C94D73"/>
    <w:rsid w:val="00C959B4"/>
    <w:rsid w:val="00C96630"/>
    <w:rsid w:val="00C9671C"/>
    <w:rsid w:val="00C96760"/>
    <w:rsid w:val="00C96C67"/>
    <w:rsid w:val="00C96E65"/>
    <w:rsid w:val="00C96FBE"/>
    <w:rsid w:val="00C970A4"/>
    <w:rsid w:val="00C97CE3"/>
    <w:rsid w:val="00CA085E"/>
    <w:rsid w:val="00CA1AB7"/>
    <w:rsid w:val="00CA31D3"/>
    <w:rsid w:val="00CA3BF2"/>
    <w:rsid w:val="00CA4209"/>
    <w:rsid w:val="00CA607B"/>
    <w:rsid w:val="00CA6998"/>
    <w:rsid w:val="00CA6AA8"/>
    <w:rsid w:val="00CA734C"/>
    <w:rsid w:val="00CB13BB"/>
    <w:rsid w:val="00CB13DB"/>
    <w:rsid w:val="00CB1535"/>
    <w:rsid w:val="00CB1BC9"/>
    <w:rsid w:val="00CB2353"/>
    <w:rsid w:val="00CB250F"/>
    <w:rsid w:val="00CB3858"/>
    <w:rsid w:val="00CB3B1C"/>
    <w:rsid w:val="00CB3B61"/>
    <w:rsid w:val="00CB4388"/>
    <w:rsid w:val="00CB593B"/>
    <w:rsid w:val="00CB5CC3"/>
    <w:rsid w:val="00CB60B4"/>
    <w:rsid w:val="00CB67CA"/>
    <w:rsid w:val="00CB7240"/>
    <w:rsid w:val="00CB77F9"/>
    <w:rsid w:val="00CB7BF8"/>
    <w:rsid w:val="00CC1265"/>
    <w:rsid w:val="00CC193E"/>
    <w:rsid w:val="00CC1970"/>
    <w:rsid w:val="00CC1CAB"/>
    <w:rsid w:val="00CC2957"/>
    <w:rsid w:val="00CC4140"/>
    <w:rsid w:val="00CC4701"/>
    <w:rsid w:val="00CC4814"/>
    <w:rsid w:val="00CC4F9B"/>
    <w:rsid w:val="00CC5158"/>
    <w:rsid w:val="00CC5162"/>
    <w:rsid w:val="00CC6C37"/>
    <w:rsid w:val="00CD0750"/>
    <w:rsid w:val="00CD0A36"/>
    <w:rsid w:val="00CD0CC6"/>
    <w:rsid w:val="00CD3432"/>
    <w:rsid w:val="00CD3D0E"/>
    <w:rsid w:val="00CD4184"/>
    <w:rsid w:val="00CD41C8"/>
    <w:rsid w:val="00CD45AD"/>
    <w:rsid w:val="00CD4BC3"/>
    <w:rsid w:val="00CD4CEB"/>
    <w:rsid w:val="00CD5F3F"/>
    <w:rsid w:val="00CD61AB"/>
    <w:rsid w:val="00CD6336"/>
    <w:rsid w:val="00CD639C"/>
    <w:rsid w:val="00CD69F4"/>
    <w:rsid w:val="00CD6E40"/>
    <w:rsid w:val="00CE1E29"/>
    <w:rsid w:val="00CE3117"/>
    <w:rsid w:val="00CE38D4"/>
    <w:rsid w:val="00CE5F60"/>
    <w:rsid w:val="00CE63D1"/>
    <w:rsid w:val="00CE697E"/>
    <w:rsid w:val="00CF0488"/>
    <w:rsid w:val="00CF074F"/>
    <w:rsid w:val="00CF1357"/>
    <w:rsid w:val="00CF14C8"/>
    <w:rsid w:val="00CF1589"/>
    <w:rsid w:val="00CF329C"/>
    <w:rsid w:val="00CF33E3"/>
    <w:rsid w:val="00CF3A8B"/>
    <w:rsid w:val="00CF3ACC"/>
    <w:rsid w:val="00CF3CAD"/>
    <w:rsid w:val="00CF3CFD"/>
    <w:rsid w:val="00CF4424"/>
    <w:rsid w:val="00CF4BE6"/>
    <w:rsid w:val="00CF6E6C"/>
    <w:rsid w:val="00CF73C1"/>
    <w:rsid w:val="00CF7721"/>
    <w:rsid w:val="00CF7EC9"/>
    <w:rsid w:val="00D002BF"/>
    <w:rsid w:val="00D017AA"/>
    <w:rsid w:val="00D0244F"/>
    <w:rsid w:val="00D02B23"/>
    <w:rsid w:val="00D03703"/>
    <w:rsid w:val="00D04C51"/>
    <w:rsid w:val="00D0587C"/>
    <w:rsid w:val="00D058E0"/>
    <w:rsid w:val="00D05D92"/>
    <w:rsid w:val="00D05FA7"/>
    <w:rsid w:val="00D0722D"/>
    <w:rsid w:val="00D07FDF"/>
    <w:rsid w:val="00D1093B"/>
    <w:rsid w:val="00D10E12"/>
    <w:rsid w:val="00D10F3E"/>
    <w:rsid w:val="00D110C9"/>
    <w:rsid w:val="00D11BFD"/>
    <w:rsid w:val="00D12195"/>
    <w:rsid w:val="00D13A52"/>
    <w:rsid w:val="00D16023"/>
    <w:rsid w:val="00D1628A"/>
    <w:rsid w:val="00D17618"/>
    <w:rsid w:val="00D203C9"/>
    <w:rsid w:val="00D206C7"/>
    <w:rsid w:val="00D213D9"/>
    <w:rsid w:val="00D21437"/>
    <w:rsid w:val="00D21989"/>
    <w:rsid w:val="00D21F9D"/>
    <w:rsid w:val="00D23A56"/>
    <w:rsid w:val="00D2638A"/>
    <w:rsid w:val="00D26564"/>
    <w:rsid w:val="00D26AFA"/>
    <w:rsid w:val="00D26DA1"/>
    <w:rsid w:val="00D30346"/>
    <w:rsid w:val="00D310C6"/>
    <w:rsid w:val="00D31450"/>
    <w:rsid w:val="00D31E96"/>
    <w:rsid w:val="00D32790"/>
    <w:rsid w:val="00D3305C"/>
    <w:rsid w:val="00D3436B"/>
    <w:rsid w:val="00D34AC1"/>
    <w:rsid w:val="00D34F47"/>
    <w:rsid w:val="00D37420"/>
    <w:rsid w:val="00D374B1"/>
    <w:rsid w:val="00D374C7"/>
    <w:rsid w:val="00D4111B"/>
    <w:rsid w:val="00D411C8"/>
    <w:rsid w:val="00D41431"/>
    <w:rsid w:val="00D416D8"/>
    <w:rsid w:val="00D41AD2"/>
    <w:rsid w:val="00D43115"/>
    <w:rsid w:val="00D43277"/>
    <w:rsid w:val="00D4443D"/>
    <w:rsid w:val="00D449F6"/>
    <w:rsid w:val="00D44E0C"/>
    <w:rsid w:val="00D45C0B"/>
    <w:rsid w:val="00D46EBF"/>
    <w:rsid w:val="00D5072C"/>
    <w:rsid w:val="00D509BE"/>
    <w:rsid w:val="00D509CC"/>
    <w:rsid w:val="00D536C7"/>
    <w:rsid w:val="00D544A9"/>
    <w:rsid w:val="00D55153"/>
    <w:rsid w:val="00D55D7C"/>
    <w:rsid w:val="00D5694E"/>
    <w:rsid w:val="00D571F1"/>
    <w:rsid w:val="00D5752E"/>
    <w:rsid w:val="00D60F9C"/>
    <w:rsid w:val="00D611B7"/>
    <w:rsid w:val="00D614F1"/>
    <w:rsid w:val="00D62042"/>
    <w:rsid w:val="00D6207D"/>
    <w:rsid w:val="00D624D9"/>
    <w:rsid w:val="00D6312A"/>
    <w:rsid w:val="00D634F2"/>
    <w:rsid w:val="00D639BB"/>
    <w:rsid w:val="00D63C01"/>
    <w:rsid w:val="00D647EC"/>
    <w:rsid w:val="00D64FDA"/>
    <w:rsid w:val="00D650A7"/>
    <w:rsid w:val="00D650F2"/>
    <w:rsid w:val="00D65155"/>
    <w:rsid w:val="00D651A5"/>
    <w:rsid w:val="00D65288"/>
    <w:rsid w:val="00D656A0"/>
    <w:rsid w:val="00D65B09"/>
    <w:rsid w:val="00D66639"/>
    <w:rsid w:val="00D673CC"/>
    <w:rsid w:val="00D67877"/>
    <w:rsid w:val="00D678A9"/>
    <w:rsid w:val="00D70095"/>
    <w:rsid w:val="00D709DE"/>
    <w:rsid w:val="00D70B6E"/>
    <w:rsid w:val="00D70CC7"/>
    <w:rsid w:val="00D7177F"/>
    <w:rsid w:val="00D72F01"/>
    <w:rsid w:val="00D73DC8"/>
    <w:rsid w:val="00D740E6"/>
    <w:rsid w:val="00D748DB"/>
    <w:rsid w:val="00D74E14"/>
    <w:rsid w:val="00D74F3A"/>
    <w:rsid w:val="00D754CA"/>
    <w:rsid w:val="00D75D2F"/>
    <w:rsid w:val="00D763C9"/>
    <w:rsid w:val="00D77939"/>
    <w:rsid w:val="00D80017"/>
    <w:rsid w:val="00D8052E"/>
    <w:rsid w:val="00D82E5C"/>
    <w:rsid w:val="00D84728"/>
    <w:rsid w:val="00D84A7B"/>
    <w:rsid w:val="00D86540"/>
    <w:rsid w:val="00D86C2F"/>
    <w:rsid w:val="00D90436"/>
    <w:rsid w:val="00D905B8"/>
    <w:rsid w:val="00D912E2"/>
    <w:rsid w:val="00D9166D"/>
    <w:rsid w:val="00D9198B"/>
    <w:rsid w:val="00D91C16"/>
    <w:rsid w:val="00D91C3D"/>
    <w:rsid w:val="00D923C2"/>
    <w:rsid w:val="00D924F4"/>
    <w:rsid w:val="00D9266D"/>
    <w:rsid w:val="00D92806"/>
    <w:rsid w:val="00D937E0"/>
    <w:rsid w:val="00D93E64"/>
    <w:rsid w:val="00D94401"/>
    <w:rsid w:val="00D94D17"/>
    <w:rsid w:val="00D94DE2"/>
    <w:rsid w:val="00D9531C"/>
    <w:rsid w:val="00D9549C"/>
    <w:rsid w:val="00D95850"/>
    <w:rsid w:val="00D963FE"/>
    <w:rsid w:val="00D9782A"/>
    <w:rsid w:val="00D979B2"/>
    <w:rsid w:val="00D97B24"/>
    <w:rsid w:val="00DA0012"/>
    <w:rsid w:val="00DA00F9"/>
    <w:rsid w:val="00DA036F"/>
    <w:rsid w:val="00DA0415"/>
    <w:rsid w:val="00DA06F6"/>
    <w:rsid w:val="00DA0D3A"/>
    <w:rsid w:val="00DA14A5"/>
    <w:rsid w:val="00DA1566"/>
    <w:rsid w:val="00DA1938"/>
    <w:rsid w:val="00DA1F73"/>
    <w:rsid w:val="00DA3C54"/>
    <w:rsid w:val="00DA3E9D"/>
    <w:rsid w:val="00DA41A5"/>
    <w:rsid w:val="00DA4E20"/>
    <w:rsid w:val="00DA702A"/>
    <w:rsid w:val="00DB0106"/>
    <w:rsid w:val="00DB1526"/>
    <w:rsid w:val="00DB1B06"/>
    <w:rsid w:val="00DB323D"/>
    <w:rsid w:val="00DB3CDE"/>
    <w:rsid w:val="00DB3DF5"/>
    <w:rsid w:val="00DB3F99"/>
    <w:rsid w:val="00DB435B"/>
    <w:rsid w:val="00DB4E88"/>
    <w:rsid w:val="00DB50C4"/>
    <w:rsid w:val="00DB535E"/>
    <w:rsid w:val="00DB672F"/>
    <w:rsid w:val="00DB6B42"/>
    <w:rsid w:val="00DB78E5"/>
    <w:rsid w:val="00DB7C45"/>
    <w:rsid w:val="00DC01A0"/>
    <w:rsid w:val="00DC073F"/>
    <w:rsid w:val="00DC0FE1"/>
    <w:rsid w:val="00DC1321"/>
    <w:rsid w:val="00DC1836"/>
    <w:rsid w:val="00DC1843"/>
    <w:rsid w:val="00DC1F21"/>
    <w:rsid w:val="00DC2194"/>
    <w:rsid w:val="00DC2C71"/>
    <w:rsid w:val="00DC3C14"/>
    <w:rsid w:val="00DC40AA"/>
    <w:rsid w:val="00DC4A9D"/>
    <w:rsid w:val="00DC5E6A"/>
    <w:rsid w:val="00DC6A25"/>
    <w:rsid w:val="00DC6BE2"/>
    <w:rsid w:val="00DC6CA0"/>
    <w:rsid w:val="00DC70C8"/>
    <w:rsid w:val="00DC73F9"/>
    <w:rsid w:val="00DD05AF"/>
    <w:rsid w:val="00DD1D51"/>
    <w:rsid w:val="00DD2A77"/>
    <w:rsid w:val="00DD2D41"/>
    <w:rsid w:val="00DD3757"/>
    <w:rsid w:val="00DD41DE"/>
    <w:rsid w:val="00DD457F"/>
    <w:rsid w:val="00DD5466"/>
    <w:rsid w:val="00DD55A6"/>
    <w:rsid w:val="00DD79F4"/>
    <w:rsid w:val="00DE088E"/>
    <w:rsid w:val="00DE0E8B"/>
    <w:rsid w:val="00DE2B9D"/>
    <w:rsid w:val="00DE313D"/>
    <w:rsid w:val="00DE361D"/>
    <w:rsid w:val="00DE3F06"/>
    <w:rsid w:val="00DE4AE2"/>
    <w:rsid w:val="00DE4F80"/>
    <w:rsid w:val="00DE59E7"/>
    <w:rsid w:val="00DE65C8"/>
    <w:rsid w:val="00DE69B9"/>
    <w:rsid w:val="00DF0583"/>
    <w:rsid w:val="00DF1150"/>
    <w:rsid w:val="00DF115F"/>
    <w:rsid w:val="00DF1BDA"/>
    <w:rsid w:val="00DF2892"/>
    <w:rsid w:val="00DF28AA"/>
    <w:rsid w:val="00DF29E3"/>
    <w:rsid w:val="00DF2F93"/>
    <w:rsid w:val="00DF2FD4"/>
    <w:rsid w:val="00DF3293"/>
    <w:rsid w:val="00DF45E6"/>
    <w:rsid w:val="00DF4B4A"/>
    <w:rsid w:val="00DF4BC4"/>
    <w:rsid w:val="00DF5117"/>
    <w:rsid w:val="00DF5E03"/>
    <w:rsid w:val="00DF5F4F"/>
    <w:rsid w:val="00DF6263"/>
    <w:rsid w:val="00E012D1"/>
    <w:rsid w:val="00E013A0"/>
    <w:rsid w:val="00E02F44"/>
    <w:rsid w:val="00E03553"/>
    <w:rsid w:val="00E0379F"/>
    <w:rsid w:val="00E0426C"/>
    <w:rsid w:val="00E043A2"/>
    <w:rsid w:val="00E04FEF"/>
    <w:rsid w:val="00E052E3"/>
    <w:rsid w:val="00E05830"/>
    <w:rsid w:val="00E05E8F"/>
    <w:rsid w:val="00E06ABD"/>
    <w:rsid w:val="00E076CD"/>
    <w:rsid w:val="00E100F5"/>
    <w:rsid w:val="00E10964"/>
    <w:rsid w:val="00E109C9"/>
    <w:rsid w:val="00E115A2"/>
    <w:rsid w:val="00E115D5"/>
    <w:rsid w:val="00E11910"/>
    <w:rsid w:val="00E11A16"/>
    <w:rsid w:val="00E11B22"/>
    <w:rsid w:val="00E12ECD"/>
    <w:rsid w:val="00E135EA"/>
    <w:rsid w:val="00E14049"/>
    <w:rsid w:val="00E1414B"/>
    <w:rsid w:val="00E14C94"/>
    <w:rsid w:val="00E1545D"/>
    <w:rsid w:val="00E155B1"/>
    <w:rsid w:val="00E158BB"/>
    <w:rsid w:val="00E16E52"/>
    <w:rsid w:val="00E17142"/>
    <w:rsid w:val="00E2016B"/>
    <w:rsid w:val="00E205B9"/>
    <w:rsid w:val="00E2090D"/>
    <w:rsid w:val="00E20D55"/>
    <w:rsid w:val="00E20F58"/>
    <w:rsid w:val="00E23BF4"/>
    <w:rsid w:val="00E259D1"/>
    <w:rsid w:val="00E26220"/>
    <w:rsid w:val="00E27937"/>
    <w:rsid w:val="00E27BB1"/>
    <w:rsid w:val="00E27D53"/>
    <w:rsid w:val="00E3045D"/>
    <w:rsid w:val="00E32644"/>
    <w:rsid w:val="00E33B5E"/>
    <w:rsid w:val="00E33D6F"/>
    <w:rsid w:val="00E356C9"/>
    <w:rsid w:val="00E35766"/>
    <w:rsid w:val="00E37E3F"/>
    <w:rsid w:val="00E4032F"/>
    <w:rsid w:val="00E40688"/>
    <w:rsid w:val="00E408F0"/>
    <w:rsid w:val="00E41251"/>
    <w:rsid w:val="00E41368"/>
    <w:rsid w:val="00E4250B"/>
    <w:rsid w:val="00E428AA"/>
    <w:rsid w:val="00E430A1"/>
    <w:rsid w:val="00E43808"/>
    <w:rsid w:val="00E43EAE"/>
    <w:rsid w:val="00E44C0C"/>
    <w:rsid w:val="00E44EB7"/>
    <w:rsid w:val="00E4526F"/>
    <w:rsid w:val="00E4546C"/>
    <w:rsid w:val="00E45859"/>
    <w:rsid w:val="00E45AF2"/>
    <w:rsid w:val="00E45C70"/>
    <w:rsid w:val="00E47210"/>
    <w:rsid w:val="00E472AF"/>
    <w:rsid w:val="00E50876"/>
    <w:rsid w:val="00E50BAA"/>
    <w:rsid w:val="00E51DA6"/>
    <w:rsid w:val="00E52163"/>
    <w:rsid w:val="00E52AA1"/>
    <w:rsid w:val="00E5359B"/>
    <w:rsid w:val="00E546CC"/>
    <w:rsid w:val="00E55980"/>
    <w:rsid w:val="00E567E7"/>
    <w:rsid w:val="00E60EBC"/>
    <w:rsid w:val="00E60FD2"/>
    <w:rsid w:val="00E619E0"/>
    <w:rsid w:val="00E62666"/>
    <w:rsid w:val="00E6334A"/>
    <w:rsid w:val="00E6352A"/>
    <w:rsid w:val="00E637D8"/>
    <w:rsid w:val="00E638F7"/>
    <w:rsid w:val="00E6407F"/>
    <w:rsid w:val="00E6480F"/>
    <w:rsid w:val="00E64D3F"/>
    <w:rsid w:val="00E651B7"/>
    <w:rsid w:val="00E65561"/>
    <w:rsid w:val="00E671CC"/>
    <w:rsid w:val="00E678EB"/>
    <w:rsid w:val="00E70221"/>
    <w:rsid w:val="00E70496"/>
    <w:rsid w:val="00E70FB7"/>
    <w:rsid w:val="00E717F3"/>
    <w:rsid w:val="00E72BAC"/>
    <w:rsid w:val="00E72DB1"/>
    <w:rsid w:val="00E73DDC"/>
    <w:rsid w:val="00E743A7"/>
    <w:rsid w:val="00E748B0"/>
    <w:rsid w:val="00E74C08"/>
    <w:rsid w:val="00E778B3"/>
    <w:rsid w:val="00E805B6"/>
    <w:rsid w:val="00E81247"/>
    <w:rsid w:val="00E8238C"/>
    <w:rsid w:val="00E828E3"/>
    <w:rsid w:val="00E83863"/>
    <w:rsid w:val="00E83FD9"/>
    <w:rsid w:val="00E843EA"/>
    <w:rsid w:val="00E85610"/>
    <w:rsid w:val="00E85831"/>
    <w:rsid w:val="00E85AF5"/>
    <w:rsid w:val="00E85F24"/>
    <w:rsid w:val="00E865A8"/>
    <w:rsid w:val="00E8714C"/>
    <w:rsid w:val="00E90474"/>
    <w:rsid w:val="00E9072E"/>
    <w:rsid w:val="00E90861"/>
    <w:rsid w:val="00E90D8C"/>
    <w:rsid w:val="00E90F56"/>
    <w:rsid w:val="00E91A16"/>
    <w:rsid w:val="00E92F97"/>
    <w:rsid w:val="00E934F2"/>
    <w:rsid w:val="00E939A8"/>
    <w:rsid w:val="00E95419"/>
    <w:rsid w:val="00E95A37"/>
    <w:rsid w:val="00E9665D"/>
    <w:rsid w:val="00E96BE5"/>
    <w:rsid w:val="00E97B61"/>
    <w:rsid w:val="00EA2DB6"/>
    <w:rsid w:val="00EA5D24"/>
    <w:rsid w:val="00EA6245"/>
    <w:rsid w:val="00EA6883"/>
    <w:rsid w:val="00EA7BB0"/>
    <w:rsid w:val="00EA7CBD"/>
    <w:rsid w:val="00EA7D6A"/>
    <w:rsid w:val="00EB0DCD"/>
    <w:rsid w:val="00EB19FF"/>
    <w:rsid w:val="00EB1BCA"/>
    <w:rsid w:val="00EB26C7"/>
    <w:rsid w:val="00EB4B0C"/>
    <w:rsid w:val="00EB4DC6"/>
    <w:rsid w:val="00EB5C57"/>
    <w:rsid w:val="00EB6000"/>
    <w:rsid w:val="00EB6826"/>
    <w:rsid w:val="00EB696D"/>
    <w:rsid w:val="00EB6AFE"/>
    <w:rsid w:val="00EB6C14"/>
    <w:rsid w:val="00EB73F4"/>
    <w:rsid w:val="00EB7CBB"/>
    <w:rsid w:val="00EC0979"/>
    <w:rsid w:val="00EC0BEE"/>
    <w:rsid w:val="00EC0F42"/>
    <w:rsid w:val="00EC1027"/>
    <w:rsid w:val="00EC1734"/>
    <w:rsid w:val="00EC1C55"/>
    <w:rsid w:val="00EC2198"/>
    <w:rsid w:val="00EC3F19"/>
    <w:rsid w:val="00EC4BD8"/>
    <w:rsid w:val="00EC6E27"/>
    <w:rsid w:val="00EC7851"/>
    <w:rsid w:val="00EC7B25"/>
    <w:rsid w:val="00ED04D1"/>
    <w:rsid w:val="00ED0B37"/>
    <w:rsid w:val="00ED1105"/>
    <w:rsid w:val="00ED165D"/>
    <w:rsid w:val="00ED1D63"/>
    <w:rsid w:val="00ED26DC"/>
    <w:rsid w:val="00ED27E8"/>
    <w:rsid w:val="00ED2D2B"/>
    <w:rsid w:val="00ED38B0"/>
    <w:rsid w:val="00ED3EF7"/>
    <w:rsid w:val="00ED4356"/>
    <w:rsid w:val="00ED4C1C"/>
    <w:rsid w:val="00ED54CD"/>
    <w:rsid w:val="00ED5681"/>
    <w:rsid w:val="00ED64DA"/>
    <w:rsid w:val="00ED7966"/>
    <w:rsid w:val="00ED7F04"/>
    <w:rsid w:val="00EE0960"/>
    <w:rsid w:val="00EE0DF7"/>
    <w:rsid w:val="00EE1CD6"/>
    <w:rsid w:val="00EE21F7"/>
    <w:rsid w:val="00EE2201"/>
    <w:rsid w:val="00EE228D"/>
    <w:rsid w:val="00EE272E"/>
    <w:rsid w:val="00EE297F"/>
    <w:rsid w:val="00EE3596"/>
    <w:rsid w:val="00EE3CF5"/>
    <w:rsid w:val="00EE412A"/>
    <w:rsid w:val="00EE4146"/>
    <w:rsid w:val="00EE5130"/>
    <w:rsid w:val="00EE564F"/>
    <w:rsid w:val="00EE5990"/>
    <w:rsid w:val="00EE5B78"/>
    <w:rsid w:val="00EE67CF"/>
    <w:rsid w:val="00EE7E95"/>
    <w:rsid w:val="00EE7F15"/>
    <w:rsid w:val="00EF026F"/>
    <w:rsid w:val="00EF0ED2"/>
    <w:rsid w:val="00EF1974"/>
    <w:rsid w:val="00EF1F61"/>
    <w:rsid w:val="00EF2C09"/>
    <w:rsid w:val="00EF311C"/>
    <w:rsid w:val="00EF40E5"/>
    <w:rsid w:val="00EF49BC"/>
    <w:rsid w:val="00EF4F9D"/>
    <w:rsid w:val="00EF5211"/>
    <w:rsid w:val="00EF5544"/>
    <w:rsid w:val="00EF5586"/>
    <w:rsid w:val="00EF5CD0"/>
    <w:rsid w:val="00EF5E85"/>
    <w:rsid w:val="00EF6BF0"/>
    <w:rsid w:val="00EF71FF"/>
    <w:rsid w:val="00EF7316"/>
    <w:rsid w:val="00EF78E2"/>
    <w:rsid w:val="00EF7AEB"/>
    <w:rsid w:val="00F00997"/>
    <w:rsid w:val="00F00B1F"/>
    <w:rsid w:val="00F01681"/>
    <w:rsid w:val="00F016A3"/>
    <w:rsid w:val="00F048C4"/>
    <w:rsid w:val="00F04999"/>
    <w:rsid w:val="00F05458"/>
    <w:rsid w:val="00F05467"/>
    <w:rsid w:val="00F06127"/>
    <w:rsid w:val="00F06B79"/>
    <w:rsid w:val="00F06D3A"/>
    <w:rsid w:val="00F103CD"/>
    <w:rsid w:val="00F10FB3"/>
    <w:rsid w:val="00F11840"/>
    <w:rsid w:val="00F12080"/>
    <w:rsid w:val="00F1212E"/>
    <w:rsid w:val="00F14051"/>
    <w:rsid w:val="00F14865"/>
    <w:rsid w:val="00F15B54"/>
    <w:rsid w:val="00F15F62"/>
    <w:rsid w:val="00F167F6"/>
    <w:rsid w:val="00F2124C"/>
    <w:rsid w:val="00F212DF"/>
    <w:rsid w:val="00F21C1D"/>
    <w:rsid w:val="00F2574C"/>
    <w:rsid w:val="00F25ADF"/>
    <w:rsid w:val="00F27314"/>
    <w:rsid w:val="00F27652"/>
    <w:rsid w:val="00F27BDF"/>
    <w:rsid w:val="00F30001"/>
    <w:rsid w:val="00F30936"/>
    <w:rsid w:val="00F312D8"/>
    <w:rsid w:val="00F31569"/>
    <w:rsid w:val="00F32404"/>
    <w:rsid w:val="00F329F5"/>
    <w:rsid w:val="00F338A3"/>
    <w:rsid w:val="00F33FA8"/>
    <w:rsid w:val="00F3410D"/>
    <w:rsid w:val="00F34904"/>
    <w:rsid w:val="00F34AD4"/>
    <w:rsid w:val="00F35656"/>
    <w:rsid w:val="00F358D0"/>
    <w:rsid w:val="00F35CD6"/>
    <w:rsid w:val="00F35F5D"/>
    <w:rsid w:val="00F3677A"/>
    <w:rsid w:val="00F36C54"/>
    <w:rsid w:val="00F36C73"/>
    <w:rsid w:val="00F36DA3"/>
    <w:rsid w:val="00F37186"/>
    <w:rsid w:val="00F374C2"/>
    <w:rsid w:val="00F37656"/>
    <w:rsid w:val="00F379B1"/>
    <w:rsid w:val="00F37A8B"/>
    <w:rsid w:val="00F37E54"/>
    <w:rsid w:val="00F40B15"/>
    <w:rsid w:val="00F4198C"/>
    <w:rsid w:val="00F433CD"/>
    <w:rsid w:val="00F4371F"/>
    <w:rsid w:val="00F437F4"/>
    <w:rsid w:val="00F43A94"/>
    <w:rsid w:val="00F43BEC"/>
    <w:rsid w:val="00F44593"/>
    <w:rsid w:val="00F44634"/>
    <w:rsid w:val="00F45145"/>
    <w:rsid w:val="00F46203"/>
    <w:rsid w:val="00F468F3"/>
    <w:rsid w:val="00F46B6F"/>
    <w:rsid w:val="00F47BC5"/>
    <w:rsid w:val="00F5112D"/>
    <w:rsid w:val="00F518EC"/>
    <w:rsid w:val="00F5272D"/>
    <w:rsid w:val="00F54D1A"/>
    <w:rsid w:val="00F553EC"/>
    <w:rsid w:val="00F56391"/>
    <w:rsid w:val="00F57AD2"/>
    <w:rsid w:val="00F608E5"/>
    <w:rsid w:val="00F62054"/>
    <w:rsid w:val="00F63CB3"/>
    <w:rsid w:val="00F64FC2"/>
    <w:rsid w:val="00F6508F"/>
    <w:rsid w:val="00F65331"/>
    <w:rsid w:val="00F662B8"/>
    <w:rsid w:val="00F676B1"/>
    <w:rsid w:val="00F7049D"/>
    <w:rsid w:val="00F711A3"/>
    <w:rsid w:val="00F711D1"/>
    <w:rsid w:val="00F717BF"/>
    <w:rsid w:val="00F71E87"/>
    <w:rsid w:val="00F71F42"/>
    <w:rsid w:val="00F72283"/>
    <w:rsid w:val="00F722A2"/>
    <w:rsid w:val="00F73852"/>
    <w:rsid w:val="00F738F9"/>
    <w:rsid w:val="00F74102"/>
    <w:rsid w:val="00F7548F"/>
    <w:rsid w:val="00F757EA"/>
    <w:rsid w:val="00F75BC6"/>
    <w:rsid w:val="00F7699C"/>
    <w:rsid w:val="00F82483"/>
    <w:rsid w:val="00F82E48"/>
    <w:rsid w:val="00F83A5A"/>
    <w:rsid w:val="00F83EA1"/>
    <w:rsid w:val="00F84873"/>
    <w:rsid w:val="00F85F25"/>
    <w:rsid w:val="00F87C26"/>
    <w:rsid w:val="00F90B07"/>
    <w:rsid w:val="00F91348"/>
    <w:rsid w:val="00F92983"/>
    <w:rsid w:val="00F94D33"/>
    <w:rsid w:val="00F9502F"/>
    <w:rsid w:val="00F951EC"/>
    <w:rsid w:val="00F95791"/>
    <w:rsid w:val="00F9605B"/>
    <w:rsid w:val="00F96322"/>
    <w:rsid w:val="00F97461"/>
    <w:rsid w:val="00F9774C"/>
    <w:rsid w:val="00F97AFD"/>
    <w:rsid w:val="00F97B52"/>
    <w:rsid w:val="00FA0902"/>
    <w:rsid w:val="00FA0E42"/>
    <w:rsid w:val="00FA15F8"/>
    <w:rsid w:val="00FA17C7"/>
    <w:rsid w:val="00FA2538"/>
    <w:rsid w:val="00FA2AFE"/>
    <w:rsid w:val="00FA34E5"/>
    <w:rsid w:val="00FA428B"/>
    <w:rsid w:val="00FA4A35"/>
    <w:rsid w:val="00FA4E14"/>
    <w:rsid w:val="00FA5033"/>
    <w:rsid w:val="00FA6650"/>
    <w:rsid w:val="00FA6925"/>
    <w:rsid w:val="00FA73D9"/>
    <w:rsid w:val="00FA7435"/>
    <w:rsid w:val="00FA7917"/>
    <w:rsid w:val="00FA7E57"/>
    <w:rsid w:val="00FA7FC6"/>
    <w:rsid w:val="00FB0054"/>
    <w:rsid w:val="00FB14BA"/>
    <w:rsid w:val="00FB1CEC"/>
    <w:rsid w:val="00FB35AE"/>
    <w:rsid w:val="00FB488C"/>
    <w:rsid w:val="00FB709F"/>
    <w:rsid w:val="00FB7405"/>
    <w:rsid w:val="00FB7608"/>
    <w:rsid w:val="00FB76D2"/>
    <w:rsid w:val="00FB7D4C"/>
    <w:rsid w:val="00FB7E7D"/>
    <w:rsid w:val="00FB7EE8"/>
    <w:rsid w:val="00FC1055"/>
    <w:rsid w:val="00FC24E5"/>
    <w:rsid w:val="00FC268E"/>
    <w:rsid w:val="00FC29FF"/>
    <w:rsid w:val="00FC45E6"/>
    <w:rsid w:val="00FC56ED"/>
    <w:rsid w:val="00FC5774"/>
    <w:rsid w:val="00FC5DEE"/>
    <w:rsid w:val="00FC5E4A"/>
    <w:rsid w:val="00FC7772"/>
    <w:rsid w:val="00FD0908"/>
    <w:rsid w:val="00FD0A82"/>
    <w:rsid w:val="00FD136C"/>
    <w:rsid w:val="00FD1822"/>
    <w:rsid w:val="00FD1847"/>
    <w:rsid w:val="00FD1A20"/>
    <w:rsid w:val="00FD308E"/>
    <w:rsid w:val="00FD3378"/>
    <w:rsid w:val="00FD3751"/>
    <w:rsid w:val="00FD406B"/>
    <w:rsid w:val="00FD5990"/>
    <w:rsid w:val="00FD75F1"/>
    <w:rsid w:val="00FD7B17"/>
    <w:rsid w:val="00FD7FDB"/>
    <w:rsid w:val="00FE0BF1"/>
    <w:rsid w:val="00FE13E8"/>
    <w:rsid w:val="00FE1570"/>
    <w:rsid w:val="00FE1D4B"/>
    <w:rsid w:val="00FE2E5F"/>
    <w:rsid w:val="00FE2F3F"/>
    <w:rsid w:val="00FE3011"/>
    <w:rsid w:val="00FE3587"/>
    <w:rsid w:val="00FE3E8F"/>
    <w:rsid w:val="00FE42A7"/>
    <w:rsid w:val="00FE495E"/>
    <w:rsid w:val="00FE4C49"/>
    <w:rsid w:val="00FE4F90"/>
    <w:rsid w:val="00FE5708"/>
    <w:rsid w:val="00FE6559"/>
    <w:rsid w:val="00FE7BA6"/>
    <w:rsid w:val="00FE7F41"/>
    <w:rsid w:val="00FF0EB2"/>
    <w:rsid w:val="00FF1504"/>
    <w:rsid w:val="00FF1D67"/>
    <w:rsid w:val="00FF3DB7"/>
    <w:rsid w:val="00FF444C"/>
    <w:rsid w:val="00FF4833"/>
    <w:rsid w:val="00FF4F77"/>
    <w:rsid w:val="00FF535D"/>
    <w:rsid w:val="00FF54C5"/>
    <w:rsid w:val="00FF5664"/>
    <w:rsid w:val="00FF56ED"/>
    <w:rsid w:val="00FF6212"/>
    <w:rsid w:val="00FF696F"/>
    <w:rsid w:val="00FF70D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semiHidden="0" w:unhideWhenUsed="0"/>
    <w:lsdException w:name="List 3" w:semiHidden="0" w:unhideWhenUsed="0"/>
    <w:lsdException w:name="List 4" w:semiHidden="0" w:unhideWhenUsed="0"/>
    <w:lsdException w:name="Title" w:semiHidden="0" w:uiPriority="99"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67DDC"/>
    <w:rPr>
      <w:rFonts w:ascii="Arial" w:hAnsi="Arial"/>
    </w:rPr>
  </w:style>
  <w:style w:type="paragraph" w:styleId="Heading1">
    <w:name w:val="heading 1"/>
    <w:basedOn w:val="Heading2"/>
    <w:next w:val="Normal"/>
    <w:link w:val="Heading1Char"/>
    <w:qFormat/>
    <w:rsid w:val="00504996"/>
    <w:pPr>
      <w:outlineLvl w:val="0"/>
    </w:pPr>
    <w:rPr>
      <w:i/>
    </w:rPr>
  </w:style>
  <w:style w:type="paragraph" w:styleId="Heading2">
    <w:name w:val="heading 2"/>
    <w:basedOn w:val="Normal"/>
    <w:next w:val="Normal"/>
    <w:link w:val="Heading2Char"/>
    <w:qFormat/>
    <w:rsid w:val="003D7FD8"/>
    <w:pPr>
      <w:keepNext/>
      <w:jc w:val="center"/>
      <w:outlineLvl w:val="1"/>
    </w:pPr>
    <w:rPr>
      <w:rFonts w:ascii="Times New Roman" w:hAnsi="Times New Roman"/>
      <w:b/>
      <w:bCs/>
      <w:iCs/>
      <w:sz w:val="22"/>
      <w:szCs w:val="22"/>
      <w:lang w:val="es-ES_tradnl"/>
    </w:rPr>
  </w:style>
  <w:style w:type="paragraph" w:styleId="Heading3">
    <w:name w:val="heading 3"/>
    <w:basedOn w:val="Normal"/>
    <w:next w:val="Normal"/>
    <w:link w:val="Heading3Char"/>
    <w:qFormat/>
    <w:rsid w:val="003D7FD8"/>
    <w:pPr>
      <w:keepNext/>
      <w:spacing w:before="240" w:after="60"/>
      <w:outlineLvl w:val="2"/>
    </w:pPr>
    <w:rPr>
      <w:rFonts w:ascii="Times New Roman" w:hAnsi="Times New Roman" w:cs="Arial"/>
      <w:bCs/>
      <w:i/>
      <w:sz w:val="24"/>
      <w:szCs w:val="26"/>
    </w:rPr>
  </w:style>
  <w:style w:type="paragraph" w:styleId="Heading4">
    <w:name w:val="heading 4"/>
    <w:basedOn w:val="Normal"/>
    <w:next w:val="Normal"/>
    <w:link w:val="Heading4Char"/>
    <w:semiHidden/>
    <w:unhideWhenUsed/>
    <w:qFormat/>
    <w:rsid w:val="003D7FD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3D7FD8"/>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3D7FD8"/>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3D7FD8"/>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3D7FD8"/>
    <w:pPr>
      <w:keepNext/>
      <w:keepLines/>
      <w:numPr>
        <w:ilvl w:val="7"/>
        <w:numId w:val="3"/>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3D7FD8"/>
    <w:pPr>
      <w:keepNext/>
      <w:keepLines/>
      <w:numPr>
        <w:ilvl w:val="8"/>
        <w:numId w:val="3"/>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657EEA"/>
    <w:pPr>
      <w:jc w:val="center"/>
    </w:pPr>
    <w:rPr>
      <w:rFonts w:ascii="Times New Roman" w:hAnsi="Times New Roman"/>
      <w:b/>
      <w:bCs/>
      <w:sz w:val="28"/>
      <w:szCs w:val="24"/>
      <w:lang w:val="es-ES_tradnl"/>
    </w:rPr>
  </w:style>
  <w:style w:type="paragraph" w:styleId="Footer">
    <w:name w:val="footer"/>
    <w:basedOn w:val="Normal"/>
    <w:link w:val="FooterChar"/>
    <w:uiPriority w:val="99"/>
    <w:rsid w:val="00657EEA"/>
    <w:pPr>
      <w:tabs>
        <w:tab w:val="center" w:pos="4320"/>
        <w:tab w:val="right" w:pos="8640"/>
      </w:tabs>
    </w:pPr>
    <w:rPr>
      <w:rFonts w:ascii="Times New Roman" w:hAnsi="Times New Roman"/>
      <w:sz w:val="24"/>
      <w:szCs w:val="24"/>
      <w:lang w:val="es-ES"/>
    </w:rPr>
  </w:style>
  <w:style w:type="character" w:styleId="PageNumber">
    <w:name w:val="page number"/>
    <w:basedOn w:val="DefaultParagraphFont"/>
    <w:rsid w:val="00657EEA"/>
  </w:style>
  <w:style w:type="paragraph" w:styleId="BodyText3">
    <w:name w:val="Body Text 3"/>
    <w:basedOn w:val="Normal"/>
    <w:rsid w:val="00657EEA"/>
    <w:pPr>
      <w:jc w:val="center"/>
    </w:pPr>
    <w:rPr>
      <w:rFonts w:ascii="Times New Roman" w:hAnsi="Times New Roman"/>
      <w:b/>
      <w:bCs/>
      <w:sz w:val="24"/>
      <w:szCs w:val="24"/>
      <w:lang w:val="es-ES_tradnl"/>
    </w:rPr>
  </w:style>
  <w:style w:type="paragraph" w:styleId="FootnoteText">
    <w:name w:val="footnote text"/>
    <w:aliases w:val="Texto nota pie IIRSA,Footnote,text,foottextfra,footnote,F,fn,FOOTNOTES,single space,footnote text,Footnote Text Char Char,Footnote Text Char,Texto de rodapé,nota_rodapé,nota de rodapé"/>
    <w:basedOn w:val="Normal"/>
    <w:link w:val="FootnoteTextChar1"/>
    <w:uiPriority w:val="99"/>
    <w:rsid w:val="00B2700D"/>
    <w:pPr>
      <w:keepNext/>
      <w:keepLines/>
      <w:spacing w:after="120"/>
      <w:ind w:left="288" w:hanging="288"/>
      <w:jc w:val="both"/>
    </w:pPr>
    <w:rPr>
      <w:rFonts w:ascii="Times New Roman" w:hAnsi="Times New Roman"/>
      <w:spacing w:val="-3"/>
    </w:rPr>
  </w:style>
  <w:style w:type="character" w:styleId="FootnoteReference">
    <w:name w:val="footnote reference"/>
    <w:basedOn w:val="DefaultParagraphFont"/>
    <w:uiPriority w:val="99"/>
    <w:semiHidden/>
    <w:rsid w:val="00B2700D"/>
    <w:rPr>
      <w:vertAlign w:val="superscript"/>
    </w:rPr>
  </w:style>
  <w:style w:type="paragraph" w:customStyle="1" w:styleId="Default">
    <w:name w:val="Default"/>
    <w:rsid w:val="0010137A"/>
    <w:pPr>
      <w:autoSpaceDE w:val="0"/>
      <w:autoSpaceDN w:val="0"/>
      <w:adjustRightInd w:val="0"/>
    </w:pPr>
    <w:rPr>
      <w:color w:val="000000"/>
      <w:sz w:val="24"/>
      <w:szCs w:val="24"/>
      <w:lang w:val="es-ES" w:eastAsia="es-ES"/>
    </w:rPr>
  </w:style>
  <w:style w:type="paragraph" w:styleId="NormalWeb">
    <w:name w:val="Normal (Web)"/>
    <w:basedOn w:val="Normal"/>
    <w:uiPriority w:val="99"/>
    <w:rsid w:val="00605042"/>
    <w:rPr>
      <w:rFonts w:ascii="Times New Roman" w:hAnsi="Times New Roman"/>
      <w:sz w:val="24"/>
      <w:szCs w:val="24"/>
    </w:rPr>
  </w:style>
  <w:style w:type="paragraph" w:styleId="TOCHeading">
    <w:name w:val="TOC Heading"/>
    <w:basedOn w:val="Heading1"/>
    <w:next w:val="Normal"/>
    <w:uiPriority w:val="39"/>
    <w:qFormat/>
    <w:rsid w:val="00685536"/>
    <w:pPr>
      <w:keepLines/>
      <w:spacing w:before="480" w:line="276" w:lineRule="auto"/>
      <w:outlineLvl w:val="9"/>
    </w:pPr>
    <w:rPr>
      <w:rFonts w:ascii="Cambria" w:hAnsi="Cambria"/>
      <w:color w:val="365F91"/>
      <w:sz w:val="28"/>
      <w:szCs w:val="28"/>
      <w:lang w:val="es-ES"/>
    </w:rPr>
  </w:style>
  <w:style w:type="paragraph" w:styleId="TOC3">
    <w:name w:val="toc 3"/>
    <w:basedOn w:val="Normal"/>
    <w:next w:val="Normal"/>
    <w:autoRedefine/>
    <w:uiPriority w:val="39"/>
    <w:unhideWhenUsed/>
    <w:rsid w:val="00150E9B"/>
    <w:pPr>
      <w:tabs>
        <w:tab w:val="right" w:leader="dot" w:pos="8630"/>
      </w:tabs>
      <w:ind w:left="400"/>
    </w:pPr>
    <w:rPr>
      <w:rFonts w:ascii="Times New Roman" w:hAnsi="Times New Roman"/>
      <w:i/>
      <w:iCs/>
      <w:sz w:val="24"/>
      <w:szCs w:val="24"/>
      <w:lang w:val="es-ES_tradnl"/>
    </w:rPr>
  </w:style>
  <w:style w:type="paragraph" w:styleId="TOC2">
    <w:name w:val="toc 2"/>
    <w:basedOn w:val="Normal"/>
    <w:next w:val="Normal"/>
    <w:autoRedefine/>
    <w:uiPriority w:val="39"/>
    <w:unhideWhenUsed/>
    <w:rsid w:val="00F05458"/>
    <w:pPr>
      <w:tabs>
        <w:tab w:val="right" w:leader="dot" w:pos="8364"/>
      </w:tabs>
    </w:pPr>
    <w:rPr>
      <w:smallCaps/>
      <w:noProof/>
    </w:rPr>
  </w:style>
  <w:style w:type="character" w:styleId="Hyperlink">
    <w:name w:val="Hyperlink"/>
    <w:basedOn w:val="DefaultParagraphFont"/>
    <w:uiPriority w:val="99"/>
    <w:unhideWhenUsed/>
    <w:rsid w:val="00685536"/>
    <w:rPr>
      <w:color w:val="0000FF"/>
      <w:u w:val="single"/>
    </w:rPr>
  </w:style>
  <w:style w:type="paragraph" w:styleId="Subtitle">
    <w:name w:val="Subtitle"/>
    <w:basedOn w:val="Normal"/>
    <w:next w:val="Normal"/>
    <w:link w:val="SubtitleChar"/>
    <w:uiPriority w:val="11"/>
    <w:qFormat/>
    <w:rsid w:val="00685536"/>
    <w:pPr>
      <w:spacing w:after="60"/>
      <w:jc w:val="center"/>
      <w:outlineLvl w:val="1"/>
    </w:pPr>
    <w:rPr>
      <w:rFonts w:ascii="Cambria" w:hAnsi="Cambria"/>
      <w:sz w:val="24"/>
      <w:szCs w:val="24"/>
    </w:rPr>
  </w:style>
  <w:style w:type="character" w:customStyle="1" w:styleId="SubtitleChar">
    <w:name w:val="Subtitle Char"/>
    <w:basedOn w:val="DefaultParagraphFont"/>
    <w:link w:val="Subtitle"/>
    <w:uiPriority w:val="11"/>
    <w:rsid w:val="00685536"/>
    <w:rPr>
      <w:rFonts w:ascii="Cambria" w:eastAsia="Times New Roman" w:hAnsi="Cambria" w:cs="Times New Roman"/>
      <w:sz w:val="24"/>
      <w:szCs w:val="24"/>
      <w:lang w:val="en-US" w:eastAsia="en-US"/>
    </w:rPr>
  </w:style>
  <w:style w:type="paragraph" w:styleId="EndnoteText">
    <w:name w:val="endnote text"/>
    <w:basedOn w:val="Normal"/>
    <w:link w:val="EndnoteTextChar"/>
    <w:uiPriority w:val="99"/>
    <w:semiHidden/>
    <w:unhideWhenUsed/>
    <w:rsid w:val="00685536"/>
  </w:style>
  <w:style w:type="character" w:customStyle="1" w:styleId="EndnoteTextChar">
    <w:name w:val="Endnote Text Char"/>
    <w:basedOn w:val="DefaultParagraphFont"/>
    <w:link w:val="EndnoteText"/>
    <w:uiPriority w:val="99"/>
    <w:semiHidden/>
    <w:rsid w:val="00685536"/>
    <w:rPr>
      <w:rFonts w:ascii="Arial" w:hAnsi="Arial"/>
      <w:lang w:val="en-US" w:eastAsia="en-US"/>
    </w:rPr>
  </w:style>
  <w:style w:type="character" w:styleId="EndnoteReference">
    <w:name w:val="endnote reference"/>
    <w:basedOn w:val="DefaultParagraphFont"/>
    <w:uiPriority w:val="99"/>
    <w:semiHidden/>
    <w:unhideWhenUsed/>
    <w:rsid w:val="00685536"/>
    <w:rPr>
      <w:vertAlign w:val="superscript"/>
    </w:rPr>
  </w:style>
  <w:style w:type="paragraph" w:styleId="ListParagraph">
    <w:name w:val="List Paragraph"/>
    <w:basedOn w:val="Normal"/>
    <w:uiPriority w:val="34"/>
    <w:qFormat/>
    <w:rsid w:val="00207B49"/>
    <w:pPr>
      <w:ind w:left="708"/>
    </w:pPr>
  </w:style>
  <w:style w:type="paragraph" w:styleId="TOC1">
    <w:name w:val="toc 1"/>
    <w:basedOn w:val="Normal"/>
    <w:next w:val="Normal"/>
    <w:autoRedefine/>
    <w:uiPriority w:val="39"/>
    <w:unhideWhenUsed/>
    <w:rsid w:val="00F05458"/>
    <w:pPr>
      <w:tabs>
        <w:tab w:val="left" w:pos="360"/>
        <w:tab w:val="right" w:leader="dot" w:pos="8364"/>
      </w:tabs>
      <w:spacing w:before="240" w:after="240"/>
    </w:pPr>
    <w:rPr>
      <w:bCs/>
      <w:smallCaps/>
      <w:sz w:val="22"/>
    </w:rPr>
  </w:style>
  <w:style w:type="paragraph" w:styleId="BalloonText">
    <w:name w:val="Balloon Text"/>
    <w:basedOn w:val="Normal"/>
    <w:link w:val="BalloonTextChar"/>
    <w:semiHidden/>
    <w:rsid w:val="00A71618"/>
    <w:rPr>
      <w:rFonts w:ascii="Tahoma" w:hAnsi="Tahoma" w:cs="Tahoma"/>
      <w:sz w:val="16"/>
      <w:szCs w:val="16"/>
    </w:rPr>
  </w:style>
  <w:style w:type="character" w:customStyle="1" w:styleId="Heading3Char">
    <w:name w:val="Heading 3 Char"/>
    <w:basedOn w:val="DefaultParagraphFont"/>
    <w:link w:val="Heading3"/>
    <w:rsid w:val="003D7FD8"/>
    <w:rPr>
      <w:rFonts w:cs="Arial"/>
      <w:bCs/>
      <w:i/>
      <w:sz w:val="24"/>
      <w:szCs w:val="26"/>
    </w:rPr>
  </w:style>
  <w:style w:type="paragraph" w:customStyle="1" w:styleId="Titulo4">
    <w:name w:val="Titulo 4"/>
    <w:basedOn w:val="Normal"/>
    <w:link w:val="Titulo4Car"/>
    <w:rsid w:val="007068FB"/>
    <w:pPr>
      <w:ind w:left="720"/>
    </w:pPr>
    <w:rPr>
      <w:u w:val="single"/>
    </w:rPr>
  </w:style>
  <w:style w:type="character" w:customStyle="1" w:styleId="Titulo4Car">
    <w:name w:val="Titulo 4 Car"/>
    <w:basedOn w:val="DefaultParagraphFont"/>
    <w:link w:val="Titulo4"/>
    <w:rsid w:val="007068FB"/>
    <w:rPr>
      <w:rFonts w:ascii="Arial" w:hAnsi="Arial"/>
      <w:u w:val="single"/>
      <w:lang w:val="en-US" w:eastAsia="en-US" w:bidi="ar-SA"/>
    </w:rPr>
  </w:style>
  <w:style w:type="paragraph" w:customStyle="1" w:styleId="NormalTimesNewRoman">
    <w:name w:val="Normal + Times New Roman"/>
    <w:aliases w:val="11 pt,Justificado,Titulo4"/>
    <w:basedOn w:val="Normal"/>
    <w:rsid w:val="007068FB"/>
    <w:pPr>
      <w:tabs>
        <w:tab w:val="num" w:pos="958"/>
      </w:tabs>
      <w:ind w:left="144"/>
      <w:jc w:val="both"/>
    </w:pPr>
    <w:rPr>
      <w:rFonts w:ascii="Times New Roman" w:hAnsi="Times New Roman"/>
      <w:sz w:val="22"/>
      <w:szCs w:val="22"/>
    </w:rPr>
  </w:style>
  <w:style w:type="paragraph" w:styleId="TOC5">
    <w:name w:val="toc 5"/>
    <w:basedOn w:val="Normal"/>
    <w:next w:val="Normal"/>
    <w:autoRedefine/>
    <w:semiHidden/>
    <w:rsid w:val="000822B7"/>
    <w:pPr>
      <w:ind w:left="800"/>
    </w:pPr>
    <w:rPr>
      <w:rFonts w:ascii="Times New Roman" w:hAnsi="Times New Roman"/>
      <w:sz w:val="18"/>
      <w:szCs w:val="18"/>
    </w:rPr>
  </w:style>
  <w:style w:type="paragraph" w:styleId="TOC4">
    <w:name w:val="toc 4"/>
    <w:basedOn w:val="Normal"/>
    <w:next w:val="Normal"/>
    <w:autoRedefine/>
    <w:semiHidden/>
    <w:rsid w:val="000822B7"/>
    <w:pPr>
      <w:ind w:left="600"/>
    </w:pPr>
    <w:rPr>
      <w:rFonts w:ascii="Times New Roman" w:hAnsi="Times New Roman"/>
      <w:sz w:val="18"/>
      <w:szCs w:val="18"/>
    </w:rPr>
  </w:style>
  <w:style w:type="paragraph" w:styleId="TOC6">
    <w:name w:val="toc 6"/>
    <w:basedOn w:val="Normal"/>
    <w:next w:val="Normal"/>
    <w:autoRedefine/>
    <w:semiHidden/>
    <w:rsid w:val="000822B7"/>
    <w:pPr>
      <w:ind w:left="1000"/>
    </w:pPr>
    <w:rPr>
      <w:rFonts w:ascii="Times New Roman" w:hAnsi="Times New Roman"/>
      <w:sz w:val="18"/>
      <w:szCs w:val="18"/>
    </w:rPr>
  </w:style>
  <w:style w:type="paragraph" w:styleId="TOC7">
    <w:name w:val="toc 7"/>
    <w:basedOn w:val="Normal"/>
    <w:next w:val="Normal"/>
    <w:autoRedefine/>
    <w:semiHidden/>
    <w:rsid w:val="000822B7"/>
    <w:pPr>
      <w:ind w:left="1200"/>
    </w:pPr>
    <w:rPr>
      <w:rFonts w:ascii="Times New Roman" w:hAnsi="Times New Roman"/>
      <w:sz w:val="18"/>
      <w:szCs w:val="18"/>
    </w:rPr>
  </w:style>
  <w:style w:type="paragraph" w:styleId="TOC8">
    <w:name w:val="toc 8"/>
    <w:basedOn w:val="Normal"/>
    <w:next w:val="Normal"/>
    <w:autoRedefine/>
    <w:semiHidden/>
    <w:rsid w:val="000822B7"/>
    <w:pPr>
      <w:ind w:left="1400"/>
    </w:pPr>
    <w:rPr>
      <w:rFonts w:ascii="Times New Roman" w:hAnsi="Times New Roman"/>
      <w:sz w:val="18"/>
      <w:szCs w:val="18"/>
    </w:rPr>
  </w:style>
  <w:style w:type="paragraph" w:styleId="TOC9">
    <w:name w:val="toc 9"/>
    <w:basedOn w:val="Normal"/>
    <w:next w:val="Normal"/>
    <w:autoRedefine/>
    <w:semiHidden/>
    <w:rsid w:val="000822B7"/>
    <w:pPr>
      <w:ind w:left="1600"/>
    </w:pPr>
    <w:rPr>
      <w:rFonts w:ascii="Times New Roman" w:hAnsi="Times New Roman"/>
      <w:sz w:val="18"/>
      <w:szCs w:val="18"/>
    </w:rPr>
  </w:style>
  <w:style w:type="paragraph" w:customStyle="1" w:styleId="NormalWeb1">
    <w:name w:val="Normal (Web)1"/>
    <w:basedOn w:val="Normal"/>
    <w:rsid w:val="00717681"/>
    <w:pPr>
      <w:spacing w:before="100" w:beforeAutospacing="1" w:after="100" w:afterAutospacing="1"/>
    </w:pPr>
    <w:rPr>
      <w:rFonts w:ascii="Times New Roman" w:hAnsi="Times New Roman"/>
      <w:sz w:val="24"/>
      <w:szCs w:val="24"/>
      <w:lang w:val="es-ES" w:eastAsia="es-ES"/>
    </w:rPr>
  </w:style>
  <w:style w:type="paragraph" w:styleId="Header">
    <w:name w:val="header"/>
    <w:basedOn w:val="Normal"/>
    <w:link w:val="HeaderChar"/>
    <w:rsid w:val="00717681"/>
    <w:pPr>
      <w:tabs>
        <w:tab w:val="center" w:pos="4252"/>
        <w:tab w:val="right" w:pos="8504"/>
      </w:tabs>
    </w:pPr>
  </w:style>
  <w:style w:type="table" w:styleId="TableWeb2">
    <w:name w:val="Table Web 2"/>
    <w:basedOn w:val="TableNormal"/>
    <w:rsid w:val="00D70095"/>
    <w:tblPr>
      <w:tblCellSpacing w:w="20" w:type="dxa"/>
    </w:tblPr>
    <w:trPr>
      <w:tblCellSpacing w:w="20" w:type="dxa"/>
    </w:trPr>
    <w:tcPr>
      <w:shd w:val="clear" w:color="auto" w:fill="F3F3F3"/>
    </w:tcPr>
    <w:tblStylePr w:type="firstRow">
      <w:rPr>
        <w:b/>
        <w:color w:val="000000"/>
      </w:rPr>
      <w:tblPr/>
      <w:tcPr>
        <w:shd w:val="clear" w:color="auto" w:fill="CCFFFF"/>
      </w:tcPr>
    </w:tblStylePr>
    <w:tblStylePr w:type="firstCol">
      <w:rPr>
        <w:b/>
      </w:rPr>
      <w:tblPr/>
      <w:tcPr>
        <w:shd w:val="clear" w:color="auto" w:fill="CCFFFF"/>
      </w:tcPr>
    </w:tblStylePr>
    <w:tblStylePr w:type="nwCell">
      <w:rPr>
        <w:b/>
        <w:color w:val="auto"/>
        <w:sz w:val="24"/>
      </w:rPr>
      <w:tblPr/>
      <w:tcPr>
        <w:shd w:val="clear" w:color="auto" w:fill="CCFFFF"/>
      </w:tcPr>
    </w:tblStylePr>
  </w:style>
  <w:style w:type="character" w:customStyle="1" w:styleId="HeaderChar">
    <w:name w:val="Header Char"/>
    <w:basedOn w:val="DefaultParagraphFont"/>
    <w:link w:val="Header"/>
    <w:semiHidden/>
    <w:rsid w:val="00DD3757"/>
    <w:rPr>
      <w:rFonts w:ascii="Arial" w:hAnsi="Arial"/>
      <w:lang w:val="en-US" w:eastAsia="en-US" w:bidi="ar-SA"/>
    </w:rPr>
  </w:style>
  <w:style w:type="paragraph" w:customStyle="1" w:styleId="SPLAP1">
    <w:name w:val="SPLAP 1"/>
    <w:basedOn w:val="Heading1"/>
    <w:rsid w:val="00D0244F"/>
    <w:pPr>
      <w:numPr>
        <w:numId w:val="1"/>
      </w:numPr>
      <w:pBdr>
        <w:bottom w:val="single" w:sz="4" w:space="1" w:color="auto"/>
      </w:pBdr>
      <w:spacing w:before="240" w:after="240"/>
      <w:jc w:val="left"/>
    </w:pPr>
    <w:rPr>
      <w:rFonts w:ascii="Arial" w:eastAsia="Times" w:hAnsi="Arial"/>
      <w:bCs w:val="0"/>
      <w:i w:val="0"/>
      <w:iCs w:val="0"/>
      <w:kern w:val="32"/>
      <w:sz w:val="24"/>
      <w:szCs w:val="32"/>
      <w:lang w:val="en-AU"/>
    </w:rPr>
  </w:style>
  <w:style w:type="paragraph" w:customStyle="1" w:styleId="SPLAP2">
    <w:name w:val="SPLAP 2"/>
    <w:basedOn w:val="Heading2"/>
    <w:rsid w:val="00D0244F"/>
    <w:pPr>
      <w:numPr>
        <w:ilvl w:val="1"/>
        <w:numId w:val="1"/>
      </w:numPr>
      <w:tabs>
        <w:tab w:val="num" w:pos="567"/>
      </w:tabs>
      <w:spacing w:before="240" w:after="60"/>
      <w:ind w:left="567" w:hanging="567"/>
      <w:jc w:val="left"/>
      <w:outlineLvl w:val="0"/>
    </w:pPr>
    <w:rPr>
      <w:rFonts w:ascii="Arial" w:eastAsia="Times" w:hAnsi="Arial"/>
      <w:bCs w:val="0"/>
      <w:i/>
      <w:iCs w:val="0"/>
      <w:sz w:val="24"/>
      <w:szCs w:val="28"/>
      <w:lang w:val="en-AU"/>
    </w:rPr>
  </w:style>
  <w:style w:type="paragraph" w:customStyle="1" w:styleId="SPLAP3">
    <w:name w:val="SPLAP 3"/>
    <w:basedOn w:val="Heading3"/>
    <w:rsid w:val="00D0244F"/>
    <w:pPr>
      <w:numPr>
        <w:ilvl w:val="2"/>
        <w:numId w:val="1"/>
      </w:numPr>
    </w:pPr>
    <w:rPr>
      <w:rFonts w:ascii="Arial" w:eastAsia="Times" w:hAnsi="Arial" w:cs="Times New Roman"/>
      <w:bCs w:val="0"/>
      <w:lang w:val="en-AU"/>
    </w:rPr>
  </w:style>
  <w:style w:type="paragraph" w:customStyle="1" w:styleId="ICLEIfont">
    <w:name w:val="ICLEI font"/>
    <w:basedOn w:val="Normal"/>
    <w:rsid w:val="00D0244F"/>
    <w:pPr>
      <w:spacing w:after="120"/>
    </w:pPr>
    <w:rPr>
      <w:rFonts w:eastAsia="Times"/>
      <w:sz w:val="22"/>
      <w:lang w:val="en-AU"/>
    </w:rPr>
  </w:style>
  <w:style w:type="paragraph" w:customStyle="1" w:styleId="LAPbodytext">
    <w:name w:val="LAP body text"/>
    <w:basedOn w:val="Normal"/>
    <w:rsid w:val="004701EC"/>
    <w:pPr>
      <w:jc w:val="both"/>
    </w:pPr>
    <w:rPr>
      <w:rFonts w:ascii="Verdana" w:hAnsi="Verdana"/>
      <w:color w:val="003366"/>
      <w:lang w:val="en-AU"/>
    </w:rPr>
  </w:style>
  <w:style w:type="character" w:styleId="FollowedHyperlink">
    <w:name w:val="FollowedHyperlink"/>
    <w:basedOn w:val="DefaultParagraphFont"/>
    <w:rsid w:val="00C03318"/>
    <w:rPr>
      <w:color w:val="800080"/>
      <w:u w:val="single"/>
    </w:rPr>
  </w:style>
  <w:style w:type="character" w:styleId="Emphasis">
    <w:name w:val="Emphasis"/>
    <w:basedOn w:val="DefaultParagraphFont"/>
    <w:qFormat/>
    <w:rsid w:val="007A0A9F"/>
    <w:rPr>
      <w:i/>
      <w:iCs/>
    </w:rPr>
  </w:style>
  <w:style w:type="paragraph" w:customStyle="1" w:styleId="SecHeading">
    <w:name w:val="SecHeading"/>
    <w:basedOn w:val="Normal"/>
    <w:next w:val="Paragraph"/>
    <w:rsid w:val="003D7FD8"/>
    <w:pPr>
      <w:keepNext/>
      <w:numPr>
        <w:ilvl w:val="1"/>
        <w:numId w:val="3"/>
      </w:numPr>
      <w:tabs>
        <w:tab w:val="clear" w:pos="5400"/>
        <w:tab w:val="num" w:pos="1296"/>
      </w:tabs>
      <w:spacing w:before="120" w:after="120"/>
      <w:ind w:left="1296"/>
    </w:pPr>
    <w:rPr>
      <w:rFonts w:ascii="Times New Roman" w:hAnsi="Times New Roman"/>
      <w:b/>
      <w:sz w:val="24"/>
      <w:lang w:val="es-ES_tradnl"/>
    </w:rPr>
  </w:style>
  <w:style w:type="character" w:customStyle="1" w:styleId="FootnoteTextChar1">
    <w:name w:val="Footnote Text Char1"/>
    <w:aliases w:val="Texto nota pie IIRSA Char,Footnote Char,text Char,foottextfra Char,footnote Char,F Char,fn Char,FOOTNOTES Char,single space Char,footnote text Char,Footnote Text Char Char Char,Footnote Text Char Char1,Texto de rodapé Char"/>
    <w:basedOn w:val="DefaultParagraphFont"/>
    <w:link w:val="FootnoteText"/>
    <w:uiPriority w:val="99"/>
    <w:rsid w:val="00336BBF"/>
    <w:rPr>
      <w:spacing w:val="-3"/>
    </w:rPr>
  </w:style>
  <w:style w:type="table" w:customStyle="1" w:styleId="Sombreadoclaro1">
    <w:name w:val="Sombreado claro1"/>
    <w:basedOn w:val="TableNormal"/>
    <w:uiPriority w:val="60"/>
    <w:rsid w:val="00E64D3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Classic1">
    <w:name w:val="Table Classic 1"/>
    <w:basedOn w:val="TableNormal"/>
    <w:rsid w:val="002F12E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F12E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rsid w:val="001E740A"/>
    <w:rPr>
      <w:b/>
      <w:bCs/>
      <w:i/>
      <w:iCs/>
      <w:sz w:val="22"/>
      <w:szCs w:val="22"/>
      <w:lang w:val="es-ES_tradnl" w:eastAsia="en-US"/>
    </w:rPr>
  </w:style>
  <w:style w:type="table" w:styleId="TableGrid">
    <w:name w:val="Table Grid"/>
    <w:basedOn w:val="TableNormal"/>
    <w:uiPriority w:val="59"/>
    <w:rsid w:val="00F329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
    <w:name w:val="Chapter"/>
    <w:basedOn w:val="Normal"/>
    <w:next w:val="Normal"/>
    <w:link w:val="ChapterChar"/>
    <w:rsid w:val="003D7FD8"/>
    <w:pPr>
      <w:keepNext/>
      <w:numPr>
        <w:numId w:val="2"/>
      </w:numPr>
      <w:tabs>
        <w:tab w:val="clear" w:pos="1800"/>
        <w:tab w:val="num" w:pos="648"/>
        <w:tab w:val="left" w:pos="1440"/>
      </w:tabs>
      <w:spacing w:before="240" w:after="240"/>
      <w:ind w:left="0"/>
      <w:jc w:val="center"/>
    </w:pPr>
    <w:rPr>
      <w:rFonts w:ascii="Times New Roman" w:hAnsi="Times New Roman"/>
      <w:b/>
      <w:smallCaps/>
      <w:sz w:val="24"/>
    </w:rPr>
  </w:style>
  <w:style w:type="character" w:customStyle="1" w:styleId="ChapterChar">
    <w:name w:val="Chapter Char"/>
    <w:basedOn w:val="Heading1Char"/>
    <w:link w:val="Chapter"/>
    <w:rsid w:val="003D7FD8"/>
    <w:rPr>
      <w:b/>
      <w:bCs w:val="0"/>
      <w:i w:val="0"/>
      <w:iCs w:val="0"/>
      <w:smallCaps/>
      <w:sz w:val="24"/>
      <w:szCs w:val="22"/>
      <w:lang w:val="es-ES_tradnl" w:eastAsia="en-US"/>
    </w:rPr>
  </w:style>
  <w:style w:type="paragraph" w:customStyle="1" w:styleId="FirstHeading">
    <w:name w:val="FirstHeading"/>
    <w:basedOn w:val="Normal"/>
    <w:next w:val="Normal"/>
    <w:link w:val="FirstHeadingChar"/>
    <w:rsid w:val="003D7FD8"/>
    <w:pPr>
      <w:keepNext/>
      <w:numPr>
        <w:numId w:val="3"/>
      </w:numPr>
      <w:tabs>
        <w:tab w:val="left" w:pos="0"/>
        <w:tab w:val="left" w:pos="86"/>
      </w:tabs>
      <w:spacing w:before="120" w:after="120"/>
      <w:ind w:left="720"/>
    </w:pPr>
    <w:rPr>
      <w:rFonts w:ascii="Times New Roman" w:hAnsi="Times New Roman"/>
      <w:b/>
      <w:sz w:val="24"/>
    </w:rPr>
  </w:style>
  <w:style w:type="character" w:customStyle="1" w:styleId="FirstHeadingChar">
    <w:name w:val="FirstHeading Char"/>
    <w:basedOn w:val="Heading1Char"/>
    <w:link w:val="FirstHeading"/>
    <w:rsid w:val="003D7FD8"/>
    <w:rPr>
      <w:b/>
      <w:bCs w:val="0"/>
      <w:i w:val="0"/>
      <w:iCs w:val="0"/>
      <w:sz w:val="24"/>
      <w:szCs w:val="22"/>
      <w:lang w:val="es-ES_tradnl" w:eastAsia="en-US"/>
    </w:rPr>
  </w:style>
  <w:style w:type="paragraph" w:customStyle="1" w:styleId="SubHeading1">
    <w:name w:val="SubHeading1"/>
    <w:basedOn w:val="SecHeading"/>
    <w:link w:val="SubHeading1Char"/>
    <w:rsid w:val="003D7FD8"/>
    <w:pPr>
      <w:numPr>
        <w:ilvl w:val="2"/>
      </w:numPr>
      <w:tabs>
        <w:tab w:val="clear" w:pos="5976"/>
        <w:tab w:val="num" w:pos="1872"/>
      </w:tabs>
      <w:ind w:left="1872"/>
    </w:pPr>
  </w:style>
  <w:style w:type="character" w:customStyle="1" w:styleId="SubHeading1Char">
    <w:name w:val="SubHeading1 Char"/>
    <w:basedOn w:val="Heading1Char"/>
    <w:link w:val="SubHeading1"/>
    <w:rsid w:val="003D7FD8"/>
    <w:rPr>
      <w:b/>
      <w:bCs w:val="0"/>
      <w:i w:val="0"/>
      <w:iCs w:val="0"/>
      <w:sz w:val="24"/>
      <w:szCs w:val="22"/>
      <w:lang w:val="es-ES_tradnl" w:eastAsia="en-US"/>
    </w:rPr>
  </w:style>
  <w:style w:type="paragraph" w:customStyle="1" w:styleId="Subheading2">
    <w:name w:val="Subheading2"/>
    <w:basedOn w:val="SecHeading"/>
    <w:link w:val="Subheading2Char"/>
    <w:rsid w:val="003D7FD8"/>
    <w:pPr>
      <w:numPr>
        <w:ilvl w:val="3"/>
      </w:numPr>
      <w:tabs>
        <w:tab w:val="clear" w:pos="6480"/>
        <w:tab w:val="num" w:pos="2376"/>
      </w:tabs>
      <w:ind w:left="2376"/>
    </w:pPr>
  </w:style>
  <w:style w:type="character" w:customStyle="1" w:styleId="Subheading2Char">
    <w:name w:val="Subheading2 Char"/>
    <w:basedOn w:val="Heading1Char"/>
    <w:link w:val="Subheading2"/>
    <w:rsid w:val="003D7FD8"/>
    <w:rPr>
      <w:b/>
      <w:bCs w:val="0"/>
      <w:i w:val="0"/>
      <w:iCs w:val="0"/>
      <w:sz w:val="24"/>
      <w:szCs w:val="22"/>
      <w:lang w:val="es-ES_tradnl" w:eastAsia="en-US"/>
    </w:rPr>
  </w:style>
  <w:style w:type="paragraph" w:customStyle="1" w:styleId="Paragraph">
    <w:name w:val="Paragraph"/>
    <w:aliases w:val="paragraph,p,PARAGRAPH,PG,pa,at"/>
    <w:basedOn w:val="BodyTextIndent"/>
    <w:link w:val="ParagraphChar"/>
    <w:qFormat/>
    <w:rsid w:val="003D7FD8"/>
    <w:pPr>
      <w:numPr>
        <w:ilvl w:val="1"/>
        <w:numId w:val="2"/>
      </w:numPr>
      <w:tabs>
        <w:tab w:val="clear" w:pos="2448"/>
        <w:tab w:val="num" w:pos="720"/>
      </w:tabs>
      <w:spacing w:before="120"/>
      <w:ind w:left="720" w:hanging="720"/>
      <w:jc w:val="both"/>
      <w:outlineLvl w:val="1"/>
    </w:pPr>
  </w:style>
  <w:style w:type="character" w:customStyle="1" w:styleId="ParagraphChar">
    <w:name w:val="Paragraph Char"/>
    <w:basedOn w:val="Heading1Char"/>
    <w:link w:val="Paragraph"/>
    <w:rsid w:val="003D7FD8"/>
    <w:rPr>
      <w:b w:val="0"/>
      <w:bCs w:val="0"/>
      <w:i w:val="0"/>
      <w:iCs w:val="0"/>
      <w:sz w:val="24"/>
      <w:szCs w:val="22"/>
      <w:lang w:val="es-ES_tradnl" w:eastAsia="en-US"/>
    </w:rPr>
  </w:style>
  <w:style w:type="paragraph" w:customStyle="1" w:styleId="subpar">
    <w:name w:val="subpar"/>
    <w:basedOn w:val="BodyTextIndent3"/>
    <w:link w:val="subparChar"/>
    <w:rsid w:val="003D7FD8"/>
    <w:pPr>
      <w:numPr>
        <w:ilvl w:val="2"/>
        <w:numId w:val="2"/>
      </w:numPr>
      <w:tabs>
        <w:tab w:val="clear" w:pos="2304"/>
        <w:tab w:val="num" w:pos="1152"/>
      </w:tabs>
      <w:spacing w:before="120"/>
      <w:ind w:left="1152"/>
      <w:jc w:val="both"/>
      <w:outlineLvl w:val="2"/>
    </w:pPr>
  </w:style>
  <w:style w:type="character" w:customStyle="1" w:styleId="subparChar">
    <w:name w:val="subpar Char"/>
    <w:basedOn w:val="Heading1Char"/>
    <w:link w:val="subpar"/>
    <w:rsid w:val="003D7FD8"/>
    <w:rPr>
      <w:b w:val="0"/>
      <w:bCs w:val="0"/>
      <w:i w:val="0"/>
      <w:iCs w:val="0"/>
      <w:sz w:val="24"/>
      <w:szCs w:val="16"/>
      <w:lang w:val="es-ES_tradnl" w:eastAsia="en-US"/>
    </w:rPr>
  </w:style>
  <w:style w:type="paragraph" w:customStyle="1" w:styleId="SubSubPar">
    <w:name w:val="SubSubPar"/>
    <w:basedOn w:val="subpar"/>
    <w:link w:val="SubSubParChar"/>
    <w:rsid w:val="003D7FD8"/>
    <w:pPr>
      <w:numPr>
        <w:ilvl w:val="3"/>
      </w:numPr>
      <w:tabs>
        <w:tab w:val="left" w:pos="0"/>
      </w:tabs>
    </w:pPr>
  </w:style>
  <w:style w:type="character" w:customStyle="1" w:styleId="SubSubParChar">
    <w:name w:val="SubSubPar Char"/>
    <w:basedOn w:val="Heading1Char"/>
    <w:link w:val="SubSubPar"/>
    <w:rsid w:val="003D7FD8"/>
    <w:rPr>
      <w:b w:val="0"/>
      <w:bCs w:val="0"/>
      <w:i w:val="0"/>
      <w:iCs w:val="0"/>
      <w:sz w:val="24"/>
      <w:szCs w:val="16"/>
      <w:lang w:val="es-ES_tradnl" w:eastAsia="en-US"/>
    </w:rPr>
  </w:style>
  <w:style w:type="paragraph" w:customStyle="1" w:styleId="Regtable">
    <w:name w:val="Regtable"/>
    <w:basedOn w:val="Normal"/>
    <w:link w:val="RegtableChar"/>
    <w:rsid w:val="003D7FD8"/>
    <w:pPr>
      <w:keepLines/>
      <w:framePr w:wrap="around" w:vAnchor="text" w:hAnchor="text" w:y="1"/>
      <w:spacing w:before="20" w:after="20"/>
    </w:pPr>
    <w:rPr>
      <w:rFonts w:ascii="Times New Roman" w:hAnsi="Times New Roman"/>
    </w:rPr>
  </w:style>
  <w:style w:type="character" w:customStyle="1" w:styleId="RegtableChar">
    <w:name w:val="Regtable Char"/>
    <w:basedOn w:val="Heading1Char"/>
    <w:link w:val="Regtable"/>
    <w:rsid w:val="003D7FD8"/>
    <w:rPr>
      <w:b/>
      <w:bCs/>
      <w:i/>
      <w:iCs/>
      <w:sz w:val="22"/>
      <w:szCs w:val="22"/>
      <w:lang w:val="es-ES_tradnl" w:eastAsia="en-US"/>
    </w:rPr>
  </w:style>
  <w:style w:type="paragraph" w:customStyle="1" w:styleId="TableTitle">
    <w:name w:val="TableTitle"/>
    <w:basedOn w:val="Normal"/>
    <w:link w:val="TableTitleChar"/>
    <w:rsid w:val="003D7FD8"/>
    <w:pPr>
      <w:framePr w:wrap="around" w:vAnchor="text" w:hAnchor="text" w:y="1"/>
      <w:spacing w:before="20" w:after="20"/>
    </w:pPr>
    <w:rPr>
      <w:rFonts w:ascii="Times New Roman Bold" w:hAnsi="Times New Roman Bold"/>
      <w:i/>
      <w:spacing w:val="-3"/>
    </w:rPr>
  </w:style>
  <w:style w:type="character" w:customStyle="1" w:styleId="TableTitleChar">
    <w:name w:val="TableTitle Char"/>
    <w:basedOn w:val="Heading1Char"/>
    <w:link w:val="TableTitle"/>
    <w:rsid w:val="003D7FD8"/>
    <w:rPr>
      <w:rFonts w:ascii="Times New Roman Bold" w:hAnsi="Times New Roman Bold"/>
      <w:b/>
      <w:bCs/>
      <w:i/>
      <w:iCs/>
      <w:spacing w:val="-3"/>
      <w:sz w:val="22"/>
      <w:szCs w:val="22"/>
      <w:lang w:val="es-ES_tradnl" w:eastAsia="en-US"/>
    </w:rPr>
  </w:style>
  <w:style w:type="character" w:customStyle="1" w:styleId="Heading4Char">
    <w:name w:val="Heading 4 Char"/>
    <w:basedOn w:val="DefaultParagraphFont"/>
    <w:link w:val="Heading4"/>
    <w:semiHidden/>
    <w:rsid w:val="003D7FD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3D7FD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3D7FD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semiHidden/>
    <w:rsid w:val="003D7F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3D7F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3D7FD8"/>
    <w:rPr>
      <w:rFonts w:asciiTheme="majorHAnsi" w:eastAsiaTheme="majorEastAsia" w:hAnsiTheme="majorHAnsi" w:cstheme="majorBidi"/>
      <w:i/>
      <w:iCs/>
      <w:color w:val="404040" w:themeColor="text1" w:themeTint="BF"/>
    </w:rPr>
  </w:style>
  <w:style w:type="paragraph" w:styleId="BodyTextIndent">
    <w:name w:val="Body Text Indent"/>
    <w:basedOn w:val="Normal"/>
    <w:link w:val="BodyTextIndentChar"/>
    <w:rsid w:val="003D7FD8"/>
    <w:pPr>
      <w:spacing w:after="120"/>
      <w:ind w:left="360"/>
    </w:pPr>
    <w:rPr>
      <w:rFonts w:ascii="Times New Roman" w:hAnsi="Times New Roman"/>
      <w:sz w:val="24"/>
    </w:rPr>
  </w:style>
  <w:style w:type="character" w:customStyle="1" w:styleId="BodyTextIndentChar">
    <w:name w:val="Body Text Indent Char"/>
    <w:basedOn w:val="DefaultParagraphFont"/>
    <w:link w:val="BodyTextIndent"/>
    <w:rsid w:val="003D7FD8"/>
    <w:rPr>
      <w:sz w:val="24"/>
    </w:rPr>
  </w:style>
  <w:style w:type="paragraph" w:styleId="BodyTextIndent3">
    <w:name w:val="Body Text Indent 3"/>
    <w:basedOn w:val="Normal"/>
    <w:link w:val="BodyTextIndent3Char"/>
    <w:rsid w:val="003D7FD8"/>
    <w:pPr>
      <w:spacing w:after="120"/>
      <w:ind w:left="360"/>
    </w:pPr>
    <w:rPr>
      <w:rFonts w:ascii="Times New Roman" w:hAnsi="Times New Roman"/>
      <w:sz w:val="24"/>
      <w:szCs w:val="16"/>
    </w:rPr>
  </w:style>
  <w:style w:type="character" w:customStyle="1" w:styleId="BodyTextIndent3Char">
    <w:name w:val="Body Text Indent 3 Char"/>
    <w:basedOn w:val="DefaultParagraphFont"/>
    <w:link w:val="BodyTextIndent3"/>
    <w:rsid w:val="003D7FD8"/>
    <w:rPr>
      <w:sz w:val="24"/>
      <w:szCs w:val="16"/>
    </w:rPr>
  </w:style>
  <w:style w:type="paragraph" w:styleId="PlainText">
    <w:name w:val="Plain Text"/>
    <w:basedOn w:val="Normal"/>
    <w:link w:val="PlainTextChar"/>
    <w:uiPriority w:val="99"/>
    <w:unhideWhenUsed/>
    <w:rsid w:val="008B07EE"/>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8B07EE"/>
    <w:rPr>
      <w:rFonts w:ascii="Consolas" w:eastAsiaTheme="minorHAnsi" w:hAnsi="Consolas" w:cstheme="minorBidi"/>
      <w:sz w:val="21"/>
      <w:szCs w:val="21"/>
    </w:rPr>
  </w:style>
  <w:style w:type="character" w:styleId="CommentReference">
    <w:name w:val="annotation reference"/>
    <w:basedOn w:val="DefaultParagraphFont"/>
    <w:uiPriority w:val="99"/>
    <w:rsid w:val="009E1C8E"/>
    <w:rPr>
      <w:sz w:val="16"/>
      <w:szCs w:val="16"/>
    </w:rPr>
  </w:style>
  <w:style w:type="paragraph" w:styleId="CommentText">
    <w:name w:val="annotation text"/>
    <w:basedOn w:val="Normal"/>
    <w:link w:val="CommentTextChar"/>
    <w:uiPriority w:val="99"/>
    <w:rsid w:val="009E1C8E"/>
  </w:style>
  <w:style w:type="character" w:customStyle="1" w:styleId="CommentTextChar">
    <w:name w:val="Comment Text Char"/>
    <w:basedOn w:val="DefaultParagraphFont"/>
    <w:link w:val="CommentText"/>
    <w:uiPriority w:val="99"/>
    <w:rsid w:val="009E1C8E"/>
    <w:rPr>
      <w:rFonts w:ascii="Arial" w:hAnsi="Arial"/>
    </w:rPr>
  </w:style>
  <w:style w:type="paragraph" w:styleId="CommentSubject">
    <w:name w:val="annotation subject"/>
    <w:basedOn w:val="CommentText"/>
    <w:next w:val="CommentText"/>
    <w:link w:val="CommentSubjectChar"/>
    <w:rsid w:val="009E1C8E"/>
    <w:rPr>
      <w:b/>
      <w:bCs/>
    </w:rPr>
  </w:style>
  <w:style w:type="character" w:customStyle="1" w:styleId="CommentSubjectChar">
    <w:name w:val="Comment Subject Char"/>
    <w:basedOn w:val="CommentTextChar"/>
    <w:link w:val="CommentSubject"/>
    <w:rsid w:val="009E1C8E"/>
    <w:rPr>
      <w:rFonts w:ascii="Arial" w:hAnsi="Arial"/>
      <w:b/>
      <w:bCs/>
    </w:rPr>
  </w:style>
  <w:style w:type="table" w:styleId="TableSimple1">
    <w:name w:val="Table Simple 1"/>
    <w:basedOn w:val="TableNormal"/>
    <w:rsid w:val="00BD000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BalloonTextChar">
    <w:name w:val="Balloon Text Char"/>
    <w:basedOn w:val="DefaultParagraphFont"/>
    <w:link w:val="BalloonText"/>
    <w:semiHidden/>
    <w:rsid w:val="005F4F0C"/>
    <w:rPr>
      <w:rFonts w:ascii="Tahoma" w:hAnsi="Tahoma" w:cs="Tahoma"/>
      <w:sz w:val="16"/>
      <w:szCs w:val="16"/>
    </w:rPr>
  </w:style>
  <w:style w:type="character" w:customStyle="1" w:styleId="TextonotapieCar1">
    <w:name w:val="Texto nota pie Car1"/>
    <w:aliases w:val="Texto nota pie IIRSA Car,Footnote Car,text Car,foottextfra Car,footnote Car,F Car,Texto nota pie Car Car"/>
    <w:uiPriority w:val="99"/>
    <w:semiHidden/>
    <w:rsid w:val="00FE5708"/>
    <w:rPr>
      <w:lang w:eastAsia="es-ES"/>
    </w:rPr>
  </w:style>
  <w:style w:type="paragraph" w:styleId="BodyText">
    <w:name w:val="Body Text"/>
    <w:basedOn w:val="Normal"/>
    <w:link w:val="BodyTextChar"/>
    <w:rsid w:val="00257AA5"/>
    <w:pPr>
      <w:spacing w:after="120"/>
    </w:pPr>
  </w:style>
  <w:style w:type="character" w:customStyle="1" w:styleId="BodyTextChar">
    <w:name w:val="Body Text Char"/>
    <w:basedOn w:val="DefaultParagraphFont"/>
    <w:link w:val="BodyText"/>
    <w:rsid w:val="00257AA5"/>
    <w:rPr>
      <w:rFonts w:ascii="Arial" w:hAnsi="Arial"/>
    </w:rPr>
  </w:style>
  <w:style w:type="character" w:customStyle="1" w:styleId="Heading2Char">
    <w:name w:val="Heading 2 Char"/>
    <w:basedOn w:val="DefaultParagraphFont"/>
    <w:link w:val="Heading2"/>
    <w:rsid w:val="00C33ADF"/>
    <w:rPr>
      <w:b/>
      <w:bCs/>
      <w:iCs/>
      <w:sz w:val="22"/>
      <w:szCs w:val="22"/>
      <w:lang w:val="es-ES_tradnl"/>
    </w:rPr>
  </w:style>
  <w:style w:type="character" w:customStyle="1" w:styleId="FooterChar">
    <w:name w:val="Footer Char"/>
    <w:basedOn w:val="DefaultParagraphFont"/>
    <w:link w:val="Footer"/>
    <w:uiPriority w:val="99"/>
    <w:rsid w:val="00150E9B"/>
    <w:rPr>
      <w:sz w:val="24"/>
      <w:szCs w:val="24"/>
      <w:lang w:val="es-ES"/>
    </w:rPr>
  </w:style>
  <w:style w:type="character" w:customStyle="1" w:styleId="ParagraphCar">
    <w:name w:val="Paragraph Car"/>
    <w:basedOn w:val="DefaultParagraphFont"/>
    <w:locked/>
    <w:rsid w:val="007062AA"/>
    <w:rPr>
      <w:sz w:val="24"/>
      <w:lang w:val="es-ES"/>
    </w:rPr>
  </w:style>
  <w:style w:type="character" w:customStyle="1" w:styleId="Smbolodenotaalpie">
    <w:name w:val="Símbolo de nota al pie"/>
    <w:rsid w:val="007062AA"/>
    <w:rPr>
      <w:vertAlign w:val="superscript"/>
    </w:rPr>
  </w:style>
  <w:style w:type="character" w:customStyle="1" w:styleId="apple-converted-space">
    <w:name w:val="apple-converted-space"/>
    <w:basedOn w:val="DefaultParagraphFont"/>
    <w:rsid w:val="00991193"/>
  </w:style>
  <w:style w:type="character" w:customStyle="1" w:styleId="TitleChar">
    <w:name w:val="Title Char"/>
    <w:basedOn w:val="DefaultParagraphFont"/>
    <w:link w:val="Title"/>
    <w:uiPriority w:val="99"/>
    <w:rsid w:val="00AF6F7A"/>
    <w:rPr>
      <w:b/>
      <w:bCs/>
      <w:sz w:val="28"/>
      <w:szCs w:val="24"/>
      <w:lang w:val="es-ES_tradnl"/>
    </w:rPr>
  </w:style>
  <w:style w:type="character" w:styleId="PlaceholderText">
    <w:name w:val="Placeholder Text"/>
    <w:basedOn w:val="DefaultParagraphFont"/>
    <w:uiPriority w:val="99"/>
    <w:semiHidden/>
    <w:rsid w:val="009B6CA0"/>
    <w:rPr>
      <w:color w:val="808080"/>
    </w:rPr>
  </w:style>
  <w:style w:type="paragraph" w:customStyle="1" w:styleId="para">
    <w:name w:val="para."/>
    <w:basedOn w:val="Default"/>
    <w:next w:val="Default"/>
    <w:uiPriority w:val="99"/>
    <w:rsid w:val="00DE69B9"/>
    <w:rPr>
      <w:rFonts w:ascii="MJGKGJ+Sylfaen" w:eastAsiaTheme="minorEastAsia" w:hAnsi="MJGKGJ+Sylfaen" w:cstheme="minorBidi"/>
      <w:color w:val="auto"/>
    </w:rPr>
  </w:style>
  <w:style w:type="paragraph" w:styleId="ListContinue">
    <w:name w:val="List Continue"/>
    <w:basedOn w:val="Normal"/>
    <w:link w:val="ListContinueChar"/>
    <w:rsid w:val="00D709DE"/>
    <w:pPr>
      <w:numPr>
        <w:ilvl w:val="1"/>
        <w:numId w:val="13"/>
      </w:numPr>
      <w:spacing w:after="120"/>
    </w:pPr>
    <w:rPr>
      <w:rFonts w:ascii="Times New Roman" w:hAnsi="Times New Roman"/>
      <w:sz w:val="24"/>
      <w:szCs w:val="24"/>
      <w:lang w:val="es-AR"/>
    </w:rPr>
  </w:style>
  <w:style w:type="character" w:customStyle="1" w:styleId="ListContinueChar">
    <w:name w:val="List Continue Char"/>
    <w:basedOn w:val="DefaultParagraphFont"/>
    <w:link w:val="ListContinue"/>
    <w:rsid w:val="00D709DE"/>
    <w:rPr>
      <w:sz w:val="24"/>
      <w:szCs w:val="24"/>
      <w:lang w:val="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semiHidden="0" w:unhideWhenUsed="0"/>
    <w:lsdException w:name="List 3" w:semiHidden="0" w:unhideWhenUsed="0"/>
    <w:lsdException w:name="List 4" w:semiHidden="0" w:unhideWhenUsed="0"/>
    <w:lsdException w:name="Title" w:semiHidden="0" w:uiPriority="99"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67DDC"/>
    <w:rPr>
      <w:rFonts w:ascii="Arial" w:hAnsi="Arial"/>
    </w:rPr>
  </w:style>
  <w:style w:type="paragraph" w:styleId="Heading1">
    <w:name w:val="heading 1"/>
    <w:basedOn w:val="Heading2"/>
    <w:next w:val="Normal"/>
    <w:link w:val="Heading1Char"/>
    <w:qFormat/>
    <w:rsid w:val="00504996"/>
    <w:pPr>
      <w:outlineLvl w:val="0"/>
    </w:pPr>
    <w:rPr>
      <w:i/>
    </w:rPr>
  </w:style>
  <w:style w:type="paragraph" w:styleId="Heading2">
    <w:name w:val="heading 2"/>
    <w:basedOn w:val="Normal"/>
    <w:next w:val="Normal"/>
    <w:link w:val="Heading2Char"/>
    <w:qFormat/>
    <w:rsid w:val="003D7FD8"/>
    <w:pPr>
      <w:keepNext/>
      <w:jc w:val="center"/>
      <w:outlineLvl w:val="1"/>
    </w:pPr>
    <w:rPr>
      <w:rFonts w:ascii="Times New Roman" w:hAnsi="Times New Roman"/>
      <w:b/>
      <w:bCs/>
      <w:iCs/>
      <w:sz w:val="22"/>
      <w:szCs w:val="22"/>
      <w:lang w:val="es-ES_tradnl"/>
    </w:rPr>
  </w:style>
  <w:style w:type="paragraph" w:styleId="Heading3">
    <w:name w:val="heading 3"/>
    <w:basedOn w:val="Normal"/>
    <w:next w:val="Normal"/>
    <w:link w:val="Heading3Char"/>
    <w:qFormat/>
    <w:rsid w:val="003D7FD8"/>
    <w:pPr>
      <w:keepNext/>
      <w:spacing w:before="240" w:after="60"/>
      <w:outlineLvl w:val="2"/>
    </w:pPr>
    <w:rPr>
      <w:rFonts w:ascii="Times New Roman" w:hAnsi="Times New Roman" w:cs="Arial"/>
      <w:bCs/>
      <w:i/>
      <w:sz w:val="24"/>
      <w:szCs w:val="26"/>
    </w:rPr>
  </w:style>
  <w:style w:type="paragraph" w:styleId="Heading4">
    <w:name w:val="heading 4"/>
    <w:basedOn w:val="Normal"/>
    <w:next w:val="Normal"/>
    <w:link w:val="Heading4Char"/>
    <w:semiHidden/>
    <w:unhideWhenUsed/>
    <w:qFormat/>
    <w:rsid w:val="003D7FD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3D7FD8"/>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3D7FD8"/>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3D7FD8"/>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3D7FD8"/>
    <w:pPr>
      <w:keepNext/>
      <w:keepLines/>
      <w:numPr>
        <w:ilvl w:val="7"/>
        <w:numId w:val="3"/>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3D7FD8"/>
    <w:pPr>
      <w:keepNext/>
      <w:keepLines/>
      <w:numPr>
        <w:ilvl w:val="8"/>
        <w:numId w:val="3"/>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657EEA"/>
    <w:pPr>
      <w:jc w:val="center"/>
    </w:pPr>
    <w:rPr>
      <w:rFonts w:ascii="Times New Roman" w:hAnsi="Times New Roman"/>
      <w:b/>
      <w:bCs/>
      <w:sz w:val="28"/>
      <w:szCs w:val="24"/>
      <w:lang w:val="es-ES_tradnl"/>
    </w:rPr>
  </w:style>
  <w:style w:type="paragraph" w:styleId="Footer">
    <w:name w:val="footer"/>
    <w:basedOn w:val="Normal"/>
    <w:link w:val="FooterChar"/>
    <w:uiPriority w:val="99"/>
    <w:rsid w:val="00657EEA"/>
    <w:pPr>
      <w:tabs>
        <w:tab w:val="center" w:pos="4320"/>
        <w:tab w:val="right" w:pos="8640"/>
      </w:tabs>
    </w:pPr>
    <w:rPr>
      <w:rFonts w:ascii="Times New Roman" w:hAnsi="Times New Roman"/>
      <w:sz w:val="24"/>
      <w:szCs w:val="24"/>
      <w:lang w:val="es-ES"/>
    </w:rPr>
  </w:style>
  <w:style w:type="character" w:styleId="PageNumber">
    <w:name w:val="page number"/>
    <w:basedOn w:val="DefaultParagraphFont"/>
    <w:rsid w:val="00657EEA"/>
  </w:style>
  <w:style w:type="paragraph" w:styleId="BodyText3">
    <w:name w:val="Body Text 3"/>
    <w:basedOn w:val="Normal"/>
    <w:rsid w:val="00657EEA"/>
    <w:pPr>
      <w:jc w:val="center"/>
    </w:pPr>
    <w:rPr>
      <w:rFonts w:ascii="Times New Roman" w:hAnsi="Times New Roman"/>
      <w:b/>
      <w:bCs/>
      <w:sz w:val="24"/>
      <w:szCs w:val="24"/>
      <w:lang w:val="es-ES_tradnl"/>
    </w:rPr>
  </w:style>
  <w:style w:type="paragraph" w:styleId="FootnoteText">
    <w:name w:val="footnote text"/>
    <w:aliases w:val="Texto nota pie IIRSA,Footnote,text,foottextfra,footnote,F,fn,FOOTNOTES,single space,footnote text,Footnote Text Char Char,Footnote Text Char,Texto de rodapé,nota_rodapé,nota de rodapé"/>
    <w:basedOn w:val="Normal"/>
    <w:link w:val="FootnoteTextChar1"/>
    <w:uiPriority w:val="99"/>
    <w:rsid w:val="00B2700D"/>
    <w:pPr>
      <w:keepNext/>
      <w:keepLines/>
      <w:spacing w:after="120"/>
      <w:ind w:left="288" w:hanging="288"/>
      <w:jc w:val="both"/>
    </w:pPr>
    <w:rPr>
      <w:rFonts w:ascii="Times New Roman" w:hAnsi="Times New Roman"/>
      <w:spacing w:val="-3"/>
    </w:rPr>
  </w:style>
  <w:style w:type="character" w:styleId="FootnoteReference">
    <w:name w:val="footnote reference"/>
    <w:basedOn w:val="DefaultParagraphFont"/>
    <w:uiPriority w:val="99"/>
    <w:semiHidden/>
    <w:rsid w:val="00B2700D"/>
    <w:rPr>
      <w:vertAlign w:val="superscript"/>
    </w:rPr>
  </w:style>
  <w:style w:type="paragraph" w:customStyle="1" w:styleId="Default">
    <w:name w:val="Default"/>
    <w:rsid w:val="0010137A"/>
    <w:pPr>
      <w:autoSpaceDE w:val="0"/>
      <w:autoSpaceDN w:val="0"/>
      <w:adjustRightInd w:val="0"/>
    </w:pPr>
    <w:rPr>
      <w:color w:val="000000"/>
      <w:sz w:val="24"/>
      <w:szCs w:val="24"/>
      <w:lang w:val="es-ES" w:eastAsia="es-ES"/>
    </w:rPr>
  </w:style>
  <w:style w:type="paragraph" w:styleId="NormalWeb">
    <w:name w:val="Normal (Web)"/>
    <w:basedOn w:val="Normal"/>
    <w:uiPriority w:val="99"/>
    <w:rsid w:val="00605042"/>
    <w:rPr>
      <w:rFonts w:ascii="Times New Roman" w:hAnsi="Times New Roman"/>
      <w:sz w:val="24"/>
      <w:szCs w:val="24"/>
    </w:rPr>
  </w:style>
  <w:style w:type="paragraph" w:styleId="TOCHeading">
    <w:name w:val="TOC Heading"/>
    <w:basedOn w:val="Heading1"/>
    <w:next w:val="Normal"/>
    <w:uiPriority w:val="39"/>
    <w:qFormat/>
    <w:rsid w:val="00685536"/>
    <w:pPr>
      <w:keepLines/>
      <w:spacing w:before="480" w:line="276" w:lineRule="auto"/>
      <w:outlineLvl w:val="9"/>
    </w:pPr>
    <w:rPr>
      <w:rFonts w:ascii="Cambria" w:hAnsi="Cambria"/>
      <w:color w:val="365F91"/>
      <w:sz w:val="28"/>
      <w:szCs w:val="28"/>
      <w:lang w:val="es-ES"/>
    </w:rPr>
  </w:style>
  <w:style w:type="paragraph" w:styleId="TOC3">
    <w:name w:val="toc 3"/>
    <w:basedOn w:val="Normal"/>
    <w:next w:val="Normal"/>
    <w:autoRedefine/>
    <w:uiPriority w:val="39"/>
    <w:unhideWhenUsed/>
    <w:rsid w:val="00150E9B"/>
    <w:pPr>
      <w:tabs>
        <w:tab w:val="right" w:leader="dot" w:pos="8630"/>
      </w:tabs>
      <w:ind w:left="400"/>
    </w:pPr>
    <w:rPr>
      <w:rFonts w:ascii="Times New Roman" w:hAnsi="Times New Roman"/>
      <w:i/>
      <w:iCs/>
      <w:sz w:val="24"/>
      <w:szCs w:val="24"/>
      <w:lang w:val="es-ES_tradnl"/>
    </w:rPr>
  </w:style>
  <w:style w:type="paragraph" w:styleId="TOC2">
    <w:name w:val="toc 2"/>
    <w:basedOn w:val="Normal"/>
    <w:next w:val="Normal"/>
    <w:autoRedefine/>
    <w:uiPriority w:val="39"/>
    <w:unhideWhenUsed/>
    <w:rsid w:val="00F05458"/>
    <w:pPr>
      <w:tabs>
        <w:tab w:val="right" w:leader="dot" w:pos="8364"/>
      </w:tabs>
    </w:pPr>
    <w:rPr>
      <w:smallCaps/>
      <w:noProof/>
    </w:rPr>
  </w:style>
  <w:style w:type="character" w:styleId="Hyperlink">
    <w:name w:val="Hyperlink"/>
    <w:basedOn w:val="DefaultParagraphFont"/>
    <w:uiPriority w:val="99"/>
    <w:unhideWhenUsed/>
    <w:rsid w:val="00685536"/>
    <w:rPr>
      <w:color w:val="0000FF"/>
      <w:u w:val="single"/>
    </w:rPr>
  </w:style>
  <w:style w:type="paragraph" w:styleId="Subtitle">
    <w:name w:val="Subtitle"/>
    <w:basedOn w:val="Normal"/>
    <w:next w:val="Normal"/>
    <w:link w:val="SubtitleChar"/>
    <w:uiPriority w:val="11"/>
    <w:qFormat/>
    <w:rsid w:val="00685536"/>
    <w:pPr>
      <w:spacing w:after="60"/>
      <w:jc w:val="center"/>
      <w:outlineLvl w:val="1"/>
    </w:pPr>
    <w:rPr>
      <w:rFonts w:ascii="Cambria" w:hAnsi="Cambria"/>
      <w:sz w:val="24"/>
      <w:szCs w:val="24"/>
    </w:rPr>
  </w:style>
  <w:style w:type="character" w:customStyle="1" w:styleId="SubtitleChar">
    <w:name w:val="Subtitle Char"/>
    <w:basedOn w:val="DefaultParagraphFont"/>
    <w:link w:val="Subtitle"/>
    <w:uiPriority w:val="11"/>
    <w:rsid w:val="00685536"/>
    <w:rPr>
      <w:rFonts w:ascii="Cambria" w:eastAsia="Times New Roman" w:hAnsi="Cambria" w:cs="Times New Roman"/>
      <w:sz w:val="24"/>
      <w:szCs w:val="24"/>
      <w:lang w:val="en-US" w:eastAsia="en-US"/>
    </w:rPr>
  </w:style>
  <w:style w:type="paragraph" w:styleId="EndnoteText">
    <w:name w:val="endnote text"/>
    <w:basedOn w:val="Normal"/>
    <w:link w:val="EndnoteTextChar"/>
    <w:uiPriority w:val="99"/>
    <w:semiHidden/>
    <w:unhideWhenUsed/>
    <w:rsid w:val="00685536"/>
  </w:style>
  <w:style w:type="character" w:customStyle="1" w:styleId="EndnoteTextChar">
    <w:name w:val="Endnote Text Char"/>
    <w:basedOn w:val="DefaultParagraphFont"/>
    <w:link w:val="EndnoteText"/>
    <w:uiPriority w:val="99"/>
    <w:semiHidden/>
    <w:rsid w:val="00685536"/>
    <w:rPr>
      <w:rFonts w:ascii="Arial" w:hAnsi="Arial"/>
      <w:lang w:val="en-US" w:eastAsia="en-US"/>
    </w:rPr>
  </w:style>
  <w:style w:type="character" w:styleId="EndnoteReference">
    <w:name w:val="endnote reference"/>
    <w:basedOn w:val="DefaultParagraphFont"/>
    <w:uiPriority w:val="99"/>
    <w:semiHidden/>
    <w:unhideWhenUsed/>
    <w:rsid w:val="00685536"/>
    <w:rPr>
      <w:vertAlign w:val="superscript"/>
    </w:rPr>
  </w:style>
  <w:style w:type="paragraph" w:styleId="ListParagraph">
    <w:name w:val="List Paragraph"/>
    <w:basedOn w:val="Normal"/>
    <w:uiPriority w:val="34"/>
    <w:qFormat/>
    <w:rsid w:val="00207B49"/>
    <w:pPr>
      <w:ind w:left="708"/>
    </w:pPr>
  </w:style>
  <w:style w:type="paragraph" w:styleId="TOC1">
    <w:name w:val="toc 1"/>
    <w:basedOn w:val="Normal"/>
    <w:next w:val="Normal"/>
    <w:autoRedefine/>
    <w:uiPriority w:val="39"/>
    <w:unhideWhenUsed/>
    <w:rsid w:val="00F05458"/>
    <w:pPr>
      <w:tabs>
        <w:tab w:val="left" w:pos="360"/>
        <w:tab w:val="right" w:leader="dot" w:pos="8364"/>
      </w:tabs>
      <w:spacing w:before="240" w:after="240"/>
    </w:pPr>
    <w:rPr>
      <w:bCs/>
      <w:smallCaps/>
      <w:sz w:val="22"/>
    </w:rPr>
  </w:style>
  <w:style w:type="paragraph" w:styleId="BalloonText">
    <w:name w:val="Balloon Text"/>
    <w:basedOn w:val="Normal"/>
    <w:link w:val="BalloonTextChar"/>
    <w:semiHidden/>
    <w:rsid w:val="00A71618"/>
    <w:rPr>
      <w:rFonts w:ascii="Tahoma" w:hAnsi="Tahoma" w:cs="Tahoma"/>
      <w:sz w:val="16"/>
      <w:szCs w:val="16"/>
    </w:rPr>
  </w:style>
  <w:style w:type="character" w:customStyle="1" w:styleId="Heading3Char">
    <w:name w:val="Heading 3 Char"/>
    <w:basedOn w:val="DefaultParagraphFont"/>
    <w:link w:val="Heading3"/>
    <w:rsid w:val="003D7FD8"/>
    <w:rPr>
      <w:rFonts w:cs="Arial"/>
      <w:bCs/>
      <w:i/>
      <w:sz w:val="24"/>
      <w:szCs w:val="26"/>
    </w:rPr>
  </w:style>
  <w:style w:type="paragraph" w:customStyle="1" w:styleId="Titulo4">
    <w:name w:val="Titulo 4"/>
    <w:basedOn w:val="Normal"/>
    <w:link w:val="Titulo4Car"/>
    <w:rsid w:val="007068FB"/>
    <w:pPr>
      <w:ind w:left="720"/>
    </w:pPr>
    <w:rPr>
      <w:u w:val="single"/>
    </w:rPr>
  </w:style>
  <w:style w:type="character" w:customStyle="1" w:styleId="Titulo4Car">
    <w:name w:val="Titulo 4 Car"/>
    <w:basedOn w:val="DefaultParagraphFont"/>
    <w:link w:val="Titulo4"/>
    <w:rsid w:val="007068FB"/>
    <w:rPr>
      <w:rFonts w:ascii="Arial" w:hAnsi="Arial"/>
      <w:u w:val="single"/>
      <w:lang w:val="en-US" w:eastAsia="en-US" w:bidi="ar-SA"/>
    </w:rPr>
  </w:style>
  <w:style w:type="paragraph" w:customStyle="1" w:styleId="NormalTimesNewRoman">
    <w:name w:val="Normal + Times New Roman"/>
    <w:aliases w:val="11 pt,Justificado,Titulo4"/>
    <w:basedOn w:val="Normal"/>
    <w:rsid w:val="007068FB"/>
    <w:pPr>
      <w:tabs>
        <w:tab w:val="num" w:pos="958"/>
      </w:tabs>
      <w:ind w:left="144"/>
      <w:jc w:val="both"/>
    </w:pPr>
    <w:rPr>
      <w:rFonts w:ascii="Times New Roman" w:hAnsi="Times New Roman"/>
      <w:sz w:val="22"/>
      <w:szCs w:val="22"/>
    </w:rPr>
  </w:style>
  <w:style w:type="paragraph" w:styleId="TOC5">
    <w:name w:val="toc 5"/>
    <w:basedOn w:val="Normal"/>
    <w:next w:val="Normal"/>
    <w:autoRedefine/>
    <w:semiHidden/>
    <w:rsid w:val="000822B7"/>
    <w:pPr>
      <w:ind w:left="800"/>
    </w:pPr>
    <w:rPr>
      <w:rFonts w:ascii="Times New Roman" w:hAnsi="Times New Roman"/>
      <w:sz w:val="18"/>
      <w:szCs w:val="18"/>
    </w:rPr>
  </w:style>
  <w:style w:type="paragraph" w:styleId="TOC4">
    <w:name w:val="toc 4"/>
    <w:basedOn w:val="Normal"/>
    <w:next w:val="Normal"/>
    <w:autoRedefine/>
    <w:semiHidden/>
    <w:rsid w:val="000822B7"/>
    <w:pPr>
      <w:ind w:left="600"/>
    </w:pPr>
    <w:rPr>
      <w:rFonts w:ascii="Times New Roman" w:hAnsi="Times New Roman"/>
      <w:sz w:val="18"/>
      <w:szCs w:val="18"/>
    </w:rPr>
  </w:style>
  <w:style w:type="paragraph" w:styleId="TOC6">
    <w:name w:val="toc 6"/>
    <w:basedOn w:val="Normal"/>
    <w:next w:val="Normal"/>
    <w:autoRedefine/>
    <w:semiHidden/>
    <w:rsid w:val="000822B7"/>
    <w:pPr>
      <w:ind w:left="1000"/>
    </w:pPr>
    <w:rPr>
      <w:rFonts w:ascii="Times New Roman" w:hAnsi="Times New Roman"/>
      <w:sz w:val="18"/>
      <w:szCs w:val="18"/>
    </w:rPr>
  </w:style>
  <w:style w:type="paragraph" w:styleId="TOC7">
    <w:name w:val="toc 7"/>
    <w:basedOn w:val="Normal"/>
    <w:next w:val="Normal"/>
    <w:autoRedefine/>
    <w:semiHidden/>
    <w:rsid w:val="000822B7"/>
    <w:pPr>
      <w:ind w:left="1200"/>
    </w:pPr>
    <w:rPr>
      <w:rFonts w:ascii="Times New Roman" w:hAnsi="Times New Roman"/>
      <w:sz w:val="18"/>
      <w:szCs w:val="18"/>
    </w:rPr>
  </w:style>
  <w:style w:type="paragraph" w:styleId="TOC8">
    <w:name w:val="toc 8"/>
    <w:basedOn w:val="Normal"/>
    <w:next w:val="Normal"/>
    <w:autoRedefine/>
    <w:semiHidden/>
    <w:rsid w:val="000822B7"/>
    <w:pPr>
      <w:ind w:left="1400"/>
    </w:pPr>
    <w:rPr>
      <w:rFonts w:ascii="Times New Roman" w:hAnsi="Times New Roman"/>
      <w:sz w:val="18"/>
      <w:szCs w:val="18"/>
    </w:rPr>
  </w:style>
  <w:style w:type="paragraph" w:styleId="TOC9">
    <w:name w:val="toc 9"/>
    <w:basedOn w:val="Normal"/>
    <w:next w:val="Normal"/>
    <w:autoRedefine/>
    <w:semiHidden/>
    <w:rsid w:val="000822B7"/>
    <w:pPr>
      <w:ind w:left="1600"/>
    </w:pPr>
    <w:rPr>
      <w:rFonts w:ascii="Times New Roman" w:hAnsi="Times New Roman"/>
      <w:sz w:val="18"/>
      <w:szCs w:val="18"/>
    </w:rPr>
  </w:style>
  <w:style w:type="paragraph" w:customStyle="1" w:styleId="NormalWeb1">
    <w:name w:val="Normal (Web)1"/>
    <w:basedOn w:val="Normal"/>
    <w:rsid w:val="00717681"/>
    <w:pPr>
      <w:spacing w:before="100" w:beforeAutospacing="1" w:after="100" w:afterAutospacing="1"/>
    </w:pPr>
    <w:rPr>
      <w:rFonts w:ascii="Times New Roman" w:hAnsi="Times New Roman"/>
      <w:sz w:val="24"/>
      <w:szCs w:val="24"/>
      <w:lang w:val="es-ES" w:eastAsia="es-ES"/>
    </w:rPr>
  </w:style>
  <w:style w:type="paragraph" w:styleId="Header">
    <w:name w:val="header"/>
    <w:basedOn w:val="Normal"/>
    <w:link w:val="HeaderChar"/>
    <w:rsid w:val="00717681"/>
    <w:pPr>
      <w:tabs>
        <w:tab w:val="center" w:pos="4252"/>
        <w:tab w:val="right" w:pos="8504"/>
      </w:tabs>
    </w:pPr>
  </w:style>
  <w:style w:type="table" w:styleId="TableWeb2">
    <w:name w:val="Table Web 2"/>
    <w:basedOn w:val="TableNormal"/>
    <w:rsid w:val="00D70095"/>
    <w:tblPr>
      <w:tblCellSpacing w:w="20" w:type="dxa"/>
    </w:tblPr>
    <w:trPr>
      <w:tblCellSpacing w:w="20" w:type="dxa"/>
    </w:trPr>
    <w:tcPr>
      <w:shd w:val="clear" w:color="auto" w:fill="F3F3F3"/>
    </w:tcPr>
    <w:tblStylePr w:type="firstRow">
      <w:rPr>
        <w:b/>
        <w:color w:val="000000"/>
      </w:rPr>
      <w:tblPr/>
      <w:tcPr>
        <w:shd w:val="clear" w:color="auto" w:fill="CCFFFF"/>
      </w:tcPr>
    </w:tblStylePr>
    <w:tblStylePr w:type="firstCol">
      <w:rPr>
        <w:b/>
      </w:rPr>
      <w:tblPr/>
      <w:tcPr>
        <w:shd w:val="clear" w:color="auto" w:fill="CCFFFF"/>
      </w:tcPr>
    </w:tblStylePr>
    <w:tblStylePr w:type="nwCell">
      <w:rPr>
        <w:b/>
        <w:color w:val="auto"/>
        <w:sz w:val="24"/>
      </w:rPr>
      <w:tblPr/>
      <w:tcPr>
        <w:shd w:val="clear" w:color="auto" w:fill="CCFFFF"/>
      </w:tcPr>
    </w:tblStylePr>
  </w:style>
  <w:style w:type="character" w:customStyle="1" w:styleId="HeaderChar">
    <w:name w:val="Header Char"/>
    <w:basedOn w:val="DefaultParagraphFont"/>
    <w:link w:val="Header"/>
    <w:semiHidden/>
    <w:rsid w:val="00DD3757"/>
    <w:rPr>
      <w:rFonts w:ascii="Arial" w:hAnsi="Arial"/>
      <w:lang w:val="en-US" w:eastAsia="en-US" w:bidi="ar-SA"/>
    </w:rPr>
  </w:style>
  <w:style w:type="paragraph" w:customStyle="1" w:styleId="SPLAP1">
    <w:name w:val="SPLAP 1"/>
    <w:basedOn w:val="Heading1"/>
    <w:rsid w:val="00D0244F"/>
    <w:pPr>
      <w:numPr>
        <w:numId w:val="1"/>
      </w:numPr>
      <w:pBdr>
        <w:bottom w:val="single" w:sz="4" w:space="1" w:color="auto"/>
      </w:pBdr>
      <w:spacing w:before="240" w:after="240"/>
      <w:jc w:val="left"/>
    </w:pPr>
    <w:rPr>
      <w:rFonts w:ascii="Arial" w:eastAsia="Times" w:hAnsi="Arial"/>
      <w:bCs w:val="0"/>
      <w:i w:val="0"/>
      <w:iCs w:val="0"/>
      <w:kern w:val="32"/>
      <w:sz w:val="24"/>
      <w:szCs w:val="32"/>
      <w:lang w:val="en-AU"/>
    </w:rPr>
  </w:style>
  <w:style w:type="paragraph" w:customStyle="1" w:styleId="SPLAP2">
    <w:name w:val="SPLAP 2"/>
    <w:basedOn w:val="Heading2"/>
    <w:rsid w:val="00D0244F"/>
    <w:pPr>
      <w:numPr>
        <w:ilvl w:val="1"/>
        <w:numId w:val="1"/>
      </w:numPr>
      <w:tabs>
        <w:tab w:val="num" w:pos="567"/>
      </w:tabs>
      <w:spacing w:before="240" w:after="60"/>
      <w:ind w:left="567" w:hanging="567"/>
      <w:jc w:val="left"/>
      <w:outlineLvl w:val="0"/>
    </w:pPr>
    <w:rPr>
      <w:rFonts w:ascii="Arial" w:eastAsia="Times" w:hAnsi="Arial"/>
      <w:bCs w:val="0"/>
      <w:i/>
      <w:iCs w:val="0"/>
      <w:sz w:val="24"/>
      <w:szCs w:val="28"/>
      <w:lang w:val="en-AU"/>
    </w:rPr>
  </w:style>
  <w:style w:type="paragraph" w:customStyle="1" w:styleId="SPLAP3">
    <w:name w:val="SPLAP 3"/>
    <w:basedOn w:val="Heading3"/>
    <w:rsid w:val="00D0244F"/>
    <w:pPr>
      <w:numPr>
        <w:ilvl w:val="2"/>
        <w:numId w:val="1"/>
      </w:numPr>
    </w:pPr>
    <w:rPr>
      <w:rFonts w:ascii="Arial" w:eastAsia="Times" w:hAnsi="Arial" w:cs="Times New Roman"/>
      <w:bCs w:val="0"/>
      <w:lang w:val="en-AU"/>
    </w:rPr>
  </w:style>
  <w:style w:type="paragraph" w:customStyle="1" w:styleId="ICLEIfont">
    <w:name w:val="ICLEI font"/>
    <w:basedOn w:val="Normal"/>
    <w:rsid w:val="00D0244F"/>
    <w:pPr>
      <w:spacing w:after="120"/>
    </w:pPr>
    <w:rPr>
      <w:rFonts w:eastAsia="Times"/>
      <w:sz w:val="22"/>
      <w:lang w:val="en-AU"/>
    </w:rPr>
  </w:style>
  <w:style w:type="paragraph" w:customStyle="1" w:styleId="LAPbodytext">
    <w:name w:val="LAP body text"/>
    <w:basedOn w:val="Normal"/>
    <w:rsid w:val="004701EC"/>
    <w:pPr>
      <w:jc w:val="both"/>
    </w:pPr>
    <w:rPr>
      <w:rFonts w:ascii="Verdana" w:hAnsi="Verdana"/>
      <w:color w:val="003366"/>
      <w:lang w:val="en-AU"/>
    </w:rPr>
  </w:style>
  <w:style w:type="character" w:styleId="FollowedHyperlink">
    <w:name w:val="FollowedHyperlink"/>
    <w:basedOn w:val="DefaultParagraphFont"/>
    <w:rsid w:val="00C03318"/>
    <w:rPr>
      <w:color w:val="800080"/>
      <w:u w:val="single"/>
    </w:rPr>
  </w:style>
  <w:style w:type="character" w:styleId="Emphasis">
    <w:name w:val="Emphasis"/>
    <w:basedOn w:val="DefaultParagraphFont"/>
    <w:qFormat/>
    <w:rsid w:val="007A0A9F"/>
    <w:rPr>
      <w:i/>
      <w:iCs/>
    </w:rPr>
  </w:style>
  <w:style w:type="paragraph" w:customStyle="1" w:styleId="SecHeading">
    <w:name w:val="SecHeading"/>
    <w:basedOn w:val="Normal"/>
    <w:next w:val="Paragraph"/>
    <w:rsid w:val="003D7FD8"/>
    <w:pPr>
      <w:keepNext/>
      <w:numPr>
        <w:ilvl w:val="1"/>
        <w:numId w:val="3"/>
      </w:numPr>
      <w:tabs>
        <w:tab w:val="clear" w:pos="5400"/>
        <w:tab w:val="num" w:pos="1296"/>
      </w:tabs>
      <w:spacing w:before="120" w:after="120"/>
      <w:ind w:left="1296"/>
    </w:pPr>
    <w:rPr>
      <w:rFonts w:ascii="Times New Roman" w:hAnsi="Times New Roman"/>
      <w:b/>
      <w:sz w:val="24"/>
      <w:lang w:val="es-ES_tradnl"/>
    </w:rPr>
  </w:style>
  <w:style w:type="character" w:customStyle="1" w:styleId="FootnoteTextChar1">
    <w:name w:val="Footnote Text Char1"/>
    <w:aliases w:val="Texto nota pie IIRSA Char,Footnote Char,text Char,foottextfra Char,footnote Char,F Char,fn Char,FOOTNOTES Char,single space Char,footnote text Char,Footnote Text Char Char Char,Footnote Text Char Char1,Texto de rodapé Char"/>
    <w:basedOn w:val="DefaultParagraphFont"/>
    <w:link w:val="FootnoteText"/>
    <w:uiPriority w:val="99"/>
    <w:rsid w:val="00336BBF"/>
    <w:rPr>
      <w:spacing w:val="-3"/>
    </w:rPr>
  </w:style>
  <w:style w:type="table" w:customStyle="1" w:styleId="Sombreadoclaro1">
    <w:name w:val="Sombreado claro1"/>
    <w:basedOn w:val="TableNormal"/>
    <w:uiPriority w:val="60"/>
    <w:rsid w:val="00E64D3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Classic1">
    <w:name w:val="Table Classic 1"/>
    <w:basedOn w:val="TableNormal"/>
    <w:rsid w:val="002F12E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F12E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rsid w:val="001E740A"/>
    <w:rPr>
      <w:b/>
      <w:bCs/>
      <w:i/>
      <w:iCs/>
      <w:sz w:val="22"/>
      <w:szCs w:val="22"/>
      <w:lang w:val="es-ES_tradnl" w:eastAsia="en-US"/>
    </w:rPr>
  </w:style>
  <w:style w:type="table" w:styleId="TableGrid">
    <w:name w:val="Table Grid"/>
    <w:basedOn w:val="TableNormal"/>
    <w:uiPriority w:val="59"/>
    <w:rsid w:val="00F329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
    <w:name w:val="Chapter"/>
    <w:basedOn w:val="Normal"/>
    <w:next w:val="Normal"/>
    <w:link w:val="ChapterChar"/>
    <w:rsid w:val="003D7FD8"/>
    <w:pPr>
      <w:keepNext/>
      <w:numPr>
        <w:numId w:val="2"/>
      </w:numPr>
      <w:tabs>
        <w:tab w:val="clear" w:pos="1800"/>
        <w:tab w:val="num" w:pos="648"/>
        <w:tab w:val="left" w:pos="1440"/>
      </w:tabs>
      <w:spacing w:before="240" w:after="240"/>
      <w:ind w:left="0"/>
      <w:jc w:val="center"/>
    </w:pPr>
    <w:rPr>
      <w:rFonts w:ascii="Times New Roman" w:hAnsi="Times New Roman"/>
      <w:b/>
      <w:smallCaps/>
      <w:sz w:val="24"/>
    </w:rPr>
  </w:style>
  <w:style w:type="character" w:customStyle="1" w:styleId="ChapterChar">
    <w:name w:val="Chapter Char"/>
    <w:basedOn w:val="Heading1Char"/>
    <w:link w:val="Chapter"/>
    <w:rsid w:val="003D7FD8"/>
    <w:rPr>
      <w:b/>
      <w:bCs w:val="0"/>
      <w:i w:val="0"/>
      <w:iCs w:val="0"/>
      <w:smallCaps/>
      <w:sz w:val="24"/>
      <w:szCs w:val="22"/>
      <w:lang w:val="es-ES_tradnl" w:eastAsia="en-US"/>
    </w:rPr>
  </w:style>
  <w:style w:type="paragraph" w:customStyle="1" w:styleId="FirstHeading">
    <w:name w:val="FirstHeading"/>
    <w:basedOn w:val="Normal"/>
    <w:next w:val="Normal"/>
    <w:link w:val="FirstHeadingChar"/>
    <w:rsid w:val="003D7FD8"/>
    <w:pPr>
      <w:keepNext/>
      <w:numPr>
        <w:numId w:val="3"/>
      </w:numPr>
      <w:tabs>
        <w:tab w:val="left" w:pos="0"/>
        <w:tab w:val="left" w:pos="86"/>
      </w:tabs>
      <w:spacing w:before="120" w:after="120"/>
      <w:ind w:left="720"/>
    </w:pPr>
    <w:rPr>
      <w:rFonts w:ascii="Times New Roman" w:hAnsi="Times New Roman"/>
      <w:b/>
      <w:sz w:val="24"/>
    </w:rPr>
  </w:style>
  <w:style w:type="character" w:customStyle="1" w:styleId="FirstHeadingChar">
    <w:name w:val="FirstHeading Char"/>
    <w:basedOn w:val="Heading1Char"/>
    <w:link w:val="FirstHeading"/>
    <w:rsid w:val="003D7FD8"/>
    <w:rPr>
      <w:b/>
      <w:bCs w:val="0"/>
      <w:i w:val="0"/>
      <w:iCs w:val="0"/>
      <w:sz w:val="24"/>
      <w:szCs w:val="22"/>
      <w:lang w:val="es-ES_tradnl" w:eastAsia="en-US"/>
    </w:rPr>
  </w:style>
  <w:style w:type="paragraph" w:customStyle="1" w:styleId="SubHeading1">
    <w:name w:val="SubHeading1"/>
    <w:basedOn w:val="SecHeading"/>
    <w:link w:val="SubHeading1Char"/>
    <w:rsid w:val="003D7FD8"/>
    <w:pPr>
      <w:numPr>
        <w:ilvl w:val="2"/>
      </w:numPr>
      <w:tabs>
        <w:tab w:val="clear" w:pos="5976"/>
        <w:tab w:val="num" w:pos="1872"/>
      </w:tabs>
      <w:ind w:left="1872"/>
    </w:pPr>
  </w:style>
  <w:style w:type="character" w:customStyle="1" w:styleId="SubHeading1Char">
    <w:name w:val="SubHeading1 Char"/>
    <w:basedOn w:val="Heading1Char"/>
    <w:link w:val="SubHeading1"/>
    <w:rsid w:val="003D7FD8"/>
    <w:rPr>
      <w:b/>
      <w:bCs w:val="0"/>
      <w:i w:val="0"/>
      <w:iCs w:val="0"/>
      <w:sz w:val="24"/>
      <w:szCs w:val="22"/>
      <w:lang w:val="es-ES_tradnl" w:eastAsia="en-US"/>
    </w:rPr>
  </w:style>
  <w:style w:type="paragraph" w:customStyle="1" w:styleId="Subheading2">
    <w:name w:val="Subheading2"/>
    <w:basedOn w:val="SecHeading"/>
    <w:link w:val="Subheading2Char"/>
    <w:rsid w:val="003D7FD8"/>
    <w:pPr>
      <w:numPr>
        <w:ilvl w:val="3"/>
      </w:numPr>
      <w:tabs>
        <w:tab w:val="clear" w:pos="6480"/>
        <w:tab w:val="num" w:pos="2376"/>
      </w:tabs>
      <w:ind w:left="2376"/>
    </w:pPr>
  </w:style>
  <w:style w:type="character" w:customStyle="1" w:styleId="Subheading2Char">
    <w:name w:val="Subheading2 Char"/>
    <w:basedOn w:val="Heading1Char"/>
    <w:link w:val="Subheading2"/>
    <w:rsid w:val="003D7FD8"/>
    <w:rPr>
      <w:b/>
      <w:bCs w:val="0"/>
      <w:i w:val="0"/>
      <w:iCs w:val="0"/>
      <w:sz w:val="24"/>
      <w:szCs w:val="22"/>
      <w:lang w:val="es-ES_tradnl" w:eastAsia="en-US"/>
    </w:rPr>
  </w:style>
  <w:style w:type="paragraph" w:customStyle="1" w:styleId="Paragraph">
    <w:name w:val="Paragraph"/>
    <w:aliases w:val="paragraph,p,PARAGRAPH,PG,pa,at"/>
    <w:basedOn w:val="BodyTextIndent"/>
    <w:link w:val="ParagraphChar"/>
    <w:qFormat/>
    <w:rsid w:val="003D7FD8"/>
    <w:pPr>
      <w:numPr>
        <w:ilvl w:val="1"/>
        <w:numId w:val="2"/>
      </w:numPr>
      <w:tabs>
        <w:tab w:val="clear" w:pos="2448"/>
        <w:tab w:val="num" w:pos="720"/>
      </w:tabs>
      <w:spacing w:before="120"/>
      <w:ind w:left="720" w:hanging="720"/>
      <w:jc w:val="both"/>
      <w:outlineLvl w:val="1"/>
    </w:pPr>
  </w:style>
  <w:style w:type="character" w:customStyle="1" w:styleId="ParagraphChar">
    <w:name w:val="Paragraph Char"/>
    <w:basedOn w:val="Heading1Char"/>
    <w:link w:val="Paragraph"/>
    <w:rsid w:val="003D7FD8"/>
    <w:rPr>
      <w:b w:val="0"/>
      <w:bCs w:val="0"/>
      <w:i w:val="0"/>
      <w:iCs w:val="0"/>
      <w:sz w:val="24"/>
      <w:szCs w:val="22"/>
      <w:lang w:val="es-ES_tradnl" w:eastAsia="en-US"/>
    </w:rPr>
  </w:style>
  <w:style w:type="paragraph" w:customStyle="1" w:styleId="subpar">
    <w:name w:val="subpar"/>
    <w:basedOn w:val="BodyTextIndent3"/>
    <w:link w:val="subparChar"/>
    <w:rsid w:val="003D7FD8"/>
    <w:pPr>
      <w:numPr>
        <w:ilvl w:val="2"/>
        <w:numId w:val="2"/>
      </w:numPr>
      <w:tabs>
        <w:tab w:val="clear" w:pos="2304"/>
        <w:tab w:val="num" w:pos="1152"/>
      </w:tabs>
      <w:spacing w:before="120"/>
      <w:ind w:left="1152"/>
      <w:jc w:val="both"/>
      <w:outlineLvl w:val="2"/>
    </w:pPr>
  </w:style>
  <w:style w:type="character" w:customStyle="1" w:styleId="subparChar">
    <w:name w:val="subpar Char"/>
    <w:basedOn w:val="Heading1Char"/>
    <w:link w:val="subpar"/>
    <w:rsid w:val="003D7FD8"/>
    <w:rPr>
      <w:b w:val="0"/>
      <w:bCs w:val="0"/>
      <w:i w:val="0"/>
      <w:iCs w:val="0"/>
      <w:sz w:val="24"/>
      <w:szCs w:val="16"/>
      <w:lang w:val="es-ES_tradnl" w:eastAsia="en-US"/>
    </w:rPr>
  </w:style>
  <w:style w:type="paragraph" w:customStyle="1" w:styleId="SubSubPar">
    <w:name w:val="SubSubPar"/>
    <w:basedOn w:val="subpar"/>
    <w:link w:val="SubSubParChar"/>
    <w:rsid w:val="003D7FD8"/>
    <w:pPr>
      <w:numPr>
        <w:ilvl w:val="3"/>
      </w:numPr>
      <w:tabs>
        <w:tab w:val="left" w:pos="0"/>
      </w:tabs>
    </w:pPr>
  </w:style>
  <w:style w:type="character" w:customStyle="1" w:styleId="SubSubParChar">
    <w:name w:val="SubSubPar Char"/>
    <w:basedOn w:val="Heading1Char"/>
    <w:link w:val="SubSubPar"/>
    <w:rsid w:val="003D7FD8"/>
    <w:rPr>
      <w:b w:val="0"/>
      <w:bCs w:val="0"/>
      <w:i w:val="0"/>
      <w:iCs w:val="0"/>
      <w:sz w:val="24"/>
      <w:szCs w:val="16"/>
      <w:lang w:val="es-ES_tradnl" w:eastAsia="en-US"/>
    </w:rPr>
  </w:style>
  <w:style w:type="paragraph" w:customStyle="1" w:styleId="Regtable">
    <w:name w:val="Regtable"/>
    <w:basedOn w:val="Normal"/>
    <w:link w:val="RegtableChar"/>
    <w:rsid w:val="003D7FD8"/>
    <w:pPr>
      <w:keepLines/>
      <w:framePr w:wrap="around" w:vAnchor="text" w:hAnchor="text" w:y="1"/>
      <w:spacing w:before="20" w:after="20"/>
    </w:pPr>
    <w:rPr>
      <w:rFonts w:ascii="Times New Roman" w:hAnsi="Times New Roman"/>
    </w:rPr>
  </w:style>
  <w:style w:type="character" w:customStyle="1" w:styleId="RegtableChar">
    <w:name w:val="Regtable Char"/>
    <w:basedOn w:val="Heading1Char"/>
    <w:link w:val="Regtable"/>
    <w:rsid w:val="003D7FD8"/>
    <w:rPr>
      <w:b/>
      <w:bCs/>
      <w:i/>
      <w:iCs/>
      <w:sz w:val="22"/>
      <w:szCs w:val="22"/>
      <w:lang w:val="es-ES_tradnl" w:eastAsia="en-US"/>
    </w:rPr>
  </w:style>
  <w:style w:type="paragraph" w:customStyle="1" w:styleId="TableTitle">
    <w:name w:val="TableTitle"/>
    <w:basedOn w:val="Normal"/>
    <w:link w:val="TableTitleChar"/>
    <w:rsid w:val="003D7FD8"/>
    <w:pPr>
      <w:framePr w:wrap="around" w:vAnchor="text" w:hAnchor="text" w:y="1"/>
      <w:spacing w:before="20" w:after="20"/>
    </w:pPr>
    <w:rPr>
      <w:rFonts w:ascii="Times New Roman Bold" w:hAnsi="Times New Roman Bold"/>
      <w:i/>
      <w:spacing w:val="-3"/>
    </w:rPr>
  </w:style>
  <w:style w:type="character" w:customStyle="1" w:styleId="TableTitleChar">
    <w:name w:val="TableTitle Char"/>
    <w:basedOn w:val="Heading1Char"/>
    <w:link w:val="TableTitle"/>
    <w:rsid w:val="003D7FD8"/>
    <w:rPr>
      <w:rFonts w:ascii="Times New Roman Bold" w:hAnsi="Times New Roman Bold"/>
      <w:b/>
      <w:bCs/>
      <w:i/>
      <w:iCs/>
      <w:spacing w:val="-3"/>
      <w:sz w:val="22"/>
      <w:szCs w:val="22"/>
      <w:lang w:val="es-ES_tradnl" w:eastAsia="en-US"/>
    </w:rPr>
  </w:style>
  <w:style w:type="character" w:customStyle="1" w:styleId="Heading4Char">
    <w:name w:val="Heading 4 Char"/>
    <w:basedOn w:val="DefaultParagraphFont"/>
    <w:link w:val="Heading4"/>
    <w:semiHidden/>
    <w:rsid w:val="003D7FD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3D7FD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3D7FD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semiHidden/>
    <w:rsid w:val="003D7F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3D7F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3D7FD8"/>
    <w:rPr>
      <w:rFonts w:asciiTheme="majorHAnsi" w:eastAsiaTheme="majorEastAsia" w:hAnsiTheme="majorHAnsi" w:cstheme="majorBidi"/>
      <w:i/>
      <w:iCs/>
      <w:color w:val="404040" w:themeColor="text1" w:themeTint="BF"/>
    </w:rPr>
  </w:style>
  <w:style w:type="paragraph" w:styleId="BodyTextIndent">
    <w:name w:val="Body Text Indent"/>
    <w:basedOn w:val="Normal"/>
    <w:link w:val="BodyTextIndentChar"/>
    <w:rsid w:val="003D7FD8"/>
    <w:pPr>
      <w:spacing w:after="120"/>
      <w:ind w:left="360"/>
    </w:pPr>
    <w:rPr>
      <w:rFonts w:ascii="Times New Roman" w:hAnsi="Times New Roman"/>
      <w:sz w:val="24"/>
    </w:rPr>
  </w:style>
  <w:style w:type="character" w:customStyle="1" w:styleId="BodyTextIndentChar">
    <w:name w:val="Body Text Indent Char"/>
    <w:basedOn w:val="DefaultParagraphFont"/>
    <w:link w:val="BodyTextIndent"/>
    <w:rsid w:val="003D7FD8"/>
    <w:rPr>
      <w:sz w:val="24"/>
    </w:rPr>
  </w:style>
  <w:style w:type="paragraph" w:styleId="BodyTextIndent3">
    <w:name w:val="Body Text Indent 3"/>
    <w:basedOn w:val="Normal"/>
    <w:link w:val="BodyTextIndent3Char"/>
    <w:rsid w:val="003D7FD8"/>
    <w:pPr>
      <w:spacing w:after="120"/>
      <w:ind w:left="360"/>
    </w:pPr>
    <w:rPr>
      <w:rFonts w:ascii="Times New Roman" w:hAnsi="Times New Roman"/>
      <w:sz w:val="24"/>
      <w:szCs w:val="16"/>
    </w:rPr>
  </w:style>
  <w:style w:type="character" w:customStyle="1" w:styleId="BodyTextIndent3Char">
    <w:name w:val="Body Text Indent 3 Char"/>
    <w:basedOn w:val="DefaultParagraphFont"/>
    <w:link w:val="BodyTextIndent3"/>
    <w:rsid w:val="003D7FD8"/>
    <w:rPr>
      <w:sz w:val="24"/>
      <w:szCs w:val="16"/>
    </w:rPr>
  </w:style>
  <w:style w:type="paragraph" w:styleId="PlainText">
    <w:name w:val="Plain Text"/>
    <w:basedOn w:val="Normal"/>
    <w:link w:val="PlainTextChar"/>
    <w:uiPriority w:val="99"/>
    <w:unhideWhenUsed/>
    <w:rsid w:val="008B07EE"/>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8B07EE"/>
    <w:rPr>
      <w:rFonts w:ascii="Consolas" w:eastAsiaTheme="minorHAnsi" w:hAnsi="Consolas" w:cstheme="minorBidi"/>
      <w:sz w:val="21"/>
      <w:szCs w:val="21"/>
    </w:rPr>
  </w:style>
  <w:style w:type="character" w:styleId="CommentReference">
    <w:name w:val="annotation reference"/>
    <w:basedOn w:val="DefaultParagraphFont"/>
    <w:uiPriority w:val="99"/>
    <w:rsid w:val="009E1C8E"/>
    <w:rPr>
      <w:sz w:val="16"/>
      <w:szCs w:val="16"/>
    </w:rPr>
  </w:style>
  <w:style w:type="paragraph" w:styleId="CommentText">
    <w:name w:val="annotation text"/>
    <w:basedOn w:val="Normal"/>
    <w:link w:val="CommentTextChar"/>
    <w:uiPriority w:val="99"/>
    <w:rsid w:val="009E1C8E"/>
  </w:style>
  <w:style w:type="character" w:customStyle="1" w:styleId="CommentTextChar">
    <w:name w:val="Comment Text Char"/>
    <w:basedOn w:val="DefaultParagraphFont"/>
    <w:link w:val="CommentText"/>
    <w:uiPriority w:val="99"/>
    <w:rsid w:val="009E1C8E"/>
    <w:rPr>
      <w:rFonts w:ascii="Arial" w:hAnsi="Arial"/>
    </w:rPr>
  </w:style>
  <w:style w:type="paragraph" w:styleId="CommentSubject">
    <w:name w:val="annotation subject"/>
    <w:basedOn w:val="CommentText"/>
    <w:next w:val="CommentText"/>
    <w:link w:val="CommentSubjectChar"/>
    <w:rsid w:val="009E1C8E"/>
    <w:rPr>
      <w:b/>
      <w:bCs/>
    </w:rPr>
  </w:style>
  <w:style w:type="character" w:customStyle="1" w:styleId="CommentSubjectChar">
    <w:name w:val="Comment Subject Char"/>
    <w:basedOn w:val="CommentTextChar"/>
    <w:link w:val="CommentSubject"/>
    <w:rsid w:val="009E1C8E"/>
    <w:rPr>
      <w:rFonts w:ascii="Arial" w:hAnsi="Arial"/>
      <w:b/>
      <w:bCs/>
    </w:rPr>
  </w:style>
  <w:style w:type="table" w:styleId="TableSimple1">
    <w:name w:val="Table Simple 1"/>
    <w:basedOn w:val="TableNormal"/>
    <w:rsid w:val="00BD000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BalloonTextChar">
    <w:name w:val="Balloon Text Char"/>
    <w:basedOn w:val="DefaultParagraphFont"/>
    <w:link w:val="BalloonText"/>
    <w:semiHidden/>
    <w:rsid w:val="005F4F0C"/>
    <w:rPr>
      <w:rFonts w:ascii="Tahoma" w:hAnsi="Tahoma" w:cs="Tahoma"/>
      <w:sz w:val="16"/>
      <w:szCs w:val="16"/>
    </w:rPr>
  </w:style>
  <w:style w:type="character" w:customStyle="1" w:styleId="TextonotapieCar1">
    <w:name w:val="Texto nota pie Car1"/>
    <w:aliases w:val="Texto nota pie IIRSA Car,Footnote Car,text Car,foottextfra Car,footnote Car,F Car,Texto nota pie Car Car"/>
    <w:uiPriority w:val="99"/>
    <w:semiHidden/>
    <w:rsid w:val="00FE5708"/>
    <w:rPr>
      <w:lang w:eastAsia="es-ES"/>
    </w:rPr>
  </w:style>
  <w:style w:type="paragraph" w:styleId="BodyText">
    <w:name w:val="Body Text"/>
    <w:basedOn w:val="Normal"/>
    <w:link w:val="BodyTextChar"/>
    <w:rsid w:val="00257AA5"/>
    <w:pPr>
      <w:spacing w:after="120"/>
    </w:pPr>
  </w:style>
  <w:style w:type="character" w:customStyle="1" w:styleId="BodyTextChar">
    <w:name w:val="Body Text Char"/>
    <w:basedOn w:val="DefaultParagraphFont"/>
    <w:link w:val="BodyText"/>
    <w:rsid w:val="00257AA5"/>
    <w:rPr>
      <w:rFonts w:ascii="Arial" w:hAnsi="Arial"/>
    </w:rPr>
  </w:style>
  <w:style w:type="character" w:customStyle="1" w:styleId="Heading2Char">
    <w:name w:val="Heading 2 Char"/>
    <w:basedOn w:val="DefaultParagraphFont"/>
    <w:link w:val="Heading2"/>
    <w:rsid w:val="00C33ADF"/>
    <w:rPr>
      <w:b/>
      <w:bCs/>
      <w:iCs/>
      <w:sz w:val="22"/>
      <w:szCs w:val="22"/>
      <w:lang w:val="es-ES_tradnl"/>
    </w:rPr>
  </w:style>
  <w:style w:type="character" w:customStyle="1" w:styleId="FooterChar">
    <w:name w:val="Footer Char"/>
    <w:basedOn w:val="DefaultParagraphFont"/>
    <w:link w:val="Footer"/>
    <w:uiPriority w:val="99"/>
    <w:rsid w:val="00150E9B"/>
    <w:rPr>
      <w:sz w:val="24"/>
      <w:szCs w:val="24"/>
      <w:lang w:val="es-ES"/>
    </w:rPr>
  </w:style>
  <w:style w:type="character" w:customStyle="1" w:styleId="ParagraphCar">
    <w:name w:val="Paragraph Car"/>
    <w:basedOn w:val="DefaultParagraphFont"/>
    <w:locked/>
    <w:rsid w:val="007062AA"/>
    <w:rPr>
      <w:sz w:val="24"/>
      <w:lang w:val="es-ES"/>
    </w:rPr>
  </w:style>
  <w:style w:type="character" w:customStyle="1" w:styleId="Smbolodenotaalpie">
    <w:name w:val="Símbolo de nota al pie"/>
    <w:rsid w:val="007062AA"/>
    <w:rPr>
      <w:vertAlign w:val="superscript"/>
    </w:rPr>
  </w:style>
  <w:style w:type="character" w:customStyle="1" w:styleId="apple-converted-space">
    <w:name w:val="apple-converted-space"/>
    <w:basedOn w:val="DefaultParagraphFont"/>
    <w:rsid w:val="00991193"/>
  </w:style>
  <w:style w:type="character" w:customStyle="1" w:styleId="TitleChar">
    <w:name w:val="Title Char"/>
    <w:basedOn w:val="DefaultParagraphFont"/>
    <w:link w:val="Title"/>
    <w:uiPriority w:val="99"/>
    <w:rsid w:val="00AF6F7A"/>
    <w:rPr>
      <w:b/>
      <w:bCs/>
      <w:sz w:val="28"/>
      <w:szCs w:val="24"/>
      <w:lang w:val="es-ES_tradnl"/>
    </w:rPr>
  </w:style>
  <w:style w:type="character" w:styleId="PlaceholderText">
    <w:name w:val="Placeholder Text"/>
    <w:basedOn w:val="DefaultParagraphFont"/>
    <w:uiPriority w:val="99"/>
    <w:semiHidden/>
    <w:rsid w:val="009B6CA0"/>
    <w:rPr>
      <w:color w:val="808080"/>
    </w:rPr>
  </w:style>
  <w:style w:type="paragraph" w:customStyle="1" w:styleId="para">
    <w:name w:val="para."/>
    <w:basedOn w:val="Default"/>
    <w:next w:val="Default"/>
    <w:uiPriority w:val="99"/>
    <w:rsid w:val="00DE69B9"/>
    <w:rPr>
      <w:rFonts w:ascii="MJGKGJ+Sylfaen" w:eastAsiaTheme="minorEastAsia" w:hAnsi="MJGKGJ+Sylfaen" w:cstheme="minorBidi"/>
      <w:color w:val="auto"/>
    </w:rPr>
  </w:style>
  <w:style w:type="paragraph" w:styleId="ListContinue">
    <w:name w:val="List Continue"/>
    <w:basedOn w:val="Normal"/>
    <w:link w:val="ListContinueChar"/>
    <w:rsid w:val="00D709DE"/>
    <w:pPr>
      <w:numPr>
        <w:ilvl w:val="1"/>
        <w:numId w:val="13"/>
      </w:numPr>
      <w:spacing w:after="120"/>
    </w:pPr>
    <w:rPr>
      <w:rFonts w:ascii="Times New Roman" w:hAnsi="Times New Roman"/>
      <w:sz w:val="24"/>
      <w:szCs w:val="24"/>
      <w:lang w:val="es-AR"/>
    </w:rPr>
  </w:style>
  <w:style w:type="character" w:customStyle="1" w:styleId="ListContinueChar">
    <w:name w:val="List Continue Char"/>
    <w:basedOn w:val="DefaultParagraphFont"/>
    <w:link w:val="ListContinue"/>
    <w:rsid w:val="00D709DE"/>
    <w:rPr>
      <w:sz w:val="24"/>
      <w:szCs w:val="24"/>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0902">
      <w:bodyDiv w:val="1"/>
      <w:marLeft w:val="0"/>
      <w:marRight w:val="0"/>
      <w:marTop w:val="0"/>
      <w:marBottom w:val="0"/>
      <w:divBdr>
        <w:top w:val="none" w:sz="0" w:space="0" w:color="auto"/>
        <w:left w:val="none" w:sz="0" w:space="0" w:color="auto"/>
        <w:bottom w:val="none" w:sz="0" w:space="0" w:color="auto"/>
        <w:right w:val="none" w:sz="0" w:space="0" w:color="auto"/>
      </w:divBdr>
    </w:div>
    <w:div w:id="31422075">
      <w:bodyDiv w:val="1"/>
      <w:marLeft w:val="0"/>
      <w:marRight w:val="0"/>
      <w:marTop w:val="0"/>
      <w:marBottom w:val="0"/>
      <w:divBdr>
        <w:top w:val="none" w:sz="0" w:space="0" w:color="auto"/>
        <w:left w:val="none" w:sz="0" w:space="0" w:color="auto"/>
        <w:bottom w:val="none" w:sz="0" w:space="0" w:color="auto"/>
        <w:right w:val="none" w:sz="0" w:space="0" w:color="auto"/>
      </w:divBdr>
    </w:div>
    <w:div w:id="68432600">
      <w:bodyDiv w:val="1"/>
      <w:marLeft w:val="0"/>
      <w:marRight w:val="0"/>
      <w:marTop w:val="0"/>
      <w:marBottom w:val="0"/>
      <w:divBdr>
        <w:top w:val="none" w:sz="0" w:space="0" w:color="auto"/>
        <w:left w:val="none" w:sz="0" w:space="0" w:color="auto"/>
        <w:bottom w:val="none" w:sz="0" w:space="0" w:color="auto"/>
        <w:right w:val="none" w:sz="0" w:space="0" w:color="auto"/>
      </w:divBdr>
    </w:div>
    <w:div w:id="80874055">
      <w:bodyDiv w:val="1"/>
      <w:marLeft w:val="0"/>
      <w:marRight w:val="0"/>
      <w:marTop w:val="0"/>
      <w:marBottom w:val="0"/>
      <w:divBdr>
        <w:top w:val="none" w:sz="0" w:space="0" w:color="auto"/>
        <w:left w:val="none" w:sz="0" w:space="0" w:color="auto"/>
        <w:bottom w:val="none" w:sz="0" w:space="0" w:color="auto"/>
        <w:right w:val="none" w:sz="0" w:space="0" w:color="auto"/>
      </w:divBdr>
    </w:div>
    <w:div w:id="82731015">
      <w:bodyDiv w:val="1"/>
      <w:marLeft w:val="0"/>
      <w:marRight w:val="0"/>
      <w:marTop w:val="0"/>
      <w:marBottom w:val="0"/>
      <w:divBdr>
        <w:top w:val="none" w:sz="0" w:space="0" w:color="auto"/>
        <w:left w:val="none" w:sz="0" w:space="0" w:color="auto"/>
        <w:bottom w:val="none" w:sz="0" w:space="0" w:color="auto"/>
        <w:right w:val="none" w:sz="0" w:space="0" w:color="auto"/>
      </w:divBdr>
      <w:divsChild>
        <w:div w:id="164367819">
          <w:marLeft w:val="547"/>
          <w:marRight w:val="0"/>
          <w:marTop w:val="86"/>
          <w:marBottom w:val="0"/>
          <w:divBdr>
            <w:top w:val="none" w:sz="0" w:space="0" w:color="auto"/>
            <w:left w:val="none" w:sz="0" w:space="0" w:color="auto"/>
            <w:bottom w:val="none" w:sz="0" w:space="0" w:color="auto"/>
            <w:right w:val="none" w:sz="0" w:space="0" w:color="auto"/>
          </w:divBdr>
        </w:div>
        <w:div w:id="581447716">
          <w:marLeft w:val="547"/>
          <w:marRight w:val="0"/>
          <w:marTop w:val="86"/>
          <w:marBottom w:val="0"/>
          <w:divBdr>
            <w:top w:val="none" w:sz="0" w:space="0" w:color="auto"/>
            <w:left w:val="none" w:sz="0" w:space="0" w:color="auto"/>
            <w:bottom w:val="none" w:sz="0" w:space="0" w:color="auto"/>
            <w:right w:val="none" w:sz="0" w:space="0" w:color="auto"/>
          </w:divBdr>
        </w:div>
        <w:div w:id="944964885">
          <w:marLeft w:val="0"/>
          <w:marRight w:val="0"/>
          <w:marTop w:val="86"/>
          <w:marBottom w:val="0"/>
          <w:divBdr>
            <w:top w:val="none" w:sz="0" w:space="0" w:color="auto"/>
            <w:left w:val="none" w:sz="0" w:space="0" w:color="auto"/>
            <w:bottom w:val="none" w:sz="0" w:space="0" w:color="auto"/>
            <w:right w:val="none" w:sz="0" w:space="0" w:color="auto"/>
          </w:divBdr>
        </w:div>
        <w:div w:id="1378161022">
          <w:marLeft w:val="547"/>
          <w:marRight w:val="0"/>
          <w:marTop w:val="86"/>
          <w:marBottom w:val="0"/>
          <w:divBdr>
            <w:top w:val="none" w:sz="0" w:space="0" w:color="auto"/>
            <w:left w:val="none" w:sz="0" w:space="0" w:color="auto"/>
            <w:bottom w:val="none" w:sz="0" w:space="0" w:color="auto"/>
            <w:right w:val="none" w:sz="0" w:space="0" w:color="auto"/>
          </w:divBdr>
        </w:div>
        <w:div w:id="1614366665">
          <w:marLeft w:val="547"/>
          <w:marRight w:val="0"/>
          <w:marTop w:val="86"/>
          <w:marBottom w:val="0"/>
          <w:divBdr>
            <w:top w:val="none" w:sz="0" w:space="0" w:color="auto"/>
            <w:left w:val="none" w:sz="0" w:space="0" w:color="auto"/>
            <w:bottom w:val="none" w:sz="0" w:space="0" w:color="auto"/>
            <w:right w:val="none" w:sz="0" w:space="0" w:color="auto"/>
          </w:divBdr>
        </w:div>
        <w:div w:id="1843741550">
          <w:marLeft w:val="547"/>
          <w:marRight w:val="0"/>
          <w:marTop w:val="86"/>
          <w:marBottom w:val="0"/>
          <w:divBdr>
            <w:top w:val="none" w:sz="0" w:space="0" w:color="auto"/>
            <w:left w:val="none" w:sz="0" w:space="0" w:color="auto"/>
            <w:bottom w:val="none" w:sz="0" w:space="0" w:color="auto"/>
            <w:right w:val="none" w:sz="0" w:space="0" w:color="auto"/>
          </w:divBdr>
        </w:div>
        <w:div w:id="2084599872">
          <w:marLeft w:val="547"/>
          <w:marRight w:val="0"/>
          <w:marTop w:val="86"/>
          <w:marBottom w:val="0"/>
          <w:divBdr>
            <w:top w:val="none" w:sz="0" w:space="0" w:color="auto"/>
            <w:left w:val="none" w:sz="0" w:space="0" w:color="auto"/>
            <w:bottom w:val="none" w:sz="0" w:space="0" w:color="auto"/>
            <w:right w:val="none" w:sz="0" w:space="0" w:color="auto"/>
          </w:divBdr>
        </w:div>
      </w:divsChild>
    </w:div>
    <w:div w:id="99377839">
      <w:bodyDiv w:val="1"/>
      <w:marLeft w:val="0"/>
      <w:marRight w:val="0"/>
      <w:marTop w:val="0"/>
      <w:marBottom w:val="0"/>
      <w:divBdr>
        <w:top w:val="none" w:sz="0" w:space="0" w:color="auto"/>
        <w:left w:val="none" w:sz="0" w:space="0" w:color="auto"/>
        <w:bottom w:val="none" w:sz="0" w:space="0" w:color="auto"/>
        <w:right w:val="none" w:sz="0" w:space="0" w:color="auto"/>
      </w:divBdr>
      <w:divsChild>
        <w:div w:id="1842772544">
          <w:marLeft w:val="0"/>
          <w:marRight w:val="0"/>
          <w:marTop w:val="0"/>
          <w:marBottom w:val="0"/>
          <w:divBdr>
            <w:top w:val="none" w:sz="0" w:space="0" w:color="auto"/>
            <w:left w:val="none" w:sz="0" w:space="0" w:color="auto"/>
            <w:bottom w:val="none" w:sz="0" w:space="0" w:color="auto"/>
            <w:right w:val="none" w:sz="0" w:space="0" w:color="auto"/>
          </w:divBdr>
          <w:divsChild>
            <w:div w:id="187374764">
              <w:marLeft w:val="0"/>
              <w:marRight w:val="0"/>
              <w:marTop w:val="0"/>
              <w:marBottom w:val="0"/>
              <w:divBdr>
                <w:top w:val="none" w:sz="0" w:space="0" w:color="auto"/>
                <w:left w:val="none" w:sz="0" w:space="0" w:color="auto"/>
                <w:bottom w:val="none" w:sz="0" w:space="0" w:color="auto"/>
                <w:right w:val="none" w:sz="0" w:space="0" w:color="auto"/>
              </w:divBdr>
            </w:div>
            <w:div w:id="293676307">
              <w:marLeft w:val="0"/>
              <w:marRight w:val="0"/>
              <w:marTop w:val="0"/>
              <w:marBottom w:val="0"/>
              <w:divBdr>
                <w:top w:val="none" w:sz="0" w:space="0" w:color="auto"/>
                <w:left w:val="none" w:sz="0" w:space="0" w:color="auto"/>
                <w:bottom w:val="none" w:sz="0" w:space="0" w:color="auto"/>
                <w:right w:val="none" w:sz="0" w:space="0" w:color="auto"/>
              </w:divBdr>
            </w:div>
            <w:div w:id="1308704602">
              <w:marLeft w:val="0"/>
              <w:marRight w:val="0"/>
              <w:marTop w:val="0"/>
              <w:marBottom w:val="0"/>
              <w:divBdr>
                <w:top w:val="none" w:sz="0" w:space="0" w:color="auto"/>
                <w:left w:val="none" w:sz="0" w:space="0" w:color="auto"/>
                <w:bottom w:val="none" w:sz="0" w:space="0" w:color="auto"/>
                <w:right w:val="none" w:sz="0" w:space="0" w:color="auto"/>
              </w:divBdr>
            </w:div>
            <w:div w:id="208938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4849">
      <w:bodyDiv w:val="1"/>
      <w:marLeft w:val="0"/>
      <w:marRight w:val="0"/>
      <w:marTop w:val="0"/>
      <w:marBottom w:val="0"/>
      <w:divBdr>
        <w:top w:val="none" w:sz="0" w:space="0" w:color="auto"/>
        <w:left w:val="none" w:sz="0" w:space="0" w:color="auto"/>
        <w:bottom w:val="none" w:sz="0" w:space="0" w:color="auto"/>
        <w:right w:val="none" w:sz="0" w:space="0" w:color="auto"/>
      </w:divBdr>
    </w:div>
    <w:div w:id="109132147">
      <w:bodyDiv w:val="1"/>
      <w:marLeft w:val="0"/>
      <w:marRight w:val="0"/>
      <w:marTop w:val="0"/>
      <w:marBottom w:val="0"/>
      <w:divBdr>
        <w:top w:val="none" w:sz="0" w:space="0" w:color="auto"/>
        <w:left w:val="none" w:sz="0" w:space="0" w:color="auto"/>
        <w:bottom w:val="none" w:sz="0" w:space="0" w:color="auto"/>
        <w:right w:val="none" w:sz="0" w:space="0" w:color="auto"/>
      </w:divBdr>
    </w:div>
    <w:div w:id="109587888">
      <w:bodyDiv w:val="1"/>
      <w:marLeft w:val="0"/>
      <w:marRight w:val="0"/>
      <w:marTop w:val="0"/>
      <w:marBottom w:val="0"/>
      <w:divBdr>
        <w:top w:val="none" w:sz="0" w:space="0" w:color="auto"/>
        <w:left w:val="none" w:sz="0" w:space="0" w:color="auto"/>
        <w:bottom w:val="none" w:sz="0" w:space="0" w:color="auto"/>
        <w:right w:val="none" w:sz="0" w:space="0" w:color="auto"/>
      </w:divBdr>
    </w:div>
    <w:div w:id="111019066">
      <w:bodyDiv w:val="1"/>
      <w:marLeft w:val="0"/>
      <w:marRight w:val="0"/>
      <w:marTop w:val="0"/>
      <w:marBottom w:val="0"/>
      <w:divBdr>
        <w:top w:val="none" w:sz="0" w:space="0" w:color="auto"/>
        <w:left w:val="none" w:sz="0" w:space="0" w:color="auto"/>
        <w:bottom w:val="none" w:sz="0" w:space="0" w:color="auto"/>
        <w:right w:val="none" w:sz="0" w:space="0" w:color="auto"/>
      </w:divBdr>
    </w:div>
    <w:div w:id="114100952">
      <w:bodyDiv w:val="1"/>
      <w:marLeft w:val="0"/>
      <w:marRight w:val="0"/>
      <w:marTop w:val="0"/>
      <w:marBottom w:val="0"/>
      <w:divBdr>
        <w:top w:val="none" w:sz="0" w:space="0" w:color="auto"/>
        <w:left w:val="none" w:sz="0" w:space="0" w:color="auto"/>
        <w:bottom w:val="none" w:sz="0" w:space="0" w:color="auto"/>
        <w:right w:val="none" w:sz="0" w:space="0" w:color="auto"/>
      </w:divBdr>
    </w:div>
    <w:div w:id="134296972">
      <w:bodyDiv w:val="1"/>
      <w:marLeft w:val="0"/>
      <w:marRight w:val="0"/>
      <w:marTop w:val="0"/>
      <w:marBottom w:val="0"/>
      <w:divBdr>
        <w:top w:val="none" w:sz="0" w:space="0" w:color="auto"/>
        <w:left w:val="none" w:sz="0" w:space="0" w:color="auto"/>
        <w:bottom w:val="none" w:sz="0" w:space="0" w:color="auto"/>
        <w:right w:val="none" w:sz="0" w:space="0" w:color="auto"/>
      </w:divBdr>
    </w:div>
    <w:div w:id="141772083">
      <w:bodyDiv w:val="1"/>
      <w:marLeft w:val="0"/>
      <w:marRight w:val="0"/>
      <w:marTop w:val="0"/>
      <w:marBottom w:val="0"/>
      <w:divBdr>
        <w:top w:val="none" w:sz="0" w:space="0" w:color="auto"/>
        <w:left w:val="none" w:sz="0" w:space="0" w:color="auto"/>
        <w:bottom w:val="none" w:sz="0" w:space="0" w:color="auto"/>
        <w:right w:val="none" w:sz="0" w:space="0" w:color="auto"/>
      </w:divBdr>
    </w:div>
    <w:div w:id="171536459">
      <w:bodyDiv w:val="1"/>
      <w:marLeft w:val="0"/>
      <w:marRight w:val="0"/>
      <w:marTop w:val="0"/>
      <w:marBottom w:val="0"/>
      <w:divBdr>
        <w:top w:val="none" w:sz="0" w:space="0" w:color="auto"/>
        <w:left w:val="none" w:sz="0" w:space="0" w:color="auto"/>
        <w:bottom w:val="none" w:sz="0" w:space="0" w:color="auto"/>
        <w:right w:val="none" w:sz="0" w:space="0" w:color="auto"/>
      </w:divBdr>
    </w:div>
    <w:div w:id="175268055">
      <w:bodyDiv w:val="1"/>
      <w:marLeft w:val="0"/>
      <w:marRight w:val="0"/>
      <w:marTop w:val="0"/>
      <w:marBottom w:val="0"/>
      <w:divBdr>
        <w:top w:val="none" w:sz="0" w:space="0" w:color="auto"/>
        <w:left w:val="none" w:sz="0" w:space="0" w:color="auto"/>
        <w:bottom w:val="none" w:sz="0" w:space="0" w:color="auto"/>
        <w:right w:val="none" w:sz="0" w:space="0" w:color="auto"/>
      </w:divBdr>
    </w:div>
    <w:div w:id="188107002">
      <w:bodyDiv w:val="1"/>
      <w:marLeft w:val="0"/>
      <w:marRight w:val="0"/>
      <w:marTop w:val="0"/>
      <w:marBottom w:val="0"/>
      <w:divBdr>
        <w:top w:val="none" w:sz="0" w:space="0" w:color="auto"/>
        <w:left w:val="none" w:sz="0" w:space="0" w:color="auto"/>
        <w:bottom w:val="none" w:sz="0" w:space="0" w:color="auto"/>
        <w:right w:val="none" w:sz="0" w:space="0" w:color="auto"/>
      </w:divBdr>
    </w:div>
    <w:div w:id="223680535">
      <w:bodyDiv w:val="1"/>
      <w:marLeft w:val="0"/>
      <w:marRight w:val="0"/>
      <w:marTop w:val="0"/>
      <w:marBottom w:val="0"/>
      <w:divBdr>
        <w:top w:val="none" w:sz="0" w:space="0" w:color="auto"/>
        <w:left w:val="none" w:sz="0" w:space="0" w:color="auto"/>
        <w:bottom w:val="none" w:sz="0" w:space="0" w:color="auto"/>
        <w:right w:val="none" w:sz="0" w:space="0" w:color="auto"/>
      </w:divBdr>
    </w:div>
    <w:div w:id="238370207">
      <w:bodyDiv w:val="1"/>
      <w:marLeft w:val="0"/>
      <w:marRight w:val="0"/>
      <w:marTop w:val="0"/>
      <w:marBottom w:val="0"/>
      <w:divBdr>
        <w:top w:val="none" w:sz="0" w:space="0" w:color="auto"/>
        <w:left w:val="none" w:sz="0" w:space="0" w:color="auto"/>
        <w:bottom w:val="none" w:sz="0" w:space="0" w:color="auto"/>
        <w:right w:val="none" w:sz="0" w:space="0" w:color="auto"/>
      </w:divBdr>
    </w:div>
    <w:div w:id="240408174">
      <w:bodyDiv w:val="1"/>
      <w:marLeft w:val="0"/>
      <w:marRight w:val="0"/>
      <w:marTop w:val="0"/>
      <w:marBottom w:val="0"/>
      <w:divBdr>
        <w:top w:val="none" w:sz="0" w:space="0" w:color="auto"/>
        <w:left w:val="none" w:sz="0" w:space="0" w:color="auto"/>
        <w:bottom w:val="none" w:sz="0" w:space="0" w:color="auto"/>
        <w:right w:val="none" w:sz="0" w:space="0" w:color="auto"/>
      </w:divBdr>
    </w:div>
    <w:div w:id="287856983">
      <w:bodyDiv w:val="1"/>
      <w:marLeft w:val="0"/>
      <w:marRight w:val="0"/>
      <w:marTop w:val="0"/>
      <w:marBottom w:val="0"/>
      <w:divBdr>
        <w:top w:val="none" w:sz="0" w:space="0" w:color="auto"/>
        <w:left w:val="none" w:sz="0" w:space="0" w:color="auto"/>
        <w:bottom w:val="none" w:sz="0" w:space="0" w:color="auto"/>
        <w:right w:val="none" w:sz="0" w:space="0" w:color="auto"/>
      </w:divBdr>
    </w:div>
    <w:div w:id="288097654">
      <w:bodyDiv w:val="1"/>
      <w:marLeft w:val="0"/>
      <w:marRight w:val="0"/>
      <w:marTop w:val="0"/>
      <w:marBottom w:val="0"/>
      <w:divBdr>
        <w:top w:val="none" w:sz="0" w:space="0" w:color="auto"/>
        <w:left w:val="none" w:sz="0" w:space="0" w:color="auto"/>
        <w:bottom w:val="none" w:sz="0" w:space="0" w:color="auto"/>
        <w:right w:val="none" w:sz="0" w:space="0" w:color="auto"/>
      </w:divBdr>
    </w:div>
    <w:div w:id="289366013">
      <w:bodyDiv w:val="1"/>
      <w:marLeft w:val="0"/>
      <w:marRight w:val="0"/>
      <w:marTop w:val="0"/>
      <w:marBottom w:val="0"/>
      <w:divBdr>
        <w:top w:val="none" w:sz="0" w:space="0" w:color="auto"/>
        <w:left w:val="none" w:sz="0" w:space="0" w:color="auto"/>
        <w:bottom w:val="none" w:sz="0" w:space="0" w:color="auto"/>
        <w:right w:val="none" w:sz="0" w:space="0" w:color="auto"/>
      </w:divBdr>
    </w:div>
    <w:div w:id="291448456">
      <w:bodyDiv w:val="1"/>
      <w:marLeft w:val="0"/>
      <w:marRight w:val="0"/>
      <w:marTop w:val="0"/>
      <w:marBottom w:val="0"/>
      <w:divBdr>
        <w:top w:val="none" w:sz="0" w:space="0" w:color="auto"/>
        <w:left w:val="none" w:sz="0" w:space="0" w:color="auto"/>
        <w:bottom w:val="none" w:sz="0" w:space="0" w:color="auto"/>
        <w:right w:val="none" w:sz="0" w:space="0" w:color="auto"/>
      </w:divBdr>
    </w:div>
    <w:div w:id="296956393">
      <w:bodyDiv w:val="1"/>
      <w:marLeft w:val="0"/>
      <w:marRight w:val="0"/>
      <w:marTop w:val="0"/>
      <w:marBottom w:val="0"/>
      <w:divBdr>
        <w:top w:val="none" w:sz="0" w:space="0" w:color="auto"/>
        <w:left w:val="none" w:sz="0" w:space="0" w:color="auto"/>
        <w:bottom w:val="none" w:sz="0" w:space="0" w:color="auto"/>
        <w:right w:val="none" w:sz="0" w:space="0" w:color="auto"/>
      </w:divBdr>
    </w:div>
    <w:div w:id="306472394">
      <w:bodyDiv w:val="1"/>
      <w:marLeft w:val="0"/>
      <w:marRight w:val="0"/>
      <w:marTop w:val="0"/>
      <w:marBottom w:val="0"/>
      <w:divBdr>
        <w:top w:val="none" w:sz="0" w:space="0" w:color="auto"/>
        <w:left w:val="none" w:sz="0" w:space="0" w:color="auto"/>
        <w:bottom w:val="none" w:sz="0" w:space="0" w:color="auto"/>
        <w:right w:val="none" w:sz="0" w:space="0" w:color="auto"/>
      </w:divBdr>
    </w:div>
    <w:div w:id="317420286">
      <w:bodyDiv w:val="1"/>
      <w:marLeft w:val="0"/>
      <w:marRight w:val="0"/>
      <w:marTop w:val="0"/>
      <w:marBottom w:val="0"/>
      <w:divBdr>
        <w:top w:val="none" w:sz="0" w:space="0" w:color="auto"/>
        <w:left w:val="none" w:sz="0" w:space="0" w:color="auto"/>
        <w:bottom w:val="none" w:sz="0" w:space="0" w:color="auto"/>
        <w:right w:val="none" w:sz="0" w:space="0" w:color="auto"/>
      </w:divBdr>
    </w:div>
    <w:div w:id="328558884">
      <w:bodyDiv w:val="1"/>
      <w:marLeft w:val="0"/>
      <w:marRight w:val="0"/>
      <w:marTop w:val="0"/>
      <w:marBottom w:val="0"/>
      <w:divBdr>
        <w:top w:val="none" w:sz="0" w:space="0" w:color="auto"/>
        <w:left w:val="none" w:sz="0" w:space="0" w:color="auto"/>
        <w:bottom w:val="none" w:sz="0" w:space="0" w:color="auto"/>
        <w:right w:val="none" w:sz="0" w:space="0" w:color="auto"/>
      </w:divBdr>
    </w:div>
    <w:div w:id="343750292">
      <w:bodyDiv w:val="1"/>
      <w:marLeft w:val="0"/>
      <w:marRight w:val="0"/>
      <w:marTop w:val="0"/>
      <w:marBottom w:val="0"/>
      <w:divBdr>
        <w:top w:val="none" w:sz="0" w:space="0" w:color="auto"/>
        <w:left w:val="none" w:sz="0" w:space="0" w:color="auto"/>
        <w:bottom w:val="none" w:sz="0" w:space="0" w:color="auto"/>
        <w:right w:val="none" w:sz="0" w:space="0" w:color="auto"/>
      </w:divBdr>
    </w:div>
    <w:div w:id="351415400">
      <w:bodyDiv w:val="1"/>
      <w:marLeft w:val="0"/>
      <w:marRight w:val="0"/>
      <w:marTop w:val="0"/>
      <w:marBottom w:val="0"/>
      <w:divBdr>
        <w:top w:val="none" w:sz="0" w:space="0" w:color="auto"/>
        <w:left w:val="none" w:sz="0" w:space="0" w:color="auto"/>
        <w:bottom w:val="none" w:sz="0" w:space="0" w:color="auto"/>
        <w:right w:val="none" w:sz="0" w:space="0" w:color="auto"/>
      </w:divBdr>
    </w:div>
    <w:div w:id="370229090">
      <w:bodyDiv w:val="1"/>
      <w:marLeft w:val="0"/>
      <w:marRight w:val="0"/>
      <w:marTop w:val="0"/>
      <w:marBottom w:val="0"/>
      <w:divBdr>
        <w:top w:val="none" w:sz="0" w:space="0" w:color="auto"/>
        <w:left w:val="none" w:sz="0" w:space="0" w:color="auto"/>
        <w:bottom w:val="none" w:sz="0" w:space="0" w:color="auto"/>
        <w:right w:val="none" w:sz="0" w:space="0" w:color="auto"/>
      </w:divBdr>
    </w:div>
    <w:div w:id="388261687">
      <w:bodyDiv w:val="1"/>
      <w:marLeft w:val="0"/>
      <w:marRight w:val="0"/>
      <w:marTop w:val="0"/>
      <w:marBottom w:val="0"/>
      <w:divBdr>
        <w:top w:val="none" w:sz="0" w:space="0" w:color="auto"/>
        <w:left w:val="none" w:sz="0" w:space="0" w:color="auto"/>
        <w:bottom w:val="none" w:sz="0" w:space="0" w:color="auto"/>
        <w:right w:val="none" w:sz="0" w:space="0" w:color="auto"/>
      </w:divBdr>
    </w:div>
    <w:div w:id="449277254">
      <w:bodyDiv w:val="1"/>
      <w:marLeft w:val="0"/>
      <w:marRight w:val="0"/>
      <w:marTop w:val="0"/>
      <w:marBottom w:val="0"/>
      <w:divBdr>
        <w:top w:val="none" w:sz="0" w:space="0" w:color="auto"/>
        <w:left w:val="none" w:sz="0" w:space="0" w:color="auto"/>
        <w:bottom w:val="none" w:sz="0" w:space="0" w:color="auto"/>
        <w:right w:val="none" w:sz="0" w:space="0" w:color="auto"/>
      </w:divBdr>
      <w:divsChild>
        <w:div w:id="937373973">
          <w:marLeft w:val="0"/>
          <w:marRight w:val="0"/>
          <w:marTop w:val="0"/>
          <w:marBottom w:val="0"/>
          <w:divBdr>
            <w:top w:val="none" w:sz="0" w:space="0" w:color="auto"/>
            <w:left w:val="none" w:sz="0" w:space="0" w:color="auto"/>
            <w:bottom w:val="none" w:sz="0" w:space="0" w:color="auto"/>
            <w:right w:val="none" w:sz="0" w:space="0" w:color="auto"/>
          </w:divBdr>
          <w:divsChild>
            <w:div w:id="1963883170">
              <w:marLeft w:val="0"/>
              <w:marRight w:val="0"/>
              <w:marTop w:val="0"/>
              <w:marBottom w:val="0"/>
              <w:divBdr>
                <w:top w:val="none" w:sz="0" w:space="0" w:color="auto"/>
                <w:left w:val="none" w:sz="0" w:space="0" w:color="auto"/>
                <w:bottom w:val="none" w:sz="0" w:space="0" w:color="auto"/>
                <w:right w:val="none" w:sz="0" w:space="0" w:color="auto"/>
              </w:divBdr>
              <w:divsChild>
                <w:div w:id="1480224695">
                  <w:marLeft w:val="0"/>
                  <w:marRight w:val="0"/>
                  <w:marTop w:val="0"/>
                  <w:marBottom w:val="0"/>
                  <w:divBdr>
                    <w:top w:val="none" w:sz="0" w:space="0" w:color="auto"/>
                    <w:left w:val="none" w:sz="0" w:space="0" w:color="auto"/>
                    <w:bottom w:val="none" w:sz="0" w:space="0" w:color="auto"/>
                    <w:right w:val="none" w:sz="0" w:space="0" w:color="auto"/>
                  </w:divBdr>
                  <w:divsChild>
                    <w:div w:id="228734595">
                      <w:marLeft w:val="0"/>
                      <w:marRight w:val="0"/>
                      <w:marTop w:val="0"/>
                      <w:marBottom w:val="0"/>
                      <w:divBdr>
                        <w:top w:val="none" w:sz="0" w:space="0" w:color="auto"/>
                        <w:left w:val="none" w:sz="0" w:space="0" w:color="auto"/>
                        <w:bottom w:val="none" w:sz="0" w:space="0" w:color="auto"/>
                        <w:right w:val="none" w:sz="0" w:space="0" w:color="auto"/>
                      </w:divBdr>
                      <w:divsChild>
                        <w:div w:id="1162702963">
                          <w:marLeft w:val="0"/>
                          <w:marRight w:val="0"/>
                          <w:marTop w:val="0"/>
                          <w:marBottom w:val="0"/>
                          <w:divBdr>
                            <w:top w:val="none" w:sz="0" w:space="0" w:color="auto"/>
                            <w:left w:val="none" w:sz="0" w:space="0" w:color="auto"/>
                            <w:bottom w:val="none" w:sz="0" w:space="0" w:color="auto"/>
                            <w:right w:val="none" w:sz="0" w:space="0" w:color="auto"/>
                          </w:divBdr>
                          <w:divsChild>
                            <w:div w:id="605111983">
                              <w:marLeft w:val="0"/>
                              <w:marRight w:val="0"/>
                              <w:marTop w:val="240"/>
                              <w:marBottom w:val="240"/>
                              <w:divBdr>
                                <w:top w:val="none" w:sz="0" w:space="0" w:color="auto"/>
                                <w:left w:val="none" w:sz="0" w:space="0" w:color="auto"/>
                                <w:bottom w:val="none" w:sz="0" w:space="0" w:color="auto"/>
                                <w:right w:val="none" w:sz="0" w:space="0" w:color="auto"/>
                              </w:divBdr>
                              <w:divsChild>
                                <w:div w:id="1698316720">
                                  <w:marLeft w:val="0"/>
                                  <w:marRight w:val="0"/>
                                  <w:marTop w:val="0"/>
                                  <w:marBottom w:val="0"/>
                                  <w:divBdr>
                                    <w:top w:val="none" w:sz="0" w:space="0" w:color="auto"/>
                                    <w:left w:val="none" w:sz="0" w:space="0" w:color="auto"/>
                                    <w:bottom w:val="none" w:sz="0" w:space="0" w:color="auto"/>
                                    <w:right w:val="none" w:sz="0" w:space="0" w:color="auto"/>
                                  </w:divBdr>
                                  <w:divsChild>
                                    <w:div w:id="118478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7719233">
      <w:bodyDiv w:val="1"/>
      <w:marLeft w:val="0"/>
      <w:marRight w:val="0"/>
      <w:marTop w:val="0"/>
      <w:marBottom w:val="0"/>
      <w:divBdr>
        <w:top w:val="none" w:sz="0" w:space="0" w:color="auto"/>
        <w:left w:val="none" w:sz="0" w:space="0" w:color="auto"/>
        <w:bottom w:val="none" w:sz="0" w:space="0" w:color="auto"/>
        <w:right w:val="none" w:sz="0" w:space="0" w:color="auto"/>
      </w:divBdr>
    </w:div>
    <w:div w:id="458111702">
      <w:bodyDiv w:val="1"/>
      <w:marLeft w:val="0"/>
      <w:marRight w:val="0"/>
      <w:marTop w:val="0"/>
      <w:marBottom w:val="0"/>
      <w:divBdr>
        <w:top w:val="none" w:sz="0" w:space="0" w:color="auto"/>
        <w:left w:val="none" w:sz="0" w:space="0" w:color="auto"/>
        <w:bottom w:val="none" w:sz="0" w:space="0" w:color="auto"/>
        <w:right w:val="none" w:sz="0" w:space="0" w:color="auto"/>
      </w:divBdr>
    </w:div>
    <w:div w:id="462819941">
      <w:bodyDiv w:val="1"/>
      <w:marLeft w:val="0"/>
      <w:marRight w:val="0"/>
      <w:marTop w:val="0"/>
      <w:marBottom w:val="0"/>
      <w:divBdr>
        <w:top w:val="none" w:sz="0" w:space="0" w:color="auto"/>
        <w:left w:val="none" w:sz="0" w:space="0" w:color="auto"/>
        <w:bottom w:val="none" w:sz="0" w:space="0" w:color="auto"/>
        <w:right w:val="none" w:sz="0" w:space="0" w:color="auto"/>
      </w:divBdr>
    </w:div>
    <w:div w:id="477066862">
      <w:bodyDiv w:val="1"/>
      <w:marLeft w:val="0"/>
      <w:marRight w:val="0"/>
      <w:marTop w:val="0"/>
      <w:marBottom w:val="0"/>
      <w:divBdr>
        <w:top w:val="none" w:sz="0" w:space="0" w:color="auto"/>
        <w:left w:val="none" w:sz="0" w:space="0" w:color="auto"/>
        <w:bottom w:val="none" w:sz="0" w:space="0" w:color="auto"/>
        <w:right w:val="none" w:sz="0" w:space="0" w:color="auto"/>
      </w:divBdr>
    </w:div>
    <w:div w:id="486827956">
      <w:bodyDiv w:val="1"/>
      <w:marLeft w:val="0"/>
      <w:marRight w:val="0"/>
      <w:marTop w:val="0"/>
      <w:marBottom w:val="0"/>
      <w:divBdr>
        <w:top w:val="none" w:sz="0" w:space="0" w:color="auto"/>
        <w:left w:val="none" w:sz="0" w:space="0" w:color="auto"/>
        <w:bottom w:val="none" w:sz="0" w:space="0" w:color="auto"/>
        <w:right w:val="none" w:sz="0" w:space="0" w:color="auto"/>
      </w:divBdr>
    </w:div>
    <w:div w:id="544945892">
      <w:bodyDiv w:val="1"/>
      <w:marLeft w:val="0"/>
      <w:marRight w:val="0"/>
      <w:marTop w:val="0"/>
      <w:marBottom w:val="0"/>
      <w:divBdr>
        <w:top w:val="none" w:sz="0" w:space="0" w:color="auto"/>
        <w:left w:val="none" w:sz="0" w:space="0" w:color="auto"/>
        <w:bottom w:val="none" w:sz="0" w:space="0" w:color="auto"/>
        <w:right w:val="none" w:sz="0" w:space="0" w:color="auto"/>
      </w:divBdr>
    </w:div>
    <w:div w:id="560138429">
      <w:bodyDiv w:val="1"/>
      <w:marLeft w:val="0"/>
      <w:marRight w:val="0"/>
      <w:marTop w:val="0"/>
      <w:marBottom w:val="0"/>
      <w:divBdr>
        <w:top w:val="none" w:sz="0" w:space="0" w:color="auto"/>
        <w:left w:val="none" w:sz="0" w:space="0" w:color="auto"/>
        <w:bottom w:val="none" w:sz="0" w:space="0" w:color="auto"/>
        <w:right w:val="none" w:sz="0" w:space="0" w:color="auto"/>
      </w:divBdr>
      <w:divsChild>
        <w:div w:id="23334804">
          <w:marLeft w:val="0"/>
          <w:marRight w:val="0"/>
          <w:marTop w:val="0"/>
          <w:marBottom w:val="0"/>
          <w:divBdr>
            <w:top w:val="none" w:sz="0" w:space="0" w:color="auto"/>
            <w:left w:val="none" w:sz="0" w:space="0" w:color="auto"/>
            <w:bottom w:val="none" w:sz="0" w:space="0" w:color="auto"/>
            <w:right w:val="none" w:sz="0" w:space="0" w:color="auto"/>
          </w:divBdr>
          <w:divsChild>
            <w:div w:id="160631819">
              <w:marLeft w:val="0"/>
              <w:marRight w:val="0"/>
              <w:marTop w:val="0"/>
              <w:marBottom w:val="0"/>
              <w:divBdr>
                <w:top w:val="none" w:sz="0" w:space="0" w:color="auto"/>
                <w:left w:val="none" w:sz="0" w:space="0" w:color="auto"/>
                <w:bottom w:val="none" w:sz="0" w:space="0" w:color="auto"/>
                <w:right w:val="none" w:sz="0" w:space="0" w:color="auto"/>
              </w:divBdr>
              <w:divsChild>
                <w:div w:id="1605848166">
                  <w:marLeft w:val="0"/>
                  <w:marRight w:val="0"/>
                  <w:marTop w:val="0"/>
                  <w:marBottom w:val="0"/>
                  <w:divBdr>
                    <w:top w:val="none" w:sz="0" w:space="0" w:color="auto"/>
                    <w:left w:val="none" w:sz="0" w:space="0" w:color="auto"/>
                    <w:bottom w:val="none" w:sz="0" w:space="0" w:color="auto"/>
                    <w:right w:val="none" w:sz="0" w:space="0" w:color="auto"/>
                  </w:divBdr>
                  <w:divsChild>
                    <w:div w:id="1549755078">
                      <w:marLeft w:val="0"/>
                      <w:marRight w:val="0"/>
                      <w:marTop w:val="0"/>
                      <w:marBottom w:val="0"/>
                      <w:divBdr>
                        <w:top w:val="none" w:sz="0" w:space="0" w:color="auto"/>
                        <w:left w:val="none" w:sz="0" w:space="0" w:color="auto"/>
                        <w:bottom w:val="none" w:sz="0" w:space="0" w:color="auto"/>
                        <w:right w:val="none" w:sz="0" w:space="0" w:color="auto"/>
                      </w:divBdr>
                      <w:divsChild>
                        <w:div w:id="626860614">
                          <w:marLeft w:val="0"/>
                          <w:marRight w:val="0"/>
                          <w:marTop w:val="0"/>
                          <w:marBottom w:val="0"/>
                          <w:divBdr>
                            <w:top w:val="none" w:sz="0" w:space="0" w:color="auto"/>
                            <w:left w:val="none" w:sz="0" w:space="0" w:color="auto"/>
                            <w:bottom w:val="none" w:sz="0" w:space="0" w:color="auto"/>
                            <w:right w:val="none" w:sz="0" w:space="0" w:color="auto"/>
                          </w:divBdr>
                          <w:divsChild>
                            <w:div w:id="137918376">
                              <w:marLeft w:val="0"/>
                              <w:marRight w:val="0"/>
                              <w:marTop w:val="240"/>
                              <w:marBottom w:val="240"/>
                              <w:divBdr>
                                <w:top w:val="none" w:sz="0" w:space="0" w:color="auto"/>
                                <w:left w:val="none" w:sz="0" w:space="0" w:color="auto"/>
                                <w:bottom w:val="none" w:sz="0" w:space="0" w:color="auto"/>
                                <w:right w:val="none" w:sz="0" w:space="0" w:color="auto"/>
                              </w:divBdr>
                              <w:divsChild>
                                <w:div w:id="1061368649">
                                  <w:marLeft w:val="0"/>
                                  <w:marRight w:val="0"/>
                                  <w:marTop w:val="0"/>
                                  <w:marBottom w:val="0"/>
                                  <w:divBdr>
                                    <w:top w:val="none" w:sz="0" w:space="0" w:color="auto"/>
                                    <w:left w:val="none" w:sz="0" w:space="0" w:color="auto"/>
                                    <w:bottom w:val="none" w:sz="0" w:space="0" w:color="auto"/>
                                    <w:right w:val="none" w:sz="0" w:space="0" w:color="auto"/>
                                  </w:divBdr>
                                  <w:divsChild>
                                    <w:div w:id="47942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1912976">
      <w:bodyDiv w:val="1"/>
      <w:marLeft w:val="0"/>
      <w:marRight w:val="0"/>
      <w:marTop w:val="0"/>
      <w:marBottom w:val="0"/>
      <w:divBdr>
        <w:top w:val="none" w:sz="0" w:space="0" w:color="auto"/>
        <w:left w:val="none" w:sz="0" w:space="0" w:color="auto"/>
        <w:bottom w:val="none" w:sz="0" w:space="0" w:color="auto"/>
        <w:right w:val="none" w:sz="0" w:space="0" w:color="auto"/>
      </w:divBdr>
    </w:div>
    <w:div w:id="580070346">
      <w:bodyDiv w:val="1"/>
      <w:marLeft w:val="0"/>
      <w:marRight w:val="0"/>
      <w:marTop w:val="0"/>
      <w:marBottom w:val="0"/>
      <w:divBdr>
        <w:top w:val="none" w:sz="0" w:space="0" w:color="auto"/>
        <w:left w:val="none" w:sz="0" w:space="0" w:color="auto"/>
        <w:bottom w:val="none" w:sz="0" w:space="0" w:color="auto"/>
        <w:right w:val="none" w:sz="0" w:space="0" w:color="auto"/>
      </w:divBdr>
    </w:div>
    <w:div w:id="589119615">
      <w:bodyDiv w:val="1"/>
      <w:marLeft w:val="0"/>
      <w:marRight w:val="0"/>
      <w:marTop w:val="0"/>
      <w:marBottom w:val="0"/>
      <w:divBdr>
        <w:top w:val="none" w:sz="0" w:space="0" w:color="auto"/>
        <w:left w:val="none" w:sz="0" w:space="0" w:color="auto"/>
        <w:bottom w:val="none" w:sz="0" w:space="0" w:color="auto"/>
        <w:right w:val="none" w:sz="0" w:space="0" w:color="auto"/>
      </w:divBdr>
    </w:div>
    <w:div w:id="609237195">
      <w:bodyDiv w:val="1"/>
      <w:marLeft w:val="0"/>
      <w:marRight w:val="0"/>
      <w:marTop w:val="0"/>
      <w:marBottom w:val="0"/>
      <w:divBdr>
        <w:top w:val="none" w:sz="0" w:space="0" w:color="auto"/>
        <w:left w:val="none" w:sz="0" w:space="0" w:color="auto"/>
        <w:bottom w:val="none" w:sz="0" w:space="0" w:color="auto"/>
        <w:right w:val="none" w:sz="0" w:space="0" w:color="auto"/>
      </w:divBdr>
      <w:divsChild>
        <w:div w:id="476069516">
          <w:marLeft w:val="0"/>
          <w:marRight w:val="0"/>
          <w:marTop w:val="0"/>
          <w:marBottom w:val="0"/>
          <w:divBdr>
            <w:top w:val="none" w:sz="0" w:space="0" w:color="auto"/>
            <w:left w:val="none" w:sz="0" w:space="0" w:color="auto"/>
            <w:bottom w:val="none" w:sz="0" w:space="0" w:color="auto"/>
            <w:right w:val="none" w:sz="0" w:space="0" w:color="auto"/>
          </w:divBdr>
        </w:div>
      </w:divsChild>
    </w:div>
    <w:div w:id="610748501">
      <w:bodyDiv w:val="1"/>
      <w:marLeft w:val="0"/>
      <w:marRight w:val="0"/>
      <w:marTop w:val="0"/>
      <w:marBottom w:val="0"/>
      <w:divBdr>
        <w:top w:val="none" w:sz="0" w:space="0" w:color="auto"/>
        <w:left w:val="none" w:sz="0" w:space="0" w:color="auto"/>
        <w:bottom w:val="none" w:sz="0" w:space="0" w:color="auto"/>
        <w:right w:val="none" w:sz="0" w:space="0" w:color="auto"/>
      </w:divBdr>
    </w:div>
    <w:div w:id="643198588">
      <w:bodyDiv w:val="1"/>
      <w:marLeft w:val="0"/>
      <w:marRight w:val="0"/>
      <w:marTop w:val="0"/>
      <w:marBottom w:val="0"/>
      <w:divBdr>
        <w:top w:val="none" w:sz="0" w:space="0" w:color="auto"/>
        <w:left w:val="none" w:sz="0" w:space="0" w:color="auto"/>
        <w:bottom w:val="none" w:sz="0" w:space="0" w:color="auto"/>
        <w:right w:val="none" w:sz="0" w:space="0" w:color="auto"/>
      </w:divBdr>
      <w:divsChild>
        <w:div w:id="1344284315">
          <w:marLeft w:val="0"/>
          <w:marRight w:val="0"/>
          <w:marTop w:val="0"/>
          <w:marBottom w:val="0"/>
          <w:divBdr>
            <w:top w:val="none" w:sz="0" w:space="0" w:color="auto"/>
            <w:left w:val="none" w:sz="0" w:space="0" w:color="auto"/>
            <w:bottom w:val="none" w:sz="0" w:space="0" w:color="auto"/>
            <w:right w:val="none" w:sz="0" w:space="0" w:color="auto"/>
          </w:divBdr>
          <w:divsChild>
            <w:div w:id="1311982105">
              <w:marLeft w:val="0"/>
              <w:marRight w:val="0"/>
              <w:marTop w:val="0"/>
              <w:marBottom w:val="0"/>
              <w:divBdr>
                <w:top w:val="none" w:sz="0" w:space="0" w:color="auto"/>
                <w:left w:val="none" w:sz="0" w:space="0" w:color="auto"/>
                <w:bottom w:val="none" w:sz="0" w:space="0" w:color="auto"/>
                <w:right w:val="none" w:sz="0" w:space="0" w:color="auto"/>
              </w:divBdr>
              <w:divsChild>
                <w:div w:id="1780490031">
                  <w:marLeft w:val="0"/>
                  <w:marRight w:val="0"/>
                  <w:marTop w:val="0"/>
                  <w:marBottom w:val="0"/>
                  <w:divBdr>
                    <w:top w:val="none" w:sz="0" w:space="0" w:color="auto"/>
                    <w:left w:val="none" w:sz="0" w:space="0" w:color="auto"/>
                    <w:bottom w:val="none" w:sz="0" w:space="0" w:color="auto"/>
                    <w:right w:val="none" w:sz="0" w:space="0" w:color="auto"/>
                  </w:divBdr>
                  <w:divsChild>
                    <w:div w:id="528109493">
                      <w:marLeft w:val="0"/>
                      <w:marRight w:val="0"/>
                      <w:marTop w:val="0"/>
                      <w:marBottom w:val="0"/>
                      <w:divBdr>
                        <w:top w:val="none" w:sz="0" w:space="0" w:color="auto"/>
                        <w:left w:val="none" w:sz="0" w:space="0" w:color="auto"/>
                        <w:bottom w:val="none" w:sz="0" w:space="0" w:color="auto"/>
                        <w:right w:val="none" w:sz="0" w:space="0" w:color="auto"/>
                      </w:divBdr>
                      <w:divsChild>
                        <w:div w:id="2025281343">
                          <w:marLeft w:val="0"/>
                          <w:marRight w:val="0"/>
                          <w:marTop w:val="0"/>
                          <w:marBottom w:val="0"/>
                          <w:divBdr>
                            <w:top w:val="none" w:sz="0" w:space="0" w:color="auto"/>
                            <w:left w:val="none" w:sz="0" w:space="0" w:color="auto"/>
                            <w:bottom w:val="none" w:sz="0" w:space="0" w:color="auto"/>
                            <w:right w:val="none" w:sz="0" w:space="0" w:color="auto"/>
                          </w:divBdr>
                          <w:divsChild>
                            <w:div w:id="9427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906483">
      <w:bodyDiv w:val="1"/>
      <w:marLeft w:val="0"/>
      <w:marRight w:val="0"/>
      <w:marTop w:val="0"/>
      <w:marBottom w:val="0"/>
      <w:divBdr>
        <w:top w:val="none" w:sz="0" w:space="0" w:color="auto"/>
        <w:left w:val="none" w:sz="0" w:space="0" w:color="auto"/>
        <w:bottom w:val="none" w:sz="0" w:space="0" w:color="auto"/>
        <w:right w:val="none" w:sz="0" w:space="0" w:color="auto"/>
      </w:divBdr>
    </w:div>
    <w:div w:id="661349326">
      <w:bodyDiv w:val="1"/>
      <w:marLeft w:val="0"/>
      <w:marRight w:val="0"/>
      <w:marTop w:val="0"/>
      <w:marBottom w:val="0"/>
      <w:divBdr>
        <w:top w:val="none" w:sz="0" w:space="0" w:color="auto"/>
        <w:left w:val="none" w:sz="0" w:space="0" w:color="auto"/>
        <w:bottom w:val="none" w:sz="0" w:space="0" w:color="auto"/>
        <w:right w:val="none" w:sz="0" w:space="0" w:color="auto"/>
      </w:divBdr>
    </w:div>
    <w:div w:id="672605453">
      <w:bodyDiv w:val="1"/>
      <w:marLeft w:val="0"/>
      <w:marRight w:val="0"/>
      <w:marTop w:val="0"/>
      <w:marBottom w:val="0"/>
      <w:divBdr>
        <w:top w:val="none" w:sz="0" w:space="0" w:color="auto"/>
        <w:left w:val="none" w:sz="0" w:space="0" w:color="auto"/>
        <w:bottom w:val="none" w:sz="0" w:space="0" w:color="auto"/>
        <w:right w:val="none" w:sz="0" w:space="0" w:color="auto"/>
      </w:divBdr>
    </w:div>
    <w:div w:id="684212409">
      <w:bodyDiv w:val="1"/>
      <w:marLeft w:val="0"/>
      <w:marRight w:val="0"/>
      <w:marTop w:val="0"/>
      <w:marBottom w:val="0"/>
      <w:divBdr>
        <w:top w:val="none" w:sz="0" w:space="0" w:color="auto"/>
        <w:left w:val="none" w:sz="0" w:space="0" w:color="auto"/>
        <w:bottom w:val="none" w:sz="0" w:space="0" w:color="auto"/>
        <w:right w:val="none" w:sz="0" w:space="0" w:color="auto"/>
      </w:divBdr>
    </w:div>
    <w:div w:id="695693800">
      <w:bodyDiv w:val="1"/>
      <w:marLeft w:val="0"/>
      <w:marRight w:val="0"/>
      <w:marTop w:val="0"/>
      <w:marBottom w:val="0"/>
      <w:divBdr>
        <w:top w:val="none" w:sz="0" w:space="0" w:color="auto"/>
        <w:left w:val="none" w:sz="0" w:space="0" w:color="auto"/>
        <w:bottom w:val="none" w:sz="0" w:space="0" w:color="auto"/>
        <w:right w:val="none" w:sz="0" w:space="0" w:color="auto"/>
      </w:divBdr>
    </w:div>
    <w:div w:id="699822407">
      <w:bodyDiv w:val="1"/>
      <w:marLeft w:val="0"/>
      <w:marRight w:val="0"/>
      <w:marTop w:val="0"/>
      <w:marBottom w:val="0"/>
      <w:divBdr>
        <w:top w:val="none" w:sz="0" w:space="0" w:color="auto"/>
        <w:left w:val="none" w:sz="0" w:space="0" w:color="auto"/>
        <w:bottom w:val="none" w:sz="0" w:space="0" w:color="auto"/>
        <w:right w:val="none" w:sz="0" w:space="0" w:color="auto"/>
      </w:divBdr>
    </w:div>
    <w:div w:id="704788466">
      <w:bodyDiv w:val="1"/>
      <w:marLeft w:val="0"/>
      <w:marRight w:val="0"/>
      <w:marTop w:val="0"/>
      <w:marBottom w:val="0"/>
      <w:divBdr>
        <w:top w:val="none" w:sz="0" w:space="0" w:color="auto"/>
        <w:left w:val="none" w:sz="0" w:space="0" w:color="auto"/>
        <w:bottom w:val="none" w:sz="0" w:space="0" w:color="auto"/>
        <w:right w:val="none" w:sz="0" w:space="0" w:color="auto"/>
      </w:divBdr>
    </w:div>
    <w:div w:id="710157290">
      <w:bodyDiv w:val="1"/>
      <w:marLeft w:val="0"/>
      <w:marRight w:val="0"/>
      <w:marTop w:val="0"/>
      <w:marBottom w:val="0"/>
      <w:divBdr>
        <w:top w:val="none" w:sz="0" w:space="0" w:color="auto"/>
        <w:left w:val="none" w:sz="0" w:space="0" w:color="auto"/>
        <w:bottom w:val="none" w:sz="0" w:space="0" w:color="auto"/>
        <w:right w:val="none" w:sz="0" w:space="0" w:color="auto"/>
      </w:divBdr>
    </w:div>
    <w:div w:id="735857040">
      <w:bodyDiv w:val="1"/>
      <w:marLeft w:val="0"/>
      <w:marRight w:val="0"/>
      <w:marTop w:val="0"/>
      <w:marBottom w:val="0"/>
      <w:divBdr>
        <w:top w:val="none" w:sz="0" w:space="0" w:color="auto"/>
        <w:left w:val="none" w:sz="0" w:space="0" w:color="auto"/>
        <w:bottom w:val="none" w:sz="0" w:space="0" w:color="auto"/>
        <w:right w:val="none" w:sz="0" w:space="0" w:color="auto"/>
      </w:divBdr>
    </w:div>
    <w:div w:id="738943792">
      <w:bodyDiv w:val="1"/>
      <w:marLeft w:val="0"/>
      <w:marRight w:val="0"/>
      <w:marTop w:val="0"/>
      <w:marBottom w:val="0"/>
      <w:divBdr>
        <w:top w:val="none" w:sz="0" w:space="0" w:color="auto"/>
        <w:left w:val="none" w:sz="0" w:space="0" w:color="auto"/>
        <w:bottom w:val="none" w:sz="0" w:space="0" w:color="auto"/>
        <w:right w:val="none" w:sz="0" w:space="0" w:color="auto"/>
      </w:divBdr>
    </w:div>
    <w:div w:id="743794522">
      <w:bodyDiv w:val="1"/>
      <w:marLeft w:val="0"/>
      <w:marRight w:val="0"/>
      <w:marTop w:val="0"/>
      <w:marBottom w:val="0"/>
      <w:divBdr>
        <w:top w:val="none" w:sz="0" w:space="0" w:color="auto"/>
        <w:left w:val="none" w:sz="0" w:space="0" w:color="auto"/>
        <w:bottom w:val="none" w:sz="0" w:space="0" w:color="auto"/>
        <w:right w:val="none" w:sz="0" w:space="0" w:color="auto"/>
      </w:divBdr>
    </w:div>
    <w:div w:id="751661930">
      <w:bodyDiv w:val="1"/>
      <w:marLeft w:val="0"/>
      <w:marRight w:val="0"/>
      <w:marTop w:val="0"/>
      <w:marBottom w:val="0"/>
      <w:divBdr>
        <w:top w:val="none" w:sz="0" w:space="0" w:color="auto"/>
        <w:left w:val="none" w:sz="0" w:space="0" w:color="auto"/>
        <w:bottom w:val="none" w:sz="0" w:space="0" w:color="auto"/>
        <w:right w:val="none" w:sz="0" w:space="0" w:color="auto"/>
      </w:divBdr>
    </w:div>
    <w:div w:id="762803562">
      <w:bodyDiv w:val="1"/>
      <w:marLeft w:val="0"/>
      <w:marRight w:val="0"/>
      <w:marTop w:val="0"/>
      <w:marBottom w:val="0"/>
      <w:divBdr>
        <w:top w:val="none" w:sz="0" w:space="0" w:color="auto"/>
        <w:left w:val="none" w:sz="0" w:space="0" w:color="auto"/>
        <w:bottom w:val="none" w:sz="0" w:space="0" w:color="auto"/>
        <w:right w:val="none" w:sz="0" w:space="0" w:color="auto"/>
      </w:divBdr>
    </w:div>
    <w:div w:id="780146779">
      <w:bodyDiv w:val="1"/>
      <w:marLeft w:val="0"/>
      <w:marRight w:val="0"/>
      <w:marTop w:val="0"/>
      <w:marBottom w:val="0"/>
      <w:divBdr>
        <w:top w:val="none" w:sz="0" w:space="0" w:color="auto"/>
        <w:left w:val="none" w:sz="0" w:space="0" w:color="auto"/>
        <w:bottom w:val="none" w:sz="0" w:space="0" w:color="auto"/>
        <w:right w:val="none" w:sz="0" w:space="0" w:color="auto"/>
      </w:divBdr>
    </w:div>
    <w:div w:id="821385914">
      <w:bodyDiv w:val="1"/>
      <w:marLeft w:val="0"/>
      <w:marRight w:val="0"/>
      <w:marTop w:val="0"/>
      <w:marBottom w:val="0"/>
      <w:divBdr>
        <w:top w:val="none" w:sz="0" w:space="0" w:color="auto"/>
        <w:left w:val="none" w:sz="0" w:space="0" w:color="auto"/>
        <w:bottom w:val="none" w:sz="0" w:space="0" w:color="auto"/>
        <w:right w:val="none" w:sz="0" w:space="0" w:color="auto"/>
      </w:divBdr>
    </w:div>
    <w:div w:id="828978604">
      <w:bodyDiv w:val="1"/>
      <w:marLeft w:val="0"/>
      <w:marRight w:val="0"/>
      <w:marTop w:val="0"/>
      <w:marBottom w:val="0"/>
      <w:divBdr>
        <w:top w:val="none" w:sz="0" w:space="0" w:color="auto"/>
        <w:left w:val="none" w:sz="0" w:space="0" w:color="auto"/>
        <w:bottom w:val="none" w:sz="0" w:space="0" w:color="auto"/>
        <w:right w:val="none" w:sz="0" w:space="0" w:color="auto"/>
      </w:divBdr>
    </w:div>
    <w:div w:id="839733900">
      <w:bodyDiv w:val="1"/>
      <w:marLeft w:val="0"/>
      <w:marRight w:val="0"/>
      <w:marTop w:val="0"/>
      <w:marBottom w:val="0"/>
      <w:divBdr>
        <w:top w:val="none" w:sz="0" w:space="0" w:color="auto"/>
        <w:left w:val="none" w:sz="0" w:space="0" w:color="auto"/>
        <w:bottom w:val="none" w:sz="0" w:space="0" w:color="auto"/>
        <w:right w:val="none" w:sz="0" w:space="0" w:color="auto"/>
      </w:divBdr>
    </w:div>
    <w:div w:id="899054508">
      <w:bodyDiv w:val="1"/>
      <w:marLeft w:val="0"/>
      <w:marRight w:val="0"/>
      <w:marTop w:val="0"/>
      <w:marBottom w:val="0"/>
      <w:divBdr>
        <w:top w:val="none" w:sz="0" w:space="0" w:color="auto"/>
        <w:left w:val="none" w:sz="0" w:space="0" w:color="auto"/>
        <w:bottom w:val="none" w:sz="0" w:space="0" w:color="auto"/>
        <w:right w:val="none" w:sz="0" w:space="0" w:color="auto"/>
      </w:divBdr>
    </w:div>
    <w:div w:id="905333601">
      <w:bodyDiv w:val="1"/>
      <w:marLeft w:val="0"/>
      <w:marRight w:val="0"/>
      <w:marTop w:val="0"/>
      <w:marBottom w:val="0"/>
      <w:divBdr>
        <w:top w:val="none" w:sz="0" w:space="0" w:color="auto"/>
        <w:left w:val="none" w:sz="0" w:space="0" w:color="auto"/>
        <w:bottom w:val="none" w:sz="0" w:space="0" w:color="auto"/>
        <w:right w:val="none" w:sz="0" w:space="0" w:color="auto"/>
      </w:divBdr>
    </w:div>
    <w:div w:id="913783676">
      <w:bodyDiv w:val="1"/>
      <w:marLeft w:val="0"/>
      <w:marRight w:val="0"/>
      <w:marTop w:val="0"/>
      <w:marBottom w:val="0"/>
      <w:divBdr>
        <w:top w:val="none" w:sz="0" w:space="0" w:color="auto"/>
        <w:left w:val="none" w:sz="0" w:space="0" w:color="auto"/>
        <w:bottom w:val="none" w:sz="0" w:space="0" w:color="auto"/>
        <w:right w:val="none" w:sz="0" w:space="0" w:color="auto"/>
      </w:divBdr>
    </w:div>
    <w:div w:id="944926316">
      <w:bodyDiv w:val="1"/>
      <w:marLeft w:val="0"/>
      <w:marRight w:val="0"/>
      <w:marTop w:val="0"/>
      <w:marBottom w:val="0"/>
      <w:divBdr>
        <w:top w:val="none" w:sz="0" w:space="0" w:color="auto"/>
        <w:left w:val="none" w:sz="0" w:space="0" w:color="auto"/>
        <w:bottom w:val="none" w:sz="0" w:space="0" w:color="auto"/>
        <w:right w:val="none" w:sz="0" w:space="0" w:color="auto"/>
      </w:divBdr>
    </w:div>
    <w:div w:id="973755366">
      <w:bodyDiv w:val="1"/>
      <w:marLeft w:val="0"/>
      <w:marRight w:val="0"/>
      <w:marTop w:val="0"/>
      <w:marBottom w:val="0"/>
      <w:divBdr>
        <w:top w:val="none" w:sz="0" w:space="0" w:color="auto"/>
        <w:left w:val="none" w:sz="0" w:space="0" w:color="auto"/>
        <w:bottom w:val="none" w:sz="0" w:space="0" w:color="auto"/>
        <w:right w:val="none" w:sz="0" w:space="0" w:color="auto"/>
      </w:divBdr>
    </w:div>
    <w:div w:id="977540120">
      <w:bodyDiv w:val="1"/>
      <w:marLeft w:val="0"/>
      <w:marRight w:val="0"/>
      <w:marTop w:val="0"/>
      <w:marBottom w:val="0"/>
      <w:divBdr>
        <w:top w:val="none" w:sz="0" w:space="0" w:color="auto"/>
        <w:left w:val="none" w:sz="0" w:space="0" w:color="auto"/>
        <w:bottom w:val="none" w:sz="0" w:space="0" w:color="auto"/>
        <w:right w:val="none" w:sz="0" w:space="0" w:color="auto"/>
      </w:divBdr>
    </w:div>
    <w:div w:id="978340238">
      <w:bodyDiv w:val="1"/>
      <w:marLeft w:val="0"/>
      <w:marRight w:val="0"/>
      <w:marTop w:val="0"/>
      <w:marBottom w:val="0"/>
      <w:divBdr>
        <w:top w:val="none" w:sz="0" w:space="0" w:color="auto"/>
        <w:left w:val="none" w:sz="0" w:space="0" w:color="auto"/>
        <w:bottom w:val="none" w:sz="0" w:space="0" w:color="auto"/>
        <w:right w:val="none" w:sz="0" w:space="0" w:color="auto"/>
      </w:divBdr>
    </w:div>
    <w:div w:id="1000084028">
      <w:bodyDiv w:val="1"/>
      <w:marLeft w:val="0"/>
      <w:marRight w:val="0"/>
      <w:marTop w:val="0"/>
      <w:marBottom w:val="0"/>
      <w:divBdr>
        <w:top w:val="none" w:sz="0" w:space="0" w:color="auto"/>
        <w:left w:val="none" w:sz="0" w:space="0" w:color="auto"/>
        <w:bottom w:val="none" w:sz="0" w:space="0" w:color="auto"/>
        <w:right w:val="none" w:sz="0" w:space="0" w:color="auto"/>
      </w:divBdr>
    </w:div>
    <w:div w:id="1007173424">
      <w:bodyDiv w:val="1"/>
      <w:marLeft w:val="0"/>
      <w:marRight w:val="0"/>
      <w:marTop w:val="0"/>
      <w:marBottom w:val="0"/>
      <w:divBdr>
        <w:top w:val="none" w:sz="0" w:space="0" w:color="auto"/>
        <w:left w:val="none" w:sz="0" w:space="0" w:color="auto"/>
        <w:bottom w:val="none" w:sz="0" w:space="0" w:color="auto"/>
        <w:right w:val="none" w:sz="0" w:space="0" w:color="auto"/>
      </w:divBdr>
    </w:div>
    <w:div w:id="1009258733">
      <w:bodyDiv w:val="1"/>
      <w:marLeft w:val="0"/>
      <w:marRight w:val="0"/>
      <w:marTop w:val="0"/>
      <w:marBottom w:val="0"/>
      <w:divBdr>
        <w:top w:val="none" w:sz="0" w:space="0" w:color="auto"/>
        <w:left w:val="none" w:sz="0" w:space="0" w:color="auto"/>
        <w:bottom w:val="none" w:sz="0" w:space="0" w:color="auto"/>
        <w:right w:val="none" w:sz="0" w:space="0" w:color="auto"/>
      </w:divBdr>
      <w:divsChild>
        <w:div w:id="1466700232">
          <w:marLeft w:val="0"/>
          <w:marRight w:val="0"/>
          <w:marTop w:val="0"/>
          <w:marBottom w:val="0"/>
          <w:divBdr>
            <w:top w:val="none" w:sz="0" w:space="0" w:color="auto"/>
            <w:left w:val="none" w:sz="0" w:space="0" w:color="auto"/>
            <w:bottom w:val="none" w:sz="0" w:space="0" w:color="auto"/>
            <w:right w:val="none" w:sz="0" w:space="0" w:color="auto"/>
          </w:divBdr>
          <w:divsChild>
            <w:div w:id="1964455245">
              <w:marLeft w:val="0"/>
              <w:marRight w:val="0"/>
              <w:marTop w:val="0"/>
              <w:marBottom w:val="0"/>
              <w:divBdr>
                <w:top w:val="none" w:sz="0" w:space="0" w:color="auto"/>
                <w:left w:val="none" w:sz="0" w:space="0" w:color="auto"/>
                <w:bottom w:val="none" w:sz="0" w:space="0" w:color="auto"/>
                <w:right w:val="none" w:sz="0" w:space="0" w:color="auto"/>
              </w:divBdr>
              <w:divsChild>
                <w:div w:id="1977567243">
                  <w:marLeft w:val="0"/>
                  <w:marRight w:val="0"/>
                  <w:marTop w:val="0"/>
                  <w:marBottom w:val="0"/>
                  <w:divBdr>
                    <w:top w:val="none" w:sz="0" w:space="0" w:color="auto"/>
                    <w:left w:val="none" w:sz="0" w:space="0" w:color="auto"/>
                    <w:bottom w:val="none" w:sz="0" w:space="0" w:color="auto"/>
                    <w:right w:val="none" w:sz="0" w:space="0" w:color="auto"/>
                  </w:divBdr>
                  <w:divsChild>
                    <w:div w:id="1703742528">
                      <w:marLeft w:val="0"/>
                      <w:marRight w:val="0"/>
                      <w:marTop w:val="0"/>
                      <w:marBottom w:val="0"/>
                      <w:divBdr>
                        <w:top w:val="none" w:sz="0" w:space="0" w:color="auto"/>
                        <w:left w:val="none" w:sz="0" w:space="0" w:color="auto"/>
                        <w:bottom w:val="none" w:sz="0" w:space="0" w:color="auto"/>
                        <w:right w:val="none" w:sz="0" w:space="0" w:color="auto"/>
                      </w:divBdr>
                      <w:divsChild>
                        <w:div w:id="328287560">
                          <w:marLeft w:val="0"/>
                          <w:marRight w:val="0"/>
                          <w:marTop w:val="0"/>
                          <w:marBottom w:val="0"/>
                          <w:divBdr>
                            <w:top w:val="none" w:sz="0" w:space="0" w:color="auto"/>
                            <w:left w:val="none" w:sz="0" w:space="0" w:color="auto"/>
                            <w:bottom w:val="none" w:sz="0" w:space="0" w:color="auto"/>
                            <w:right w:val="none" w:sz="0" w:space="0" w:color="auto"/>
                          </w:divBdr>
                          <w:divsChild>
                            <w:div w:id="1356736111">
                              <w:marLeft w:val="0"/>
                              <w:marRight w:val="0"/>
                              <w:marTop w:val="0"/>
                              <w:marBottom w:val="0"/>
                              <w:divBdr>
                                <w:top w:val="none" w:sz="0" w:space="0" w:color="auto"/>
                                <w:left w:val="none" w:sz="0" w:space="0" w:color="auto"/>
                                <w:bottom w:val="none" w:sz="0" w:space="0" w:color="auto"/>
                                <w:right w:val="none" w:sz="0" w:space="0" w:color="auto"/>
                              </w:divBdr>
                              <w:divsChild>
                                <w:div w:id="207886697">
                                  <w:marLeft w:val="0"/>
                                  <w:marRight w:val="0"/>
                                  <w:marTop w:val="0"/>
                                  <w:marBottom w:val="0"/>
                                  <w:divBdr>
                                    <w:top w:val="none" w:sz="0" w:space="0" w:color="auto"/>
                                    <w:left w:val="none" w:sz="0" w:space="0" w:color="auto"/>
                                    <w:bottom w:val="none" w:sz="0" w:space="0" w:color="auto"/>
                                    <w:right w:val="none" w:sz="0" w:space="0" w:color="auto"/>
                                  </w:divBdr>
                                  <w:divsChild>
                                    <w:div w:id="1333534002">
                                      <w:marLeft w:val="0"/>
                                      <w:marRight w:val="0"/>
                                      <w:marTop w:val="0"/>
                                      <w:marBottom w:val="0"/>
                                      <w:divBdr>
                                        <w:top w:val="none" w:sz="0" w:space="0" w:color="auto"/>
                                        <w:left w:val="none" w:sz="0" w:space="0" w:color="auto"/>
                                        <w:bottom w:val="none" w:sz="0" w:space="0" w:color="auto"/>
                                        <w:right w:val="none" w:sz="0" w:space="0" w:color="auto"/>
                                      </w:divBdr>
                                      <w:divsChild>
                                        <w:div w:id="858928107">
                                          <w:marLeft w:val="0"/>
                                          <w:marRight w:val="0"/>
                                          <w:marTop w:val="0"/>
                                          <w:marBottom w:val="0"/>
                                          <w:divBdr>
                                            <w:top w:val="none" w:sz="0" w:space="0" w:color="auto"/>
                                            <w:left w:val="none" w:sz="0" w:space="0" w:color="auto"/>
                                            <w:bottom w:val="none" w:sz="0" w:space="0" w:color="auto"/>
                                            <w:right w:val="none" w:sz="0" w:space="0" w:color="auto"/>
                                          </w:divBdr>
                                          <w:divsChild>
                                            <w:div w:id="37554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2509509">
      <w:bodyDiv w:val="1"/>
      <w:marLeft w:val="0"/>
      <w:marRight w:val="0"/>
      <w:marTop w:val="0"/>
      <w:marBottom w:val="0"/>
      <w:divBdr>
        <w:top w:val="none" w:sz="0" w:space="0" w:color="auto"/>
        <w:left w:val="none" w:sz="0" w:space="0" w:color="auto"/>
        <w:bottom w:val="none" w:sz="0" w:space="0" w:color="auto"/>
        <w:right w:val="none" w:sz="0" w:space="0" w:color="auto"/>
      </w:divBdr>
    </w:div>
    <w:div w:id="1030375332">
      <w:bodyDiv w:val="1"/>
      <w:marLeft w:val="0"/>
      <w:marRight w:val="0"/>
      <w:marTop w:val="0"/>
      <w:marBottom w:val="0"/>
      <w:divBdr>
        <w:top w:val="none" w:sz="0" w:space="0" w:color="auto"/>
        <w:left w:val="none" w:sz="0" w:space="0" w:color="auto"/>
        <w:bottom w:val="none" w:sz="0" w:space="0" w:color="auto"/>
        <w:right w:val="none" w:sz="0" w:space="0" w:color="auto"/>
      </w:divBdr>
    </w:div>
    <w:div w:id="1041247199">
      <w:bodyDiv w:val="1"/>
      <w:marLeft w:val="0"/>
      <w:marRight w:val="0"/>
      <w:marTop w:val="0"/>
      <w:marBottom w:val="0"/>
      <w:divBdr>
        <w:top w:val="none" w:sz="0" w:space="0" w:color="auto"/>
        <w:left w:val="none" w:sz="0" w:space="0" w:color="auto"/>
        <w:bottom w:val="none" w:sz="0" w:space="0" w:color="auto"/>
        <w:right w:val="none" w:sz="0" w:space="0" w:color="auto"/>
      </w:divBdr>
    </w:div>
    <w:div w:id="1056663469">
      <w:bodyDiv w:val="1"/>
      <w:marLeft w:val="0"/>
      <w:marRight w:val="0"/>
      <w:marTop w:val="0"/>
      <w:marBottom w:val="0"/>
      <w:divBdr>
        <w:top w:val="none" w:sz="0" w:space="0" w:color="auto"/>
        <w:left w:val="none" w:sz="0" w:space="0" w:color="auto"/>
        <w:bottom w:val="none" w:sz="0" w:space="0" w:color="auto"/>
        <w:right w:val="none" w:sz="0" w:space="0" w:color="auto"/>
      </w:divBdr>
    </w:div>
    <w:div w:id="1068453599">
      <w:bodyDiv w:val="1"/>
      <w:marLeft w:val="0"/>
      <w:marRight w:val="0"/>
      <w:marTop w:val="0"/>
      <w:marBottom w:val="0"/>
      <w:divBdr>
        <w:top w:val="none" w:sz="0" w:space="0" w:color="auto"/>
        <w:left w:val="none" w:sz="0" w:space="0" w:color="auto"/>
        <w:bottom w:val="none" w:sz="0" w:space="0" w:color="auto"/>
        <w:right w:val="none" w:sz="0" w:space="0" w:color="auto"/>
      </w:divBdr>
    </w:div>
    <w:div w:id="1086613754">
      <w:bodyDiv w:val="1"/>
      <w:marLeft w:val="0"/>
      <w:marRight w:val="0"/>
      <w:marTop w:val="0"/>
      <w:marBottom w:val="0"/>
      <w:divBdr>
        <w:top w:val="none" w:sz="0" w:space="0" w:color="auto"/>
        <w:left w:val="none" w:sz="0" w:space="0" w:color="auto"/>
        <w:bottom w:val="none" w:sz="0" w:space="0" w:color="auto"/>
        <w:right w:val="none" w:sz="0" w:space="0" w:color="auto"/>
      </w:divBdr>
    </w:div>
    <w:div w:id="1086614570">
      <w:bodyDiv w:val="1"/>
      <w:marLeft w:val="0"/>
      <w:marRight w:val="0"/>
      <w:marTop w:val="0"/>
      <w:marBottom w:val="0"/>
      <w:divBdr>
        <w:top w:val="none" w:sz="0" w:space="0" w:color="auto"/>
        <w:left w:val="none" w:sz="0" w:space="0" w:color="auto"/>
        <w:bottom w:val="none" w:sz="0" w:space="0" w:color="auto"/>
        <w:right w:val="none" w:sz="0" w:space="0" w:color="auto"/>
      </w:divBdr>
    </w:div>
    <w:div w:id="1109738413">
      <w:bodyDiv w:val="1"/>
      <w:marLeft w:val="0"/>
      <w:marRight w:val="0"/>
      <w:marTop w:val="0"/>
      <w:marBottom w:val="0"/>
      <w:divBdr>
        <w:top w:val="none" w:sz="0" w:space="0" w:color="auto"/>
        <w:left w:val="none" w:sz="0" w:space="0" w:color="auto"/>
        <w:bottom w:val="none" w:sz="0" w:space="0" w:color="auto"/>
        <w:right w:val="none" w:sz="0" w:space="0" w:color="auto"/>
      </w:divBdr>
    </w:div>
    <w:div w:id="1110393641">
      <w:bodyDiv w:val="1"/>
      <w:marLeft w:val="0"/>
      <w:marRight w:val="0"/>
      <w:marTop w:val="0"/>
      <w:marBottom w:val="0"/>
      <w:divBdr>
        <w:top w:val="none" w:sz="0" w:space="0" w:color="auto"/>
        <w:left w:val="none" w:sz="0" w:space="0" w:color="auto"/>
        <w:bottom w:val="none" w:sz="0" w:space="0" w:color="auto"/>
        <w:right w:val="none" w:sz="0" w:space="0" w:color="auto"/>
      </w:divBdr>
    </w:div>
    <w:div w:id="1113551636">
      <w:bodyDiv w:val="1"/>
      <w:marLeft w:val="0"/>
      <w:marRight w:val="0"/>
      <w:marTop w:val="0"/>
      <w:marBottom w:val="0"/>
      <w:divBdr>
        <w:top w:val="none" w:sz="0" w:space="0" w:color="auto"/>
        <w:left w:val="none" w:sz="0" w:space="0" w:color="auto"/>
        <w:bottom w:val="none" w:sz="0" w:space="0" w:color="auto"/>
        <w:right w:val="none" w:sz="0" w:space="0" w:color="auto"/>
      </w:divBdr>
    </w:div>
    <w:div w:id="1113750056">
      <w:bodyDiv w:val="1"/>
      <w:marLeft w:val="0"/>
      <w:marRight w:val="0"/>
      <w:marTop w:val="0"/>
      <w:marBottom w:val="0"/>
      <w:divBdr>
        <w:top w:val="none" w:sz="0" w:space="0" w:color="auto"/>
        <w:left w:val="none" w:sz="0" w:space="0" w:color="auto"/>
        <w:bottom w:val="none" w:sz="0" w:space="0" w:color="auto"/>
        <w:right w:val="none" w:sz="0" w:space="0" w:color="auto"/>
      </w:divBdr>
      <w:divsChild>
        <w:div w:id="963511191">
          <w:marLeft w:val="0"/>
          <w:marRight w:val="0"/>
          <w:marTop w:val="0"/>
          <w:marBottom w:val="0"/>
          <w:divBdr>
            <w:top w:val="none" w:sz="0" w:space="0" w:color="auto"/>
            <w:left w:val="none" w:sz="0" w:space="0" w:color="auto"/>
            <w:bottom w:val="none" w:sz="0" w:space="0" w:color="auto"/>
            <w:right w:val="none" w:sz="0" w:space="0" w:color="auto"/>
          </w:divBdr>
        </w:div>
      </w:divsChild>
    </w:div>
    <w:div w:id="1114203556">
      <w:bodyDiv w:val="1"/>
      <w:marLeft w:val="0"/>
      <w:marRight w:val="0"/>
      <w:marTop w:val="0"/>
      <w:marBottom w:val="0"/>
      <w:divBdr>
        <w:top w:val="none" w:sz="0" w:space="0" w:color="auto"/>
        <w:left w:val="none" w:sz="0" w:space="0" w:color="auto"/>
        <w:bottom w:val="none" w:sz="0" w:space="0" w:color="auto"/>
        <w:right w:val="none" w:sz="0" w:space="0" w:color="auto"/>
      </w:divBdr>
      <w:divsChild>
        <w:div w:id="190805068">
          <w:marLeft w:val="0"/>
          <w:marRight w:val="0"/>
          <w:marTop w:val="86"/>
          <w:marBottom w:val="0"/>
          <w:divBdr>
            <w:top w:val="none" w:sz="0" w:space="0" w:color="auto"/>
            <w:left w:val="none" w:sz="0" w:space="0" w:color="auto"/>
            <w:bottom w:val="none" w:sz="0" w:space="0" w:color="auto"/>
            <w:right w:val="none" w:sz="0" w:space="0" w:color="auto"/>
          </w:divBdr>
        </w:div>
        <w:div w:id="404113763">
          <w:marLeft w:val="547"/>
          <w:marRight w:val="0"/>
          <w:marTop w:val="86"/>
          <w:marBottom w:val="0"/>
          <w:divBdr>
            <w:top w:val="none" w:sz="0" w:space="0" w:color="auto"/>
            <w:left w:val="none" w:sz="0" w:space="0" w:color="auto"/>
            <w:bottom w:val="none" w:sz="0" w:space="0" w:color="auto"/>
            <w:right w:val="none" w:sz="0" w:space="0" w:color="auto"/>
          </w:divBdr>
        </w:div>
        <w:div w:id="709840413">
          <w:marLeft w:val="547"/>
          <w:marRight w:val="0"/>
          <w:marTop w:val="86"/>
          <w:marBottom w:val="0"/>
          <w:divBdr>
            <w:top w:val="none" w:sz="0" w:space="0" w:color="auto"/>
            <w:left w:val="none" w:sz="0" w:space="0" w:color="auto"/>
            <w:bottom w:val="none" w:sz="0" w:space="0" w:color="auto"/>
            <w:right w:val="none" w:sz="0" w:space="0" w:color="auto"/>
          </w:divBdr>
        </w:div>
        <w:div w:id="846211641">
          <w:marLeft w:val="547"/>
          <w:marRight w:val="0"/>
          <w:marTop w:val="86"/>
          <w:marBottom w:val="0"/>
          <w:divBdr>
            <w:top w:val="none" w:sz="0" w:space="0" w:color="auto"/>
            <w:left w:val="none" w:sz="0" w:space="0" w:color="auto"/>
            <w:bottom w:val="none" w:sz="0" w:space="0" w:color="auto"/>
            <w:right w:val="none" w:sz="0" w:space="0" w:color="auto"/>
          </w:divBdr>
        </w:div>
        <w:div w:id="1325089557">
          <w:marLeft w:val="547"/>
          <w:marRight w:val="0"/>
          <w:marTop w:val="86"/>
          <w:marBottom w:val="0"/>
          <w:divBdr>
            <w:top w:val="none" w:sz="0" w:space="0" w:color="auto"/>
            <w:left w:val="none" w:sz="0" w:space="0" w:color="auto"/>
            <w:bottom w:val="none" w:sz="0" w:space="0" w:color="auto"/>
            <w:right w:val="none" w:sz="0" w:space="0" w:color="auto"/>
          </w:divBdr>
        </w:div>
        <w:div w:id="1447116725">
          <w:marLeft w:val="547"/>
          <w:marRight w:val="0"/>
          <w:marTop w:val="86"/>
          <w:marBottom w:val="0"/>
          <w:divBdr>
            <w:top w:val="none" w:sz="0" w:space="0" w:color="auto"/>
            <w:left w:val="none" w:sz="0" w:space="0" w:color="auto"/>
            <w:bottom w:val="none" w:sz="0" w:space="0" w:color="auto"/>
            <w:right w:val="none" w:sz="0" w:space="0" w:color="auto"/>
          </w:divBdr>
        </w:div>
        <w:div w:id="1516116026">
          <w:marLeft w:val="547"/>
          <w:marRight w:val="0"/>
          <w:marTop w:val="86"/>
          <w:marBottom w:val="0"/>
          <w:divBdr>
            <w:top w:val="none" w:sz="0" w:space="0" w:color="auto"/>
            <w:left w:val="none" w:sz="0" w:space="0" w:color="auto"/>
            <w:bottom w:val="none" w:sz="0" w:space="0" w:color="auto"/>
            <w:right w:val="none" w:sz="0" w:space="0" w:color="auto"/>
          </w:divBdr>
        </w:div>
      </w:divsChild>
    </w:div>
    <w:div w:id="1133716803">
      <w:bodyDiv w:val="1"/>
      <w:marLeft w:val="0"/>
      <w:marRight w:val="0"/>
      <w:marTop w:val="0"/>
      <w:marBottom w:val="0"/>
      <w:divBdr>
        <w:top w:val="none" w:sz="0" w:space="0" w:color="auto"/>
        <w:left w:val="none" w:sz="0" w:space="0" w:color="auto"/>
        <w:bottom w:val="none" w:sz="0" w:space="0" w:color="auto"/>
        <w:right w:val="none" w:sz="0" w:space="0" w:color="auto"/>
      </w:divBdr>
    </w:div>
    <w:div w:id="1164706517">
      <w:bodyDiv w:val="1"/>
      <w:marLeft w:val="0"/>
      <w:marRight w:val="0"/>
      <w:marTop w:val="0"/>
      <w:marBottom w:val="0"/>
      <w:divBdr>
        <w:top w:val="none" w:sz="0" w:space="0" w:color="auto"/>
        <w:left w:val="none" w:sz="0" w:space="0" w:color="auto"/>
        <w:bottom w:val="none" w:sz="0" w:space="0" w:color="auto"/>
        <w:right w:val="none" w:sz="0" w:space="0" w:color="auto"/>
      </w:divBdr>
    </w:div>
    <w:div w:id="1186939989">
      <w:bodyDiv w:val="1"/>
      <w:marLeft w:val="0"/>
      <w:marRight w:val="0"/>
      <w:marTop w:val="0"/>
      <w:marBottom w:val="0"/>
      <w:divBdr>
        <w:top w:val="none" w:sz="0" w:space="0" w:color="auto"/>
        <w:left w:val="none" w:sz="0" w:space="0" w:color="auto"/>
        <w:bottom w:val="none" w:sz="0" w:space="0" w:color="auto"/>
        <w:right w:val="none" w:sz="0" w:space="0" w:color="auto"/>
      </w:divBdr>
    </w:div>
    <w:div w:id="1191263321">
      <w:bodyDiv w:val="1"/>
      <w:marLeft w:val="0"/>
      <w:marRight w:val="0"/>
      <w:marTop w:val="0"/>
      <w:marBottom w:val="0"/>
      <w:divBdr>
        <w:top w:val="none" w:sz="0" w:space="0" w:color="auto"/>
        <w:left w:val="none" w:sz="0" w:space="0" w:color="auto"/>
        <w:bottom w:val="none" w:sz="0" w:space="0" w:color="auto"/>
        <w:right w:val="none" w:sz="0" w:space="0" w:color="auto"/>
      </w:divBdr>
    </w:div>
    <w:div w:id="1192035897">
      <w:bodyDiv w:val="1"/>
      <w:marLeft w:val="0"/>
      <w:marRight w:val="0"/>
      <w:marTop w:val="0"/>
      <w:marBottom w:val="0"/>
      <w:divBdr>
        <w:top w:val="none" w:sz="0" w:space="0" w:color="auto"/>
        <w:left w:val="none" w:sz="0" w:space="0" w:color="auto"/>
        <w:bottom w:val="none" w:sz="0" w:space="0" w:color="auto"/>
        <w:right w:val="none" w:sz="0" w:space="0" w:color="auto"/>
      </w:divBdr>
    </w:div>
    <w:div w:id="1210341413">
      <w:bodyDiv w:val="1"/>
      <w:marLeft w:val="0"/>
      <w:marRight w:val="0"/>
      <w:marTop w:val="0"/>
      <w:marBottom w:val="0"/>
      <w:divBdr>
        <w:top w:val="none" w:sz="0" w:space="0" w:color="auto"/>
        <w:left w:val="none" w:sz="0" w:space="0" w:color="auto"/>
        <w:bottom w:val="none" w:sz="0" w:space="0" w:color="auto"/>
        <w:right w:val="none" w:sz="0" w:space="0" w:color="auto"/>
      </w:divBdr>
      <w:divsChild>
        <w:div w:id="1295254303">
          <w:marLeft w:val="0"/>
          <w:marRight w:val="0"/>
          <w:marTop w:val="0"/>
          <w:marBottom w:val="0"/>
          <w:divBdr>
            <w:top w:val="none" w:sz="0" w:space="0" w:color="auto"/>
            <w:left w:val="none" w:sz="0" w:space="0" w:color="auto"/>
            <w:bottom w:val="none" w:sz="0" w:space="0" w:color="auto"/>
            <w:right w:val="none" w:sz="0" w:space="0" w:color="auto"/>
          </w:divBdr>
          <w:divsChild>
            <w:div w:id="406734301">
              <w:marLeft w:val="0"/>
              <w:marRight w:val="0"/>
              <w:marTop w:val="0"/>
              <w:marBottom w:val="0"/>
              <w:divBdr>
                <w:top w:val="none" w:sz="0" w:space="0" w:color="auto"/>
                <w:left w:val="none" w:sz="0" w:space="0" w:color="auto"/>
                <w:bottom w:val="none" w:sz="0" w:space="0" w:color="auto"/>
                <w:right w:val="none" w:sz="0" w:space="0" w:color="auto"/>
              </w:divBdr>
              <w:divsChild>
                <w:div w:id="1747145517">
                  <w:marLeft w:val="0"/>
                  <w:marRight w:val="0"/>
                  <w:marTop w:val="0"/>
                  <w:marBottom w:val="0"/>
                  <w:divBdr>
                    <w:top w:val="none" w:sz="0" w:space="0" w:color="auto"/>
                    <w:left w:val="none" w:sz="0" w:space="0" w:color="auto"/>
                    <w:bottom w:val="none" w:sz="0" w:space="0" w:color="auto"/>
                    <w:right w:val="none" w:sz="0" w:space="0" w:color="auto"/>
                  </w:divBdr>
                  <w:divsChild>
                    <w:div w:id="27251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846826">
      <w:bodyDiv w:val="1"/>
      <w:marLeft w:val="0"/>
      <w:marRight w:val="0"/>
      <w:marTop w:val="0"/>
      <w:marBottom w:val="0"/>
      <w:divBdr>
        <w:top w:val="none" w:sz="0" w:space="0" w:color="auto"/>
        <w:left w:val="none" w:sz="0" w:space="0" w:color="auto"/>
        <w:bottom w:val="none" w:sz="0" w:space="0" w:color="auto"/>
        <w:right w:val="none" w:sz="0" w:space="0" w:color="auto"/>
      </w:divBdr>
    </w:div>
    <w:div w:id="1215312296">
      <w:bodyDiv w:val="1"/>
      <w:marLeft w:val="0"/>
      <w:marRight w:val="0"/>
      <w:marTop w:val="0"/>
      <w:marBottom w:val="0"/>
      <w:divBdr>
        <w:top w:val="none" w:sz="0" w:space="0" w:color="auto"/>
        <w:left w:val="none" w:sz="0" w:space="0" w:color="auto"/>
        <w:bottom w:val="none" w:sz="0" w:space="0" w:color="auto"/>
        <w:right w:val="none" w:sz="0" w:space="0" w:color="auto"/>
      </w:divBdr>
    </w:div>
    <w:div w:id="1221332545">
      <w:bodyDiv w:val="1"/>
      <w:marLeft w:val="0"/>
      <w:marRight w:val="0"/>
      <w:marTop w:val="0"/>
      <w:marBottom w:val="0"/>
      <w:divBdr>
        <w:top w:val="none" w:sz="0" w:space="0" w:color="auto"/>
        <w:left w:val="none" w:sz="0" w:space="0" w:color="auto"/>
        <w:bottom w:val="none" w:sz="0" w:space="0" w:color="auto"/>
        <w:right w:val="none" w:sz="0" w:space="0" w:color="auto"/>
      </w:divBdr>
    </w:div>
    <w:div w:id="1228883352">
      <w:bodyDiv w:val="1"/>
      <w:marLeft w:val="0"/>
      <w:marRight w:val="0"/>
      <w:marTop w:val="0"/>
      <w:marBottom w:val="0"/>
      <w:divBdr>
        <w:top w:val="none" w:sz="0" w:space="0" w:color="auto"/>
        <w:left w:val="none" w:sz="0" w:space="0" w:color="auto"/>
        <w:bottom w:val="none" w:sz="0" w:space="0" w:color="auto"/>
        <w:right w:val="none" w:sz="0" w:space="0" w:color="auto"/>
      </w:divBdr>
    </w:div>
    <w:div w:id="1243418905">
      <w:bodyDiv w:val="1"/>
      <w:marLeft w:val="0"/>
      <w:marRight w:val="0"/>
      <w:marTop w:val="0"/>
      <w:marBottom w:val="0"/>
      <w:divBdr>
        <w:top w:val="none" w:sz="0" w:space="0" w:color="auto"/>
        <w:left w:val="none" w:sz="0" w:space="0" w:color="auto"/>
        <w:bottom w:val="none" w:sz="0" w:space="0" w:color="auto"/>
        <w:right w:val="none" w:sz="0" w:space="0" w:color="auto"/>
      </w:divBdr>
    </w:div>
    <w:div w:id="1246573684">
      <w:bodyDiv w:val="1"/>
      <w:marLeft w:val="0"/>
      <w:marRight w:val="0"/>
      <w:marTop w:val="0"/>
      <w:marBottom w:val="0"/>
      <w:divBdr>
        <w:top w:val="none" w:sz="0" w:space="0" w:color="auto"/>
        <w:left w:val="none" w:sz="0" w:space="0" w:color="auto"/>
        <w:bottom w:val="none" w:sz="0" w:space="0" w:color="auto"/>
        <w:right w:val="none" w:sz="0" w:space="0" w:color="auto"/>
      </w:divBdr>
    </w:div>
    <w:div w:id="1247806313">
      <w:bodyDiv w:val="1"/>
      <w:marLeft w:val="0"/>
      <w:marRight w:val="0"/>
      <w:marTop w:val="0"/>
      <w:marBottom w:val="0"/>
      <w:divBdr>
        <w:top w:val="none" w:sz="0" w:space="0" w:color="auto"/>
        <w:left w:val="none" w:sz="0" w:space="0" w:color="auto"/>
        <w:bottom w:val="none" w:sz="0" w:space="0" w:color="auto"/>
        <w:right w:val="none" w:sz="0" w:space="0" w:color="auto"/>
      </w:divBdr>
    </w:div>
    <w:div w:id="1253780528">
      <w:bodyDiv w:val="1"/>
      <w:marLeft w:val="0"/>
      <w:marRight w:val="0"/>
      <w:marTop w:val="0"/>
      <w:marBottom w:val="0"/>
      <w:divBdr>
        <w:top w:val="none" w:sz="0" w:space="0" w:color="auto"/>
        <w:left w:val="none" w:sz="0" w:space="0" w:color="auto"/>
        <w:bottom w:val="none" w:sz="0" w:space="0" w:color="auto"/>
        <w:right w:val="none" w:sz="0" w:space="0" w:color="auto"/>
      </w:divBdr>
    </w:div>
    <w:div w:id="1254364106">
      <w:bodyDiv w:val="1"/>
      <w:marLeft w:val="0"/>
      <w:marRight w:val="0"/>
      <w:marTop w:val="0"/>
      <w:marBottom w:val="0"/>
      <w:divBdr>
        <w:top w:val="none" w:sz="0" w:space="0" w:color="auto"/>
        <w:left w:val="none" w:sz="0" w:space="0" w:color="auto"/>
        <w:bottom w:val="none" w:sz="0" w:space="0" w:color="auto"/>
        <w:right w:val="none" w:sz="0" w:space="0" w:color="auto"/>
      </w:divBdr>
    </w:div>
    <w:div w:id="1261911434">
      <w:bodyDiv w:val="1"/>
      <w:marLeft w:val="0"/>
      <w:marRight w:val="0"/>
      <w:marTop w:val="0"/>
      <w:marBottom w:val="0"/>
      <w:divBdr>
        <w:top w:val="none" w:sz="0" w:space="0" w:color="auto"/>
        <w:left w:val="none" w:sz="0" w:space="0" w:color="auto"/>
        <w:bottom w:val="none" w:sz="0" w:space="0" w:color="auto"/>
        <w:right w:val="none" w:sz="0" w:space="0" w:color="auto"/>
      </w:divBdr>
    </w:div>
    <w:div w:id="1275595708">
      <w:bodyDiv w:val="1"/>
      <w:marLeft w:val="0"/>
      <w:marRight w:val="0"/>
      <w:marTop w:val="0"/>
      <w:marBottom w:val="0"/>
      <w:divBdr>
        <w:top w:val="none" w:sz="0" w:space="0" w:color="auto"/>
        <w:left w:val="none" w:sz="0" w:space="0" w:color="auto"/>
        <w:bottom w:val="none" w:sz="0" w:space="0" w:color="auto"/>
        <w:right w:val="none" w:sz="0" w:space="0" w:color="auto"/>
      </w:divBdr>
      <w:divsChild>
        <w:div w:id="1463494877">
          <w:marLeft w:val="0"/>
          <w:marRight w:val="0"/>
          <w:marTop w:val="0"/>
          <w:marBottom w:val="0"/>
          <w:divBdr>
            <w:top w:val="none" w:sz="0" w:space="0" w:color="auto"/>
            <w:left w:val="none" w:sz="0" w:space="0" w:color="auto"/>
            <w:bottom w:val="none" w:sz="0" w:space="0" w:color="auto"/>
            <w:right w:val="none" w:sz="0" w:space="0" w:color="auto"/>
          </w:divBdr>
          <w:divsChild>
            <w:div w:id="59285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2650">
      <w:bodyDiv w:val="1"/>
      <w:marLeft w:val="0"/>
      <w:marRight w:val="0"/>
      <w:marTop w:val="0"/>
      <w:marBottom w:val="0"/>
      <w:divBdr>
        <w:top w:val="none" w:sz="0" w:space="0" w:color="auto"/>
        <w:left w:val="none" w:sz="0" w:space="0" w:color="auto"/>
        <w:bottom w:val="none" w:sz="0" w:space="0" w:color="auto"/>
        <w:right w:val="none" w:sz="0" w:space="0" w:color="auto"/>
      </w:divBdr>
      <w:divsChild>
        <w:div w:id="1367874667">
          <w:marLeft w:val="0"/>
          <w:marRight w:val="0"/>
          <w:marTop w:val="0"/>
          <w:marBottom w:val="0"/>
          <w:divBdr>
            <w:top w:val="none" w:sz="0" w:space="0" w:color="auto"/>
            <w:left w:val="none" w:sz="0" w:space="0" w:color="auto"/>
            <w:bottom w:val="none" w:sz="0" w:space="0" w:color="auto"/>
            <w:right w:val="none" w:sz="0" w:space="0" w:color="auto"/>
          </w:divBdr>
        </w:div>
      </w:divsChild>
    </w:div>
    <w:div w:id="1320843172">
      <w:bodyDiv w:val="1"/>
      <w:marLeft w:val="0"/>
      <w:marRight w:val="0"/>
      <w:marTop w:val="0"/>
      <w:marBottom w:val="0"/>
      <w:divBdr>
        <w:top w:val="none" w:sz="0" w:space="0" w:color="auto"/>
        <w:left w:val="none" w:sz="0" w:space="0" w:color="auto"/>
        <w:bottom w:val="none" w:sz="0" w:space="0" w:color="auto"/>
        <w:right w:val="none" w:sz="0" w:space="0" w:color="auto"/>
      </w:divBdr>
    </w:div>
    <w:div w:id="1363629202">
      <w:bodyDiv w:val="1"/>
      <w:marLeft w:val="0"/>
      <w:marRight w:val="0"/>
      <w:marTop w:val="0"/>
      <w:marBottom w:val="0"/>
      <w:divBdr>
        <w:top w:val="none" w:sz="0" w:space="0" w:color="auto"/>
        <w:left w:val="none" w:sz="0" w:space="0" w:color="auto"/>
        <w:bottom w:val="none" w:sz="0" w:space="0" w:color="auto"/>
        <w:right w:val="none" w:sz="0" w:space="0" w:color="auto"/>
      </w:divBdr>
      <w:divsChild>
        <w:div w:id="623803622">
          <w:marLeft w:val="547"/>
          <w:marRight w:val="0"/>
          <w:marTop w:val="86"/>
          <w:marBottom w:val="0"/>
          <w:divBdr>
            <w:top w:val="none" w:sz="0" w:space="0" w:color="auto"/>
            <w:left w:val="none" w:sz="0" w:space="0" w:color="auto"/>
            <w:bottom w:val="none" w:sz="0" w:space="0" w:color="auto"/>
            <w:right w:val="none" w:sz="0" w:space="0" w:color="auto"/>
          </w:divBdr>
        </w:div>
        <w:div w:id="879324818">
          <w:marLeft w:val="547"/>
          <w:marRight w:val="0"/>
          <w:marTop w:val="86"/>
          <w:marBottom w:val="0"/>
          <w:divBdr>
            <w:top w:val="none" w:sz="0" w:space="0" w:color="auto"/>
            <w:left w:val="none" w:sz="0" w:space="0" w:color="auto"/>
            <w:bottom w:val="none" w:sz="0" w:space="0" w:color="auto"/>
            <w:right w:val="none" w:sz="0" w:space="0" w:color="auto"/>
          </w:divBdr>
        </w:div>
        <w:div w:id="1299646242">
          <w:marLeft w:val="547"/>
          <w:marRight w:val="0"/>
          <w:marTop w:val="86"/>
          <w:marBottom w:val="0"/>
          <w:divBdr>
            <w:top w:val="none" w:sz="0" w:space="0" w:color="auto"/>
            <w:left w:val="none" w:sz="0" w:space="0" w:color="auto"/>
            <w:bottom w:val="none" w:sz="0" w:space="0" w:color="auto"/>
            <w:right w:val="none" w:sz="0" w:space="0" w:color="auto"/>
          </w:divBdr>
        </w:div>
        <w:div w:id="1868372589">
          <w:marLeft w:val="547"/>
          <w:marRight w:val="0"/>
          <w:marTop w:val="86"/>
          <w:marBottom w:val="0"/>
          <w:divBdr>
            <w:top w:val="none" w:sz="0" w:space="0" w:color="auto"/>
            <w:left w:val="none" w:sz="0" w:space="0" w:color="auto"/>
            <w:bottom w:val="none" w:sz="0" w:space="0" w:color="auto"/>
            <w:right w:val="none" w:sz="0" w:space="0" w:color="auto"/>
          </w:divBdr>
        </w:div>
        <w:div w:id="2104454113">
          <w:marLeft w:val="547"/>
          <w:marRight w:val="0"/>
          <w:marTop w:val="86"/>
          <w:marBottom w:val="0"/>
          <w:divBdr>
            <w:top w:val="none" w:sz="0" w:space="0" w:color="auto"/>
            <w:left w:val="none" w:sz="0" w:space="0" w:color="auto"/>
            <w:bottom w:val="none" w:sz="0" w:space="0" w:color="auto"/>
            <w:right w:val="none" w:sz="0" w:space="0" w:color="auto"/>
          </w:divBdr>
        </w:div>
      </w:divsChild>
    </w:div>
    <w:div w:id="1383940842">
      <w:bodyDiv w:val="1"/>
      <w:marLeft w:val="0"/>
      <w:marRight w:val="0"/>
      <w:marTop w:val="0"/>
      <w:marBottom w:val="0"/>
      <w:divBdr>
        <w:top w:val="none" w:sz="0" w:space="0" w:color="auto"/>
        <w:left w:val="none" w:sz="0" w:space="0" w:color="auto"/>
        <w:bottom w:val="none" w:sz="0" w:space="0" w:color="auto"/>
        <w:right w:val="none" w:sz="0" w:space="0" w:color="auto"/>
      </w:divBdr>
    </w:div>
    <w:div w:id="1392388656">
      <w:bodyDiv w:val="1"/>
      <w:marLeft w:val="0"/>
      <w:marRight w:val="0"/>
      <w:marTop w:val="0"/>
      <w:marBottom w:val="0"/>
      <w:divBdr>
        <w:top w:val="none" w:sz="0" w:space="0" w:color="auto"/>
        <w:left w:val="none" w:sz="0" w:space="0" w:color="auto"/>
        <w:bottom w:val="none" w:sz="0" w:space="0" w:color="auto"/>
        <w:right w:val="none" w:sz="0" w:space="0" w:color="auto"/>
      </w:divBdr>
    </w:div>
    <w:div w:id="1395735812">
      <w:bodyDiv w:val="1"/>
      <w:marLeft w:val="0"/>
      <w:marRight w:val="0"/>
      <w:marTop w:val="0"/>
      <w:marBottom w:val="0"/>
      <w:divBdr>
        <w:top w:val="none" w:sz="0" w:space="0" w:color="auto"/>
        <w:left w:val="none" w:sz="0" w:space="0" w:color="auto"/>
        <w:bottom w:val="none" w:sz="0" w:space="0" w:color="auto"/>
        <w:right w:val="none" w:sz="0" w:space="0" w:color="auto"/>
      </w:divBdr>
    </w:div>
    <w:div w:id="1416902505">
      <w:bodyDiv w:val="1"/>
      <w:marLeft w:val="0"/>
      <w:marRight w:val="0"/>
      <w:marTop w:val="0"/>
      <w:marBottom w:val="0"/>
      <w:divBdr>
        <w:top w:val="none" w:sz="0" w:space="0" w:color="auto"/>
        <w:left w:val="none" w:sz="0" w:space="0" w:color="auto"/>
        <w:bottom w:val="none" w:sz="0" w:space="0" w:color="auto"/>
        <w:right w:val="none" w:sz="0" w:space="0" w:color="auto"/>
      </w:divBdr>
    </w:div>
    <w:div w:id="1446732475">
      <w:bodyDiv w:val="1"/>
      <w:marLeft w:val="0"/>
      <w:marRight w:val="0"/>
      <w:marTop w:val="0"/>
      <w:marBottom w:val="0"/>
      <w:divBdr>
        <w:top w:val="none" w:sz="0" w:space="0" w:color="auto"/>
        <w:left w:val="none" w:sz="0" w:space="0" w:color="auto"/>
        <w:bottom w:val="none" w:sz="0" w:space="0" w:color="auto"/>
        <w:right w:val="none" w:sz="0" w:space="0" w:color="auto"/>
      </w:divBdr>
    </w:div>
    <w:div w:id="1452019738">
      <w:bodyDiv w:val="1"/>
      <w:marLeft w:val="0"/>
      <w:marRight w:val="0"/>
      <w:marTop w:val="0"/>
      <w:marBottom w:val="0"/>
      <w:divBdr>
        <w:top w:val="none" w:sz="0" w:space="0" w:color="auto"/>
        <w:left w:val="none" w:sz="0" w:space="0" w:color="auto"/>
        <w:bottom w:val="none" w:sz="0" w:space="0" w:color="auto"/>
        <w:right w:val="none" w:sz="0" w:space="0" w:color="auto"/>
      </w:divBdr>
    </w:div>
    <w:div w:id="1460026024">
      <w:bodyDiv w:val="1"/>
      <w:marLeft w:val="0"/>
      <w:marRight w:val="0"/>
      <w:marTop w:val="0"/>
      <w:marBottom w:val="0"/>
      <w:divBdr>
        <w:top w:val="none" w:sz="0" w:space="0" w:color="auto"/>
        <w:left w:val="none" w:sz="0" w:space="0" w:color="auto"/>
        <w:bottom w:val="none" w:sz="0" w:space="0" w:color="auto"/>
        <w:right w:val="none" w:sz="0" w:space="0" w:color="auto"/>
      </w:divBdr>
    </w:div>
    <w:div w:id="1462186533">
      <w:bodyDiv w:val="1"/>
      <w:marLeft w:val="0"/>
      <w:marRight w:val="0"/>
      <w:marTop w:val="0"/>
      <w:marBottom w:val="0"/>
      <w:divBdr>
        <w:top w:val="none" w:sz="0" w:space="0" w:color="auto"/>
        <w:left w:val="none" w:sz="0" w:space="0" w:color="auto"/>
        <w:bottom w:val="none" w:sz="0" w:space="0" w:color="auto"/>
        <w:right w:val="none" w:sz="0" w:space="0" w:color="auto"/>
      </w:divBdr>
    </w:div>
    <w:div w:id="1467620978">
      <w:bodyDiv w:val="1"/>
      <w:marLeft w:val="0"/>
      <w:marRight w:val="0"/>
      <w:marTop w:val="0"/>
      <w:marBottom w:val="0"/>
      <w:divBdr>
        <w:top w:val="none" w:sz="0" w:space="0" w:color="auto"/>
        <w:left w:val="none" w:sz="0" w:space="0" w:color="auto"/>
        <w:bottom w:val="none" w:sz="0" w:space="0" w:color="auto"/>
        <w:right w:val="none" w:sz="0" w:space="0" w:color="auto"/>
      </w:divBdr>
    </w:div>
    <w:div w:id="1488086221">
      <w:bodyDiv w:val="1"/>
      <w:marLeft w:val="0"/>
      <w:marRight w:val="0"/>
      <w:marTop w:val="0"/>
      <w:marBottom w:val="0"/>
      <w:divBdr>
        <w:top w:val="none" w:sz="0" w:space="0" w:color="auto"/>
        <w:left w:val="none" w:sz="0" w:space="0" w:color="auto"/>
        <w:bottom w:val="none" w:sz="0" w:space="0" w:color="auto"/>
        <w:right w:val="none" w:sz="0" w:space="0" w:color="auto"/>
      </w:divBdr>
    </w:div>
    <w:div w:id="1514415114">
      <w:bodyDiv w:val="1"/>
      <w:marLeft w:val="0"/>
      <w:marRight w:val="0"/>
      <w:marTop w:val="0"/>
      <w:marBottom w:val="0"/>
      <w:divBdr>
        <w:top w:val="none" w:sz="0" w:space="0" w:color="auto"/>
        <w:left w:val="none" w:sz="0" w:space="0" w:color="auto"/>
        <w:bottom w:val="none" w:sz="0" w:space="0" w:color="auto"/>
        <w:right w:val="none" w:sz="0" w:space="0" w:color="auto"/>
      </w:divBdr>
    </w:div>
    <w:div w:id="1517425395">
      <w:bodyDiv w:val="1"/>
      <w:marLeft w:val="0"/>
      <w:marRight w:val="0"/>
      <w:marTop w:val="0"/>
      <w:marBottom w:val="0"/>
      <w:divBdr>
        <w:top w:val="none" w:sz="0" w:space="0" w:color="auto"/>
        <w:left w:val="none" w:sz="0" w:space="0" w:color="auto"/>
        <w:bottom w:val="none" w:sz="0" w:space="0" w:color="auto"/>
        <w:right w:val="none" w:sz="0" w:space="0" w:color="auto"/>
      </w:divBdr>
    </w:div>
    <w:div w:id="1523394192">
      <w:bodyDiv w:val="1"/>
      <w:marLeft w:val="0"/>
      <w:marRight w:val="0"/>
      <w:marTop w:val="0"/>
      <w:marBottom w:val="0"/>
      <w:divBdr>
        <w:top w:val="none" w:sz="0" w:space="0" w:color="auto"/>
        <w:left w:val="none" w:sz="0" w:space="0" w:color="auto"/>
        <w:bottom w:val="none" w:sz="0" w:space="0" w:color="auto"/>
        <w:right w:val="none" w:sz="0" w:space="0" w:color="auto"/>
      </w:divBdr>
    </w:div>
    <w:div w:id="1526820908">
      <w:bodyDiv w:val="1"/>
      <w:marLeft w:val="0"/>
      <w:marRight w:val="0"/>
      <w:marTop w:val="0"/>
      <w:marBottom w:val="0"/>
      <w:divBdr>
        <w:top w:val="none" w:sz="0" w:space="0" w:color="auto"/>
        <w:left w:val="none" w:sz="0" w:space="0" w:color="auto"/>
        <w:bottom w:val="none" w:sz="0" w:space="0" w:color="auto"/>
        <w:right w:val="none" w:sz="0" w:space="0" w:color="auto"/>
      </w:divBdr>
    </w:div>
    <w:div w:id="1530951544">
      <w:bodyDiv w:val="1"/>
      <w:marLeft w:val="0"/>
      <w:marRight w:val="0"/>
      <w:marTop w:val="0"/>
      <w:marBottom w:val="0"/>
      <w:divBdr>
        <w:top w:val="none" w:sz="0" w:space="0" w:color="auto"/>
        <w:left w:val="none" w:sz="0" w:space="0" w:color="auto"/>
        <w:bottom w:val="none" w:sz="0" w:space="0" w:color="auto"/>
        <w:right w:val="none" w:sz="0" w:space="0" w:color="auto"/>
      </w:divBdr>
    </w:div>
    <w:div w:id="1532304576">
      <w:bodyDiv w:val="1"/>
      <w:marLeft w:val="0"/>
      <w:marRight w:val="0"/>
      <w:marTop w:val="0"/>
      <w:marBottom w:val="0"/>
      <w:divBdr>
        <w:top w:val="none" w:sz="0" w:space="0" w:color="auto"/>
        <w:left w:val="none" w:sz="0" w:space="0" w:color="auto"/>
        <w:bottom w:val="none" w:sz="0" w:space="0" w:color="auto"/>
        <w:right w:val="none" w:sz="0" w:space="0" w:color="auto"/>
      </w:divBdr>
    </w:div>
    <w:div w:id="1533885645">
      <w:bodyDiv w:val="1"/>
      <w:marLeft w:val="0"/>
      <w:marRight w:val="0"/>
      <w:marTop w:val="0"/>
      <w:marBottom w:val="0"/>
      <w:divBdr>
        <w:top w:val="none" w:sz="0" w:space="0" w:color="auto"/>
        <w:left w:val="none" w:sz="0" w:space="0" w:color="auto"/>
        <w:bottom w:val="none" w:sz="0" w:space="0" w:color="auto"/>
        <w:right w:val="none" w:sz="0" w:space="0" w:color="auto"/>
      </w:divBdr>
    </w:div>
    <w:div w:id="1538621355">
      <w:bodyDiv w:val="1"/>
      <w:marLeft w:val="0"/>
      <w:marRight w:val="0"/>
      <w:marTop w:val="0"/>
      <w:marBottom w:val="0"/>
      <w:divBdr>
        <w:top w:val="none" w:sz="0" w:space="0" w:color="auto"/>
        <w:left w:val="none" w:sz="0" w:space="0" w:color="auto"/>
        <w:bottom w:val="none" w:sz="0" w:space="0" w:color="auto"/>
        <w:right w:val="none" w:sz="0" w:space="0" w:color="auto"/>
      </w:divBdr>
    </w:div>
    <w:div w:id="1565870212">
      <w:bodyDiv w:val="1"/>
      <w:marLeft w:val="0"/>
      <w:marRight w:val="0"/>
      <w:marTop w:val="0"/>
      <w:marBottom w:val="0"/>
      <w:divBdr>
        <w:top w:val="none" w:sz="0" w:space="0" w:color="auto"/>
        <w:left w:val="none" w:sz="0" w:space="0" w:color="auto"/>
        <w:bottom w:val="none" w:sz="0" w:space="0" w:color="auto"/>
        <w:right w:val="none" w:sz="0" w:space="0" w:color="auto"/>
      </w:divBdr>
      <w:divsChild>
        <w:div w:id="106437641">
          <w:marLeft w:val="0"/>
          <w:marRight w:val="0"/>
          <w:marTop w:val="0"/>
          <w:marBottom w:val="0"/>
          <w:divBdr>
            <w:top w:val="none" w:sz="0" w:space="0" w:color="auto"/>
            <w:left w:val="none" w:sz="0" w:space="0" w:color="auto"/>
            <w:bottom w:val="none" w:sz="0" w:space="0" w:color="auto"/>
            <w:right w:val="none" w:sz="0" w:space="0" w:color="auto"/>
          </w:divBdr>
        </w:div>
        <w:div w:id="148064703">
          <w:marLeft w:val="0"/>
          <w:marRight w:val="0"/>
          <w:marTop w:val="0"/>
          <w:marBottom w:val="0"/>
          <w:divBdr>
            <w:top w:val="none" w:sz="0" w:space="0" w:color="auto"/>
            <w:left w:val="none" w:sz="0" w:space="0" w:color="auto"/>
            <w:bottom w:val="none" w:sz="0" w:space="0" w:color="auto"/>
            <w:right w:val="none" w:sz="0" w:space="0" w:color="auto"/>
          </w:divBdr>
        </w:div>
        <w:div w:id="1212305445">
          <w:marLeft w:val="0"/>
          <w:marRight w:val="0"/>
          <w:marTop w:val="0"/>
          <w:marBottom w:val="0"/>
          <w:divBdr>
            <w:top w:val="none" w:sz="0" w:space="0" w:color="auto"/>
            <w:left w:val="none" w:sz="0" w:space="0" w:color="auto"/>
            <w:bottom w:val="none" w:sz="0" w:space="0" w:color="auto"/>
            <w:right w:val="none" w:sz="0" w:space="0" w:color="auto"/>
          </w:divBdr>
        </w:div>
        <w:div w:id="1291474806">
          <w:marLeft w:val="0"/>
          <w:marRight w:val="0"/>
          <w:marTop w:val="0"/>
          <w:marBottom w:val="0"/>
          <w:divBdr>
            <w:top w:val="none" w:sz="0" w:space="0" w:color="auto"/>
            <w:left w:val="none" w:sz="0" w:space="0" w:color="auto"/>
            <w:bottom w:val="none" w:sz="0" w:space="0" w:color="auto"/>
            <w:right w:val="none" w:sz="0" w:space="0" w:color="auto"/>
          </w:divBdr>
        </w:div>
        <w:div w:id="1697807217">
          <w:marLeft w:val="0"/>
          <w:marRight w:val="0"/>
          <w:marTop w:val="0"/>
          <w:marBottom w:val="0"/>
          <w:divBdr>
            <w:top w:val="none" w:sz="0" w:space="0" w:color="auto"/>
            <w:left w:val="none" w:sz="0" w:space="0" w:color="auto"/>
            <w:bottom w:val="none" w:sz="0" w:space="0" w:color="auto"/>
            <w:right w:val="none" w:sz="0" w:space="0" w:color="auto"/>
          </w:divBdr>
        </w:div>
      </w:divsChild>
    </w:div>
    <w:div w:id="1566646715">
      <w:bodyDiv w:val="1"/>
      <w:marLeft w:val="0"/>
      <w:marRight w:val="0"/>
      <w:marTop w:val="0"/>
      <w:marBottom w:val="0"/>
      <w:divBdr>
        <w:top w:val="none" w:sz="0" w:space="0" w:color="auto"/>
        <w:left w:val="none" w:sz="0" w:space="0" w:color="auto"/>
        <w:bottom w:val="none" w:sz="0" w:space="0" w:color="auto"/>
        <w:right w:val="none" w:sz="0" w:space="0" w:color="auto"/>
      </w:divBdr>
    </w:div>
    <w:div w:id="1572082230">
      <w:bodyDiv w:val="1"/>
      <w:marLeft w:val="0"/>
      <w:marRight w:val="0"/>
      <w:marTop w:val="0"/>
      <w:marBottom w:val="0"/>
      <w:divBdr>
        <w:top w:val="none" w:sz="0" w:space="0" w:color="auto"/>
        <w:left w:val="none" w:sz="0" w:space="0" w:color="auto"/>
        <w:bottom w:val="none" w:sz="0" w:space="0" w:color="auto"/>
        <w:right w:val="none" w:sz="0" w:space="0" w:color="auto"/>
      </w:divBdr>
      <w:divsChild>
        <w:div w:id="300892887">
          <w:marLeft w:val="0"/>
          <w:marRight w:val="0"/>
          <w:marTop w:val="0"/>
          <w:marBottom w:val="0"/>
          <w:divBdr>
            <w:top w:val="none" w:sz="0" w:space="0" w:color="auto"/>
            <w:left w:val="none" w:sz="0" w:space="0" w:color="auto"/>
            <w:bottom w:val="none" w:sz="0" w:space="0" w:color="auto"/>
            <w:right w:val="none" w:sz="0" w:space="0" w:color="auto"/>
          </w:divBdr>
          <w:divsChild>
            <w:div w:id="233393940">
              <w:marLeft w:val="0"/>
              <w:marRight w:val="0"/>
              <w:marTop w:val="0"/>
              <w:marBottom w:val="0"/>
              <w:divBdr>
                <w:top w:val="none" w:sz="0" w:space="0" w:color="auto"/>
                <w:left w:val="none" w:sz="0" w:space="0" w:color="auto"/>
                <w:bottom w:val="none" w:sz="0" w:space="0" w:color="auto"/>
                <w:right w:val="none" w:sz="0" w:space="0" w:color="auto"/>
              </w:divBdr>
            </w:div>
            <w:div w:id="343021356">
              <w:marLeft w:val="0"/>
              <w:marRight w:val="0"/>
              <w:marTop w:val="0"/>
              <w:marBottom w:val="0"/>
              <w:divBdr>
                <w:top w:val="none" w:sz="0" w:space="0" w:color="auto"/>
                <w:left w:val="none" w:sz="0" w:space="0" w:color="auto"/>
                <w:bottom w:val="none" w:sz="0" w:space="0" w:color="auto"/>
                <w:right w:val="none" w:sz="0" w:space="0" w:color="auto"/>
              </w:divBdr>
            </w:div>
            <w:div w:id="436826419">
              <w:marLeft w:val="0"/>
              <w:marRight w:val="0"/>
              <w:marTop w:val="0"/>
              <w:marBottom w:val="0"/>
              <w:divBdr>
                <w:top w:val="none" w:sz="0" w:space="0" w:color="auto"/>
                <w:left w:val="none" w:sz="0" w:space="0" w:color="auto"/>
                <w:bottom w:val="none" w:sz="0" w:space="0" w:color="auto"/>
                <w:right w:val="none" w:sz="0" w:space="0" w:color="auto"/>
              </w:divBdr>
            </w:div>
            <w:div w:id="443161855">
              <w:marLeft w:val="0"/>
              <w:marRight w:val="0"/>
              <w:marTop w:val="0"/>
              <w:marBottom w:val="0"/>
              <w:divBdr>
                <w:top w:val="none" w:sz="0" w:space="0" w:color="auto"/>
                <w:left w:val="none" w:sz="0" w:space="0" w:color="auto"/>
                <w:bottom w:val="none" w:sz="0" w:space="0" w:color="auto"/>
                <w:right w:val="none" w:sz="0" w:space="0" w:color="auto"/>
              </w:divBdr>
            </w:div>
            <w:div w:id="542055315">
              <w:marLeft w:val="0"/>
              <w:marRight w:val="0"/>
              <w:marTop w:val="0"/>
              <w:marBottom w:val="0"/>
              <w:divBdr>
                <w:top w:val="none" w:sz="0" w:space="0" w:color="auto"/>
                <w:left w:val="none" w:sz="0" w:space="0" w:color="auto"/>
                <w:bottom w:val="none" w:sz="0" w:space="0" w:color="auto"/>
                <w:right w:val="none" w:sz="0" w:space="0" w:color="auto"/>
              </w:divBdr>
            </w:div>
            <w:div w:id="574584631">
              <w:marLeft w:val="0"/>
              <w:marRight w:val="0"/>
              <w:marTop w:val="0"/>
              <w:marBottom w:val="0"/>
              <w:divBdr>
                <w:top w:val="none" w:sz="0" w:space="0" w:color="auto"/>
                <w:left w:val="none" w:sz="0" w:space="0" w:color="auto"/>
                <w:bottom w:val="none" w:sz="0" w:space="0" w:color="auto"/>
                <w:right w:val="none" w:sz="0" w:space="0" w:color="auto"/>
              </w:divBdr>
            </w:div>
            <w:div w:id="660157396">
              <w:marLeft w:val="0"/>
              <w:marRight w:val="0"/>
              <w:marTop w:val="0"/>
              <w:marBottom w:val="0"/>
              <w:divBdr>
                <w:top w:val="none" w:sz="0" w:space="0" w:color="auto"/>
                <w:left w:val="none" w:sz="0" w:space="0" w:color="auto"/>
                <w:bottom w:val="none" w:sz="0" w:space="0" w:color="auto"/>
                <w:right w:val="none" w:sz="0" w:space="0" w:color="auto"/>
              </w:divBdr>
            </w:div>
            <w:div w:id="726225029">
              <w:marLeft w:val="0"/>
              <w:marRight w:val="0"/>
              <w:marTop w:val="0"/>
              <w:marBottom w:val="0"/>
              <w:divBdr>
                <w:top w:val="none" w:sz="0" w:space="0" w:color="auto"/>
                <w:left w:val="none" w:sz="0" w:space="0" w:color="auto"/>
                <w:bottom w:val="none" w:sz="0" w:space="0" w:color="auto"/>
                <w:right w:val="none" w:sz="0" w:space="0" w:color="auto"/>
              </w:divBdr>
            </w:div>
            <w:div w:id="1079131304">
              <w:marLeft w:val="0"/>
              <w:marRight w:val="0"/>
              <w:marTop w:val="0"/>
              <w:marBottom w:val="0"/>
              <w:divBdr>
                <w:top w:val="none" w:sz="0" w:space="0" w:color="auto"/>
                <w:left w:val="none" w:sz="0" w:space="0" w:color="auto"/>
                <w:bottom w:val="none" w:sz="0" w:space="0" w:color="auto"/>
                <w:right w:val="none" w:sz="0" w:space="0" w:color="auto"/>
              </w:divBdr>
            </w:div>
            <w:div w:id="1504662551">
              <w:marLeft w:val="0"/>
              <w:marRight w:val="0"/>
              <w:marTop w:val="0"/>
              <w:marBottom w:val="0"/>
              <w:divBdr>
                <w:top w:val="none" w:sz="0" w:space="0" w:color="auto"/>
                <w:left w:val="none" w:sz="0" w:space="0" w:color="auto"/>
                <w:bottom w:val="none" w:sz="0" w:space="0" w:color="auto"/>
                <w:right w:val="none" w:sz="0" w:space="0" w:color="auto"/>
              </w:divBdr>
            </w:div>
            <w:div w:id="1602450422">
              <w:marLeft w:val="0"/>
              <w:marRight w:val="0"/>
              <w:marTop w:val="0"/>
              <w:marBottom w:val="0"/>
              <w:divBdr>
                <w:top w:val="none" w:sz="0" w:space="0" w:color="auto"/>
                <w:left w:val="none" w:sz="0" w:space="0" w:color="auto"/>
                <w:bottom w:val="none" w:sz="0" w:space="0" w:color="auto"/>
                <w:right w:val="none" w:sz="0" w:space="0" w:color="auto"/>
              </w:divBdr>
            </w:div>
            <w:div w:id="1711758311">
              <w:marLeft w:val="0"/>
              <w:marRight w:val="0"/>
              <w:marTop w:val="0"/>
              <w:marBottom w:val="0"/>
              <w:divBdr>
                <w:top w:val="none" w:sz="0" w:space="0" w:color="auto"/>
                <w:left w:val="none" w:sz="0" w:space="0" w:color="auto"/>
                <w:bottom w:val="none" w:sz="0" w:space="0" w:color="auto"/>
                <w:right w:val="none" w:sz="0" w:space="0" w:color="auto"/>
              </w:divBdr>
            </w:div>
            <w:div w:id="185456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95018">
      <w:bodyDiv w:val="1"/>
      <w:marLeft w:val="0"/>
      <w:marRight w:val="0"/>
      <w:marTop w:val="0"/>
      <w:marBottom w:val="0"/>
      <w:divBdr>
        <w:top w:val="none" w:sz="0" w:space="0" w:color="auto"/>
        <w:left w:val="none" w:sz="0" w:space="0" w:color="auto"/>
        <w:bottom w:val="none" w:sz="0" w:space="0" w:color="auto"/>
        <w:right w:val="none" w:sz="0" w:space="0" w:color="auto"/>
      </w:divBdr>
    </w:div>
    <w:div w:id="1586645882">
      <w:bodyDiv w:val="1"/>
      <w:marLeft w:val="0"/>
      <w:marRight w:val="0"/>
      <w:marTop w:val="0"/>
      <w:marBottom w:val="0"/>
      <w:divBdr>
        <w:top w:val="none" w:sz="0" w:space="0" w:color="auto"/>
        <w:left w:val="none" w:sz="0" w:space="0" w:color="auto"/>
        <w:bottom w:val="none" w:sz="0" w:space="0" w:color="auto"/>
        <w:right w:val="none" w:sz="0" w:space="0" w:color="auto"/>
      </w:divBdr>
    </w:div>
    <w:div w:id="1622036424">
      <w:bodyDiv w:val="1"/>
      <w:marLeft w:val="0"/>
      <w:marRight w:val="0"/>
      <w:marTop w:val="0"/>
      <w:marBottom w:val="0"/>
      <w:divBdr>
        <w:top w:val="none" w:sz="0" w:space="0" w:color="auto"/>
        <w:left w:val="none" w:sz="0" w:space="0" w:color="auto"/>
        <w:bottom w:val="none" w:sz="0" w:space="0" w:color="auto"/>
        <w:right w:val="none" w:sz="0" w:space="0" w:color="auto"/>
      </w:divBdr>
    </w:div>
    <w:div w:id="1642618543">
      <w:bodyDiv w:val="1"/>
      <w:marLeft w:val="0"/>
      <w:marRight w:val="0"/>
      <w:marTop w:val="0"/>
      <w:marBottom w:val="0"/>
      <w:divBdr>
        <w:top w:val="none" w:sz="0" w:space="0" w:color="auto"/>
        <w:left w:val="none" w:sz="0" w:space="0" w:color="auto"/>
        <w:bottom w:val="none" w:sz="0" w:space="0" w:color="auto"/>
        <w:right w:val="none" w:sz="0" w:space="0" w:color="auto"/>
      </w:divBdr>
    </w:div>
    <w:div w:id="1648051574">
      <w:bodyDiv w:val="1"/>
      <w:marLeft w:val="0"/>
      <w:marRight w:val="0"/>
      <w:marTop w:val="0"/>
      <w:marBottom w:val="0"/>
      <w:divBdr>
        <w:top w:val="none" w:sz="0" w:space="0" w:color="auto"/>
        <w:left w:val="none" w:sz="0" w:space="0" w:color="auto"/>
        <w:bottom w:val="none" w:sz="0" w:space="0" w:color="auto"/>
        <w:right w:val="none" w:sz="0" w:space="0" w:color="auto"/>
      </w:divBdr>
    </w:div>
    <w:div w:id="1679116907">
      <w:bodyDiv w:val="1"/>
      <w:marLeft w:val="0"/>
      <w:marRight w:val="0"/>
      <w:marTop w:val="0"/>
      <w:marBottom w:val="0"/>
      <w:divBdr>
        <w:top w:val="none" w:sz="0" w:space="0" w:color="auto"/>
        <w:left w:val="none" w:sz="0" w:space="0" w:color="auto"/>
        <w:bottom w:val="none" w:sz="0" w:space="0" w:color="auto"/>
        <w:right w:val="none" w:sz="0" w:space="0" w:color="auto"/>
      </w:divBdr>
    </w:div>
    <w:div w:id="1696614328">
      <w:bodyDiv w:val="1"/>
      <w:marLeft w:val="0"/>
      <w:marRight w:val="0"/>
      <w:marTop w:val="0"/>
      <w:marBottom w:val="0"/>
      <w:divBdr>
        <w:top w:val="none" w:sz="0" w:space="0" w:color="auto"/>
        <w:left w:val="none" w:sz="0" w:space="0" w:color="auto"/>
        <w:bottom w:val="none" w:sz="0" w:space="0" w:color="auto"/>
        <w:right w:val="none" w:sz="0" w:space="0" w:color="auto"/>
      </w:divBdr>
    </w:div>
    <w:div w:id="1701398716">
      <w:bodyDiv w:val="1"/>
      <w:marLeft w:val="0"/>
      <w:marRight w:val="0"/>
      <w:marTop w:val="0"/>
      <w:marBottom w:val="0"/>
      <w:divBdr>
        <w:top w:val="none" w:sz="0" w:space="0" w:color="auto"/>
        <w:left w:val="none" w:sz="0" w:space="0" w:color="auto"/>
        <w:bottom w:val="none" w:sz="0" w:space="0" w:color="auto"/>
        <w:right w:val="none" w:sz="0" w:space="0" w:color="auto"/>
      </w:divBdr>
    </w:div>
    <w:div w:id="1706755573">
      <w:bodyDiv w:val="1"/>
      <w:marLeft w:val="0"/>
      <w:marRight w:val="0"/>
      <w:marTop w:val="0"/>
      <w:marBottom w:val="0"/>
      <w:divBdr>
        <w:top w:val="none" w:sz="0" w:space="0" w:color="auto"/>
        <w:left w:val="none" w:sz="0" w:space="0" w:color="auto"/>
        <w:bottom w:val="none" w:sz="0" w:space="0" w:color="auto"/>
        <w:right w:val="none" w:sz="0" w:space="0" w:color="auto"/>
      </w:divBdr>
    </w:div>
    <w:div w:id="1708409341">
      <w:bodyDiv w:val="1"/>
      <w:marLeft w:val="0"/>
      <w:marRight w:val="0"/>
      <w:marTop w:val="0"/>
      <w:marBottom w:val="0"/>
      <w:divBdr>
        <w:top w:val="none" w:sz="0" w:space="0" w:color="auto"/>
        <w:left w:val="none" w:sz="0" w:space="0" w:color="auto"/>
        <w:bottom w:val="none" w:sz="0" w:space="0" w:color="auto"/>
        <w:right w:val="none" w:sz="0" w:space="0" w:color="auto"/>
      </w:divBdr>
    </w:div>
    <w:div w:id="1711496862">
      <w:bodyDiv w:val="1"/>
      <w:marLeft w:val="0"/>
      <w:marRight w:val="0"/>
      <w:marTop w:val="0"/>
      <w:marBottom w:val="0"/>
      <w:divBdr>
        <w:top w:val="none" w:sz="0" w:space="0" w:color="auto"/>
        <w:left w:val="none" w:sz="0" w:space="0" w:color="auto"/>
        <w:bottom w:val="none" w:sz="0" w:space="0" w:color="auto"/>
        <w:right w:val="none" w:sz="0" w:space="0" w:color="auto"/>
      </w:divBdr>
    </w:div>
    <w:div w:id="1714773052">
      <w:bodyDiv w:val="1"/>
      <w:marLeft w:val="0"/>
      <w:marRight w:val="0"/>
      <w:marTop w:val="0"/>
      <w:marBottom w:val="0"/>
      <w:divBdr>
        <w:top w:val="none" w:sz="0" w:space="0" w:color="auto"/>
        <w:left w:val="none" w:sz="0" w:space="0" w:color="auto"/>
        <w:bottom w:val="none" w:sz="0" w:space="0" w:color="auto"/>
        <w:right w:val="none" w:sz="0" w:space="0" w:color="auto"/>
      </w:divBdr>
    </w:div>
    <w:div w:id="1726024699">
      <w:bodyDiv w:val="1"/>
      <w:marLeft w:val="0"/>
      <w:marRight w:val="0"/>
      <w:marTop w:val="0"/>
      <w:marBottom w:val="0"/>
      <w:divBdr>
        <w:top w:val="none" w:sz="0" w:space="0" w:color="auto"/>
        <w:left w:val="none" w:sz="0" w:space="0" w:color="auto"/>
        <w:bottom w:val="none" w:sz="0" w:space="0" w:color="auto"/>
        <w:right w:val="none" w:sz="0" w:space="0" w:color="auto"/>
      </w:divBdr>
    </w:div>
    <w:div w:id="1764493909">
      <w:bodyDiv w:val="1"/>
      <w:marLeft w:val="0"/>
      <w:marRight w:val="0"/>
      <w:marTop w:val="0"/>
      <w:marBottom w:val="0"/>
      <w:divBdr>
        <w:top w:val="none" w:sz="0" w:space="0" w:color="auto"/>
        <w:left w:val="none" w:sz="0" w:space="0" w:color="auto"/>
        <w:bottom w:val="none" w:sz="0" w:space="0" w:color="auto"/>
        <w:right w:val="none" w:sz="0" w:space="0" w:color="auto"/>
      </w:divBdr>
    </w:div>
    <w:div w:id="1767849882">
      <w:bodyDiv w:val="1"/>
      <w:marLeft w:val="0"/>
      <w:marRight w:val="0"/>
      <w:marTop w:val="0"/>
      <w:marBottom w:val="0"/>
      <w:divBdr>
        <w:top w:val="none" w:sz="0" w:space="0" w:color="auto"/>
        <w:left w:val="none" w:sz="0" w:space="0" w:color="auto"/>
        <w:bottom w:val="none" w:sz="0" w:space="0" w:color="auto"/>
        <w:right w:val="none" w:sz="0" w:space="0" w:color="auto"/>
      </w:divBdr>
    </w:div>
    <w:div w:id="1770539977">
      <w:bodyDiv w:val="1"/>
      <w:marLeft w:val="0"/>
      <w:marRight w:val="0"/>
      <w:marTop w:val="0"/>
      <w:marBottom w:val="0"/>
      <w:divBdr>
        <w:top w:val="none" w:sz="0" w:space="0" w:color="auto"/>
        <w:left w:val="none" w:sz="0" w:space="0" w:color="auto"/>
        <w:bottom w:val="none" w:sz="0" w:space="0" w:color="auto"/>
        <w:right w:val="none" w:sz="0" w:space="0" w:color="auto"/>
      </w:divBdr>
    </w:div>
    <w:div w:id="1790515663">
      <w:bodyDiv w:val="1"/>
      <w:marLeft w:val="0"/>
      <w:marRight w:val="0"/>
      <w:marTop w:val="0"/>
      <w:marBottom w:val="0"/>
      <w:divBdr>
        <w:top w:val="none" w:sz="0" w:space="0" w:color="auto"/>
        <w:left w:val="none" w:sz="0" w:space="0" w:color="auto"/>
        <w:bottom w:val="none" w:sz="0" w:space="0" w:color="auto"/>
        <w:right w:val="none" w:sz="0" w:space="0" w:color="auto"/>
      </w:divBdr>
      <w:divsChild>
        <w:div w:id="1966345900">
          <w:marLeft w:val="0"/>
          <w:marRight w:val="0"/>
          <w:marTop w:val="0"/>
          <w:marBottom w:val="0"/>
          <w:divBdr>
            <w:top w:val="none" w:sz="0" w:space="0" w:color="auto"/>
            <w:left w:val="none" w:sz="0" w:space="0" w:color="auto"/>
            <w:bottom w:val="none" w:sz="0" w:space="0" w:color="auto"/>
            <w:right w:val="none" w:sz="0" w:space="0" w:color="auto"/>
          </w:divBdr>
        </w:div>
      </w:divsChild>
    </w:div>
    <w:div w:id="1795438169">
      <w:bodyDiv w:val="1"/>
      <w:marLeft w:val="0"/>
      <w:marRight w:val="0"/>
      <w:marTop w:val="0"/>
      <w:marBottom w:val="0"/>
      <w:divBdr>
        <w:top w:val="none" w:sz="0" w:space="0" w:color="auto"/>
        <w:left w:val="none" w:sz="0" w:space="0" w:color="auto"/>
        <w:bottom w:val="none" w:sz="0" w:space="0" w:color="auto"/>
        <w:right w:val="none" w:sz="0" w:space="0" w:color="auto"/>
      </w:divBdr>
    </w:div>
    <w:div w:id="1806704365">
      <w:bodyDiv w:val="1"/>
      <w:marLeft w:val="0"/>
      <w:marRight w:val="0"/>
      <w:marTop w:val="0"/>
      <w:marBottom w:val="0"/>
      <w:divBdr>
        <w:top w:val="none" w:sz="0" w:space="0" w:color="auto"/>
        <w:left w:val="none" w:sz="0" w:space="0" w:color="auto"/>
        <w:bottom w:val="none" w:sz="0" w:space="0" w:color="auto"/>
        <w:right w:val="none" w:sz="0" w:space="0" w:color="auto"/>
      </w:divBdr>
    </w:div>
    <w:div w:id="1809660551">
      <w:bodyDiv w:val="1"/>
      <w:marLeft w:val="0"/>
      <w:marRight w:val="0"/>
      <w:marTop w:val="0"/>
      <w:marBottom w:val="0"/>
      <w:divBdr>
        <w:top w:val="none" w:sz="0" w:space="0" w:color="auto"/>
        <w:left w:val="none" w:sz="0" w:space="0" w:color="auto"/>
        <w:bottom w:val="none" w:sz="0" w:space="0" w:color="auto"/>
        <w:right w:val="none" w:sz="0" w:space="0" w:color="auto"/>
      </w:divBdr>
    </w:div>
    <w:div w:id="1822848818">
      <w:bodyDiv w:val="1"/>
      <w:marLeft w:val="0"/>
      <w:marRight w:val="0"/>
      <w:marTop w:val="0"/>
      <w:marBottom w:val="0"/>
      <w:divBdr>
        <w:top w:val="none" w:sz="0" w:space="0" w:color="auto"/>
        <w:left w:val="none" w:sz="0" w:space="0" w:color="auto"/>
        <w:bottom w:val="none" w:sz="0" w:space="0" w:color="auto"/>
        <w:right w:val="none" w:sz="0" w:space="0" w:color="auto"/>
      </w:divBdr>
    </w:div>
    <w:div w:id="1823231165">
      <w:bodyDiv w:val="1"/>
      <w:marLeft w:val="0"/>
      <w:marRight w:val="0"/>
      <w:marTop w:val="0"/>
      <w:marBottom w:val="0"/>
      <w:divBdr>
        <w:top w:val="none" w:sz="0" w:space="0" w:color="auto"/>
        <w:left w:val="none" w:sz="0" w:space="0" w:color="auto"/>
        <w:bottom w:val="none" w:sz="0" w:space="0" w:color="auto"/>
        <w:right w:val="none" w:sz="0" w:space="0" w:color="auto"/>
      </w:divBdr>
    </w:div>
    <w:div w:id="1823691496">
      <w:bodyDiv w:val="1"/>
      <w:marLeft w:val="0"/>
      <w:marRight w:val="0"/>
      <w:marTop w:val="0"/>
      <w:marBottom w:val="0"/>
      <w:divBdr>
        <w:top w:val="none" w:sz="0" w:space="0" w:color="auto"/>
        <w:left w:val="none" w:sz="0" w:space="0" w:color="auto"/>
        <w:bottom w:val="none" w:sz="0" w:space="0" w:color="auto"/>
        <w:right w:val="none" w:sz="0" w:space="0" w:color="auto"/>
      </w:divBdr>
    </w:div>
    <w:div w:id="1827738946">
      <w:bodyDiv w:val="1"/>
      <w:marLeft w:val="0"/>
      <w:marRight w:val="0"/>
      <w:marTop w:val="0"/>
      <w:marBottom w:val="0"/>
      <w:divBdr>
        <w:top w:val="none" w:sz="0" w:space="0" w:color="auto"/>
        <w:left w:val="none" w:sz="0" w:space="0" w:color="auto"/>
        <w:bottom w:val="none" w:sz="0" w:space="0" w:color="auto"/>
        <w:right w:val="none" w:sz="0" w:space="0" w:color="auto"/>
      </w:divBdr>
    </w:div>
    <w:div w:id="1831745961">
      <w:bodyDiv w:val="1"/>
      <w:marLeft w:val="0"/>
      <w:marRight w:val="0"/>
      <w:marTop w:val="0"/>
      <w:marBottom w:val="0"/>
      <w:divBdr>
        <w:top w:val="none" w:sz="0" w:space="0" w:color="auto"/>
        <w:left w:val="none" w:sz="0" w:space="0" w:color="auto"/>
        <w:bottom w:val="none" w:sz="0" w:space="0" w:color="auto"/>
        <w:right w:val="none" w:sz="0" w:space="0" w:color="auto"/>
      </w:divBdr>
      <w:divsChild>
        <w:div w:id="1399403900">
          <w:marLeft w:val="0"/>
          <w:marRight w:val="0"/>
          <w:marTop w:val="0"/>
          <w:marBottom w:val="0"/>
          <w:divBdr>
            <w:top w:val="none" w:sz="0" w:space="0" w:color="auto"/>
            <w:left w:val="none" w:sz="0" w:space="0" w:color="auto"/>
            <w:bottom w:val="none" w:sz="0" w:space="0" w:color="auto"/>
            <w:right w:val="none" w:sz="0" w:space="0" w:color="auto"/>
          </w:divBdr>
          <w:divsChild>
            <w:div w:id="59421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56459">
      <w:bodyDiv w:val="1"/>
      <w:marLeft w:val="0"/>
      <w:marRight w:val="0"/>
      <w:marTop w:val="0"/>
      <w:marBottom w:val="0"/>
      <w:divBdr>
        <w:top w:val="none" w:sz="0" w:space="0" w:color="auto"/>
        <w:left w:val="none" w:sz="0" w:space="0" w:color="auto"/>
        <w:bottom w:val="none" w:sz="0" w:space="0" w:color="auto"/>
        <w:right w:val="none" w:sz="0" w:space="0" w:color="auto"/>
      </w:divBdr>
    </w:div>
    <w:div w:id="1835221502">
      <w:bodyDiv w:val="1"/>
      <w:marLeft w:val="0"/>
      <w:marRight w:val="0"/>
      <w:marTop w:val="0"/>
      <w:marBottom w:val="0"/>
      <w:divBdr>
        <w:top w:val="none" w:sz="0" w:space="0" w:color="auto"/>
        <w:left w:val="none" w:sz="0" w:space="0" w:color="auto"/>
        <w:bottom w:val="none" w:sz="0" w:space="0" w:color="auto"/>
        <w:right w:val="none" w:sz="0" w:space="0" w:color="auto"/>
      </w:divBdr>
    </w:div>
    <w:div w:id="1839274715">
      <w:bodyDiv w:val="1"/>
      <w:marLeft w:val="0"/>
      <w:marRight w:val="0"/>
      <w:marTop w:val="0"/>
      <w:marBottom w:val="0"/>
      <w:divBdr>
        <w:top w:val="none" w:sz="0" w:space="0" w:color="auto"/>
        <w:left w:val="none" w:sz="0" w:space="0" w:color="auto"/>
        <w:bottom w:val="none" w:sz="0" w:space="0" w:color="auto"/>
        <w:right w:val="none" w:sz="0" w:space="0" w:color="auto"/>
      </w:divBdr>
    </w:div>
    <w:div w:id="1846551153">
      <w:bodyDiv w:val="1"/>
      <w:marLeft w:val="0"/>
      <w:marRight w:val="0"/>
      <w:marTop w:val="0"/>
      <w:marBottom w:val="0"/>
      <w:divBdr>
        <w:top w:val="none" w:sz="0" w:space="0" w:color="auto"/>
        <w:left w:val="none" w:sz="0" w:space="0" w:color="auto"/>
        <w:bottom w:val="none" w:sz="0" w:space="0" w:color="auto"/>
        <w:right w:val="none" w:sz="0" w:space="0" w:color="auto"/>
      </w:divBdr>
    </w:div>
    <w:div w:id="1868055465">
      <w:bodyDiv w:val="1"/>
      <w:marLeft w:val="0"/>
      <w:marRight w:val="0"/>
      <w:marTop w:val="0"/>
      <w:marBottom w:val="0"/>
      <w:divBdr>
        <w:top w:val="none" w:sz="0" w:space="0" w:color="auto"/>
        <w:left w:val="none" w:sz="0" w:space="0" w:color="auto"/>
        <w:bottom w:val="none" w:sz="0" w:space="0" w:color="auto"/>
        <w:right w:val="none" w:sz="0" w:space="0" w:color="auto"/>
      </w:divBdr>
    </w:div>
    <w:div w:id="1870102092">
      <w:bodyDiv w:val="1"/>
      <w:marLeft w:val="0"/>
      <w:marRight w:val="0"/>
      <w:marTop w:val="0"/>
      <w:marBottom w:val="0"/>
      <w:divBdr>
        <w:top w:val="none" w:sz="0" w:space="0" w:color="auto"/>
        <w:left w:val="none" w:sz="0" w:space="0" w:color="auto"/>
        <w:bottom w:val="none" w:sz="0" w:space="0" w:color="auto"/>
        <w:right w:val="none" w:sz="0" w:space="0" w:color="auto"/>
      </w:divBdr>
    </w:div>
    <w:div w:id="1871449954">
      <w:bodyDiv w:val="1"/>
      <w:marLeft w:val="0"/>
      <w:marRight w:val="0"/>
      <w:marTop w:val="0"/>
      <w:marBottom w:val="0"/>
      <w:divBdr>
        <w:top w:val="none" w:sz="0" w:space="0" w:color="auto"/>
        <w:left w:val="none" w:sz="0" w:space="0" w:color="auto"/>
        <w:bottom w:val="none" w:sz="0" w:space="0" w:color="auto"/>
        <w:right w:val="none" w:sz="0" w:space="0" w:color="auto"/>
      </w:divBdr>
    </w:div>
    <w:div w:id="1905991642">
      <w:bodyDiv w:val="1"/>
      <w:marLeft w:val="0"/>
      <w:marRight w:val="0"/>
      <w:marTop w:val="0"/>
      <w:marBottom w:val="0"/>
      <w:divBdr>
        <w:top w:val="none" w:sz="0" w:space="0" w:color="auto"/>
        <w:left w:val="none" w:sz="0" w:space="0" w:color="auto"/>
        <w:bottom w:val="none" w:sz="0" w:space="0" w:color="auto"/>
        <w:right w:val="none" w:sz="0" w:space="0" w:color="auto"/>
      </w:divBdr>
    </w:div>
    <w:div w:id="1916358137">
      <w:bodyDiv w:val="1"/>
      <w:marLeft w:val="0"/>
      <w:marRight w:val="0"/>
      <w:marTop w:val="0"/>
      <w:marBottom w:val="0"/>
      <w:divBdr>
        <w:top w:val="none" w:sz="0" w:space="0" w:color="auto"/>
        <w:left w:val="none" w:sz="0" w:space="0" w:color="auto"/>
        <w:bottom w:val="none" w:sz="0" w:space="0" w:color="auto"/>
        <w:right w:val="none" w:sz="0" w:space="0" w:color="auto"/>
      </w:divBdr>
    </w:div>
    <w:div w:id="1916698620">
      <w:bodyDiv w:val="1"/>
      <w:marLeft w:val="0"/>
      <w:marRight w:val="0"/>
      <w:marTop w:val="0"/>
      <w:marBottom w:val="0"/>
      <w:divBdr>
        <w:top w:val="none" w:sz="0" w:space="0" w:color="auto"/>
        <w:left w:val="none" w:sz="0" w:space="0" w:color="auto"/>
        <w:bottom w:val="none" w:sz="0" w:space="0" w:color="auto"/>
        <w:right w:val="none" w:sz="0" w:space="0" w:color="auto"/>
      </w:divBdr>
    </w:div>
    <w:div w:id="1937516793">
      <w:bodyDiv w:val="1"/>
      <w:marLeft w:val="0"/>
      <w:marRight w:val="0"/>
      <w:marTop w:val="0"/>
      <w:marBottom w:val="0"/>
      <w:divBdr>
        <w:top w:val="none" w:sz="0" w:space="0" w:color="auto"/>
        <w:left w:val="none" w:sz="0" w:space="0" w:color="auto"/>
        <w:bottom w:val="none" w:sz="0" w:space="0" w:color="auto"/>
        <w:right w:val="none" w:sz="0" w:space="0" w:color="auto"/>
      </w:divBdr>
    </w:div>
    <w:div w:id="1948466392">
      <w:bodyDiv w:val="1"/>
      <w:marLeft w:val="0"/>
      <w:marRight w:val="0"/>
      <w:marTop w:val="0"/>
      <w:marBottom w:val="0"/>
      <w:divBdr>
        <w:top w:val="none" w:sz="0" w:space="0" w:color="auto"/>
        <w:left w:val="none" w:sz="0" w:space="0" w:color="auto"/>
        <w:bottom w:val="none" w:sz="0" w:space="0" w:color="auto"/>
        <w:right w:val="none" w:sz="0" w:space="0" w:color="auto"/>
      </w:divBdr>
      <w:divsChild>
        <w:div w:id="1877619398">
          <w:marLeft w:val="0"/>
          <w:marRight w:val="0"/>
          <w:marTop w:val="0"/>
          <w:marBottom w:val="0"/>
          <w:divBdr>
            <w:top w:val="none" w:sz="0" w:space="0" w:color="auto"/>
            <w:left w:val="none" w:sz="0" w:space="0" w:color="auto"/>
            <w:bottom w:val="none" w:sz="0" w:space="0" w:color="auto"/>
            <w:right w:val="none" w:sz="0" w:space="0" w:color="auto"/>
          </w:divBdr>
          <w:divsChild>
            <w:div w:id="2105301848">
              <w:marLeft w:val="0"/>
              <w:marRight w:val="0"/>
              <w:marTop w:val="0"/>
              <w:marBottom w:val="0"/>
              <w:divBdr>
                <w:top w:val="none" w:sz="0" w:space="0" w:color="auto"/>
                <w:left w:val="none" w:sz="0" w:space="0" w:color="auto"/>
                <w:bottom w:val="none" w:sz="0" w:space="0" w:color="auto"/>
                <w:right w:val="none" w:sz="0" w:space="0" w:color="auto"/>
              </w:divBdr>
              <w:divsChild>
                <w:div w:id="516623728">
                  <w:marLeft w:val="180"/>
                  <w:marRight w:val="0"/>
                  <w:marTop w:val="0"/>
                  <w:marBottom w:val="0"/>
                  <w:divBdr>
                    <w:top w:val="none" w:sz="0" w:space="0" w:color="auto"/>
                    <w:left w:val="none" w:sz="0" w:space="0" w:color="auto"/>
                    <w:bottom w:val="none" w:sz="0" w:space="0" w:color="auto"/>
                    <w:right w:val="none" w:sz="0" w:space="0" w:color="auto"/>
                  </w:divBdr>
                  <w:divsChild>
                    <w:div w:id="1299142086">
                      <w:marLeft w:val="2850"/>
                      <w:marRight w:val="0"/>
                      <w:marTop w:val="0"/>
                      <w:marBottom w:val="0"/>
                      <w:divBdr>
                        <w:top w:val="none" w:sz="0" w:space="0" w:color="auto"/>
                        <w:left w:val="none" w:sz="0" w:space="0" w:color="auto"/>
                        <w:bottom w:val="none" w:sz="0" w:space="0" w:color="auto"/>
                        <w:right w:val="none" w:sz="0" w:space="0" w:color="auto"/>
                      </w:divBdr>
                      <w:divsChild>
                        <w:div w:id="17798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248443">
      <w:bodyDiv w:val="1"/>
      <w:marLeft w:val="0"/>
      <w:marRight w:val="0"/>
      <w:marTop w:val="0"/>
      <w:marBottom w:val="0"/>
      <w:divBdr>
        <w:top w:val="none" w:sz="0" w:space="0" w:color="auto"/>
        <w:left w:val="none" w:sz="0" w:space="0" w:color="auto"/>
        <w:bottom w:val="none" w:sz="0" w:space="0" w:color="auto"/>
        <w:right w:val="none" w:sz="0" w:space="0" w:color="auto"/>
      </w:divBdr>
    </w:div>
    <w:div w:id="1969965781">
      <w:bodyDiv w:val="1"/>
      <w:marLeft w:val="0"/>
      <w:marRight w:val="0"/>
      <w:marTop w:val="0"/>
      <w:marBottom w:val="0"/>
      <w:divBdr>
        <w:top w:val="none" w:sz="0" w:space="0" w:color="auto"/>
        <w:left w:val="none" w:sz="0" w:space="0" w:color="auto"/>
        <w:bottom w:val="none" w:sz="0" w:space="0" w:color="auto"/>
        <w:right w:val="none" w:sz="0" w:space="0" w:color="auto"/>
      </w:divBdr>
    </w:div>
    <w:div w:id="1974752708">
      <w:bodyDiv w:val="1"/>
      <w:marLeft w:val="0"/>
      <w:marRight w:val="0"/>
      <w:marTop w:val="0"/>
      <w:marBottom w:val="0"/>
      <w:divBdr>
        <w:top w:val="none" w:sz="0" w:space="0" w:color="auto"/>
        <w:left w:val="none" w:sz="0" w:space="0" w:color="auto"/>
        <w:bottom w:val="none" w:sz="0" w:space="0" w:color="auto"/>
        <w:right w:val="none" w:sz="0" w:space="0" w:color="auto"/>
      </w:divBdr>
    </w:div>
    <w:div w:id="1976134765">
      <w:bodyDiv w:val="1"/>
      <w:marLeft w:val="0"/>
      <w:marRight w:val="0"/>
      <w:marTop w:val="0"/>
      <w:marBottom w:val="0"/>
      <w:divBdr>
        <w:top w:val="none" w:sz="0" w:space="0" w:color="auto"/>
        <w:left w:val="none" w:sz="0" w:space="0" w:color="auto"/>
        <w:bottom w:val="none" w:sz="0" w:space="0" w:color="auto"/>
        <w:right w:val="none" w:sz="0" w:space="0" w:color="auto"/>
      </w:divBdr>
      <w:divsChild>
        <w:div w:id="1232232618">
          <w:marLeft w:val="0"/>
          <w:marRight w:val="0"/>
          <w:marTop w:val="0"/>
          <w:marBottom w:val="0"/>
          <w:divBdr>
            <w:top w:val="none" w:sz="0" w:space="0" w:color="auto"/>
            <w:left w:val="none" w:sz="0" w:space="0" w:color="auto"/>
            <w:bottom w:val="none" w:sz="0" w:space="0" w:color="auto"/>
            <w:right w:val="none" w:sz="0" w:space="0" w:color="auto"/>
          </w:divBdr>
          <w:divsChild>
            <w:div w:id="1271666054">
              <w:marLeft w:val="0"/>
              <w:marRight w:val="0"/>
              <w:marTop w:val="0"/>
              <w:marBottom w:val="0"/>
              <w:divBdr>
                <w:top w:val="none" w:sz="0" w:space="0" w:color="auto"/>
                <w:left w:val="none" w:sz="0" w:space="0" w:color="auto"/>
                <w:bottom w:val="none" w:sz="0" w:space="0" w:color="auto"/>
                <w:right w:val="none" w:sz="0" w:space="0" w:color="auto"/>
              </w:divBdr>
              <w:divsChild>
                <w:div w:id="104007259">
                  <w:marLeft w:val="0"/>
                  <w:marRight w:val="0"/>
                  <w:marTop w:val="0"/>
                  <w:marBottom w:val="0"/>
                  <w:divBdr>
                    <w:top w:val="none" w:sz="0" w:space="0" w:color="auto"/>
                    <w:left w:val="none" w:sz="0" w:space="0" w:color="auto"/>
                    <w:bottom w:val="none" w:sz="0" w:space="0" w:color="auto"/>
                    <w:right w:val="none" w:sz="0" w:space="0" w:color="auto"/>
                  </w:divBdr>
                  <w:divsChild>
                    <w:div w:id="20135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373566">
      <w:bodyDiv w:val="1"/>
      <w:marLeft w:val="0"/>
      <w:marRight w:val="0"/>
      <w:marTop w:val="0"/>
      <w:marBottom w:val="0"/>
      <w:divBdr>
        <w:top w:val="none" w:sz="0" w:space="0" w:color="auto"/>
        <w:left w:val="none" w:sz="0" w:space="0" w:color="auto"/>
        <w:bottom w:val="none" w:sz="0" w:space="0" w:color="auto"/>
        <w:right w:val="none" w:sz="0" w:space="0" w:color="auto"/>
      </w:divBdr>
      <w:divsChild>
        <w:div w:id="1850870948">
          <w:marLeft w:val="0"/>
          <w:marRight w:val="0"/>
          <w:marTop w:val="0"/>
          <w:marBottom w:val="0"/>
          <w:divBdr>
            <w:top w:val="none" w:sz="0" w:space="0" w:color="auto"/>
            <w:left w:val="none" w:sz="0" w:space="0" w:color="auto"/>
            <w:bottom w:val="none" w:sz="0" w:space="0" w:color="auto"/>
            <w:right w:val="none" w:sz="0" w:space="0" w:color="auto"/>
          </w:divBdr>
          <w:divsChild>
            <w:div w:id="1869373813">
              <w:marLeft w:val="0"/>
              <w:marRight w:val="0"/>
              <w:marTop w:val="0"/>
              <w:marBottom w:val="0"/>
              <w:divBdr>
                <w:top w:val="none" w:sz="0" w:space="0" w:color="auto"/>
                <w:left w:val="none" w:sz="0" w:space="0" w:color="auto"/>
                <w:bottom w:val="none" w:sz="0" w:space="0" w:color="auto"/>
                <w:right w:val="none" w:sz="0" w:space="0" w:color="auto"/>
              </w:divBdr>
              <w:divsChild>
                <w:div w:id="1784425094">
                  <w:marLeft w:val="180"/>
                  <w:marRight w:val="0"/>
                  <w:marTop w:val="0"/>
                  <w:marBottom w:val="0"/>
                  <w:divBdr>
                    <w:top w:val="none" w:sz="0" w:space="0" w:color="auto"/>
                    <w:left w:val="none" w:sz="0" w:space="0" w:color="auto"/>
                    <w:bottom w:val="none" w:sz="0" w:space="0" w:color="auto"/>
                    <w:right w:val="none" w:sz="0" w:space="0" w:color="auto"/>
                  </w:divBdr>
                  <w:divsChild>
                    <w:div w:id="90249584">
                      <w:marLeft w:val="2850"/>
                      <w:marRight w:val="0"/>
                      <w:marTop w:val="0"/>
                      <w:marBottom w:val="0"/>
                      <w:divBdr>
                        <w:top w:val="none" w:sz="0" w:space="0" w:color="auto"/>
                        <w:left w:val="none" w:sz="0" w:space="0" w:color="auto"/>
                        <w:bottom w:val="none" w:sz="0" w:space="0" w:color="auto"/>
                        <w:right w:val="none" w:sz="0" w:space="0" w:color="auto"/>
                      </w:divBdr>
                      <w:divsChild>
                        <w:div w:id="174379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951826">
      <w:bodyDiv w:val="1"/>
      <w:marLeft w:val="0"/>
      <w:marRight w:val="0"/>
      <w:marTop w:val="0"/>
      <w:marBottom w:val="0"/>
      <w:divBdr>
        <w:top w:val="none" w:sz="0" w:space="0" w:color="auto"/>
        <w:left w:val="none" w:sz="0" w:space="0" w:color="auto"/>
        <w:bottom w:val="none" w:sz="0" w:space="0" w:color="auto"/>
        <w:right w:val="none" w:sz="0" w:space="0" w:color="auto"/>
      </w:divBdr>
    </w:div>
    <w:div w:id="2060936750">
      <w:bodyDiv w:val="1"/>
      <w:marLeft w:val="0"/>
      <w:marRight w:val="0"/>
      <w:marTop w:val="0"/>
      <w:marBottom w:val="0"/>
      <w:divBdr>
        <w:top w:val="none" w:sz="0" w:space="0" w:color="auto"/>
        <w:left w:val="none" w:sz="0" w:space="0" w:color="auto"/>
        <w:bottom w:val="none" w:sz="0" w:space="0" w:color="auto"/>
        <w:right w:val="none" w:sz="0" w:space="0" w:color="auto"/>
      </w:divBdr>
    </w:div>
    <w:div w:id="2073497966">
      <w:bodyDiv w:val="1"/>
      <w:marLeft w:val="0"/>
      <w:marRight w:val="0"/>
      <w:marTop w:val="0"/>
      <w:marBottom w:val="0"/>
      <w:divBdr>
        <w:top w:val="none" w:sz="0" w:space="0" w:color="auto"/>
        <w:left w:val="none" w:sz="0" w:space="0" w:color="auto"/>
        <w:bottom w:val="none" w:sz="0" w:space="0" w:color="auto"/>
        <w:right w:val="none" w:sz="0" w:space="0" w:color="auto"/>
      </w:divBdr>
    </w:div>
    <w:div w:id="2085834063">
      <w:bodyDiv w:val="1"/>
      <w:marLeft w:val="0"/>
      <w:marRight w:val="0"/>
      <w:marTop w:val="0"/>
      <w:marBottom w:val="0"/>
      <w:divBdr>
        <w:top w:val="none" w:sz="0" w:space="0" w:color="auto"/>
        <w:left w:val="none" w:sz="0" w:space="0" w:color="auto"/>
        <w:bottom w:val="none" w:sz="0" w:space="0" w:color="auto"/>
        <w:right w:val="none" w:sz="0" w:space="0" w:color="auto"/>
      </w:divBdr>
    </w:div>
    <w:div w:id="2095086696">
      <w:bodyDiv w:val="1"/>
      <w:marLeft w:val="0"/>
      <w:marRight w:val="0"/>
      <w:marTop w:val="0"/>
      <w:marBottom w:val="0"/>
      <w:divBdr>
        <w:top w:val="none" w:sz="0" w:space="0" w:color="auto"/>
        <w:left w:val="none" w:sz="0" w:space="0" w:color="auto"/>
        <w:bottom w:val="none" w:sz="0" w:space="0" w:color="auto"/>
        <w:right w:val="none" w:sz="0" w:space="0" w:color="auto"/>
      </w:divBdr>
    </w:div>
    <w:div w:id="2097822994">
      <w:bodyDiv w:val="1"/>
      <w:marLeft w:val="0"/>
      <w:marRight w:val="0"/>
      <w:marTop w:val="0"/>
      <w:marBottom w:val="0"/>
      <w:divBdr>
        <w:top w:val="none" w:sz="0" w:space="0" w:color="auto"/>
        <w:left w:val="none" w:sz="0" w:space="0" w:color="auto"/>
        <w:bottom w:val="none" w:sz="0" w:space="0" w:color="auto"/>
        <w:right w:val="none" w:sz="0" w:space="0" w:color="auto"/>
      </w:divBdr>
      <w:divsChild>
        <w:div w:id="68232582">
          <w:marLeft w:val="547"/>
          <w:marRight w:val="0"/>
          <w:marTop w:val="134"/>
          <w:marBottom w:val="0"/>
          <w:divBdr>
            <w:top w:val="none" w:sz="0" w:space="0" w:color="auto"/>
            <w:left w:val="none" w:sz="0" w:space="0" w:color="auto"/>
            <w:bottom w:val="none" w:sz="0" w:space="0" w:color="auto"/>
            <w:right w:val="none" w:sz="0" w:space="0" w:color="auto"/>
          </w:divBdr>
        </w:div>
        <w:div w:id="78405661">
          <w:marLeft w:val="547"/>
          <w:marRight w:val="0"/>
          <w:marTop w:val="134"/>
          <w:marBottom w:val="0"/>
          <w:divBdr>
            <w:top w:val="none" w:sz="0" w:space="0" w:color="auto"/>
            <w:left w:val="none" w:sz="0" w:space="0" w:color="auto"/>
            <w:bottom w:val="none" w:sz="0" w:space="0" w:color="auto"/>
            <w:right w:val="none" w:sz="0" w:space="0" w:color="auto"/>
          </w:divBdr>
        </w:div>
        <w:div w:id="101918242">
          <w:marLeft w:val="547"/>
          <w:marRight w:val="0"/>
          <w:marTop w:val="134"/>
          <w:marBottom w:val="0"/>
          <w:divBdr>
            <w:top w:val="none" w:sz="0" w:space="0" w:color="auto"/>
            <w:left w:val="none" w:sz="0" w:space="0" w:color="auto"/>
            <w:bottom w:val="none" w:sz="0" w:space="0" w:color="auto"/>
            <w:right w:val="none" w:sz="0" w:space="0" w:color="auto"/>
          </w:divBdr>
        </w:div>
        <w:div w:id="177817545">
          <w:marLeft w:val="547"/>
          <w:marRight w:val="0"/>
          <w:marTop w:val="134"/>
          <w:marBottom w:val="0"/>
          <w:divBdr>
            <w:top w:val="none" w:sz="0" w:space="0" w:color="auto"/>
            <w:left w:val="none" w:sz="0" w:space="0" w:color="auto"/>
            <w:bottom w:val="none" w:sz="0" w:space="0" w:color="auto"/>
            <w:right w:val="none" w:sz="0" w:space="0" w:color="auto"/>
          </w:divBdr>
        </w:div>
        <w:div w:id="1549536707">
          <w:marLeft w:val="547"/>
          <w:marRight w:val="0"/>
          <w:marTop w:val="134"/>
          <w:marBottom w:val="0"/>
          <w:divBdr>
            <w:top w:val="none" w:sz="0" w:space="0" w:color="auto"/>
            <w:left w:val="none" w:sz="0" w:space="0" w:color="auto"/>
            <w:bottom w:val="none" w:sz="0" w:space="0" w:color="auto"/>
            <w:right w:val="none" w:sz="0" w:space="0" w:color="auto"/>
          </w:divBdr>
        </w:div>
      </w:divsChild>
    </w:div>
    <w:div w:id="2102682399">
      <w:bodyDiv w:val="1"/>
      <w:marLeft w:val="0"/>
      <w:marRight w:val="0"/>
      <w:marTop w:val="0"/>
      <w:marBottom w:val="0"/>
      <w:divBdr>
        <w:top w:val="none" w:sz="0" w:space="0" w:color="auto"/>
        <w:left w:val="none" w:sz="0" w:space="0" w:color="auto"/>
        <w:bottom w:val="none" w:sz="0" w:space="0" w:color="auto"/>
        <w:right w:val="none" w:sz="0" w:space="0" w:color="auto"/>
      </w:divBdr>
    </w:div>
    <w:div w:id="2108185712">
      <w:bodyDiv w:val="1"/>
      <w:marLeft w:val="0"/>
      <w:marRight w:val="0"/>
      <w:marTop w:val="0"/>
      <w:marBottom w:val="0"/>
      <w:divBdr>
        <w:top w:val="none" w:sz="0" w:space="0" w:color="auto"/>
        <w:left w:val="none" w:sz="0" w:space="0" w:color="auto"/>
        <w:bottom w:val="none" w:sz="0" w:space="0" w:color="auto"/>
        <w:right w:val="none" w:sz="0" w:space="0" w:color="auto"/>
      </w:divBdr>
    </w:div>
    <w:div w:id="2114742326">
      <w:bodyDiv w:val="1"/>
      <w:marLeft w:val="0"/>
      <w:marRight w:val="0"/>
      <w:marTop w:val="0"/>
      <w:marBottom w:val="0"/>
      <w:divBdr>
        <w:top w:val="none" w:sz="0" w:space="0" w:color="auto"/>
        <w:left w:val="none" w:sz="0" w:space="0" w:color="auto"/>
        <w:bottom w:val="none" w:sz="0" w:space="0" w:color="auto"/>
        <w:right w:val="none" w:sz="0" w:space="0" w:color="auto"/>
      </w:divBdr>
    </w:div>
    <w:div w:id="2124226809">
      <w:bodyDiv w:val="1"/>
      <w:marLeft w:val="0"/>
      <w:marRight w:val="0"/>
      <w:marTop w:val="0"/>
      <w:marBottom w:val="0"/>
      <w:divBdr>
        <w:top w:val="none" w:sz="0" w:space="0" w:color="auto"/>
        <w:left w:val="none" w:sz="0" w:space="0" w:color="auto"/>
        <w:bottom w:val="none" w:sz="0" w:space="0" w:color="auto"/>
        <w:right w:val="none" w:sz="0" w:space="0" w:color="auto"/>
      </w:divBdr>
    </w:div>
    <w:div w:id="2142385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hyperlink" Target="http://www.agroindustria.gob.ar/sitio/areas/ss_lecheria/estadisticas/" TargetMode="Externa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www.indec.gov.ar/nivel4_default.asp?id_tema_1=3&amp;id_tema_2=8&amp;id_tema_3=89" TargetMode="Externa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hyperlink" Target="http://www.agroindustria.gob.ar/site/agricultura/tabaco/02=produccion_y_mercados/01interno/produccion/evolucion2014.pdf" TargetMode="External"/><Relationship Id="rId45"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emf"/><Relationship Id="rId49" Type="http://schemas.openxmlformats.org/officeDocument/2006/relationships/customXml" Target="../customXml/item3.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www.cefp.gob.mx/portal_archivos/convocatoria/pfp2011/pfp2011-2.pdf" TargetMode="External"/><Relationship Id="rId52" Type="http://schemas.openxmlformats.org/officeDocument/2006/relationships/customXml" Target="../customXml/item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www.agroindustria.gob.ar/sitio/areas/ss_lecheria/estadisticas/_02_industrial/" TargetMode="External"/><Relationship Id="rId48"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www.dian.gov.co/descargas/servicios/OEEDocumentos/Estudios/Tributacionycompetitividad.pdf" TargetMode="External"/><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hyperlink" Target="http://www.agroindustria.gob.ar/site/agricultura/tabaco/02=produccion_y_mercados/01-interno/index.php"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www.agroindustria.gob.ar/site/agricultura/tabaco/02=produccion_y_mercados/01interno/produccion/evolucion2014.pdf" TargetMode="External"/><Relationship Id="rId3" Type="http://schemas.openxmlformats.org/officeDocument/2006/relationships/hyperlink" Target="http://www.cepal.org/cgibin/getprod.asp?xml=/ilpes/noticias/paginas/8/52958/P52958.xml&amp;base=/tpl/blanco.xsl" TargetMode="External"/><Relationship Id="rId7" Type="http://schemas.openxmlformats.org/officeDocument/2006/relationships/hyperlink" Target="http://www.agroindustria.gob.ar/sitio/areas/ss_lecheria/estadisticas/_03_precios/_archivos/PR004.php" TargetMode="External"/><Relationship Id="rId2" Type="http://schemas.openxmlformats.org/officeDocument/2006/relationships/hyperlink" Target="http://www.cefp.gob.mx/portal_archivos/convocatoria/pfp2011/pfp2011-2.pdf" TargetMode="External"/><Relationship Id="rId1" Type="http://schemas.openxmlformats.org/officeDocument/2006/relationships/hyperlink" Target="http://www.dian.gov.co/descargas/servicios/OEEDocumentos/Estudios/Tributacionycompetitividad.pdf" TargetMode="External"/><Relationship Id="rId6" Type="http://schemas.openxmlformats.org/officeDocument/2006/relationships/hyperlink" Target="http://www.agroindustria.gob.ar/sitio/areas/ss_lecheria/estadisticas/" TargetMode="External"/><Relationship Id="rId11" Type="http://schemas.openxmlformats.org/officeDocument/2006/relationships/hyperlink" Target="http://www.agroindustria.gob.ar/sitio/areas/ss_lecheria/estadisticas/_02_industrial/" TargetMode="External"/><Relationship Id="rId5" Type="http://schemas.openxmlformats.org/officeDocument/2006/relationships/hyperlink" Target="http://www.vialidad.gob.ar/sites/default/files/CostoOperativo%20por%20veh%C3%ADculo_0.pdf" TargetMode="External"/><Relationship Id="rId10" Type="http://schemas.openxmlformats.org/officeDocument/2006/relationships/hyperlink" Target="http://www.indec.gov.ar/nivel4_default.asp?id_tema_1=3&amp;id_tema_2=8&amp;id_tema_3=89" TargetMode="External"/><Relationship Id="rId4" Type="http://schemas.openxmlformats.org/officeDocument/2006/relationships/hyperlink" Target="http://www.enargas.gov.ar/MarcoLegal/Resoluciones/Data/R16_i3728.pdf" TargetMode="External"/><Relationship Id="rId9" Type="http://schemas.openxmlformats.org/officeDocument/2006/relationships/hyperlink" Target="http://www.agroindustria.gob.ar/site/agricultura/tabaco/02=produccion_y_mercados/01-interno/index.ph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gasoducto%20varga%20nuev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_trad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28432955781516"/>
          <c:y val="5.7396295330028699E-2"/>
          <c:w val="0.71483570344094949"/>
          <c:h val="0.78718957383522592"/>
        </c:manualLayout>
      </c:layout>
      <c:scatterChart>
        <c:scatterStyle val="lineMarker"/>
        <c:varyColors val="0"/>
        <c:ser>
          <c:idx val="0"/>
          <c:order val="0"/>
          <c:tx>
            <c:strRef>
              <c:f>'Beneficio Hogares'!$H$24</c:f>
              <c:strCache>
                <c:ptCount val="1"/>
                <c:pt idx="0">
                  <c:v>Demanda</c:v>
                </c:pt>
              </c:strCache>
            </c:strRef>
          </c:tx>
          <c:spPr>
            <a:ln w="19050" cap="rnd">
              <a:solidFill>
                <a:schemeClr val="accent1"/>
              </a:solidFill>
              <a:round/>
            </a:ln>
            <a:effectLst/>
          </c:spPr>
          <c:marker>
            <c:symbol val="none"/>
          </c:marker>
          <c:xVal>
            <c:numRef>
              <c:f>'Beneficio Hogares'!$I$25:$I$28</c:f>
              <c:numCache>
                <c:formatCode>0</c:formatCode>
                <c:ptCount val="4"/>
                <c:pt idx="0">
                  <c:v>107.70481677805947</c:v>
                </c:pt>
                <c:pt idx="1">
                  <c:v>99.2</c:v>
                </c:pt>
                <c:pt idx="2">
                  <c:v>86.8</c:v>
                </c:pt>
                <c:pt idx="3">
                  <c:v>0</c:v>
                </c:pt>
              </c:numCache>
            </c:numRef>
          </c:xVal>
          <c:yVal>
            <c:numRef>
              <c:f>'Beneficio Hogares'!$H$25:$H$28</c:f>
              <c:numCache>
                <c:formatCode>0.00</c:formatCode>
                <c:ptCount val="4"/>
                <c:pt idx="0">
                  <c:v>0</c:v>
                </c:pt>
                <c:pt idx="1">
                  <c:v>2.79</c:v>
                </c:pt>
                <c:pt idx="2">
                  <c:v>6.8578124999999988</c:v>
                </c:pt>
                <c:pt idx="3">
                  <c:v>35.332499999999982</c:v>
                </c:pt>
              </c:numCache>
            </c:numRef>
          </c:yVal>
          <c:smooth val="0"/>
          <c:extLst xmlns:c16r2="http://schemas.microsoft.com/office/drawing/2015/06/chart">
            <c:ext xmlns:c16="http://schemas.microsoft.com/office/drawing/2014/chart" uri="{C3380CC4-5D6E-409C-BE32-E72D297353CC}">
              <c16:uniqueId val="{00000000-17CD-4865-B512-F60917E41091}"/>
            </c:ext>
          </c:extLst>
        </c:ser>
        <c:dLbls>
          <c:showLegendKey val="0"/>
          <c:showVal val="0"/>
          <c:showCatName val="0"/>
          <c:showSerName val="0"/>
          <c:showPercent val="0"/>
          <c:showBubbleSize val="0"/>
        </c:dLbls>
        <c:axId val="220615808"/>
        <c:axId val="220617728"/>
      </c:scatterChart>
      <c:valAx>
        <c:axId val="220615808"/>
        <c:scaling>
          <c:orientation val="minMax"/>
        </c:scaling>
        <c:delete val="0"/>
        <c:axPos val="b"/>
        <c:title>
          <c:tx>
            <c:rich>
              <a:bodyPr/>
              <a:lstStyle/>
              <a:p>
                <a:pPr>
                  <a:defRPr lang="es-ES"/>
                </a:pPr>
                <a:r>
                  <a:rPr lang="es-AR"/>
                  <a:t>m3/mes</a:t>
                </a:r>
              </a:p>
            </c:rich>
          </c:tx>
          <c:layout/>
          <c:overlay val="0"/>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ES_tradnl"/>
          </a:p>
        </c:txPr>
        <c:crossAx val="220617728"/>
        <c:crosses val="autoZero"/>
        <c:crossBetween val="midCat"/>
      </c:valAx>
      <c:valAx>
        <c:axId val="220617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lang="es-ES"/>
                </a:pPr>
                <a:r>
                  <a:rPr lang="es-AR"/>
                  <a:t>$/m3</a:t>
                </a:r>
              </a:p>
            </c:rich>
          </c:tx>
          <c:layout/>
          <c:overlay val="0"/>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ES_tradnl"/>
          </a:p>
        </c:txPr>
        <c:crossAx val="220615808"/>
        <c:crosses val="autoZero"/>
        <c:crossBetween val="midCat"/>
      </c:valAx>
      <c:spPr>
        <a:noFill/>
        <a:ln>
          <a:noFill/>
        </a:ln>
        <a:effectLst/>
      </c:spPr>
    </c:plotArea>
    <c:legend>
      <c:legendPos val="r"/>
      <c:layout>
        <c:manualLayout>
          <c:xMode val="edge"/>
          <c:yMode val="edge"/>
          <c:x val="0.4903421706283343"/>
          <c:y val="0.43201866920300497"/>
          <c:w val="0.24127309405633085"/>
          <c:h val="9.4341203829796147E-2"/>
        </c:manualLayout>
      </c:layout>
      <c:overlay val="0"/>
      <c:txPr>
        <a:bodyPr/>
        <a:lstStyle/>
        <a:p>
          <a:pPr>
            <a:defRPr lang="es-ES"/>
          </a:pPr>
          <a:endParaRPr lang="es-ES_trad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_tradn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f0be0ad-272c-4e7f-a157-3f0abda6cde5" ContentTypeId="0x01010046CF21643EE8D14686A648AA6DAD0892" PreviousValue="false"/>
</file>

<file path=customXml/item3.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D00F38315096844690D364CD43601F89" ma:contentTypeVersion="0" ma:contentTypeDescription="A content type to manage public (operations) IDB documents" ma:contentTypeScope="" ma:versionID="2e52514f5d31920286a596119a061ec8">
  <xsd:schema xmlns:xsd="http://www.w3.org/2001/XMLSchema" xmlns:xs="http://www.w3.org/2001/XMLSchema" xmlns:p="http://schemas.microsoft.com/office/2006/metadata/properties" xmlns:ns2="9c571b2f-e523-4ab2-ba2e-09e151a03ef4" targetNamespace="http://schemas.microsoft.com/office/2006/metadata/properties" ma:root="true" ma:fieldsID="6bfe46e4c83422ab72b735076e7988d3"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7e3e8b7-b0c0-4a85-90a4-39ae7e6b1e0c}" ma:internalName="TaxCatchAll" ma:showField="CatchAllData" ma:web="1920e0c9-23ea-4319-93c5-bce2be32d0d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7e3e8b7-b0c0-4a85-90a4-39ae7e6b1e0c}" ma:internalName="TaxCatchAllLabel" ma:readOnly="true" ma:showField="CatchAllDataLabel" ma:web="1920e0c9-23ea-4319-93c5-bce2be32d0d4">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9c571b2f-e523-4ab2-ba2e-09e151a03ef4" xsi:nil="true"/>
    <Abstract xmlns="9c571b2f-e523-4ab2-ba2e-09e151a03ef4" xsi:nil="true"/>
    <Disclosure_x0020_Activity xmlns="9c571b2f-e523-4ab2-ba2e-09e151a03ef4">Loan Proposal</Disclosure_x0020_Activity>
    <Key_x0020_Document xmlns="9c571b2f-e523-4ab2-ba2e-09e151a03ef4">false</Key_x0020_Document>
    <Division_x0020_or_x0020_Unit xmlns="9c571b2f-e523-4ab2-ba2e-09e151a03ef4">IFD/FMM</Division_x0020_or_x0020_Unit>
    <Other_x0020_Author xmlns="9c571b2f-e523-4ab2-ba2e-09e151a03ef4" xsi:nil="true"/>
    <Region xmlns="9c571b2f-e523-4ab2-ba2e-09e151a03ef4" xsi:nil="true"/>
    <IDBDocs_x0020_Number xmlns="9c571b2f-e523-4ab2-ba2e-09e151a03ef4">40504531</IDBDocs_x0020_Number>
    <Document_x0020_Author xmlns="9c571b2f-e523-4ab2-ba2e-09e151a03ef4">Pineda Ayerbe, Emilio Inigo</Document_x0020_Author>
    <Publication_x0020_Type xmlns="9c571b2f-e523-4ab2-ba2e-09e151a03ef4" xsi:nil="true"/>
    <Operation_x0020_Type xmlns="9c571b2f-e523-4ab2-ba2e-09e151a03ef4" xsi:nil="true"/>
    <TaxCatchAll xmlns="9c571b2f-e523-4ab2-ba2e-09e151a03ef4">
      <Value>2</Value>
      <Value>4</Value>
    </TaxCatchAll>
    <Fiscal_x0020_Year_x0020_IDB xmlns="9c571b2f-e523-4ab2-ba2e-09e151a03ef4">2016</Fiscal_x0020_Year_x0020_IDB>
    <Issue_x0020_Date xmlns="9c571b2f-e523-4ab2-ba2e-09e151a03ef4" xsi:nil="true"/>
    <m555d3814edf4817b4410a4e57f94ce9 xmlns="9c571b2f-e523-4ab2-ba2e-09e151a03ef4">
      <Terms xmlns="http://schemas.microsoft.com/office/infopath/2007/PartnerControls"/>
    </m555d3814edf4817b4410a4e57f94ce9>
    <Project_x0020_Number xmlns="9c571b2f-e523-4ab2-ba2e-09e151a03ef4">AR-L1248</Project_x0020_Number>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o5138a91267540169645e33d09c9ddc6>
    <Package_x0020_Code xmlns="9c571b2f-e523-4ab2-ba2e-09e151a03ef4" xsi:nil="true"/>
    <Migration_x0020_Info xmlns="9c571b2f-e523-4ab2-ba2e-09e151a03ef4">&lt;Data&gt;&lt;APPLICATION&gt;MS WORD&lt;/APPLICATION&gt;&lt;USER_STAGE&gt;Loan Proposal&lt;/USER_STAGE&gt;&lt;PD_OBJ_TYPE&gt;0&lt;/PD_OBJ_TYPE&gt;&lt;MAKERECORD&gt;N&lt;/MAKERECORD&gt;&lt;/Data&gt;</Migration_x0020_Info>
    <Approval_x0020_Number xmlns="9c571b2f-e523-4ab2-ba2e-09e151a03ef4" xsi:nil="true"/>
    <Access_x0020_to_x0020_Information_x00a0_Policy xmlns="9c571b2f-e523-4ab2-ba2e-09e151a03ef4">Public</Access_x0020_to_x0020_Information_x00a0_Policy>
    <Business_x0020_Area xmlns="9c571b2f-e523-4ab2-ba2e-09e151a03ef4" xsi:nil="true"/>
    <SISCOR_x0020_Number xmlns="9c571b2f-e523-4ab2-ba2e-09e151a03ef4" xsi:nil="true"/>
    <Webtopic xmlns="9c571b2f-e523-4ab2-ba2e-09e151a03ef4">RM-FIS</Webtopic>
    <Identifier xmlns="9c571b2f-e523-4ab2-ba2e-09e151a03ef4"> TECFILE</Identifier>
    <Publishing_x0020_House xmlns="9c571b2f-e523-4ab2-ba2e-09e151a03ef4" xsi:nil="true"/>
    <Document_x0020_Language_x0020_IDB xmlns="9c571b2f-e523-4ab2-ba2e-09e151a03ef4">Spanish</Document_x0020_Language_x0020_IDB>
    <KP_x0020_Topics xmlns="9c571b2f-e523-4ab2-ba2e-09e151a03ef4" xsi:nil="true"/>
    <Phase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fd0e48b6a66848a9885f717e5bbf40c4>
    <e559ffcc31d34167856647188be35015 xmlns="9c571b2f-e523-4ab2-ba2e-09e151a03ef4">
      <Terms xmlns="http://schemas.microsoft.com/office/infopath/2007/PartnerControls"/>
    </e559ffcc31d34167856647188be35015>
    <c456731dbc904a5fb605ec556c33e883 xmlns="9c571b2f-e523-4ab2-ba2e-09e151a03ef4">
      <Terms xmlns="http://schemas.microsoft.com/office/infopath/2007/PartnerControls"/>
    </c456731dbc904a5fb605ec556c33e883>
    <Editor1 xmlns="9c571b2f-e523-4ab2-ba2e-09e151a03ef4" xsi:nil="true"/>
    <j8b96605ee2f4c4e988849e658583fee xmlns="9c571b2f-e523-4ab2-ba2e-09e151a03ef4">
      <Terms xmlns="http://schemas.microsoft.com/office/infopath/2007/PartnerControls"/>
    </j8b96605ee2f4c4e988849e658583fee>
  </documentManagement>
</p:properties>
</file>

<file path=customXml/itemProps1.xml><?xml version="1.0" encoding="utf-8"?>
<ds:datastoreItem xmlns:ds="http://schemas.openxmlformats.org/officeDocument/2006/customXml" ds:itemID="{91F501B9-5404-4600-9AD2-9BBBFDB3F695}"/>
</file>

<file path=customXml/itemProps2.xml><?xml version="1.0" encoding="utf-8"?>
<ds:datastoreItem xmlns:ds="http://schemas.openxmlformats.org/officeDocument/2006/customXml" ds:itemID="{5313A1B6-5A73-4020-A693-11C8E4F897B4}"/>
</file>

<file path=customXml/itemProps3.xml><?xml version="1.0" encoding="utf-8"?>
<ds:datastoreItem xmlns:ds="http://schemas.openxmlformats.org/officeDocument/2006/customXml" ds:itemID="{3AF89444-9226-454C-90DB-E6B1A680BD8F}"/>
</file>

<file path=customXml/itemProps4.xml><?xml version="1.0" encoding="utf-8"?>
<ds:datastoreItem xmlns:ds="http://schemas.openxmlformats.org/officeDocument/2006/customXml" ds:itemID="{E3BBD62A-C8AF-43D6-8384-43E2CA36AF42}"/>
</file>

<file path=customXml/itemProps5.xml><?xml version="1.0" encoding="utf-8"?>
<ds:datastoreItem xmlns:ds="http://schemas.openxmlformats.org/officeDocument/2006/customXml" ds:itemID="{98CAD678-769D-4DC5-A15A-7FAB946AE0AB}"/>
</file>

<file path=customXml/itemProps6.xml><?xml version="1.0" encoding="utf-8"?>
<ds:datastoreItem xmlns:ds="http://schemas.openxmlformats.org/officeDocument/2006/customXml" ds:itemID="{BB8C11C2-F218-469D-A49E-6EB91AD74EB4}"/>
</file>

<file path=docProps/app.xml><?xml version="1.0" encoding="utf-8"?>
<Properties xmlns="http://schemas.openxmlformats.org/officeDocument/2006/extended-properties" xmlns:vt="http://schemas.openxmlformats.org/officeDocument/2006/docPropsVTypes">
  <Template>Normal.dotm</Template>
  <TotalTime>32</TotalTime>
  <Pages>38</Pages>
  <Words>9641</Words>
  <Characters>53027</Characters>
  <Application>Microsoft Office Word</Application>
  <DocSecurity>0</DocSecurity>
  <Lines>441</Lines>
  <Paragraphs>125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CC Toolkit</vt:lpstr>
      <vt:lpstr>CC Toolkit</vt:lpstr>
    </vt:vector>
  </TitlesOfParts>
  <Company>Banco Ciudad</Company>
  <LinksUpToDate>false</LinksUpToDate>
  <CharactersWithSpaces>62543</CharactersWithSpaces>
  <SharedDoc>false</SharedDoc>
  <HLinks>
    <vt:vector size="162" baseType="variant">
      <vt:variant>
        <vt:i4>2031678</vt:i4>
      </vt:variant>
      <vt:variant>
        <vt:i4>158</vt:i4>
      </vt:variant>
      <vt:variant>
        <vt:i4>0</vt:i4>
      </vt:variant>
      <vt:variant>
        <vt:i4>5</vt:i4>
      </vt:variant>
      <vt:variant>
        <vt:lpwstr/>
      </vt:variant>
      <vt:variant>
        <vt:lpwstr>_Toc298831783</vt:lpwstr>
      </vt:variant>
      <vt:variant>
        <vt:i4>2031678</vt:i4>
      </vt:variant>
      <vt:variant>
        <vt:i4>152</vt:i4>
      </vt:variant>
      <vt:variant>
        <vt:i4>0</vt:i4>
      </vt:variant>
      <vt:variant>
        <vt:i4>5</vt:i4>
      </vt:variant>
      <vt:variant>
        <vt:lpwstr/>
      </vt:variant>
      <vt:variant>
        <vt:lpwstr>_Toc298831782</vt:lpwstr>
      </vt:variant>
      <vt:variant>
        <vt:i4>2031678</vt:i4>
      </vt:variant>
      <vt:variant>
        <vt:i4>146</vt:i4>
      </vt:variant>
      <vt:variant>
        <vt:i4>0</vt:i4>
      </vt:variant>
      <vt:variant>
        <vt:i4>5</vt:i4>
      </vt:variant>
      <vt:variant>
        <vt:lpwstr/>
      </vt:variant>
      <vt:variant>
        <vt:lpwstr>_Toc298831781</vt:lpwstr>
      </vt:variant>
      <vt:variant>
        <vt:i4>2031678</vt:i4>
      </vt:variant>
      <vt:variant>
        <vt:i4>140</vt:i4>
      </vt:variant>
      <vt:variant>
        <vt:i4>0</vt:i4>
      </vt:variant>
      <vt:variant>
        <vt:i4>5</vt:i4>
      </vt:variant>
      <vt:variant>
        <vt:lpwstr/>
      </vt:variant>
      <vt:variant>
        <vt:lpwstr>_Toc298831780</vt:lpwstr>
      </vt:variant>
      <vt:variant>
        <vt:i4>1048638</vt:i4>
      </vt:variant>
      <vt:variant>
        <vt:i4>134</vt:i4>
      </vt:variant>
      <vt:variant>
        <vt:i4>0</vt:i4>
      </vt:variant>
      <vt:variant>
        <vt:i4>5</vt:i4>
      </vt:variant>
      <vt:variant>
        <vt:lpwstr/>
      </vt:variant>
      <vt:variant>
        <vt:lpwstr>_Toc298831779</vt:lpwstr>
      </vt:variant>
      <vt:variant>
        <vt:i4>1048638</vt:i4>
      </vt:variant>
      <vt:variant>
        <vt:i4>128</vt:i4>
      </vt:variant>
      <vt:variant>
        <vt:i4>0</vt:i4>
      </vt:variant>
      <vt:variant>
        <vt:i4>5</vt:i4>
      </vt:variant>
      <vt:variant>
        <vt:lpwstr/>
      </vt:variant>
      <vt:variant>
        <vt:lpwstr>_Toc298831778</vt:lpwstr>
      </vt:variant>
      <vt:variant>
        <vt:i4>1048638</vt:i4>
      </vt:variant>
      <vt:variant>
        <vt:i4>122</vt:i4>
      </vt:variant>
      <vt:variant>
        <vt:i4>0</vt:i4>
      </vt:variant>
      <vt:variant>
        <vt:i4>5</vt:i4>
      </vt:variant>
      <vt:variant>
        <vt:lpwstr/>
      </vt:variant>
      <vt:variant>
        <vt:lpwstr>_Toc298831777</vt:lpwstr>
      </vt:variant>
      <vt:variant>
        <vt:i4>1048638</vt:i4>
      </vt:variant>
      <vt:variant>
        <vt:i4>116</vt:i4>
      </vt:variant>
      <vt:variant>
        <vt:i4>0</vt:i4>
      </vt:variant>
      <vt:variant>
        <vt:i4>5</vt:i4>
      </vt:variant>
      <vt:variant>
        <vt:lpwstr/>
      </vt:variant>
      <vt:variant>
        <vt:lpwstr>_Toc298831776</vt:lpwstr>
      </vt:variant>
      <vt:variant>
        <vt:i4>1048638</vt:i4>
      </vt:variant>
      <vt:variant>
        <vt:i4>110</vt:i4>
      </vt:variant>
      <vt:variant>
        <vt:i4>0</vt:i4>
      </vt:variant>
      <vt:variant>
        <vt:i4>5</vt:i4>
      </vt:variant>
      <vt:variant>
        <vt:lpwstr/>
      </vt:variant>
      <vt:variant>
        <vt:lpwstr>_Toc298831775</vt:lpwstr>
      </vt:variant>
      <vt:variant>
        <vt:i4>1048638</vt:i4>
      </vt:variant>
      <vt:variant>
        <vt:i4>104</vt:i4>
      </vt:variant>
      <vt:variant>
        <vt:i4>0</vt:i4>
      </vt:variant>
      <vt:variant>
        <vt:i4>5</vt:i4>
      </vt:variant>
      <vt:variant>
        <vt:lpwstr/>
      </vt:variant>
      <vt:variant>
        <vt:lpwstr>_Toc298831774</vt:lpwstr>
      </vt:variant>
      <vt:variant>
        <vt:i4>1048638</vt:i4>
      </vt:variant>
      <vt:variant>
        <vt:i4>98</vt:i4>
      </vt:variant>
      <vt:variant>
        <vt:i4>0</vt:i4>
      </vt:variant>
      <vt:variant>
        <vt:i4>5</vt:i4>
      </vt:variant>
      <vt:variant>
        <vt:lpwstr/>
      </vt:variant>
      <vt:variant>
        <vt:lpwstr>_Toc298831773</vt:lpwstr>
      </vt:variant>
      <vt:variant>
        <vt:i4>1048638</vt:i4>
      </vt:variant>
      <vt:variant>
        <vt:i4>92</vt:i4>
      </vt:variant>
      <vt:variant>
        <vt:i4>0</vt:i4>
      </vt:variant>
      <vt:variant>
        <vt:i4>5</vt:i4>
      </vt:variant>
      <vt:variant>
        <vt:lpwstr/>
      </vt:variant>
      <vt:variant>
        <vt:lpwstr>_Toc298831772</vt:lpwstr>
      </vt:variant>
      <vt:variant>
        <vt:i4>1048638</vt:i4>
      </vt:variant>
      <vt:variant>
        <vt:i4>86</vt:i4>
      </vt:variant>
      <vt:variant>
        <vt:i4>0</vt:i4>
      </vt:variant>
      <vt:variant>
        <vt:i4>5</vt:i4>
      </vt:variant>
      <vt:variant>
        <vt:lpwstr/>
      </vt:variant>
      <vt:variant>
        <vt:lpwstr>_Toc298831771</vt:lpwstr>
      </vt:variant>
      <vt:variant>
        <vt:i4>1048638</vt:i4>
      </vt:variant>
      <vt:variant>
        <vt:i4>80</vt:i4>
      </vt:variant>
      <vt:variant>
        <vt:i4>0</vt:i4>
      </vt:variant>
      <vt:variant>
        <vt:i4>5</vt:i4>
      </vt:variant>
      <vt:variant>
        <vt:lpwstr/>
      </vt:variant>
      <vt:variant>
        <vt:lpwstr>_Toc298831770</vt:lpwstr>
      </vt:variant>
      <vt:variant>
        <vt:i4>1114174</vt:i4>
      </vt:variant>
      <vt:variant>
        <vt:i4>74</vt:i4>
      </vt:variant>
      <vt:variant>
        <vt:i4>0</vt:i4>
      </vt:variant>
      <vt:variant>
        <vt:i4>5</vt:i4>
      </vt:variant>
      <vt:variant>
        <vt:lpwstr/>
      </vt:variant>
      <vt:variant>
        <vt:lpwstr>_Toc298831769</vt:lpwstr>
      </vt:variant>
      <vt:variant>
        <vt:i4>1114174</vt:i4>
      </vt:variant>
      <vt:variant>
        <vt:i4>68</vt:i4>
      </vt:variant>
      <vt:variant>
        <vt:i4>0</vt:i4>
      </vt:variant>
      <vt:variant>
        <vt:i4>5</vt:i4>
      </vt:variant>
      <vt:variant>
        <vt:lpwstr/>
      </vt:variant>
      <vt:variant>
        <vt:lpwstr>_Toc298831768</vt:lpwstr>
      </vt:variant>
      <vt:variant>
        <vt:i4>1114174</vt:i4>
      </vt:variant>
      <vt:variant>
        <vt:i4>62</vt:i4>
      </vt:variant>
      <vt:variant>
        <vt:i4>0</vt:i4>
      </vt:variant>
      <vt:variant>
        <vt:i4>5</vt:i4>
      </vt:variant>
      <vt:variant>
        <vt:lpwstr/>
      </vt:variant>
      <vt:variant>
        <vt:lpwstr>_Toc298831767</vt:lpwstr>
      </vt:variant>
      <vt:variant>
        <vt:i4>1114174</vt:i4>
      </vt:variant>
      <vt:variant>
        <vt:i4>56</vt:i4>
      </vt:variant>
      <vt:variant>
        <vt:i4>0</vt:i4>
      </vt:variant>
      <vt:variant>
        <vt:i4>5</vt:i4>
      </vt:variant>
      <vt:variant>
        <vt:lpwstr/>
      </vt:variant>
      <vt:variant>
        <vt:lpwstr>_Toc298831766</vt:lpwstr>
      </vt:variant>
      <vt:variant>
        <vt:i4>1114174</vt:i4>
      </vt:variant>
      <vt:variant>
        <vt:i4>50</vt:i4>
      </vt:variant>
      <vt:variant>
        <vt:i4>0</vt:i4>
      </vt:variant>
      <vt:variant>
        <vt:i4>5</vt:i4>
      </vt:variant>
      <vt:variant>
        <vt:lpwstr/>
      </vt:variant>
      <vt:variant>
        <vt:lpwstr>_Toc298831765</vt:lpwstr>
      </vt:variant>
      <vt:variant>
        <vt:i4>1114174</vt:i4>
      </vt:variant>
      <vt:variant>
        <vt:i4>44</vt:i4>
      </vt:variant>
      <vt:variant>
        <vt:i4>0</vt:i4>
      </vt:variant>
      <vt:variant>
        <vt:i4>5</vt:i4>
      </vt:variant>
      <vt:variant>
        <vt:lpwstr/>
      </vt:variant>
      <vt:variant>
        <vt:lpwstr>_Toc298831764</vt:lpwstr>
      </vt:variant>
      <vt:variant>
        <vt:i4>1114174</vt:i4>
      </vt:variant>
      <vt:variant>
        <vt:i4>38</vt:i4>
      </vt:variant>
      <vt:variant>
        <vt:i4>0</vt:i4>
      </vt:variant>
      <vt:variant>
        <vt:i4>5</vt:i4>
      </vt:variant>
      <vt:variant>
        <vt:lpwstr/>
      </vt:variant>
      <vt:variant>
        <vt:lpwstr>_Toc298831763</vt:lpwstr>
      </vt:variant>
      <vt:variant>
        <vt:i4>1114174</vt:i4>
      </vt:variant>
      <vt:variant>
        <vt:i4>32</vt:i4>
      </vt:variant>
      <vt:variant>
        <vt:i4>0</vt:i4>
      </vt:variant>
      <vt:variant>
        <vt:i4>5</vt:i4>
      </vt:variant>
      <vt:variant>
        <vt:lpwstr/>
      </vt:variant>
      <vt:variant>
        <vt:lpwstr>_Toc298831762</vt:lpwstr>
      </vt:variant>
      <vt:variant>
        <vt:i4>1114174</vt:i4>
      </vt:variant>
      <vt:variant>
        <vt:i4>26</vt:i4>
      </vt:variant>
      <vt:variant>
        <vt:i4>0</vt:i4>
      </vt:variant>
      <vt:variant>
        <vt:i4>5</vt:i4>
      </vt:variant>
      <vt:variant>
        <vt:lpwstr/>
      </vt:variant>
      <vt:variant>
        <vt:lpwstr>_Toc298831761</vt:lpwstr>
      </vt:variant>
      <vt:variant>
        <vt:i4>1114174</vt:i4>
      </vt:variant>
      <vt:variant>
        <vt:i4>20</vt:i4>
      </vt:variant>
      <vt:variant>
        <vt:i4>0</vt:i4>
      </vt:variant>
      <vt:variant>
        <vt:i4>5</vt:i4>
      </vt:variant>
      <vt:variant>
        <vt:lpwstr/>
      </vt:variant>
      <vt:variant>
        <vt:lpwstr>_Toc298831760</vt:lpwstr>
      </vt:variant>
      <vt:variant>
        <vt:i4>1179710</vt:i4>
      </vt:variant>
      <vt:variant>
        <vt:i4>14</vt:i4>
      </vt:variant>
      <vt:variant>
        <vt:i4>0</vt:i4>
      </vt:variant>
      <vt:variant>
        <vt:i4>5</vt:i4>
      </vt:variant>
      <vt:variant>
        <vt:lpwstr/>
      </vt:variant>
      <vt:variant>
        <vt:lpwstr>_Toc298831759</vt:lpwstr>
      </vt:variant>
      <vt:variant>
        <vt:i4>1179710</vt:i4>
      </vt:variant>
      <vt:variant>
        <vt:i4>8</vt:i4>
      </vt:variant>
      <vt:variant>
        <vt:i4>0</vt:i4>
      </vt:variant>
      <vt:variant>
        <vt:i4>5</vt:i4>
      </vt:variant>
      <vt:variant>
        <vt:lpwstr/>
      </vt:variant>
      <vt:variant>
        <vt:lpwstr>_Toc298831758</vt:lpwstr>
      </vt:variant>
      <vt:variant>
        <vt:i4>1179710</vt:i4>
      </vt:variant>
      <vt:variant>
        <vt:i4>2</vt:i4>
      </vt:variant>
      <vt:variant>
        <vt:i4>0</vt:i4>
      </vt:variant>
      <vt:variant>
        <vt:i4>5</vt:i4>
      </vt:variant>
      <vt:variant>
        <vt:lpwstr/>
      </vt:variant>
      <vt:variant>
        <vt:lpwstr>_Toc298831757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Económico (AR-L1248)</dc:title>
  <dc:creator>JMENDOZA</dc:creator>
  <cp:lastModifiedBy>Marianac</cp:lastModifiedBy>
  <cp:revision>6</cp:revision>
  <cp:lastPrinted>2016-09-26T15:14:00Z</cp:lastPrinted>
  <dcterms:created xsi:type="dcterms:W3CDTF">2016-09-26T15:28:00Z</dcterms:created>
  <dcterms:modified xsi:type="dcterms:W3CDTF">2016-10-06T23:14:00Z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
  </property>
  <property fmtid="{D5CDD505-2E9C-101B-9397-08002B2CF9AE}" pid="4" name="ContentTypeId">
    <vt:lpwstr>0x01010046CF21643EE8D14686A648AA6DAD089200D00F38315096844690D364CD43601F89</vt:lpwstr>
  </property>
  <property fmtid="{D5CDD505-2E9C-101B-9397-08002B2CF9AE}" pid="5" name="TaxKeywordTaxHTField">
    <vt:lpwstr/>
  </property>
  <property fmtid="{D5CDD505-2E9C-101B-9397-08002B2CF9AE}" pid="6" name="Series Operations IDB">
    <vt:lpwstr>2;#Unclassified|a6dff32e-d477-44cd-a56b-85efe9e0a56c</vt:lpwstr>
  </property>
  <property fmtid="{D5CDD505-2E9C-101B-9397-08002B2CF9AE}" pid="7" name="Sub-Sector">
    <vt:lpwstr/>
  </property>
  <property fmtid="{D5CDD505-2E9C-101B-9397-08002B2CF9AE}" pid="8" name="Country">
    <vt:lpwstr/>
  </property>
  <property fmtid="{D5CDD505-2E9C-101B-9397-08002B2CF9AE}" pid="9" name="Fund IDB">
    <vt:lpwstr/>
  </property>
  <property fmtid="{D5CDD505-2E9C-101B-9397-08002B2CF9AE}" pid="10" name="Series_x0020_Operations_x0020_IDB">
    <vt:lpwstr>2;#Unclassified|a6dff32e-d477-44cd-a56b-85efe9e0a56c</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Function Operations IDB">
    <vt:lpwstr>4;#IDBDocs|cca77002-e150-4b2d-ab1f-1d7a7cdcae16</vt:lpwstr>
  </property>
</Properties>
</file>