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87" w:rsidRPr="000174B0" w:rsidRDefault="002D2187" w:rsidP="00E45F51">
      <w:pPr>
        <w:jc w:val="center"/>
        <w:rPr>
          <w:rFonts w:ascii="Arial" w:hAnsi="Arial" w:cs="Arial"/>
          <w:b/>
          <w:sz w:val="26"/>
          <w:szCs w:val="26"/>
          <w:lang w:val="en-US"/>
        </w:rPr>
      </w:pPr>
      <w:bookmarkStart w:id="0" w:name="_GoBack"/>
      <w:bookmarkEnd w:id="0"/>
      <w:r w:rsidRPr="000174B0">
        <w:rPr>
          <w:rFonts w:ascii="Arial" w:hAnsi="Arial" w:cs="Arial"/>
          <w:b/>
          <w:sz w:val="26"/>
          <w:szCs w:val="26"/>
          <w:lang w:val="en-US"/>
        </w:rPr>
        <w:t>Reference terms</w:t>
      </w:r>
    </w:p>
    <w:p w:rsidR="00FB0DA2" w:rsidRDefault="00851C9F" w:rsidP="00FB0DA2">
      <w:pPr>
        <w:jc w:val="center"/>
        <w:rPr>
          <w:rFonts w:ascii="Arial" w:hAnsi="Arial" w:cs="Arial"/>
          <w:b/>
          <w:sz w:val="26"/>
          <w:szCs w:val="26"/>
          <w:lang w:val="en-US"/>
        </w:rPr>
      </w:pPr>
      <w:r w:rsidRPr="00851C9F">
        <w:rPr>
          <w:rFonts w:ascii="Arial" w:hAnsi="Arial" w:cs="Arial"/>
          <w:b/>
          <w:sz w:val="26"/>
          <w:szCs w:val="26"/>
          <w:lang w:val="en-US"/>
        </w:rPr>
        <w:t>Chronic Disease and Poverty - Haiti Case Study</w:t>
      </w:r>
      <w:r w:rsidR="00FB0DA2">
        <w:rPr>
          <w:rFonts w:ascii="Arial" w:hAnsi="Arial" w:cs="Arial"/>
          <w:b/>
          <w:sz w:val="26"/>
          <w:szCs w:val="26"/>
          <w:lang w:val="en-US"/>
        </w:rPr>
        <w:t xml:space="preserve"> </w:t>
      </w:r>
    </w:p>
    <w:p w:rsidR="00FB0DA2" w:rsidRPr="00851C9F" w:rsidRDefault="00FB0DA2" w:rsidP="00FB0DA2">
      <w:pPr>
        <w:jc w:val="center"/>
        <w:rPr>
          <w:rFonts w:ascii="Arial" w:hAnsi="Arial" w:cs="Arial"/>
          <w:b/>
          <w:sz w:val="26"/>
          <w:szCs w:val="26"/>
          <w:lang w:val="en-US"/>
        </w:rPr>
      </w:pPr>
      <w:r>
        <w:rPr>
          <w:rFonts w:ascii="Arial" w:hAnsi="Arial" w:cs="Arial"/>
          <w:b/>
          <w:sz w:val="26"/>
          <w:szCs w:val="26"/>
          <w:lang w:val="en-US"/>
        </w:rPr>
        <w:t>HA-T1220</w:t>
      </w:r>
    </w:p>
    <w:p w:rsidR="00851C9F" w:rsidRDefault="00851C9F" w:rsidP="00E45F51">
      <w:pPr>
        <w:jc w:val="center"/>
        <w:rPr>
          <w:rFonts w:ascii="Arial" w:hAnsi="Arial" w:cs="Arial"/>
          <w:b/>
          <w:sz w:val="26"/>
          <w:szCs w:val="26"/>
          <w:lang w:val="en-US"/>
        </w:rPr>
      </w:pPr>
      <w:r>
        <w:rPr>
          <w:rFonts w:ascii="Arial" w:hAnsi="Arial" w:cs="Arial"/>
          <w:b/>
          <w:sz w:val="26"/>
          <w:szCs w:val="26"/>
          <w:lang w:val="en-US"/>
        </w:rPr>
        <w:t>Consulting services to generate knowledge on NCDI in Haiti</w:t>
      </w:r>
    </w:p>
    <w:p w:rsidR="00E45F51" w:rsidRPr="000174B0" w:rsidRDefault="00E45F51" w:rsidP="00E45F51">
      <w:pPr>
        <w:jc w:val="center"/>
        <w:rPr>
          <w:rFonts w:ascii="Arial" w:eastAsia="Tahoma" w:hAnsi="Arial" w:cs="Arial"/>
          <w:b/>
          <w:color w:val="000000"/>
          <w:sz w:val="14"/>
          <w:szCs w:val="26"/>
          <w:lang w:val="en-US"/>
        </w:rPr>
      </w:pPr>
    </w:p>
    <w:p w:rsidR="007715E2" w:rsidRPr="000174B0" w:rsidRDefault="001E3B62" w:rsidP="007715E2">
      <w:pPr>
        <w:pStyle w:val="ListParagraph"/>
        <w:numPr>
          <w:ilvl w:val="0"/>
          <w:numId w:val="2"/>
        </w:numPr>
        <w:jc w:val="center"/>
        <w:rPr>
          <w:rFonts w:ascii="Arial" w:eastAsia="Tahoma" w:hAnsi="Arial" w:cs="Arial"/>
          <w:b/>
          <w:color w:val="000000"/>
          <w:lang w:val="en-US"/>
        </w:rPr>
      </w:pPr>
      <w:r w:rsidRPr="000174B0">
        <w:rPr>
          <w:rFonts w:ascii="Arial" w:eastAsia="Tahoma" w:hAnsi="Arial" w:cs="Arial"/>
          <w:b/>
          <w:color w:val="000000"/>
          <w:lang w:val="en-US"/>
        </w:rPr>
        <w:t>Background</w:t>
      </w:r>
    </w:p>
    <w:p w:rsidR="007715E2" w:rsidRPr="000174B0" w:rsidRDefault="007715E2" w:rsidP="002E30FB">
      <w:pPr>
        <w:pStyle w:val="ListParagraph"/>
        <w:ind w:left="360"/>
        <w:rPr>
          <w:rFonts w:ascii="Arial" w:eastAsia="Tahoma" w:hAnsi="Arial" w:cs="Arial"/>
          <w:b/>
          <w:color w:val="000000"/>
          <w:lang w:val="en-US"/>
        </w:rPr>
      </w:pPr>
    </w:p>
    <w:p w:rsidR="007715E2" w:rsidRPr="000174B0" w:rsidRDefault="007715E2" w:rsidP="00BF67A1">
      <w:pPr>
        <w:pStyle w:val="ListParagraph"/>
        <w:numPr>
          <w:ilvl w:val="1"/>
          <w:numId w:val="2"/>
        </w:numPr>
        <w:spacing w:before="120" w:after="120"/>
        <w:contextualSpacing w:val="0"/>
        <w:jc w:val="both"/>
        <w:rPr>
          <w:rFonts w:ascii="Arial" w:hAnsi="Arial" w:cs="Arial"/>
          <w:bdr w:val="none" w:sz="0" w:space="0" w:color="auto" w:frame="1"/>
          <w:lang w:val="en-US"/>
        </w:rPr>
      </w:pPr>
      <w:r w:rsidRPr="000174B0">
        <w:rPr>
          <w:rFonts w:ascii="Arial" w:hAnsi="Arial" w:cs="Arial"/>
          <w:bdr w:val="none" w:sz="0" w:space="0" w:color="auto" w:frame="1"/>
          <w:lang w:val="en-US"/>
        </w:rPr>
        <w:t>NCDs and injuries, also known as chronic diseases, are not passed from person to person. They are of long duration and generally slow progression. Main types of NCDs are cardiovascular diseases, cancers, respiratory diseases (such as chronic obstructed pulmonary disease and asthma) and diabetes. NCDs and Injuries affect all age groups and regions. The most important risk factors behind NCDs are unhealthy diets, physical inactivity, exposure to tobacco smoke or the harmful use of alcohol. More generally, they are driven by forces such as ageing, rapid unplanned urbanization, and the globalization of unhealthy lifestyles.</w:t>
      </w:r>
      <w:r w:rsidRPr="000174B0">
        <w:rPr>
          <w:vertAlign w:val="superscript"/>
          <w:lang w:val="en-US"/>
        </w:rPr>
        <w:footnoteReference w:id="1"/>
      </w:r>
    </w:p>
    <w:p w:rsidR="007715E2" w:rsidRPr="000174B0" w:rsidRDefault="007715E2" w:rsidP="00BF67A1">
      <w:pPr>
        <w:pStyle w:val="ListParagraph"/>
        <w:numPr>
          <w:ilvl w:val="1"/>
          <w:numId w:val="2"/>
        </w:numPr>
        <w:spacing w:before="120" w:after="120"/>
        <w:contextualSpacing w:val="0"/>
        <w:jc w:val="both"/>
        <w:rPr>
          <w:rFonts w:ascii="Arial" w:hAnsi="Arial" w:cs="Arial"/>
          <w:bdr w:val="none" w:sz="0" w:space="0" w:color="auto" w:frame="1"/>
          <w:lang w:val="en-US"/>
        </w:rPr>
      </w:pPr>
      <w:r w:rsidRPr="000174B0">
        <w:rPr>
          <w:rFonts w:ascii="Arial" w:hAnsi="Arial" w:cs="Arial"/>
          <w:bdr w:val="none" w:sz="0" w:space="0" w:color="auto" w:frame="1"/>
          <w:lang w:val="en-US"/>
        </w:rPr>
        <w:t>Nowadays, NCDs are the leading cause of mortality in the world. They accounts for nearly 68% of annual mortality. In Latin America and the Caribbean (LAC) is associated with 63% of the burden of disease, according to data from the Global Burden of Disease Study (2010).</w:t>
      </w:r>
      <w:r w:rsidRPr="000174B0">
        <w:rPr>
          <w:rStyle w:val="FootnoteReference"/>
          <w:rFonts w:ascii="Arial" w:hAnsi="Arial" w:cs="Arial"/>
          <w:bdr w:val="none" w:sz="0" w:space="0" w:color="auto" w:frame="1"/>
          <w:lang w:val="en-US"/>
        </w:rPr>
        <w:footnoteReference w:id="2"/>
      </w:r>
      <w:r w:rsidRPr="000174B0">
        <w:rPr>
          <w:rFonts w:ascii="Arial" w:hAnsi="Arial" w:cs="Arial"/>
          <w:bdr w:val="none" w:sz="0" w:space="0" w:color="auto" w:frame="1"/>
          <w:lang w:val="en-US"/>
        </w:rPr>
        <w:t xml:space="preserve"> Moreover, NCD’s prevalence is expected to increase. According to the World Health Organization (WHO), global NCD burden will increase by 17% in the next ten years. By 2020, they will account for 80% of deaths.</w:t>
      </w:r>
      <w:r w:rsidRPr="000174B0">
        <w:rPr>
          <w:rFonts w:ascii="Arial" w:hAnsi="Arial" w:cs="Arial"/>
          <w:bdr w:val="none" w:sz="0" w:space="0" w:color="auto" w:frame="1"/>
          <w:vertAlign w:val="superscript"/>
          <w:lang w:val="en-US"/>
        </w:rPr>
        <w:footnoteReference w:id="3"/>
      </w:r>
      <w:r w:rsidRPr="000174B0">
        <w:rPr>
          <w:rFonts w:ascii="Arial" w:hAnsi="Arial" w:cs="Arial"/>
          <w:bdr w:val="none" w:sz="0" w:space="0" w:color="auto" w:frame="1"/>
          <w:lang w:val="en-US"/>
        </w:rPr>
        <w:t xml:space="preserve"> </w:t>
      </w:r>
    </w:p>
    <w:p w:rsidR="007715E2" w:rsidRPr="000174B0" w:rsidRDefault="007715E2" w:rsidP="00BF67A1">
      <w:pPr>
        <w:pStyle w:val="ListParagraph"/>
        <w:numPr>
          <w:ilvl w:val="1"/>
          <w:numId w:val="2"/>
        </w:numPr>
        <w:spacing w:before="120" w:after="120"/>
        <w:contextualSpacing w:val="0"/>
        <w:jc w:val="both"/>
        <w:rPr>
          <w:rFonts w:ascii="Arial" w:hAnsi="Arial" w:cs="Arial"/>
          <w:bdr w:val="none" w:sz="0" w:space="0" w:color="auto" w:frame="1"/>
          <w:lang w:val="en-US"/>
        </w:rPr>
      </w:pPr>
      <w:r w:rsidRPr="000174B0">
        <w:rPr>
          <w:rFonts w:ascii="Arial" w:hAnsi="Arial" w:cs="Arial"/>
          <w:bdr w:val="none" w:sz="0" w:space="0" w:color="auto" w:frame="1"/>
          <w:lang w:val="en-US"/>
        </w:rPr>
        <w:t>NCDs affect disproportionately low and middle income countries (LMICs). Nearly three quarters of NCD deaths occur there. In recent years,</w:t>
      </w:r>
      <w:r w:rsidRPr="000174B0" w:rsidDel="00A90DB7">
        <w:rPr>
          <w:rFonts w:ascii="Arial" w:hAnsi="Arial" w:cs="Arial"/>
          <w:bdr w:val="none" w:sz="0" w:space="0" w:color="auto" w:frame="1"/>
          <w:lang w:val="en-US"/>
        </w:rPr>
        <w:t xml:space="preserve"> </w:t>
      </w:r>
      <w:r w:rsidRPr="000174B0">
        <w:rPr>
          <w:rFonts w:ascii="Arial" w:hAnsi="Arial" w:cs="Arial"/>
          <w:bdr w:val="none" w:sz="0" w:space="0" w:color="auto" w:frame="1"/>
          <w:lang w:val="en-US"/>
        </w:rPr>
        <w:t>their increasing negative impact on health status has been much higher in developing countries. While LMICs are experiencing an epidemiological transition from infectious diseases to NCDs, their readiness to tackle this augmenting problem is far behind. They lack suitable policies, legislations, interventions programing and delivery platforms to prevent and treat them.</w:t>
      </w:r>
    </w:p>
    <w:p w:rsidR="007715E2" w:rsidRPr="000174B0" w:rsidRDefault="007715E2" w:rsidP="00BF67A1">
      <w:pPr>
        <w:pStyle w:val="ListParagraph"/>
        <w:numPr>
          <w:ilvl w:val="1"/>
          <w:numId w:val="2"/>
        </w:numPr>
        <w:spacing w:before="120" w:after="120"/>
        <w:contextualSpacing w:val="0"/>
        <w:jc w:val="both"/>
        <w:rPr>
          <w:rFonts w:ascii="Arial" w:hAnsi="Arial" w:cs="Arial"/>
          <w:lang w:val="en-US"/>
        </w:rPr>
      </w:pPr>
      <w:r w:rsidRPr="000174B0">
        <w:rPr>
          <w:rFonts w:ascii="Arial" w:hAnsi="Arial" w:cs="Arial"/>
          <w:bdr w:val="none" w:sz="0" w:space="0" w:color="auto" w:frame="1"/>
          <w:lang w:val="en-US"/>
        </w:rPr>
        <w:t>Poverty is closely linked with NCDs. The rapid rise in NCDs is predicted to impede poverty reduction initiatives in LMICs. In low-resource settings, health care costs associated with cardiovascular diseases, cancers, diabetes or chronic lung diseases can quickly drain household resources, driving them into poverty. High costs of NCDs, including often lengthy and expensive treatment and loss of breadwinners, are forcing millions of people into poverty annually, stifling development.</w:t>
      </w:r>
      <w:r w:rsidRPr="000174B0">
        <w:rPr>
          <w:vertAlign w:val="superscript"/>
          <w:lang w:val="en-US"/>
        </w:rPr>
        <w:footnoteReference w:id="4"/>
      </w:r>
      <w:r w:rsidRPr="000174B0">
        <w:rPr>
          <w:rFonts w:ascii="Arial" w:hAnsi="Arial" w:cs="Arial"/>
          <w:lang w:val="en-US"/>
        </w:rPr>
        <w:t xml:space="preserve"> Yet, many of the deaths </w:t>
      </w:r>
      <w:r w:rsidRPr="000174B0">
        <w:rPr>
          <w:rFonts w:ascii="Arial" w:hAnsi="Arial" w:cs="Arial"/>
          <w:lang w:val="en-US"/>
        </w:rPr>
        <w:lastRenderedPageBreak/>
        <w:t xml:space="preserve">are due to treatable conditions, especially in children and young adults. Approximately 90% of the premature deaths caused by </w:t>
      </w:r>
      <w:r w:rsidR="009961C0" w:rsidRPr="000174B0">
        <w:rPr>
          <w:rFonts w:ascii="Arial" w:hAnsi="Arial" w:cs="Arial"/>
          <w:lang w:val="en-US"/>
        </w:rPr>
        <w:t>non comunicable diseases and injuries (</w:t>
      </w:r>
      <w:r w:rsidRPr="000174B0">
        <w:rPr>
          <w:rFonts w:ascii="Arial" w:hAnsi="Arial" w:cs="Arial"/>
          <w:lang w:val="en-US"/>
        </w:rPr>
        <w:t>NCDI</w:t>
      </w:r>
      <w:r w:rsidR="009961C0" w:rsidRPr="000174B0">
        <w:rPr>
          <w:rFonts w:ascii="Arial" w:hAnsi="Arial" w:cs="Arial"/>
          <w:lang w:val="en-US"/>
        </w:rPr>
        <w:t>)</w:t>
      </w:r>
      <w:r w:rsidRPr="000174B0">
        <w:rPr>
          <w:rFonts w:ascii="Arial" w:hAnsi="Arial" w:cs="Arial"/>
          <w:lang w:val="en-US"/>
        </w:rPr>
        <w:t xml:space="preserve"> are preventable and 82% of these "premature" deaths occur in LMICs.</w:t>
      </w:r>
      <w:r w:rsidRPr="000174B0">
        <w:rPr>
          <w:vertAlign w:val="superscript"/>
          <w:lang w:val="en-US"/>
        </w:rPr>
        <w:footnoteReference w:id="5"/>
      </w:r>
    </w:p>
    <w:p w:rsidR="007715E2" w:rsidRPr="000174B0" w:rsidRDefault="007715E2" w:rsidP="00BF67A1">
      <w:pPr>
        <w:pStyle w:val="ListParagraph"/>
        <w:numPr>
          <w:ilvl w:val="1"/>
          <w:numId w:val="2"/>
        </w:numPr>
        <w:spacing w:before="120" w:after="120"/>
        <w:contextualSpacing w:val="0"/>
        <w:jc w:val="both"/>
        <w:rPr>
          <w:rFonts w:ascii="Arial" w:hAnsi="Arial" w:cs="Arial"/>
          <w:lang w:val="en-US"/>
        </w:rPr>
      </w:pPr>
      <w:r w:rsidRPr="000174B0">
        <w:rPr>
          <w:rFonts w:ascii="Arial" w:hAnsi="Arial" w:cs="Arial"/>
          <w:lang w:val="en-US"/>
        </w:rPr>
        <w:t>Global NCDI policy has not yet benefitted the poorest people in the poorest countries. Despite a United Nations high-level meeting on NCDI in 2011 and the inclusion of NCDI under target 3.4 of the Sustainable Development Goals, development assistance for NCDI has stalled over the past four years. Most of assistance funds have focused on middle and high-income countries and on tobacco control. Meaningful ways to prioritize the world’s poorest patients living with NCDI are to: i) collaborate with public sector health leaders in planning and monitoring service delivery for NCDI in a way that is inclusive of the poor; ii) promote knowledge sharing across countries regarding clinical innovations for NCDI; and, iii) provide technical support and capacity building toward national strategic planning and NCD service expansion.</w:t>
      </w:r>
    </w:p>
    <w:p w:rsidR="007715E2" w:rsidRPr="000174B0" w:rsidRDefault="007715E2" w:rsidP="00BF67A1">
      <w:pPr>
        <w:pStyle w:val="ListParagraph"/>
        <w:numPr>
          <w:ilvl w:val="1"/>
          <w:numId w:val="2"/>
        </w:numPr>
        <w:spacing w:before="120" w:after="120"/>
        <w:ind w:hanging="540"/>
        <w:contextualSpacing w:val="0"/>
        <w:jc w:val="both"/>
        <w:rPr>
          <w:rFonts w:ascii="Arial" w:hAnsi="Arial" w:cs="Arial"/>
          <w:lang w:val="en-US"/>
        </w:rPr>
      </w:pPr>
      <w:r w:rsidRPr="000174B0">
        <w:rPr>
          <w:rFonts w:ascii="Arial" w:hAnsi="Arial" w:cs="Arial"/>
          <w:lang w:val="en-US"/>
        </w:rPr>
        <w:t>Recognizing the importance and urgency of the issue, in September 2015, the Lancet announced a new Commission on NCDI for the Poorest Billion (</w:t>
      </w:r>
      <w:hyperlink r:id="rId9" w:history="1">
        <w:r w:rsidRPr="000174B0">
          <w:rPr>
            <w:rStyle w:val="Hyperlink"/>
            <w:rFonts w:ascii="Arial" w:hAnsi="Arial" w:cs="Arial"/>
            <w:lang w:val="en-US"/>
          </w:rPr>
          <w:t>www.NCDIpoverty.org</w:t>
        </w:r>
      </w:hyperlink>
      <w:r w:rsidRPr="000174B0">
        <w:rPr>
          <w:rFonts w:ascii="Arial" w:hAnsi="Arial" w:cs="Arial"/>
          <w:lang w:val="en-US"/>
        </w:rPr>
        <w:t xml:space="preserve">). The Commission is working, with a group of low -and middle income countries with heavy concentrations of extreme poor people, to assess the burden of disease from NCDIs among the poorest and to identify policies and integrated delivery platforms that would effectively address and reduce that burden. </w:t>
      </w:r>
    </w:p>
    <w:p w:rsidR="007715E2" w:rsidRPr="000174B0" w:rsidRDefault="007715E2" w:rsidP="00BF67A1">
      <w:pPr>
        <w:pStyle w:val="ListParagraph"/>
        <w:numPr>
          <w:ilvl w:val="1"/>
          <w:numId w:val="2"/>
        </w:numPr>
        <w:spacing w:before="120" w:after="120"/>
        <w:ind w:hanging="540"/>
        <w:contextualSpacing w:val="0"/>
        <w:jc w:val="both"/>
        <w:rPr>
          <w:rFonts w:ascii="Arial" w:hAnsi="Arial" w:cs="Arial"/>
          <w:lang w:val="en-US"/>
        </w:rPr>
      </w:pPr>
      <w:r w:rsidRPr="000174B0">
        <w:rPr>
          <w:rFonts w:ascii="Arial" w:hAnsi="Arial" w:cs="Arial"/>
          <w:lang w:val="en-US"/>
        </w:rPr>
        <w:t>The Commission aims to reframe current view that NCDI burden affecting extreme poor is largely due to preventable lifestyle risk factors. It will “put forward the idea that NCDI afflicting these populations are more likely to be the results of infections and harmful environment”.</w:t>
      </w:r>
      <w:r w:rsidRPr="000174B0">
        <w:rPr>
          <w:rStyle w:val="FootnoteReference"/>
          <w:rFonts w:ascii="Arial" w:hAnsi="Arial" w:cs="Arial"/>
          <w:lang w:val="en-US"/>
        </w:rPr>
        <w:footnoteReference w:id="6"/>
      </w:r>
      <w:r w:rsidRPr="000174B0">
        <w:rPr>
          <w:rFonts w:ascii="Arial" w:hAnsi="Arial" w:cs="Arial"/>
          <w:lang w:val="en-US"/>
        </w:rPr>
        <w:t xml:space="preserve"> The distinctive epidemiology of NCDIs among the poorest people highlights the limitations of the lifestyle risk factor model, and underlines the need for emphasis both on the role of material poverty and on integrated health service interventions to address a range of diseases.</w:t>
      </w:r>
      <w:r w:rsidRPr="000174B0">
        <w:rPr>
          <w:rStyle w:val="FootnoteReference"/>
          <w:rFonts w:ascii="Arial" w:hAnsi="Arial" w:cs="Arial"/>
          <w:lang w:val="en-US"/>
        </w:rPr>
        <w:footnoteReference w:id="7"/>
      </w:r>
      <w:r w:rsidRPr="000174B0">
        <w:rPr>
          <w:rFonts w:ascii="Arial" w:hAnsi="Arial" w:cs="Arial"/>
          <w:lang w:val="en-US"/>
        </w:rPr>
        <w:t xml:space="preserve"> Therefore, The Commission specific objectives are: i) assessing NCDI burden among the poorest people in the world; ii) working with a group of low-income countries to develop actionable pro-poor pathways for the expansion of integrated NCDI strategies; iii) assuring that sustainable financing is not a bottleneck to NCDI treatment and prevention for the poorest people; and iv) expanding the NCDI movement and the global health agenda to address the lived realities of NCDIs among the poor. </w:t>
      </w:r>
    </w:p>
    <w:p w:rsidR="007715E2" w:rsidRPr="000174B0" w:rsidRDefault="007715E2" w:rsidP="00BF67A1">
      <w:pPr>
        <w:pStyle w:val="ListParagraph"/>
        <w:numPr>
          <w:ilvl w:val="1"/>
          <w:numId w:val="2"/>
        </w:numPr>
        <w:spacing w:before="120" w:after="120"/>
        <w:ind w:hanging="540"/>
        <w:contextualSpacing w:val="0"/>
        <w:jc w:val="both"/>
        <w:rPr>
          <w:rFonts w:ascii="Arial" w:hAnsi="Arial" w:cs="Arial"/>
          <w:lang w:val="en-US"/>
        </w:rPr>
      </w:pPr>
      <w:r w:rsidRPr="000174B0">
        <w:rPr>
          <w:rFonts w:ascii="Arial" w:hAnsi="Arial" w:cs="Arial"/>
          <w:lang w:val="en-US"/>
        </w:rPr>
        <w:t xml:space="preserve">Within each selected country, The Commission will create a national NCD Commission tasked with the following responsibilities: i) define NCDI burden in relation to poverty both as a cause and as a consequence, ii) evaluate the cost, effect, and priority of integrated health-service delivery platforms and packages in specific countries, iii) looking at the opportunity to shape the market for commodities associated with these integrated interventions, iv) studying the opportunity for expanded and innovative </w:t>
      </w:r>
      <w:r w:rsidRPr="000174B0">
        <w:rPr>
          <w:rFonts w:ascii="Arial" w:hAnsi="Arial" w:cs="Arial"/>
          <w:lang w:val="en-US"/>
        </w:rPr>
        <w:lastRenderedPageBreak/>
        <w:t>financing for NCDIs targeted toward the poor in low-income countries.</w:t>
      </w:r>
      <w:r w:rsidRPr="000174B0">
        <w:rPr>
          <w:rStyle w:val="FootnoteReference"/>
          <w:rFonts w:ascii="Arial" w:hAnsi="Arial" w:cs="Arial"/>
          <w:lang w:val="en-US"/>
        </w:rPr>
        <w:footnoteReference w:id="8"/>
      </w:r>
      <w:r w:rsidRPr="000174B0">
        <w:rPr>
          <w:rFonts w:ascii="Arial" w:hAnsi="Arial" w:cs="Arial"/>
          <w:lang w:val="en-US"/>
        </w:rPr>
        <w:t xml:space="preserve"> To accomplish the objectives, the national Commission will receive strategic guidance, technical and analytical support from The Commission, as well as a network of public-sector NCD’s divisions and technical advisors from nongovernmental organizations.</w:t>
      </w:r>
    </w:p>
    <w:p w:rsidR="007715E2" w:rsidRPr="000174B0" w:rsidRDefault="007715E2" w:rsidP="00BF67A1">
      <w:pPr>
        <w:pStyle w:val="ListParagraph"/>
        <w:numPr>
          <w:ilvl w:val="1"/>
          <w:numId w:val="2"/>
        </w:numPr>
        <w:spacing w:before="120" w:after="120"/>
        <w:contextualSpacing w:val="0"/>
        <w:jc w:val="both"/>
        <w:rPr>
          <w:rFonts w:ascii="Arial" w:hAnsi="Arial" w:cs="Arial"/>
          <w:lang w:val="en-US"/>
        </w:rPr>
      </w:pPr>
      <w:r w:rsidRPr="000174B0">
        <w:rPr>
          <w:rFonts w:ascii="Arial" w:hAnsi="Arial" w:cs="Arial"/>
          <w:lang w:val="en-US"/>
        </w:rPr>
        <w:t>Haiti is one such country that would greatly benefit from being part of the proposed objectives of the Commission. It is one of the poorest countries in the world (with a GDP per capita of US$ 846 in 2014) with significant needs in basic services. According to the latest household survey (ECVMAS 2012), more than 6 million out of 10.4 million (59%) Haitians live in poverty conditions and over 2.5 million (24%) under extreme poverty.</w:t>
      </w:r>
      <w:r w:rsidRPr="000174B0">
        <w:rPr>
          <w:rStyle w:val="FootnoteReference"/>
          <w:rFonts w:ascii="Arial" w:hAnsi="Arial" w:cs="Arial"/>
          <w:lang w:val="en-US"/>
        </w:rPr>
        <w:footnoteReference w:id="9"/>
      </w:r>
      <w:r w:rsidRPr="000174B0">
        <w:rPr>
          <w:rFonts w:ascii="Arial" w:hAnsi="Arial" w:cs="Arial"/>
          <w:lang w:val="en-US"/>
        </w:rPr>
        <w:t xml:space="preserve"> In urban areas, the percentage of people who live under the national poverty line falls to 40.6%, while in rural areas the percentage raises to 74.9% (World Bank, 2012). Haiti is the country with highest income inequality in LAC, and one of the most inequitable countries in the world.</w:t>
      </w:r>
      <w:r w:rsidRPr="000174B0">
        <w:rPr>
          <w:rStyle w:val="FootnoteReference"/>
          <w:rFonts w:ascii="Arial" w:hAnsi="Arial" w:cs="Arial"/>
          <w:lang w:val="en-US"/>
        </w:rPr>
        <w:footnoteReference w:id="10"/>
      </w:r>
      <w:r w:rsidRPr="000174B0">
        <w:rPr>
          <w:rFonts w:ascii="Arial" w:hAnsi="Arial" w:cs="Arial"/>
          <w:lang w:val="en-US"/>
        </w:rPr>
        <w:t xml:space="preserve"> Regarding adult mortality rate, Haiti has one of the highest in the world and in the Americas region.  According to WHO, for 2013, the adult mortality rate in Haiti was 242 per 1,000 people while worldwide was 152 and in the Americas region, it drops to 122.</w:t>
      </w:r>
      <w:r w:rsidRPr="000174B0">
        <w:rPr>
          <w:rStyle w:val="FootnoteReference"/>
          <w:rFonts w:ascii="Arial" w:hAnsi="Arial" w:cs="Arial"/>
          <w:lang w:val="en-US"/>
        </w:rPr>
        <w:footnoteReference w:id="11"/>
      </w:r>
    </w:p>
    <w:p w:rsidR="007715E2" w:rsidRPr="000174B0" w:rsidRDefault="007715E2" w:rsidP="00BF67A1">
      <w:pPr>
        <w:pStyle w:val="ListParagraph"/>
        <w:numPr>
          <w:ilvl w:val="1"/>
          <w:numId w:val="2"/>
        </w:numPr>
        <w:spacing w:before="120" w:after="120"/>
        <w:ind w:hanging="540"/>
        <w:contextualSpacing w:val="0"/>
        <w:jc w:val="both"/>
        <w:rPr>
          <w:rFonts w:ascii="Arial" w:hAnsi="Arial" w:cs="Arial"/>
          <w:color w:val="FF0000"/>
          <w:lang w:val="en-US"/>
        </w:rPr>
      </w:pPr>
      <w:r w:rsidRPr="000174B0">
        <w:rPr>
          <w:rFonts w:ascii="Arial" w:hAnsi="Arial" w:cs="Arial"/>
          <w:lang w:val="en-US"/>
        </w:rPr>
        <w:t>In Haiti, NCD and Injuries are estimated to account for 58% of total deaths. Cardiovascular diseases account for most NCD annual deaths in this country (24%), followed by cancers (7%), diabetes (5%), chronic respiratory diseases (1%), and others NCDs (12%). Injuries count for the 9% of the deaths. Also, the probability of dying between ages 30 and 70 years from the 4 main NCDs (mentioned above) is 24%.</w:t>
      </w:r>
      <w:r w:rsidRPr="000174B0">
        <w:rPr>
          <w:rStyle w:val="FootnoteReference"/>
          <w:rFonts w:ascii="Arial" w:hAnsi="Arial" w:cs="Arial"/>
          <w:lang w:val="en-US"/>
        </w:rPr>
        <w:footnoteReference w:id="12"/>
      </w:r>
      <w:r w:rsidRPr="000174B0">
        <w:rPr>
          <w:rFonts w:ascii="Arial" w:hAnsi="Arial" w:cs="Arial"/>
          <w:lang w:val="en-US"/>
        </w:rPr>
        <w:t xml:space="preserve"> NCDI accounts for 51.6% of disability-adjusted life years (DALY)</w:t>
      </w:r>
      <w:r w:rsidRPr="000174B0">
        <w:rPr>
          <w:rStyle w:val="FootnoteReference"/>
          <w:rFonts w:ascii="Arial" w:hAnsi="Arial" w:cs="Arial"/>
          <w:lang w:val="en-US"/>
        </w:rPr>
        <w:footnoteReference w:id="13"/>
      </w:r>
      <w:r w:rsidRPr="000174B0">
        <w:rPr>
          <w:rFonts w:ascii="Arial" w:hAnsi="Arial" w:cs="Arial"/>
          <w:lang w:val="en-US"/>
        </w:rPr>
        <w:t xml:space="preserve">. </w:t>
      </w:r>
    </w:p>
    <w:p w:rsidR="00727C87" w:rsidRPr="000174B0" w:rsidRDefault="007715E2" w:rsidP="00BF67A1">
      <w:pPr>
        <w:pStyle w:val="ListParagraph"/>
        <w:numPr>
          <w:ilvl w:val="1"/>
          <w:numId w:val="2"/>
        </w:numPr>
        <w:spacing w:before="120" w:after="0"/>
        <w:ind w:hanging="540"/>
        <w:contextualSpacing w:val="0"/>
        <w:jc w:val="both"/>
        <w:rPr>
          <w:rFonts w:ascii="Arial" w:hAnsi="Arial" w:cs="Arial"/>
          <w:color w:val="FF0000"/>
          <w:lang w:val="en-US"/>
        </w:rPr>
      </w:pPr>
      <w:r w:rsidRPr="000174B0">
        <w:rPr>
          <w:rFonts w:ascii="Arial" w:hAnsi="Arial" w:cs="Arial"/>
          <w:lang w:val="en-US"/>
        </w:rPr>
        <w:t xml:space="preserve">Haiti lacks of knowledge regarding key NCDI indicators such as disease burden and coverage of interventions, case fatality rates, health care utilization, household out-of-pocket payments, and government costs for proposed service packages, medicines, and technologies. In addition, there is a need for developing programing tools to simulate the impacts of different human resources development scenarios on coverage of interventions, lives saved, and poverty alleviated. These indicators and models are key in helping the MSPP with setting priorities, improving policy decision making and reallocating resources. </w:t>
      </w:r>
    </w:p>
    <w:p w:rsidR="00E801BB" w:rsidRPr="000174B0" w:rsidRDefault="004B7706" w:rsidP="00BF67A1">
      <w:pPr>
        <w:pStyle w:val="ListParagraph"/>
        <w:numPr>
          <w:ilvl w:val="1"/>
          <w:numId w:val="2"/>
        </w:numPr>
        <w:spacing w:before="120" w:after="120"/>
        <w:ind w:hanging="540"/>
        <w:contextualSpacing w:val="0"/>
        <w:jc w:val="both"/>
        <w:rPr>
          <w:rFonts w:ascii="Arial" w:hAnsi="Arial" w:cs="Arial"/>
          <w:color w:val="FF0000"/>
          <w:lang w:val="en-US"/>
        </w:rPr>
      </w:pPr>
      <w:r>
        <w:rPr>
          <w:rFonts w:ascii="Arial" w:eastAsia="Arial" w:hAnsi="Arial" w:cs="Arial"/>
          <w:lang w:val="en-US"/>
        </w:rPr>
        <w:t>T</w:t>
      </w:r>
      <w:r w:rsidR="000A5DBA" w:rsidRPr="000174B0">
        <w:rPr>
          <w:rFonts w:ascii="Arial" w:eastAsia="Arial" w:hAnsi="Arial" w:cs="Arial"/>
          <w:lang w:val="en-US"/>
        </w:rPr>
        <w:t xml:space="preserve">he </w:t>
      </w:r>
      <w:r w:rsidR="00323525" w:rsidRPr="000174B0">
        <w:rPr>
          <w:rFonts w:ascii="Arial" w:eastAsia="Arial" w:hAnsi="Arial" w:cs="Arial"/>
          <w:lang w:val="en-US"/>
        </w:rPr>
        <w:t xml:space="preserve">Inter-American Development </w:t>
      </w:r>
      <w:r w:rsidR="000A5DBA" w:rsidRPr="000174B0">
        <w:rPr>
          <w:rFonts w:ascii="Arial" w:eastAsia="Arial" w:hAnsi="Arial" w:cs="Arial"/>
          <w:lang w:val="en-US"/>
        </w:rPr>
        <w:t>B</w:t>
      </w:r>
      <w:r w:rsidR="00E801BB" w:rsidRPr="000174B0">
        <w:rPr>
          <w:rFonts w:ascii="Arial" w:eastAsia="Arial" w:hAnsi="Arial" w:cs="Arial"/>
          <w:lang w:val="en-US"/>
        </w:rPr>
        <w:t>ank</w:t>
      </w:r>
      <w:r w:rsidR="004A597B" w:rsidRPr="000174B0">
        <w:rPr>
          <w:rFonts w:ascii="Arial" w:eastAsia="Arial" w:hAnsi="Arial" w:cs="Arial"/>
          <w:lang w:val="en-US"/>
        </w:rPr>
        <w:t xml:space="preserve"> (IDB)</w:t>
      </w:r>
      <w:r w:rsidR="00A8164A" w:rsidRPr="000174B0">
        <w:rPr>
          <w:rFonts w:ascii="Arial" w:eastAsia="Arial" w:hAnsi="Arial" w:cs="Arial"/>
          <w:lang w:val="en-US"/>
        </w:rPr>
        <w:t xml:space="preserve"> is</w:t>
      </w:r>
      <w:r w:rsidR="00794BD2" w:rsidRPr="000174B0">
        <w:rPr>
          <w:rFonts w:ascii="Arial" w:eastAsia="Arial" w:hAnsi="Arial" w:cs="Arial"/>
          <w:lang w:val="en-US"/>
        </w:rPr>
        <w:t xml:space="preserve"> currently</w:t>
      </w:r>
      <w:r w:rsidR="00A8164A" w:rsidRPr="000174B0">
        <w:rPr>
          <w:rFonts w:ascii="Arial" w:eastAsia="Arial" w:hAnsi="Arial" w:cs="Arial"/>
          <w:lang w:val="en-US"/>
        </w:rPr>
        <w:t xml:space="preserve"> implementing a technical cooperation with the objective </w:t>
      </w:r>
      <w:r w:rsidR="00794BD2" w:rsidRPr="000174B0">
        <w:rPr>
          <w:rFonts w:ascii="Arial" w:eastAsia="Arial" w:hAnsi="Arial" w:cs="Arial"/>
          <w:lang w:val="en-US"/>
        </w:rPr>
        <w:t>of advancing</w:t>
      </w:r>
      <w:r w:rsidR="00E801BB" w:rsidRPr="000174B0">
        <w:rPr>
          <w:rFonts w:ascii="Arial" w:eastAsia="Arial" w:hAnsi="Arial" w:cs="Arial"/>
          <w:lang w:val="en-US"/>
        </w:rPr>
        <w:t xml:space="preserve"> local and global knowledge on non-communicable diseases and injuries (NCDI) in Haiti. In particular,</w:t>
      </w:r>
      <w:r w:rsidR="00A8164A" w:rsidRPr="000174B0">
        <w:rPr>
          <w:rFonts w:ascii="Arial" w:eastAsia="Arial" w:hAnsi="Arial" w:cs="Arial"/>
          <w:lang w:val="en-US"/>
        </w:rPr>
        <w:t xml:space="preserve"> the technical cooperation</w:t>
      </w:r>
      <w:r w:rsidR="00E801BB" w:rsidRPr="000174B0">
        <w:rPr>
          <w:rFonts w:ascii="Arial" w:eastAsia="Arial" w:hAnsi="Arial" w:cs="Arial"/>
          <w:lang w:val="en-US"/>
        </w:rPr>
        <w:t xml:space="preserve"> </w:t>
      </w:r>
      <w:r w:rsidR="00961803" w:rsidRPr="000174B0">
        <w:rPr>
          <w:rFonts w:ascii="Arial" w:hAnsi="Arial" w:cs="Arial"/>
          <w:bdr w:val="none" w:sz="0" w:space="0" w:color="auto" w:frame="1"/>
          <w:lang w:val="en-US"/>
        </w:rPr>
        <w:t xml:space="preserve">aims to </w:t>
      </w:r>
      <w:r w:rsidR="00961803" w:rsidRPr="000174B0">
        <w:rPr>
          <w:rFonts w:ascii="Arial" w:hAnsi="Arial" w:cs="Arial"/>
          <w:lang w:val="en-US"/>
        </w:rPr>
        <w:t xml:space="preserve">assess the burden of disease from </w:t>
      </w:r>
      <w:r w:rsidR="009961C0" w:rsidRPr="000174B0">
        <w:rPr>
          <w:rFonts w:ascii="Arial" w:hAnsi="Arial" w:cs="Arial"/>
          <w:lang w:val="en-US"/>
        </w:rPr>
        <w:t>NCDI</w:t>
      </w:r>
      <w:r w:rsidR="00961803" w:rsidRPr="000174B0">
        <w:rPr>
          <w:rFonts w:ascii="Arial" w:hAnsi="Arial" w:cs="Arial"/>
          <w:lang w:val="en-US"/>
        </w:rPr>
        <w:t xml:space="preserve"> among the poorest and to identify policies and integrated delivery platforms that would effectively address and </w:t>
      </w:r>
      <w:r w:rsidR="00961803" w:rsidRPr="000174B0">
        <w:rPr>
          <w:rFonts w:ascii="Arial" w:hAnsi="Arial" w:cs="Arial"/>
          <w:lang w:val="en-US"/>
        </w:rPr>
        <w:lastRenderedPageBreak/>
        <w:t xml:space="preserve">reduce that burden. This </w:t>
      </w:r>
      <w:r w:rsidR="00961803" w:rsidRPr="000174B0">
        <w:rPr>
          <w:rFonts w:ascii="Arial" w:hAnsi="Arial" w:cs="Arial"/>
          <w:bdr w:val="none" w:sz="0" w:space="0" w:color="auto" w:frame="1"/>
          <w:lang w:val="en-US"/>
        </w:rPr>
        <w:t xml:space="preserve">knowledge will be a valuable input for the Ministry of Public Health of Haiti (MSPP) and the </w:t>
      </w:r>
      <w:r>
        <w:rPr>
          <w:rFonts w:ascii="Arial" w:hAnsi="Arial" w:cs="Arial"/>
          <w:bdr w:val="none" w:sz="0" w:space="0" w:color="auto" w:frame="1"/>
          <w:lang w:val="en-US"/>
        </w:rPr>
        <w:t>Global NCDI</w:t>
      </w:r>
      <w:r w:rsidR="00961803" w:rsidRPr="000174B0">
        <w:rPr>
          <w:rFonts w:ascii="Arial" w:hAnsi="Arial" w:cs="Arial"/>
          <w:bdr w:val="none" w:sz="0" w:space="0" w:color="auto" w:frame="1"/>
          <w:lang w:val="en-US"/>
        </w:rPr>
        <w:t xml:space="preserve"> Poverty Commission. </w:t>
      </w:r>
      <w:r w:rsidR="00794BD2" w:rsidRPr="000174B0">
        <w:rPr>
          <w:rFonts w:ascii="Arial" w:eastAsia="Arial" w:hAnsi="Arial" w:cs="Arial"/>
          <w:lang w:val="en-US"/>
        </w:rPr>
        <w:t xml:space="preserve">In this context, the Bank </w:t>
      </w:r>
      <w:r>
        <w:rPr>
          <w:rFonts w:ascii="Arial" w:eastAsia="Arial" w:hAnsi="Arial" w:cs="Arial"/>
          <w:lang w:val="en-US"/>
        </w:rPr>
        <w:t xml:space="preserve">requires </w:t>
      </w:r>
      <w:r w:rsidR="00794BD2" w:rsidRPr="000174B0">
        <w:rPr>
          <w:rFonts w:ascii="Arial" w:eastAsia="Arial" w:hAnsi="Arial" w:cs="Arial"/>
          <w:lang w:val="en-US"/>
        </w:rPr>
        <w:t>hiring a consulting firm to</w:t>
      </w:r>
      <w:r w:rsidR="007267DA">
        <w:rPr>
          <w:rFonts w:ascii="Arial" w:eastAsia="Arial" w:hAnsi="Arial" w:cs="Arial"/>
          <w:lang w:val="en-US"/>
        </w:rPr>
        <w:t xml:space="preserve"> create a National NCDI Commission in Haiti and to provide the National NCDI Commission the technical and strategic services to successfully </w:t>
      </w:r>
      <w:r w:rsidR="00794BD2" w:rsidRPr="000174B0">
        <w:rPr>
          <w:rFonts w:ascii="Arial" w:eastAsia="Arial" w:hAnsi="Arial" w:cs="Arial"/>
          <w:lang w:val="en-US"/>
        </w:rPr>
        <w:t>generate knowledge about NCDI</w:t>
      </w:r>
      <w:r>
        <w:rPr>
          <w:rFonts w:ascii="Arial" w:eastAsia="Arial" w:hAnsi="Arial" w:cs="Arial"/>
          <w:lang w:val="en-US"/>
        </w:rPr>
        <w:t xml:space="preserve"> burden</w:t>
      </w:r>
      <w:r w:rsidR="00794BD2" w:rsidRPr="000174B0">
        <w:rPr>
          <w:rFonts w:ascii="Arial" w:eastAsia="Arial" w:hAnsi="Arial" w:cs="Arial"/>
          <w:lang w:val="en-US"/>
        </w:rPr>
        <w:t xml:space="preserve"> in Haiti</w:t>
      </w:r>
      <w:r>
        <w:rPr>
          <w:rFonts w:ascii="Arial" w:eastAsia="Arial" w:hAnsi="Arial" w:cs="Arial"/>
          <w:lang w:val="en-US"/>
        </w:rPr>
        <w:t>.</w:t>
      </w:r>
    </w:p>
    <w:p w:rsidR="00C45DE9" w:rsidRPr="000174B0" w:rsidRDefault="00C45DE9" w:rsidP="00E45F51">
      <w:pPr>
        <w:pStyle w:val="ListParagraph"/>
        <w:rPr>
          <w:rFonts w:ascii="Arial" w:eastAsia="Arial" w:hAnsi="Arial" w:cs="Arial"/>
          <w:b/>
          <w:bCs/>
          <w:lang w:val="en-US"/>
        </w:rPr>
      </w:pPr>
    </w:p>
    <w:p w:rsidR="002D2187" w:rsidRPr="000174B0" w:rsidRDefault="00C45DE9" w:rsidP="00961803">
      <w:pPr>
        <w:pStyle w:val="ListParagraph"/>
        <w:numPr>
          <w:ilvl w:val="0"/>
          <w:numId w:val="22"/>
        </w:numPr>
        <w:autoSpaceDE w:val="0"/>
        <w:autoSpaceDN w:val="0"/>
        <w:adjustRightInd w:val="0"/>
        <w:spacing w:before="120"/>
        <w:jc w:val="center"/>
        <w:rPr>
          <w:rFonts w:ascii="Arial" w:hAnsi="Arial" w:cs="Arial"/>
          <w:lang w:val="en-US"/>
        </w:rPr>
      </w:pPr>
      <w:r w:rsidRPr="000174B0">
        <w:rPr>
          <w:rFonts w:ascii="Arial" w:eastAsia="Arial" w:hAnsi="Arial" w:cs="Arial"/>
          <w:b/>
          <w:bCs/>
          <w:lang w:val="en-US"/>
        </w:rPr>
        <w:t>Objectives</w:t>
      </w:r>
    </w:p>
    <w:p w:rsidR="00551C54" w:rsidRPr="000174B0" w:rsidRDefault="00551C54" w:rsidP="00551C54">
      <w:pPr>
        <w:pStyle w:val="ListParagraph"/>
        <w:autoSpaceDE w:val="0"/>
        <w:autoSpaceDN w:val="0"/>
        <w:adjustRightInd w:val="0"/>
        <w:spacing w:after="0"/>
        <w:ind w:left="360"/>
        <w:rPr>
          <w:rFonts w:ascii="Arial" w:hAnsi="Arial" w:cs="Arial"/>
          <w:lang w:val="en-US"/>
        </w:rPr>
      </w:pPr>
    </w:p>
    <w:p w:rsidR="00C3520D" w:rsidRPr="005F0B39" w:rsidRDefault="00C3520D" w:rsidP="00961803">
      <w:pPr>
        <w:pStyle w:val="ListParagraph"/>
        <w:numPr>
          <w:ilvl w:val="1"/>
          <w:numId w:val="22"/>
        </w:numPr>
        <w:spacing w:before="120" w:after="120"/>
        <w:jc w:val="both"/>
        <w:rPr>
          <w:rFonts w:ascii="Arial" w:eastAsia="Arial" w:hAnsi="Arial" w:cs="Arial"/>
          <w:lang w:val="en-US"/>
        </w:rPr>
      </w:pPr>
      <w:r w:rsidRPr="000174B0">
        <w:rPr>
          <w:rFonts w:ascii="Arial" w:hAnsi="Arial" w:cs="Arial"/>
          <w:lang w:val="en-US"/>
        </w:rPr>
        <w:t xml:space="preserve">The consultancy has two main objectives. </w:t>
      </w:r>
      <w:r w:rsidR="006564EB">
        <w:rPr>
          <w:rFonts w:ascii="Arial" w:hAnsi="Arial" w:cs="Arial"/>
          <w:lang w:val="en-US"/>
        </w:rPr>
        <w:t>F</w:t>
      </w:r>
      <w:r w:rsidRPr="000174B0">
        <w:rPr>
          <w:rFonts w:ascii="Arial" w:hAnsi="Arial" w:cs="Arial"/>
          <w:lang w:val="en-US"/>
        </w:rPr>
        <w:t>irst</w:t>
      </w:r>
      <w:r w:rsidR="006564EB">
        <w:rPr>
          <w:rFonts w:ascii="Arial" w:hAnsi="Arial" w:cs="Arial"/>
          <w:lang w:val="en-US"/>
        </w:rPr>
        <w:t>:</w:t>
      </w:r>
      <w:r w:rsidRPr="000174B0">
        <w:rPr>
          <w:rFonts w:ascii="Arial" w:hAnsi="Arial" w:cs="Arial"/>
          <w:lang w:val="en-US"/>
        </w:rPr>
        <w:t xml:space="preserve"> create a </w:t>
      </w:r>
      <w:r w:rsidR="00A016EB">
        <w:rPr>
          <w:rFonts w:ascii="Arial" w:hAnsi="Arial" w:cs="Arial"/>
          <w:lang w:val="en-US"/>
        </w:rPr>
        <w:t>N</w:t>
      </w:r>
      <w:r w:rsidRPr="000174B0">
        <w:rPr>
          <w:rFonts w:ascii="Arial" w:hAnsi="Arial" w:cs="Arial"/>
          <w:lang w:val="en-US"/>
        </w:rPr>
        <w:t>ational NCDI Commission in Haiti that will develop a</w:t>
      </w:r>
      <w:r w:rsidR="006564EB">
        <w:rPr>
          <w:rFonts w:ascii="Arial" w:hAnsi="Arial" w:cs="Arial"/>
          <w:lang w:val="en-US"/>
        </w:rPr>
        <w:t xml:space="preserve"> working paper</w:t>
      </w:r>
      <w:r w:rsidRPr="000174B0">
        <w:rPr>
          <w:rFonts w:ascii="Arial" w:hAnsi="Arial" w:cs="Arial"/>
          <w:lang w:val="en-US"/>
        </w:rPr>
        <w:t xml:space="preserve"> </w:t>
      </w:r>
      <w:r w:rsidR="006564EB">
        <w:rPr>
          <w:rFonts w:ascii="Arial" w:hAnsi="Arial" w:cs="Arial"/>
          <w:lang w:val="en-US"/>
        </w:rPr>
        <w:t xml:space="preserve">proposing </w:t>
      </w:r>
      <w:r w:rsidRPr="000174B0">
        <w:rPr>
          <w:rFonts w:ascii="Arial" w:hAnsi="Arial" w:cs="Arial"/>
          <w:lang w:val="en-US"/>
        </w:rPr>
        <w:t>pro-poor policies and integrated health service delivery platforms to achieve substantial reductions in premature deaths, suffering and poverty caused by NCDIs.</w:t>
      </w:r>
      <w:r w:rsidR="008046CC" w:rsidRPr="000174B0">
        <w:rPr>
          <w:rFonts w:ascii="Arial" w:hAnsi="Arial" w:cs="Arial"/>
          <w:lang w:val="en-US"/>
        </w:rPr>
        <w:t xml:space="preserve"> </w:t>
      </w:r>
      <w:r w:rsidR="00F53731">
        <w:rPr>
          <w:rFonts w:ascii="Arial" w:hAnsi="Arial" w:cs="Arial"/>
          <w:lang w:val="en-US"/>
        </w:rPr>
        <w:t>S</w:t>
      </w:r>
      <w:r w:rsidR="008046CC" w:rsidRPr="000174B0">
        <w:rPr>
          <w:rFonts w:ascii="Arial" w:hAnsi="Arial" w:cs="Arial"/>
          <w:lang w:val="en-US"/>
        </w:rPr>
        <w:t>econd</w:t>
      </w:r>
      <w:r w:rsidR="00F53731">
        <w:rPr>
          <w:rFonts w:ascii="Arial" w:hAnsi="Arial" w:cs="Arial"/>
          <w:lang w:val="en-US"/>
        </w:rPr>
        <w:t>:</w:t>
      </w:r>
      <w:r w:rsidR="008046CC" w:rsidRPr="000174B0">
        <w:rPr>
          <w:rFonts w:ascii="Arial" w:hAnsi="Arial" w:cs="Arial"/>
          <w:lang w:val="en-US"/>
        </w:rPr>
        <w:t xml:space="preserve"> </w:t>
      </w:r>
      <w:r w:rsidRPr="000174B0">
        <w:rPr>
          <w:rFonts w:ascii="Arial" w:hAnsi="Arial" w:cs="Arial"/>
          <w:lang w:val="en-US"/>
        </w:rPr>
        <w:t>generate knowledge about NCDI</w:t>
      </w:r>
      <w:r w:rsidR="00F53731">
        <w:rPr>
          <w:rFonts w:ascii="Arial" w:hAnsi="Arial" w:cs="Arial"/>
          <w:lang w:val="en-US"/>
        </w:rPr>
        <w:t xml:space="preserve"> burden and risk factors</w:t>
      </w:r>
      <w:r w:rsidRPr="000174B0">
        <w:rPr>
          <w:rFonts w:ascii="Arial" w:hAnsi="Arial" w:cs="Arial"/>
          <w:lang w:val="en-US"/>
        </w:rPr>
        <w:t xml:space="preserve"> in Haiti through the recompilation of NCDI data</w:t>
      </w:r>
      <w:r w:rsidR="00A016EB">
        <w:rPr>
          <w:rFonts w:ascii="Arial" w:hAnsi="Arial" w:cs="Arial"/>
          <w:lang w:val="en-US"/>
        </w:rPr>
        <w:t>,</w:t>
      </w:r>
      <w:r w:rsidR="00F53731">
        <w:rPr>
          <w:rFonts w:ascii="Arial" w:hAnsi="Arial" w:cs="Arial"/>
          <w:lang w:val="en-US"/>
        </w:rPr>
        <w:t xml:space="preserve"> </w:t>
      </w:r>
      <w:r w:rsidR="00A016EB">
        <w:rPr>
          <w:rFonts w:ascii="Arial" w:hAnsi="Arial" w:cs="Arial"/>
          <w:lang w:val="en-US"/>
        </w:rPr>
        <w:t xml:space="preserve">estimation of key NCDI indicators and the elaboration of patient and physician narratives. Generated knowledge will be shared with the National NCDI Commission. </w:t>
      </w:r>
    </w:p>
    <w:p w:rsidR="005F0B39" w:rsidRPr="000174B0" w:rsidRDefault="005F0B39" w:rsidP="00961803">
      <w:pPr>
        <w:pStyle w:val="ListParagraph"/>
        <w:numPr>
          <w:ilvl w:val="1"/>
          <w:numId w:val="22"/>
        </w:numPr>
        <w:spacing w:before="120" w:after="120"/>
        <w:jc w:val="both"/>
        <w:rPr>
          <w:rFonts w:ascii="Arial" w:eastAsia="Arial" w:hAnsi="Arial" w:cs="Arial"/>
          <w:lang w:val="en-US"/>
        </w:rPr>
      </w:pPr>
      <w:r>
        <w:rPr>
          <w:rFonts w:ascii="Arial" w:hAnsi="Arial" w:cs="Arial"/>
          <w:lang w:val="en-US"/>
        </w:rPr>
        <w:t>It is important to mention that the National NCDI Commission will lead the effort with the technical support and strategic guidance of the consulting firm.</w:t>
      </w:r>
    </w:p>
    <w:p w:rsidR="00357954" w:rsidRPr="000174B0" w:rsidRDefault="00357954" w:rsidP="00357954">
      <w:pPr>
        <w:pStyle w:val="ListParagraph"/>
        <w:spacing w:before="120" w:after="120"/>
        <w:ind w:left="360"/>
        <w:jc w:val="both"/>
        <w:rPr>
          <w:rFonts w:ascii="Arial" w:eastAsia="Arial" w:hAnsi="Arial" w:cs="Arial"/>
          <w:lang w:val="en-US"/>
        </w:rPr>
      </w:pPr>
    </w:p>
    <w:p w:rsidR="004B186A" w:rsidRPr="000174B0" w:rsidRDefault="000379BA" w:rsidP="00961803">
      <w:pPr>
        <w:pStyle w:val="ListParagraph"/>
        <w:numPr>
          <w:ilvl w:val="0"/>
          <w:numId w:val="22"/>
        </w:numPr>
        <w:autoSpaceDE w:val="0"/>
        <w:autoSpaceDN w:val="0"/>
        <w:adjustRightInd w:val="0"/>
        <w:spacing w:before="120" w:after="0"/>
        <w:jc w:val="center"/>
        <w:rPr>
          <w:rFonts w:ascii="Arial" w:eastAsia="Arial" w:hAnsi="Arial" w:cs="Arial"/>
          <w:b/>
          <w:lang w:val="en-US"/>
        </w:rPr>
      </w:pPr>
      <w:r w:rsidRPr="000174B0">
        <w:rPr>
          <w:rFonts w:ascii="Arial" w:eastAsia="Arial" w:hAnsi="Arial" w:cs="Arial"/>
          <w:b/>
          <w:lang w:val="en-US"/>
        </w:rPr>
        <w:t xml:space="preserve">Description of </w:t>
      </w:r>
      <w:r w:rsidR="005177A1" w:rsidRPr="000174B0">
        <w:rPr>
          <w:rFonts w:ascii="Arial" w:eastAsia="Arial" w:hAnsi="Arial" w:cs="Arial"/>
          <w:b/>
          <w:lang w:val="en-US"/>
        </w:rPr>
        <w:t xml:space="preserve">the </w:t>
      </w:r>
      <w:r w:rsidRPr="000174B0">
        <w:rPr>
          <w:rFonts w:ascii="Arial" w:eastAsia="Arial" w:hAnsi="Arial" w:cs="Arial"/>
          <w:b/>
          <w:lang w:val="en-US"/>
        </w:rPr>
        <w:t>activities and outputs</w:t>
      </w:r>
      <w:r w:rsidR="005177A1" w:rsidRPr="000174B0">
        <w:rPr>
          <w:rFonts w:ascii="Arial" w:eastAsia="Arial" w:hAnsi="Arial" w:cs="Arial"/>
          <w:b/>
          <w:lang w:val="en-US"/>
        </w:rPr>
        <w:t xml:space="preserve"> of the consultancy</w:t>
      </w:r>
    </w:p>
    <w:p w:rsidR="004D1915" w:rsidRPr="000174B0" w:rsidRDefault="004D1915" w:rsidP="004D1915">
      <w:pPr>
        <w:pStyle w:val="ListParagraph"/>
        <w:autoSpaceDE w:val="0"/>
        <w:autoSpaceDN w:val="0"/>
        <w:adjustRightInd w:val="0"/>
        <w:spacing w:before="120" w:after="0"/>
        <w:ind w:left="360"/>
        <w:rPr>
          <w:rFonts w:ascii="Arial" w:eastAsia="Arial" w:hAnsi="Arial" w:cs="Arial"/>
          <w:b/>
          <w:lang w:val="en-US"/>
        </w:rPr>
      </w:pPr>
    </w:p>
    <w:p w:rsidR="004D1915" w:rsidRPr="000174B0" w:rsidRDefault="00515096" w:rsidP="004D1915">
      <w:pPr>
        <w:pStyle w:val="ListParagraph"/>
        <w:numPr>
          <w:ilvl w:val="1"/>
          <w:numId w:val="22"/>
        </w:numPr>
        <w:autoSpaceDE w:val="0"/>
        <w:autoSpaceDN w:val="0"/>
        <w:adjustRightInd w:val="0"/>
        <w:spacing w:before="120" w:after="0"/>
        <w:jc w:val="both"/>
        <w:rPr>
          <w:rFonts w:ascii="Arial" w:eastAsia="Arial" w:hAnsi="Arial" w:cs="Arial"/>
          <w:lang w:val="en-US"/>
        </w:rPr>
      </w:pPr>
      <w:r w:rsidRPr="000174B0">
        <w:rPr>
          <w:rFonts w:ascii="Arial" w:eastAsia="Arial" w:hAnsi="Arial" w:cs="Arial"/>
          <w:lang w:val="en-US"/>
        </w:rPr>
        <w:t xml:space="preserve">In order to </w:t>
      </w:r>
      <w:r w:rsidR="00DC0A8E" w:rsidRPr="000174B0">
        <w:rPr>
          <w:rFonts w:ascii="Arial" w:eastAsia="Arial" w:hAnsi="Arial" w:cs="Arial"/>
          <w:lang w:val="en-US"/>
        </w:rPr>
        <w:t>accomplish</w:t>
      </w:r>
      <w:r w:rsidRPr="000174B0">
        <w:rPr>
          <w:rFonts w:ascii="Arial" w:eastAsia="Arial" w:hAnsi="Arial" w:cs="Arial"/>
          <w:lang w:val="en-US"/>
        </w:rPr>
        <w:t xml:space="preserve"> t</w:t>
      </w:r>
      <w:r w:rsidR="00C44F61" w:rsidRPr="000174B0">
        <w:rPr>
          <w:rFonts w:ascii="Arial" w:eastAsia="Arial" w:hAnsi="Arial" w:cs="Arial"/>
          <w:lang w:val="en-US"/>
        </w:rPr>
        <w:t>he</w:t>
      </w:r>
      <w:r w:rsidR="00B23D58" w:rsidRPr="000174B0">
        <w:rPr>
          <w:rFonts w:ascii="Arial" w:eastAsia="Arial" w:hAnsi="Arial" w:cs="Arial"/>
          <w:lang w:val="en-US"/>
        </w:rPr>
        <w:t xml:space="preserve"> </w:t>
      </w:r>
      <w:r w:rsidR="00AA6AB7">
        <w:rPr>
          <w:rFonts w:ascii="Arial" w:eastAsia="Arial" w:hAnsi="Arial" w:cs="Arial"/>
          <w:lang w:val="en-US"/>
        </w:rPr>
        <w:t xml:space="preserve">aforementioned </w:t>
      </w:r>
      <w:r w:rsidR="00B23D58" w:rsidRPr="000174B0">
        <w:rPr>
          <w:rFonts w:ascii="Arial" w:eastAsia="Arial" w:hAnsi="Arial" w:cs="Arial"/>
          <w:lang w:val="en-US"/>
        </w:rPr>
        <w:t>objectives</w:t>
      </w:r>
      <w:r w:rsidRPr="000174B0">
        <w:rPr>
          <w:rFonts w:ascii="Arial" w:eastAsia="Arial" w:hAnsi="Arial" w:cs="Arial"/>
          <w:lang w:val="en-US"/>
        </w:rPr>
        <w:t>, the</w:t>
      </w:r>
      <w:r w:rsidR="007E4508" w:rsidRPr="000174B0">
        <w:rPr>
          <w:rFonts w:ascii="Arial" w:eastAsia="Arial" w:hAnsi="Arial" w:cs="Arial"/>
          <w:lang w:val="en-US"/>
        </w:rPr>
        <w:t xml:space="preserve"> </w:t>
      </w:r>
      <w:r w:rsidR="006F6693" w:rsidRPr="000174B0">
        <w:rPr>
          <w:rFonts w:ascii="Arial" w:eastAsia="Arial" w:hAnsi="Arial" w:cs="Arial"/>
          <w:lang w:val="en-US"/>
        </w:rPr>
        <w:t xml:space="preserve">consultancy </w:t>
      </w:r>
      <w:r w:rsidR="00F7014E" w:rsidRPr="000174B0">
        <w:rPr>
          <w:rFonts w:ascii="Arial" w:eastAsia="Arial" w:hAnsi="Arial" w:cs="Arial"/>
          <w:lang w:val="en-US"/>
        </w:rPr>
        <w:t>will</w:t>
      </w:r>
      <w:r w:rsidR="005177A1" w:rsidRPr="000174B0">
        <w:rPr>
          <w:rFonts w:ascii="Arial" w:eastAsia="Arial" w:hAnsi="Arial" w:cs="Arial"/>
          <w:lang w:val="en-US"/>
        </w:rPr>
        <w:t xml:space="preserve"> </w:t>
      </w:r>
      <w:r w:rsidR="00B23D58" w:rsidRPr="000174B0">
        <w:rPr>
          <w:rFonts w:ascii="Arial" w:eastAsia="Arial" w:hAnsi="Arial" w:cs="Arial"/>
          <w:lang w:val="en-US"/>
        </w:rPr>
        <w:t>carry out</w:t>
      </w:r>
      <w:r w:rsidR="00F951E7" w:rsidRPr="000174B0">
        <w:rPr>
          <w:rFonts w:ascii="Arial" w:eastAsia="Arial" w:hAnsi="Arial" w:cs="Arial"/>
          <w:lang w:val="en-US"/>
        </w:rPr>
        <w:t xml:space="preserve"> the following </w:t>
      </w:r>
      <w:r w:rsidR="00AA474D" w:rsidRPr="000174B0">
        <w:rPr>
          <w:rFonts w:ascii="Arial" w:eastAsia="Arial" w:hAnsi="Arial" w:cs="Arial"/>
          <w:lang w:val="en-US"/>
        </w:rPr>
        <w:t>activities</w:t>
      </w:r>
      <w:r w:rsidR="00C44F61" w:rsidRPr="000174B0">
        <w:rPr>
          <w:rFonts w:ascii="Arial" w:eastAsia="Arial" w:hAnsi="Arial" w:cs="Arial"/>
          <w:lang w:val="en-US"/>
        </w:rPr>
        <w:t>:</w:t>
      </w:r>
    </w:p>
    <w:p w:rsidR="004D1915" w:rsidRPr="000174B0" w:rsidRDefault="004D1915" w:rsidP="004D1915">
      <w:pPr>
        <w:pStyle w:val="ListParagraph"/>
        <w:autoSpaceDE w:val="0"/>
        <w:autoSpaceDN w:val="0"/>
        <w:adjustRightInd w:val="0"/>
        <w:spacing w:before="120" w:after="0"/>
        <w:ind w:left="360"/>
        <w:jc w:val="both"/>
        <w:rPr>
          <w:rFonts w:ascii="Arial" w:eastAsia="Arial" w:hAnsi="Arial" w:cs="Arial"/>
          <w:lang w:val="en-US"/>
        </w:rPr>
      </w:pPr>
    </w:p>
    <w:p w:rsidR="005177A1" w:rsidRPr="000174B0" w:rsidRDefault="00B05B33" w:rsidP="00DD3DE4">
      <w:pPr>
        <w:pStyle w:val="ListParagraph"/>
        <w:numPr>
          <w:ilvl w:val="0"/>
          <w:numId w:val="30"/>
        </w:numPr>
        <w:autoSpaceDE w:val="0"/>
        <w:autoSpaceDN w:val="0"/>
        <w:adjustRightInd w:val="0"/>
        <w:spacing w:before="120" w:after="0"/>
        <w:jc w:val="both"/>
        <w:rPr>
          <w:rFonts w:ascii="Arial" w:eastAsia="Arial" w:hAnsi="Arial" w:cs="Arial"/>
          <w:lang w:val="en-US"/>
        </w:rPr>
      </w:pPr>
      <w:r w:rsidRPr="000174B0">
        <w:rPr>
          <w:rFonts w:ascii="Arial" w:eastAsia="Arial" w:hAnsi="Arial" w:cs="Arial"/>
          <w:lang w:val="en-US"/>
        </w:rPr>
        <w:t>Creation</w:t>
      </w:r>
      <w:r w:rsidR="00DB2418" w:rsidRPr="000174B0">
        <w:rPr>
          <w:rFonts w:ascii="Arial" w:hAnsi="Arial" w:cs="Arial"/>
          <w:lang w:val="en-US"/>
        </w:rPr>
        <w:t xml:space="preserve"> and </w:t>
      </w:r>
      <w:r w:rsidR="00AA6AB7">
        <w:rPr>
          <w:rFonts w:ascii="Arial" w:hAnsi="Arial" w:cs="Arial"/>
          <w:lang w:val="en-US"/>
        </w:rPr>
        <w:t xml:space="preserve">operation </w:t>
      </w:r>
      <w:r w:rsidR="00DB2418" w:rsidRPr="000174B0">
        <w:rPr>
          <w:rFonts w:ascii="Arial" w:hAnsi="Arial" w:cs="Arial"/>
          <w:lang w:val="en-US"/>
        </w:rPr>
        <w:t xml:space="preserve">of </w:t>
      </w:r>
      <w:r w:rsidR="00AA6AB7">
        <w:rPr>
          <w:rFonts w:ascii="Arial" w:hAnsi="Arial" w:cs="Arial"/>
          <w:lang w:val="en-US"/>
        </w:rPr>
        <w:t>a</w:t>
      </w:r>
      <w:r w:rsidR="00DB2418" w:rsidRPr="000174B0">
        <w:rPr>
          <w:rFonts w:ascii="Arial" w:hAnsi="Arial" w:cs="Arial"/>
          <w:lang w:val="en-US"/>
        </w:rPr>
        <w:t xml:space="preserve"> formal national</w:t>
      </w:r>
      <w:r w:rsidR="00736971" w:rsidRPr="000174B0">
        <w:rPr>
          <w:rFonts w:ascii="Arial" w:hAnsi="Arial" w:cs="Arial"/>
          <w:lang w:val="en-US"/>
        </w:rPr>
        <w:t xml:space="preserve"> NCDI C</w:t>
      </w:r>
      <w:r w:rsidR="00DB2418" w:rsidRPr="000174B0">
        <w:rPr>
          <w:rFonts w:ascii="Arial" w:hAnsi="Arial" w:cs="Arial"/>
          <w:lang w:val="en-US"/>
        </w:rPr>
        <w:t>ommission in Haiti</w:t>
      </w:r>
      <w:r w:rsidR="001F3793" w:rsidRPr="000174B0">
        <w:rPr>
          <w:rFonts w:ascii="Arial" w:hAnsi="Arial" w:cs="Arial"/>
          <w:lang w:val="en-US"/>
        </w:rPr>
        <w:t>. After creation, committee</w:t>
      </w:r>
      <w:r w:rsidR="00AA6AB7">
        <w:rPr>
          <w:rFonts w:ascii="Arial" w:hAnsi="Arial" w:cs="Arial"/>
          <w:lang w:val="en-US"/>
        </w:rPr>
        <w:t xml:space="preserve"> members</w:t>
      </w:r>
      <w:r w:rsidR="001F3793" w:rsidRPr="000174B0">
        <w:rPr>
          <w:rFonts w:ascii="Arial" w:hAnsi="Arial" w:cs="Arial"/>
          <w:lang w:val="en-US"/>
        </w:rPr>
        <w:t xml:space="preserve"> have to </w:t>
      </w:r>
      <w:r w:rsidR="00AA6AB7">
        <w:rPr>
          <w:rFonts w:ascii="Arial" w:hAnsi="Arial" w:cs="Arial"/>
          <w:lang w:val="en-US"/>
        </w:rPr>
        <w:t xml:space="preserve">meet to </w:t>
      </w:r>
      <w:r w:rsidR="00736971" w:rsidRPr="000174B0">
        <w:rPr>
          <w:rFonts w:ascii="Arial" w:hAnsi="Arial" w:cs="Arial"/>
          <w:lang w:val="en-US"/>
        </w:rPr>
        <w:t xml:space="preserve">discuss the objectives, </w:t>
      </w:r>
      <w:r w:rsidRPr="000174B0">
        <w:rPr>
          <w:rFonts w:ascii="Arial" w:hAnsi="Arial" w:cs="Arial"/>
          <w:lang w:val="en-US"/>
        </w:rPr>
        <w:t>mandates, activities and</w:t>
      </w:r>
      <w:r w:rsidR="00AA6AB7">
        <w:rPr>
          <w:rFonts w:ascii="Arial" w:hAnsi="Arial" w:cs="Arial"/>
          <w:lang w:val="en-US"/>
        </w:rPr>
        <w:t xml:space="preserve"> define</w:t>
      </w:r>
      <w:r w:rsidR="001F3793" w:rsidRPr="000174B0">
        <w:rPr>
          <w:rFonts w:ascii="Arial" w:hAnsi="Arial" w:cs="Arial"/>
          <w:lang w:val="en-US"/>
        </w:rPr>
        <w:t xml:space="preserve"> </w:t>
      </w:r>
      <w:r w:rsidR="00AA6AB7">
        <w:rPr>
          <w:rFonts w:ascii="Arial" w:hAnsi="Arial" w:cs="Arial"/>
          <w:lang w:val="en-US"/>
        </w:rPr>
        <w:t xml:space="preserve">the working paper </w:t>
      </w:r>
      <w:r w:rsidR="001F3793" w:rsidRPr="000174B0">
        <w:rPr>
          <w:rFonts w:ascii="Arial" w:hAnsi="Arial" w:cs="Arial"/>
          <w:lang w:val="en-US"/>
        </w:rPr>
        <w:t>outline</w:t>
      </w:r>
      <w:r w:rsidR="00AA6AB7">
        <w:rPr>
          <w:rFonts w:ascii="Arial" w:hAnsi="Arial" w:cs="Arial"/>
          <w:lang w:val="en-US"/>
        </w:rPr>
        <w:t>.</w:t>
      </w:r>
    </w:p>
    <w:p w:rsidR="00361C50" w:rsidRPr="000174B0" w:rsidRDefault="00361C50" w:rsidP="00DD3DE4">
      <w:pPr>
        <w:pStyle w:val="ListParagraph"/>
        <w:numPr>
          <w:ilvl w:val="0"/>
          <w:numId w:val="30"/>
        </w:numPr>
        <w:autoSpaceDE w:val="0"/>
        <w:autoSpaceDN w:val="0"/>
        <w:adjustRightInd w:val="0"/>
        <w:spacing w:before="120" w:after="0"/>
        <w:jc w:val="both"/>
        <w:rPr>
          <w:rFonts w:ascii="Arial" w:eastAsia="Arial" w:hAnsi="Arial" w:cs="Arial"/>
          <w:lang w:val="en-US"/>
        </w:rPr>
      </w:pPr>
      <w:r w:rsidRPr="000174B0">
        <w:rPr>
          <w:rFonts w:ascii="Arial" w:hAnsi="Arial" w:cs="Arial"/>
          <w:lang w:val="en-US"/>
        </w:rPr>
        <w:t>Assembling baseline data using secondary sources for the following dimensions: epidemiology, poverty, coverage of interventions, cost and national financing.  Survey data must include the 2013 Global Burden of Disease data from the Institute Metrics and Evaluation (IHME) and the Demographic Health Survey (DHS-2013). Also, if available, data from health management information system, facility based registries, health facility service availability survey, health workforce information system, public tenders and national health accounts should be compiled.</w:t>
      </w:r>
    </w:p>
    <w:p w:rsidR="00361C50" w:rsidRPr="000174B0" w:rsidRDefault="006F2C0D" w:rsidP="00DD3DE4">
      <w:pPr>
        <w:pStyle w:val="ListParagraph"/>
        <w:numPr>
          <w:ilvl w:val="0"/>
          <w:numId w:val="30"/>
        </w:numPr>
        <w:autoSpaceDE w:val="0"/>
        <w:autoSpaceDN w:val="0"/>
        <w:adjustRightInd w:val="0"/>
        <w:spacing w:before="120" w:after="0"/>
        <w:jc w:val="both"/>
        <w:rPr>
          <w:rFonts w:ascii="Arial" w:eastAsia="Arial" w:hAnsi="Arial" w:cs="Arial"/>
          <w:lang w:val="en-US"/>
        </w:rPr>
      </w:pPr>
      <w:r w:rsidRPr="000174B0">
        <w:rPr>
          <w:rFonts w:ascii="Arial" w:eastAsia="Arial" w:hAnsi="Arial" w:cs="Arial"/>
          <w:lang w:val="en-US"/>
        </w:rPr>
        <w:t xml:space="preserve">Generate, </w:t>
      </w:r>
      <w:r w:rsidR="00361C50" w:rsidRPr="000174B0">
        <w:rPr>
          <w:rFonts w:ascii="Arial" w:eastAsia="Arial" w:hAnsi="Arial" w:cs="Arial"/>
          <w:lang w:val="en-US"/>
        </w:rPr>
        <w:t>analyze</w:t>
      </w:r>
      <w:r w:rsidRPr="000174B0">
        <w:rPr>
          <w:rFonts w:ascii="Arial" w:eastAsia="Arial" w:hAnsi="Arial" w:cs="Arial"/>
          <w:lang w:val="en-US"/>
        </w:rPr>
        <w:t xml:space="preserve"> and report</w:t>
      </w:r>
      <w:r w:rsidR="00361C50" w:rsidRPr="000174B0">
        <w:rPr>
          <w:rFonts w:ascii="Arial" w:eastAsia="Arial" w:hAnsi="Arial" w:cs="Arial"/>
          <w:lang w:val="en-US"/>
        </w:rPr>
        <w:t xml:space="preserve"> key NCDI estimators including estimated disease burden and coverage of interventions, case fatality rates, health care utilization, estimates of household out-of-pocket payments, and government costs for proposed service packages, medicines, and technologies. </w:t>
      </w:r>
    </w:p>
    <w:p w:rsidR="000B2B96" w:rsidRDefault="00361C50" w:rsidP="00DD3DE4">
      <w:pPr>
        <w:pStyle w:val="ListParagraph"/>
        <w:numPr>
          <w:ilvl w:val="0"/>
          <w:numId w:val="30"/>
        </w:numPr>
        <w:autoSpaceDE w:val="0"/>
        <w:autoSpaceDN w:val="0"/>
        <w:adjustRightInd w:val="0"/>
        <w:spacing w:before="120" w:after="0"/>
        <w:jc w:val="both"/>
        <w:rPr>
          <w:rFonts w:ascii="Arial" w:eastAsia="Arial" w:hAnsi="Arial" w:cs="Arial"/>
          <w:lang w:val="en-US"/>
        </w:rPr>
      </w:pPr>
      <w:r w:rsidRPr="000174B0">
        <w:rPr>
          <w:rFonts w:ascii="Arial" w:hAnsi="Arial" w:cs="Arial"/>
          <w:lang w:val="en-US"/>
        </w:rPr>
        <w:t>Elaborate narratives of NCDI’s patients</w:t>
      </w:r>
      <w:r w:rsidR="000B2B96">
        <w:rPr>
          <w:rFonts w:ascii="Arial" w:hAnsi="Arial" w:cs="Arial"/>
          <w:lang w:val="en-US"/>
        </w:rPr>
        <w:t xml:space="preserve"> and physicians</w:t>
      </w:r>
      <w:r w:rsidRPr="000174B0">
        <w:rPr>
          <w:rFonts w:ascii="Arial" w:hAnsi="Arial" w:cs="Arial"/>
          <w:lang w:val="en-US"/>
        </w:rPr>
        <w:t>, including about 20 participants.</w:t>
      </w:r>
      <w:r w:rsidR="000F2BEE" w:rsidRPr="000174B0">
        <w:rPr>
          <w:lang w:val="en-US"/>
        </w:rPr>
        <w:t xml:space="preserve"> </w:t>
      </w:r>
      <w:r w:rsidR="000F2BEE" w:rsidRPr="000174B0">
        <w:rPr>
          <w:rFonts w:ascii="Arial" w:eastAsia="Arial" w:hAnsi="Arial" w:cs="Arial"/>
          <w:lang w:val="en-US"/>
        </w:rPr>
        <w:t xml:space="preserve">These narratives will allow </w:t>
      </w:r>
      <w:r w:rsidR="000B2B96">
        <w:rPr>
          <w:rFonts w:ascii="Arial" w:eastAsia="Arial" w:hAnsi="Arial" w:cs="Arial"/>
          <w:lang w:val="en-US"/>
        </w:rPr>
        <w:t xml:space="preserve">the national NCDI commission to </w:t>
      </w:r>
      <w:r w:rsidR="000F2BEE" w:rsidRPr="000174B0">
        <w:rPr>
          <w:rFonts w:ascii="Arial" w:eastAsia="Arial" w:hAnsi="Arial" w:cs="Arial"/>
          <w:lang w:val="en-US"/>
        </w:rPr>
        <w:t xml:space="preserve">better understand the epidemiology and political economy of </w:t>
      </w:r>
      <w:r w:rsidR="000B2B96">
        <w:rPr>
          <w:rFonts w:ascii="Arial" w:eastAsia="Arial" w:hAnsi="Arial" w:cs="Arial"/>
          <w:lang w:val="en-US"/>
        </w:rPr>
        <w:t xml:space="preserve">people </w:t>
      </w:r>
      <w:r w:rsidR="000F2BEE" w:rsidRPr="000174B0">
        <w:rPr>
          <w:rFonts w:ascii="Arial" w:eastAsia="Arial" w:hAnsi="Arial" w:cs="Arial"/>
          <w:lang w:val="en-US"/>
        </w:rPr>
        <w:t>living with NCDIs in the poorest populations in Haiti</w:t>
      </w:r>
      <w:r w:rsidR="000B2B96">
        <w:rPr>
          <w:rFonts w:ascii="Arial" w:eastAsia="Arial" w:hAnsi="Arial" w:cs="Arial"/>
          <w:lang w:val="en-US"/>
        </w:rPr>
        <w:t>.</w:t>
      </w:r>
    </w:p>
    <w:p w:rsidR="00F1158E" w:rsidRDefault="00F1158E" w:rsidP="00DD3DE4">
      <w:pPr>
        <w:pStyle w:val="ListParagraph"/>
        <w:numPr>
          <w:ilvl w:val="0"/>
          <w:numId w:val="30"/>
        </w:numPr>
        <w:autoSpaceDE w:val="0"/>
        <w:autoSpaceDN w:val="0"/>
        <w:adjustRightInd w:val="0"/>
        <w:spacing w:before="120" w:after="0"/>
        <w:jc w:val="both"/>
        <w:rPr>
          <w:rFonts w:ascii="Arial" w:eastAsia="Arial" w:hAnsi="Arial" w:cs="Arial"/>
          <w:lang w:val="en-US"/>
        </w:rPr>
      </w:pPr>
      <w:r>
        <w:rPr>
          <w:rFonts w:ascii="Arial" w:eastAsia="Arial" w:hAnsi="Arial" w:cs="Arial"/>
          <w:lang w:val="en-US"/>
        </w:rPr>
        <w:t>Share and discuss with the national NCDI commission:</w:t>
      </w:r>
      <w:r w:rsidR="00BC6E8B">
        <w:rPr>
          <w:rFonts w:ascii="Arial" w:eastAsia="Arial" w:hAnsi="Arial" w:cs="Arial"/>
          <w:lang w:val="en-US"/>
        </w:rPr>
        <w:t xml:space="preserve"> assembled </w:t>
      </w:r>
      <w:r>
        <w:rPr>
          <w:rFonts w:ascii="Arial" w:eastAsia="Arial" w:hAnsi="Arial" w:cs="Arial"/>
          <w:lang w:val="en-US"/>
        </w:rPr>
        <w:t xml:space="preserve">data, </w:t>
      </w:r>
      <w:r w:rsidR="00BC6E8B">
        <w:rPr>
          <w:rFonts w:ascii="Arial" w:eastAsia="Arial" w:hAnsi="Arial" w:cs="Arial"/>
          <w:lang w:val="en-US"/>
        </w:rPr>
        <w:t xml:space="preserve">estimated </w:t>
      </w:r>
      <w:r>
        <w:rPr>
          <w:rFonts w:ascii="Arial" w:eastAsia="Arial" w:hAnsi="Arial" w:cs="Arial"/>
          <w:lang w:val="en-US"/>
        </w:rPr>
        <w:t xml:space="preserve">indicator and </w:t>
      </w:r>
      <w:r w:rsidR="00BC6E8B">
        <w:rPr>
          <w:rFonts w:ascii="Arial" w:eastAsia="Arial" w:hAnsi="Arial" w:cs="Arial"/>
          <w:lang w:val="en-US"/>
        </w:rPr>
        <w:t xml:space="preserve">elaborated </w:t>
      </w:r>
      <w:r>
        <w:rPr>
          <w:rFonts w:ascii="Arial" w:eastAsia="Arial" w:hAnsi="Arial" w:cs="Arial"/>
          <w:lang w:val="en-US"/>
        </w:rPr>
        <w:t>narratives.</w:t>
      </w:r>
    </w:p>
    <w:p w:rsidR="00F1158E" w:rsidRDefault="00F1158E" w:rsidP="00DD3DE4">
      <w:pPr>
        <w:pStyle w:val="ListParagraph"/>
        <w:numPr>
          <w:ilvl w:val="0"/>
          <w:numId w:val="30"/>
        </w:numPr>
        <w:autoSpaceDE w:val="0"/>
        <w:autoSpaceDN w:val="0"/>
        <w:adjustRightInd w:val="0"/>
        <w:spacing w:before="120" w:after="0"/>
        <w:jc w:val="both"/>
        <w:rPr>
          <w:rFonts w:ascii="Arial" w:eastAsia="Arial" w:hAnsi="Arial" w:cs="Arial"/>
          <w:lang w:val="en-US"/>
        </w:rPr>
      </w:pPr>
      <w:r>
        <w:rPr>
          <w:rFonts w:ascii="Arial" w:eastAsia="Arial" w:hAnsi="Arial" w:cs="Arial"/>
          <w:lang w:val="en-US"/>
        </w:rPr>
        <w:lastRenderedPageBreak/>
        <w:t>Provide technical and advisory support to help the national commission successfully undertake the following activities:</w:t>
      </w:r>
    </w:p>
    <w:p w:rsidR="00610BD5" w:rsidRPr="000174B0" w:rsidRDefault="00610BD5" w:rsidP="00F1158E">
      <w:pPr>
        <w:pStyle w:val="ListParagraph"/>
        <w:numPr>
          <w:ilvl w:val="1"/>
          <w:numId w:val="32"/>
        </w:numPr>
        <w:autoSpaceDE w:val="0"/>
        <w:autoSpaceDN w:val="0"/>
        <w:adjustRightInd w:val="0"/>
        <w:spacing w:before="120" w:after="0"/>
        <w:jc w:val="both"/>
        <w:rPr>
          <w:rFonts w:ascii="Arial" w:eastAsia="Arial" w:hAnsi="Arial" w:cs="Arial"/>
          <w:lang w:val="en-US"/>
        </w:rPr>
      </w:pPr>
      <w:r w:rsidRPr="000174B0">
        <w:rPr>
          <w:rFonts w:ascii="Arial" w:hAnsi="Arial" w:cs="Arial"/>
          <w:color w:val="000000"/>
          <w:lang w:val="en-US"/>
        </w:rPr>
        <w:t>Enumerate an evidence based list of relevant NCDI conditions and risk factors</w:t>
      </w:r>
      <w:r w:rsidRPr="000174B0">
        <w:rPr>
          <w:rFonts w:ascii="Arial" w:hAnsi="Arial" w:cs="Arial"/>
          <w:lang w:val="en-US"/>
        </w:rPr>
        <w:t>.</w:t>
      </w:r>
      <w:r w:rsidR="00B876B9" w:rsidRPr="000174B0">
        <w:rPr>
          <w:rFonts w:ascii="Arial" w:hAnsi="Arial" w:cs="Arial"/>
          <w:lang w:val="en-US"/>
        </w:rPr>
        <w:t xml:space="preserve"> </w:t>
      </w:r>
      <w:r w:rsidR="007A3E75" w:rsidRPr="000174B0">
        <w:rPr>
          <w:rFonts w:ascii="Arial" w:hAnsi="Arial" w:cs="Arial"/>
          <w:lang w:val="en-US"/>
        </w:rPr>
        <w:t xml:space="preserve">Criteria for </w:t>
      </w:r>
      <w:r w:rsidR="00F1158E" w:rsidRPr="000174B0">
        <w:rPr>
          <w:rFonts w:ascii="Arial" w:hAnsi="Arial" w:cs="Arial"/>
          <w:lang w:val="en-US"/>
        </w:rPr>
        <w:t>inclusion</w:t>
      </w:r>
      <w:r w:rsidR="007A3E75" w:rsidRPr="000174B0">
        <w:rPr>
          <w:rFonts w:ascii="Arial" w:hAnsi="Arial" w:cs="Arial"/>
          <w:lang w:val="en-US"/>
        </w:rPr>
        <w:t xml:space="preserve"> would include: conditions/risk factors with high population disease burden, conditions/risk factors with individual disease burden, conditions/risk factors disproportionately affecting the po</w:t>
      </w:r>
      <w:r w:rsidR="00F1158E">
        <w:rPr>
          <w:rFonts w:ascii="Arial" w:hAnsi="Arial" w:cs="Arial"/>
          <w:lang w:val="en-US"/>
        </w:rPr>
        <w:t>o</w:t>
      </w:r>
      <w:r w:rsidR="007A3E75" w:rsidRPr="000174B0">
        <w:rPr>
          <w:rFonts w:ascii="Arial" w:hAnsi="Arial" w:cs="Arial"/>
          <w:lang w:val="en-US"/>
        </w:rPr>
        <w:t>r and, conditions/risk factors associated with high out-of-pocket expenditures.</w:t>
      </w:r>
    </w:p>
    <w:p w:rsidR="00610BD5" w:rsidRPr="000174B0" w:rsidRDefault="00610BD5" w:rsidP="00F1158E">
      <w:pPr>
        <w:pStyle w:val="ListParagraph"/>
        <w:numPr>
          <w:ilvl w:val="1"/>
          <w:numId w:val="32"/>
        </w:numPr>
        <w:autoSpaceDE w:val="0"/>
        <w:autoSpaceDN w:val="0"/>
        <w:adjustRightInd w:val="0"/>
        <w:spacing w:before="120" w:after="0"/>
        <w:jc w:val="both"/>
        <w:rPr>
          <w:rFonts w:ascii="Arial" w:eastAsia="Arial" w:hAnsi="Arial" w:cs="Arial"/>
          <w:lang w:val="en-US"/>
        </w:rPr>
      </w:pPr>
      <w:r w:rsidRPr="000174B0">
        <w:rPr>
          <w:rFonts w:ascii="Arial" w:hAnsi="Arial" w:cs="Arial"/>
          <w:lang w:val="en-US"/>
        </w:rPr>
        <w:t>Summarize</w:t>
      </w:r>
      <w:r w:rsidRPr="000174B0">
        <w:rPr>
          <w:rFonts w:ascii="Arial" w:hAnsi="Arial" w:cs="Arial"/>
          <w:color w:val="000000"/>
          <w:lang w:val="en-US"/>
        </w:rPr>
        <w:t xml:space="preserve"> recommendations on essential NCDI services and recommended delivery platforms from D</w:t>
      </w:r>
      <w:r w:rsidRPr="000174B0">
        <w:rPr>
          <w:rFonts w:ascii="Arial" w:hAnsi="Arial" w:cs="Arial"/>
          <w:lang w:val="en-US"/>
        </w:rPr>
        <w:t xml:space="preserve">isease </w:t>
      </w:r>
      <w:r w:rsidRPr="000174B0">
        <w:rPr>
          <w:rFonts w:ascii="Arial" w:hAnsi="Arial" w:cs="Arial"/>
          <w:color w:val="000000"/>
          <w:lang w:val="en-US"/>
        </w:rPr>
        <w:t>C</w:t>
      </w:r>
      <w:r w:rsidRPr="000174B0">
        <w:rPr>
          <w:rFonts w:ascii="Arial" w:hAnsi="Arial" w:cs="Arial"/>
          <w:lang w:val="en-US"/>
        </w:rPr>
        <w:t xml:space="preserve">ontrol </w:t>
      </w:r>
      <w:r w:rsidRPr="000174B0">
        <w:rPr>
          <w:rFonts w:ascii="Arial" w:hAnsi="Arial" w:cs="Arial"/>
          <w:color w:val="000000"/>
          <w:lang w:val="en-US"/>
        </w:rPr>
        <w:t>P</w:t>
      </w:r>
      <w:r w:rsidRPr="000174B0">
        <w:rPr>
          <w:rFonts w:ascii="Arial" w:hAnsi="Arial" w:cs="Arial"/>
          <w:lang w:val="en-US"/>
        </w:rPr>
        <w:t xml:space="preserve">riorities (DCP3) volumes, </w:t>
      </w:r>
      <w:r w:rsidRPr="000174B0">
        <w:rPr>
          <w:rFonts w:ascii="Arial" w:hAnsi="Arial" w:cs="Arial"/>
          <w:color w:val="000000"/>
          <w:lang w:val="en-US"/>
        </w:rPr>
        <w:t>loc</w:t>
      </w:r>
      <w:r w:rsidRPr="000174B0">
        <w:rPr>
          <w:rFonts w:ascii="Arial" w:hAnsi="Arial" w:cs="Arial"/>
          <w:lang w:val="en-US"/>
        </w:rPr>
        <w:t>al delivery models</w:t>
      </w:r>
      <w:r w:rsidRPr="000174B0">
        <w:rPr>
          <w:rFonts w:ascii="Arial" w:hAnsi="Arial" w:cs="Arial"/>
          <w:color w:val="000000"/>
          <w:lang w:val="en-US"/>
        </w:rPr>
        <w:t>, and other relevant literature, focusing on what is known about cost and effectiveness and (effective) coverage for these services</w:t>
      </w:r>
      <w:r w:rsidR="00AB7A0D" w:rsidRPr="000174B0">
        <w:rPr>
          <w:rFonts w:ascii="Arial" w:hAnsi="Arial" w:cs="Arial"/>
          <w:color w:val="000000"/>
          <w:lang w:val="en-US"/>
        </w:rPr>
        <w:t>.</w:t>
      </w:r>
    </w:p>
    <w:p w:rsidR="000632BF" w:rsidRPr="000174B0" w:rsidRDefault="000632BF" w:rsidP="00F1158E">
      <w:pPr>
        <w:pStyle w:val="ListParagraph"/>
        <w:numPr>
          <w:ilvl w:val="1"/>
          <w:numId w:val="32"/>
        </w:numPr>
        <w:autoSpaceDE w:val="0"/>
        <w:autoSpaceDN w:val="0"/>
        <w:adjustRightInd w:val="0"/>
        <w:spacing w:before="120" w:after="0"/>
        <w:jc w:val="both"/>
        <w:rPr>
          <w:rFonts w:ascii="Arial" w:eastAsia="Arial" w:hAnsi="Arial" w:cs="Arial"/>
          <w:lang w:val="en-US"/>
        </w:rPr>
      </w:pPr>
      <w:r w:rsidRPr="000174B0">
        <w:rPr>
          <w:rFonts w:ascii="Arial" w:hAnsi="Arial" w:cs="Arial"/>
          <w:color w:val="000000"/>
          <w:lang w:val="en-US"/>
        </w:rPr>
        <w:t>Mapping a list of services against delivery platforms and health worker categories, including innovative services delivery strategies such as novel types of mid-level providers.</w:t>
      </w:r>
    </w:p>
    <w:p w:rsidR="00EB6B85" w:rsidRPr="000174B0" w:rsidRDefault="00F60A88" w:rsidP="00F1158E">
      <w:pPr>
        <w:pStyle w:val="ListParagraph"/>
        <w:numPr>
          <w:ilvl w:val="1"/>
          <w:numId w:val="32"/>
        </w:numPr>
        <w:autoSpaceDE w:val="0"/>
        <w:autoSpaceDN w:val="0"/>
        <w:adjustRightInd w:val="0"/>
        <w:spacing w:before="120" w:after="0"/>
        <w:jc w:val="both"/>
        <w:rPr>
          <w:rFonts w:ascii="Arial" w:eastAsia="Arial" w:hAnsi="Arial" w:cs="Arial"/>
          <w:lang w:val="en-US"/>
        </w:rPr>
      </w:pPr>
      <w:r w:rsidRPr="000174B0">
        <w:rPr>
          <w:rFonts w:ascii="Arial" w:hAnsi="Arial" w:cs="Arial"/>
          <w:lang w:val="en-US"/>
        </w:rPr>
        <w:t xml:space="preserve">Organize a second </w:t>
      </w:r>
      <w:r w:rsidR="00BA1D00">
        <w:rPr>
          <w:rFonts w:ascii="Arial" w:hAnsi="Arial" w:cs="Arial"/>
          <w:lang w:val="en-US"/>
        </w:rPr>
        <w:t xml:space="preserve">national NCDI commission </w:t>
      </w:r>
      <w:r w:rsidRPr="000174B0">
        <w:rPr>
          <w:rFonts w:ascii="Arial" w:hAnsi="Arial" w:cs="Arial"/>
          <w:lang w:val="en-US"/>
        </w:rPr>
        <w:t xml:space="preserve">meeting </w:t>
      </w:r>
      <w:r w:rsidR="00BA1D00">
        <w:rPr>
          <w:rFonts w:ascii="Arial" w:hAnsi="Arial" w:cs="Arial"/>
          <w:lang w:val="en-US"/>
        </w:rPr>
        <w:t xml:space="preserve">to discuss </w:t>
      </w:r>
      <w:r w:rsidR="00262C5B" w:rsidRPr="000174B0">
        <w:rPr>
          <w:rFonts w:ascii="Arial" w:hAnsi="Arial" w:cs="Arial"/>
          <w:color w:val="000000"/>
          <w:lang w:val="en-US"/>
        </w:rPr>
        <w:t xml:space="preserve">the list of relevant NCDI conditions and risk factors, including the addition of other relevant services needed to capture the “long tail” of the NCDI burden, providing key rationale for inclusion based on criteria such as </w:t>
      </w:r>
      <w:r w:rsidR="00262C5B" w:rsidRPr="000174B0">
        <w:rPr>
          <w:rFonts w:ascii="Arial" w:hAnsi="Arial" w:cs="Arial"/>
          <w:lang w:val="en-US"/>
        </w:rPr>
        <w:t>p</w:t>
      </w:r>
      <w:r w:rsidR="00262C5B" w:rsidRPr="000174B0">
        <w:rPr>
          <w:rFonts w:ascii="Arial" w:hAnsi="Arial" w:cs="Arial"/>
          <w:color w:val="000000"/>
          <w:lang w:val="en-US"/>
        </w:rPr>
        <w:t>riority to the worse off (in terms of both poverty and lifetime health status), cost-effectiveness and financial risk protection.</w:t>
      </w:r>
    </w:p>
    <w:p w:rsidR="000632BF" w:rsidRPr="000174B0" w:rsidRDefault="00A14599" w:rsidP="00F1158E">
      <w:pPr>
        <w:pStyle w:val="ListParagraph"/>
        <w:numPr>
          <w:ilvl w:val="1"/>
          <w:numId w:val="32"/>
        </w:numPr>
        <w:autoSpaceDE w:val="0"/>
        <w:autoSpaceDN w:val="0"/>
        <w:adjustRightInd w:val="0"/>
        <w:spacing w:before="120" w:after="0"/>
        <w:jc w:val="both"/>
        <w:rPr>
          <w:rFonts w:ascii="Arial" w:eastAsia="Arial" w:hAnsi="Arial" w:cs="Arial"/>
          <w:lang w:val="en-US"/>
        </w:rPr>
      </w:pPr>
      <w:r w:rsidRPr="000174B0">
        <w:rPr>
          <w:rFonts w:ascii="Arial" w:hAnsi="Arial" w:cs="Arial"/>
          <w:color w:val="000000"/>
          <w:lang w:val="en-US"/>
        </w:rPr>
        <w:t xml:space="preserve">In this meeting, the </w:t>
      </w:r>
      <w:r w:rsidR="00F1158E" w:rsidRPr="000174B0">
        <w:rPr>
          <w:rFonts w:ascii="Arial" w:hAnsi="Arial" w:cs="Arial"/>
          <w:color w:val="000000"/>
          <w:lang w:val="en-US"/>
        </w:rPr>
        <w:t>committee</w:t>
      </w:r>
      <w:r w:rsidRPr="000174B0">
        <w:rPr>
          <w:rFonts w:ascii="Arial" w:hAnsi="Arial" w:cs="Arial"/>
          <w:color w:val="000000"/>
          <w:lang w:val="en-US"/>
        </w:rPr>
        <w:t xml:space="preserve"> will also r</w:t>
      </w:r>
      <w:r w:rsidR="000632BF" w:rsidRPr="000174B0">
        <w:rPr>
          <w:rFonts w:ascii="Arial" w:hAnsi="Arial" w:cs="Arial"/>
          <w:color w:val="000000"/>
          <w:lang w:val="en-US"/>
        </w:rPr>
        <w:t>ank possible intervention strategies and document innovative policies and service delivery models. Then, review the possible NCDI interventions (policies and service delivery strategies) with their associated costs and impact on health and poverty.</w:t>
      </w:r>
    </w:p>
    <w:p w:rsidR="002E0A40" w:rsidRPr="002E0A40" w:rsidRDefault="00EB35A2" w:rsidP="00F1158E">
      <w:pPr>
        <w:pStyle w:val="ListParagraph"/>
        <w:numPr>
          <w:ilvl w:val="1"/>
          <w:numId w:val="32"/>
        </w:numPr>
        <w:autoSpaceDE w:val="0"/>
        <w:autoSpaceDN w:val="0"/>
        <w:adjustRightInd w:val="0"/>
        <w:spacing w:before="120"/>
        <w:jc w:val="both"/>
        <w:rPr>
          <w:rFonts w:ascii="Arial" w:eastAsia="Arial" w:hAnsi="Arial" w:cs="Arial"/>
          <w:lang w:val="en-US"/>
        </w:rPr>
      </w:pPr>
      <w:r w:rsidRPr="002E0A40">
        <w:rPr>
          <w:rFonts w:ascii="Arial" w:eastAsia="Arial" w:hAnsi="Arial" w:cs="Arial"/>
          <w:lang w:val="en-US"/>
        </w:rPr>
        <w:t xml:space="preserve">Prepare a </w:t>
      </w:r>
      <w:r w:rsidR="002E0A40" w:rsidRPr="002E0A40">
        <w:rPr>
          <w:rFonts w:ascii="Arial" w:eastAsia="Arial" w:hAnsi="Arial" w:cs="Arial"/>
          <w:lang w:val="en-US"/>
        </w:rPr>
        <w:t>working paper of pro-poor policies and integrated health service delivery platforms to achieve substantial reductions in premature deaths, suffering and poverty caused by NCDI</w:t>
      </w:r>
    </w:p>
    <w:p w:rsidR="004275CC" w:rsidRPr="000174B0" w:rsidRDefault="005F0B39" w:rsidP="002E30FB">
      <w:pPr>
        <w:autoSpaceDE w:val="0"/>
        <w:autoSpaceDN w:val="0"/>
        <w:adjustRightInd w:val="0"/>
        <w:spacing w:before="120"/>
        <w:jc w:val="both"/>
        <w:rPr>
          <w:rFonts w:ascii="Arial" w:eastAsia="Arial" w:hAnsi="Arial" w:cs="Arial"/>
          <w:lang w:val="en-US"/>
        </w:rPr>
      </w:pPr>
      <w:r>
        <w:rPr>
          <w:rFonts w:ascii="Arial" w:eastAsia="Arial" w:hAnsi="Arial" w:cs="Arial"/>
          <w:lang w:val="en-US"/>
        </w:rPr>
        <w:t xml:space="preserve">2.2 </w:t>
      </w:r>
      <w:r w:rsidR="008A5E93">
        <w:rPr>
          <w:rFonts w:ascii="Arial" w:eastAsia="Arial" w:hAnsi="Arial" w:cs="Arial"/>
          <w:lang w:val="en-US"/>
        </w:rPr>
        <w:t>Consultancy outputs are the following</w:t>
      </w:r>
      <w:r w:rsidR="004275CC" w:rsidRPr="000174B0">
        <w:rPr>
          <w:rFonts w:ascii="Arial" w:eastAsia="Arial" w:hAnsi="Arial" w:cs="Arial"/>
          <w:lang w:val="en-US"/>
        </w:rPr>
        <w:t>:</w:t>
      </w:r>
    </w:p>
    <w:p w:rsidR="0058673B" w:rsidRPr="000174B0" w:rsidRDefault="001B4CE1" w:rsidP="00F9763A">
      <w:pPr>
        <w:pStyle w:val="ListParagraph"/>
        <w:numPr>
          <w:ilvl w:val="0"/>
          <w:numId w:val="31"/>
        </w:numPr>
        <w:autoSpaceDE w:val="0"/>
        <w:autoSpaceDN w:val="0"/>
        <w:adjustRightInd w:val="0"/>
        <w:spacing w:before="120" w:after="0"/>
        <w:jc w:val="both"/>
        <w:rPr>
          <w:rFonts w:ascii="Arial" w:eastAsia="Arial" w:hAnsi="Arial" w:cs="Arial"/>
          <w:lang w:val="en-US"/>
        </w:rPr>
      </w:pPr>
      <w:r w:rsidRPr="000174B0">
        <w:rPr>
          <w:rFonts w:ascii="Arial" w:eastAsia="Arial" w:hAnsi="Arial" w:cs="Arial"/>
          <w:lang w:val="en-US"/>
        </w:rPr>
        <w:t>A d</w:t>
      </w:r>
      <w:r w:rsidR="0058673B" w:rsidRPr="000174B0">
        <w:rPr>
          <w:rFonts w:ascii="Arial" w:eastAsia="Arial" w:hAnsi="Arial" w:cs="Arial"/>
          <w:lang w:val="en-US"/>
        </w:rPr>
        <w:t>ocument w</w:t>
      </w:r>
      <w:r w:rsidR="00FF238F">
        <w:rPr>
          <w:rFonts w:ascii="Arial" w:eastAsia="Arial" w:hAnsi="Arial" w:cs="Arial"/>
          <w:lang w:val="en-US"/>
        </w:rPr>
        <w:t>ith the formal creation and byla</w:t>
      </w:r>
      <w:r w:rsidR="0058673B" w:rsidRPr="000174B0">
        <w:rPr>
          <w:rFonts w:ascii="Arial" w:eastAsia="Arial" w:hAnsi="Arial" w:cs="Arial"/>
          <w:lang w:val="en-US"/>
        </w:rPr>
        <w:t>ws of the national NCDI Commission in Haiti.</w:t>
      </w:r>
    </w:p>
    <w:p w:rsidR="00A65BD8" w:rsidRPr="000174B0" w:rsidRDefault="001B4CE1" w:rsidP="00F9763A">
      <w:pPr>
        <w:pStyle w:val="ListParagraph"/>
        <w:numPr>
          <w:ilvl w:val="0"/>
          <w:numId w:val="31"/>
        </w:numPr>
        <w:autoSpaceDE w:val="0"/>
        <w:autoSpaceDN w:val="0"/>
        <w:adjustRightInd w:val="0"/>
        <w:spacing w:before="120" w:after="0"/>
        <w:jc w:val="both"/>
        <w:rPr>
          <w:rFonts w:ascii="Arial" w:eastAsia="Arial" w:hAnsi="Arial" w:cs="Arial"/>
          <w:lang w:val="en-US"/>
        </w:rPr>
      </w:pPr>
      <w:r w:rsidRPr="000174B0">
        <w:rPr>
          <w:rFonts w:ascii="Arial" w:eastAsia="Arial" w:hAnsi="Arial" w:cs="Arial"/>
          <w:lang w:val="en-US"/>
        </w:rPr>
        <w:t>A r</w:t>
      </w:r>
      <w:r w:rsidR="0058673B" w:rsidRPr="000174B0">
        <w:rPr>
          <w:rFonts w:ascii="Arial" w:eastAsia="Arial" w:hAnsi="Arial" w:cs="Arial"/>
          <w:lang w:val="en-US"/>
        </w:rPr>
        <w:t>eport</w:t>
      </w:r>
      <w:r w:rsidR="007760D3">
        <w:rPr>
          <w:rFonts w:ascii="Arial" w:eastAsia="Arial" w:hAnsi="Arial" w:cs="Arial"/>
          <w:lang w:val="en-US"/>
        </w:rPr>
        <w:t xml:space="preserve"> presenting activities </w:t>
      </w:r>
      <w:r w:rsidR="00341D38">
        <w:rPr>
          <w:rFonts w:ascii="Arial" w:eastAsia="Arial" w:hAnsi="Arial" w:cs="Arial"/>
          <w:lang w:val="en-US"/>
        </w:rPr>
        <w:t xml:space="preserve">from </w:t>
      </w:r>
      <w:r w:rsidR="007760D3">
        <w:rPr>
          <w:rFonts w:ascii="Arial" w:eastAsia="Arial" w:hAnsi="Arial" w:cs="Arial"/>
          <w:lang w:val="en-US"/>
        </w:rPr>
        <w:t>(a) to (d)</w:t>
      </w:r>
      <w:r w:rsidR="000A1203" w:rsidRPr="000174B0">
        <w:rPr>
          <w:rFonts w:ascii="Arial" w:eastAsia="Arial" w:hAnsi="Arial" w:cs="Arial"/>
          <w:lang w:val="en-US"/>
        </w:rPr>
        <w:t xml:space="preserve">. </w:t>
      </w:r>
    </w:p>
    <w:p w:rsidR="0058673B" w:rsidRPr="000174B0" w:rsidRDefault="001B4CE1" w:rsidP="00F9763A">
      <w:pPr>
        <w:pStyle w:val="ListParagraph"/>
        <w:numPr>
          <w:ilvl w:val="0"/>
          <w:numId w:val="31"/>
        </w:numPr>
        <w:autoSpaceDE w:val="0"/>
        <w:autoSpaceDN w:val="0"/>
        <w:adjustRightInd w:val="0"/>
        <w:spacing w:before="120" w:after="0"/>
        <w:jc w:val="both"/>
        <w:rPr>
          <w:rFonts w:ascii="Arial" w:eastAsia="Arial" w:hAnsi="Arial" w:cs="Arial"/>
          <w:lang w:val="en-US"/>
        </w:rPr>
      </w:pPr>
      <w:r w:rsidRPr="000174B0">
        <w:rPr>
          <w:rFonts w:ascii="Arial" w:eastAsia="Arial" w:hAnsi="Arial" w:cs="Arial"/>
          <w:lang w:val="en-US"/>
        </w:rPr>
        <w:t xml:space="preserve">A </w:t>
      </w:r>
      <w:r w:rsidR="00FF238F">
        <w:rPr>
          <w:rFonts w:ascii="Arial" w:eastAsia="Arial" w:hAnsi="Arial" w:cs="Arial"/>
          <w:lang w:val="en-US"/>
        </w:rPr>
        <w:t xml:space="preserve">report </w:t>
      </w:r>
      <w:r w:rsidR="008A5E93">
        <w:rPr>
          <w:rFonts w:ascii="Arial" w:eastAsia="Arial" w:hAnsi="Arial" w:cs="Arial"/>
          <w:lang w:val="en-US"/>
        </w:rPr>
        <w:t>describing</w:t>
      </w:r>
      <w:r w:rsidR="007760D3">
        <w:rPr>
          <w:rFonts w:ascii="Arial" w:eastAsia="Arial" w:hAnsi="Arial" w:cs="Arial"/>
          <w:lang w:val="en-US"/>
        </w:rPr>
        <w:t xml:space="preserve"> discussions and </w:t>
      </w:r>
      <w:r w:rsidR="008A5E93">
        <w:rPr>
          <w:rFonts w:ascii="Arial" w:eastAsia="Arial" w:hAnsi="Arial" w:cs="Arial"/>
          <w:lang w:val="en-US"/>
        </w:rPr>
        <w:t xml:space="preserve">Commission </w:t>
      </w:r>
      <w:r w:rsidR="007760D3">
        <w:rPr>
          <w:rFonts w:ascii="Arial" w:eastAsia="Arial" w:hAnsi="Arial" w:cs="Arial"/>
          <w:lang w:val="en-US"/>
        </w:rPr>
        <w:t>agreement</w:t>
      </w:r>
      <w:r w:rsidR="008A5E93">
        <w:rPr>
          <w:rFonts w:ascii="Arial" w:eastAsia="Arial" w:hAnsi="Arial" w:cs="Arial"/>
          <w:lang w:val="en-US"/>
        </w:rPr>
        <w:t>s</w:t>
      </w:r>
      <w:r w:rsidR="007760D3">
        <w:rPr>
          <w:rFonts w:ascii="Arial" w:eastAsia="Arial" w:hAnsi="Arial" w:cs="Arial"/>
          <w:lang w:val="en-US"/>
        </w:rPr>
        <w:t xml:space="preserve"> reached on activities (i) to (v)</w:t>
      </w:r>
      <w:r w:rsidR="00F9763A" w:rsidRPr="000174B0">
        <w:rPr>
          <w:rFonts w:ascii="Arial" w:eastAsia="Arial" w:hAnsi="Arial" w:cs="Arial"/>
          <w:lang w:val="en-US"/>
        </w:rPr>
        <w:t>.</w:t>
      </w:r>
    </w:p>
    <w:p w:rsidR="000A1203" w:rsidRPr="000174B0" w:rsidRDefault="00EB6B85" w:rsidP="00F9763A">
      <w:pPr>
        <w:pStyle w:val="ListParagraph"/>
        <w:numPr>
          <w:ilvl w:val="0"/>
          <w:numId w:val="31"/>
        </w:numPr>
        <w:autoSpaceDE w:val="0"/>
        <w:autoSpaceDN w:val="0"/>
        <w:adjustRightInd w:val="0"/>
        <w:spacing w:before="120" w:after="0"/>
        <w:jc w:val="both"/>
        <w:rPr>
          <w:rFonts w:ascii="Arial" w:eastAsia="Arial" w:hAnsi="Arial" w:cs="Arial"/>
          <w:lang w:val="en-US"/>
        </w:rPr>
      </w:pPr>
      <w:r w:rsidRPr="000174B0">
        <w:rPr>
          <w:rFonts w:ascii="Arial" w:eastAsia="Arial" w:hAnsi="Arial" w:cs="Arial"/>
          <w:lang w:val="en-US"/>
        </w:rPr>
        <w:t>A working paper</w:t>
      </w:r>
      <w:r w:rsidR="002E0A40">
        <w:rPr>
          <w:rFonts w:ascii="Arial" w:eastAsia="Arial" w:hAnsi="Arial" w:cs="Arial"/>
          <w:lang w:val="en-US"/>
        </w:rPr>
        <w:t xml:space="preserve"> described in activity (vi)</w:t>
      </w:r>
      <w:r w:rsidRPr="000174B0">
        <w:rPr>
          <w:rFonts w:ascii="Arial" w:eastAsia="Arial" w:hAnsi="Arial" w:cs="Arial"/>
          <w:lang w:val="en-US"/>
        </w:rPr>
        <w:t xml:space="preserve"> </w:t>
      </w:r>
    </w:p>
    <w:p w:rsidR="001E615E" w:rsidRPr="000174B0" w:rsidRDefault="001E615E" w:rsidP="001E615E">
      <w:pPr>
        <w:pStyle w:val="ListParagraph"/>
        <w:rPr>
          <w:rFonts w:ascii="Arial" w:eastAsia="Arial" w:hAnsi="Arial" w:cs="Arial"/>
          <w:u w:val="single"/>
          <w:lang w:val="en-US"/>
        </w:rPr>
      </w:pPr>
    </w:p>
    <w:p w:rsidR="00815C6D" w:rsidRPr="000174B0" w:rsidRDefault="001B724E" w:rsidP="00961803">
      <w:pPr>
        <w:pStyle w:val="ListParagraph"/>
        <w:numPr>
          <w:ilvl w:val="0"/>
          <w:numId w:val="22"/>
        </w:numPr>
        <w:spacing w:before="120" w:after="120"/>
        <w:jc w:val="center"/>
        <w:rPr>
          <w:rFonts w:ascii="Arial" w:eastAsia="Arial" w:hAnsi="Arial" w:cs="Arial"/>
          <w:b/>
          <w:lang w:val="en-US"/>
        </w:rPr>
      </w:pPr>
      <w:r w:rsidRPr="000174B0">
        <w:rPr>
          <w:rFonts w:ascii="Arial" w:eastAsia="Arial" w:hAnsi="Arial" w:cs="Arial"/>
          <w:b/>
          <w:lang w:val="en-US"/>
        </w:rPr>
        <w:t xml:space="preserve">Team </w:t>
      </w:r>
      <w:r w:rsidR="00416A5C" w:rsidRPr="000174B0">
        <w:rPr>
          <w:rFonts w:ascii="Arial" w:eastAsia="Arial" w:hAnsi="Arial" w:cs="Arial"/>
          <w:b/>
          <w:lang w:val="en-US"/>
        </w:rPr>
        <w:t xml:space="preserve">profile </w:t>
      </w:r>
    </w:p>
    <w:p w:rsidR="00815C6D" w:rsidRPr="000174B0" w:rsidRDefault="00815C6D" w:rsidP="002E30FB">
      <w:pPr>
        <w:pStyle w:val="ListParagraph"/>
        <w:spacing w:before="120" w:after="120"/>
        <w:ind w:left="360"/>
        <w:rPr>
          <w:rFonts w:ascii="Arial" w:eastAsia="Arial" w:hAnsi="Arial" w:cs="Arial"/>
          <w:b/>
          <w:lang w:val="en-US"/>
        </w:rPr>
      </w:pPr>
    </w:p>
    <w:p w:rsidR="00FF254B" w:rsidRPr="000174B0" w:rsidRDefault="002542F3" w:rsidP="002E30FB">
      <w:pPr>
        <w:pStyle w:val="Default"/>
        <w:numPr>
          <w:ilvl w:val="1"/>
          <w:numId w:val="22"/>
        </w:numPr>
        <w:autoSpaceDE/>
        <w:autoSpaceDN/>
        <w:adjustRightInd/>
        <w:spacing w:before="120" w:after="120" w:line="276" w:lineRule="auto"/>
        <w:contextualSpacing/>
        <w:jc w:val="both"/>
        <w:rPr>
          <w:rFonts w:ascii="Arial" w:eastAsia="Arial" w:hAnsi="Arial" w:cs="Arial"/>
          <w:color w:val="auto"/>
          <w:sz w:val="22"/>
          <w:szCs w:val="22"/>
          <w:lang w:val="en-US"/>
        </w:rPr>
      </w:pPr>
      <w:r w:rsidRPr="000174B0">
        <w:rPr>
          <w:rFonts w:ascii="Arial" w:eastAsia="Arial" w:hAnsi="Arial" w:cs="Arial"/>
          <w:color w:val="auto"/>
          <w:sz w:val="22"/>
          <w:szCs w:val="22"/>
          <w:lang w:val="en-US"/>
        </w:rPr>
        <w:t xml:space="preserve">The core team of the firm responsible for implementing the activities of the TC, as well as provide advisory support to this project </w:t>
      </w:r>
      <w:r w:rsidR="00EE2AC8" w:rsidRPr="000174B0">
        <w:rPr>
          <w:rFonts w:ascii="Arial" w:eastAsia="Arial" w:hAnsi="Arial" w:cs="Arial"/>
          <w:color w:val="auto"/>
          <w:sz w:val="22"/>
          <w:szCs w:val="22"/>
          <w:lang w:val="en-US"/>
        </w:rPr>
        <w:t>is made up</w:t>
      </w:r>
      <w:r w:rsidR="00F443D0" w:rsidRPr="000174B0">
        <w:rPr>
          <w:rFonts w:ascii="Arial" w:eastAsia="Arial" w:hAnsi="Arial" w:cs="Arial"/>
          <w:color w:val="auto"/>
          <w:sz w:val="22"/>
          <w:szCs w:val="22"/>
          <w:lang w:val="en-US"/>
        </w:rPr>
        <w:t xml:space="preserve"> of: </w:t>
      </w:r>
    </w:p>
    <w:p w:rsidR="00FF254B" w:rsidRPr="000174B0" w:rsidRDefault="00FF254B" w:rsidP="002E30FB">
      <w:pPr>
        <w:pStyle w:val="Default"/>
        <w:autoSpaceDE/>
        <w:autoSpaceDN/>
        <w:adjustRightInd/>
        <w:spacing w:before="120" w:after="120" w:line="276" w:lineRule="auto"/>
        <w:ind w:left="360"/>
        <w:contextualSpacing/>
        <w:jc w:val="both"/>
        <w:rPr>
          <w:rFonts w:ascii="Arial" w:eastAsia="Arial" w:hAnsi="Arial" w:cs="Arial"/>
          <w:color w:val="auto"/>
          <w:sz w:val="22"/>
          <w:szCs w:val="22"/>
          <w:lang w:val="en-US"/>
        </w:rPr>
      </w:pPr>
    </w:p>
    <w:p w:rsidR="00C25E6C" w:rsidRPr="000174B0" w:rsidRDefault="00FF254B" w:rsidP="002E30FB">
      <w:pPr>
        <w:pStyle w:val="Default"/>
        <w:numPr>
          <w:ilvl w:val="0"/>
          <w:numId w:val="18"/>
        </w:numPr>
        <w:autoSpaceDE/>
        <w:autoSpaceDN/>
        <w:adjustRightInd/>
        <w:spacing w:before="120" w:after="120" w:line="276" w:lineRule="auto"/>
        <w:ind w:hanging="432"/>
        <w:contextualSpacing/>
        <w:jc w:val="both"/>
        <w:rPr>
          <w:rFonts w:ascii="Arial" w:eastAsia="Arial" w:hAnsi="Arial" w:cs="Arial"/>
          <w:color w:val="auto"/>
          <w:sz w:val="22"/>
          <w:szCs w:val="22"/>
          <w:lang w:val="en-US"/>
        </w:rPr>
      </w:pPr>
      <w:r w:rsidRPr="000174B0">
        <w:rPr>
          <w:rFonts w:ascii="Arial" w:eastAsia="Arial" w:hAnsi="Arial" w:cs="Arial"/>
          <w:color w:val="auto"/>
          <w:sz w:val="22"/>
          <w:szCs w:val="22"/>
          <w:lang w:val="en-US"/>
        </w:rPr>
        <w:t xml:space="preserve">A </w:t>
      </w:r>
      <w:r w:rsidR="007A50DF" w:rsidRPr="000174B0">
        <w:rPr>
          <w:rFonts w:ascii="Arial" w:eastAsia="Arial" w:hAnsi="Arial" w:cs="Arial"/>
          <w:color w:val="auto"/>
          <w:sz w:val="22"/>
          <w:szCs w:val="22"/>
          <w:lang w:val="en-US"/>
        </w:rPr>
        <w:t>NCD health and policy a</w:t>
      </w:r>
      <w:r w:rsidRPr="000174B0">
        <w:rPr>
          <w:rFonts w:ascii="Arial" w:eastAsia="Arial" w:hAnsi="Arial" w:cs="Arial"/>
          <w:color w:val="auto"/>
          <w:sz w:val="22"/>
          <w:szCs w:val="22"/>
          <w:lang w:val="en-US"/>
        </w:rPr>
        <w:t>dvisor</w:t>
      </w:r>
      <w:r w:rsidR="00416A5C" w:rsidRPr="000174B0">
        <w:rPr>
          <w:rFonts w:ascii="Arial" w:eastAsia="Arial" w:hAnsi="Arial" w:cs="Arial"/>
          <w:color w:val="auto"/>
          <w:sz w:val="22"/>
          <w:szCs w:val="22"/>
          <w:lang w:val="en-US"/>
        </w:rPr>
        <w:t xml:space="preserve"> </w:t>
      </w:r>
      <w:r w:rsidR="00AD2164">
        <w:rPr>
          <w:rFonts w:ascii="Arial" w:eastAsia="Arial" w:hAnsi="Arial" w:cs="Arial"/>
          <w:color w:val="auto"/>
          <w:sz w:val="22"/>
          <w:szCs w:val="22"/>
          <w:lang w:val="en-US"/>
        </w:rPr>
        <w:t xml:space="preserve">to </w:t>
      </w:r>
      <w:r w:rsidR="00DC0A8E" w:rsidRPr="000174B0">
        <w:rPr>
          <w:rFonts w:ascii="Arial" w:eastAsia="Arial" w:hAnsi="Arial" w:cs="Arial"/>
          <w:color w:val="auto"/>
          <w:sz w:val="22"/>
          <w:szCs w:val="22"/>
          <w:lang w:val="en-US"/>
        </w:rPr>
        <w:t>coordinate</w:t>
      </w:r>
      <w:r w:rsidR="00C25E6C" w:rsidRPr="000174B0">
        <w:rPr>
          <w:rFonts w:ascii="Arial" w:eastAsia="Arial" w:hAnsi="Arial" w:cs="Arial"/>
          <w:color w:val="auto"/>
          <w:sz w:val="22"/>
          <w:szCs w:val="22"/>
          <w:lang w:val="en-US"/>
        </w:rPr>
        <w:t xml:space="preserve"> the</w:t>
      </w:r>
      <w:r w:rsidR="00DC0A8E" w:rsidRPr="000174B0">
        <w:rPr>
          <w:rFonts w:ascii="Arial" w:eastAsia="Arial" w:hAnsi="Arial" w:cs="Arial"/>
          <w:color w:val="auto"/>
          <w:sz w:val="22"/>
          <w:szCs w:val="22"/>
          <w:lang w:val="en-US"/>
        </w:rPr>
        <w:t xml:space="preserve"> assembly of data sources and </w:t>
      </w:r>
      <w:r w:rsidR="00C25E6C" w:rsidRPr="000174B0">
        <w:rPr>
          <w:rFonts w:ascii="Arial" w:eastAsia="Arial" w:hAnsi="Arial" w:cs="Arial"/>
          <w:color w:val="auto"/>
          <w:sz w:val="22"/>
          <w:szCs w:val="22"/>
          <w:lang w:val="en-US"/>
        </w:rPr>
        <w:t xml:space="preserve">the </w:t>
      </w:r>
      <w:r w:rsidR="00DC0A8E" w:rsidRPr="000174B0">
        <w:rPr>
          <w:rFonts w:ascii="Arial" w:eastAsia="Arial" w:hAnsi="Arial" w:cs="Arial"/>
          <w:color w:val="auto"/>
          <w:sz w:val="22"/>
          <w:szCs w:val="22"/>
          <w:lang w:val="en-US"/>
        </w:rPr>
        <w:t>communication between the</w:t>
      </w:r>
      <w:r w:rsidR="00AD2164">
        <w:rPr>
          <w:rFonts w:ascii="Arial" w:eastAsia="Arial" w:hAnsi="Arial" w:cs="Arial"/>
          <w:color w:val="auto"/>
          <w:sz w:val="22"/>
          <w:szCs w:val="22"/>
          <w:lang w:val="en-US"/>
        </w:rPr>
        <w:t xml:space="preserve"> national</w:t>
      </w:r>
      <w:r w:rsidR="00DC0A8E" w:rsidRPr="000174B0">
        <w:rPr>
          <w:rFonts w:ascii="Arial" w:eastAsia="Arial" w:hAnsi="Arial" w:cs="Arial"/>
          <w:color w:val="auto"/>
          <w:sz w:val="22"/>
          <w:szCs w:val="22"/>
          <w:lang w:val="en-US"/>
        </w:rPr>
        <w:t xml:space="preserve"> NCDI Commission and the global </w:t>
      </w:r>
      <w:r w:rsidR="00DC0A8E" w:rsidRPr="000174B0">
        <w:rPr>
          <w:rFonts w:ascii="Arial" w:eastAsia="Arial" w:hAnsi="Arial" w:cs="Arial"/>
          <w:color w:val="auto"/>
          <w:sz w:val="22"/>
          <w:szCs w:val="22"/>
          <w:lang w:val="en-US"/>
        </w:rPr>
        <w:lastRenderedPageBreak/>
        <w:t xml:space="preserve">NCDI Poverty Commission, facilitate the priority setting exercise, and </w:t>
      </w:r>
      <w:r w:rsidR="00AD2164">
        <w:rPr>
          <w:rFonts w:ascii="Arial" w:eastAsia="Arial" w:hAnsi="Arial" w:cs="Arial"/>
          <w:color w:val="auto"/>
          <w:sz w:val="22"/>
          <w:szCs w:val="22"/>
          <w:lang w:val="en-US"/>
        </w:rPr>
        <w:t xml:space="preserve">support the commission the </w:t>
      </w:r>
      <w:r w:rsidR="00DC0A8E" w:rsidRPr="000174B0">
        <w:rPr>
          <w:rFonts w:ascii="Arial" w:eastAsia="Arial" w:hAnsi="Arial" w:cs="Arial"/>
          <w:color w:val="auto"/>
          <w:sz w:val="22"/>
          <w:szCs w:val="22"/>
          <w:lang w:val="en-US"/>
        </w:rPr>
        <w:t>draft</w:t>
      </w:r>
      <w:r w:rsidR="00AD2164">
        <w:rPr>
          <w:rFonts w:ascii="Arial" w:eastAsia="Arial" w:hAnsi="Arial" w:cs="Arial"/>
          <w:color w:val="auto"/>
          <w:sz w:val="22"/>
          <w:szCs w:val="22"/>
          <w:lang w:val="en-US"/>
        </w:rPr>
        <w:t>ing of</w:t>
      </w:r>
      <w:r w:rsidR="00DC0A8E" w:rsidRPr="000174B0">
        <w:rPr>
          <w:rFonts w:ascii="Arial" w:eastAsia="Arial" w:hAnsi="Arial" w:cs="Arial"/>
          <w:color w:val="auto"/>
          <w:sz w:val="22"/>
          <w:szCs w:val="22"/>
          <w:lang w:val="en-US"/>
        </w:rPr>
        <w:t xml:space="preserve"> the </w:t>
      </w:r>
      <w:r w:rsidR="00C25E6C" w:rsidRPr="000174B0">
        <w:rPr>
          <w:rFonts w:ascii="Arial" w:eastAsia="Arial" w:hAnsi="Arial" w:cs="Arial"/>
          <w:color w:val="auto"/>
          <w:sz w:val="22"/>
          <w:szCs w:val="22"/>
          <w:lang w:val="en-US"/>
        </w:rPr>
        <w:t xml:space="preserve">final </w:t>
      </w:r>
      <w:r w:rsidR="00DC0A8E" w:rsidRPr="000174B0">
        <w:rPr>
          <w:rFonts w:ascii="Arial" w:eastAsia="Arial" w:hAnsi="Arial" w:cs="Arial"/>
          <w:color w:val="auto"/>
          <w:sz w:val="22"/>
          <w:szCs w:val="22"/>
          <w:lang w:val="en-US"/>
        </w:rPr>
        <w:t xml:space="preserve">report </w:t>
      </w:r>
      <w:r w:rsidR="00C25E6C" w:rsidRPr="000174B0">
        <w:rPr>
          <w:rFonts w:ascii="Arial" w:eastAsia="Arial" w:hAnsi="Arial" w:cs="Arial"/>
          <w:color w:val="auto"/>
          <w:sz w:val="22"/>
          <w:szCs w:val="22"/>
          <w:lang w:val="en-US"/>
        </w:rPr>
        <w:t>about NCDI in Haiti.</w:t>
      </w:r>
    </w:p>
    <w:p w:rsidR="007A50DF" w:rsidRPr="000174B0" w:rsidRDefault="00E1546B" w:rsidP="002E30FB">
      <w:pPr>
        <w:pStyle w:val="Default"/>
        <w:numPr>
          <w:ilvl w:val="0"/>
          <w:numId w:val="18"/>
        </w:numPr>
        <w:autoSpaceDE/>
        <w:autoSpaceDN/>
        <w:adjustRightInd/>
        <w:spacing w:before="120" w:after="120" w:line="276" w:lineRule="auto"/>
        <w:ind w:hanging="432"/>
        <w:contextualSpacing/>
        <w:jc w:val="both"/>
        <w:rPr>
          <w:rFonts w:ascii="Arial" w:eastAsia="Arial" w:hAnsi="Arial" w:cs="Arial"/>
          <w:color w:val="auto"/>
          <w:sz w:val="22"/>
          <w:szCs w:val="22"/>
          <w:lang w:val="en-US"/>
        </w:rPr>
      </w:pPr>
      <w:r w:rsidRPr="000174B0">
        <w:rPr>
          <w:rFonts w:ascii="Arial" w:eastAsia="Arial" w:hAnsi="Arial" w:cs="Arial"/>
          <w:color w:val="auto"/>
          <w:sz w:val="22"/>
          <w:szCs w:val="22"/>
          <w:lang w:val="en-US"/>
        </w:rPr>
        <w:t xml:space="preserve">A </w:t>
      </w:r>
      <w:r w:rsidR="007A50DF" w:rsidRPr="000174B0">
        <w:rPr>
          <w:rFonts w:ascii="Arial" w:eastAsia="Arial" w:hAnsi="Arial" w:cs="Arial"/>
          <w:color w:val="auto"/>
          <w:sz w:val="22"/>
          <w:szCs w:val="22"/>
          <w:lang w:val="en-US"/>
        </w:rPr>
        <w:t>senior health and policy a</w:t>
      </w:r>
      <w:r w:rsidR="00DC0A8E" w:rsidRPr="000174B0">
        <w:rPr>
          <w:rFonts w:ascii="Arial" w:eastAsia="Arial" w:hAnsi="Arial" w:cs="Arial"/>
          <w:color w:val="auto"/>
          <w:sz w:val="22"/>
          <w:szCs w:val="22"/>
          <w:lang w:val="en-US"/>
        </w:rPr>
        <w:t>dvisor on NCDs</w:t>
      </w:r>
      <w:r w:rsidRPr="000174B0">
        <w:rPr>
          <w:rFonts w:ascii="Arial" w:eastAsia="Arial" w:hAnsi="Arial" w:cs="Arial"/>
          <w:color w:val="auto"/>
          <w:sz w:val="22"/>
          <w:szCs w:val="22"/>
          <w:lang w:val="en-US"/>
        </w:rPr>
        <w:t xml:space="preserve"> </w:t>
      </w:r>
      <w:r w:rsidR="00AD2164">
        <w:rPr>
          <w:rFonts w:ascii="Arial" w:eastAsia="Arial" w:hAnsi="Arial" w:cs="Arial"/>
          <w:color w:val="auto"/>
          <w:sz w:val="22"/>
          <w:szCs w:val="22"/>
          <w:lang w:val="en-US"/>
        </w:rPr>
        <w:t xml:space="preserve">to </w:t>
      </w:r>
      <w:r w:rsidR="00DC0A8E" w:rsidRPr="000174B0">
        <w:rPr>
          <w:rFonts w:ascii="Arial" w:eastAsia="Arial" w:hAnsi="Arial" w:cs="Arial"/>
          <w:color w:val="auto"/>
          <w:sz w:val="22"/>
          <w:szCs w:val="22"/>
          <w:lang w:val="en-US"/>
        </w:rPr>
        <w:t xml:space="preserve">provide advisory support and overall strategic oversight of Haiti research and </w:t>
      </w:r>
      <w:r w:rsidR="00AD2164">
        <w:rPr>
          <w:rFonts w:ascii="Arial" w:eastAsia="Arial" w:hAnsi="Arial" w:cs="Arial"/>
          <w:color w:val="auto"/>
          <w:sz w:val="22"/>
          <w:szCs w:val="22"/>
          <w:lang w:val="en-US"/>
        </w:rPr>
        <w:t xml:space="preserve">national </w:t>
      </w:r>
      <w:r w:rsidR="00DC0A8E" w:rsidRPr="000174B0">
        <w:rPr>
          <w:rFonts w:ascii="Arial" w:eastAsia="Arial" w:hAnsi="Arial" w:cs="Arial"/>
          <w:color w:val="auto"/>
          <w:sz w:val="22"/>
          <w:szCs w:val="22"/>
          <w:lang w:val="en-US"/>
        </w:rPr>
        <w:t xml:space="preserve">NCDI Commission. </w:t>
      </w:r>
    </w:p>
    <w:p w:rsidR="00DC0A8E" w:rsidRPr="000174B0" w:rsidRDefault="007A50DF" w:rsidP="002E30FB">
      <w:pPr>
        <w:pStyle w:val="Default"/>
        <w:numPr>
          <w:ilvl w:val="0"/>
          <w:numId w:val="18"/>
        </w:numPr>
        <w:autoSpaceDE/>
        <w:autoSpaceDN/>
        <w:adjustRightInd/>
        <w:spacing w:before="120" w:after="120" w:line="276" w:lineRule="auto"/>
        <w:ind w:hanging="432"/>
        <w:contextualSpacing/>
        <w:jc w:val="both"/>
        <w:rPr>
          <w:rFonts w:ascii="Arial" w:eastAsia="Arial" w:hAnsi="Arial" w:cs="Arial"/>
          <w:color w:val="auto"/>
          <w:sz w:val="22"/>
          <w:szCs w:val="22"/>
          <w:lang w:val="en-US"/>
        </w:rPr>
      </w:pPr>
      <w:r w:rsidRPr="000174B0">
        <w:rPr>
          <w:rFonts w:ascii="Arial" w:eastAsia="Arial" w:hAnsi="Arial" w:cs="Arial"/>
          <w:color w:val="auto"/>
          <w:sz w:val="22"/>
          <w:szCs w:val="22"/>
          <w:lang w:val="en-US"/>
        </w:rPr>
        <w:t xml:space="preserve">Two data </w:t>
      </w:r>
      <w:r w:rsidR="00A40E16" w:rsidRPr="000174B0">
        <w:rPr>
          <w:rFonts w:ascii="Arial" w:eastAsia="Arial" w:hAnsi="Arial" w:cs="Arial"/>
          <w:color w:val="auto"/>
          <w:sz w:val="22"/>
          <w:szCs w:val="22"/>
          <w:lang w:val="en-US"/>
        </w:rPr>
        <w:t>analysts,</w:t>
      </w:r>
      <w:r w:rsidRPr="000174B0">
        <w:rPr>
          <w:rFonts w:ascii="Arial" w:eastAsia="Arial" w:hAnsi="Arial" w:cs="Arial"/>
          <w:color w:val="auto"/>
          <w:sz w:val="22"/>
          <w:szCs w:val="22"/>
          <w:lang w:val="en-US"/>
        </w:rPr>
        <w:t xml:space="preserve"> </w:t>
      </w:r>
      <w:r w:rsidR="00EB5FF0">
        <w:rPr>
          <w:rFonts w:ascii="Arial" w:eastAsia="Arial" w:hAnsi="Arial" w:cs="Arial"/>
          <w:color w:val="auto"/>
          <w:sz w:val="22"/>
          <w:szCs w:val="22"/>
          <w:lang w:val="en-US"/>
        </w:rPr>
        <w:t xml:space="preserve">to </w:t>
      </w:r>
      <w:r w:rsidR="00DC0A8E" w:rsidRPr="000174B0">
        <w:rPr>
          <w:rFonts w:ascii="Arial" w:eastAsia="Arial" w:hAnsi="Arial" w:cs="Arial"/>
          <w:color w:val="auto"/>
          <w:sz w:val="22"/>
          <w:szCs w:val="22"/>
          <w:lang w:val="en-US"/>
        </w:rPr>
        <w:t>coordinate</w:t>
      </w:r>
      <w:r w:rsidR="001946C6" w:rsidRPr="000174B0">
        <w:rPr>
          <w:rFonts w:ascii="Arial" w:eastAsia="Arial" w:hAnsi="Arial" w:cs="Arial"/>
          <w:color w:val="auto"/>
          <w:sz w:val="22"/>
          <w:szCs w:val="22"/>
          <w:lang w:val="en-US"/>
        </w:rPr>
        <w:t>,</w:t>
      </w:r>
      <w:r w:rsidR="00DC0A8E" w:rsidRPr="000174B0">
        <w:rPr>
          <w:rFonts w:ascii="Arial" w:eastAsia="Arial" w:hAnsi="Arial" w:cs="Arial"/>
          <w:color w:val="auto"/>
          <w:sz w:val="22"/>
          <w:szCs w:val="22"/>
          <w:lang w:val="en-US"/>
        </w:rPr>
        <w:t xml:space="preserve"> supervise</w:t>
      </w:r>
      <w:r w:rsidR="001061F1" w:rsidRPr="000174B0">
        <w:rPr>
          <w:rFonts w:ascii="Arial" w:eastAsia="Arial" w:hAnsi="Arial" w:cs="Arial"/>
          <w:color w:val="auto"/>
          <w:sz w:val="22"/>
          <w:szCs w:val="22"/>
          <w:lang w:val="en-US"/>
        </w:rPr>
        <w:t xml:space="preserve"> and execute </w:t>
      </w:r>
      <w:r w:rsidR="00DC0A8E" w:rsidRPr="000174B0">
        <w:rPr>
          <w:rFonts w:ascii="Arial" w:eastAsia="Arial" w:hAnsi="Arial" w:cs="Arial"/>
          <w:color w:val="auto"/>
          <w:sz w:val="22"/>
          <w:szCs w:val="22"/>
          <w:lang w:val="en-US"/>
        </w:rPr>
        <w:t>data collection, collation, and</w:t>
      </w:r>
      <w:r w:rsidR="001946C6" w:rsidRPr="000174B0">
        <w:rPr>
          <w:rFonts w:ascii="Arial" w:eastAsia="Arial" w:hAnsi="Arial" w:cs="Arial"/>
          <w:color w:val="auto"/>
          <w:sz w:val="22"/>
          <w:szCs w:val="22"/>
          <w:lang w:val="en-US"/>
        </w:rPr>
        <w:t xml:space="preserve"> analysis in Haiti.</w:t>
      </w:r>
    </w:p>
    <w:p w:rsidR="00AD2869" w:rsidRPr="000174B0" w:rsidRDefault="00EB72F1" w:rsidP="002E30FB">
      <w:pPr>
        <w:pStyle w:val="Default"/>
        <w:numPr>
          <w:ilvl w:val="0"/>
          <w:numId w:val="18"/>
        </w:numPr>
        <w:autoSpaceDE/>
        <w:autoSpaceDN/>
        <w:adjustRightInd/>
        <w:spacing w:before="120" w:after="120" w:line="276" w:lineRule="auto"/>
        <w:ind w:hanging="432"/>
        <w:contextualSpacing/>
        <w:jc w:val="both"/>
        <w:rPr>
          <w:rFonts w:ascii="Arial" w:eastAsia="Arial" w:hAnsi="Arial" w:cs="Arial"/>
          <w:color w:val="auto"/>
          <w:sz w:val="22"/>
          <w:szCs w:val="22"/>
          <w:lang w:val="en-US"/>
        </w:rPr>
      </w:pPr>
      <w:r w:rsidRPr="000174B0">
        <w:rPr>
          <w:rFonts w:ascii="Arial" w:eastAsia="Arial" w:hAnsi="Arial" w:cs="Arial"/>
          <w:color w:val="auto"/>
          <w:sz w:val="22"/>
          <w:szCs w:val="22"/>
          <w:lang w:val="en-US"/>
        </w:rPr>
        <w:t>An economic evaluation d</w:t>
      </w:r>
      <w:r w:rsidR="00A830DE" w:rsidRPr="000174B0">
        <w:rPr>
          <w:rFonts w:ascii="Arial" w:eastAsia="Arial" w:hAnsi="Arial" w:cs="Arial"/>
          <w:color w:val="auto"/>
          <w:sz w:val="22"/>
          <w:szCs w:val="22"/>
          <w:lang w:val="en-US"/>
        </w:rPr>
        <w:t xml:space="preserve">irector </w:t>
      </w:r>
      <w:r w:rsidR="00EB5FF0">
        <w:rPr>
          <w:rFonts w:ascii="Arial" w:eastAsia="Arial" w:hAnsi="Arial" w:cs="Arial"/>
          <w:color w:val="auto"/>
          <w:sz w:val="22"/>
          <w:szCs w:val="22"/>
          <w:lang w:val="en-US"/>
        </w:rPr>
        <w:t xml:space="preserve">to </w:t>
      </w:r>
      <w:r w:rsidR="00DC0A8E" w:rsidRPr="000174B0">
        <w:rPr>
          <w:rFonts w:ascii="Arial" w:eastAsia="Arial" w:hAnsi="Arial" w:cs="Arial"/>
          <w:color w:val="auto"/>
          <w:sz w:val="22"/>
          <w:szCs w:val="22"/>
          <w:lang w:val="en-US"/>
        </w:rPr>
        <w:t>support or lead analysis of key</w:t>
      </w:r>
      <w:r w:rsidR="00EB5FF0">
        <w:rPr>
          <w:rFonts w:ascii="Arial" w:eastAsia="Arial" w:hAnsi="Arial" w:cs="Arial"/>
          <w:color w:val="auto"/>
          <w:sz w:val="22"/>
          <w:szCs w:val="22"/>
          <w:lang w:val="en-US"/>
        </w:rPr>
        <w:t xml:space="preserve"> economic and costing data sets</w:t>
      </w:r>
      <w:r w:rsidR="00DC0A8E" w:rsidRPr="000174B0">
        <w:rPr>
          <w:rFonts w:ascii="Arial" w:eastAsia="Arial" w:hAnsi="Arial" w:cs="Arial"/>
          <w:color w:val="auto"/>
          <w:sz w:val="22"/>
          <w:szCs w:val="22"/>
          <w:lang w:val="en-US"/>
        </w:rPr>
        <w:t xml:space="preserve">. </w:t>
      </w:r>
    </w:p>
    <w:p w:rsidR="006E50F3" w:rsidRPr="000174B0" w:rsidRDefault="00AD2869" w:rsidP="002E30FB">
      <w:pPr>
        <w:pStyle w:val="Default"/>
        <w:numPr>
          <w:ilvl w:val="0"/>
          <w:numId w:val="18"/>
        </w:numPr>
        <w:autoSpaceDE/>
        <w:autoSpaceDN/>
        <w:adjustRightInd/>
        <w:spacing w:before="120" w:after="120" w:line="276" w:lineRule="auto"/>
        <w:ind w:hanging="432"/>
        <w:contextualSpacing/>
        <w:jc w:val="both"/>
        <w:rPr>
          <w:rFonts w:ascii="Arial" w:eastAsia="Arial" w:hAnsi="Arial" w:cs="Arial"/>
          <w:color w:val="auto"/>
          <w:sz w:val="22"/>
          <w:szCs w:val="22"/>
          <w:lang w:val="en-US"/>
        </w:rPr>
      </w:pPr>
      <w:r w:rsidRPr="000174B0">
        <w:rPr>
          <w:rFonts w:ascii="Arial" w:eastAsia="Arial" w:hAnsi="Arial" w:cs="Arial"/>
          <w:color w:val="auto"/>
          <w:sz w:val="22"/>
          <w:szCs w:val="22"/>
          <w:lang w:val="en-US"/>
        </w:rPr>
        <w:t xml:space="preserve">A communication </w:t>
      </w:r>
      <w:r w:rsidR="00EB5FF0">
        <w:rPr>
          <w:rFonts w:ascii="Arial" w:eastAsia="Arial" w:hAnsi="Arial" w:cs="Arial"/>
          <w:color w:val="auto"/>
          <w:sz w:val="22"/>
          <w:szCs w:val="22"/>
          <w:lang w:val="en-US"/>
        </w:rPr>
        <w:t xml:space="preserve">specialist to </w:t>
      </w:r>
      <w:r w:rsidR="00DC0A8E" w:rsidRPr="000174B0">
        <w:rPr>
          <w:rFonts w:ascii="Arial" w:eastAsia="Arial" w:hAnsi="Arial" w:cs="Arial"/>
          <w:color w:val="auto"/>
          <w:sz w:val="22"/>
          <w:szCs w:val="22"/>
          <w:lang w:val="en-US"/>
        </w:rPr>
        <w:t xml:space="preserve">support patient and provider narrative interviews, undertake collection and production of related content and media. </w:t>
      </w:r>
    </w:p>
    <w:p w:rsidR="002C6D94" w:rsidRPr="000174B0" w:rsidRDefault="00B22BDB" w:rsidP="002E30FB">
      <w:pPr>
        <w:pStyle w:val="Default"/>
        <w:numPr>
          <w:ilvl w:val="0"/>
          <w:numId w:val="18"/>
        </w:numPr>
        <w:autoSpaceDE/>
        <w:autoSpaceDN/>
        <w:adjustRightInd/>
        <w:spacing w:before="120" w:after="120" w:line="276" w:lineRule="auto"/>
        <w:ind w:hanging="432"/>
        <w:contextualSpacing/>
        <w:jc w:val="both"/>
        <w:rPr>
          <w:rFonts w:ascii="Arial" w:eastAsia="Arial" w:hAnsi="Arial" w:cs="Arial"/>
          <w:color w:val="auto"/>
          <w:sz w:val="22"/>
          <w:szCs w:val="22"/>
          <w:lang w:val="en-US"/>
        </w:rPr>
      </w:pPr>
      <w:r w:rsidRPr="000174B0">
        <w:rPr>
          <w:rFonts w:ascii="Arial" w:eastAsia="Arial" w:hAnsi="Arial" w:cs="Arial"/>
          <w:color w:val="auto"/>
          <w:sz w:val="22"/>
          <w:szCs w:val="22"/>
          <w:lang w:val="en-US"/>
        </w:rPr>
        <w:t xml:space="preserve">A </w:t>
      </w:r>
      <w:r w:rsidR="006E50F3" w:rsidRPr="000174B0">
        <w:rPr>
          <w:rFonts w:ascii="Arial" w:eastAsia="Arial" w:hAnsi="Arial" w:cs="Arial"/>
          <w:color w:val="auto"/>
          <w:sz w:val="22"/>
          <w:szCs w:val="22"/>
          <w:lang w:val="en-US"/>
        </w:rPr>
        <w:t>program manager</w:t>
      </w:r>
      <w:r w:rsidR="00DC0A8E" w:rsidRPr="000174B0">
        <w:rPr>
          <w:rFonts w:ascii="Arial" w:eastAsia="Arial" w:hAnsi="Arial" w:cs="Arial"/>
          <w:color w:val="auto"/>
          <w:sz w:val="22"/>
          <w:szCs w:val="22"/>
          <w:lang w:val="en-US"/>
        </w:rPr>
        <w:t xml:space="preserve"> </w:t>
      </w:r>
      <w:r w:rsidR="006E50F3" w:rsidRPr="000174B0">
        <w:rPr>
          <w:rFonts w:ascii="Arial" w:eastAsia="Arial" w:hAnsi="Arial" w:cs="Arial"/>
          <w:color w:val="auto"/>
          <w:sz w:val="22"/>
          <w:szCs w:val="22"/>
          <w:lang w:val="en-US"/>
        </w:rPr>
        <w:t>and program c</w:t>
      </w:r>
      <w:r w:rsidR="00330510" w:rsidRPr="000174B0">
        <w:rPr>
          <w:rFonts w:ascii="Arial" w:eastAsia="Arial" w:hAnsi="Arial" w:cs="Arial"/>
          <w:color w:val="auto"/>
          <w:sz w:val="22"/>
          <w:szCs w:val="22"/>
          <w:lang w:val="en-US"/>
        </w:rPr>
        <w:t xml:space="preserve">oordinator </w:t>
      </w:r>
      <w:r w:rsidR="00EB5FF0">
        <w:rPr>
          <w:rFonts w:ascii="Arial" w:eastAsia="Arial" w:hAnsi="Arial" w:cs="Arial"/>
          <w:color w:val="auto"/>
          <w:sz w:val="22"/>
          <w:szCs w:val="22"/>
          <w:lang w:val="en-US"/>
        </w:rPr>
        <w:t xml:space="preserve">to </w:t>
      </w:r>
      <w:r w:rsidR="00EC1023">
        <w:rPr>
          <w:rFonts w:ascii="Arial" w:eastAsia="Arial" w:hAnsi="Arial" w:cs="Arial"/>
          <w:color w:val="auto"/>
          <w:sz w:val="22"/>
          <w:szCs w:val="22"/>
          <w:lang w:val="en-US"/>
        </w:rPr>
        <w:t>lead and</w:t>
      </w:r>
      <w:r w:rsidR="00566AEB">
        <w:rPr>
          <w:rFonts w:ascii="Arial" w:eastAsia="Arial" w:hAnsi="Arial" w:cs="Arial"/>
          <w:color w:val="auto"/>
          <w:sz w:val="22"/>
          <w:szCs w:val="22"/>
          <w:lang w:val="en-US"/>
        </w:rPr>
        <w:t xml:space="preserve"> administrate</w:t>
      </w:r>
      <w:r w:rsidR="00EC1023">
        <w:rPr>
          <w:rFonts w:ascii="Arial" w:eastAsia="Arial" w:hAnsi="Arial" w:cs="Arial"/>
          <w:color w:val="auto"/>
          <w:sz w:val="22"/>
          <w:szCs w:val="22"/>
          <w:lang w:val="en-US"/>
        </w:rPr>
        <w:t xml:space="preserve"> the present </w:t>
      </w:r>
      <w:r w:rsidR="00EB5FF0">
        <w:rPr>
          <w:rFonts w:ascii="Arial" w:eastAsia="Arial" w:hAnsi="Arial" w:cs="Arial"/>
          <w:color w:val="auto"/>
          <w:sz w:val="22"/>
          <w:szCs w:val="22"/>
          <w:lang w:val="en-US"/>
        </w:rPr>
        <w:t>project</w:t>
      </w:r>
      <w:r w:rsidR="00DC0A8E" w:rsidRPr="000174B0">
        <w:rPr>
          <w:rFonts w:ascii="Arial" w:eastAsia="Arial" w:hAnsi="Arial" w:cs="Arial"/>
          <w:color w:val="auto"/>
          <w:sz w:val="22"/>
          <w:szCs w:val="22"/>
          <w:lang w:val="en-US"/>
        </w:rPr>
        <w:t xml:space="preserve">. </w:t>
      </w:r>
    </w:p>
    <w:p w:rsidR="003157F8" w:rsidRPr="000174B0" w:rsidRDefault="003157F8" w:rsidP="002E30FB">
      <w:pPr>
        <w:pStyle w:val="Default"/>
        <w:autoSpaceDE/>
        <w:autoSpaceDN/>
        <w:adjustRightInd/>
        <w:spacing w:before="120" w:after="120" w:line="276" w:lineRule="auto"/>
        <w:contextualSpacing/>
        <w:jc w:val="both"/>
        <w:rPr>
          <w:rFonts w:ascii="Arial" w:eastAsia="Arial" w:hAnsi="Arial" w:cs="Arial"/>
          <w:lang w:val="en-US"/>
        </w:rPr>
      </w:pPr>
    </w:p>
    <w:p w:rsidR="002D552C" w:rsidRPr="000174B0" w:rsidRDefault="003157F8" w:rsidP="002E30FB">
      <w:pPr>
        <w:pStyle w:val="ListParagraph"/>
        <w:numPr>
          <w:ilvl w:val="1"/>
          <w:numId w:val="22"/>
        </w:numPr>
        <w:spacing w:before="120" w:after="120"/>
        <w:ind w:hanging="540"/>
        <w:jc w:val="both"/>
        <w:rPr>
          <w:rFonts w:ascii="Arial" w:eastAsia="Arial" w:hAnsi="Arial" w:cs="Arial"/>
          <w:lang w:val="en-US"/>
        </w:rPr>
      </w:pPr>
      <w:r w:rsidRPr="000174B0">
        <w:rPr>
          <w:rFonts w:ascii="Arial" w:eastAsia="Arial" w:hAnsi="Arial" w:cs="Arial"/>
          <w:lang w:val="en-US"/>
        </w:rPr>
        <w:t xml:space="preserve"> </w:t>
      </w:r>
      <w:r w:rsidR="009476FB">
        <w:rPr>
          <w:rFonts w:ascii="Arial" w:eastAsia="Arial" w:hAnsi="Arial" w:cs="Arial"/>
          <w:lang w:val="en-US"/>
        </w:rPr>
        <w:t>The N</w:t>
      </w:r>
      <w:r w:rsidR="00F9763A" w:rsidRPr="000174B0">
        <w:rPr>
          <w:rFonts w:ascii="Arial" w:eastAsia="Arial" w:hAnsi="Arial" w:cs="Arial"/>
          <w:lang w:val="en-US"/>
        </w:rPr>
        <w:t>ational</w:t>
      </w:r>
      <w:r w:rsidR="008758D0" w:rsidRPr="000174B0">
        <w:rPr>
          <w:rFonts w:ascii="Arial" w:eastAsia="Arial" w:hAnsi="Arial" w:cs="Arial"/>
          <w:lang w:val="en-US"/>
        </w:rPr>
        <w:t xml:space="preserve"> </w:t>
      </w:r>
      <w:r w:rsidR="009476FB">
        <w:rPr>
          <w:rFonts w:ascii="Arial" w:eastAsia="Arial" w:hAnsi="Arial" w:cs="Arial"/>
          <w:lang w:val="en-US"/>
        </w:rPr>
        <w:t xml:space="preserve">NCDI </w:t>
      </w:r>
      <w:r w:rsidR="008758D0" w:rsidRPr="000174B0">
        <w:rPr>
          <w:rFonts w:ascii="Arial" w:eastAsia="Arial" w:hAnsi="Arial" w:cs="Arial"/>
          <w:lang w:val="en-US"/>
        </w:rPr>
        <w:t xml:space="preserve">Commission in Haiti </w:t>
      </w:r>
      <w:r w:rsidR="004F6309" w:rsidRPr="000174B0">
        <w:rPr>
          <w:rFonts w:ascii="Arial" w:eastAsia="Arial" w:hAnsi="Arial" w:cs="Arial"/>
          <w:lang w:val="en-US"/>
        </w:rPr>
        <w:t>will</w:t>
      </w:r>
      <w:r w:rsidR="008758D0" w:rsidRPr="000174B0">
        <w:rPr>
          <w:rFonts w:ascii="Arial" w:eastAsia="Arial" w:hAnsi="Arial" w:cs="Arial"/>
          <w:lang w:val="en-US"/>
        </w:rPr>
        <w:t xml:space="preserve"> be composed as follows:</w:t>
      </w:r>
    </w:p>
    <w:p w:rsidR="00A40E16" w:rsidRPr="000174B0" w:rsidRDefault="00A40E16" w:rsidP="002E30FB">
      <w:pPr>
        <w:pStyle w:val="ListParagraph"/>
        <w:spacing w:before="120" w:after="120"/>
        <w:ind w:left="360"/>
        <w:jc w:val="both"/>
        <w:rPr>
          <w:rFonts w:ascii="Arial" w:eastAsia="Arial" w:hAnsi="Arial" w:cs="Arial"/>
          <w:lang w:val="en-US"/>
        </w:rPr>
      </w:pPr>
    </w:p>
    <w:p w:rsidR="002D552C" w:rsidRPr="000174B0" w:rsidRDefault="00CB7570" w:rsidP="002E30FB">
      <w:pPr>
        <w:pStyle w:val="ListParagraph"/>
        <w:numPr>
          <w:ilvl w:val="0"/>
          <w:numId w:val="21"/>
        </w:numPr>
        <w:spacing w:before="120" w:after="120"/>
        <w:jc w:val="both"/>
        <w:rPr>
          <w:rFonts w:ascii="Arial" w:eastAsia="Arial" w:hAnsi="Arial" w:cs="Arial"/>
          <w:lang w:val="en-US"/>
        </w:rPr>
      </w:pPr>
      <w:r>
        <w:rPr>
          <w:rFonts w:ascii="Arial" w:eastAsia="Arial" w:hAnsi="Arial" w:cs="Arial"/>
          <w:lang w:val="en-US"/>
        </w:rPr>
        <w:t>A</w:t>
      </w:r>
      <w:r w:rsidRPr="00CB7570">
        <w:rPr>
          <w:rFonts w:ascii="Arial" w:eastAsia="Arial" w:hAnsi="Arial" w:cs="Arial"/>
          <w:lang w:val="en-US"/>
        </w:rPr>
        <w:t xml:space="preserve"> national chairperson or co-chairpersons to lead and organize the National Commission. Chairperson(s) selection should be endorsed by the national health sector leadership at MSPP</w:t>
      </w:r>
      <w:r w:rsidR="002D552C" w:rsidRPr="000174B0">
        <w:rPr>
          <w:rFonts w:ascii="Arial" w:hAnsi="Arial" w:cs="Arial"/>
          <w:lang w:val="en-US"/>
        </w:rPr>
        <w:t>.</w:t>
      </w:r>
      <w:r w:rsidR="009476FB">
        <w:rPr>
          <w:rFonts w:ascii="Arial" w:hAnsi="Arial" w:cs="Arial"/>
          <w:lang w:val="en-US"/>
        </w:rPr>
        <w:t xml:space="preserve"> </w:t>
      </w:r>
      <w:r>
        <w:rPr>
          <w:rFonts w:ascii="Arial" w:hAnsi="Arial" w:cs="Arial"/>
          <w:lang w:val="en-US"/>
        </w:rPr>
        <w:t>Co-chairperson(s) may be paid.</w:t>
      </w:r>
    </w:p>
    <w:p w:rsidR="004F6309" w:rsidRPr="000174B0" w:rsidRDefault="002D552C" w:rsidP="002E30FB">
      <w:pPr>
        <w:pStyle w:val="ListParagraph"/>
        <w:numPr>
          <w:ilvl w:val="0"/>
          <w:numId w:val="21"/>
        </w:numPr>
        <w:spacing w:before="120" w:after="120"/>
        <w:jc w:val="both"/>
        <w:rPr>
          <w:rFonts w:ascii="Arial" w:eastAsia="Arial" w:hAnsi="Arial" w:cs="Arial"/>
          <w:lang w:val="en-US"/>
        </w:rPr>
      </w:pPr>
      <w:r w:rsidRPr="000174B0">
        <w:rPr>
          <w:rFonts w:ascii="Arial" w:hAnsi="Arial" w:cs="Arial"/>
          <w:lang w:val="en-US"/>
        </w:rPr>
        <w:t>A</w:t>
      </w:r>
      <w:r w:rsidR="004F6309" w:rsidRPr="000174B0">
        <w:rPr>
          <w:rFonts w:ascii="Arial" w:hAnsi="Arial" w:cs="Arial"/>
          <w:lang w:val="en-US"/>
        </w:rPr>
        <w:t xml:space="preserve"> committee of up to twenty members, representing a multi-sectoral group of public sector health authorities, clinical specialists, technical advisors, researchers/academics, and civil society advocates for NCDIs. Ideally, the committee also includes some expertise in economics, social protection, poverty measurement, key policy areas and health services delivery platforms. </w:t>
      </w:r>
      <w:r w:rsidR="00CB7570" w:rsidRPr="38900DFD">
        <w:rPr>
          <w:rFonts w:ascii="Arial" w:eastAsia="Arial" w:hAnsi="Arial" w:cs="Arial"/>
        </w:rPr>
        <w:t xml:space="preserve">Committee members </w:t>
      </w:r>
      <w:r w:rsidR="00CB7570">
        <w:rPr>
          <w:rFonts w:ascii="Arial" w:eastAsia="Arial" w:hAnsi="Arial" w:cs="Arial"/>
        </w:rPr>
        <w:t>must</w:t>
      </w:r>
      <w:r w:rsidR="00CB7570" w:rsidRPr="38900DFD">
        <w:rPr>
          <w:rFonts w:ascii="Arial" w:eastAsia="Arial" w:hAnsi="Arial" w:cs="Arial"/>
        </w:rPr>
        <w:t xml:space="preserve"> be voluntary and unpaid.</w:t>
      </w:r>
    </w:p>
    <w:p w:rsidR="002542F3" w:rsidRPr="000174B0" w:rsidRDefault="002542F3" w:rsidP="002E30FB">
      <w:pPr>
        <w:pStyle w:val="ListParagraph"/>
        <w:spacing w:before="120" w:after="120"/>
        <w:ind w:left="360"/>
        <w:jc w:val="both"/>
        <w:rPr>
          <w:rFonts w:ascii="Arial" w:eastAsia="Arial" w:hAnsi="Arial" w:cs="Arial"/>
          <w:lang w:val="en-US"/>
        </w:rPr>
      </w:pPr>
    </w:p>
    <w:p w:rsidR="005B0E65" w:rsidRPr="000174B0" w:rsidRDefault="005B0E65" w:rsidP="00961803">
      <w:pPr>
        <w:pStyle w:val="ListParagraph"/>
        <w:numPr>
          <w:ilvl w:val="0"/>
          <w:numId w:val="22"/>
        </w:numPr>
        <w:spacing w:before="120" w:after="120"/>
        <w:jc w:val="center"/>
        <w:rPr>
          <w:rFonts w:ascii="Arial" w:eastAsia="Arial" w:hAnsi="Arial" w:cs="Arial"/>
          <w:b/>
          <w:lang w:val="en-US"/>
        </w:rPr>
      </w:pPr>
      <w:r w:rsidRPr="000174B0">
        <w:rPr>
          <w:rFonts w:ascii="Arial" w:eastAsia="Arial" w:hAnsi="Arial" w:cs="Arial"/>
          <w:b/>
          <w:lang w:val="en-US"/>
        </w:rPr>
        <w:t>Indicative budget</w:t>
      </w:r>
    </w:p>
    <w:p w:rsidR="005B0E65" w:rsidRPr="000174B0" w:rsidRDefault="005B0E65" w:rsidP="005B0E65">
      <w:pPr>
        <w:pStyle w:val="ListParagraph"/>
        <w:spacing w:before="120" w:after="120"/>
        <w:ind w:left="360"/>
        <w:rPr>
          <w:rFonts w:ascii="Arial" w:eastAsia="Arial" w:hAnsi="Arial" w:cs="Arial"/>
          <w:b/>
          <w:lang w:val="en-US"/>
        </w:rPr>
      </w:pPr>
    </w:p>
    <w:p w:rsidR="005B0E65" w:rsidRPr="000174B0" w:rsidRDefault="005B0E65" w:rsidP="005B0E65">
      <w:pPr>
        <w:pStyle w:val="ListParagraph"/>
        <w:numPr>
          <w:ilvl w:val="1"/>
          <w:numId w:val="22"/>
        </w:numPr>
        <w:spacing w:before="120" w:after="120"/>
        <w:jc w:val="both"/>
        <w:rPr>
          <w:rFonts w:eastAsia="Arial" w:cs="Arial"/>
          <w:lang w:val="en-US"/>
        </w:rPr>
      </w:pPr>
      <w:r w:rsidRPr="000174B0">
        <w:rPr>
          <w:rFonts w:ascii="Arial" w:eastAsia="Arial" w:hAnsi="Arial" w:cs="Arial"/>
          <w:lang w:val="en-US"/>
        </w:rPr>
        <w:t>The consulting firm will receive a total amount of $150,000 to perform the project, and the funds will be distributed as follows:</w:t>
      </w:r>
    </w:p>
    <w:p w:rsidR="005B0E65" w:rsidRPr="000174B0" w:rsidRDefault="005B0E65" w:rsidP="005B0E65">
      <w:pPr>
        <w:pStyle w:val="ListParagraph"/>
        <w:spacing w:before="120" w:after="120"/>
        <w:ind w:left="360"/>
        <w:jc w:val="both"/>
        <w:rPr>
          <w:rFonts w:eastAsia="Arial" w:cs="Arial"/>
          <w:lang w:val="en-US"/>
        </w:rPr>
      </w:pPr>
    </w:p>
    <w:tbl>
      <w:tblPr>
        <w:tblStyle w:val="TableGrid"/>
        <w:tblW w:w="0" w:type="auto"/>
        <w:jc w:val="center"/>
        <w:tblLook w:val="04A0" w:firstRow="1" w:lastRow="0" w:firstColumn="1" w:lastColumn="0" w:noHBand="0" w:noVBand="1"/>
      </w:tblPr>
      <w:tblGrid>
        <w:gridCol w:w="5629"/>
        <w:gridCol w:w="1781"/>
      </w:tblGrid>
      <w:tr w:rsidR="00CB7570" w:rsidRPr="000174B0" w:rsidTr="005F0B39">
        <w:trPr>
          <w:trHeight w:val="144"/>
          <w:jc w:val="center"/>
        </w:trPr>
        <w:tc>
          <w:tcPr>
            <w:tcW w:w="5629" w:type="dxa"/>
            <w:vAlign w:val="center"/>
          </w:tcPr>
          <w:p w:rsidR="00CB7570" w:rsidRPr="000174B0" w:rsidRDefault="00CB7570" w:rsidP="005F0B39">
            <w:pPr>
              <w:pStyle w:val="ListParagraph"/>
              <w:spacing w:before="60" w:after="60"/>
              <w:ind w:left="0"/>
              <w:contextualSpacing w:val="0"/>
              <w:jc w:val="center"/>
              <w:rPr>
                <w:rFonts w:ascii="Arial" w:eastAsia="Arial" w:hAnsi="Arial" w:cs="Arial"/>
                <w:b/>
              </w:rPr>
            </w:pPr>
            <w:r w:rsidRPr="000174B0">
              <w:rPr>
                <w:rFonts w:ascii="Arial" w:eastAsia="Arial" w:hAnsi="Arial" w:cs="Arial"/>
                <w:b/>
              </w:rPr>
              <w:t>Outputs</w:t>
            </w:r>
          </w:p>
        </w:tc>
        <w:tc>
          <w:tcPr>
            <w:tcW w:w="1781" w:type="dxa"/>
            <w:vAlign w:val="center"/>
          </w:tcPr>
          <w:p w:rsidR="00CB7570" w:rsidRPr="000174B0" w:rsidRDefault="00CB7570" w:rsidP="00CB7570">
            <w:pPr>
              <w:pStyle w:val="ListParagraph"/>
              <w:spacing w:before="60" w:after="60"/>
              <w:ind w:left="0"/>
              <w:contextualSpacing w:val="0"/>
              <w:jc w:val="center"/>
              <w:rPr>
                <w:rFonts w:ascii="Arial" w:eastAsia="Arial" w:hAnsi="Arial" w:cs="Arial"/>
                <w:b/>
              </w:rPr>
            </w:pPr>
            <w:r>
              <w:rPr>
                <w:rFonts w:ascii="Arial" w:eastAsia="Arial" w:hAnsi="Arial" w:cs="Arial"/>
                <w:b/>
              </w:rPr>
              <w:t>Payment</w:t>
            </w:r>
            <w:r w:rsidRPr="000174B0">
              <w:rPr>
                <w:rFonts w:ascii="Arial" w:eastAsia="Arial" w:hAnsi="Arial" w:cs="Arial"/>
                <w:b/>
              </w:rPr>
              <w:t xml:space="preserve"> (%)</w:t>
            </w:r>
          </w:p>
        </w:tc>
      </w:tr>
      <w:tr w:rsidR="00CB7570" w:rsidRPr="000174B0" w:rsidTr="005F0B39">
        <w:trPr>
          <w:trHeight w:val="144"/>
          <w:jc w:val="center"/>
        </w:trPr>
        <w:tc>
          <w:tcPr>
            <w:tcW w:w="5629" w:type="dxa"/>
            <w:vAlign w:val="center"/>
          </w:tcPr>
          <w:p w:rsidR="00CB7570" w:rsidRPr="000174B0" w:rsidRDefault="00CB7570" w:rsidP="005F0B39">
            <w:pPr>
              <w:pStyle w:val="ListParagraph"/>
              <w:spacing w:before="60" w:after="60"/>
              <w:ind w:left="0"/>
              <w:contextualSpacing w:val="0"/>
              <w:rPr>
                <w:rFonts w:ascii="Arial" w:eastAsia="Arial" w:hAnsi="Arial" w:cs="Arial"/>
              </w:rPr>
            </w:pPr>
            <w:r w:rsidRPr="000174B0">
              <w:rPr>
                <w:rFonts w:ascii="Arial" w:eastAsia="Arial" w:hAnsi="Arial" w:cs="Arial"/>
              </w:rPr>
              <w:t>Contract signing</w:t>
            </w:r>
          </w:p>
        </w:tc>
        <w:tc>
          <w:tcPr>
            <w:tcW w:w="1781" w:type="dxa"/>
            <w:vAlign w:val="center"/>
          </w:tcPr>
          <w:p w:rsidR="00CB7570" w:rsidRPr="000174B0" w:rsidRDefault="00CB7570" w:rsidP="005F0B39">
            <w:pPr>
              <w:pStyle w:val="ListParagraph"/>
              <w:spacing w:before="60" w:after="60"/>
              <w:ind w:left="0"/>
              <w:contextualSpacing w:val="0"/>
              <w:jc w:val="center"/>
              <w:rPr>
                <w:rFonts w:ascii="Arial" w:eastAsia="Arial" w:hAnsi="Arial" w:cs="Arial"/>
              </w:rPr>
            </w:pPr>
            <w:r w:rsidRPr="000174B0">
              <w:rPr>
                <w:rFonts w:ascii="Arial" w:eastAsia="Arial" w:hAnsi="Arial" w:cs="Arial"/>
              </w:rPr>
              <w:t>10%</w:t>
            </w:r>
          </w:p>
        </w:tc>
      </w:tr>
      <w:tr w:rsidR="00CB7570" w:rsidRPr="000174B0" w:rsidTr="005F0B39">
        <w:trPr>
          <w:trHeight w:val="144"/>
          <w:jc w:val="center"/>
        </w:trPr>
        <w:tc>
          <w:tcPr>
            <w:tcW w:w="5629" w:type="dxa"/>
            <w:vAlign w:val="center"/>
          </w:tcPr>
          <w:p w:rsidR="00CB7570" w:rsidRPr="000174B0" w:rsidRDefault="00CB7570" w:rsidP="00FF238F">
            <w:pPr>
              <w:pStyle w:val="ListParagraph"/>
              <w:spacing w:before="60" w:after="60"/>
              <w:ind w:left="0"/>
              <w:contextualSpacing w:val="0"/>
              <w:rPr>
                <w:rFonts w:ascii="Arial" w:eastAsia="Arial" w:hAnsi="Arial" w:cs="Arial"/>
              </w:rPr>
            </w:pPr>
            <w:r>
              <w:rPr>
                <w:rFonts w:ascii="Arial" w:eastAsia="Arial" w:hAnsi="Arial" w:cs="Arial"/>
              </w:rPr>
              <w:t>Product (a)</w:t>
            </w:r>
          </w:p>
        </w:tc>
        <w:tc>
          <w:tcPr>
            <w:tcW w:w="1781" w:type="dxa"/>
            <w:vAlign w:val="center"/>
          </w:tcPr>
          <w:p w:rsidR="00CB7570" w:rsidRPr="000174B0" w:rsidRDefault="00CB7570" w:rsidP="005F0B39">
            <w:pPr>
              <w:pStyle w:val="ListParagraph"/>
              <w:spacing w:before="60" w:after="60"/>
              <w:ind w:left="0"/>
              <w:contextualSpacing w:val="0"/>
              <w:jc w:val="center"/>
              <w:rPr>
                <w:rFonts w:ascii="Arial" w:eastAsia="Arial" w:hAnsi="Arial" w:cs="Arial"/>
              </w:rPr>
            </w:pPr>
            <w:r w:rsidRPr="000174B0">
              <w:rPr>
                <w:rFonts w:ascii="Arial" w:eastAsia="Arial" w:hAnsi="Arial" w:cs="Arial"/>
              </w:rPr>
              <w:t>20%</w:t>
            </w:r>
          </w:p>
        </w:tc>
      </w:tr>
      <w:tr w:rsidR="00CB7570" w:rsidRPr="000174B0" w:rsidTr="005F0B39">
        <w:trPr>
          <w:trHeight w:val="144"/>
          <w:jc w:val="center"/>
        </w:trPr>
        <w:tc>
          <w:tcPr>
            <w:tcW w:w="5629" w:type="dxa"/>
            <w:vAlign w:val="center"/>
          </w:tcPr>
          <w:p w:rsidR="00CB7570" w:rsidRPr="000174B0" w:rsidRDefault="00CB7570" w:rsidP="00CB7570">
            <w:pPr>
              <w:pStyle w:val="ListParagraph"/>
              <w:spacing w:before="60" w:after="60"/>
              <w:ind w:left="0"/>
              <w:contextualSpacing w:val="0"/>
              <w:rPr>
                <w:rFonts w:ascii="Arial" w:eastAsia="Arial" w:hAnsi="Arial" w:cs="Arial"/>
              </w:rPr>
            </w:pPr>
            <w:r>
              <w:rPr>
                <w:rFonts w:ascii="Arial" w:eastAsia="Arial" w:hAnsi="Arial" w:cs="Arial"/>
              </w:rPr>
              <w:t>Product (b)</w:t>
            </w:r>
          </w:p>
        </w:tc>
        <w:tc>
          <w:tcPr>
            <w:tcW w:w="1781" w:type="dxa"/>
            <w:vAlign w:val="center"/>
          </w:tcPr>
          <w:p w:rsidR="00CB7570" w:rsidRPr="000174B0" w:rsidRDefault="00CB7570" w:rsidP="005F0B39">
            <w:pPr>
              <w:pStyle w:val="ListParagraph"/>
              <w:spacing w:before="60" w:after="60"/>
              <w:ind w:left="0"/>
              <w:contextualSpacing w:val="0"/>
              <w:jc w:val="center"/>
              <w:rPr>
                <w:rFonts w:ascii="Arial" w:eastAsia="Arial" w:hAnsi="Arial" w:cs="Arial"/>
              </w:rPr>
            </w:pPr>
            <w:r w:rsidRPr="000174B0">
              <w:rPr>
                <w:rFonts w:ascii="Arial" w:eastAsia="Arial" w:hAnsi="Arial" w:cs="Arial"/>
              </w:rPr>
              <w:t>20%</w:t>
            </w:r>
          </w:p>
        </w:tc>
      </w:tr>
      <w:tr w:rsidR="00CB7570" w:rsidRPr="000174B0" w:rsidTr="005F0B39">
        <w:trPr>
          <w:trHeight w:val="144"/>
          <w:jc w:val="center"/>
        </w:trPr>
        <w:tc>
          <w:tcPr>
            <w:tcW w:w="5629" w:type="dxa"/>
            <w:vAlign w:val="center"/>
          </w:tcPr>
          <w:p w:rsidR="00CB7570" w:rsidRPr="000174B0" w:rsidRDefault="00CB7570" w:rsidP="00CB7570">
            <w:pPr>
              <w:pStyle w:val="ListParagraph"/>
              <w:spacing w:before="60" w:after="60"/>
              <w:ind w:left="0"/>
              <w:contextualSpacing w:val="0"/>
              <w:rPr>
                <w:rFonts w:ascii="Arial" w:eastAsia="Arial" w:hAnsi="Arial" w:cs="Arial"/>
              </w:rPr>
            </w:pPr>
            <w:r>
              <w:rPr>
                <w:rFonts w:ascii="Arial" w:eastAsia="Arial" w:hAnsi="Arial" w:cs="Arial"/>
              </w:rPr>
              <w:t>Product (c)</w:t>
            </w:r>
          </w:p>
        </w:tc>
        <w:tc>
          <w:tcPr>
            <w:tcW w:w="1781" w:type="dxa"/>
            <w:vAlign w:val="center"/>
          </w:tcPr>
          <w:p w:rsidR="00CB7570" w:rsidRPr="000174B0" w:rsidRDefault="00CB7570" w:rsidP="005F0B39">
            <w:pPr>
              <w:pStyle w:val="ListParagraph"/>
              <w:spacing w:before="60" w:after="60"/>
              <w:ind w:left="0"/>
              <w:contextualSpacing w:val="0"/>
              <w:jc w:val="center"/>
              <w:rPr>
                <w:rFonts w:ascii="Arial" w:eastAsia="Arial" w:hAnsi="Arial" w:cs="Arial"/>
              </w:rPr>
            </w:pPr>
            <w:r w:rsidRPr="000174B0">
              <w:rPr>
                <w:rFonts w:ascii="Arial" w:eastAsia="Arial" w:hAnsi="Arial" w:cs="Arial"/>
              </w:rPr>
              <w:t>20%</w:t>
            </w:r>
          </w:p>
        </w:tc>
      </w:tr>
      <w:tr w:rsidR="00CB7570" w:rsidRPr="000174B0" w:rsidTr="005F0B39">
        <w:trPr>
          <w:trHeight w:val="144"/>
          <w:jc w:val="center"/>
        </w:trPr>
        <w:tc>
          <w:tcPr>
            <w:tcW w:w="5629" w:type="dxa"/>
            <w:vAlign w:val="center"/>
          </w:tcPr>
          <w:p w:rsidR="00CB7570" w:rsidRPr="000174B0" w:rsidRDefault="00CB7570" w:rsidP="00CB7570">
            <w:pPr>
              <w:autoSpaceDE w:val="0"/>
              <w:autoSpaceDN w:val="0"/>
              <w:adjustRightInd w:val="0"/>
              <w:spacing w:before="120"/>
              <w:jc w:val="both"/>
              <w:rPr>
                <w:rFonts w:ascii="Arial" w:eastAsia="Arial" w:hAnsi="Arial" w:cs="Arial"/>
              </w:rPr>
            </w:pPr>
            <w:r>
              <w:rPr>
                <w:rFonts w:ascii="Arial" w:eastAsia="Arial" w:hAnsi="Arial" w:cs="Arial"/>
              </w:rPr>
              <w:t>Product (d)</w:t>
            </w:r>
          </w:p>
        </w:tc>
        <w:tc>
          <w:tcPr>
            <w:tcW w:w="1781" w:type="dxa"/>
            <w:vAlign w:val="center"/>
          </w:tcPr>
          <w:p w:rsidR="00CB7570" w:rsidRPr="000174B0" w:rsidRDefault="00CB7570" w:rsidP="005F0B39">
            <w:pPr>
              <w:pStyle w:val="ListParagraph"/>
              <w:spacing w:before="60" w:after="60"/>
              <w:ind w:left="0"/>
              <w:contextualSpacing w:val="0"/>
              <w:jc w:val="center"/>
              <w:rPr>
                <w:rFonts w:ascii="Arial" w:eastAsia="Arial" w:hAnsi="Arial" w:cs="Arial"/>
              </w:rPr>
            </w:pPr>
            <w:r w:rsidRPr="000174B0">
              <w:rPr>
                <w:rFonts w:ascii="Arial" w:eastAsia="Arial" w:hAnsi="Arial" w:cs="Arial"/>
              </w:rPr>
              <w:t>30%</w:t>
            </w:r>
          </w:p>
        </w:tc>
      </w:tr>
      <w:tr w:rsidR="00CB7570" w:rsidRPr="000174B0" w:rsidTr="005F0B39">
        <w:trPr>
          <w:trHeight w:val="144"/>
          <w:jc w:val="center"/>
        </w:trPr>
        <w:tc>
          <w:tcPr>
            <w:tcW w:w="5629" w:type="dxa"/>
            <w:vAlign w:val="center"/>
          </w:tcPr>
          <w:p w:rsidR="00CB7570" w:rsidRPr="000174B0" w:rsidRDefault="00CB7570" w:rsidP="005F0B39">
            <w:pPr>
              <w:pStyle w:val="ListParagraph"/>
              <w:spacing w:before="60" w:after="60"/>
              <w:ind w:left="0"/>
              <w:contextualSpacing w:val="0"/>
              <w:rPr>
                <w:rFonts w:ascii="Arial" w:eastAsia="Arial" w:hAnsi="Arial" w:cs="Arial"/>
                <w:b/>
              </w:rPr>
            </w:pPr>
            <w:r w:rsidRPr="000174B0">
              <w:rPr>
                <w:rFonts w:ascii="Arial" w:eastAsia="Arial" w:hAnsi="Arial" w:cs="Arial"/>
                <w:b/>
              </w:rPr>
              <w:t>TOTAL</w:t>
            </w:r>
          </w:p>
        </w:tc>
        <w:tc>
          <w:tcPr>
            <w:tcW w:w="1781" w:type="dxa"/>
            <w:vAlign w:val="center"/>
          </w:tcPr>
          <w:p w:rsidR="00CB7570" w:rsidRPr="000174B0" w:rsidRDefault="00CB7570" w:rsidP="005F0B39">
            <w:pPr>
              <w:pStyle w:val="ListParagraph"/>
              <w:spacing w:before="60" w:after="60"/>
              <w:ind w:left="0"/>
              <w:contextualSpacing w:val="0"/>
              <w:jc w:val="center"/>
              <w:rPr>
                <w:rFonts w:ascii="Arial" w:eastAsia="Arial" w:hAnsi="Arial" w:cs="Arial"/>
                <w:b/>
              </w:rPr>
            </w:pPr>
            <w:r w:rsidRPr="000174B0">
              <w:rPr>
                <w:rFonts w:ascii="Arial" w:eastAsia="Arial" w:hAnsi="Arial" w:cs="Arial"/>
                <w:b/>
              </w:rPr>
              <w:t>100%</w:t>
            </w:r>
          </w:p>
        </w:tc>
      </w:tr>
    </w:tbl>
    <w:p w:rsidR="005B0E65" w:rsidRPr="000174B0" w:rsidRDefault="005B0E65" w:rsidP="005B0E65">
      <w:pPr>
        <w:spacing w:before="120" w:after="120"/>
        <w:jc w:val="both"/>
        <w:rPr>
          <w:rFonts w:ascii="Arial" w:eastAsia="Arial" w:hAnsi="Arial" w:cs="Arial"/>
          <w:lang w:val="en-US"/>
        </w:rPr>
      </w:pPr>
    </w:p>
    <w:p w:rsidR="00140886" w:rsidRPr="000174B0" w:rsidRDefault="00140886" w:rsidP="00961803">
      <w:pPr>
        <w:pStyle w:val="ListParagraph"/>
        <w:numPr>
          <w:ilvl w:val="0"/>
          <w:numId w:val="22"/>
        </w:numPr>
        <w:spacing w:before="120" w:after="120"/>
        <w:jc w:val="center"/>
        <w:rPr>
          <w:rFonts w:ascii="Arial" w:eastAsia="Arial" w:hAnsi="Arial" w:cs="Arial"/>
          <w:b/>
          <w:lang w:val="en-US"/>
        </w:rPr>
      </w:pPr>
      <w:r w:rsidRPr="000174B0">
        <w:rPr>
          <w:rFonts w:ascii="Arial" w:eastAsia="Arial" w:hAnsi="Arial" w:cs="Arial"/>
          <w:b/>
          <w:lang w:val="en-US"/>
        </w:rPr>
        <w:t>Characteristics of the consultancy</w:t>
      </w:r>
    </w:p>
    <w:p w:rsidR="00140886" w:rsidRPr="000174B0" w:rsidRDefault="00140886" w:rsidP="00140886">
      <w:pPr>
        <w:pStyle w:val="ListParagraph"/>
        <w:spacing w:before="120" w:after="120"/>
        <w:ind w:left="360"/>
        <w:rPr>
          <w:rFonts w:ascii="Arial" w:eastAsia="Arial" w:hAnsi="Arial" w:cs="Arial"/>
          <w:b/>
          <w:lang w:val="en-US"/>
        </w:rPr>
      </w:pPr>
    </w:p>
    <w:p w:rsidR="00140886" w:rsidRPr="000174B0" w:rsidRDefault="00140886" w:rsidP="00B943D5">
      <w:pPr>
        <w:pStyle w:val="ListParagraph"/>
        <w:numPr>
          <w:ilvl w:val="0"/>
          <w:numId w:val="13"/>
        </w:numPr>
        <w:spacing w:before="120" w:after="120"/>
        <w:jc w:val="both"/>
        <w:rPr>
          <w:rFonts w:ascii="Arial" w:eastAsia="Arial" w:hAnsi="Arial" w:cs="Arial"/>
          <w:lang w:val="en-US"/>
        </w:rPr>
      </w:pPr>
      <w:r w:rsidRPr="000174B0">
        <w:rPr>
          <w:rFonts w:ascii="Arial" w:eastAsia="Arial" w:hAnsi="Arial" w:cs="Arial"/>
          <w:lang w:val="en-US"/>
        </w:rPr>
        <w:t>Category and type of the consultancy: lump-sum</w:t>
      </w:r>
    </w:p>
    <w:p w:rsidR="00977571" w:rsidRPr="000174B0" w:rsidRDefault="00EE553F" w:rsidP="00B943D5">
      <w:pPr>
        <w:pStyle w:val="ListParagraph"/>
        <w:numPr>
          <w:ilvl w:val="0"/>
          <w:numId w:val="13"/>
        </w:numPr>
        <w:spacing w:before="120" w:after="120"/>
        <w:jc w:val="both"/>
        <w:rPr>
          <w:rFonts w:ascii="Arial" w:eastAsia="Arial" w:hAnsi="Arial" w:cs="Arial"/>
          <w:lang w:val="en-US"/>
        </w:rPr>
      </w:pPr>
      <w:r w:rsidRPr="000174B0">
        <w:rPr>
          <w:rFonts w:ascii="Arial" w:eastAsia="Arial" w:hAnsi="Arial" w:cs="Arial"/>
          <w:lang w:val="en-US"/>
        </w:rPr>
        <w:lastRenderedPageBreak/>
        <w:t xml:space="preserve">Contract period: The contract will last </w:t>
      </w:r>
      <w:r w:rsidR="00CB7570">
        <w:rPr>
          <w:rFonts w:ascii="Arial" w:eastAsia="Arial" w:hAnsi="Arial" w:cs="Arial"/>
          <w:lang w:val="en-US"/>
        </w:rPr>
        <w:t xml:space="preserve">eighteen </w:t>
      </w:r>
      <w:r w:rsidRPr="000174B0">
        <w:rPr>
          <w:rFonts w:ascii="Arial" w:eastAsia="Arial" w:hAnsi="Arial" w:cs="Arial"/>
          <w:lang w:val="en-US"/>
        </w:rPr>
        <w:t>(</w:t>
      </w:r>
      <w:r w:rsidR="00CB7570">
        <w:rPr>
          <w:rFonts w:ascii="Arial" w:eastAsia="Arial" w:hAnsi="Arial" w:cs="Arial"/>
          <w:lang w:val="en-US"/>
        </w:rPr>
        <w:t>18</w:t>
      </w:r>
      <w:r w:rsidRPr="000174B0">
        <w:rPr>
          <w:rFonts w:ascii="Arial" w:eastAsia="Arial" w:hAnsi="Arial" w:cs="Arial"/>
          <w:lang w:val="en-US"/>
        </w:rPr>
        <w:t xml:space="preserve">) months, beginning </w:t>
      </w:r>
      <w:r w:rsidR="00705399" w:rsidRPr="000174B0">
        <w:rPr>
          <w:rFonts w:ascii="Arial" w:eastAsia="Arial" w:hAnsi="Arial" w:cs="Arial"/>
          <w:lang w:val="en-US"/>
        </w:rPr>
        <w:t xml:space="preserve">in September 2016 and concluding in </w:t>
      </w:r>
      <w:r w:rsidR="00CB7570">
        <w:rPr>
          <w:rFonts w:ascii="Arial" w:eastAsia="Arial" w:hAnsi="Arial" w:cs="Arial"/>
          <w:lang w:val="en-US"/>
        </w:rPr>
        <w:t>December 2017</w:t>
      </w:r>
    </w:p>
    <w:p w:rsidR="00E21FB1" w:rsidRPr="000174B0" w:rsidRDefault="00E21FB1" w:rsidP="00B943D5">
      <w:pPr>
        <w:pStyle w:val="ListParagraph"/>
        <w:numPr>
          <w:ilvl w:val="0"/>
          <w:numId w:val="13"/>
        </w:numPr>
        <w:spacing w:before="120" w:after="120"/>
        <w:jc w:val="both"/>
        <w:rPr>
          <w:rFonts w:ascii="Arial" w:eastAsia="Arial" w:hAnsi="Arial" w:cs="Arial"/>
          <w:lang w:val="en-US"/>
        </w:rPr>
      </w:pPr>
      <w:r w:rsidRPr="000174B0">
        <w:rPr>
          <w:rFonts w:ascii="Arial" w:eastAsia="Arial" w:hAnsi="Arial" w:cs="Arial"/>
          <w:lang w:val="en-US"/>
        </w:rPr>
        <w:t>Executing Agency: Inter-American Development  Bank (IDB)</w:t>
      </w:r>
    </w:p>
    <w:p w:rsidR="00EE553F" w:rsidRPr="000174B0" w:rsidRDefault="003A287F" w:rsidP="00B943D5">
      <w:pPr>
        <w:pStyle w:val="ListParagraph"/>
        <w:numPr>
          <w:ilvl w:val="0"/>
          <w:numId w:val="13"/>
        </w:numPr>
        <w:spacing w:before="120" w:after="120"/>
        <w:jc w:val="both"/>
        <w:rPr>
          <w:rFonts w:ascii="Arial" w:eastAsia="Arial" w:hAnsi="Arial" w:cs="Arial"/>
          <w:lang w:val="en-US"/>
        </w:rPr>
      </w:pPr>
      <w:r>
        <w:rPr>
          <w:rFonts w:ascii="Arial" w:eastAsia="Arial" w:hAnsi="Arial" w:cs="Arial"/>
          <w:lang w:val="en-US"/>
        </w:rPr>
        <w:t>Workplace: Consulting firm headquarters /Haiti</w:t>
      </w:r>
    </w:p>
    <w:p w:rsidR="00B943D5" w:rsidRPr="000174B0" w:rsidRDefault="00F83DA0" w:rsidP="00B943D5">
      <w:pPr>
        <w:pStyle w:val="ListParagraph"/>
        <w:numPr>
          <w:ilvl w:val="0"/>
          <w:numId w:val="13"/>
        </w:numPr>
        <w:spacing w:before="120" w:after="120"/>
        <w:jc w:val="both"/>
        <w:rPr>
          <w:rFonts w:ascii="Arial" w:eastAsia="Arial" w:hAnsi="Arial" w:cs="Arial"/>
          <w:lang w:val="en-US"/>
        </w:rPr>
      </w:pPr>
      <w:r w:rsidRPr="000174B0">
        <w:rPr>
          <w:rFonts w:ascii="Arial" w:eastAsia="Arial" w:hAnsi="Arial" w:cs="Arial"/>
          <w:lang w:val="en-US"/>
        </w:rPr>
        <w:t>Supervisor</w:t>
      </w:r>
      <w:r w:rsidR="00B943D5" w:rsidRPr="000174B0">
        <w:rPr>
          <w:rFonts w:ascii="Arial" w:eastAsia="Arial" w:hAnsi="Arial" w:cs="Arial"/>
          <w:lang w:val="en-US"/>
        </w:rPr>
        <w:t>: Sandro Parodi (</w:t>
      </w:r>
      <w:r w:rsidR="003A287F">
        <w:rPr>
          <w:rFonts w:ascii="Arial" w:eastAsia="Arial" w:hAnsi="Arial" w:cs="Arial"/>
          <w:lang w:val="en-US"/>
        </w:rPr>
        <w:t>SCL/</w:t>
      </w:r>
      <w:r w:rsidR="00B943D5" w:rsidRPr="000174B0">
        <w:rPr>
          <w:rFonts w:ascii="Arial" w:eastAsia="Arial" w:hAnsi="Arial" w:cs="Arial"/>
          <w:lang w:val="en-US"/>
        </w:rPr>
        <w:t>SPH)</w:t>
      </w:r>
    </w:p>
    <w:p w:rsidR="00960370" w:rsidRPr="000174B0" w:rsidRDefault="00960370" w:rsidP="00960370">
      <w:pPr>
        <w:pStyle w:val="ListParagraph"/>
        <w:spacing w:before="120" w:after="120"/>
        <w:jc w:val="both"/>
        <w:rPr>
          <w:rFonts w:ascii="Arial" w:eastAsia="Arial" w:hAnsi="Arial" w:cs="Arial"/>
          <w:lang w:val="en-US"/>
        </w:rPr>
      </w:pPr>
    </w:p>
    <w:p w:rsidR="004868E2" w:rsidRPr="000174B0" w:rsidRDefault="00960370" w:rsidP="00C774DC">
      <w:pPr>
        <w:pStyle w:val="ListParagraph"/>
        <w:numPr>
          <w:ilvl w:val="1"/>
          <w:numId w:val="22"/>
        </w:numPr>
        <w:spacing w:before="120" w:after="120"/>
        <w:jc w:val="both"/>
        <w:rPr>
          <w:rFonts w:eastAsia="Arial" w:cs="Arial"/>
          <w:lang w:val="en-US"/>
        </w:rPr>
      </w:pPr>
      <w:r w:rsidRPr="000174B0">
        <w:rPr>
          <w:rFonts w:ascii="Arial" w:eastAsia="Arial" w:hAnsi="Arial" w:cs="Arial"/>
          <w:b/>
          <w:lang w:val="en-US"/>
        </w:rPr>
        <w:t>Payment and Conditions.</w:t>
      </w:r>
      <w:r w:rsidRPr="000174B0">
        <w:rPr>
          <w:rFonts w:ascii="Arial" w:eastAsia="Arial" w:hAnsi="Arial" w:cs="Arial"/>
          <w:lang w:val="en-US"/>
        </w:rPr>
        <w:t xml:space="preserve"> </w:t>
      </w:r>
      <w:r w:rsidR="009D6E06" w:rsidRPr="000174B0">
        <w:rPr>
          <w:rFonts w:ascii="Arial" w:eastAsia="Arial" w:hAnsi="Arial" w:cs="Arial"/>
          <w:lang w:val="en-US"/>
        </w:rPr>
        <w:t>Candidates</w:t>
      </w:r>
      <w:r w:rsidRPr="000174B0">
        <w:rPr>
          <w:rFonts w:ascii="Arial" w:eastAsia="Arial" w:hAnsi="Arial" w:cs="Arial"/>
          <w:lang w:val="en-US"/>
        </w:rPr>
        <w:t xml:space="preserve"> must be citizens of one of the IDB member countries.</w:t>
      </w:r>
      <w:r w:rsidR="009D6E06" w:rsidRPr="000174B0">
        <w:rPr>
          <w:rFonts w:ascii="Arial" w:eastAsia="Arial" w:hAnsi="Arial" w:cs="Arial"/>
          <w:lang w:val="en-US"/>
        </w:rPr>
        <w:t xml:space="preserve"> In addition, the compensation shall be determined according to the policies and procedures of the Bank. In general, the Bank </w:t>
      </w:r>
      <w:r w:rsidR="00AC4D0C" w:rsidRPr="000174B0">
        <w:rPr>
          <w:rFonts w:ascii="Arial" w:eastAsia="Arial" w:hAnsi="Arial" w:cs="Arial"/>
          <w:lang w:val="en-US"/>
        </w:rPr>
        <w:t xml:space="preserve">will </w:t>
      </w:r>
      <w:r w:rsidR="009D6E06" w:rsidRPr="000174B0">
        <w:rPr>
          <w:rFonts w:ascii="Arial" w:eastAsia="Arial" w:hAnsi="Arial" w:cs="Arial"/>
          <w:lang w:val="en-US"/>
        </w:rPr>
        <w:t>pay to the firm a percentage of the total for each product delivered</w:t>
      </w:r>
      <w:r w:rsidR="006C3997" w:rsidRPr="000174B0">
        <w:rPr>
          <w:rFonts w:ascii="Arial" w:eastAsia="Arial" w:hAnsi="Arial" w:cs="Arial"/>
          <w:lang w:val="en-US"/>
        </w:rPr>
        <w:t>.</w:t>
      </w:r>
      <w:r w:rsidR="0013077D" w:rsidRPr="000174B0">
        <w:rPr>
          <w:rFonts w:ascii="Arial" w:eastAsia="Arial" w:hAnsi="Arial" w:cs="Arial"/>
          <w:lang w:val="en-US"/>
        </w:rPr>
        <w:t xml:space="preserve"> </w:t>
      </w:r>
    </w:p>
    <w:p w:rsidR="00B11C9D" w:rsidRPr="000174B0" w:rsidRDefault="00B11C9D" w:rsidP="00AC6559">
      <w:pPr>
        <w:spacing w:before="120" w:after="120"/>
        <w:jc w:val="both"/>
        <w:rPr>
          <w:rFonts w:ascii="Arial" w:eastAsia="Arial" w:hAnsi="Arial" w:cs="Arial"/>
          <w:sz w:val="8"/>
          <w:lang w:val="en-US"/>
        </w:rPr>
      </w:pPr>
    </w:p>
    <w:p w:rsidR="007A3509" w:rsidRPr="000174B0" w:rsidRDefault="00960370" w:rsidP="00961803">
      <w:pPr>
        <w:pStyle w:val="ListParagraph"/>
        <w:numPr>
          <w:ilvl w:val="1"/>
          <w:numId w:val="22"/>
        </w:numPr>
        <w:spacing w:before="120" w:after="120"/>
        <w:jc w:val="both"/>
        <w:rPr>
          <w:rFonts w:ascii="Arial" w:eastAsia="Arial" w:hAnsi="Arial" w:cs="Arial"/>
          <w:lang w:val="en-US"/>
        </w:rPr>
      </w:pPr>
      <w:r w:rsidRPr="000174B0">
        <w:rPr>
          <w:rFonts w:ascii="Arial" w:eastAsia="Arial" w:hAnsi="Arial" w:cs="Arial"/>
          <w:b/>
          <w:lang w:val="en-US"/>
        </w:rPr>
        <w:t>Consanguinity.</w:t>
      </w:r>
      <w:r w:rsidRPr="000174B0">
        <w:rPr>
          <w:rFonts w:ascii="Arial" w:eastAsia="Arial" w:hAnsi="Arial" w:cs="Arial"/>
          <w:lang w:val="en-US"/>
        </w:rPr>
        <w:t xml:space="preserve"> In accordance with the Bank's policy applicable, candidates with relatives (including fourth degree of consanguinity and second degree of affinity, including spouse) who work for the Bank as official or contractual complementary contractual force, will not be eligible to provide services to the Bank.</w:t>
      </w:r>
    </w:p>
    <w:p w:rsidR="007A3509" w:rsidRPr="000174B0" w:rsidRDefault="007A3509" w:rsidP="007A3509">
      <w:pPr>
        <w:pStyle w:val="ListParagraph"/>
        <w:spacing w:before="120" w:after="120"/>
        <w:ind w:left="360"/>
        <w:jc w:val="both"/>
        <w:rPr>
          <w:rFonts w:ascii="Arial" w:eastAsia="Arial" w:hAnsi="Arial" w:cs="Arial"/>
          <w:lang w:val="en-US"/>
        </w:rPr>
      </w:pPr>
    </w:p>
    <w:p w:rsidR="00960370" w:rsidRPr="000174B0" w:rsidRDefault="005670B8" w:rsidP="00961803">
      <w:pPr>
        <w:pStyle w:val="ListParagraph"/>
        <w:numPr>
          <w:ilvl w:val="1"/>
          <w:numId w:val="22"/>
        </w:numPr>
        <w:spacing w:before="120" w:after="120"/>
        <w:jc w:val="both"/>
        <w:rPr>
          <w:rFonts w:ascii="Arial" w:eastAsia="Arial" w:hAnsi="Arial" w:cs="Arial"/>
          <w:lang w:val="en-US"/>
        </w:rPr>
      </w:pPr>
      <w:r w:rsidRPr="000174B0">
        <w:rPr>
          <w:rFonts w:ascii="Arial" w:eastAsia="Arial" w:hAnsi="Arial" w:cs="Arial"/>
          <w:b/>
          <w:lang w:val="en-US"/>
        </w:rPr>
        <w:t>Diversity.</w:t>
      </w:r>
      <w:r w:rsidRPr="000174B0">
        <w:rPr>
          <w:rFonts w:ascii="Arial" w:eastAsia="Arial" w:hAnsi="Arial" w:cs="Arial"/>
          <w:lang w:val="en-US"/>
        </w:rPr>
        <w:t xml:space="preserve"> The Bank is committed to diversity and inclusion and equal opportunities for all candidates. We welcome diversity based on gender, age, education, national origin, ethnicity, race, disability, sexual orientation, religion, and status of HIV / AIDS.</w:t>
      </w:r>
    </w:p>
    <w:p w:rsidR="00AC6559" w:rsidRPr="000174B0" w:rsidRDefault="00AC6559" w:rsidP="00AC6559">
      <w:pPr>
        <w:spacing w:before="120" w:after="120"/>
        <w:jc w:val="both"/>
        <w:rPr>
          <w:rFonts w:ascii="Arial" w:eastAsia="Arial" w:hAnsi="Arial" w:cs="Arial"/>
          <w:lang w:val="en-US"/>
        </w:rPr>
      </w:pPr>
    </w:p>
    <w:p w:rsidR="00AB4F75" w:rsidRPr="000174B0" w:rsidRDefault="00AB4F75" w:rsidP="00AB4F75">
      <w:pPr>
        <w:pStyle w:val="ListParagraph"/>
        <w:spacing w:before="120" w:after="120"/>
        <w:ind w:left="360"/>
        <w:jc w:val="both"/>
        <w:rPr>
          <w:rFonts w:ascii="Arial" w:eastAsia="Arial" w:hAnsi="Arial" w:cs="Arial"/>
          <w:sz w:val="20"/>
          <w:szCs w:val="20"/>
          <w:lang w:val="en-US"/>
        </w:rPr>
      </w:pPr>
    </w:p>
    <w:p w:rsidR="00B2082C" w:rsidRPr="000174B0" w:rsidRDefault="00B2082C">
      <w:pPr>
        <w:rPr>
          <w:lang w:val="en-US"/>
        </w:rPr>
      </w:pPr>
    </w:p>
    <w:sectPr w:rsidR="00B2082C" w:rsidRPr="000174B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7DA" w:rsidRDefault="007267DA" w:rsidP="001E3B62">
      <w:pPr>
        <w:spacing w:after="0" w:line="240" w:lineRule="auto"/>
      </w:pPr>
      <w:r>
        <w:separator/>
      </w:r>
    </w:p>
  </w:endnote>
  <w:endnote w:type="continuationSeparator" w:id="0">
    <w:p w:rsidR="007267DA" w:rsidRDefault="007267DA" w:rsidP="001E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7DA" w:rsidRDefault="007267DA" w:rsidP="001E3B62">
      <w:pPr>
        <w:spacing w:after="0" w:line="240" w:lineRule="auto"/>
      </w:pPr>
      <w:r>
        <w:separator/>
      </w:r>
    </w:p>
  </w:footnote>
  <w:footnote w:type="continuationSeparator" w:id="0">
    <w:p w:rsidR="007267DA" w:rsidRDefault="007267DA" w:rsidP="001E3B62">
      <w:pPr>
        <w:spacing w:after="0" w:line="240" w:lineRule="auto"/>
      </w:pPr>
      <w:r>
        <w:continuationSeparator/>
      </w:r>
    </w:p>
  </w:footnote>
  <w:footnote w:id="1">
    <w:p w:rsidR="007267DA" w:rsidRPr="004006A8" w:rsidRDefault="007267DA" w:rsidP="004006A8">
      <w:pPr>
        <w:pStyle w:val="FootnoteText"/>
        <w:spacing w:after="0"/>
        <w:rPr>
          <w:rFonts w:ascii="Arial" w:hAnsi="Arial" w:cs="Arial"/>
          <w:b/>
          <w:sz w:val="18"/>
          <w:szCs w:val="18"/>
        </w:rPr>
      </w:pPr>
      <w:r w:rsidRPr="004006A8">
        <w:rPr>
          <w:rStyle w:val="FootnoteReference"/>
          <w:rFonts w:ascii="Arial" w:hAnsi="Arial" w:cs="Arial"/>
          <w:sz w:val="18"/>
          <w:szCs w:val="18"/>
        </w:rPr>
        <w:footnoteRef/>
      </w:r>
      <w:r w:rsidRPr="004006A8">
        <w:rPr>
          <w:rFonts w:ascii="Arial" w:hAnsi="Arial" w:cs="Arial"/>
          <w:sz w:val="18"/>
          <w:szCs w:val="18"/>
        </w:rPr>
        <w:t xml:space="preserve"> </w:t>
      </w:r>
      <w:r>
        <w:rPr>
          <w:rFonts w:ascii="Arial" w:hAnsi="Arial" w:cs="Arial"/>
          <w:b/>
          <w:sz w:val="18"/>
          <w:szCs w:val="18"/>
        </w:rPr>
        <w:tab/>
      </w:r>
      <w:r w:rsidRPr="004006A8">
        <w:rPr>
          <w:rFonts w:ascii="Arial" w:hAnsi="Arial" w:cs="Arial"/>
          <w:sz w:val="18"/>
          <w:szCs w:val="18"/>
        </w:rPr>
        <w:t>World Health Organization (2015). Non communicable diseases. http://www.who.int/mediacentre/factsheets/fs355/en/</w:t>
      </w:r>
    </w:p>
  </w:footnote>
  <w:footnote w:id="2">
    <w:p w:rsidR="007267DA" w:rsidRPr="004006A8" w:rsidRDefault="007267DA" w:rsidP="002E30FB">
      <w:pPr>
        <w:pStyle w:val="FootnoteText"/>
        <w:spacing w:after="0"/>
        <w:rPr>
          <w:rFonts w:ascii="Arial" w:eastAsia="Times New Roman" w:hAnsi="Arial" w:cs="Arial"/>
          <w:bCs/>
          <w:spacing w:val="0"/>
          <w:kern w:val="36"/>
          <w:sz w:val="18"/>
          <w:szCs w:val="18"/>
          <w:lang w:eastAsia="es-DO"/>
        </w:rPr>
      </w:pPr>
      <w:r w:rsidRPr="004006A8">
        <w:rPr>
          <w:rStyle w:val="FootnoteReference"/>
          <w:rFonts w:ascii="Arial" w:hAnsi="Arial" w:cs="Arial"/>
          <w:sz w:val="18"/>
          <w:szCs w:val="18"/>
        </w:rPr>
        <w:footnoteRef/>
      </w:r>
      <w:r w:rsidRPr="004006A8">
        <w:rPr>
          <w:rFonts w:ascii="Arial" w:hAnsi="Arial" w:cs="Arial"/>
          <w:sz w:val="18"/>
          <w:szCs w:val="18"/>
        </w:rPr>
        <w:t xml:space="preserve"> </w:t>
      </w:r>
      <w:r>
        <w:rPr>
          <w:rFonts w:ascii="Arial" w:hAnsi="Arial" w:cs="Arial"/>
          <w:sz w:val="18"/>
          <w:szCs w:val="18"/>
        </w:rPr>
        <w:tab/>
      </w:r>
      <w:r w:rsidRPr="004006A8">
        <w:rPr>
          <w:rFonts w:ascii="Arial" w:eastAsia="Times New Roman" w:hAnsi="Arial" w:cs="Arial"/>
          <w:bCs/>
          <w:spacing w:val="0"/>
          <w:kern w:val="36"/>
          <w:sz w:val="18"/>
          <w:szCs w:val="18"/>
          <w:lang w:eastAsia="es-DO"/>
        </w:rPr>
        <w:t>Within NCD, cardiovascular diseases account for most deaths (17.5 million people annually), followed by cancer (8.2 million), respiratory diseases (4 million), and diabetes (1.5 million).</w:t>
      </w:r>
    </w:p>
  </w:footnote>
  <w:footnote w:id="3">
    <w:p w:rsidR="007267DA" w:rsidRPr="004006A8" w:rsidRDefault="007267DA" w:rsidP="00C449B0">
      <w:pPr>
        <w:pStyle w:val="FootnoteText"/>
        <w:spacing w:after="0"/>
        <w:rPr>
          <w:rFonts w:ascii="Arial" w:eastAsia="Times New Roman" w:hAnsi="Arial" w:cs="Arial"/>
          <w:bCs/>
          <w:spacing w:val="0"/>
          <w:kern w:val="36"/>
          <w:sz w:val="18"/>
          <w:szCs w:val="18"/>
          <w:lang w:eastAsia="es-DO"/>
        </w:rPr>
      </w:pPr>
      <w:r w:rsidRPr="004006A8">
        <w:rPr>
          <w:rStyle w:val="FootnoteReference"/>
          <w:rFonts w:ascii="Arial" w:hAnsi="Arial" w:cs="Arial"/>
          <w:sz w:val="18"/>
          <w:szCs w:val="18"/>
        </w:rPr>
        <w:footnoteRef/>
      </w:r>
      <w:r w:rsidRPr="004006A8">
        <w:rPr>
          <w:rFonts w:ascii="Arial" w:eastAsia="Times New Roman" w:hAnsi="Arial" w:cs="Arial"/>
          <w:bCs/>
          <w:spacing w:val="0"/>
          <w:kern w:val="36"/>
          <w:sz w:val="18"/>
          <w:szCs w:val="18"/>
          <w:lang w:eastAsia="es-DO"/>
        </w:rPr>
        <w:t xml:space="preserve"> </w:t>
      </w:r>
      <w:r>
        <w:rPr>
          <w:rFonts w:ascii="Arial" w:eastAsia="Times New Roman" w:hAnsi="Arial" w:cs="Arial"/>
          <w:bCs/>
          <w:spacing w:val="0"/>
          <w:kern w:val="36"/>
          <w:sz w:val="18"/>
          <w:szCs w:val="18"/>
          <w:lang w:eastAsia="es-DO"/>
        </w:rPr>
        <w:tab/>
      </w:r>
      <w:r w:rsidRPr="004006A8">
        <w:rPr>
          <w:rFonts w:ascii="Arial" w:eastAsia="Times New Roman" w:hAnsi="Arial" w:cs="Arial"/>
          <w:bCs/>
          <w:spacing w:val="0"/>
          <w:kern w:val="36"/>
          <w:sz w:val="18"/>
          <w:szCs w:val="18"/>
          <w:lang w:eastAsia="es-DO"/>
        </w:rPr>
        <w:t>NonCommunicable Diseases (NCDs) in developing countries: a symposium report.</w:t>
      </w:r>
    </w:p>
    <w:p w:rsidR="007267DA" w:rsidRPr="004006A8" w:rsidRDefault="007267DA" w:rsidP="00C449B0">
      <w:pPr>
        <w:pStyle w:val="FootnoteText"/>
        <w:spacing w:after="0"/>
        <w:ind w:firstLine="0"/>
        <w:jc w:val="left"/>
        <w:rPr>
          <w:rFonts w:ascii="Arial" w:hAnsi="Arial" w:cs="Arial"/>
          <w:sz w:val="18"/>
          <w:szCs w:val="18"/>
        </w:rPr>
      </w:pPr>
      <w:r w:rsidRPr="004006A8">
        <w:rPr>
          <w:rFonts w:ascii="Arial" w:eastAsia="Times New Roman" w:hAnsi="Arial" w:cs="Arial"/>
          <w:bCs/>
          <w:spacing w:val="0"/>
          <w:kern w:val="36"/>
          <w:sz w:val="18"/>
          <w:szCs w:val="18"/>
          <w:lang w:eastAsia="es-DO"/>
        </w:rPr>
        <w:t>http://globalizationandhealth.biomedcentral.com/articles/10.1186/s12992-014-0081-9</w:t>
      </w:r>
      <w:r w:rsidRPr="004006A8">
        <w:rPr>
          <w:rFonts w:ascii="Arial" w:hAnsi="Arial" w:cs="Arial"/>
          <w:sz w:val="18"/>
          <w:szCs w:val="18"/>
          <w:lang w:val="en"/>
        </w:rPr>
        <w:t xml:space="preserve"> </w:t>
      </w:r>
    </w:p>
  </w:footnote>
  <w:footnote w:id="4">
    <w:p w:rsidR="007267DA" w:rsidRPr="004006A8" w:rsidRDefault="007267DA" w:rsidP="002E30FB">
      <w:pPr>
        <w:pStyle w:val="FootnoteText"/>
        <w:spacing w:after="0"/>
        <w:rPr>
          <w:rFonts w:ascii="Arial" w:hAnsi="Arial" w:cs="Arial"/>
          <w:sz w:val="18"/>
          <w:szCs w:val="18"/>
        </w:rPr>
      </w:pPr>
      <w:r w:rsidRPr="004006A8">
        <w:rPr>
          <w:rStyle w:val="FootnoteReference"/>
          <w:rFonts w:ascii="Arial" w:hAnsi="Arial" w:cs="Arial"/>
          <w:sz w:val="18"/>
          <w:szCs w:val="18"/>
        </w:rPr>
        <w:footnoteRef/>
      </w:r>
      <w:r w:rsidRPr="004006A8">
        <w:rPr>
          <w:rFonts w:ascii="Arial" w:hAnsi="Arial" w:cs="Arial"/>
          <w:sz w:val="18"/>
          <w:szCs w:val="18"/>
        </w:rPr>
        <w:t xml:space="preserve"> </w:t>
      </w:r>
      <w:r>
        <w:rPr>
          <w:rFonts w:ascii="Arial" w:hAnsi="Arial" w:cs="Arial"/>
          <w:sz w:val="18"/>
          <w:szCs w:val="18"/>
        </w:rPr>
        <w:tab/>
      </w:r>
      <w:r w:rsidRPr="004006A8">
        <w:rPr>
          <w:rFonts w:ascii="Arial" w:eastAsia="Times New Roman" w:hAnsi="Arial" w:cs="Arial"/>
          <w:bCs/>
          <w:spacing w:val="0"/>
          <w:kern w:val="36"/>
          <w:sz w:val="18"/>
          <w:szCs w:val="18"/>
          <w:lang w:eastAsia="es-DO"/>
        </w:rPr>
        <w:t>Op.cit</w:t>
      </w:r>
    </w:p>
  </w:footnote>
  <w:footnote w:id="5">
    <w:p w:rsidR="007267DA" w:rsidRPr="00C449B0" w:rsidRDefault="007267DA" w:rsidP="00DF5449">
      <w:pPr>
        <w:pStyle w:val="FootnoteText"/>
        <w:spacing w:after="0"/>
        <w:jc w:val="left"/>
        <w:rPr>
          <w:rFonts w:ascii="Arial" w:eastAsia="Times New Roman" w:hAnsi="Arial" w:cs="Arial"/>
          <w:bCs/>
          <w:spacing w:val="0"/>
          <w:kern w:val="36"/>
          <w:sz w:val="18"/>
          <w:szCs w:val="18"/>
          <w:lang w:eastAsia="es-DO"/>
        </w:rPr>
      </w:pPr>
      <w:r w:rsidRPr="00C449B0">
        <w:rPr>
          <w:rStyle w:val="FootnoteReference"/>
          <w:rFonts w:ascii="Arial" w:hAnsi="Arial" w:cs="Arial"/>
          <w:sz w:val="18"/>
          <w:szCs w:val="18"/>
        </w:rPr>
        <w:footnoteRef/>
      </w:r>
      <w:r w:rsidRPr="00C449B0">
        <w:rPr>
          <w:rFonts w:ascii="Arial" w:eastAsia="Times New Roman" w:hAnsi="Arial" w:cs="Arial"/>
          <w:bCs/>
          <w:spacing w:val="0"/>
          <w:kern w:val="36"/>
          <w:sz w:val="18"/>
          <w:szCs w:val="18"/>
          <w:lang w:eastAsia="es-DO"/>
        </w:rPr>
        <w:t xml:space="preserve"> </w:t>
      </w:r>
      <w:r>
        <w:rPr>
          <w:rFonts w:ascii="Arial" w:eastAsia="Times New Roman" w:hAnsi="Arial" w:cs="Arial"/>
          <w:bCs/>
          <w:spacing w:val="0"/>
          <w:kern w:val="36"/>
          <w:sz w:val="18"/>
          <w:szCs w:val="18"/>
          <w:lang w:eastAsia="es-DO"/>
        </w:rPr>
        <w:tab/>
      </w:r>
      <w:r w:rsidRPr="00C449B0">
        <w:rPr>
          <w:rFonts w:ascii="Arial" w:eastAsia="Times New Roman" w:hAnsi="Arial" w:cs="Arial"/>
          <w:bCs/>
          <w:spacing w:val="0"/>
          <w:kern w:val="36"/>
          <w:sz w:val="18"/>
          <w:szCs w:val="18"/>
          <w:lang w:eastAsia="es-DO"/>
        </w:rPr>
        <w:t>World Health Organization. Global Action Plan for the Prevention and Control of NCDs 2013-2020</w:t>
      </w:r>
    </w:p>
    <w:p w:rsidR="007267DA" w:rsidRPr="00C449B0" w:rsidRDefault="007267DA" w:rsidP="00C449B0">
      <w:pPr>
        <w:pStyle w:val="FootnoteText"/>
        <w:spacing w:after="0"/>
        <w:ind w:firstLine="0"/>
        <w:jc w:val="left"/>
        <w:rPr>
          <w:rFonts w:ascii="Arial" w:hAnsi="Arial" w:cs="Arial"/>
          <w:sz w:val="18"/>
          <w:szCs w:val="18"/>
        </w:rPr>
      </w:pPr>
      <w:r w:rsidRPr="00C449B0">
        <w:rPr>
          <w:rFonts w:ascii="Arial" w:eastAsia="Times New Roman" w:hAnsi="Arial" w:cs="Arial"/>
          <w:bCs/>
          <w:spacing w:val="0"/>
          <w:kern w:val="36"/>
          <w:sz w:val="18"/>
          <w:szCs w:val="18"/>
          <w:lang w:eastAsia="es-DO"/>
        </w:rPr>
        <w:t>http://www.who.int/nmh/events/ncd_action_plan/en/</w:t>
      </w:r>
    </w:p>
  </w:footnote>
  <w:footnote w:id="6">
    <w:p w:rsidR="007267DA" w:rsidRPr="00C449B0" w:rsidRDefault="007267DA" w:rsidP="00D76948">
      <w:pPr>
        <w:pStyle w:val="FootnoteText"/>
        <w:spacing w:after="0"/>
        <w:jc w:val="left"/>
        <w:rPr>
          <w:rFonts w:ascii="Arial" w:eastAsia="Times New Roman" w:hAnsi="Arial" w:cs="Arial"/>
          <w:bCs/>
          <w:spacing w:val="0"/>
          <w:kern w:val="36"/>
          <w:sz w:val="18"/>
          <w:szCs w:val="18"/>
          <w:lang w:eastAsia="es-DO"/>
        </w:rPr>
      </w:pPr>
      <w:r w:rsidRPr="00C449B0">
        <w:rPr>
          <w:rStyle w:val="FootnoteReference"/>
          <w:rFonts w:ascii="Arial" w:hAnsi="Arial" w:cs="Arial"/>
          <w:sz w:val="18"/>
          <w:szCs w:val="18"/>
        </w:rPr>
        <w:footnoteRef/>
      </w:r>
      <w:r w:rsidRPr="00C449B0">
        <w:rPr>
          <w:rFonts w:ascii="Arial" w:eastAsia="Times New Roman" w:hAnsi="Arial" w:cs="Arial"/>
          <w:bCs/>
          <w:spacing w:val="0"/>
          <w:kern w:val="36"/>
          <w:sz w:val="18"/>
          <w:szCs w:val="18"/>
          <w:lang w:eastAsia="es-DO"/>
        </w:rPr>
        <w:t xml:space="preserve"> </w:t>
      </w:r>
      <w:r>
        <w:rPr>
          <w:rFonts w:ascii="Arial" w:eastAsia="Times New Roman" w:hAnsi="Arial" w:cs="Arial"/>
          <w:bCs/>
          <w:spacing w:val="0"/>
          <w:kern w:val="36"/>
          <w:sz w:val="18"/>
          <w:szCs w:val="18"/>
          <w:lang w:eastAsia="es-DO"/>
        </w:rPr>
        <w:tab/>
      </w:r>
      <w:r w:rsidRPr="00C449B0">
        <w:rPr>
          <w:rFonts w:ascii="Arial" w:eastAsia="Times New Roman" w:hAnsi="Arial" w:cs="Arial"/>
          <w:bCs/>
          <w:spacing w:val="0"/>
          <w:kern w:val="36"/>
          <w:sz w:val="18"/>
          <w:szCs w:val="18"/>
          <w:lang w:eastAsia="es-DO"/>
        </w:rPr>
        <w:t>Reframing NCDs and injuries for the poorest billion: a Lancet Commission</w:t>
      </w:r>
    </w:p>
    <w:p w:rsidR="007267DA" w:rsidRPr="00C449B0" w:rsidRDefault="007267DA" w:rsidP="00C449B0">
      <w:pPr>
        <w:pStyle w:val="FootnoteText"/>
        <w:spacing w:after="0"/>
        <w:ind w:firstLine="0"/>
        <w:jc w:val="left"/>
        <w:rPr>
          <w:rFonts w:ascii="Arial" w:hAnsi="Arial" w:cs="Arial"/>
          <w:sz w:val="18"/>
          <w:szCs w:val="18"/>
        </w:rPr>
      </w:pPr>
      <w:r w:rsidRPr="00C449B0">
        <w:rPr>
          <w:rFonts w:ascii="Arial" w:eastAsia="Times New Roman" w:hAnsi="Arial" w:cs="Arial"/>
          <w:bCs/>
          <w:spacing w:val="0"/>
          <w:kern w:val="36"/>
          <w:sz w:val="18"/>
          <w:szCs w:val="18"/>
          <w:lang w:eastAsia="es-DO"/>
        </w:rPr>
        <w:t>http://www.thelancet.com/pdfs/journals/lancet/PIIS0140-6736(15)00278-0.pdf</w:t>
      </w:r>
    </w:p>
  </w:footnote>
  <w:footnote w:id="7">
    <w:p w:rsidR="007267DA" w:rsidRPr="00C449B0" w:rsidRDefault="007267DA" w:rsidP="002E30FB">
      <w:pPr>
        <w:pStyle w:val="FootnoteText"/>
        <w:spacing w:after="0"/>
        <w:rPr>
          <w:rFonts w:ascii="Arial" w:hAnsi="Arial" w:cs="Arial"/>
          <w:sz w:val="18"/>
          <w:szCs w:val="18"/>
        </w:rPr>
      </w:pPr>
      <w:r w:rsidRPr="00C449B0">
        <w:rPr>
          <w:rStyle w:val="FootnoteReference"/>
          <w:rFonts w:ascii="Arial" w:hAnsi="Arial" w:cs="Arial"/>
          <w:sz w:val="18"/>
          <w:szCs w:val="18"/>
        </w:rPr>
        <w:footnoteRef/>
      </w:r>
      <w:r w:rsidRPr="00C449B0">
        <w:rPr>
          <w:rFonts w:ascii="Arial" w:hAnsi="Arial" w:cs="Arial"/>
          <w:sz w:val="18"/>
          <w:szCs w:val="18"/>
        </w:rPr>
        <w:t xml:space="preserve"> </w:t>
      </w:r>
      <w:r>
        <w:rPr>
          <w:rFonts w:ascii="Arial" w:hAnsi="Arial" w:cs="Arial"/>
          <w:sz w:val="18"/>
          <w:szCs w:val="18"/>
        </w:rPr>
        <w:tab/>
      </w:r>
      <w:hyperlink r:id="rId1" w:history="1">
        <w:r w:rsidRPr="00C449B0">
          <w:rPr>
            <w:rFonts w:ascii="Arial" w:eastAsia="Times New Roman" w:hAnsi="Arial" w:cs="Arial"/>
            <w:bCs/>
            <w:spacing w:val="0"/>
            <w:kern w:val="36"/>
            <w:sz w:val="18"/>
            <w:szCs w:val="18"/>
            <w:lang w:eastAsia="es-DO"/>
          </w:rPr>
          <w:t>Op.cit</w:t>
        </w:r>
      </w:hyperlink>
      <w:r w:rsidRPr="00C449B0">
        <w:rPr>
          <w:rFonts w:ascii="Arial" w:eastAsia="Times New Roman" w:hAnsi="Arial" w:cs="Arial"/>
          <w:bCs/>
          <w:spacing w:val="0"/>
          <w:kern w:val="36"/>
          <w:sz w:val="18"/>
          <w:szCs w:val="18"/>
          <w:lang w:eastAsia="es-DO"/>
        </w:rPr>
        <w:t>, p.1221</w:t>
      </w:r>
    </w:p>
  </w:footnote>
  <w:footnote w:id="8">
    <w:p w:rsidR="007267DA" w:rsidRPr="00C449B0" w:rsidRDefault="007267DA" w:rsidP="002E30FB">
      <w:pPr>
        <w:pStyle w:val="FootnoteText"/>
        <w:spacing w:after="0"/>
        <w:rPr>
          <w:rFonts w:ascii="Arial" w:hAnsi="Arial" w:cs="Arial"/>
          <w:sz w:val="18"/>
          <w:szCs w:val="18"/>
        </w:rPr>
      </w:pPr>
      <w:r w:rsidRPr="00C449B0">
        <w:rPr>
          <w:rStyle w:val="FootnoteReference"/>
          <w:rFonts w:ascii="Arial" w:hAnsi="Arial" w:cs="Arial"/>
          <w:sz w:val="18"/>
          <w:szCs w:val="18"/>
        </w:rPr>
        <w:footnoteRef/>
      </w:r>
      <w:r w:rsidRPr="00C449B0">
        <w:rPr>
          <w:rFonts w:ascii="Arial" w:hAnsi="Arial" w:cs="Arial"/>
          <w:sz w:val="18"/>
          <w:szCs w:val="18"/>
        </w:rPr>
        <w:t xml:space="preserve"> </w:t>
      </w:r>
      <w:r>
        <w:rPr>
          <w:rFonts w:ascii="Arial" w:hAnsi="Arial" w:cs="Arial"/>
          <w:sz w:val="18"/>
          <w:szCs w:val="18"/>
        </w:rPr>
        <w:tab/>
      </w:r>
      <w:r w:rsidRPr="00C449B0">
        <w:rPr>
          <w:rFonts w:ascii="Arial" w:eastAsia="Times New Roman" w:hAnsi="Arial" w:cs="Arial"/>
          <w:bCs/>
          <w:spacing w:val="0"/>
          <w:kern w:val="36"/>
          <w:sz w:val="18"/>
          <w:szCs w:val="18"/>
          <w:lang w:eastAsia="es-DO"/>
        </w:rPr>
        <w:t>Ibid, p.1222</w:t>
      </w:r>
    </w:p>
  </w:footnote>
  <w:footnote w:id="9">
    <w:p w:rsidR="007267DA" w:rsidRPr="00C449B0" w:rsidRDefault="007267DA" w:rsidP="002E30FB">
      <w:pPr>
        <w:pStyle w:val="FootnoteText"/>
        <w:spacing w:after="0"/>
        <w:rPr>
          <w:rFonts w:ascii="Arial" w:hAnsi="Arial" w:cs="Arial"/>
          <w:sz w:val="18"/>
          <w:szCs w:val="18"/>
        </w:rPr>
      </w:pPr>
      <w:r w:rsidRPr="00C449B0">
        <w:rPr>
          <w:rStyle w:val="FootnoteReference"/>
          <w:rFonts w:ascii="Arial" w:hAnsi="Arial" w:cs="Arial"/>
          <w:sz w:val="18"/>
          <w:szCs w:val="18"/>
        </w:rPr>
        <w:footnoteRef/>
      </w:r>
      <w:r w:rsidRPr="00C449B0">
        <w:rPr>
          <w:rFonts w:ascii="Arial" w:hAnsi="Arial" w:cs="Arial"/>
          <w:sz w:val="18"/>
          <w:szCs w:val="18"/>
        </w:rPr>
        <w:t xml:space="preserve"> </w:t>
      </w:r>
      <w:r>
        <w:rPr>
          <w:rFonts w:ascii="Arial" w:hAnsi="Arial" w:cs="Arial"/>
          <w:sz w:val="18"/>
          <w:szCs w:val="18"/>
        </w:rPr>
        <w:tab/>
      </w:r>
      <w:r w:rsidRPr="00C449B0">
        <w:rPr>
          <w:rFonts w:ascii="Arial" w:eastAsia="Times New Roman" w:hAnsi="Arial" w:cs="Arial"/>
          <w:bCs/>
          <w:spacing w:val="0"/>
          <w:kern w:val="36"/>
          <w:sz w:val="18"/>
          <w:szCs w:val="18"/>
          <w:lang w:eastAsia="es-DO"/>
        </w:rPr>
        <w:t>National poverty line set at US$ 2.42 per day and extreme poverty line at US$1.23 per day</w:t>
      </w:r>
    </w:p>
  </w:footnote>
  <w:footnote w:id="10">
    <w:p w:rsidR="007267DA" w:rsidRPr="00C449B0" w:rsidRDefault="007267DA" w:rsidP="002E30FB">
      <w:pPr>
        <w:pStyle w:val="FootnoteText"/>
        <w:spacing w:after="0"/>
        <w:rPr>
          <w:rFonts w:ascii="Arial" w:hAnsi="Arial" w:cs="Arial"/>
          <w:sz w:val="18"/>
          <w:szCs w:val="18"/>
        </w:rPr>
      </w:pPr>
      <w:r w:rsidRPr="00C449B0">
        <w:rPr>
          <w:rStyle w:val="FootnoteReference"/>
          <w:rFonts w:ascii="Arial" w:hAnsi="Arial" w:cs="Arial"/>
          <w:sz w:val="18"/>
          <w:szCs w:val="18"/>
        </w:rPr>
        <w:footnoteRef/>
      </w:r>
      <w:r w:rsidRPr="00C449B0">
        <w:rPr>
          <w:rFonts w:ascii="Arial" w:hAnsi="Arial" w:cs="Arial"/>
          <w:sz w:val="18"/>
          <w:szCs w:val="18"/>
        </w:rPr>
        <w:t xml:space="preserve"> </w:t>
      </w:r>
      <w:r>
        <w:rPr>
          <w:rFonts w:ascii="Arial" w:hAnsi="Arial" w:cs="Arial"/>
          <w:sz w:val="18"/>
          <w:szCs w:val="18"/>
        </w:rPr>
        <w:tab/>
      </w:r>
      <w:r w:rsidRPr="00C449B0">
        <w:rPr>
          <w:rFonts w:ascii="Arial" w:eastAsia="Times New Roman" w:hAnsi="Arial" w:cs="Arial"/>
          <w:bCs/>
          <w:spacing w:val="0"/>
          <w:kern w:val="36"/>
          <w:sz w:val="18"/>
          <w:szCs w:val="18"/>
          <w:lang w:eastAsia="es-DO"/>
        </w:rPr>
        <w:t>The Gini coefficient has remained constant at 0.61 since 2001.</w:t>
      </w:r>
    </w:p>
  </w:footnote>
  <w:footnote w:id="11">
    <w:p w:rsidR="007267DA" w:rsidRPr="00C449B0" w:rsidRDefault="007267DA" w:rsidP="002E30FB">
      <w:pPr>
        <w:pStyle w:val="FootnoteText"/>
        <w:spacing w:after="0"/>
        <w:rPr>
          <w:rFonts w:ascii="Arial" w:hAnsi="Arial" w:cs="Arial"/>
          <w:sz w:val="18"/>
          <w:szCs w:val="18"/>
        </w:rPr>
      </w:pPr>
      <w:r w:rsidRPr="00C449B0">
        <w:rPr>
          <w:rStyle w:val="FootnoteReference"/>
          <w:rFonts w:ascii="Arial" w:hAnsi="Arial" w:cs="Arial"/>
          <w:sz w:val="18"/>
          <w:szCs w:val="18"/>
        </w:rPr>
        <w:footnoteRef/>
      </w:r>
      <w:r w:rsidRPr="00C449B0">
        <w:rPr>
          <w:rFonts w:ascii="Arial" w:hAnsi="Arial" w:cs="Arial"/>
          <w:sz w:val="18"/>
          <w:szCs w:val="18"/>
        </w:rPr>
        <w:t xml:space="preserve"> </w:t>
      </w:r>
      <w:r>
        <w:rPr>
          <w:rFonts w:ascii="Arial" w:hAnsi="Arial" w:cs="Arial"/>
          <w:sz w:val="18"/>
          <w:szCs w:val="18"/>
        </w:rPr>
        <w:tab/>
      </w:r>
      <w:r w:rsidRPr="00C449B0">
        <w:rPr>
          <w:rFonts w:ascii="Arial" w:eastAsia="Times New Roman" w:hAnsi="Arial" w:cs="Arial"/>
          <w:bCs/>
          <w:spacing w:val="0"/>
          <w:kern w:val="36"/>
          <w:sz w:val="18"/>
          <w:szCs w:val="18"/>
          <w:lang w:eastAsia="es-DO"/>
        </w:rPr>
        <w:t>Adult mortality rate is the probability of dying between the ages of 15 and 60 years (per 1 000 population) per year among a hypothetical cohort of 100 000 people that would experience the age-specific mortality rate of the reporting year.</w:t>
      </w:r>
    </w:p>
  </w:footnote>
  <w:footnote w:id="12">
    <w:p w:rsidR="007267DA" w:rsidRPr="00C449B0" w:rsidRDefault="007267DA" w:rsidP="002E30FB">
      <w:pPr>
        <w:pStyle w:val="FootnoteText"/>
        <w:spacing w:after="0"/>
        <w:rPr>
          <w:rFonts w:ascii="Arial" w:hAnsi="Arial" w:cs="Arial"/>
          <w:sz w:val="18"/>
          <w:szCs w:val="18"/>
        </w:rPr>
      </w:pPr>
      <w:r w:rsidRPr="00C449B0">
        <w:rPr>
          <w:rStyle w:val="FootnoteReference"/>
          <w:rFonts w:ascii="Arial" w:hAnsi="Arial" w:cs="Arial"/>
          <w:sz w:val="18"/>
          <w:szCs w:val="18"/>
        </w:rPr>
        <w:footnoteRef/>
      </w:r>
      <w:r w:rsidRPr="00C449B0">
        <w:rPr>
          <w:rFonts w:ascii="Arial" w:hAnsi="Arial" w:cs="Arial"/>
          <w:sz w:val="18"/>
          <w:szCs w:val="18"/>
        </w:rPr>
        <w:t xml:space="preserve"> </w:t>
      </w:r>
      <w:r>
        <w:rPr>
          <w:rFonts w:ascii="Arial" w:hAnsi="Arial" w:cs="Arial"/>
          <w:sz w:val="18"/>
          <w:szCs w:val="18"/>
        </w:rPr>
        <w:tab/>
      </w:r>
      <w:r w:rsidRPr="00C449B0">
        <w:rPr>
          <w:rFonts w:ascii="Arial" w:eastAsia="Times New Roman" w:hAnsi="Arial" w:cs="Arial"/>
          <w:bCs/>
          <w:spacing w:val="0"/>
          <w:kern w:val="36"/>
          <w:sz w:val="18"/>
          <w:szCs w:val="18"/>
          <w:lang w:eastAsia="es-DO"/>
        </w:rPr>
        <w:t>World Health Organization (2014).  Noncommunicable Diseases (NCD)-Country Profiles.</w:t>
      </w:r>
    </w:p>
  </w:footnote>
  <w:footnote w:id="13">
    <w:p w:rsidR="007267DA" w:rsidRPr="00C449B0" w:rsidRDefault="007267DA" w:rsidP="00727C87">
      <w:pPr>
        <w:pStyle w:val="FootnoteText"/>
        <w:jc w:val="left"/>
        <w:rPr>
          <w:rFonts w:ascii="Arial" w:hAnsi="Arial" w:cs="Arial"/>
          <w:sz w:val="18"/>
          <w:szCs w:val="18"/>
        </w:rPr>
      </w:pPr>
      <w:r w:rsidRPr="00C449B0">
        <w:rPr>
          <w:rStyle w:val="FootnoteReference"/>
          <w:rFonts w:ascii="Arial" w:hAnsi="Arial" w:cs="Arial"/>
          <w:sz w:val="18"/>
          <w:szCs w:val="18"/>
        </w:rPr>
        <w:footnoteRef/>
      </w:r>
      <w:r w:rsidRPr="00C449B0">
        <w:rPr>
          <w:rFonts w:ascii="Arial" w:eastAsia="Times New Roman" w:hAnsi="Arial" w:cs="Arial"/>
          <w:bCs/>
          <w:spacing w:val="0"/>
          <w:kern w:val="36"/>
          <w:sz w:val="18"/>
          <w:szCs w:val="18"/>
          <w:lang w:eastAsia="es-DO"/>
        </w:rPr>
        <w:t xml:space="preserve"> </w:t>
      </w:r>
      <w:r>
        <w:rPr>
          <w:rFonts w:ascii="Arial" w:eastAsia="Times New Roman" w:hAnsi="Arial" w:cs="Arial"/>
          <w:bCs/>
          <w:spacing w:val="0"/>
          <w:kern w:val="36"/>
          <w:sz w:val="18"/>
          <w:szCs w:val="18"/>
          <w:lang w:eastAsia="es-DO"/>
        </w:rPr>
        <w:tab/>
      </w:r>
      <w:r w:rsidRPr="00C449B0">
        <w:rPr>
          <w:rFonts w:ascii="Arial" w:eastAsia="Times New Roman" w:hAnsi="Arial" w:cs="Arial"/>
          <w:bCs/>
          <w:spacing w:val="0"/>
          <w:kern w:val="36"/>
          <w:sz w:val="18"/>
          <w:szCs w:val="18"/>
          <w:lang w:eastAsia="es-DO"/>
        </w:rPr>
        <w:t xml:space="preserve">Global Burden of Disease Data Visualizations. Institute for Health Metrics and Evaluation. </w:t>
      </w:r>
      <w:hyperlink r:id="rId2" w:history="1">
        <w:r w:rsidRPr="00C449B0">
          <w:rPr>
            <w:rFonts w:ascii="Arial" w:eastAsia="Times New Roman" w:hAnsi="Arial" w:cs="Arial"/>
            <w:bCs/>
            <w:spacing w:val="0"/>
            <w:kern w:val="36"/>
            <w:sz w:val="18"/>
            <w:szCs w:val="18"/>
            <w:lang w:val="fr-FR" w:eastAsia="es-DO"/>
          </w:rPr>
          <w:t>http://viz.healthmetricsandevaluation.org/gbd-compare/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6570"/>
    <w:multiLevelType w:val="hybridMultilevel"/>
    <w:tmpl w:val="7A92CED2"/>
    <w:lvl w:ilvl="0" w:tplc="0C0A0019">
      <w:start w:val="1"/>
      <w:numFmt w:val="lowerLetter"/>
      <w:lvlText w:val="%1."/>
      <w:lvlJc w:val="left"/>
      <w:pPr>
        <w:ind w:left="720" w:hanging="360"/>
      </w:pPr>
      <w:rPr>
        <w:rFonts w:hint="default"/>
      </w:rPr>
    </w:lvl>
    <w:lvl w:ilvl="1" w:tplc="0C0A001B">
      <w:start w:val="1"/>
      <w:numFmt w:val="lowerRoman"/>
      <w:lvlText w:val="%2."/>
      <w:lvlJc w:val="righ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05011414"/>
    <w:multiLevelType w:val="hybridMultilevel"/>
    <w:tmpl w:val="8DEAE632"/>
    <w:lvl w:ilvl="0" w:tplc="1C0A0019">
      <w:start w:val="1"/>
      <w:numFmt w:val="lowerLetter"/>
      <w:lvlText w:val="%1."/>
      <w:lvlJc w:val="left"/>
      <w:pPr>
        <w:ind w:left="720" w:hanging="36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05966EC3"/>
    <w:multiLevelType w:val="hybridMultilevel"/>
    <w:tmpl w:val="77649720"/>
    <w:lvl w:ilvl="0" w:tplc="8FC87F06">
      <w:start w:val="9"/>
      <w:numFmt w:val="lowerLetter"/>
      <w:lvlText w:val="%1."/>
      <w:lvlJc w:val="left"/>
      <w:pPr>
        <w:ind w:left="1920" w:hanging="360"/>
      </w:pPr>
      <w:rPr>
        <w:rFonts w:hint="default"/>
      </w:rPr>
    </w:lvl>
    <w:lvl w:ilvl="1" w:tplc="1C0A0019" w:tentative="1">
      <w:start w:val="1"/>
      <w:numFmt w:val="lowerLetter"/>
      <w:lvlText w:val="%2."/>
      <w:lvlJc w:val="left"/>
      <w:pPr>
        <w:ind w:left="2640" w:hanging="360"/>
      </w:pPr>
    </w:lvl>
    <w:lvl w:ilvl="2" w:tplc="1C0A001B" w:tentative="1">
      <w:start w:val="1"/>
      <w:numFmt w:val="lowerRoman"/>
      <w:lvlText w:val="%3."/>
      <w:lvlJc w:val="right"/>
      <w:pPr>
        <w:ind w:left="3360" w:hanging="180"/>
      </w:pPr>
    </w:lvl>
    <w:lvl w:ilvl="3" w:tplc="1C0A000F" w:tentative="1">
      <w:start w:val="1"/>
      <w:numFmt w:val="decimal"/>
      <w:lvlText w:val="%4."/>
      <w:lvlJc w:val="left"/>
      <w:pPr>
        <w:ind w:left="4080" w:hanging="360"/>
      </w:pPr>
    </w:lvl>
    <w:lvl w:ilvl="4" w:tplc="1C0A0019" w:tentative="1">
      <w:start w:val="1"/>
      <w:numFmt w:val="lowerLetter"/>
      <w:lvlText w:val="%5."/>
      <w:lvlJc w:val="left"/>
      <w:pPr>
        <w:ind w:left="4800" w:hanging="360"/>
      </w:pPr>
    </w:lvl>
    <w:lvl w:ilvl="5" w:tplc="1C0A001B" w:tentative="1">
      <w:start w:val="1"/>
      <w:numFmt w:val="lowerRoman"/>
      <w:lvlText w:val="%6."/>
      <w:lvlJc w:val="right"/>
      <w:pPr>
        <w:ind w:left="5520" w:hanging="180"/>
      </w:pPr>
    </w:lvl>
    <w:lvl w:ilvl="6" w:tplc="1C0A000F" w:tentative="1">
      <w:start w:val="1"/>
      <w:numFmt w:val="decimal"/>
      <w:lvlText w:val="%7."/>
      <w:lvlJc w:val="left"/>
      <w:pPr>
        <w:ind w:left="6240" w:hanging="360"/>
      </w:pPr>
    </w:lvl>
    <w:lvl w:ilvl="7" w:tplc="1C0A0019" w:tentative="1">
      <w:start w:val="1"/>
      <w:numFmt w:val="lowerLetter"/>
      <w:lvlText w:val="%8."/>
      <w:lvlJc w:val="left"/>
      <w:pPr>
        <w:ind w:left="6960" w:hanging="360"/>
      </w:pPr>
    </w:lvl>
    <w:lvl w:ilvl="8" w:tplc="1C0A001B" w:tentative="1">
      <w:start w:val="1"/>
      <w:numFmt w:val="lowerRoman"/>
      <w:lvlText w:val="%9."/>
      <w:lvlJc w:val="right"/>
      <w:pPr>
        <w:ind w:left="7680" w:hanging="180"/>
      </w:pPr>
    </w:lvl>
  </w:abstractNum>
  <w:abstractNum w:abstractNumId="3">
    <w:nsid w:val="07626148"/>
    <w:multiLevelType w:val="multilevel"/>
    <w:tmpl w:val="81D090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F04682"/>
    <w:multiLevelType w:val="hybridMultilevel"/>
    <w:tmpl w:val="E2A42C2C"/>
    <w:lvl w:ilvl="0" w:tplc="8266E842">
      <w:start w:val="1"/>
      <w:numFmt w:val="lowerRoman"/>
      <w:lvlText w:val="%1."/>
      <w:lvlJc w:val="left"/>
      <w:pPr>
        <w:ind w:left="1004" w:hanging="720"/>
      </w:pPr>
      <w:rPr>
        <w:rFonts w:hint="default"/>
      </w:rPr>
    </w:lvl>
    <w:lvl w:ilvl="1" w:tplc="1C0A0019" w:tentative="1">
      <w:start w:val="1"/>
      <w:numFmt w:val="lowerLetter"/>
      <w:lvlText w:val="%2."/>
      <w:lvlJc w:val="left"/>
      <w:pPr>
        <w:ind w:left="1364" w:hanging="360"/>
      </w:pPr>
    </w:lvl>
    <w:lvl w:ilvl="2" w:tplc="1C0A001B" w:tentative="1">
      <w:start w:val="1"/>
      <w:numFmt w:val="lowerRoman"/>
      <w:lvlText w:val="%3."/>
      <w:lvlJc w:val="right"/>
      <w:pPr>
        <w:ind w:left="2084" w:hanging="180"/>
      </w:pPr>
    </w:lvl>
    <w:lvl w:ilvl="3" w:tplc="1C0A000F" w:tentative="1">
      <w:start w:val="1"/>
      <w:numFmt w:val="decimal"/>
      <w:lvlText w:val="%4."/>
      <w:lvlJc w:val="left"/>
      <w:pPr>
        <w:ind w:left="2804" w:hanging="360"/>
      </w:pPr>
    </w:lvl>
    <w:lvl w:ilvl="4" w:tplc="1C0A0019" w:tentative="1">
      <w:start w:val="1"/>
      <w:numFmt w:val="lowerLetter"/>
      <w:lvlText w:val="%5."/>
      <w:lvlJc w:val="left"/>
      <w:pPr>
        <w:ind w:left="3524" w:hanging="360"/>
      </w:pPr>
    </w:lvl>
    <w:lvl w:ilvl="5" w:tplc="1C0A001B" w:tentative="1">
      <w:start w:val="1"/>
      <w:numFmt w:val="lowerRoman"/>
      <w:lvlText w:val="%6."/>
      <w:lvlJc w:val="right"/>
      <w:pPr>
        <w:ind w:left="4244" w:hanging="180"/>
      </w:pPr>
    </w:lvl>
    <w:lvl w:ilvl="6" w:tplc="1C0A000F" w:tentative="1">
      <w:start w:val="1"/>
      <w:numFmt w:val="decimal"/>
      <w:lvlText w:val="%7."/>
      <w:lvlJc w:val="left"/>
      <w:pPr>
        <w:ind w:left="4964" w:hanging="360"/>
      </w:pPr>
    </w:lvl>
    <w:lvl w:ilvl="7" w:tplc="1C0A0019" w:tentative="1">
      <w:start w:val="1"/>
      <w:numFmt w:val="lowerLetter"/>
      <w:lvlText w:val="%8."/>
      <w:lvlJc w:val="left"/>
      <w:pPr>
        <w:ind w:left="5684" w:hanging="360"/>
      </w:pPr>
    </w:lvl>
    <w:lvl w:ilvl="8" w:tplc="1C0A001B" w:tentative="1">
      <w:start w:val="1"/>
      <w:numFmt w:val="lowerRoman"/>
      <w:lvlText w:val="%9."/>
      <w:lvlJc w:val="right"/>
      <w:pPr>
        <w:ind w:left="6404" w:hanging="180"/>
      </w:pPr>
    </w:lvl>
  </w:abstractNum>
  <w:abstractNum w:abstractNumId="5">
    <w:nsid w:val="0D4E11CC"/>
    <w:multiLevelType w:val="multilevel"/>
    <w:tmpl w:val="E2A42C2C"/>
    <w:lvl w:ilvl="0">
      <w:start w:val="1"/>
      <w:numFmt w:val="lowerRoman"/>
      <w:lvlText w:val="%1."/>
      <w:lvlJc w:val="left"/>
      <w:pPr>
        <w:ind w:left="1425" w:hanging="72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6">
    <w:nsid w:val="0EB44480"/>
    <w:multiLevelType w:val="hybridMultilevel"/>
    <w:tmpl w:val="6D50F2F4"/>
    <w:lvl w:ilvl="0" w:tplc="0A001E28">
      <w:start w:val="1"/>
      <w:numFmt w:val="lowerLetter"/>
      <w:lvlText w:val="%1."/>
      <w:lvlJc w:val="left"/>
      <w:pPr>
        <w:ind w:left="1004" w:hanging="720"/>
      </w:pPr>
      <w:rPr>
        <w:rFonts w:ascii="Arial" w:eastAsia="Arial" w:hAnsi="Arial" w:cs="Arial"/>
      </w:rPr>
    </w:lvl>
    <w:lvl w:ilvl="1" w:tplc="1C0A0019" w:tentative="1">
      <w:start w:val="1"/>
      <w:numFmt w:val="lowerLetter"/>
      <w:lvlText w:val="%2."/>
      <w:lvlJc w:val="left"/>
      <w:pPr>
        <w:ind w:left="1364" w:hanging="360"/>
      </w:pPr>
    </w:lvl>
    <w:lvl w:ilvl="2" w:tplc="1C0A001B" w:tentative="1">
      <w:start w:val="1"/>
      <w:numFmt w:val="lowerRoman"/>
      <w:lvlText w:val="%3."/>
      <w:lvlJc w:val="right"/>
      <w:pPr>
        <w:ind w:left="2084" w:hanging="180"/>
      </w:pPr>
    </w:lvl>
    <w:lvl w:ilvl="3" w:tplc="1C0A000F" w:tentative="1">
      <w:start w:val="1"/>
      <w:numFmt w:val="decimal"/>
      <w:lvlText w:val="%4."/>
      <w:lvlJc w:val="left"/>
      <w:pPr>
        <w:ind w:left="2804" w:hanging="360"/>
      </w:pPr>
    </w:lvl>
    <w:lvl w:ilvl="4" w:tplc="1C0A0019" w:tentative="1">
      <w:start w:val="1"/>
      <w:numFmt w:val="lowerLetter"/>
      <w:lvlText w:val="%5."/>
      <w:lvlJc w:val="left"/>
      <w:pPr>
        <w:ind w:left="3524" w:hanging="360"/>
      </w:pPr>
    </w:lvl>
    <w:lvl w:ilvl="5" w:tplc="1C0A001B" w:tentative="1">
      <w:start w:val="1"/>
      <w:numFmt w:val="lowerRoman"/>
      <w:lvlText w:val="%6."/>
      <w:lvlJc w:val="right"/>
      <w:pPr>
        <w:ind w:left="4244" w:hanging="180"/>
      </w:pPr>
    </w:lvl>
    <w:lvl w:ilvl="6" w:tplc="1C0A000F" w:tentative="1">
      <w:start w:val="1"/>
      <w:numFmt w:val="decimal"/>
      <w:lvlText w:val="%7."/>
      <w:lvlJc w:val="left"/>
      <w:pPr>
        <w:ind w:left="4964" w:hanging="360"/>
      </w:pPr>
    </w:lvl>
    <w:lvl w:ilvl="7" w:tplc="1C0A0019" w:tentative="1">
      <w:start w:val="1"/>
      <w:numFmt w:val="lowerLetter"/>
      <w:lvlText w:val="%8."/>
      <w:lvlJc w:val="left"/>
      <w:pPr>
        <w:ind w:left="5684" w:hanging="360"/>
      </w:pPr>
    </w:lvl>
    <w:lvl w:ilvl="8" w:tplc="1C0A001B" w:tentative="1">
      <w:start w:val="1"/>
      <w:numFmt w:val="lowerRoman"/>
      <w:lvlText w:val="%9."/>
      <w:lvlJc w:val="right"/>
      <w:pPr>
        <w:ind w:left="6404" w:hanging="180"/>
      </w:pPr>
    </w:lvl>
  </w:abstractNum>
  <w:abstractNum w:abstractNumId="7">
    <w:nsid w:val="0FDC210F"/>
    <w:multiLevelType w:val="hybridMultilevel"/>
    <w:tmpl w:val="D0F623C2"/>
    <w:lvl w:ilvl="0" w:tplc="1C0A001B">
      <w:start w:val="1"/>
      <w:numFmt w:val="lowerRoman"/>
      <w:lvlText w:val="%1."/>
      <w:lvlJc w:val="right"/>
      <w:pPr>
        <w:ind w:left="1920" w:hanging="360"/>
      </w:pPr>
    </w:lvl>
    <w:lvl w:ilvl="1" w:tplc="1C0A0019" w:tentative="1">
      <w:start w:val="1"/>
      <w:numFmt w:val="lowerLetter"/>
      <w:lvlText w:val="%2."/>
      <w:lvlJc w:val="left"/>
      <w:pPr>
        <w:ind w:left="2640" w:hanging="360"/>
      </w:pPr>
    </w:lvl>
    <w:lvl w:ilvl="2" w:tplc="1C0A001B" w:tentative="1">
      <w:start w:val="1"/>
      <w:numFmt w:val="lowerRoman"/>
      <w:lvlText w:val="%3."/>
      <w:lvlJc w:val="right"/>
      <w:pPr>
        <w:ind w:left="3360" w:hanging="180"/>
      </w:pPr>
    </w:lvl>
    <w:lvl w:ilvl="3" w:tplc="1C0A000F" w:tentative="1">
      <w:start w:val="1"/>
      <w:numFmt w:val="decimal"/>
      <w:lvlText w:val="%4."/>
      <w:lvlJc w:val="left"/>
      <w:pPr>
        <w:ind w:left="4080" w:hanging="360"/>
      </w:pPr>
    </w:lvl>
    <w:lvl w:ilvl="4" w:tplc="1C0A0019" w:tentative="1">
      <w:start w:val="1"/>
      <w:numFmt w:val="lowerLetter"/>
      <w:lvlText w:val="%5."/>
      <w:lvlJc w:val="left"/>
      <w:pPr>
        <w:ind w:left="4800" w:hanging="360"/>
      </w:pPr>
    </w:lvl>
    <w:lvl w:ilvl="5" w:tplc="1C0A001B" w:tentative="1">
      <w:start w:val="1"/>
      <w:numFmt w:val="lowerRoman"/>
      <w:lvlText w:val="%6."/>
      <w:lvlJc w:val="right"/>
      <w:pPr>
        <w:ind w:left="5520" w:hanging="180"/>
      </w:pPr>
    </w:lvl>
    <w:lvl w:ilvl="6" w:tplc="1C0A000F" w:tentative="1">
      <w:start w:val="1"/>
      <w:numFmt w:val="decimal"/>
      <w:lvlText w:val="%7."/>
      <w:lvlJc w:val="left"/>
      <w:pPr>
        <w:ind w:left="6240" w:hanging="360"/>
      </w:pPr>
    </w:lvl>
    <w:lvl w:ilvl="7" w:tplc="1C0A0019" w:tentative="1">
      <w:start w:val="1"/>
      <w:numFmt w:val="lowerLetter"/>
      <w:lvlText w:val="%8."/>
      <w:lvlJc w:val="left"/>
      <w:pPr>
        <w:ind w:left="6960" w:hanging="360"/>
      </w:pPr>
    </w:lvl>
    <w:lvl w:ilvl="8" w:tplc="1C0A001B" w:tentative="1">
      <w:start w:val="1"/>
      <w:numFmt w:val="lowerRoman"/>
      <w:lvlText w:val="%9."/>
      <w:lvlJc w:val="right"/>
      <w:pPr>
        <w:ind w:left="7680" w:hanging="180"/>
      </w:pPr>
    </w:lvl>
  </w:abstractNum>
  <w:abstractNum w:abstractNumId="8">
    <w:nsid w:val="167C364B"/>
    <w:multiLevelType w:val="hybridMultilevel"/>
    <w:tmpl w:val="D430F5C6"/>
    <w:lvl w:ilvl="0" w:tplc="66F2EE68">
      <w:start w:val="1"/>
      <w:numFmt w:val="lowerRoman"/>
      <w:lvlText w:val="%1."/>
      <w:lvlJc w:val="left"/>
      <w:pPr>
        <w:ind w:left="1440" w:hanging="720"/>
      </w:pPr>
      <w:rPr>
        <w:rFonts w:hint="default"/>
        <w:u w:val="none"/>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9">
    <w:nsid w:val="1BA135B7"/>
    <w:multiLevelType w:val="hybridMultilevel"/>
    <w:tmpl w:val="80743EDA"/>
    <w:lvl w:ilvl="0" w:tplc="E38AE0D2">
      <w:start w:val="1"/>
      <w:numFmt w:val="low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1F1D6365"/>
    <w:multiLevelType w:val="multilevel"/>
    <w:tmpl w:val="BA9A4DBE"/>
    <w:lvl w:ilvl="0">
      <w:start w:val="1"/>
      <w:numFmt w:val="upperRoman"/>
      <w:lvlText w:val="%1."/>
      <w:lvlJc w:val="right"/>
      <w:pPr>
        <w:ind w:left="360" w:hanging="360"/>
      </w:pPr>
      <w:rPr>
        <w:b/>
      </w:rPr>
    </w:lvl>
    <w:lvl w:ilvl="1">
      <w:start w:val="1"/>
      <w:numFmt w:val="decimal"/>
      <w:isLgl/>
      <w:lvlText w:val="%1.%2"/>
      <w:lvlJc w:val="left"/>
      <w:pPr>
        <w:ind w:left="360" w:hanging="360"/>
      </w:pPr>
      <w:rPr>
        <w:rFonts w:ascii="Arial" w:hAnsi="Arial" w:cs="Arial"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11">
    <w:nsid w:val="20510270"/>
    <w:multiLevelType w:val="multilevel"/>
    <w:tmpl w:val="429CC5AA"/>
    <w:lvl w:ilvl="0">
      <w:start w:val="5"/>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nsid w:val="20981F9C"/>
    <w:multiLevelType w:val="hybridMultilevel"/>
    <w:tmpl w:val="2DAC8C02"/>
    <w:lvl w:ilvl="0" w:tplc="1C0A0019">
      <w:start w:val="1"/>
      <w:numFmt w:val="lowerLetter"/>
      <w:lvlText w:val="%1."/>
      <w:lvlJc w:val="left"/>
      <w:pPr>
        <w:ind w:left="720" w:hanging="360"/>
      </w:pPr>
      <w:rPr>
        <w:rFonts w:hint="default"/>
      </w:rPr>
    </w:lvl>
    <w:lvl w:ilvl="1" w:tplc="1C0A001B">
      <w:start w:val="1"/>
      <w:numFmt w:val="lowerRoman"/>
      <w:lvlText w:val="%2."/>
      <w:lvlJc w:val="righ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nsid w:val="20FF21B3"/>
    <w:multiLevelType w:val="multilevel"/>
    <w:tmpl w:val="EBBE8E2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nsid w:val="23FF1697"/>
    <w:multiLevelType w:val="multilevel"/>
    <w:tmpl w:val="BA9A4DBE"/>
    <w:lvl w:ilvl="0">
      <w:start w:val="1"/>
      <w:numFmt w:val="upperRoman"/>
      <w:lvlText w:val="%1."/>
      <w:lvlJc w:val="right"/>
      <w:pPr>
        <w:ind w:left="360" w:hanging="360"/>
      </w:pPr>
      <w:rPr>
        <w:b/>
      </w:rPr>
    </w:lvl>
    <w:lvl w:ilvl="1">
      <w:start w:val="1"/>
      <w:numFmt w:val="decimal"/>
      <w:isLgl/>
      <w:lvlText w:val="%1.%2"/>
      <w:lvlJc w:val="left"/>
      <w:pPr>
        <w:ind w:left="360" w:hanging="360"/>
      </w:pPr>
      <w:rPr>
        <w:rFonts w:ascii="Arial" w:hAnsi="Arial" w:cs="Arial"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15">
    <w:nsid w:val="248D6E90"/>
    <w:multiLevelType w:val="hybridMultilevel"/>
    <w:tmpl w:val="C632204E"/>
    <w:lvl w:ilvl="0" w:tplc="84029E62">
      <w:start w:val="1"/>
      <w:numFmt w:val="lowerRoman"/>
      <w:lvlText w:val="%1."/>
      <w:lvlJc w:val="left"/>
      <w:pPr>
        <w:ind w:left="1440" w:hanging="72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6">
    <w:nsid w:val="2989312A"/>
    <w:multiLevelType w:val="hybridMultilevel"/>
    <w:tmpl w:val="8592A04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nsid w:val="2A110758"/>
    <w:multiLevelType w:val="multilevel"/>
    <w:tmpl w:val="E49E3752"/>
    <w:lvl w:ilvl="0">
      <w:start w:val="4"/>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18">
    <w:nsid w:val="2FEA6AFF"/>
    <w:multiLevelType w:val="hybridMultilevel"/>
    <w:tmpl w:val="02D059D8"/>
    <w:lvl w:ilvl="0" w:tplc="1C0A0019">
      <w:start w:val="1"/>
      <w:numFmt w:val="lowerLetter"/>
      <w:lvlText w:val="%1."/>
      <w:lvlJc w:val="left"/>
      <w:pPr>
        <w:ind w:left="1004" w:hanging="720"/>
      </w:pPr>
    </w:lvl>
    <w:lvl w:ilvl="1" w:tplc="1C0A0019" w:tentative="1">
      <w:start w:val="1"/>
      <w:numFmt w:val="lowerLetter"/>
      <w:lvlText w:val="%2."/>
      <w:lvlJc w:val="left"/>
      <w:pPr>
        <w:ind w:left="1364" w:hanging="360"/>
      </w:pPr>
    </w:lvl>
    <w:lvl w:ilvl="2" w:tplc="1C0A001B" w:tentative="1">
      <w:start w:val="1"/>
      <w:numFmt w:val="lowerRoman"/>
      <w:lvlText w:val="%3."/>
      <w:lvlJc w:val="right"/>
      <w:pPr>
        <w:ind w:left="2084" w:hanging="180"/>
      </w:pPr>
    </w:lvl>
    <w:lvl w:ilvl="3" w:tplc="1C0A000F" w:tentative="1">
      <w:start w:val="1"/>
      <w:numFmt w:val="decimal"/>
      <w:lvlText w:val="%4."/>
      <w:lvlJc w:val="left"/>
      <w:pPr>
        <w:ind w:left="2804" w:hanging="360"/>
      </w:pPr>
    </w:lvl>
    <w:lvl w:ilvl="4" w:tplc="1C0A0019" w:tentative="1">
      <w:start w:val="1"/>
      <w:numFmt w:val="lowerLetter"/>
      <w:lvlText w:val="%5."/>
      <w:lvlJc w:val="left"/>
      <w:pPr>
        <w:ind w:left="3524" w:hanging="360"/>
      </w:pPr>
    </w:lvl>
    <w:lvl w:ilvl="5" w:tplc="1C0A001B" w:tentative="1">
      <w:start w:val="1"/>
      <w:numFmt w:val="lowerRoman"/>
      <w:lvlText w:val="%6."/>
      <w:lvlJc w:val="right"/>
      <w:pPr>
        <w:ind w:left="4244" w:hanging="180"/>
      </w:pPr>
    </w:lvl>
    <w:lvl w:ilvl="6" w:tplc="1C0A000F" w:tentative="1">
      <w:start w:val="1"/>
      <w:numFmt w:val="decimal"/>
      <w:lvlText w:val="%7."/>
      <w:lvlJc w:val="left"/>
      <w:pPr>
        <w:ind w:left="4964" w:hanging="360"/>
      </w:pPr>
    </w:lvl>
    <w:lvl w:ilvl="7" w:tplc="1C0A0019" w:tentative="1">
      <w:start w:val="1"/>
      <w:numFmt w:val="lowerLetter"/>
      <w:lvlText w:val="%8."/>
      <w:lvlJc w:val="left"/>
      <w:pPr>
        <w:ind w:left="5684" w:hanging="360"/>
      </w:pPr>
    </w:lvl>
    <w:lvl w:ilvl="8" w:tplc="1C0A001B" w:tentative="1">
      <w:start w:val="1"/>
      <w:numFmt w:val="lowerRoman"/>
      <w:lvlText w:val="%9."/>
      <w:lvlJc w:val="right"/>
      <w:pPr>
        <w:ind w:left="6404" w:hanging="180"/>
      </w:pPr>
    </w:lvl>
  </w:abstractNum>
  <w:abstractNum w:abstractNumId="19">
    <w:nsid w:val="303D6234"/>
    <w:multiLevelType w:val="hybridMultilevel"/>
    <w:tmpl w:val="33A6F86C"/>
    <w:lvl w:ilvl="0" w:tplc="0F463884">
      <w:start w:val="1"/>
      <w:numFmt w:val="lowerLetter"/>
      <w:lvlText w:val="%1."/>
      <w:lvlJc w:val="left"/>
      <w:pPr>
        <w:ind w:left="1425" w:hanging="720"/>
      </w:pPr>
      <w:rPr>
        <w:rFonts w:ascii="Arial" w:eastAsia="Arial" w:hAnsi="Arial" w:cs="Arial"/>
      </w:rPr>
    </w:lvl>
    <w:lvl w:ilvl="1" w:tplc="1C0A0019" w:tentative="1">
      <w:start w:val="1"/>
      <w:numFmt w:val="lowerLetter"/>
      <w:lvlText w:val="%2."/>
      <w:lvlJc w:val="left"/>
      <w:pPr>
        <w:ind w:left="1785" w:hanging="360"/>
      </w:pPr>
    </w:lvl>
    <w:lvl w:ilvl="2" w:tplc="1C0A001B" w:tentative="1">
      <w:start w:val="1"/>
      <w:numFmt w:val="lowerRoman"/>
      <w:lvlText w:val="%3."/>
      <w:lvlJc w:val="right"/>
      <w:pPr>
        <w:ind w:left="2505" w:hanging="180"/>
      </w:pPr>
    </w:lvl>
    <w:lvl w:ilvl="3" w:tplc="1C0A000F" w:tentative="1">
      <w:start w:val="1"/>
      <w:numFmt w:val="decimal"/>
      <w:lvlText w:val="%4."/>
      <w:lvlJc w:val="left"/>
      <w:pPr>
        <w:ind w:left="3225" w:hanging="360"/>
      </w:pPr>
    </w:lvl>
    <w:lvl w:ilvl="4" w:tplc="1C0A0019" w:tentative="1">
      <w:start w:val="1"/>
      <w:numFmt w:val="lowerLetter"/>
      <w:lvlText w:val="%5."/>
      <w:lvlJc w:val="left"/>
      <w:pPr>
        <w:ind w:left="3945" w:hanging="360"/>
      </w:pPr>
    </w:lvl>
    <w:lvl w:ilvl="5" w:tplc="1C0A001B" w:tentative="1">
      <w:start w:val="1"/>
      <w:numFmt w:val="lowerRoman"/>
      <w:lvlText w:val="%6."/>
      <w:lvlJc w:val="right"/>
      <w:pPr>
        <w:ind w:left="4665" w:hanging="180"/>
      </w:pPr>
    </w:lvl>
    <w:lvl w:ilvl="6" w:tplc="1C0A000F" w:tentative="1">
      <w:start w:val="1"/>
      <w:numFmt w:val="decimal"/>
      <w:lvlText w:val="%7."/>
      <w:lvlJc w:val="left"/>
      <w:pPr>
        <w:ind w:left="5385" w:hanging="360"/>
      </w:pPr>
    </w:lvl>
    <w:lvl w:ilvl="7" w:tplc="1C0A0019" w:tentative="1">
      <w:start w:val="1"/>
      <w:numFmt w:val="lowerLetter"/>
      <w:lvlText w:val="%8."/>
      <w:lvlJc w:val="left"/>
      <w:pPr>
        <w:ind w:left="6105" w:hanging="360"/>
      </w:pPr>
    </w:lvl>
    <w:lvl w:ilvl="8" w:tplc="1C0A001B" w:tentative="1">
      <w:start w:val="1"/>
      <w:numFmt w:val="lowerRoman"/>
      <w:lvlText w:val="%9."/>
      <w:lvlJc w:val="right"/>
      <w:pPr>
        <w:ind w:left="6825" w:hanging="180"/>
      </w:pPr>
    </w:lvl>
  </w:abstractNum>
  <w:abstractNum w:abstractNumId="20">
    <w:nsid w:val="35720AE2"/>
    <w:multiLevelType w:val="hybridMultilevel"/>
    <w:tmpl w:val="01B6DBD4"/>
    <w:lvl w:ilvl="0" w:tplc="BC5A76C0">
      <w:start w:val="2"/>
      <w:numFmt w:val="lowerRoman"/>
      <w:lvlText w:val="%1."/>
      <w:lvlJc w:val="left"/>
      <w:pPr>
        <w:ind w:left="2280" w:hanging="720"/>
      </w:pPr>
      <w:rPr>
        <w:rFonts w:hint="default"/>
      </w:rPr>
    </w:lvl>
    <w:lvl w:ilvl="1" w:tplc="1C0A0019" w:tentative="1">
      <w:start w:val="1"/>
      <w:numFmt w:val="lowerLetter"/>
      <w:lvlText w:val="%2."/>
      <w:lvlJc w:val="left"/>
      <w:pPr>
        <w:ind w:left="2640" w:hanging="360"/>
      </w:pPr>
    </w:lvl>
    <w:lvl w:ilvl="2" w:tplc="1C0A001B" w:tentative="1">
      <w:start w:val="1"/>
      <w:numFmt w:val="lowerRoman"/>
      <w:lvlText w:val="%3."/>
      <w:lvlJc w:val="right"/>
      <w:pPr>
        <w:ind w:left="3360" w:hanging="180"/>
      </w:pPr>
    </w:lvl>
    <w:lvl w:ilvl="3" w:tplc="1C0A000F" w:tentative="1">
      <w:start w:val="1"/>
      <w:numFmt w:val="decimal"/>
      <w:lvlText w:val="%4."/>
      <w:lvlJc w:val="left"/>
      <w:pPr>
        <w:ind w:left="4080" w:hanging="360"/>
      </w:pPr>
    </w:lvl>
    <w:lvl w:ilvl="4" w:tplc="1C0A0019" w:tentative="1">
      <w:start w:val="1"/>
      <w:numFmt w:val="lowerLetter"/>
      <w:lvlText w:val="%5."/>
      <w:lvlJc w:val="left"/>
      <w:pPr>
        <w:ind w:left="4800" w:hanging="360"/>
      </w:pPr>
    </w:lvl>
    <w:lvl w:ilvl="5" w:tplc="1C0A001B" w:tentative="1">
      <w:start w:val="1"/>
      <w:numFmt w:val="lowerRoman"/>
      <w:lvlText w:val="%6."/>
      <w:lvlJc w:val="right"/>
      <w:pPr>
        <w:ind w:left="5520" w:hanging="180"/>
      </w:pPr>
    </w:lvl>
    <w:lvl w:ilvl="6" w:tplc="1C0A000F" w:tentative="1">
      <w:start w:val="1"/>
      <w:numFmt w:val="decimal"/>
      <w:lvlText w:val="%7."/>
      <w:lvlJc w:val="left"/>
      <w:pPr>
        <w:ind w:left="6240" w:hanging="360"/>
      </w:pPr>
    </w:lvl>
    <w:lvl w:ilvl="7" w:tplc="1C0A0019" w:tentative="1">
      <w:start w:val="1"/>
      <w:numFmt w:val="lowerLetter"/>
      <w:lvlText w:val="%8."/>
      <w:lvlJc w:val="left"/>
      <w:pPr>
        <w:ind w:left="6960" w:hanging="360"/>
      </w:pPr>
    </w:lvl>
    <w:lvl w:ilvl="8" w:tplc="1C0A001B" w:tentative="1">
      <w:start w:val="1"/>
      <w:numFmt w:val="lowerRoman"/>
      <w:lvlText w:val="%9."/>
      <w:lvlJc w:val="right"/>
      <w:pPr>
        <w:ind w:left="7680" w:hanging="180"/>
      </w:pPr>
    </w:lvl>
  </w:abstractNum>
  <w:abstractNum w:abstractNumId="21">
    <w:nsid w:val="46D2389B"/>
    <w:multiLevelType w:val="multilevel"/>
    <w:tmpl w:val="9A72748A"/>
    <w:lvl w:ilvl="0">
      <w:start w:val="4"/>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22">
    <w:nsid w:val="481C11C9"/>
    <w:multiLevelType w:val="hybridMultilevel"/>
    <w:tmpl w:val="5AF6E39C"/>
    <w:lvl w:ilvl="0" w:tplc="1C0A0019">
      <w:start w:val="1"/>
      <w:numFmt w:val="lowerLetter"/>
      <w:lvlText w:val="%1."/>
      <w:lvlJc w:val="left"/>
      <w:pPr>
        <w:ind w:left="720" w:hanging="360"/>
      </w:pPr>
      <w:rPr>
        <w:rFonts w:hint="default"/>
      </w:rPr>
    </w:lvl>
    <w:lvl w:ilvl="1" w:tplc="1C0A001B">
      <w:start w:val="1"/>
      <w:numFmt w:val="lowerRoman"/>
      <w:lvlText w:val="%2."/>
      <w:lvlJc w:val="righ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nsid w:val="51B849CB"/>
    <w:multiLevelType w:val="multilevel"/>
    <w:tmpl w:val="28D86086"/>
    <w:lvl w:ilvl="0">
      <w:start w:val="1"/>
      <w:numFmt w:val="upperRoman"/>
      <w:lvlText w:val="%1."/>
      <w:lvlJc w:val="right"/>
      <w:pPr>
        <w:ind w:left="360" w:hanging="360"/>
      </w:pPr>
      <w:rPr>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24">
    <w:nsid w:val="637423B1"/>
    <w:multiLevelType w:val="hybridMultilevel"/>
    <w:tmpl w:val="6D50F2F4"/>
    <w:lvl w:ilvl="0" w:tplc="0A001E28">
      <w:start w:val="1"/>
      <w:numFmt w:val="lowerLetter"/>
      <w:lvlText w:val="%1."/>
      <w:lvlJc w:val="left"/>
      <w:pPr>
        <w:ind w:left="1425" w:hanging="720"/>
      </w:pPr>
      <w:rPr>
        <w:rFonts w:ascii="Arial" w:eastAsia="Arial" w:hAnsi="Arial" w:cs="Arial"/>
      </w:rPr>
    </w:lvl>
    <w:lvl w:ilvl="1" w:tplc="1C0A0019" w:tentative="1">
      <w:start w:val="1"/>
      <w:numFmt w:val="lowerLetter"/>
      <w:lvlText w:val="%2."/>
      <w:lvlJc w:val="left"/>
      <w:pPr>
        <w:ind w:left="1785" w:hanging="360"/>
      </w:pPr>
    </w:lvl>
    <w:lvl w:ilvl="2" w:tplc="1C0A001B" w:tentative="1">
      <w:start w:val="1"/>
      <w:numFmt w:val="lowerRoman"/>
      <w:lvlText w:val="%3."/>
      <w:lvlJc w:val="right"/>
      <w:pPr>
        <w:ind w:left="2505" w:hanging="180"/>
      </w:pPr>
    </w:lvl>
    <w:lvl w:ilvl="3" w:tplc="1C0A000F" w:tentative="1">
      <w:start w:val="1"/>
      <w:numFmt w:val="decimal"/>
      <w:lvlText w:val="%4."/>
      <w:lvlJc w:val="left"/>
      <w:pPr>
        <w:ind w:left="3225" w:hanging="360"/>
      </w:pPr>
    </w:lvl>
    <w:lvl w:ilvl="4" w:tplc="1C0A0019" w:tentative="1">
      <w:start w:val="1"/>
      <w:numFmt w:val="lowerLetter"/>
      <w:lvlText w:val="%5."/>
      <w:lvlJc w:val="left"/>
      <w:pPr>
        <w:ind w:left="3945" w:hanging="360"/>
      </w:pPr>
    </w:lvl>
    <w:lvl w:ilvl="5" w:tplc="1C0A001B" w:tentative="1">
      <w:start w:val="1"/>
      <w:numFmt w:val="lowerRoman"/>
      <w:lvlText w:val="%6."/>
      <w:lvlJc w:val="right"/>
      <w:pPr>
        <w:ind w:left="4665" w:hanging="180"/>
      </w:pPr>
    </w:lvl>
    <w:lvl w:ilvl="6" w:tplc="1C0A000F" w:tentative="1">
      <w:start w:val="1"/>
      <w:numFmt w:val="decimal"/>
      <w:lvlText w:val="%7."/>
      <w:lvlJc w:val="left"/>
      <w:pPr>
        <w:ind w:left="5385" w:hanging="360"/>
      </w:pPr>
    </w:lvl>
    <w:lvl w:ilvl="7" w:tplc="1C0A0019" w:tentative="1">
      <w:start w:val="1"/>
      <w:numFmt w:val="lowerLetter"/>
      <w:lvlText w:val="%8."/>
      <w:lvlJc w:val="left"/>
      <w:pPr>
        <w:ind w:left="6105" w:hanging="360"/>
      </w:pPr>
    </w:lvl>
    <w:lvl w:ilvl="8" w:tplc="1C0A001B" w:tentative="1">
      <w:start w:val="1"/>
      <w:numFmt w:val="lowerRoman"/>
      <w:lvlText w:val="%9."/>
      <w:lvlJc w:val="right"/>
      <w:pPr>
        <w:ind w:left="6825" w:hanging="180"/>
      </w:pPr>
    </w:lvl>
  </w:abstractNum>
  <w:abstractNum w:abstractNumId="25">
    <w:nsid w:val="64695C3A"/>
    <w:multiLevelType w:val="hybridMultilevel"/>
    <w:tmpl w:val="BE0C47C0"/>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nsid w:val="6BC669C0"/>
    <w:multiLevelType w:val="hybridMultilevel"/>
    <w:tmpl w:val="09A0B5A2"/>
    <w:lvl w:ilvl="0" w:tplc="26A4EF2C">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nsid w:val="6E2A1C3A"/>
    <w:multiLevelType w:val="multilevel"/>
    <w:tmpl w:val="0EBECC0E"/>
    <w:lvl w:ilvl="0">
      <w:start w:val="4"/>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28">
    <w:nsid w:val="72782607"/>
    <w:multiLevelType w:val="hybridMultilevel"/>
    <w:tmpl w:val="FCBE922A"/>
    <w:lvl w:ilvl="0" w:tplc="615A5046">
      <w:start w:val="1"/>
      <w:numFmt w:val="lowerRoman"/>
      <w:lvlText w:val="%1."/>
      <w:lvlJc w:val="left"/>
      <w:pPr>
        <w:ind w:left="1288" w:hanging="720"/>
      </w:pPr>
      <w:rPr>
        <w:rFonts w:eastAsiaTheme="minorHAnsi" w:hint="default"/>
      </w:rPr>
    </w:lvl>
    <w:lvl w:ilvl="1" w:tplc="1C0A0019" w:tentative="1">
      <w:start w:val="1"/>
      <w:numFmt w:val="lowerLetter"/>
      <w:lvlText w:val="%2."/>
      <w:lvlJc w:val="left"/>
      <w:pPr>
        <w:ind w:left="1648" w:hanging="360"/>
      </w:pPr>
    </w:lvl>
    <w:lvl w:ilvl="2" w:tplc="1C0A001B" w:tentative="1">
      <w:start w:val="1"/>
      <w:numFmt w:val="lowerRoman"/>
      <w:lvlText w:val="%3."/>
      <w:lvlJc w:val="right"/>
      <w:pPr>
        <w:ind w:left="2368" w:hanging="180"/>
      </w:pPr>
    </w:lvl>
    <w:lvl w:ilvl="3" w:tplc="1C0A000F" w:tentative="1">
      <w:start w:val="1"/>
      <w:numFmt w:val="decimal"/>
      <w:lvlText w:val="%4."/>
      <w:lvlJc w:val="left"/>
      <w:pPr>
        <w:ind w:left="3088" w:hanging="360"/>
      </w:pPr>
    </w:lvl>
    <w:lvl w:ilvl="4" w:tplc="1C0A0019" w:tentative="1">
      <w:start w:val="1"/>
      <w:numFmt w:val="lowerLetter"/>
      <w:lvlText w:val="%5."/>
      <w:lvlJc w:val="left"/>
      <w:pPr>
        <w:ind w:left="3808" w:hanging="360"/>
      </w:pPr>
    </w:lvl>
    <w:lvl w:ilvl="5" w:tplc="1C0A001B" w:tentative="1">
      <w:start w:val="1"/>
      <w:numFmt w:val="lowerRoman"/>
      <w:lvlText w:val="%6."/>
      <w:lvlJc w:val="right"/>
      <w:pPr>
        <w:ind w:left="4528" w:hanging="180"/>
      </w:pPr>
    </w:lvl>
    <w:lvl w:ilvl="6" w:tplc="1C0A000F" w:tentative="1">
      <w:start w:val="1"/>
      <w:numFmt w:val="decimal"/>
      <w:lvlText w:val="%7."/>
      <w:lvlJc w:val="left"/>
      <w:pPr>
        <w:ind w:left="5248" w:hanging="360"/>
      </w:pPr>
    </w:lvl>
    <w:lvl w:ilvl="7" w:tplc="1C0A0019" w:tentative="1">
      <w:start w:val="1"/>
      <w:numFmt w:val="lowerLetter"/>
      <w:lvlText w:val="%8."/>
      <w:lvlJc w:val="left"/>
      <w:pPr>
        <w:ind w:left="5968" w:hanging="360"/>
      </w:pPr>
    </w:lvl>
    <w:lvl w:ilvl="8" w:tplc="1C0A001B" w:tentative="1">
      <w:start w:val="1"/>
      <w:numFmt w:val="lowerRoman"/>
      <w:lvlText w:val="%9."/>
      <w:lvlJc w:val="right"/>
      <w:pPr>
        <w:ind w:left="6688" w:hanging="180"/>
      </w:pPr>
    </w:lvl>
  </w:abstractNum>
  <w:abstractNum w:abstractNumId="29">
    <w:nsid w:val="73DA472B"/>
    <w:multiLevelType w:val="multilevel"/>
    <w:tmpl w:val="15C45FDC"/>
    <w:lvl w:ilvl="0">
      <w:start w:val="1"/>
      <w:numFmt w:val="upperRoman"/>
      <w:lvlText w:val="%1."/>
      <w:lvlJc w:val="right"/>
      <w:pPr>
        <w:ind w:left="360" w:hanging="360"/>
      </w:pPr>
      <w:rPr>
        <w:b/>
      </w:rPr>
    </w:lvl>
    <w:lvl w:ilvl="1">
      <w:start w:val="1"/>
      <w:numFmt w:val="decimal"/>
      <w:isLgl/>
      <w:lvlText w:val="%1.%2"/>
      <w:lvlJc w:val="left"/>
      <w:pPr>
        <w:ind w:left="360" w:hanging="360"/>
      </w:pPr>
      <w:rPr>
        <w:rFonts w:ascii="Arial" w:hAnsi="Arial" w:cs="Arial" w:hint="default"/>
        <w:b w:val="0"/>
        <w:color w:val="000000" w:themeColor="text1"/>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30">
    <w:nsid w:val="746477AB"/>
    <w:multiLevelType w:val="hybridMultilevel"/>
    <w:tmpl w:val="3E362AC0"/>
    <w:lvl w:ilvl="0" w:tplc="0C0A0019">
      <w:start w:val="1"/>
      <w:numFmt w:val="lowerLetter"/>
      <w:lvlText w:val="%1."/>
      <w:lvlJc w:val="left"/>
      <w:pPr>
        <w:ind w:left="720" w:hanging="360"/>
      </w:pPr>
      <w:rPr>
        <w:rFonts w:hint="default"/>
      </w:r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nsid w:val="7B1472A7"/>
    <w:multiLevelType w:val="hybridMultilevel"/>
    <w:tmpl w:val="4BC65D0C"/>
    <w:lvl w:ilvl="0" w:tplc="3B2EB794">
      <w:start w:val="4"/>
      <w:numFmt w:val="lowerRoman"/>
      <w:lvlText w:val="%1-"/>
      <w:lvlJc w:val="left"/>
      <w:pPr>
        <w:ind w:left="540" w:hanging="720"/>
      </w:pPr>
      <w:rPr>
        <w:rFonts w:ascii="Arial" w:hAnsi="Arial" w:hint="default"/>
        <w:b/>
        <w:sz w:val="20"/>
      </w:rPr>
    </w:lvl>
    <w:lvl w:ilvl="1" w:tplc="1C0A0019" w:tentative="1">
      <w:start w:val="1"/>
      <w:numFmt w:val="lowerLetter"/>
      <w:lvlText w:val="%2."/>
      <w:lvlJc w:val="left"/>
      <w:pPr>
        <w:ind w:left="900" w:hanging="360"/>
      </w:pPr>
    </w:lvl>
    <w:lvl w:ilvl="2" w:tplc="1C0A001B" w:tentative="1">
      <w:start w:val="1"/>
      <w:numFmt w:val="lowerRoman"/>
      <w:lvlText w:val="%3."/>
      <w:lvlJc w:val="right"/>
      <w:pPr>
        <w:ind w:left="1620" w:hanging="180"/>
      </w:pPr>
    </w:lvl>
    <w:lvl w:ilvl="3" w:tplc="1C0A000F" w:tentative="1">
      <w:start w:val="1"/>
      <w:numFmt w:val="decimal"/>
      <w:lvlText w:val="%4."/>
      <w:lvlJc w:val="left"/>
      <w:pPr>
        <w:ind w:left="2340" w:hanging="360"/>
      </w:pPr>
    </w:lvl>
    <w:lvl w:ilvl="4" w:tplc="1C0A0019" w:tentative="1">
      <w:start w:val="1"/>
      <w:numFmt w:val="lowerLetter"/>
      <w:lvlText w:val="%5."/>
      <w:lvlJc w:val="left"/>
      <w:pPr>
        <w:ind w:left="3060" w:hanging="360"/>
      </w:pPr>
    </w:lvl>
    <w:lvl w:ilvl="5" w:tplc="1C0A001B" w:tentative="1">
      <w:start w:val="1"/>
      <w:numFmt w:val="lowerRoman"/>
      <w:lvlText w:val="%6."/>
      <w:lvlJc w:val="right"/>
      <w:pPr>
        <w:ind w:left="3780" w:hanging="180"/>
      </w:pPr>
    </w:lvl>
    <w:lvl w:ilvl="6" w:tplc="1C0A000F" w:tentative="1">
      <w:start w:val="1"/>
      <w:numFmt w:val="decimal"/>
      <w:lvlText w:val="%7."/>
      <w:lvlJc w:val="left"/>
      <w:pPr>
        <w:ind w:left="4500" w:hanging="360"/>
      </w:pPr>
    </w:lvl>
    <w:lvl w:ilvl="7" w:tplc="1C0A0019" w:tentative="1">
      <w:start w:val="1"/>
      <w:numFmt w:val="lowerLetter"/>
      <w:lvlText w:val="%8."/>
      <w:lvlJc w:val="left"/>
      <w:pPr>
        <w:ind w:left="5220" w:hanging="360"/>
      </w:pPr>
    </w:lvl>
    <w:lvl w:ilvl="8" w:tplc="1C0A001B" w:tentative="1">
      <w:start w:val="1"/>
      <w:numFmt w:val="lowerRoman"/>
      <w:lvlText w:val="%9."/>
      <w:lvlJc w:val="right"/>
      <w:pPr>
        <w:ind w:left="5940" w:hanging="180"/>
      </w:pPr>
    </w:lvl>
  </w:abstractNum>
  <w:num w:numId="1">
    <w:abstractNumId w:val="26"/>
  </w:num>
  <w:num w:numId="2">
    <w:abstractNumId w:val="29"/>
  </w:num>
  <w:num w:numId="3">
    <w:abstractNumId w:val="9"/>
  </w:num>
  <w:num w:numId="4">
    <w:abstractNumId w:val="23"/>
  </w:num>
  <w:num w:numId="5">
    <w:abstractNumId w:val="31"/>
  </w:num>
  <w:num w:numId="6">
    <w:abstractNumId w:val="3"/>
  </w:num>
  <w:num w:numId="7">
    <w:abstractNumId w:val="27"/>
  </w:num>
  <w:num w:numId="8">
    <w:abstractNumId w:val="21"/>
  </w:num>
  <w:num w:numId="9">
    <w:abstractNumId w:val="17"/>
  </w:num>
  <w:num w:numId="10">
    <w:abstractNumId w:val="1"/>
  </w:num>
  <w:num w:numId="11">
    <w:abstractNumId w:val="15"/>
  </w:num>
  <w:num w:numId="12">
    <w:abstractNumId w:val="8"/>
  </w:num>
  <w:num w:numId="13">
    <w:abstractNumId w:val="16"/>
  </w:num>
  <w:num w:numId="14">
    <w:abstractNumId w:val="22"/>
  </w:num>
  <w:num w:numId="15">
    <w:abstractNumId w:val="12"/>
  </w:num>
  <w:num w:numId="16">
    <w:abstractNumId w:val="11"/>
  </w:num>
  <w:num w:numId="17">
    <w:abstractNumId w:val="13"/>
  </w:num>
  <w:num w:numId="18">
    <w:abstractNumId w:val="4"/>
  </w:num>
  <w:num w:numId="19">
    <w:abstractNumId w:val="5"/>
  </w:num>
  <w:num w:numId="20">
    <w:abstractNumId w:val="10"/>
  </w:num>
  <w:num w:numId="21">
    <w:abstractNumId w:val="28"/>
  </w:num>
  <w:num w:numId="22">
    <w:abstractNumId w:val="14"/>
  </w:num>
  <w:num w:numId="23">
    <w:abstractNumId w:val="19"/>
  </w:num>
  <w:num w:numId="24">
    <w:abstractNumId w:val="6"/>
  </w:num>
  <w:num w:numId="25">
    <w:abstractNumId w:val="2"/>
  </w:num>
  <w:num w:numId="26">
    <w:abstractNumId w:val="20"/>
  </w:num>
  <w:num w:numId="27">
    <w:abstractNumId w:val="7"/>
  </w:num>
  <w:num w:numId="28">
    <w:abstractNumId w:val="24"/>
  </w:num>
  <w:num w:numId="29">
    <w:abstractNumId w:val="25"/>
  </w:num>
  <w:num w:numId="30">
    <w:abstractNumId w:val="30"/>
  </w:num>
  <w:num w:numId="31">
    <w:abstractNumId w:val="1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BB"/>
    <w:rsid w:val="00006F2B"/>
    <w:rsid w:val="00010648"/>
    <w:rsid w:val="000174B0"/>
    <w:rsid w:val="000379BA"/>
    <w:rsid w:val="000632BF"/>
    <w:rsid w:val="00071EB3"/>
    <w:rsid w:val="00090D85"/>
    <w:rsid w:val="000A1203"/>
    <w:rsid w:val="000A3B2E"/>
    <w:rsid w:val="000A5DBA"/>
    <w:rsid w:val="000A6149"/>
    <w:rsid w:val="000A6CB5"/>
    <w:rsid w:val="000B2B96"/>
    <w:rsid w:val="000C5BFC"/>
    <w:rsid w:val="000D2CE4"/>
    <w:rsid w:val="000E3964"/>
    <w:rsid w:val="000F2BEE"/>
    <w:rsid w:val="000F4A12"/>
    <w:rsid w:val="001061F1"/>
    <w:rsid w:val="00112D0F"/>
    <w:rsid w:val="001210AE"/>
    <w:rsid w:val="00122823"/>
    <w:rsid w:val="001261FB"/>
    <w:rsid w:val="0013077D"/>
    <w:rsid w:val="00140886"/>
    <w:rsid w:val="00146C70"/>
    <w:rsid w:val="00154D97"/>
    <w:rsid w:val="00165124"/>
    <w:rsid w:val="001754FD"/>
    <w:rsid w:val="00187525"/>
    <w:rsid w:val="001946C6"/>
    <w:rsid w:val="001B4CE1"/>
    <w:rsid w:val="001B724E"/>
    <w:rsid w:val="001C0AF3"/>
    <w:rsid w:val="001C1B4E"/>
    <w:rsid w:val="001C786E"/>
    <w:rsid w:val="001E3B62"/>
    <w:rsid w:val="001E615E"/>
    <w:rsid w:val="001F3793"/>
    <w:rsid w:val="001F6594"/>
    <w:rsid w:val="0020072B"/>
    <w:rsid w:val="002320A8"/>
    <w:rsid w:val="00237A01"/>
    <w:rsid w:val="002542F3"/>
    <w:rsid w:val="00260CB4"/>
    <w:rsid w:val="00262C5B"/>
    <w:rsid w:val="00296DCD"/>
    <w:rsid w:val="002C6D94"/>
    <w:rsid w:val="002D2187"/>
    <w:rsid w:val="002D552C"/>
    <w:rsid w:val="002E0A40"/>
    <w:rsid w:val="002E0F4C"/>
    <w:rsid w:val="002E30FB"/>
    <w:rsid w:val="002E3A4B"/>
    <w:rsid w:val="003157F8"/>
    <w:rsid w:val="00323525"/>
    <w:rsid w:val="00330510"/>
    <w:rsid w:val="00341D38"/>
    <w:rsid w:val="00357954"/>
    <w:rsid w:val="00361C50"/>
    <w:rsid w:val="0037349A"/>
    <w:rsid w:val="00380B24"/>
    <w:rsid w:val="00384425"/>
    <w:rsid w:val="0039123D"/>
    <w:rsid w:val="003A287F"/>
    <w:rsid w:val="003A5325"/>
    <w:rsid w:val="003A5391"/>
    <w:rsid w:val="003A6532"/>
    <w:rsid w:val="003B0A62"/>
    <w:rsid w:val="003B435D"/>
    <w:rsid w:val="003C58FD"/>
    <w:rsid w:val="003C7C0D"/>
    <w:rsid w:val="003E4590"/>
    <w:rsid w:val="003E77F4"/>
    <w:rsid w:val="003F53EA"/>
    <w:rsid w:val="004006A8"/>
    <w:rsid w:val="0040249D"/>
    <w:rsid w:val="00407AE6"/>
    <w:rsid w:val="00416A5C"/>
    <w:rsid w:val="00423FFB"/>
    <w:rsid w:val="004275CC"/>
    <w:rsid w:val="00431747"/>
    <w:rsid w:val="00442859"/>
    <w:rsid w:val="004511AC"/>
    <w:rsid w:val="0045483E"/>
    <w:rsid w:val="00477841"/>
    <w:rsid w:val="004868E2"/>
    <w:rsid w:val="0049026E"/>
    <w:rsid w:val="004A597B"/>
    <w:rsid w:val="004B186A"/>
    <w:rsid w:val="004B7706"/>
    <w:rsid w:val="004C740C"/>
    <w:rsid w:val="004D1915"/>
    <w:rsid w:val="004D3C59"/>
    <w:rsid w:val="004D4517"/>
    <w:rsid w:val="004F6309"/>
    <w:rsid w:val="005136E5"/>
    <w:rsid w:val="00515096"/>
    <w:rsid w:val="005177A1"/>
    <w:rsid w:val="00530B30"/>
    <w:rsid w:val="005462E1"/>
    <w:rsid w:val="00551C54"/>
    <w:rsid w:val="00560095"/>
    <w:rsid w:val="005640BB"/>
    <w:rsid w:val="00564A01"/>
    <w:rsid w:val="00566AEB"/>
    <w:rsid w:val="005670B8"/>
    <w:rsid w:val="0058371B"/>
    <w:rsid w:val="0058673B"/>
    <w:rsid w:val="005A04DD"/>
    <w:rsid w:val="005A0A0D"/>
    <w:rsid w:val="005B0E65"/>
    <w:rsid w:val="005C752C"/>
    <w:rsid w:val="005F0B39"/>
    <w:rsid w:val="00610BD5"/>
    <w:rsid w:val="0062491F"/>
    <w:rsid w:val="00631BD7"/>
    <w:rsid w:val="00647FC5"/>
    <w:rsid w:val="006564EB"/>
    <w:rsid w:val="00667272"/>
    <w:rsid w:val="00675489"/>
    <w:rsid w:val="00675762"/>
    <w:rsid w:val="006A1DE3"/>
    <w:rsid w:val="006B5870"/>
    <w:rsid w:val="006C3997"/>
    <w:rsid w:val="006D1DF9"/>
    <w:rsid w:val="006E50F3"/>
    <w:rsid w:val="006F2C0D"/>
    <w:rsid w:val="006F6693"/>
    <w:rsid w:val="00702614"/>
    <w:rsid w:val="00705399"/>
    <w:rsid w:val="0071155C"/>
    <w:rsid w:val="007267DA"/>
    <w:rsid w:val="00727C87"/>
    <w:rsid w:val="00736971"/>
    <w:rsid w:val="0074399E"/>
    <w:rsid w:val="007559F2"/>
    <w:rsid w:val="00757B30"/>
    <w:rsid w:val="0076291C"/>
    <w:rsid w:val="007715E2"/>
    <w:rsid w:val="007760D3"/>
    <w:rsid w:val="00794BD2"/>
    <w:rsid w:val="007A3509"/>
    <w:rsid w:val="007A3E75"/>
    <w:rsid w:val="007A50DF"/>
    <w:rsid w:val="007C4730"/>
    <w:rsid w:val="007E4508"/>
    <w:rsid w:val="007E596B"/>
    <w:rsid w:val="007F1E50"/>
    <w:rsid w:val="008046CC"/>
    <w:rsid w:val="00815C6D"/>
    <w:rsid w:val="008166A7"/>
    <w:rsid w:val="008352AF"/>
    <w:rsid w:val="00851C9F"/>
    <w:rsid w:val="00852F58"/>
    <w:rsid w:val="0085640D"/>
    <w:rsid w:val="008758D0"/>
    <w:rsid w:val="00882A85"/>
    <w:rsid w:val="008849CE"/>
    <w:rsid w:val="0088624D"/>
    <w:rsid w:val="0089761F"/>
    <w:rsid w:val="00897E02"/>
    <w:rsid w:val="008A5E93"/>
    <w:rsid w:val="008B19F5"/>
    <w:rsid w:val="008D1B19"/>
    <w:rsid w:val="008D4FC1"/>
    <w:rsid w:val="008E00DE"/>
    <w:rsid w:val="008E4D48"/>
    <w:rsid w:val="009476FB"/>
    <w:rsid w:val="009544C8"/>
    <w:rsid w:val="00960370"/>
    <w:rsid w:val="00961803"/>
    <w:rsid w:val="00961F93"/>
    <w:rsid w:val="00965195"/>
    <w:rsid w:val="00977571"/>
    <w:rsid w:val="009961C0"/>
    <w:rsid w:val="009A1F22"/>
    <w:rsid w:val="009B5504"/>
    <w:rsid w:val="009B729A"/>
    <w:rsid w:val="009C5AB6"/>
    <w:rsid w:val="009D6E06"/>
    <w:rsid w:val="00A016EB"/>
    <w:rsid w:val="00A14599"/>
    <w:rsid w:val="00A22B21"/>
    <w:rsid w:val="00A40E16"/>
    <w:rsid w:val="00A65BD8"/>
    <w:rsid w:val="00A8164A"/>
    <w:rsid w:val="00A830DE"/>
    <w:rsid w:val="00AA474D"/>
    <w:rsid w:val="00AA6AB7"/>
    <w:rsid w:val="00AB4F75"/>
    <w:rsid w:val="00AB5831"/>
    <w:rsid w:val="00AB7A0D"/>
    <w:rsid w:val="00AC4D0C"/>
    <w:rsid w:val="00AC6559"/>
    <w:rsid w:val="00AD0CB0"/>
    <w:rsid w:val="00AD2164"/>
    <w:rsid w:val="00AD2869"/>
    <w:rsid w:val="00AE08F5"/>
    <w:rsid w:val="00AF4AEB"/>
    <w:rsid w:val="00B00CCC"/>
    <w:rsid w:val="00B05B33"/>
    <w:rsid w:val="00B11C9D"/>
    <w:rsid w:val="00B17E8B"/>
    <w:rsid w:val="00B2082C"/>
    <w:rsid w:val="00B20892"/>
    <w:rsid w:val="00B22BDB"/>
    <w:rsid w:val="00B23D58"/>
    <w:rsid w:val="00B353E5"/>
    <w:rsid w:val="00B52019"/>
    <w:rsid w:val="00B531F4"/>
    <w:rsid w:val="00B60F59"/>
    <w:rsid w:val="00B71295"/>
    <w:rsid w:val="00B80262"/>
    <w:rsid w:val="00B876B9"/>
    <w:rsid w:val="00B943D5"/>
    <w:rsid w:val="00BA1D00"/>
    <w:rsid w:val="00BA7DAE"/>
    <w:rsid w:val="00BC6E8B"/>
    <w:rsid w:val="00BD07FF"/>
    <w:rsid w:val="00BF67A1"/>
    <w:rsid w:val="00C20F4F"/>
    <w:rsid w:val="00C25E6C"/>
    <w:rsid w:val="00C3520D"/>
    <w:rsid w:val="00C449B0"/>
    <w:rsid w:val="00C44F61"/>
    <w:rsid w:val="00C45DE9"/>
    <w:rsid w:val="00C508C3"/>
    <w:rsid w:val="00C73807"/>
    <w:rsid w:val="00C774DC"/>
    <w:rsid w:val="00C851B3"/>
    <w:rsid w:val="00C87440"/>
    <w:rsid w:val="00C9009A"/>
    <w:rsid w:val="00C94B8A"/>
    <w:rsid w:val="00CA05C1"/>
    <w:rsid w:val="00CA294E"/>
    <w:rsid w:val="00CB7570"/>
    <w:rsid w:val="00CB7C5F"/>
    <w:rsid w:val="00CC127D"/>
    <w:rsid w:val="00CE10F8"/>
    <w:rsid w:val="00CF4521"/>
    <w:rsid w:val="00D12A15"/>
    <w:rsid w:val="00D22055"/>
    <w:rsid w:val="00D3272E"/>
    <w:rsid w:val="00D512CC"/>
    <w:rsid w:val="00D64992"/>
    <w:rsid w:val="00D76948"/>
    <w:rsid w:val="00D845DC"/>
    <w:rsid w:val="00D93936"/>
    <w:rsid w:val="00DB2418"/>
    <w:rsid w:val="00DC0A8E"/>
    <w:rsid w:val="00DC253C"/>
    <w:rsid w:val="00DC6C9E"/>
    <w:rsid w:val="00DD3DE4"/>
    <w:rsid w:val="00DF5031"/>
    <w:rsid w:val="00DF5449"/>
    <w:rsid w:val="00E1546B"/>
    <w:rsid w:val="00E21FB1"/>
    <w:rsid w:val="00E26A92"/>
    <w:rsid w:val="00E3500D"/>
    <w:rsid w:val="00E45F51"/>
    <w:rsid w:val="00E600BB"/>
    <w:rsid w:val="00E61FBA"/>
    <w:rsid w:val="00E733B8"/>
    <w:rsid w:val="00E801BB"/>
    <w:rsid w:val="00EA558E"/>
    <w:rsid w:val="00EB200A"/>
    <w:rsid w:val="00EB35A2"/>
    <w:rsid w:val="00EB5C14"/>
    <w:rsid w:val="00EB5FF0"/>
    <w:rsid w:val="00EB6B85"/>
    <w:rsid w:val="00EB72F1"/>
    <w:rsid w:val="00EC1023"/>
    <w:rsid w:val="00EE220B"/>
    <w:rsid w:val="00EE2AC8"/>
    <w:rsid w:val="00EE553F"/>
    <w:rsid w:val="00F10B99"/>
    <w:rsid w:val="00F1158E"/>
    <w:rsid w:val="00F21BCB"/>
    <w:rsid w:val="00F231F7"/>
    <w:rsid w:val="00F443D0"/>
    <w:rsid w:val="00F53731"/>
    <w:rsid w:val="00F56153"/>
    <w:rsid w:val="00F57809"/>
    <w:rsid w:val="00F60A88"/>
    <w:rsid w:val="00F7014E"/>
    <w:rsid w:val="00F73083"/>
    <w:rsid w:val="00F804CC"/>
    <w:rsid w:val="00F83DA0"/>
    <w:rsid w:val="00F916D1"/>
    <w:rsid w:val="00F936F8"/>
    <w:rsid w:val="00F951E7"/>
    <w:rsid w:val="00F95495"/>
    <w:rsid w:val="00F96F05"/>
    <w:rsid w:val="00F9763A"/>
    <w:rsid w:val="00FA7D15"/>
    <w:rsid w:val="00FB0DA2"/>
    <w:rsid w:val="00FB1B30"/>
    <w:rsid w:val="00FB4EEC"/>
    <w:rsid w:val="00FE49D0"/>
    <w:rsid w:val="00FF238F"/>
    <w:rsid w:val="00FF254B"/>
    <w:rsid w:val="00FF3FE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87"/>
  </w:style>
  <w:style w:type="paragraph" w:styleId="Heading1">
    <w:name w:val="heading 1"/>
    <w:basedOn w:val="Normal"/>
    <w:link w:val="Heading1Char"/>
    <w:uiPriority w:val="9"/>
    <w:qFormat/>
    <w:rsid w:val="007715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D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3B62"/>
    <w:pPr>
      <w:ind w:left="720"/>
      <w:contextualSpacing/>
    </w:pPr>
  </w:style>
  <w:style w:type="paragraph" w:styleId="FootnoteText">
    <w:name w:val="footnote text"/>
    <w:basedOn w:val="Normal"/>
    <w:link w:val="FootnoteTextChar"/>
    <w:uiPriority w:val="99"/>
    <w:semiHidden/>
    <w:unhideWhenUsed/>
    <w:rsid w:val="001E3B62"/>
    <w:pPr>
      <w:keepNext/>
      <w:keepLines/>
      <w:spacing w:after="120" w:line="240" w:lineRule="auto"/>
      <w:ind w:left="288" w:hanging="288"/>
      <w:jc w:val="both"/>
    </w:pPr>
    <w:rPr>
      <w:rFonts w:ascii="Times New Roman" w:eastAsiaTheme="minorEastAsia" w:hAnsi="Times New Roman" w:cs="Times New Roman"/>
      <w:spacing w:val="-3"/>
      <w:sz w:val="20"/>
      <w:szCs w:val="20"/>
      <w:lang w:val="en-US"/>
    </w:rPr>
  </w:style>
  <w:style w:type="character" w:customStyle="1" w:styleId="FootnoteTextChar">
    <w:name w:val="Footnote Text Char"/>
    <w:basedOn w:val="DefaultParagraphFont"/>
    <w:link w:val="FootnoteText"/>
    <w:uiPriority w:val="99"/>
    <w:semiHidden/>
    <w:rsid w:val="001E3B62"/>
    <w:rPr>
      <w:rFonts w:ascii="Times New Roman" w:eastAsiaTheme="minorEastAsia" w:hAnsi="Times New Roman" w:cs="Times New Roman"/>
      <w:spacing w:val="-3"/>
      <w:sz w:val="20"/>
      <w:szCs w:val="20"/>
      <w:lang w:val="en-US"/>
    </w:rPr>
  </w:style>
  <w:style w:type="character" w:styleId="FootnoteReference">
    <w:name w:val="footnote reference"/>
    <w:basedOn w:val="DefaultParagraphFont"/>
    <w:uiPriority w:val="99"/>
    <w:semiHidden/>
    <w:unhideWhenUsed/>
    <w:rsid w:val="001E3B62"/>
    <w:rPr>
      <w:vertAlign w:val="superscript"/>
    </w:rPr>
  </w:style>
  <w:style w:type="character" w:styleId="Hyperlink">
    <w:name w:val="Hyperlink"/>
    <w:basedOn w:val="DefaultParagraphFont"/>
    <w:uiPriority w:val="99"/>
    <w:unhideWhenUsed/>
    <w:rsid w:val="001E3B62"/>
    <w:rPr>
      <w:color w:val="0000FF" w:themeColor="hyperlink"/>
      <w:u w:val="single"/>
    </w:rPr>
  </w:style>
  <w:style w:type="character" w:customStyle="1" w:styleId="ListParagraphChar">
    <w:name w:val="List Paragraph Char"/>
    <w:basedOn w:val="DefaultParagraphFont"/>
    <w:link w:val="ListParagraph"/>
    <w:uiPriority w:val="34"/>
    <w:rsid w:val="001E3B62"/>
  </w:style>
  <w:style w:type="table" w:styleId="TableGrid">
    <w:name w:val="Table Grid"/>
    <w:basedOn w:val="TableNormal"/>
    <w:uiPriority w:val="59"/>
    <w:rsid w:val="001261FB"/>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7571"/>
    <w:rPr>
      <w:sz w:val="16"/>
      <w:szCs w:val="16"/>
    </w:rPr>
  </w:style>
  <w:style w:type="paragraph" w:styleId="CommentText">
    <w:name w:val="annotation text"/>
    <w:basedOn w:val="Normal"/>
    <w:link w:val="CommentTextChar"/>
    <w:uiPriority w:val="99"/>
    <w:semiHidden/>
    <w:unhideWhenUsed/>
    <w:rsid w:val="00977571"/>
    <w:pPr>
      <w:spacing w:line="240" w:lineRule="auto"/>
    </w:pPr>
    <w:rPr>
      <w:sz w:val="20"/>
      <w:szCs w:val="20"/>
    </w:rPr>
  </w:style>
  <w:style w:type="character" w:customStyle="1" w:styleId="CommentTextChar">
    <w:name w:val="Comment Text Char"/>
    <w:basedOn w:val="DefaultParagraphFont"/>
    <w:link w:val="CommentText"/>
    <w:uiPriority w:val="99"/>
    <w:semiHidden/>
    <w:rsid w:val="00977571"/>
    <w:rPr>
      <w:sz w:val="20"/>
      <w:szCs w:val="20"/>
    </w:rPr>
  </w:style>
  <w:style w:type="paragraph" w:styleId="CommentSubject">
    <w:name w:val="annotation subject"/>
    <w:basedOn w:val="CommentText"/>
    <w:next w:val="CommentText"/>
    <w:link w:val="CommentSubjectChar"/>
    <w:uiPriority w:val="99"/>
    <w:semiHidden/>
    <w:unhideWhenUsed/>
    <w:rsid w:val="00977571"/>
    <w:rPr>
      <w:b/>
      <w:bCs/>
    </w:rPr>
  </w:style>
  <w:style w:type="character" w:customStyle="1" w:styleId="CommentSubjectChar">
    <w:name w:val="Comment Subject Char"/>
    <w:basedOn w:val="CommentTextChar"/>
    <w:link w:val="CommentSubject"/>
    <w:uiPriority w:val="99"/>
    <w:semiHidden/>
    <w:rsid w:val="00977571"/>
    <w:rPr>
      <w:b/>
      <w:bCs/>
      <w:sz w:val="20"/>
      <w:szCs w:val="20"/>
    </w:rPr>
  </w:style>
  <w:style w:type="paragraph" w:styleId="BalloonText">
    <w:name w:val="Balloon Text"/>
    <w:basedOn w:val="Normal"/>
    <w:link w:val="BalloonTextChar"/>
    <w:uiPriority w:val="99"/>
    <w:semiHidden/>
    <w:unhideWhenUsed/>
    <w:rsid w:val="00977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71"/>
    <w:rPr>
      <w:rFonts w:ascii="Tahoma" w:hAnsi="Tahoma" w:cs="Tahoma"/>
      <w:sz w:val="16"/>
      <w:szCs w:val="16"/>
    </w:rPr>
  </w:style>
  <w:style w:type="paragraph" w:customStyle="1" w:styleId="Default">
    <w:name w:val="Default"/>
    <w:rsid w:val="00DC0A8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7715E2"/>
    <w:rPr>
      <w:rFonts w:ascii="Times New Roman" w:eastAsia="Times New Roman" w:hAnsi="Times New Roman" w:cs="Times New Roman"/>
      <w:b/>
      <w:bCs/>
      <w:kern w:val="36"/>
      <w:sz w:val="48"/>
      <w:szCs w:val="48"/>
      <w:lang w:eastAsia="es-DO"/>
    </w:rPr>
  </w:style>
  <w:style w:type="paragraph" w:styleId="Revision">
    <w:name w:val="Revision"/>
    <w:hidden/>
    <w:uiPriority w:val="99"/>
    <w:semiHidden/>
    <w:rsid w:val="004868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87"/>
  </w:style>
  <w:style w:type="paragraph" w:styleId="Heading1">
    <w:name w:val="heading 1"/>
    <w:basedOn w:val="Normal"/>
    <w:link w:val="Heading1Char"/>
    <w:uiPriority w:val="9"/>
    <w:qFormat/>
    <w:rsid w:val="007715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D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3B62"/>
    <w:pPr>
      <w:ind w:left="720"/>
      <w:contextualSpacing/>
    </w:pPr>
  </w:style>
  <w:style w:type="paragraph" w:styleId="FootnoteText">
    <w:name w:val="footnote text"/>
    <w:basedOn w:val="Normal"/>
    <w:link w:val="FootnoteTextChar"/>
    <w:uiPriority w:val="99"/>
    <w:semiHidden/>
    <w:unhideWhenUsed/>
    <w:rsid w:val="001E3B62"/>
    <w:pPr>
      <w:keepNext/>
      <w:keepLines/>
      <w:spacing w:after="120" w:line="240" w:lineRule="auto"/>
      <w:ind w:left="288" w:hanging="288"/>
      <w:jc w:val="both"/>
    </w:pPr>
    <w:rPr>
      <w:rFonts w:ascii="Times New Roman" w:eastAsiaTheme="minorEastAsia" w:hAnsi="Times New Roman" w:cs="Times New Roman"/>
      <w:spacing w:val="-3"/>
      <w:sz w:val="20"/>
      <w:szCs w:val="20"/>
      <w:lang w:val="en-US"/>
    </w:rPr>
  </w:style>
  <w:style w:type="character" w:customStyle="1" w:styleId="FootnoteTextChar">
    <w:name w:val="Footnote Text Char"/>
    <w:basedOn w:val="DefaultParagraphFont"/>
    <w:link w:val="FootnoteText"/>
    <w:uiPriority w:val="99"/>
    <w:semiHidden/>
    <w:rsid w:val="001E3B62"/>
    <w:rPr>
      <w:rFonts w:ascii="Times New Roman" w:eastAsiaTheme="minorEastAsia" w:hAnsi="Times New Roman" w:cs="Times New Roman"/>
      <w:spacing w:val="-3"/>
      <w:sz w:val="20"/>
      <w:szCs w:val="20"/>
      <w:lang w:val="en-US"/>
    </w:rPr>
  </w:style>
  <w:style w:type="character" w:styleId="FootnoteReference">
    <w:name w:val="footnote reference"/>
    <w:basedOn w:val="DefaultParagraphFont"/>
    <w:uiPriority w:val="99"/>
    <w:semiHidden/>
    <w:unhideWhenUsed/>
    <w:rsid w:val="001E3B62"/>
    <w:rPr>
      <w:vertAlign w:val="superscript"/>
    </w:rPr>
  </w:style>
  <w:style w:type="character" w:styleId="Hyperlink">
    <w:name w:val="Hyperlink"/>
    <w:basedOn w:val="DefaultParagraphFont"/>
    <w:uiPriority w:val="99"/>
    <w:unhideWhenUsed/>
    <w:rsid w:val="001E3B62"/>
    <w:rPr>
      <w:color w:val="0000FF" w:themeColor="hyperlink"/>
      <w:u w:val="single"/>
    </w:rPr>
  </w:style>
  <w:style w:type="character" w:customStyle="1" w:styleId="ListParagraphChar">
    <w:name w:val="List Paragraph Char"/>
    <w:basedOn w:val="DefaultParagraphFont"/>
    <w:link w:val="ListParagraph"/>
    <w:uiPriority w:val="34"/>
    <w:rsid w:val="001E3B62"/>
  </w:style>
  <w:style w:type="table" w:styleId="TableGrid">
    <w:name w:val="Table Grid"/>
    <w:basedOn w:val="TableNormal"/>
    <w:uiPriority w:val="59"/>
    <w:rsid w:val="001261FB"/>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7571"/>
    <w:rPr>
      <w:sz w:val="16"/>
      <w:szCs w:val="16"/>
    </w:rPr>
  </w:style>
  <w:style w:type="paragraph" w:styleId="CommentText">
    <w:name w:val="annotation text"/>
    <w:basedOn w:val="Normal"/>
    <w:link w:val="CommentTextChar"/>
    <w:uiPriority w:val="99"/>
    <w:semiHidden/>
    <w:unhideWhenUsed/>
    <w:rsid w:val="00977571"/>
    <w:pPr>
      <w:spacing w:line="240" w:lineRule="auto"/>
    </w:pPr>
    <w:rPr>
      <w:sz w:val="20"/>
      <w:szCs w:val="20"/>
    </w:rPr>
  </w:style>
  <w:style w:type="character" w:customStyle="1" w:styleId="CommentTextChar">
    <w:name w:val="Comment Text Char"/>
    <w:basedOn w:val="DefaultParagraphFont"/>
    <w:link w:val="CommentText"/>
    <w:uiPriority w:val="99"/>
    <w:semiHidden/>
    <w:rsid w:val="00977571"/>
    <w:rPr>
      <w:sz w:val="20"/>
      <w:szCs w:val="20"/>
    </w:rPr>
  </w:style>
  <w:style w:type="paragraph" w:styleId="CommentSubject">
    <w:name w:val="annotation subject"/>
    <w:basedOn w:val="CommentText"/>
    <w:next w:val="CommentText"/>
    <w:link w:val="CommentSubjectChar"/>
    <w:uiPriority w:val="99"/>
    <w:semiHidden/>
    <w:unhideWhenUsed/>
    <w:rsid w:val="00977571"/>
    <w:rPr>
      <w:b/>
      <w:bCs/>
    </w:rPr>
  </w:style>
  <w:style w:type="character" w:customStyle="1" w:styleId="CommentSubjectChar">
    <w:name w:val="Comment Subject Char"/>
    <w:basedOn w:val="CommentTextChar"/>
    <w:link w:val="CommentSubject"/>
    <w:uiPriority w:val="99"/>
    <w:semiHidden/>
    <w:rsid w:val="00977571"/>
    <w:rPr>
      <w:b/>
      <w:bCs/>
      <w:sz w:val="20"/>
      <w:szCs w:val="20"/>
    </w:rPr>
  </w:style>
  <w:style w:type="paragraph" w:styleId="BalloonText">
    <w:name w:val="Balloon Text"/>
    <w:basedOn w:val="Normal"/>
    <w:link w:val="BalloonTextChar"/>
    <w:uiPriority w:val="99"/>
    <w:semiHidden/>
    <w:unhideWhenUsed/>
    <w:rsid w:val="00977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71"/>
    <w:rPr>
      <w:rFonts w:ascii="Tahoma" w:hAnsi="Tahoma" w:cs="Tahoma"/>
      <w:sz w:val="16"/>
      <w:szCs w:val="16"/>
    </w:rPr>
  </w:style>
  <w:style w:type="paragraph" w:customStyle="1" w:styleId="Default">
    <w:name w:val="Default"/>
    <w:rsid w:val="00DC0A8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7715E2"/>
    <w:rPr>
      <w:rFonts w:ascii="Times New Roman" w:eastAsia="Times New Roman" w:hAnsi="Times New Roman" w:cs="Times New Roman"/>
      <w:b/>
      <w:bCs/>
      <w:kern w:val="36"/>
      <w:sz w:val="48"/>
      <w:szCs w:val="48"/>
      <w:lang w:eastAsia="es-DO"/>
    </w:rPr>
  </w:style>
  <w:style w:type="paragraph" w:styleId="Revision">
    <w:name w:val="Revision"/>
    <w:hidden/>
    <w:uiPriority w:val="99"/>
    <w:semiHidden/>
    <w:rsid w:val="004868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56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CDIpoverty.org"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viz.healthmetricsandevaluation.org/gbd-compare/" TargetMode="External"/><Relationship Id="rId1" Type="http://schemas.openxmlformats.org/officeDocument/2006/relationships/hyperlink" Target="file:///C:\Users\Lissette\Desktop\TC-Haiti\Op.ci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EE4D02ABC7ED3F4F87D3094A22AF6094" ma:contentTypeVersion="0" ma:contentTypeDescription="A content type to manage public (operations) IDB documents" ma:contentTypeScope="" ma:versionID="8e996990548f56a0c8092ceebf8e2eb6">
  <xsd:schema xmlns:xsd="http://www.w3.org/2001/XMLSchema" xmlns:xs="http://www.w3.org/2001/XMLSchema" xmlns:p="http://schemas.microsoft.com/office/2006/metadata/properties" xmlns:ns2="9c571b2f-e523-4ab2-ba2e-09e151a03ef4" targetNamespace="http://schemas.microsoft.com/office/2006/metadata/properties" ma:root="true" ma:fieldsID="69dca6951160397f61c97ffc3531b08d"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f4992d0-575a-4dc9-9b6e-275b0038009e}" ma:internalName="TaxCatchAll" ma:showField="CatchAllData" ma:web="eceba2c1-b426-4a70-b26f-0cdce943f1d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f4992d0-575a-4dc9-9b6e-275b0038009e}" ma:internalName="TaxCatchAllLabel" ma:readOnly="true" ma:showField="CatchAllDataLabel" ma:web="eceba2c1-b426-4a70-b26f-0cdce943f1de">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Approved TC document</Disclosure_x0020_Activity>
    <Key_x0020_Document xmlns="9c571b2f-e523-4ab2-ba2e-09e151a03ef4">false</Key_x0020_Document>
    <Division_x0020_or_x0020_Unit xmlns="9c571b2f-e523-4ab2-ba2e-09e151a03ef4">SCL/SPH</Division_x0020_or_x0020_Unit>
    <Other_x0020_Author xmlns="9c571b2f-e523-4ab2-ba2e-09e151a03ef4" xsi:nil="true"/>
    <Region xmlns="9c571b2f-e523-4ab2-ba2e-09e151a03ef4" xsi:nil="true"/>
    <IDBDocs_x0020_Number xmlns="9c571b2f-e523-4ab2-ba2e-09e151a03ef4">40490785</IDBDocs_x0020_Number>
    <Document_x0020_Author xmlns="9c571b2f-e523-4ab2-ba2e-09e151a03ef4">Parodi, Sandro</Document_x0020_Author>
    <Publication_x0020_Type xmlns="9c571b2f-e523-4ab2-ba2e-09e151a03ef4" xsi:nil="true"/>
    <Operation_x0020_Type xmlns="9c571b2f-e523-4ab2-ba2e-09e151a03ef4" xsi:nil="true"/>
    <TaxCatchAll xmlns="9c571b2f-e523-4ab2-ba2e-09e151a03ef4">
      <Value>4</Value>
      <Value>3</Value>
    </TaxCatchAll>
    <Fiscal_x0020_Year_x0020_IDB xmlns="9c571b2f-e523-4ab2-ba2e-09e151a03ef4">2016</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HA-T1220</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WORD&lt;/APPLICATION&gt;&lt;USER_STAGE&gt;Approved TC document&lt;/USER_STAGE&gt;&lt;PD_OBJ_TYPE&gt;0&lt;/PD_OBJ_TYPE&gt;&lt;MAKERECORD&gt;N&lt;/MAKERECORD&gt;&lt;/Data&gt;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IS-INS</Webtopic>
    <Identifier xmlns="9c571b2f-e523-4ab2-ba2e-09e151a03ef4"> ANNEX</Identifier>
    <Publishing_x0020_House xmlns="9c571b2f-e523-4ab2-ba2e-09e151a03ef4" xsi:nil="true"/>
    <Document_x0020_Language_x0020_IDB xmlns="9c571b2f-e523-4ab2-ba2e-09e151a03ef4">English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3CF4572C-FC1E-4293-911E-B5BC14B04BA6}"/>
</file>

<file path=customXml/itemProps2.xml><?xml version="1.0" encoding="utf-8"?>
<ds:datastoreItem xmlns:ds="http://schemas.openxmlformats.org/officeDocument/2006/customXml" ds:itemID="{64C9C6E5-32A2-4846-A087-28511455E385}"/>
</file>

<file path=customXml/itemProps3.xml><?xml version="1.0" encoding="utf-8"?>
<ds:datastoreItem xmlns:ds="http://schemas.openxmlformats.org/officeDocument/2006/customXml" ds:itemID="{02450D8B-8FB6-46F7-8B8A-39F21456AF33}"/>
</file>

<file path=customXml/itemProps4.xml><?xml version="1.0" encoding="utf-8"?>
<ds:datastoreItem xmlns:ds="http://schemas.openxmlformats.org/officeDocument/2006/customXml" ds:itemID="{7ED6E33B-BF37-403C-BFB5-8F15AF57F1FF}"/>
</file>

<file path=customXml/itemProps5.xml><?xml version="1.0" encoding="utf-8"?>
<ds:datastoreItem xmlns:ds="http://schemas.openxmlformats.org/officeDocument/2006/customXml" ds:itemID="{961F7AAB-4082-43AE-B16B-854541EFCD5A}"/>
</file>

<file path=customXml/itemProps6.xml><?xml version="1.0" encoding="utf-8"?>
<ds:datastoreItem xmlns:ds="http://schemas.openxmlformats.org/officeDocument/2006/customXml" ds:itemID="{E0598557-02C0-4E7E-8F5D-78BE33D41876}"/>
</file>

<file path=docProps/app.xml><?xml version="1.0" encoding="utf-8"?>
<Properties xmlns="http://schemas.openxmlformats.org/officeDocument/2006/extended-properties" xmlns:vt="http://schemas.openxmlformats.org/officeDocument/2006/docPropsVTypes">
  <Template>Normal.dotm</Template>
  <TotalTime>0</TotalTime>
  <Pages>7</Pages>
  <Words>2450</Words>
  <Characters>13968</Characters>
  <Application>Microsoft Office Word</Application>
  <DocSecurity>4</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IDAC</Company>
  <LinksUpToDate>false</LinksUpToDate>
  <CharactersWithSpaces>16386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Lissette Nuñez Gomez</dc:creator>
  <cp:lastModifiedBy>Test</cp:lastModifiedBy>
  <cp:revision>2</cp:revision>
  <dcterms:created xsi:type="dcterms:W3CDTF">2016-09-02T18:37:00Z</dcterms:created>
  <dcterms:modified xsi:type="dcterms:W3CDTF">2016-09-02T18:37:00Z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0x01010046CF21643EE8D14686A648AA6DAD089200EE4D02ABC7ED3F4F87D3094A22AF6094</vt:lpwstr>
  </property>
  <property fmtid="{D5CDD505-2E9C-101B-9397-08002B2CF9AE}" pid="5" name="TaxKeywordTaxHTField">
    <vt:lpwstr/>
  </property>
  <property fmtid="{D5CDD505-2E9C-101B-9397-08002B2CF9AE}" pid="6" name="Series Operations IDB">
    <vt:lpwstr>3;#Unclassified|a6dff32e-d477-44cd-a56b-85efe9e0a56c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3;#Unclassified|a6dff32e-d477-44cd-a56b-85efe9e0a56c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4;#IDBDocs|cca77002-e150-4b2d-ab1f-1d7a7cdcae16</vt:lpwstr>
  </property>
</Properties>
</file>