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56" w:rsidRPr="00081F1C" w:rsidRDefault="00754F56" w:rsidP="0072144C">
      <w:pPr>
        <w:widowControl w:val="0"/>
        <w:autoSpaceDE w:val="0"/>
        <w:autoSpaceDN w:val="0"/>
        <w:adjustRightInd w:val="0"/>
        <w:spacing w:after="0" w:line="240" w:lineRule="auto"/>
        <w:rPr>
          <w:rFonts w:ascii="Calibri" w:eastAsiaTheme="minorEastAsia" w:hAnsi="Calibri" w:cs="Arial"/>
          <w:b/>
          <w:color w:val="1A1A1A"/>
        </w:rPr>
      </w:pPr>
      <w:bookmarkStart w:id="0" w:name="_GoBack"/>
      <w:bookmarkEnd w:id="0"/>
      <w:r w:rsidRPr="00081F1C">
        <w:rPr>
          <w:rFonts w:ascii="Calibri" w:eastAsiaTheme="minorEastAsia" w:hAnsi="Calibri" w:cs="Arial"/>
          <w:b/>
          <w:color w:val="1A1A1A"/>
        </w:rPr>
        <w:t>INVERSIONES</w:t>
      </w:r>
      <w:r w:rsidR="00F241FA" w:rsidRPr="00081F1C">
        <w:rPr>
          <w:rFonts w:ascii="Calibri" w:eastAsiaTheme="minorEastAsia" w:hAnsi="Calibri" w:cs="Arial"/>
          <w:b/>
          <w:color w:val="1A1A1A"/>
        </w:rPr>
        <w:t xml:space="preserve"> DEL SECTOR PRIVADO EN LA CIUDAD COLONIAL DE SANTO DOMINGO</w:t>
      </w:r>
      <w:r w:rsidR="00081F1C">
        <w:rPr>
          <w:rFonts w:ascii="Calibri" w:eastAsiaTheme="minorEastAsia" w:hAnsi="Calibri" w:cs="Arial"/>
          <w:b/>
          <w:color w:val="1A1A1A"/>
        </w:rPr>
        <w:t xml:space="preserve"> – MITUR, Agosto 2016.</w:t>
      </w:r>
    </w:p>
    <w:p w:rsidR="00F241FA" w:rsidRDefault="00F241FA" w:rsidP="0072144C">
      <w:pPr>
        <w:widowControl w:val="0"/>
        <w:autoSpaceDE w:val="0"/>
        <w:autoSpaceDN w:val="0"/>
        <w:adjustRightInd w:val="0"/>
        <w:spacing w:after="0" w:line="240" w:lineRule="auto"/>
        <w:rPr>
          <w:rFonts w:ascii="Calibri" w:eastAsiaTheme="minorEastAsia" w:hAnsi="Calibri" w:cs="Arial"/>
          <w:color w:val="1A1A1A"/>
        </w:rPr>
      </w:pPr>
    </w:p>
    <w:p w:rsidR="00841AE2" w:rsidRDefault="00841AE2" w:rsidP="00FF147F">
      <w:pPr>
        <w:widowControl w:val="0"/>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Los nuevos objetivos de desarrollo a nivel internacional, entre los que se inscriben las nuevas metas del milenio de las Naciones Unidas 2030,</w:t>
      </w:r>
      <w:r w:rsidR="00FF147F">
        <w:rPr>
          <w:rFonts w:ascii="Calibri" w:eastAsiaTheme="minorEastAsia" w:hAnsi="Calibri" w:cs="Arial"/>
          <w:color w:val="1A1A1A"/>
        </w:rPr>
        <w:t xml:space="preserve"> están siendo ge</w:t>
      </w:r>
      <w:r>
        <w:rPr>
          <w:rFonts w:ascii="Calibri" w:eastAsiaTheme="minorEastAsia" w:hAnsi="Calibri" w:cs="Arial"/>
          <w:color w:val="1A1A1A"/>
        </w:rPr>
        <w:t>stionadas</w:t>
      </w:r>
      <w:r w:rsidR="00FF147F">
        <w:rPr>
          <w:rFonts w:ascii="Calibri" w:eastAsiaTheme="minorEastAsia" w:hAnsi="Calibri" w:cs="Arial"/>
          <w:color w:val="1A1A1A"/>
        </w:rPr>
        <w:t xml:space="preserve"> bajo formatos de</w:t>
      </w:r>
      <w:r>
        <w:rPr>
          <w:rFonts w:ascii="Calibri" w:eastAsiaTheme="minorEastAsia" w:hAnsi="Calibri" w:cs="Arial"/>
          <w:color w:val="1A1A1A"/>
        </w:rPr>
        <w:t xml:space="preserve"> asociaciones público-privada</w:t>
      </w:r>
      <w:r w:rsidR="00FF147F">
        <w:rPr>
          <w:rFonts w:ascii="Calibri" w:eastAsiaTheme="minorEastAsia" w:hAnsi="Calibri" w:cs="Arial"/>
          <w:color w:val="1A1A1A"/>
        </w:rPr>
        <w:t xml:space="preserve"> [PPP</w:t>
      </w:r>
      <w:r>
        <w:rPr>
          <w:rFonts w:ascii="Calibri" w:eastAsiaTheme="minorEastAsia" w:hAnsi="Calibri" w:cs="Arial"/>
          <w:color w:val="1A1A1A"/>
        </w:rPr>
        <w:t xml:space="preserve"> por sus siglas en inglés </w:t>
      </w:r>
      <w:r w:rsidRPr="00BF0FA2">
        <w:rPr>
          <w:rFonts w:ascii="Calibri" w:eastAsiaTheme="minorEastAsia" w:hAnsi="Calibri" w:cs="Arial"/>
          <w:i/>
          <w:color w:val="1A1A1A"/>
        </w:rPr>
        <w:t>Public Private Partnership</w:t>
      </w:r>
      <w:r w:rsidR="00FF147F">
        <w:rPr>
          <w:rFonts w:ascii="Calibri" w:eastAsiaTheme="minorEastAsia" w:hAnsi="Calibri" w:cs="Arial"/>
          <w:color w:val="1A1A1A"/>
        </w:rPr>
        <w:t xml:space="preserve">] así como crecientes colaboraciones </w:t>
      </w:r>
      <w:r>
        <w:rPr>
          <w:rFonts w:ascii="Calibri" w:eastAsiaTheme="minorEastAsia" w:hAnsi="Calibri" w:cs="Arial"/>
          <w:color w:val="1A1A1A"/>
        </w:rPr>
        <w:t xml:space="preserve">con </w:t>
      </w:r>
      <w:r w:rsidR="00FF147F">
        <w:rPr>
          <w:rFonts w:ascii="Calibri" w:eastAsiaTheme="minorEastAsia" w:hAnsi="Calibri" w:cs="Arial"/>
          <w:color w:val="1A1A1A"/>
        </w:rPr>
        <w:t>organismos multilaterales</w:t>
      </w:r>
      <w:r>
        <w:rPr>
          <w:rFonts w:ascii="Calibri" w:eastAsiaTheme="minorEastAsia" w:hAnsi="Calibri" w:cs="Arial"/>
          <w:color w:val="1A1A1A"/>
        </w:rPr>
        <w:t xml:space="preserve"> e instituciones locales</w:t>
      </w:r>
      <w:r w:rsidR="00FF147F">
        <w:rPr>
          <w:rFonts w:ascii="Calibri" w:eastAsiaTheme="minorEastAsia" w:hAnsi="Calibri" w:cs="Arial"/>
          <w:color w:val="1A1A1A"/>
        </w:rPr>
        <w:t xml:space="preserve">. </w:t>
      </w:r>
    </w:p>
    <w:p w:rsidR="00841AE2" w:rsidRDefault="00841AE2" w:rsidP="00FF147F">
      <w:pPr>
        <w:widowControl w:val="0"/>
        <w:autoSpaceDE w:val="0"/>
        <w:autoSpaceDN w:val="0"/>
        <w:adjustRightInd w:val="0"/>
        <w:spacing w:after="0" w:line="240" w:lineRule="auto"/>
        <w:rPr>
          <w:rFonts w:ascii="Calibri" w:eastAsiaTheme="minorEastAsia" w:hAnsi="Calibri" w:cs="Arial"/>
          <w:color w:val="1A1A1A"/>
        </w:rPr>
      </w:pPr>
    </w:p>
    <w:p w:rsidR="00C96557" w:rsidRDefault="00841AE2" w:rsidP="00C96557">
      <w:pPr>
        <w:widowControl w:val="0"/>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 xml:space="preserve">En el caso de las estrategias de desarrollo dentro del sector turístico dominicano, visto </w:t>
      </w:r>
      <w:r w:rsidR="00C96557">
        <w:rPr>
          <w:rFonts w:ascii="Calibri" w:eastAsiaTheme="minorEastAsia" w:hAnsi="Calibri" w:cs="Arial"/>
          <w:color w:val="1A1A1A"/>
        </w:rPr>
        <w:t xml:space="preserve">desde la Ciudad Colonial, </w:t>
      </w:r>
      <w:r w:rsidR="00FF147F">
        <w:rPr>
          <w:rFonts w:ascii="Calibri" w:eastAsiaTheme="minorEastAsia" w:hAnsi="Calibri" w:cs="Arial"/>
          <w:color w:val="1A1A1A"/>
        </w:rPr>
        <w:t>es importante entender zonas prioritarias de inversión dentro de los mismos tiempos pautados p</w:t>
      </w:r>
      <w:r w:rsidR="00C96557">
        <w:rPr>
          <w:rFonts w:ascii="Calibri" w:eastAsiaTheme="minorEastAsia" w:hAnsi="Calibri" w:cs="Arial"/>
          <w:color w:val="1A1A1A"/>
        </w:rPr>
        <w:t>or</w:t>
      </w:r>
      <w:r w:rsidR="00FF147F">
        <w:rPr>
          <w:rFonts w:ascii="Calibri" w:eastAsiaTheme="minorEastAsia" w:hAnsi="Calibri" w:cs="Arial"/>
          <w:color w:val="1A1A1A"/>
        </w:rPr>
        <w:t xml:space="preserve"> el P</w:t>
      </w:r>
      <w:r w:rsidR="00C96557">
        <w:rPr>
          <w:rFonts w:ascii="Calibri" w:eastAsiaTheme="minorEastAsia" w:hAnsi="Calibri" w:cs="Arial"/>
          <w:color w:val="1A1A1A"/>
        </w:rPr>
        <w:t xml:space="preserve">rograma de </w:t>
      </w:r>
      <w:r w:rsidR="00FF147F">
        <w:rPr>
          <w:rFonts w:ascii="Calibri" w:eastAsiaTheme="minorEastAsia" w:hAnsi="Calibri" w:cs="Arial"/>
          <w:color w:val="1A1A1A"/>
        </w:rPr>
        <w:t>F</w:t>
      </w:r>
      <w:r w:rsidR="00C96557">
        <w:rPr>
          <w:rFonts w:ascii="Calibri" w:eastAsiaTheme="minorEastAsia" w:hAnsi="Calibri" w:cs="Arial"/>
          <w:color w:val="1A1A1A"/>
        </w:rPr>
        <w:t xml:space="preserve">omento al </w:t>
      </w:r>
      <w:r w:rsidR="00FF147F">
        <w:rPr>
          <w:rFonts w:ascii="Calibri" w:eastAsiaTheme="minorEastAsia" w:hAnsi="Calibri" w:cs="Arial"/>
          <w:color w:val="1A1A1A"/>
        </w:rPr>
        <w:t>T</w:t>
      </w:r>
      <w:r w:rsidR="00C96557">
        <w:rPr>
          <w:rFonts w:ascii="Calibri" w:eastAsiaTheme="minorEastAsia" w:hAnsi="Calibri" w:cs="Arial"/>
          <w:color w:val="1A1A1A"/>
        </w:rPr>
        <w:t xml:space="preserve">urismo de la </w:t>
      </w:r>
      <w:r w:rsidR="00FF147F">
        <w:rPr>
          <w:rFonts w:ascii="Calibri" w:eastAsiaTheme="minorEastAsia" w:hAnsi="Calibri" w:cs="Arial"/>
          <w:color w:val="1A1A1A"/>
        </w:rPr>
        <w:t xml:space="preserve">CCSD. </w:t>
      </w:r>
      <w:r w:rsidR="00C96557">
        <w:rPr>
          <w:rFonts w:ascii="Calibri" w:eastAsiaTheme="minorEastAsia" w:hAnsi="Calibri" w:cs="Arial"/>
          <w:color w:val="1A1A1A"/>
        </w:rPr>
        <w:t xml:space="preserve">Con este objetivo </w:t>
      </w:r>
      <w:r w:rsidR="000E131F">
        <w:rPr>
          <w:rFonts w:ascii="Calibri" w:eastAsiaTheme="minorEastAsia" w:hAnsi="Calibri" w:cs="Arial"/>
          <w:color w:val="1A1A1A"/>
        </w:rPr>
        <w:t>de</w:t>
      </w:r>
      <w:r w:rsidR="00C96557">
        <w:rPr>
          <w:rFonts w:ascii="Calibri" w:eastAsiaTheme="minorEastAsia" w:hAnsi="Calibri" w:cs="Arial"/>
          <w:color w:val="1A1A1A"/>
        </w:rPr>
        <w:t xml:space="preserve"> obtener un entendimiento más preciso de la sinergia entre las inversiones del sector público y las inversiones del sector privado con una presencia importante en la Ciudad Colonial [CC] hicimos una serie de entrevistas a quince actores importantes de la Ciudad Colonial suministrados por el Ministerio de Turismo.</w:t>
      </w:r>
    </w:p>
    <w:p w:rsidR="00C96557" w:rsidRDefault="00C96557" w:rsidP="00FF147F">
      <w:pPr>
        <w:widowControl w:val="0"/>
        <w:autoSpaceDE w:val="0"/>
        <w:autoSpaceDN w:val="0"/>
        <w:adjustRightInd w:val="0"/>
        <w:spacing w:after="0" w:line="240" w:lineRule="auto"/>
        <w:rPr>
          <w:rFonts w:ascii="Calibri" w:eastAsiaTheme="minorEastAsia" w:hAnsi="Calibri" w:cs="Arial"/>
          <w:color w:val="1A1A1A"/>
        </w:rPr>
      </w:pPr>
    </w:p>
    <w:p w:rsidR="00FF147F" w:rsidRDefault="00FF147F" w:rsidP="00FF147F">
      <w:pPr>
        <w:widowControl w:val="0"/>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Se le pidió a los entrevistados dar estimados de inversiones hechas hasta el 2016, y posibles inversiones en carpeta o en curso a ser materializadas al 2022, utilizando los mismos tiempos del análisis urbano hecho para esta consultoría. Algunos entrevistados fueron más específicos que otros dado el grado de discreción con el que operan sus proyectos.</w:t>
      </w:r>
    </w:p>
    <w:p w:rsidR="00FF147F" w:rsidRDefault="00FF147F" w:rsidP="0072144C">
      <w:pPr>
        <w:widowControl w:val="0"/>
        <w:autoSpaceDE w:val="0"/>
        <w:autoSpaceDN w:val="0"/>
        <w:adjustRightInd w:val="0"/>
        <w:spacing w:after="0" w:line="240" w:lineRule="auto"/>
        <w:rPr>
          <w:rFonts w:ascii="Calibri" w:eastAsiaTheme="minorEastAsia" w:hAnsi="Calibri" w:cs="Arial"/>
          <w:color w:val="1A1A1A"/>
        </w:rPr>
      </w:pPr>
    </w:p>
    <w:p w:rsidR="00B738C5" w:rsidRDefault="00B738C5" w:rsidP="0072144C">
      <w:pPr>
        <w:widowControl w:val="0"/>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Puntos tomados en cuenta con el sector privado:</w:t>
      </w:r>
    </w:p>
    <w:p w:rsidR="00B738C5" w:rsidRPr="008B0EB9" w:rsidRDefault="008B0EB9" w:rsidP="008B0EB9">
      <w:pPr>
        <w:pStyle w:val="ListParagraph"/>
        <w:widowControl w:val="0"/>
        <w:numPr>
          <w:ilvl w:val="0"/>
          <w:numId w:val="4"/>
        </w:numPr>
        <w:autoSpaceDE w:val="0"/>
        <w:autoSpaceDN w:val="0"/>
        <w:adjustRightInd w:val="0"/>
        <w:spacing w:after="0" w:line="240" w:lineRule="auto"/>
        <w:rPr>
          <w:rFonts w:ascii="Calibri" w:eastAsiaTheme="minorEastAsia" w:hAnsi="Calibri" w:cs="Arial"/>
          <w:color w:val="1A1A1A"/>
        </w:rPr>
      </w:pPr>
      <w:r w:rsidRPr="008B0EB9">
        <w:rPr>
          <w:rFonts w:ascii="Calibri" w:eastAsiaTheme="minorEastAsia" w:hAnsi="Calibri" w:cs="Arial"/>
          <w:color w:val="1A1A1A"/>
        </w:rPr>
        <w:t>Momento en que empezaron sus inversiones en la Ciudad Colonial.</w:t>
      </w:r>
    </w:p>
    <w:p w:rsidR="008B0EB9" w:rsidRDefault="008B0EB9" w:rsidP="008B0EB9">
      <w:pPr>
        <w:pStyle w:val="ListParagraph"/>
        <w:widowControl w:val="0"/>
        <w:numPr>
          <w:ilvl w:val="0"/>
          <w:numId w:val="4"/>
        </w:numPr>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Tipo de inversiones [hotelera, comercial, residencial, otro].</w:t>
      </w:r>
    </w:p>
    <w:p w:rsidR="00046719" w:rsidRPr="007E55F4" w:rsidRDefault="008B0EB9" w:rsidP="0072144C">
      <w:pPr>
        <w:pStyle w:val="ListParagraph"/>
        <w:widowControl w:val="0"/>
        <w:numPr>
          <w:ilvl w:val="0"/>
          <w:numId w:val="4"/>
        </w:numPr>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Inversiones o crecimiento de inversiones antes del 2012, entre 2012-2016, 2017-2022.</w:t>
      </w:r>
    </w:p>
    <w:p w:rsidR="00BA77F5" w:rsidRDefault="00BA77F5" w:rsidP="0072144C">
      <w:pPr>
        <w:widowControl w:val="0"/>
        <w:autoSpaceDE w:val="0"/>
        <w:autoSpaceDN w:val="0"/>
        <w:adjustRightInd w:val="0"/>
        <w:spacing w:after="0" w:line="240" w:lineRule="auto"/>
        <w:rPr>
          <w:rFonts w:ascii="Calibri" w:eastAsiaTheme="minorEastAsia" w:hAnsi="Calibri" w:cs="Arial"/>
          <w:color w:val="1A1A1A"/>
        </w:rPr>
      </w:pPr>
    </w:p>
    <w:p w:rsidR="00046719" w:rsidRDefault="00046719" w:rsidP="0072144C">
      <w:pPr>
        <w:widowControl w:val="0"/>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 xml:space="preserve">El rango de inversiones </w:t>
      </w:r>
      <w:r w:rsidR="00F83B6A">
        <w:rPr>
          <w:rFonts w:ascii="Calibri" w:eastAsiaTheme="minorEastAsia" w:hAnsi="Calibri" w:cs="Arial"/>
          <w:color w:val="1A1A1A"/>
        </w:rPr>
        <w:t>están</w:t>
      </w:r>
      <w:r>
        <w:rPr>
          <w:rFonts w:ascii="Calibri" w:eastAsiaTheme="minorEastAsia" w:hAnsi="Calibri" w:cs="Arial"/>
          <w:color w:val="1A1A1A"/>
        </w:rPr>
        <w:t xml:space="preserve"> </w:t>
      </w:r>
      <w:r w:rsidR="00F83B6A">
        <w:rPr>
          <w:rFonts w:ascii="Calibri" w:eastAsiaTheme="minorEastAsia" w:hAnsi="Calibri" w:cs="Arial"/>
          <w:color w:val="1A1A1A"/>
        </w:rPr>
        <w:t>en su mayoría</w:t>
      </w:r>
      <w:r>
        <w:rPr>
          <w:rFonts w:ascii="Calibri" w:eastAsiaTheme="minorEastAsia" w:hAnsi="Calibri" w:cs="Arial"/>
          <w:color w:val="1A1A1A"/>
        </w:rPr>
        <w:t xml:space="preserve"> en la adquisición y </w:t>
      </w:r>
      <w:r w:rsidR="00F83B6A">
        <w:rPr>
          <w:rFonts w:ascii="Calibri" w:eastAsiaTheme="minorEastAsia" w:hAnsi="Calibri" w:cs="Arial"/>
          <w:color w:val="1A1A1A"/>
        </w:rPr>
        <w:t xml:space="preserve">la </w:t>
      </w:r>
      <w:r>
        <w:rPr>
          <w:rFonts w:ascii="Calibri" w:eastAsiaTheme="minorEastAsia" w:hAnsi="Calibri" w:cs="Arial"/>
          <w:color w:val="1A1A1A"/>
        </w:rPr>
        <w:t>restauración de inmuebles sin uso definido</w:t>
      </w:r>
      <w:r w:rsidR="00DE456B">
        <w:rPr>
          <w:rFonts w:ascii="Calibri" w:eastAsiaTheme="minorEastAsia" w:hAnsi="Calibri" w:cs="Arial"/>
          <w:color w:val="1A1A1A"/>
        </w:rPr>
        <w:t xml:space="preserve"> al momento</w:t>
      </w:r>
      <w:r>
        <w:rPr>
          <w:rFonts w:ascii="Calibri" w:eastAsiaTheme="minorEastAsia" w:hAnsi="Calibri" w:cs="Arial"/>
          <w:color w:val="1A1A1A"/>
        </w:rPr>
        <w:t>, en segundo lugar la invers</w:t>
      </w:r>
      <w:r w:rsidR="00340998">
        <w:rPr>
          <w:rFonts w:ascii="Calibri" w:eastAsiaTheme="minorEastAsia" w:hAnsi="Calibri" w:cs="Arial"/>
          <w:color w:val="1A1A1A"/>
        </w:rPr>
        <w:t>ión para oferta residencial ó</w:t>
      </w:r>
      <w:r>
        <w:rPr>
          <w:rFonts w:ascii="Calibri" w:eastAsiaTheme="minorEastAsia" w:hAnsi="Calibri" w:cs="Arial"/>
          <w:color w:val="1A1A1A"/>
        </w:rPr>
        <w:t xml:space="preserve"> habitaciones hoteleras, que van desde habitaciones de lujo o alto st</w:t>
      </w:r>
      <w:r w:rsidR="00DE456B">
        <w:rPr>
          <w:rFonts w:ascii="Calibri" w:eastAsiaTheme="minorEastAsia" w:hAnsi="Calibri" w:cs="Arial"/>
          <w:color w:val="1A1A1A"/>
        </w:rPr>
        <w:t>ándard</w:t>
      </w:r>
      <w:r>
        <w:rPr>
          <w:rFonts w:ascii="Calibri" w:eastAsiaTheme="minorEastAsia" w:hAnsi="Calibri" w:cs="Arial"/>
          <w:color w:val="1A1A1A"/>
        </w:rPr>
        <w:t xml:space="preserve"> hasta inversiones </w:t>
      </w:r>
      <w:r w:rsidR="00F83B6A">
        <w:rPr>
          <w:rFonts w:ascii="Calibri" w:eastAsiaTheme="minorEastAsia" w:hAnsi="Calibri" w:cs="Arial"/>
          <w:color w:val="1A1A1A"/>
        </w:rPr>
        <w:t xml:space="preserve">dentro de tipologías nuevas como </w:t>
      </w:r>
      <w:r w:rsidRPr="00A04518">
        <w:rPr>
          <w:rFonts w:ascii="Calibri" w:eastAsiaTheme="minorEastAsia" w:hAnsi="Calibri" w:cs="Arial"/>
          <w:i/>
          <w:color w:val="1A1A1A"/>
        </w:rPr>
        <w:t>airbnb</w:t>
      </w:r>
      <w:r>
        <w:rPr>
          <w:rFonts w:ascii="Calibri" w:eastAsiaTheme="minorEastAsia" w:hAnsi="Calibri" w:cs="Arial"/>
          <w:color w:val="1A1A1A"/>
        </w:rPr>
        <w:t xml:space="preserve">, </w:t>
      </w:r>
      <w:r w:rsidR="00F83B6A">
        <w:rPr>
          <w:rFonts w:ascii="Calibri" w:eastAsiaTheme="minorEastAsia" w:hAnsi="Calibri" w:cs="Arial"/>
          <w:color w:val="1A1A1A"/>
        </w:rPr>
        <w:t xml:space="preserve">así como también </w:t>
      </w:r>
      <w:r>
        <w:rPr>
          <w:rFonts w:ascii="Calibri" w:eastAsiaTheme="minorEastAsia" w:hAnsi="Calibri" w:cs="Arial"/>
          <w:color w:val="1A1A1A"/>
        </w:rPr>
        <w:t xml:space="preserve">en </w:t>
      </w:r>
      <w:r w:rsidR="00F83B6A">
        <w:rPr>
          <w:rFonts w:ascii="Calibri" w:eastAsiaTheme="minorEastAsia" w:hAnsi="Calibri" w:cs="Arial"/>
          <w:color w:val="1A1A1A"/>
        </w:rPr>
        <w:t xml:space="preserve">una diversificación de la </w:t>
      </w:r>
      <w:r>
        <w:rPr>
          <w:rFonts w:ascii="Calibri" w:eastAsiaTheme="minorEastAsia" w:hAnsi="Calibri" w:cs="Arial"/>
          <w:color w:val="1A1A1A"/>
        </w:rPr>
        <w:t>oferta gastronómica.</w:t>
      </w:r>
      <w:r w:rsidR="00EA69B2">
        <w:rPr>
          <w:rFonts w:ascii="Calibri" w:eastAsiaTheme="minorEastAsia" w:hAnsi="Calibri" w:cs="Arial"/>
          <w:color w:val="1A1A1A"/>
        </w:rPr>
        <w:t xml:space="preserve"> Se enumeraron más de quince [15] inversiones nuevas para los próximos años, que van desde Smart parking, hasta el duplicado del número de habitaciones hoteleras actuales de algunos propietarios de hoteles, hasta nuevas ofertas gastronómicas y/o residenciales</w:t>
      </w:r>
      <w:r w:rsidR="001325FD">
        <w:rPr>
          <w:rFonts w:ascii="Calibri" w:eastAsiaTheme="minorEastAsia" w:hAnsi="Calibri" w:cs="Arial"/>
          <w:color w:val="1A1A1A"/>
        </w:rPr>
        <w:t xml:space="preserve"> para alquiler</w:t>
      </w:r>
      <w:r w:rsidR="00EA69B2">
        <w:rPr>
          <w:rFonts w:ascii="Calibri" w:eastAsiaTheme="minorEastAsia" w:hAnsi="Calibri" w:cs="Arial"/>
          <w:color w:val="1A1A1A"/>
        </w:rPr>
        <w:t>.</w:t>
      </w:r>
    </w:p>
    <w:p w:rsidR="00FB5DCD" w:rsidRDefault="00FB5DCD" w:rsidP="0072144C">
      <w:pPr>
        <w:widowControl w:val="0"/>
        <w:autoSpaceDE w:val="0"/>
        <w:autoSpaceDN w:val="0"/>
        <w:adjustRightInd w:val="0"/>
        <w:spacing w:after="0" w:line="240" w:lineRule="auto"/>
        <w:rPr>
          <w:rFonts w:ascii="Calibri" w:eastAsiaTheme="minorEastAsia" w:hAnsi="Calibri" w:cs="Arial"/>
          <w:color w:val="1A1A1A"/>
        </w:rPr>
      </w:pPr>
    </w:p>
    <w:p w:rsidR="00FB5DCD" w:rsidRDefault="00FB5DCD" w:rsidP="00FB5DCD">
      <w:pPr>
        <w:widowControl w:val="0"/>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 xml:space="preserve">Entre tanto, de las personas que dieron números precisos de inversión hotelera [sólo </w:t>
      </w:r>
      <w:r w:rsidR="005E197A">
        <w:rPr>
          <w:rFonts w:ascii="Calibri" w:eastAsiaTheme="minorEastAsia" w:hAnsi="Calibri" w:cs="Arial"/>
          <w:color w:val="1A1A1A"/>
        </w:rPr>
        <w:t>dos</w:t>
      </w:r>
      <w:r>
        <w:rPr>
          <w:rFonts w:ascii="Calibri" w:eastAsiaTheme="minorEastAsia" w:hAnsi="Calibri" w:cs="Arial"/>
          <w:color w:val="1A1A1A"/>
        </w:rPr>
        <w:t xml:space="preserve"> de las personas entrevistadas-más tienen intenciones de invertir en este sector pero no dieron datos] suman más de 25 millones de dólares</w:t>
      </w:r>
      <w:r w:rsidR="00DE456B">
        <w:rPr>
          <w:rFonts w:ascii="Calibri" w:eastAsiaTheme="minorEastAsia" w:hAnsi="Calibri" w:cs="Arial"/>
          <w:color w:val="1A1A1A"/>
        </w:rPr>
        <w:t xml:space="preserve"> para los próximos </w:t>
      </w:r>
      <w:r w:rsidR="005E197A">
        <w:rPr>
          <w:rFonts w:ascii="Calibri" w:eastAsiaTheme="minorEastAsia" w:hAnsi="Calibri" w:cs="Arial"/>
          <w:color w:val="1A1A1A"/>
        </w:rPr>
        <w:t>cinco [5]</w:t>
      </w:r>
      <w:r w:rsidR="00DE456B">
        <w:rPr>
          <w:rFonts w:ascii="Calibri" w:eastAsiaTheme="minorEastAsia" w:hAnsi="Calibri" w:cs="Arial"/>
          <w:color w:val="1A1A1A"/>
        </w:rPr>
        <w:t xml:space="preserve"> años</w:t>
      </w:r>
      <w:r>
        <w:rPr>
          <w:rFonts w:ascii="Calibri" w:eastAsiaTheme="minorEastAsia" w:hAnsi="Calibri" w:cs="Arial"/>
          <w:color w:val="1A1A1A"/>
        </w:rPr>
        <w:t>.</w:t>
      </w:r>
    </w:p>
    <w:p w:rsidR="00340998" w:rsidRDefault="00340998" w:rsidP="00FB5DCD">
      <w:pPr>
        <w:widowControl w:val="0"/>
        <w:autoSpaceDE w:val="0"/>
        <w:autoSpaceDN w:val="0"/>
        <w:adjustRightInd w:val="0"/>
        <w:spacing w:after="0" w:line="240" w:lineRule="auto"/>
        <w:rPr>
          <w:rFonts w:ascii="Calibri" w:eastAsiaTheme="minorEastAsia" w:hAnsi="Calibri" w:cs="Arial"/>
          <w:color w:val="1A1A1A"/>
        </w:rPr>
      </w:pPr>
    </w:p>
    <w:p w:rsidR="00340998" w:rsidRDefault="00340998" w:rsidP="00FB5DCD">
      <w:pPr>
        <w:widowControl w:val="0"/>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 xml:space="preserve">Una dinámica interesante es la consolidación de las economías creativas y las actualmente denominadas </w:t>
      </w:r>
      <w:r w:rsidRPr="00340998">
        <w:rPr>
          <w:rFonts w:ascii="Calibri" w:eastAsiaTheme="minorEastAsia" w:hAnsi="Calibri" w:cs="Arial"/>
          <w:i/>
          <w:color w:val="1A1A1A"/>
        </w:rPr>
        <w:t>‘shared economies’</w:t>
      </w:r>
      <w:r>
        <w:rPr>
          <w:rFonts w:ascii="Calibri" w:eastAsiaTheme="minorEastAsia" w:hAnsi="Calibri" w:cs="Arial"/>
          <w:i/>
          <w:color w:val="1A1A1A"/>
        </w:rPr>
        <w:t xml:space="preserve"> </w:t>
      </w:r>
      <w:r>
        <w:rPr>
          <w:rFonts w:ascii="Calibri" w:eastAsiaTheme="minorEastAsia" w:hAnsi="Calibri" w:cs="Arial"/>
          <w:color w:val="1A1A1A"/>
        </w:rPr>
        <w:t xml:space="preserve">[economías compartidas]. </w:t>
      </w:r>
      <w:r w:rsidR="00DC5717">
        <w:rPr>
          <w:rFonts w:ascii="Calibri" w:eastAsiaTheme="minorEastAsia" w:hAnsi="Calibri" w:cs="Arial"/>
          <w:color w:val="1A1A1A"/>
        </w:rPr>
        <w:t xml:space="preserve">Una </w:t>
      </w:r>
      <w:r>
        <w:rPr>
          <w:rFonts w:ascii="Calibri" w:eastAsiaTheme="minorEastAsia" w:hAnsi="Calibri" w:cs="Arial"/>
          <w:color w:val="1A1A1A"/>
        </w:rPr>
        <w:t>enumeración del surgimiento de este tipo de inversiones:</w:t>
      </w:r>
    </w:p>
    <w:p w:rsidR="00340998" w:rsidRPr="00340998" w:rsidRDefault="00340998" w:rsidP="00340998">
      <w:pPr>
        <w:pStyle w:val="ListParagraph"/>
        <w:widowControl w:val="0"/>
        <w:numPr>
          <w:ilvl w:val="0"/>
          <w:numId w:val="4"/>
        </w:numPr>
        <w:autoSpaceDE w:val="0"/>
        <w:autoSpaceDN w:val="0"/>
        <w:adjustRightInd w:val="0"/>
        <w:spacing w:after="0" w:line="240" w:lineRule="auto"/>
        <w:rPr>
          <w:rFonts w:ascii="Calibri" w:eastAsiaTheme="minorEastAsia" w:hAnsi="Calibri" w:cs="Arial"/>
          <w:color w:val="1A1A1A"/>
        </w:rPr>
      </w:pPr>
      <w:r w:rsidRPr="00340998">
        <w:rPr>
          <w:rFonts w:ascii="Calibri" w:eastAsiaTheme="minorEastAsia" w:hAnsi="Calibri" w:cs="Arial"/>
          <w:color w:val="1A1A1A"/>
        </w:rPr>
        <w:t xml:space="preserve">Desde el 2012 hasta la fecha se han abierto </w:t>
      </w:r>
      <w:r w:rsidR="00DC5717">
        <w:rPr>
          <w:rFonts w:ascii="Calibri" w:eastAsiaTheme="minorEastAsia" w:hAnsi="Calibri" w:cs="Arial"/>
          <w:color w:val="1A1A1A"/>
        </w:rPr>
        <w:t>seis [6]</w:t>
      </w:r>
      <w:r w:rsidRPr="00340998">
        <w:rPr>
          <w:rFonts w:ascii="Calibri" w:eastAsiaTheme="minorEastAsia" w:hAnsi="Calibri" w:cs="Arial"/>
          <w:color w:val="1A1A1A"/>
        </w:rPr>
        <w:t xml:space="preserve"> estudios de producción cinematográfica y/o estudios de música [uno</w:t>
      </w:r>
      <w:r w:rsidR="00DC5717">
        <w:rPr>
          <w:rFonts w:ascii="Calibri" w:eastAsiaTheme="minorEastAsia" w:hAnsi="Calibri" w:cs="Arial"/>
          <w:color w:val="1A1A1A"/>
        </w:rPr>
        <w:t xml:space="preserve"> [1]</w:t>
      </w:r>
      <w:r w:rsidRPr="00340998">
        <w:rPr>
          <w:rFonts w:ascii="Calibri" w:eastAsiaTheme="minorEastAsia" w:hAnsi="Calibri" w:cs="Arial"/>
          <w:color w:val="1A1A1A"/>
        </w:rPr>
        <w:t xml:space="preserve"> planificado </w:t>
      </w:r>
      <w:r w:rsidR="00DC5717">
        <w:rPr>
          <w:rFonts w:ascii="Calibri" w:eastAsiaTheme="minorEastAsia" w:hAnsi="Calibri" w:cs="Arial"/>
          <w:color w:val="1A1A1A"/>
        </w:rPr>
        <w:t>para</w:t>
      </w:r>
      <w:r w:rsidRPr="00340998">
        <w:rPr>
          <w:rFonts w:ascii="Calibri" w:eastAsiaTheme="minorEastAsia" w:hAnsi="Calibri" w:cs="Arial"/>
          <w:color w:val="1A1A1A"/>
        </w:rPr>
        <w:t xml:space="preserve"> </w:t>
      </w:r>
      <w:r w:rsidR="00DC5717">
        <w:rPr>
          <w:rFonts w:ascii="Calibri" w:eastAsiaTheme="minorEastAsia" w:hAnsi="Calibri" w:cs="Arial"/>
          <w:color w:val="1A1A1A"/>
        </w:rPr>
        <w:t>empezar a operar</w:t>
      </w:r>
      <w:r w:rsidRPr="00340998">
        <w:rPr>
          <w:rFonts w:ascii="Calibri" w:eastAsiaTheme="minorEastAsia" w:hAnsi="Calibri" w:cs="Arial"/>
          <w:color w:val="1A1A1A"/>
        </w:rPr>
        <w:t xml:space="preserve"> al final de este año].</w:t>
      </w:r>
    </w:p>
    <w:p w:rsidR="00340998" w:rsidRDefault="00340998" w:rsidP="00340998">
      <w:pPr>
        <w:pStyle w:val="ListParagraph"/>
        <w:widowControl w:val="0"/>
        <w:numPr>
          <w:ilvl w:val="0"/>
          <w:numId w:val="4"/>
        </w:numPr>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Se han abierto desde el 2014 dos</w:t>
      </w:r>
      <w:r w:rsidR="00DC5717">
        <w:rPr>
          <w:rFonts w:ascii="Calibri" w:eastAsiaTheme="minorEastAsia" w:hAnsi="Calibri" w:cs="Arial"/>
          <w:color w:val="1A1A1A"/>
        </w:rPr>
        <w:t xml:space="preserve"> [2]</w:t>
      </w:r>
      <w:r>
        <w:rPr>
          <w:rFonts w:ascii="Calibri" w:eastAsiaTheme="minorEastAsia" w:hAnsi="Calibri" w:cs="Arial"/>
          <w:color w:val="1A1A1A"/>
        </w:rPr>
        <w:t xml:space="preserve"> galerías de arte/tiend</w:t>
      </w:r>
      <w:r w:rsidR="00DC5717">
        <w:rPr>
          <w:rFonts w:ascii="Calibri" w:eastAsiaTheme="minorEastAsia" w:hAnsi="Calibri" w:cs="Arial"/>
          <w:color w:val="1A1A1A"/>
        </w:rPr>
        <w:t>as de diseño de objetos locales</w:t>
      </w:r>
      <w:r>
        <w:rPr>
          <w:rFonts w:ascii="Calibri" w:eastAsiaTheme="minorEastAsia" w:hAnsi="Calibri" w:cs="Arial"/>
          <w:color w:val="1A1A1A"/>
        </w:rPr>
        <w:t xml:space="preserve"> como alternativa a las tiendas tradicionales de </w:t>
      </w:r>
      <w:r w:rsidRPr="00340998">
        <w:rPr>
          <w:rFonts w:ascii="Calibri" w:eastAsiaTheme="minorEastAsia" w:hAnsi="Calibri" w:cs="Arial"/>
          <w:i/>
          <w:color w:val="1A1A1A"/>
        </w:rPr>
        <w:t>‘gift shops’</w:t>
      </w:r>
      <w:r w:rsidR="00DC5717">
        <w:rPr>
          <w:rFonts w:ascii="Calibri" w:eastAsiaTheme="minorEastAsia" w:hAnsi="Calibri" w:cs="Arial"/>
          <w:color w:val="1A1A1A"/>
        </w:rPr>
        <w:t>, y como un híbrido interesante de centro cultural/galería de arte.</w:t>
      </w:r>
    </w:p>
    <w:p w:rsidR="00E96E88" w:rsidRDefault="00E96E88" w:rsidP="00340998">
      <w:pPr>
        <w:pStyle w:val="ListParagraph"/>
        <w:widowControl w:val="0"/>
        <w:numPr>
          <w:ilvl w:val="0"/>
          <w:numId w:val="4"/>
        </w:numPr>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 xml:space="preserve">Como </w:t>
      </w:r>
      <w:r w:rsidRPr="00E96E88">
        <w:rPr>
          <w:rFonts w:ascii="Calibri" w:eastAsiaTheme="minorEastAsia" w:hAnsi="Calibri" w:cs="Arial"/>
          <w:i/>
          <w:color w:val="1A1A1A"/>
        </w:rPr>
        <w:t>shared economy</w:t>
      </w:r>
      <w:r>
        <w:rPr>
          <w:rFonts w:ascii="Calibri" w:eastAsiaTheme="minorEastAsia" w:hAnsi="Calibri" w:cs="Arial"/>
          <w:color w:val="1A1A1A"/>
        </w:rPr>
        <w:t xml:space="preserve">, está en aumento la inscripción en la tipología </w:t>
      </w:r>
      <w:r w:rsidRPr="00E96E88">
        <w:rPr>
          <w:rFonts w:ascii="Calibri" w:eastAsiaTheme="minorEastAsia" w:hAnsi="Calibri" w:cs="Arial"/>
          <w:i/>
          <w:color w:val="1A1A1A"/>
        </w:rPr>
        <w:t>airbnb</w:t>
      </w:r>
      <w:r>
        <w:rPr>
          <w:rFonts w:ascii="Calibri" w:eastAsiaTheme="minorEastAsia" w:hAnsi="Calibri" w:cs="Arial"/>
          <w:color w:val="1A1A1A"/>
        </w:rPr>
        <w:t xml:space="preserve"> [estadía en casas de particulares]. Antes del 2012 ya habían varios propietarios con su inmueble inscrito en </w:t>
      </w:r>
      <w:r w:rsidRPr="00E96E88">
        <w:rPr>
          <w:rFonts w:ascii="Calibri" w:eastAsiaTheme="minorEastAsia" w:hAnsi="Calibri" w:cs="Arial"/>
          <w:i/>
          <w:color w:val="1A1A1A"/>
        </w:rPr>
        <w:t>‘couchsurfing’</w:t>
      </w:r>
      <w:r>
        <w:rPr>
          <w:rFonts w:ascii="Calibri" w:eastAsiaTheme="minorEastAsia" w:hAnsi="Calibri" w:cs="Arial"/>
          <w:color w:val="1A1A1A"/>
        </w:rPr>
        <w:t xml:space="preserve">, un portal web internacional para rentar un espacio de estadía corta en una casa </w:t>
      </w:r>
      <w:r>
        <w:rPr>
          <w:rFonts w:ascii="Calibri" w:eastAsiaTheme="minorEastAsia" w:hAnsi="Calibri" w:cs="Arial"/>
          <w:color w:val="1A1A1A"/>
        </w:rPr>
        <w:lastRenderedPageBreak/>
        <w:t xml:space="preserve">de un particular. El </w:t>
      </w:r>
      <w:r w:rsidRPr="005E197A">
        <w:rPr>
          <w:rFonts w:ascii="Calibri" w:eastAsiaTheme="minorEastAsia" w:hAnsi="Calibri" w:cs="Arial"/>
          <w:i/>
          <w:color w:val="1A1A1A"/>
        </w:rPr>
        <w:t>airbnb</w:t>
      </w:r>
      <w:r>
        <w:rPr>
          <w:rFonts w:ascii="Calibri" w:eastAsiaTheme="minorEastAsia" w:hAnsi="Calibri" w:cs="Arial"/>
          <w:color w:val="1A1A1A"/>
        </w:rPr>
        <w:t xml:space="preserve"> es la apuesta internacional de mayor auge de inscripción de inmuebles para un tipo de estadía en un lugar fuera del formato de habitación hotelera convencional.</w:t>
      </w:r>
      <w:r w:rsidR="0090298F">
        <w:rPr>
          <w:rFonts w:ascii="Calibri" w:eastAsiaTheme="minorEastAsia" w:hAnsi="Calibri" w:cs="Arial"/>
          <w:color w:val="1A1A1A"/>
        </w:rPr>
        <w:t xml:space="preserve"> Las inversiones de inmuebles para ser rentadas como </w:t>
      </w:r>
      <w:r w:rsidR="0090298F">
        <w:rPr>
          <w:rFonts w:ascii="Calibri" w:eastAsiaTheme="minorEastAsia" w:hAnsi="Calibri" w:cs="Arial"/>
          <w:i/>
          <w:color w:val="1A1A1A"/>
        </w:rPr>
        <w:t xml:space="preserve">airbnb </w:t>
      </w:r>
      <w:r w:rsidR="0090298F">
        <w:rPr>
          <w:rFonts w:ascii="Calibri" w:eastAsiaTheme="minorEastAsia" w:hAnsi="Calibri" w:cs="Arial"/>
          <w:color w:val="1A1A1A"/>
        </w:rPr>
        <w:t>ya aparecen en lugares como la Portes con Sánchez hasta San Miguel, saliendo del tejido urbano convencionalmente turístico en la Ciudad Colonial.</w:t>
      </w:r>
      <w:r w:rsidR="005E197A">
        <w:rPr>
          <w:rFonts w:ascii="Calibri" w:eastAsiaTheme="minorEastAsia" w:hAnsi="Calibri" w:cs="Arial"/>
          <w:color w:val="1A1A1A"/>
        </w:rPr>
        <w:t xml:space="preserve"> Hay más de cuarenta [40] propiedade inscritas.</w:t>
      </w:r>
    </w:p>
    <w:p w:rsidR="00DC5717" w:rsidRPr="00340998" w:rsidRDefault="00DC5717" w:rsidP="00340998">
      <w:pPr>
        <w:pStyle w:val="ListParagraph"/>
        <w:widowControl w:val="0"/>
        <w:numPr>
          <w:ilvl w:val="0"/>
          <w:numId w:val="4"/>
        </w:numPr>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 xml:space="preserve">Dentro de la dinámica de expansión cultural, futuras colaboraciones del sector privado de la Ciudad Colonial se expanden hasta la Ciudad de La Habana con iniciativas interesantes de intercambio que van más allá de la idea de atraer los visitantes que </w:t>
      </w:r>
      <w:r w:rsidR="00E223A6">
        <w:rPr>
          <w:rFonts w:ascii="Calibri" w:eastAsiaTheme="minorEastAsia" w:hAnsi="Calibri" w:cs="Arial"/>
          <w:color w:val="1A1A1A"/>
        </w:rPr>
        <w:t>pernoctan en los desti</w:t>
      </w:r>
      <w:r>
        <w:rPr>
          <w:rFonts w:ascii="Calibri" w:eastAsiaTheme="minorEastAsia" w:hAnsi="Calibri" w:cs="Arial"/>
          <w:color w:val="1A1A1A"/>
        </w:rPr>
        <w:t>nos turísticos de sol y playa</w:t>
      </w:r>
      <w:r w:rsidR="00E223A6">
        <w:rPr>
          <w:rFonts w:ascii="Calibri" w:eastAsiaTheme="minorEastAsia" w:hAnsi="Calibri" w:cs="Arial"/>
          <w:color w:val="1A1A1A"/>
        </w:rPr>
        <w:t xml:space="preserve"> de la República Dominicana</w:t>
      </w:r>
      <w:r>
        <w:rPr>
          <w:rFonts w:ascii="Calibri" w:eastAsiaTheme="minorEastAsia" w:hAnsi="Calibri" w:cs="Arial"/>
          <w:color w:val="1A1A1A"/>
        </w:rPr>
        <w:t>.</w:t>
      </w:r>
      <w:r w:rsidR="00E223A6">
        <w:rPr>
          <w:rFonts w:ascii="Calibri" w:eastAsiaTheme="minorEastAsia" w:hAnsi="Calibri" w:cs="Arial"/>
          <w:color w:val="1A1A1A"/>
        </w:rPr>
        <w:t xml:space="preserve"> Esto coloca las inversiones de la Ciudad Colonial en un contexto regional.</w:t>
      </w:r>
    </w:p>
    <w:p w:rsidR="006E1761" w:rsidRDefault="006E1761" w:rsidP="00FB5DCD">
      <w:pPr>
        <w:widowControl w:val="0"/>
        <w:autoSpaceDE w:val="0"/>
        <w:autoSpaceDN w:val="0"/>
        <w:adjustRightInd w:val="0"/>
        <w:spacing w:after="0" w:line="240" w:lineRule="auto"/>
        <w:rPr>
          <w:rFonts w:ascii="Calibri" w:eastAsiaTheme="minorEastAsia" w:hAnsi="Calibri" w:cs="Arial"/>
          <w:color w:val="1A1A1A"/>
        </w:rPr>
      </w:pPr>
    </w:p>
    <w:p w:rsidR="007E55F4" w:rsidRDefault="007E55F4" w:rsidP="007E55F4">
      <w:pPr>
        <w:widowControl w:val="0"/>
        <w:autoSpaceDE w:val="0"/>
        <w:autoSpaceDN w:val="0"/>
        <w:adjustRightInd w:val="0"/>
        <w:spacing w:after="0" w:line="240" w:lineRule="auto"/>
        <w:ind w:firstLine="720"/>
        <w:rPr>
          <w:rFonts w:ascii="Calibri" w:eastAsiaTheme="minorEastAsia" w:hAnsi="Calibri" w:cs="Arial"/>
          <w:color w:val="1A1A1A"/>
        </w:rPr>
      </w:pPr>
      <w:r>
        <w:rPr>
          <w:rFonts w:ascii="Calibri" w:eastAsiaTheme="minorEastAsia" w:hAnsi="Calibri" w:cs="Arial"/>
          <w:color w:val="1A1A1A"/>
        </w:rPr>
        <w:t>* Aunque no dentro del alcance del acercamiento al sector privado, éstos expusieron sus inquietudes y prioridades para/con la Ciudad Colonial.</w:t>
      </w:r>
    </w:p>
    <w:p w:rsidR="00FB5DCD" w:rsidRDefault="00FB5DCD" w:rsidP="0072144C">
      <w:pPr>
        <w:widowControl w:val="0"/>
        <w:autoSpaceDE w:val="0"/>
        <w:autoSpaceDN w:val="0"/>
        <w:adjustRightInd w:val="0"/>
        <w:spacing w:after="0" w:line="240" w:lineRule="auto"/>
        <w:rPr>
          <w:rFonts w:ascii="Calibri" w:eastAsiaTheme="minorEastAsia" w:hAnsi="Calibri" w:cs="Arial"/>
          <w:color w:val="1A1A1A"/>
        </w:rPr>
      </w:pPr>
    </w:p>
    <w:p w:rsidR="003D1ABE" w:rsidRDefault="00FB5DCD" w:rsidP="0072144C">
      <w:pPr>
        <w:widowControl w:val="0"/>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FEEDBACK SECTOR PRIVADO</w:t>
      </w:r>
    </w:p>
    <w:p w:rsidR="007D1235" w:rsidRDefault="007D1235" w:rsidP="0072144C">
      <w:pPr>
        <w:widowControl w:val="0"/>
        <w:autoSpaceDE w:val="0"/>
        <w:autoSpaceDN w:val="0"/>
        <w:adjustRightInd w:val="0"/>
        <w:spacing w:after="0" w:line="240" w:lineRule="auto"/>
        <w:rPr>
          <w:rFonts w:ascii="Calibri" w:eastAsiaTheme="minorEastAsia" w:hAnsi="Calibri" w:cs="Arial"/>
          <w:color w:val="1A1A1A"/>
        </w:rPr>
      </w:pPr>
    </w:p>
    <w:p w:rsidR="001E0563" w:rsidRDefault="00185324" w:rsidP="00185324">
      <w:pPr>
        <w:pStyle w:val="ListParagraph"/>
        <w:widowControl w:val="0"/>
        <w:numPr>
          <w:ilvl w:val="0"/>
          <w:numId w:val="1"/>
        </w:numPr>
        <w:autoSpaceDE w:val="0"/>
        <w:autoSpaceDN w:val="0"/>
        <w:adjustRightInd w:val="0"/>
        <w:spacing w:after="0" w:line="240" w:lineRule="auto"/>
        <w:rPr>
          <w:rFonts w:ascii="Calibri" w:eastAsiaTheme="minorEastAsia" w:hAnsi="Calibri" w:cs="Arial"/>
          <w:color w:val="1A1A1A"/>
        </w:rPr>
      </w:pPr>
      <w:r w:rsidRPr="00185324">
        <w:rPr>
          <w:rFonts w:ascii="Calibri" w:eastAsiaTheme="minorEastAsia" w:hAnsi="Calibri" w:cs="Arial"/>
          <w:color w:val="1A1A1A"/>
        </w:rPr>
        <w:t xml:space="preserve">Para el sector privado la mayor preocupación </w:t>
      </w:r>
      <w:r w:rsidR="001E0563">
        <w:rPr>
          <w:rFonts w:ascii="Calibri" w:eastAsiaTheme="minorEastAsia" w:hAnsi="Calibri" w:cs="Arial"/>
          <w:color w:val="1A1A1A"/>
        </w:rPr>
        <w:t>es la ausencia de una oferta de</w:t>
      </w:r>
      <w:r w:rsidRPr="00185324">
        <w:rPr>
          <w:rFonts w:ascii="Calibri" w:eastAsiaTheme="minorEastAsia" w:hAnsi="Calibri" w:cs="Arial"/>
          <w:color w:val="1A1A1A"/>
        </w:rPr>
        <w:t xml:space="preserve"> parqueos</w:t>
      </w:r>
      <w:r w:rsidR="001E0563">
        <w:rPr>
          <w:rFonts w:ascii="Calibri" w:eastAsiaTheme="minorEastAsia" w:hAnsi="Calibri" w:cs="Arial"/>
          <w:color w:val="1A1A1A"/>
        </w:rPr>
        <w:t xml:space="preserve"> que supla la demanda actual y la futura.</w:t>
      </w:r>
      <w:r w:rsidRPr="00185324">
        <w:rPr>
          <w:rFonts w:ascii="Calibri" w:eastAsiaTheme="minorEastAsia" w:hAnsi="Calibri" w:cs="Arial"/>
          <w:color w:val="1A1A1A"/>
        </w:rPr>
        <w:t xml:space="preserve"> </w:t>
      </w:r>
    </w:p>
    <w:p w:rsidR="00185324" w:rsidRPr="00185324" w:rsidRDefault="001E0563" w:rsidP="00185324">
      <w:pPr>
        <w:pStyle w:val="ListParagraph"/>
        <w:widowControl w:val="0"/>
        <w:numPr>
          <w:ilvl w:val="0"/>
          <w:numId w:val="1"/>
        </w:numPr>
        <w:autoSpaceDE w:val="0"/>
        <w:autoSpaceDN w:val="0"/>
        <w:adjustRightInd w:val="0"/>
        <w:spacing w:after="0" w:line="240" w:lineRule="auto"/>
        <w:rPr>
          <w:rFonts w:ascii="Calibri" w:eastAsiaTheme="minorEastAsia" w:hAnsi="Calibri" w:cs="Arial"/>
          <w:color w:val="1A1A1A"/>
        </w:rPr>
      </w:pPr>
      <w:r>
        <w:rPr>
          <w:rFonts w:ascii="Calibri" w:eastAsiaTheme="minorEastAsia" w:hAnsi="Calibri" w:cs="Arial"/>
          <w:color w:val="1A1A1A"/>
        </w:rPr>
        <w:t>L</w:t>
      </w:r>
      <w:r w:rsidR="00185324" w:rsidRPr="00185324">
        <w:rPr>
          <w:rFonts w:ascii="Calibri" w:eastAsiaTheme="minorEastAsia" w:hAnsi="Calibri" w:cs="Arial"/>
          <w:color w:val="1A1A1A"/>
        </w:rPr>
        <w:t xml:space="preserve">a seguridad </w:t>
      </w:r>
      <w:r>
        <w:rPr>
          <w:rFonts w:ascii="Calibri" w:eastAsiaTheme="minorEastAsia" w:hAnsi="Calibri" w:cs="Arial"/>
          <w:color w:val="1A1A1A"/>
        </w:rPr>
        <w:t>queda en un</w:t>
      </w:r>
      <w:r w:rsidR="00185324" w:rsidRPr="00185324">
        <w:rPr>
          <w:rFonts w:ascii="Calibri" w:eastAsiaTheme="minorEastAsia" w:hAnsi="Calibri" w:cs="Arial"/>
          <w:color w:val="1A1A1A"/>
        </w:rPr>
        <w:t xml:space="preserve"> segundo lugar</w:t>
      </w:r>
      <w:r>
        <w:rPr>
          <w:rFonts w:ascii="Calibri" w:eastAsiaTheme="minorEastAsia" w:hAnsi="Calibri" w:cs="Arial"/>
          <w:color w:val="1A1A1A"/>
        </w:rPr>
        <w:t xml:space="preserve"> como tema a atender de manera prioritaria</w:t>
      </w:r>
      <w:r w:rsidR="00185324" w:rsidRPr="00185324">
        <w:rPr>
          <w:rFonts w:ascii="Calibri" w:eastAsiaTheme="minorEastAsia" w:hAnsi="Calibri" w:cs="Arial"/>
          <w:color w:val="1A1A1A"/>
        </w:rPr>
        <w:t>. Sólo para uno de los entrevistados está dentro de sus planes invertir en la oferta de parqueo, con un total de más de 12 millones de dólares para este fin</w:t>
      </w:r>
      <w:r>
        <w:rPr>
          <w:rFonts w:ascii="Calibri" w:eastAsiaTheme="minorEastAsia" w:hAnsi="Calibri" w:cs="Arial"/>
          <w:color w:val="1A1A1A"/>
        </w:rPr>
        <w:t xml:space="preserve"> en los próximos años</w:t>
      </w:r>
      <w:r w:rsidR="00185324" w:rsidRPr="00185324">
        <w:rPr>
          <w:rFonts w:ascii="Calibri" w:eastAsiaTheme="minorEastAsia" w:hAnsi="Calibri" w:cs="Arial"/>
          <w:color w:val="1A1A1A"/>
        </w:rPr>
        <w:t>.</w:t>
      </w:r>
    </w:p>
    <w:p w:rsidR="00185324" w:rsidRPr="00185324" w:rsidRDefault="001E0563" w:rsidP="00185324">
      <w:pPr>
        <w:pStyle w:val="ListParagraph"/>
        <w:numPr>
          <w:ilvl w:val="0"/>
          <w:numId w:val="1"/>
        </w:numPr>
        <w:rPr>
          <w:rFonts w:ascii="Calibri" w:hAnsi="Calibri"/>
          <w:lang w:val="es-DO"/>
        </w:rPr>
      </w:pPr>
      <w:r>
        <w:rPr>
          <w:rFonts w:ascii="Calibri" w:hAnsi="Calibri"/>
          <w:lang w:val="es-DO"/>
        </w:rPr>
        <w:t>Para varios de los entrevistados</w:t>
      </w:r>
      <w:r w:rsidR="00106043">
        <w:rPr>
          <w:rFonts w:ascii="Calibri" w:hAnsi="Calibri"/>
          <w:lang w:val="es-DO"/>
        </w:rPr>
        <w:t xml:space="preserve"> uno de los</w:t>
      </w:r>
      <w:r w:rsidR="00185324" w:rsidRPr="00185324">
        <w:rPr>
          <w:rFonts w:ascii="Calibri" w:hAnsi="Calibri"/>
          <w:lang w:val="es-DO"/>
        </w:rPr>
        <w:t xml:space="preserve"> problema</w:t>
      </w:r>
      <w:r w:rsidR="00106043">
        <w:rPr>
          <w:rFonts w:ascii="Calibri" w:hAnsi="Calibri"/>
          <w:lang w:val="es-DO"/>
        </w:rPr>
        <w:t>s</w:t>
      </w:r>
      <w:r w:rsidR="00185324" w:rsidRPr="00185324">
        <w:rPr>
          <w:rFonts w:ascii="Calibri" w:hAnsi="Calibri"/>
          <w:lang w:val="es-DO"/>
        </w:rPr>
        <w:t xml:space="preserve"> principal</w:t>
      </w:r>
      <w:r w:rsidR="00106043">
        <w:rPr>
          <w:rFonts w:ascii="Calibri" w:hAnsi="Calibri"/>
          <w:lang w:val="es-DO"/>
        </w:rPr>
        <w:t>es</w:t>
      </w:r>
      <w:r w:rsidR="00185324" w:rsidRPr="00185324">
        <w:rPr>
          <w:rFonts w:ascii="Calibri" w:hAnsi="Calibri"/>
          <w:lang w:val="es-DO"/>
        </w:rPr>
        <w:t xml:space="preserve"> de CC e</w:t>
      </w:r>
      <w:r w:rsidR="00106043">
        <w:rPr>
          <w:rFonts w:ascii="Calibri" w:hAnsi="Calibri"/>
          <w:lang w:val="es-DO"/>
        </w:rPr>
        <w:t>s la falta de implementación de un</w:t>
      </w:r>
      <w:r w:rsidR="00185324" w:rsidRPr="00185324">
        <w:rPr>
          <w:rFonts w:ascii="Calibri" w:hAnsi="Calibri"/>
          <w:lang w:val="es-DO"/>
        </w:rPr>
        <w:t xml:space="preserve"> plan regulador y la falta de una no</w:t>
      </w:r>
      <w:r w:rsidR="00106043">
        <w:rPr>
          <w:rFonts w:ascii="Calibri" w:hAnsi="Calibri"/>
          <w:lang w:val="es-DO"/>
        </w:rPr>
        <w:t xml:space="preserve">rma de ocupación del suelo, </w:t>
      </w:r>
      <w:r w:rsidR="00185324" w:rsidRPr="00185324">
        <w:rPr>
          <w:rFonts w:ascii="Calibri" w:hAnsi="Calibri"/>
          <w:lang w:val="es-DO"/>
        </w:rPr>
        <w:t xml:space="preserve">usos, actividades, </w:t>
      </w:r>
      <w:r w:rsidR="00E51ED8">
        <w:rPr>
          <w:rFonts w:ascii="Calibri" w:hAnsi="Calibri"/>
          <w:lang w:val="es-DO"/>
        </w:rPr>
        <w:t>entre otros</w:t>
      </w:r>
      <w:r w:rsidR="00185324" w:rsidRPr="00185324">
        <w:rPr>
          <w:rFonts w:ascii="Calibri" w:hAnsi="Calibri"/>
          <w:lang w:val="es-DO"/>
        </w:rPr>
        <w:t>.</w:t>
      </w:r>
    </w:p>
    <w:p w:rsidR="00185324" w:rsidRPr="0072144C" w:rsidRDefault="00185324" w:rsidP="00185324">
      <w:pPr>
        <w:pStyle w:val="ListParagraph"/>
        <w:numPr>
          <w:ilvl w:val="0"/>
          <w:numId w:val="1"/>
        </w:numPr>
        <w:rPr>
          <w:rFonts w:ascii="Calibri" w:hAnsi="Calibri"/>
          <w:lang w:val="es-DO"/>
        </w:rPr>
      </w:pPr>
      <w:r w:rsidRPr="0072144C">
        <w:rPr>
          <w:rFonts w:ascii="Calibri" w:hAnsi="Calibri"/>
          <w:lang w:val="es-DO"/>
        </w:rPr>
        <w:t>Le preocupa que el programa se ha enfocado solamente en el aspecto turístico. Que el futuro de CC no está en bares, restaurantes, hoteles, y demás, sino en las actividades de la vida diaria.</w:t>
      </w:r>
    </w:p>
    <w:p w:rsidR="00185324" w:rsidRPr="0072144C" w:rsidRDefault="00185324" w:rsidP="00185324">
      <w:pPr>
        <w:pStyle w:val="ListParagraph"/>
        <w:numPr>
          <w:ilvl w:val="0"/>
          <w:numId w:val="1"/>
        </w:numPr>
        <w:rPr>
          <w:rFonts w:ascii="Calibri" w:hAnsi="Calibri"/>
          <w:lang w:val="es-DO"/>
        </w:rPr>
      </w:pPr>
      <w:r w:rsidRPr="0072144C">
        <w:rPr>
          <w:rFonts w:ascii="Calibri" w:hAnsi="Calibri"/>
          <w:lang w:val="es-DO"/>
        </w:rPr>
        <w:t>Que un presupuesto de mantenimiento de las obras que se están haciendo es crucial.</w:t>
      </w:r>
    </w:p>
    <w:p w:rsidR="00185324" w:rsidRDefault="00185324" w:rsidP="00185324">
      <w:pPr>
        <w:pStyle w:val="ListParagraph"/>
        <w:numPr>
          <w:ilvl w:val="0"/>
          <w:numId w:val="1"/>
        </w:numPr>
        <w:rPr>
          <w:rFonts w:ascii="Calibri" w:hAnsi="Calibri"/>
          <w:lang w:val="es-DO"/>
        </w:rPr>
      </w:pPr>
      <w:r w:rsidRPr="0072144C">
        <w:rPr>
          <w:rFonts w:ascii="Calibri" w:hAnsi="Calibri"/>
          <w:lang w:val="es-DO"/>
        </w:rPr>
        <w:t xml:space="preserve">Sugiere crear (o reactivar) una comisión general de </w:t>
      </w:r>
      <w:r w:rsidR="00106043">
        <w:rPr>
          <w:rFonts w:ascii="Calibri" w:hAnsi="Calibri"/>
          <w:lang w:val="es-DO"/>
        </w:rPr>
        <w:t xml:space="preserve">la </w:t>
      </w:r>
      <w:r w:rsidRPr="0072144C">
        <w:rPr>
          <w:rFonts w:ascii="Calibri" w:hAnsi="Calibri"/>
          <w:lang w:val="es-DO"/>
        </w:rPr>
        <w:t xml:space="preserve">CC como existe en Guatemala que vele por el seguimiento de una visión conjunta de </w:t>
      </w:r>
      <w:r w:rsidR="00106043">
        <w:rPr>
          <w:rFonts w:ascii="Calibri" w:hAnsi="Calibri"/>
          <w:lang w:val="es-DO"/>
        </w:rPr>
        <w:t xml:space="preserve">la </w:t>
      </w:r>
      <w:r w:rsidRPr="0072144C">
        <w:rPr>
          <w:rFonts w:ascii="Calibri" w:hAnsi="Calibri"/>
          <w:lang w:val="es-DO"/>
        </w:rPr>
        <w:t>CC.</w:t>
      </w:r>
    </w:p>
    <w:p w:rsidR="00F57FB4" w:rsidRPr="0072144C" w:rsidRDefault="00F57FB4" w:rsidP="00F57FB4">
      <w:pPr>
        <w:pStyle w:val="ListParagraph"/>
        <w:numPr>
          <w:ilvl w:val="0"/>
          <w:numId w:val="1"/>
        </w:numPr>
        <w:rPr>
          <w:rFonts w:ascii="Calibri" w:hAnsi="Calibri"/>
          <w:lang w:val="es-DO"/>
        </w:rPr>
      </w:pPr>
      <w:r w:rsidRPr="0072144C">
        <w:rPr>
          <w:rFonts w:ascii="Calibri" w:hAnsi="Calibri"/>
          <w:lang w:val="es-DO"/>
        </w:rPr>
        <w:t>Principales problemas son infraestructura peatonal, logística de acceso peatonal y de autobuses, estacionamientos.</w:t>
      </w:r>
    </w:p>
    <w:p w:rsidR="00F57FB4" w:rsidRPr="0072144C" w:rsidRDefault="00F57FB4" w:rsidP="00F57FB4">
      <w:pPr>
        <w:pStyle w:val="ListParagraph"/>
        <w:numPr>
          <w:ilvl w:val="0"/>
          <w:numId w:val="1"/>
        </w:numPr>
        <w:rPr>
          <w:rFonts w:ascii="Calibri" w:hAnsi="Calibri"/>
          <w:lang w:val="es-DO"/>
        </w:rPr>
      </w:pPr>
      <w:r w:rsidRPr="0072144C">
        <w:rPr>
          <w:rFonts w:ascii="Calibri" w:hAnsi="Calibri"/>
          <w:lang w:val="es-DO"/>
        </w:rPr>
        <w:t>Conexión de la terminal de S</w:t>
      </w:r>
      <w:r>
        <w:rPr>
          <w:rFonts w:ascii="Calibri" w:hAnsi="Calibri"/>
          <w:lang w:val="es-DO"/>
        </w:rPr>
        <w:t xml:space="preserve">anto </w:t>
      </w:r>
      <w:r w:rsidRPr="0072144C">
        <w:rPr>
          <w:rFonts w:ascii="Calibri" w:hAnsi="Calibri"/>
          <w:lang w:val="es-DO"/>
        </w:rPr>
        <w:t>D</w:t>
      </w:r>
      <w:r>
        <w:rPr>
          <w:rFonts w:ascii="Calibri" w:hAnsi="Calibri"/>
          <w:lang w:val="es-DO"/>
        </w:rPr>
        <w:t xml:space="preserve">omingo </w:t>
      </w:r>
      <w:r w:rsidRPr="0072144C">
        <w:rPr>
          <w:rFonts w:ascii="Calibri" w:hAnsi="Calibri"/>
          <w:lang w:val="es-DO"/>
        </w:rPr>
        <w:t>E</w:t>
      </w:r>
      <w:r>
        <w:rPr>
          <w:rFonts w:ascii="Calibri" w:hAnsi="Calibri"/>
          <w:lang w:val="es-DO"/>
        </w:rPr>
        <w:t>ste</w:t>
      </w:r>
      <w:r w:rsidRPr="0072144C">
        <w:rPr>
          <w:rFonts w:ascii="Calibri" w:hAnsi="Calibri"/>
          <w:lang w:val="es-DO"/>
        </w:rPr>
        <w:t xml:space="preserve"> con</w:t>
      </w:r>
      <w:r>
        <w:rPr>
          <w:rFonts w:ascii="Calibri" w:hAnsi="Calibri"/>
          <w:lang w:val="es-DO"/>
        </w:rPr>
        <w:t xml:space="preserve"> la</w:t>
      </w:r>
      <w:r w:rsidRPr="0072144C">
        <w:rPr>
          <w:rFonts w:ascii="Calibri" w:hAnsi="Calibri"/>
          <w:lang w:val="es-DO"/>
        </w:rPr>
        <w:t xml:space="preserve"> CC es </w:t>
      </w:r>
      <w:r w:rsidR="00AD2DC3">
        <w:rPr>
          <w:rFonts w:ascii="Calibri" w:hAnsi="Calibri"/>
          <w:lang w:val="es-DO"/>
        </w:rPr>
        <w:t>problemática para turistas</w:t>
      </w:r>
      <w:r w:rsidRPr="0072144C">
        <w:rPr>
          <w:rFonts w:ascii="Calibri" w:hAnsi="Calibri"/>
          <w:lang w:val="es-DO"/>
        </w:rPr>
        <w:t>.</w:t>
      </w:r>
    </w:p>
    <w:p w:rsidR="00F57FB4" w:rsidRPr="0072144C" w:rsidRDefault="00F57FB4" w:rsidP="00F57FB4">
      <w:pPr>
        <w:pStyle w:val="ListParagraph"/>
        <w:numPr>
          <w:ilvl w:val="0"/>
          <w:numId w:val="1"/>
        </w:numPr>
        <w:rPr>
          <w:rFonts w:ascii="Calibri" w:hAnsi="Calibri"/>
          <w:lang w:val="es-DO"/>
        </w:rPr>
      </w:pPr>
      <w:r w:rsidRPr="0072144C">
        <w:rPr>
          <w:rFonts w:ascii="Calibri" w:hAnsi="Calibri"/>
          <w:lang w:val="es-DO"/>
        </w:rPr>
        <w:t>Señalética y puntos de información turística son esenciales</w:t>
      </w:r>
      <w:r>
        <w:rPr>
          <w:rFonts w:ascii="Calibri" w:hAnsi="Calibri"/>
          <w:lang w:val="es-DO"/>
        </w:rPr>
        <w:t xml:space="preserve"> de implementar.</w:t>
      </w:r>
    </w:p>
    <w:p w:rsidR="00F57FB4" w:rsidRPr="0072144C" w:rsidRDefault="00F57FB4" w:rsidP="00F57FB4">
      <w:pPr>
        <w:pStyle w:val="ListParagraph"/>
        <w:rPr>
          <w:rFonts w:ascii="Calibri" w:hAnsi="Calibri"/>
          <w:lang w:val="es-DO"/>
        </w:rPr>
      </w:pPr>
    </w:p>
    <w:p w:rsidR="00185324" w:rsidRPr="0072144C" w:rsidRDefault="00185324" w:rsidP="00185324">
      <w:pPr>
        <w:pStyle w:val="ListParagraph"/>
        <w:rPr>
          <w:rFonts w:ascii="Calibri" w:hAnsi="Calibri"/>
          <w:lang w:val="es-DO"/>
        </w:rPr>
      </w:pPr>
    </w:p>
    <w:p w:rsidR="00185324" w:rsidRDefault="00185324" w:rsidP="0072144C">
      <w:pPr>
        <w:widowControl w:val="0"/>
        <w:autoSpaceDE w:val="0"/>
        <w:autoSpaceDN w:val="0"/>
        <w:adjustRightInd w:val="0"/>
        <w:spacing w:after="0" w:line="240" w:lineRule="auto"/>
        <w:rPr>
          <w:rFonts w:ascii="Calibri" w:eastAsiaTheme="minorEastAsia" w:hAnsi="Calibri" w:cs="Arial"/>
          <w:color w:val="1A1A1A"/>
        </w:rPr>
      </w:pPr>
    </w:p>
    <w:p w:rsidR="00A62356" w:rsidRPr="0072144C" w:rsidRDefault="00A62356" w:rsidP="00A62356">
      <w:pPr>
        <w:rPr>
          <w:rFonts w:ascii="Calibri" w:hAnsi="Calibri"/>
          <w:b/>
          <w:lang w:val="es-DO"/>
        </w:rPr>
      </w:pPr>
    </w:p>
    <w:p w:rsidR="00037AC4" w:rsidRDefault="00037AC4">
      <w:pPr>
        <w:spacing w:after="0" w:line="240" w:lineRule="auto"/>
        <w:rPr>
          <w:rFonts w:ascii="Calibri" w:hAnsi="Calibri"/>
          <w:b/>
          <w:lang w:val="es-DO"/>
        </w:rPr>
      </w:pPr>
      <w:r>
        <w:rPr>
          <w:rFonts w:ascii="Calibri" w:hAnsi="Calibri"/>
          <w:b/>
          <w:lang w:val="es-DO"/>
        </w:rPr>
        <w:br w:type="page"/>
      </w:r>
    </w:p>
    <w:p w:rsidR="00A62356" w:rsidRDefault="00037AC4" w:rsidP="00A62356">
      <w:pPr>
        <w:rPr>
          <w:rFonts w:ascii="Calibri" w:hAnsi="Calibri"/>
          <w:b/>
          <w:lang w:val="es-DO"/>
        </w:rPr>
      </w:pPr>
      <w:r>
        <w:rPr>
          <w:rFonts w:ascii="Calibri" w:hAnsi="Calibri"/>
          <w:b/>
          <w:lang w:val="es-DO"/>
        </w:rPr>
        <w:lastRenderedPageBreak/>
        <w:t>INVERSIONES DEL SECTOR PRIVADO</w:t>
      </w:r>
    </w:p>
    <w:p w:rsidR="00037AC4" w:rsidRDefault="00840D9E" w:rsidP="00A62356">
      <w:pPr>
        <w:rPr>
          <w:rFonts w:ascii="Calibri" w:hAnsi="Calibri"/>
          <w:b/>
          <w:lang w:val="es-DO"/>
        </w:rPr>
      </w:pPr>
      <w:r w:rsidRPr="00840D9E">
        <w:rPr>
          <w:noProof/>
          <w:lang w:val="es-ES" w:eastAsia="es-ES"/>
        </w:rPr>
        <w:drawing>
          <wp:inline distT="0" distB="0" distL="0" distR="0" wp14:anchorId="3F22F439" wp14:editId="43C002E7">
            <wp:extent cx="5572539" cy="747396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857" cy="7474393"/>
                    </a:xfrm>
                    <a:prstGeom prst="rect">
                      <a:avLst/>
                    </a:prstGeom>
                    <a:noFill/>
                    <a:ln>
                      <a:noFill/>
                    </a:ln>
                  </pic:spPr>
                </pic:pic>
              </a:graphicData>
            </a:graphic>
          </wp:inline>
        </w:drawing>
      </w:r>
    </w:p>
    <w:p w:rsidR="00081F1C" w:rsidRDefault="00081F1C">
      <w:pPr>
        <w:spacing w:after="0" w:line="240" w:lineRule="auto"/>
        <w:rPr>
          <w:rFonts w:ascii="Calibri" w:hAnsi="Calibri"/>
          <w:b/>
          <w:lang w:val="es-DO"/>
        </w:rPr>
      </w:pPr>
      <w:r>
        <w:rPr>
          <w:rFonts w:ascii="Calibri" w:hAnsi="Calibri"/>
          <w:b/>
          <w:lang w:val="es-DO"/>
        </w:rPr>
        <w:br w:type="page"/>
      </w:r>
    </w:p>
    <w:p w:rsidR="00037AC4" w:rsidRPr="0072144C" w:rsidRDefault="00081F1C" w:rsidP="00A62356">
      <w:pPr>
        <w:rPr>
          <w:rFonts w:ascii="Calibri" w:hAnsi="Calibri"/>
          <w:b/>
          <w:lang w:val="es-DO"/>
        </w:rPr>
      </w:pPr>
      <w:r>
        <w:rPr>
          <w:noProof/>
          <w:lang w:val="es-ES" w:eastAsia="es-ES"/>
        </w:rPr>
        <w:lastRenderedPageBreak/>
        <w:drawing>
          <wp:inline distT="0" distB="0" distL="0" distR="0" wp14:anchorId="451401B1" wp14:editId="78B71234">
            <wp:extent cx="5943600" cy="3441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441065"/>
                    </a:xfrm>
                    <a:prstGeom prst="rect">
                      <a:avLst/>
                    </a:prstGeom>
                  </pic:spPr>
                </pic:pic>
              </a:graphicData>
            </a:graphic>
          </wp:inline>
        </w:drawing>
      </w:r>
    </w:p>
    <w:p w:rsidR="00A62356" w:rsidRPr="0072144C" w:rsidRDefault="00A62356" w:rsidP="00A62356">
      <w:pPr>
        <w:rPr>
          <w:rFonts w:ascii="Calibri" w:hAnsi="Calibri"/>
          <w:b/>
          <w:lang w:val="es-DO"/>
        </w:rPr>
      </w:pPr>
    </w:p>
    <w:p w:rsidR="00A62356" w:rsidRPr="0072144C" w:rsidRDefault="00A62356" w:rsidP="00A62356">
      <w:pPr>
        <w:rPr>
          <w:rFonts w:ascii="Calibri" w:hAnsi="Calibri"/>
          <w:lang w:val="es-DO"/>
        </w:rPr>
      </w:pPr>
    </w:p>
    <w:p w:rsidR="00111161" w:rsidRPr="0072144C" w:rsidRDefault="00111161">
      <w:pPr>
        <w:rPr>
          <w:rFonts w:ascii="Calibri" w:hAnsi="Calibri"/>
        </w:rPr>
      </w:pPr>
    </w:p>
    <w:sectPr w:rsidR="00111161" w:rsidRPr="007214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D2B"/>
    <w:multiLevelType w:val="hybridMultilevel"/>
    <w:tmpl w:val="728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94E39"/>
    <w:multiLevelType w:val="hybridMultilevel"/>
    <w:tmpl w:val="93B8950C"/>
    <w:lvl w:ilvl="0" w:tplc="94643AFE">
      <w:start w:val="1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04B41"/>
    <w:multiLevelType w:val="hybridMultilevel"/>
    <w:tmpl w:val="A4C4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A6C8D"/>
    <w:multiLevelType w:val="hybridMultilevel"/>
    <w:tmpl w:val="5A74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5E"/>
    <w:rsid w:val="00037AC4"/>
    <w:rsid w:val="00046719"/>
    <w:rsid w:val="00067549"/>
    <w:rsid w:val="00081F1C"/>
    <w:rsid w:val="000D046A"/>
    <w:rsid w:val="000E131F"/>
    <w:rsid w:val="00106043"/>
    <w:rsid w:val="00111161"/>
    <w:rsid w:val="001325FD"/>
    <w:rsid w:val="00160791"/>
    <w:rsid w:val="00185324"/>
    <w:rsid w:val="001E0563"/>
    <w:rsid w:val="002042D9"/>
    <w:rsid w:val="002A3E2E"/>
    <w:rsid w:val="0032065E"/>
    <w:rsid w:val="00340998"/>
    <w:rsid w:val="0039284C"/>
    <w:rsid w:val="003D1ABE"/>
    <w:rsid w:val="003E3247"/>
    <w:rsid w:val="00562226"/>
    <w:rsid w:val="005E197A"/>
    <w:rsid w:val="006B5061"/>
    <w:rsid w:val="006E1761"/>
    <w:rsid w:val="0072144C"/>
    <w:rsid w:val="0073742A"/>
    <w:rsid w:val="00741CA9"/>
    <w:rsid w:val="00754F56"/>
    <w:rsid w:val="007728E6"/>
    <w:rsid w:val="00783440"/>
    <w:rsid w:val="007D1235"/>
    <w:rsid w:val="007E55F4"/>
    <w:rsid w:val="008351AD"/>
    <w:rsid w:val="00840D9E"/>
    <w:rsid w:val="00841AE2"/>
    <w:rsid w:val="008B0EB9"/>
    <w:rsid w:val="0090298F"/>
    <w:rsid w:val="00A04518"/>
    <w:rsid w:val="00A20846"/>
    <w:rsid w:val="00A4706D"/>
    <w:rsid w:val="00A62356"/>
    <w:rsid w:val="00AA53E9"/>
    <w:rsid w:val="00AD2DC3"/>
    <w:rsid w:val="00B04A31"/>
    <w:rsid w:val="00B738C5"/>
    <w:rsid w:val="00B80389"/>
    <w:rsid w:val="00BA77F5"/>
    <w:rsid w:val="00BF0FA2"/>
    <w:rsid w:val="00C12AE9"/>
    <w:rsid w:val="00C96557"/>
    <w:rsid w:val="00D32B7A"/>
    <w:rsid w:val="00DB209D"/>
    <w:rsid w:val="00DC5717"/>
    <w:rsid w:val="00DE456B"/>
    <w:rsid w:val="00DF2DFA"/>
    <w:rsid w:val="00E223A6"/>
    <w:rsid w:val="00E51ED8"/>
    <w:rsid w:val="00E96E88"/>
    <w:rsid w:val="00EA69B2"/>
    <w:rsid w:val="00F241FA"/>
    <w:rsid w:val="00F3559C"/>
    <w:rsid w:val="00F57FB4"/>
    <w:rsid w:val="00F83B6A"/>
    <w:rsid w:val="00FB5DCD"/>
    <w:rsid w:val="00FF1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6"/>
    <w:pPr>
      <w:spacing w:after="160" w:line="259" w:lineRule="auto"/>
    </w:pPr>
    <w:rPr>
      <w:rFonts w:eastAsiaTheme="minorHAnsi"/>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840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9E"/>
    <w:rPr>
      <w:rFonts w:ascii="Tahoma" w:eastAsiaTheme="minorHAnsi"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6"/>
    <w:pPr>
      <w:spacing w:after="160" w:line="259" w:lineRule="auto"/>
    </w:pPr>
    <w:rPr>
      <w:rFonts w:eastAsiaTheme="minorHAnsi"/>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840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9E"/>
    <w:rPr>
      <w:rFonts w:ascii="Tahoma" w:eastAsiaTheme="minorHAnsi"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0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D72C66AA3545B4DBEB5F774A0D1EF01" ma:contentTypeVersion="0" ma:contentTypeDescription="A content type to manage public (operations) IDB documents" ma:contentTypeScope="" ma:versionID="8a3c4594b49f38bc1891b0271b45234a">
  <xsd:schema xmlns:xsd="http://www.w3.org/2001/XMLSchema" xmlns:xs="http://www.w3.org/2001/XMLSchema" xmlns:p="http://schemas.microsoft.com/office/2006/metadata/properties" xmlns:ns2="9c571b2f-e523-4ab2-ba2e-09e151a03ef4" targetNamespace="http://schemas.microsoft.com/office/2006/metadata/properties" ma:root="true" ma:fieldsID="6ea6d61a7ad7d64d7d317954e079829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950fe0f-781d-4eb3-a432-36b824324f74}" ma:internalName="TaxCatchAll" ma:showField="CatchAllData"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50fe0f-781d-4eb3-a432-36b824324f74}" ma:internalName="TaxCatchAllLabel" ma:readOnly="true" ma:showField="CatchAllDataLabel"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40483837</IDBDocs_x0020_Number>
    <TaxCatchAll xmlns="9c571b2f-e523-4ab2-ba2e-09e151a03ef4">
      <Value>11</Value>
      <Value>12</Value>
    </TaxCatchAll>
    <Phase xmlns="9c571b2f-e523-4ab2-ba2e-09e151a03ef4" xsi:nil="true"/>
    <SISCOR_x0020_Number xmlns="9c571b2f-e523-4ab2-ba2e-09e151a03ef4" xsi:nil="true"/>
    <Division_x0020_or_x0020_Unit xmlns="9c571b2f-e523-4ab2-ba2e-09e151a03ef4">CSD/HUD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Perez Rincon, Belinda</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ABLANCO</Other_x0020_Author>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DR-L1084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DS-MOV</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A4822C71-1EBA-4834-A327-D566E66CB615}"/>
</file>

<file path=customXml/itemProps2.xml><?xml version="1.0" encoding="utf-8"?>
<ds:datastoreItem xmlns:ds="http://schemas.openxmlformats.org/officeDocument/2006/customXml" ds:itemID="{FE0FB64F-07E8-4EB5-A942-89467E6EF7C3}"/>
</file>

<file path=customXml/itemProps3.xml><?xml version="1.0" encoding="utf-8"?>
<ds:datastoreItem xmlns:ds="http://schemas.openxmlformats.org/officeDocument/2006/customXml" ds:itemID="{563F8F8E-37F6-4252-B706-6A7A92940C45}"/>
</file>

<file path=customXml/itemProps4.xml><?xml version="1.0" encoding="utf-8"?>
<ds:datastoreItem xmlns:ds="http://schemas.openxmlformats.org/officeDocument/2006/customXml" ds:itemID="{14B6B267-39CC-49F7-8A84-6B89C4459F4C}"/>
</file>

<file path=customXml/itemProps5.xml><?xml version="1.0" encoding="utf-8"?>
<ds:datastoreItem xmlns:ds="http://schemas.openxmlformats.org/officeDocument/2006/customXml" ds:itemID="{29977413-60F4-4F31-A1C9-F7118514C229}"/>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Shearly</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Inversiones del sector privado en la CCSD, BID, MITUR, 2016</dc:title>
  <dc:creator>Shaney Peña</dc:creator>
  <cp:lastModifiedBy>IADB</cp:lastModifiedBy>
  <cp:revision>2</cp:revision>
  <dcterms:created xsi:type="dcterms:W3CDTF">2016-08-18T20:38:00Z</dcterms:created>
  <dcterms:modified xsi:type="dcterms:W3CDTF">2016-08-18T20:38:00Z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0x01010046CF21643EE8D14686A648AA6DAD089200AD72C66AA3545B4DBEB5F774A0D1EF01</vt:lpwstr>
  </property>
  <property fmtid="{D5CDD505-2E9C-101B-9397-08002B2CF9AE}" pid="3" name="TaxKeyword">
    <vt:lpwstr/>
  </property>
  <property fmtid="{D5CDD505-2E9C-101B-9397-08002B2CF9AE}" pid="4" name="Function Operations IDB">
    <vt:lpwstr>12;#IDBDocs|cca77002-e150-4b2d-ab1f-1d7a7cdcae16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11;#Unclassified|a6dff32e-d477-44cd-a56b-85efe9e0a56c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11;#Unclassified|a6dff32e-d477-44cd-a56b-85efe9e0a56c</vt:lpwstr>
  </property>
  <property fmtid="{D5CDD505-2E9C-101B-9397-08002B2CF9AE}" pid="12" name="To:">
    <vt:lpwstr/>
  </property>
  <property fmtid="{D5CDD505-2E9C-101B-9397-08002B2CF9AE}" pid="13" name="From:">
    <vt:lpwstr>ABLANCO</vt:lpwstr>
  </property>
  <property fmtid="{D5CDD505-2E9C-101B-9397-08002B2CF9AE}" pid="14" name="Sector IDB">
    <vt:lpwstr/>
  </property>
  <property fmtid="{D5CDD505-2E9C-101B-9397-08002B2CF9AE}" pid="15" name="Sub-Sector">
    <vt:lpwstr/>
  </property>
</Properties>
</file>