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B5" w:rsidRPr="00BE7FB5" w:rsidRDefault="00BE7FB5" w:rsidP="00BE7FB5">
      <w:pPr>
        <w:widowControl w:val="0"/>
        <w:jc w:val="center"/>
        <w:rPr>
          <w:rFonts w:ascii="Arial" w:hAnsi="Arial" w:cs="Arial"/>
          <w:b/>
          <w:smallCaps/>
          <w:szCs w:val="24"/>
          <w:lang w:val="es-AR"/>
        </w:rPr>
      </w:pPr>
      <w:r w:rsidRPr="00BE7FB5">
        <w:rPr>
          <w:rFonts w:ascii="Arial" w:hAnsi="Arial" w:cs="Arial"/>
          <w:b/>
          <w:smallCaps/>
          <w:szCs w:val="24"/>
          <w:lang w:val="es-AR"/>
        </w:rPr>
        <w:t>Nota</w:t>
      </w:r>
      <w:r w:rsidR="001B55B2">
        <w:rPr>
          <w:rFonts w:ascii="Arial" w:hAnsi="Arial" w:cs="Arial"/>
          <w:b/>
          <w:smallCaps/>
          <w:szCs w:val="24"/>
          <w:lang w:val="es-AR"/>
        </w:rPr>
        <w:t>s</w:t>
      </w:r>
    </w:p>
    <w:p w:rsidR="00BE7FB5" w:rsidRDefault="00BE7FB5" w:rsidP="00BE7FB5">
      <w:pPr>
        <w:widowControl w:val="0"/>
        <w:jc w:val="center"/>
        <w:rPr>
          <w:rFonts w:ascii="Arial" w:hAnsi="Arial" w:cs="Arial"/>
          <w:b/>
          <w:smallCaps/>
          <w:szCs w:val="24"/>
          <w:lang w:val="es-AR"/>
        </w:rPr>
      </w:pPr>
      <w:r w:rsidRPr="00BE7FB5">
        <w:rPr>
          <w:rFonts w:ascii="Arial" w:hAnsi="Arial" w:cs="Arial"/>
          <w:b/>
          <w:smallCaps/>
          <w:szCs w:val="24"/>
          <w:lang w:val="es-AR"/>
        </w:rPr>
        <w:t xml:space="preserve">Programa de Apoyo a la Educación media y a la Formación en Educación </w:t>
      </w:r>
    </w:p>
    <w:p w:rsidR="00BE7FB5" w:rsidRPr="00BE7FB5" w:rsidRDefault="00BE7FB5" w:rsidP="00BE7FB5">
      <w:pPr>
        <w:widowControl w:val="0"/>
        <w:jc w:val="center"/>
        <w:rPr>
          <w:rFonts w:ascii="Arial" w:hAnsi="Arial" w:cs="Arial"/>
          <w:b/>
          <w:smallCaps/>
          <w:szCs w:val="24"/>
          <w:lang w:val="es-AR"/>
        </w:rPr>
      </w:pPr>
      <w:r w:rsidRPr="00BE7FB5">
        <w:rPr>
          <w:rFonts w:ascii="Arial" w:hAnsi="Arial" w:cs="Arial"/>
          <w:b/>
          <w:smallCaps/>
          <w:szCs w:val="24"/>
          <w:lang w:val="es-AR"/>
        </w:rPr>
        <w:t>(UR-L1116)</w:t>
      </w:r>
    </w:p>
    <w:p w:rsidR="00BE7FB5" w:rsidRDefault="00BE7FB5" w:rsidP="00A965AF">
      <w:pPr>
        <w:widowControl w:val="0"/>
        <w:rPr>
          <w:rFonts w:ascii="Arial" w:hAnsi="Arial" w:cs="Arial"/>
          <w:sz w:val="22"/>
          <w:szCs w:val="22"/>
          <w:lang w:val="es-AR"/>
        </w:rPr>
      </w:pP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AR"/>
        </w:rPr>
        <w:t>Instituto Nacional de Estadísticas.</w:t>
      </w:r>
      <w:r w:rsidRPr="00A965AF">
        <w:rPr>
          <w:rFonts w:ascii="Arial" w:hAnsi="Arial" w:cs="Arial"/>
          <w:sz w:val="22"/>
          <w:szCs w:val="22"/>
          <w:lang w:val="es-ES_tradnl"/>
        </w:rPr>
        <w:t xml:space="preserve"> </w:t>
      </w:r>
    </w:p>
    <w:p w:rsidR="00A965AF" w:rsidRPr="00A965AF" w:rsidRDefault="00A965AF" w:rsidP="00A965AF">
      <w:pPr>
        <w:pStyle w:val="FootnoteText"/>
        <w:keepNext w:val="0"/>
        <w:widowControl w:val="0"/>
        <w:numPr>
          <w:ilvl w:val="0"/>
          <w:numId w:val="2"/>
        </w:numPr>
        <w:spacing w:after="0"/>
        <w:ind w:hanging="720"/>
        <w:rPr>
          <w:rFonts w:ascii="Arial" w:hAnsi="Arial" w:cs="Arial"/>
          <w:spacing w:val="-4"/>
          <w:sz w:val="22"/>
          <w:szCs w:val="22"/>
          <w:lang w:val="es-ES"/>
        </w:rPr>
      </w:pPr>
      <w:r w:rsidRPr="00A965AF">
        <w:rPr>
          <w:rFonts w:ascii="Arial" w:hAnsi="Arial" w:cs="Arial"/>
          <w:sz w:val="22"/>
          <w:szCs w:val="22"/>
          <w:lang w:val="es-AR"/>
        </w:rPr>
        <w:t xml:space="preserve">ANEP (2015), Proyecto de Presupuesto 2015-2019, Tomo 1, Exposición de Motivos. </w:t>
      </w:r>
    </w:p>
    <w:p w:rsidR="00085977" w:rsidRDefault="00A965AF" w:rsidP="00A965AF">
      <w:pPr>
        <w:pStyle w:val="Paragraph"/>
        <w:widowControl w:val="0"/>
        <w:numPr>
          <w:ilvl w:val="0"/>
          <w:numId w:val="2"/>
        </w:numPr>
        <w:spacing w:before="0" w:after="0"/>
        <w:ind w:hanging="720"/>
        <w:rPr>
          <w:rFonts w:ascii="Arial" w:hAnsi="Arial" w:cs="Arial"/>
          <w:sz w:val="22"/>
          <w:szCs w:val="22"/>
          <w:lang w:val="es-AR"/>
        </w:rPr>
      </w:pPr>
      <w:r w:rsidRPr="00A965AF">
        <w:rPr>
          <w:rFonts w:ascii="Arial" w:hAnsi="Arial" w:cs="Arial"/>
          <w:spacing w:val="-3"/>
          <w:sz w:val="22"/>
          <w:szCs w:val="22"/>
          <w:lang w:val="es-AR"/>
        </w:rPr>
        <w:t>La EM se compone de dos niveles: (i) media básica (EMB), de 12 a 14 años y (ii) media superior (EMS), de 15 a 17 años. Incluye la educación secundaria general, bajo responsabilidad del Consejo de Educación Secundaria, y la educación técnica, bajo responsabilidad del Consejo de Educación Técnico Profesional. Para mayor descripción de la arquitectura institucional del sistema educativo uruguayo ver párrafo</w:t>
      </w:r>
      <w:r w:rsidRPr="00A965AF">
        <w:rPr>
          <w:rFonts w:ascii="Arial" w:hAnsi="Arial" w:cs="Arial"/>
          <w:spacing w:val="-3"/>
          <w:sz w:val="22"/>
          <w:szCs w:val="22"/>
          <w:lang w:val="es-AR"/>
        </w:rPr>
        <w:fldChar w:fldCharType="begin"/>
      </w:r>
      <w:r w:rsidRPr="00A965AF">
        <w:rPr>
          <w:rFonts w:ascii="Arial" w:hAnsi="Arial" w:cs="Arial"/>
          <w:spacing w:val="-3"/>
          <w:sz w:val="22"/>
          <w:szCs w:val="22"/>
          <w:lang w:val="es-AR"/>
        </w:rPr>
        <w:instrText xml:space="preserve"> REF _Ref456622614 \r \h  \* MERGEFORMAT </w:instrText>
      </w:r>
      <w:r w:rsidRPr="00A965AF">
        <w:rPr>
          <w:rFonts w:ascii="Arial" w:hAnsi="Arial" w:cs="Arial"/>
          <w:spacing w:val="-3"/>
          <w:sz w:val="22"/>
          <w:szCs w:val="22"/>
          <w:lang w:val="es-AR"/>
        </w:rPr>
      </w:r>
      <w:r w:rsidRPr="00A965AF">
        <w:rPr>
          <w:rFonts w:ascii="Arial" w:hAnsi="Arial" w:cs="Arial"/>
          <w:spacing w:val="-3"/>
          <w:sz w:val="22"/>
          <w:szCs w:val="22"/>
          <w:lang w:val="es-AR"/>
        </w:rPr>
        <w:fldChar w:fldCharType="separate"/>
      </w:r>
      <w:r w:rsidRPr="00A965AF">
        <w:rPr>
          <w:rFonts w:ascii="Arial" w:hAnsi="Arial" w:cs="Arial"/>
          <w:spacing w:val="-3"/>
          <w:sz w:val="22"/>
          <w:szCs w:val="22"/>
          <w:lang w:val="es-AR"/>
        </w:rPr>
        <w:t>1.9</w:t>
      </w:r>
      <w:r w:rsidRPr="00A965AF">
        <w:rPr>
          <w:rFonts w:ascii="Arial" w:hAnsi="Arial" w:cs="Arial"/>
          <w:spacing w:val="-3"/>
          <w:sz w:val="22"/>
          <w:szCs w:val="22"/>
          <w:lang w:val="es-AR"/>
        </w:rPr>
        <w:fldChar w:fldCharType="end"/>
      </w:r>
      <w:r w:rsidRPr="00A965AF">
        <w:rPr>
          <w:rFonts w:ascii="Arial" w:hAnsi="Arial" w:cs="Arial"/>
          <w:spacing w:val="-3"/>
          <w:sz w:val="22"/>
          <w:szCs w:val="22"/>
          <w:lang w:val="es-AR"/>
        </w:rPr>
        <w:t xml:space="preserve">. La educación obligatoria incluye: el </w:t>
      </w:r>
      <w:r w:rsidRPr="00A965AF">
        <w:rPr>
          <w:rFonts w:ascii="Arial" w:hAnsi="Arial" w:cs="Arial"/>
          <w:sz w:val="22"/>
          <w:szCs w:val="22"/>
          <w:lang w:val="es-AR"/>
        </w:rPr>
        <w:t>nivel inicial (4 y 5 años de edad), la educación primaria (6 grados), la EMB (grados 7-9) y la EMS (grados 10-12).</w:t>
      </w:r>
    </w:p>
    <w:p w:rsidR="00A965AF" w:rsidRPr="00085977" w:rsidRDefault="00A965AF" w:rsidP="00085977">
      <w:pPr>
        <w:pStyle w:val="Paragraph"/>
        <w:widowControl w:val="0"/>
        <w:numPr>
          <w:ilvl w:val="0"/>
          <w:numId w:val="2"/>
        </w:numPr>
        <w:spacing w:before="0" w:after="0"/>
        <w:ind w:hanging="720"/>
        <w:rPr>
          <w:rFonts w:ascii="Arial" w:hAnsi="Arial" w:cs="Arial"/>
          <w:spacing w:val="-3"/>
          <w:sz w:val="22"/>
          <w:szCs w:val="22"/>
          <w:lang w:val="es-AR"/>
        </w:rPr>
      </w:pPr>
      <w:r w:rsidRPr="00085977">
        <w:rPr>
          <w:rFonts w:ascii="Arial" w:hAnsi="Arial" w:cs="Arial"/>
          <w:spacing w:val="-3"/>
          <w:sz w:val="22"/>
          <w:szCs w:val="22"/>
          <w:lang w:val="es-AR"/>
        </w:rPr>
        <w:t>Uruguay fijó la meta de cobertura universal del ciclo medio básico en 1973 y del ciclo medio superior en 2008. BID (2015). Nota Sectorial de Educación 2015-2018. Uruguay.</w:t>
      </w:r>
    </w:p>
    <w:p w:rsidR="00A965AF" w:rsidRPr="00151514" w:rsidRDefault="00A965AF" w:rsidP="00151514">
      <w:pPr>
        <w:pStyle w:val="FootnoteText"/>
        <w:keepNext w:val="0"/>
        <w:widowControl w:val="0"/>
        <w:numPr>
          <w:ilvl w:val="0"/>
          <w:numId w:val="2"/>
        </w:numPr>
        <w:spacing w:after="0"/>
        <w:ind w:hanging="720"/>
        <w:rPr>
          <w:rStyle w:val="FootnoteReference"/>
          <w:rFonts w:ascii="Arial" w:hAnsi="Arial" w:cs="Arial"/>
          <w:sz w:val="22"/>
          <w:szCs w:val="22"/>
          <w:vertAlign w:val="baseline"/>
          <w:lang w:val="es-ES_tradnl"/>
        </w:rPr>
      </w:pPr>
      <w:r w:rsidRPr="00A965AF">
        <w:rPr>
          <w:rFonts w:ascii="Arial" w:hAnsi="Arial" w:cs="Arial"/>
          <w:sz w:val="22"/>
          <w:szCs w:val="22"/>
          <w:lang w:val="es-AR"/>
        </w:rPr>
        <w:t>Centro de Información para la Mejora de los Aprendizajes (CIMA), BID.</w:t>
      </w:r>
      <w:r w:rsidRPr="00A965AF">
        <w:rPr>
          <w:rFonts w:ascii="Arial" w:hAnsi="Arial" w:cs="Arial"/>
          <w:sz w:val="22"/>
          <w:szCs w:val="22"/>
          <w:lang w:val="es-ES_tradnl"/>
        </w:rPr>
        <w:t xml:space="preserve">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 xml:space="preserve">Este es el porcentaje de estudiantes de 15 años con desempeño inferior a 2, que en lectura significa que no pueden interpretar y reconocer preguntas que requieren más que una inferencia indirecta y en matemáticas que no pueden usar algoritmos básicos, formulas o procedimientos para resolver problemas usando números enteros ni interpretar resultados literalmente. Bos, S. et al. (2014). América Latina en PISA 2012. Brief #1: ¿Cómo le fue a la región? BID.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Datos de CIMA, BID para el año 2013.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Bos, S et al. (2014). América Latina en Pisa. Brief #6: ¿Cómo se desempeñan los estudiantes pobres y ricos? BID.</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BID (2015).</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lang w:val="es-ES_tradnl"/>
        </w:rPr>
        <w:t xml:space="preserve">Los países de alto desarrollo humano dedican 690 horas de clase al año a los estudiantes, en promedio, desde la educación primaria a la media-superior, y los de alto desarrollo humano destinan 774 horas. Ver Aristimuño y de Armas (2012). La transformación de la educación media en perspectiva comparada. Tendencias y experiencias innovadoras para el debate en Uruguay. Colección Innovar en Educación. </w:t>
      </w:r>
      <w:r w:rsidRPr="00A965AF">
        <w:rPr>
          <w:rFonts w:ascii="Arial" w:hAnsi="Arial" w:cs="Arial"/>
          <w:sz w:val="22"/>
          <w:szCs w:val="22"/>
        </w:rPr>
        <w:t>Montevideo: UNICEF, citado en</w:t>
      </w:r>
      <w:r w:rsidRPr="00A965AF">
        <w:rPr>
          <w:rFonts w:ascii="Arial" w:hAnsi="Arial" w:cs="Arial"/>
          <w:sz w:val="22"/>
          <w:szCs w:val="22"/>
          <w:lang w:eastAsia="es-UY"/>
        </w:rPr>
        <w:t xml:space="preserve"> </w:t>
      </w:r>
      <w:r w:rsidRPr="00A965AF">
        <w:rPr>
          <w:rFonts w:ascii="Arial" w:hAnsi="Arial" w:cs="Arial"/>
          <w:sz w:val="22"/>
          <w:szCs w:val="22"/>
        </w:rPr>
        <w:t>BID (2015).</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rPr>
        <w:t>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rPr>
        <w:t>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rPr>
        <w:t>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rPr>
        <w:t>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lang w:val="es-ES_tradnl"/>
        </w:rPr>
        <w:t xml:space="preserve">Según el último Censo Docente (2007), 65,7% de los docentes de secundaria (CES) poseían título docente y en el caso de la educación técnico-profesional (CETP) el porcentaje llegaba solo a 44,3%. Entre los no titulados, la gran mayoría son docentes que no cuentan con otro título terciario. </w:t>
      </w:r>
      <w:r w:rsidRPr="00A965AF">
        <w:rPr>
          <w:rFonts w:ascii="Arial" w:hAnsi="Arial" w:cs="Arial"/>
          <w:sz w:val="22"/>
          <w:szCs w:val="22"/>
        </w:rPr>
        <w:t>Ver INEED (2014).</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rPr>
        <w:t>Apenas 8,7% de los docentes trabajan en un único CE (INEED, 2014; BID, 2015), acentuando inequidades (ver Vegas, E.,et al, Teacher assignment, mobility and their impact on equity and quality of education in Uruguay 2006).</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 xml:space="preserve">Mancebo (2016). Estudio sobre los dispositivos de acompañamiento y sostenimiento, reingreso y relacionamiento con el mundo del trabajo. Informe de consultoría. BID.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Monitor Educativo de Primaria (</w:t>
      </w:r>
      <w:hyperlink r:id="rId7" w:history="1">
        <w:r w:rsidRPr="00A965AF">
          <w:rPr>
            <w:rStyle w:val="Hyperlink"/>
            <w:rFonts w:ascii="Arial" w:hAnsi="Arial" w:cs="Arial"/>
            <w:sz w:val="22"/>
            <w:szCs w:val="22"/>
            <w:lang w:val="es-AR"/>
          </w:rPr>
          <w:t>http://www.anep.edu.uy/portalmonitor/servlet/portada</w:t>
        </w:r>
      </w:hyperlink>
      <w:r w:rsidRPr="00A965AF">
        <w:rPr>
          <w:rFonts w:ascii="Arial" w:hAnsi="Arial" w:cs="Arial"/>
          <w:sz w:val="22"/>
          <w:szCs w:val="22"/>
          <w:lang w:val="es-AR"/>
        </w:rPr>
        <w:t>) y Sistema de Evaluación en Linea de Primaria (http://www.anep.edu.uy/sea/).</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Monitor Liceal (</w:t>
      </w:r>
      <w:hyperlink r:id="rId8" w:history="1">
        <w:r w:rsidRPr="00A965AF">
          <w:rPr>
            <w:rStyle w:val="Hyperlink"/>
            <w:rFonts w:ascii="Arial" w:hAnsi="Arial" w:cs="Arial"/>
            <w:sz w:val="22"/>
            <w:szCs w:val="22"/>
            <w:lang w:val="es-AR"/>
          </w:rPr>
          <w:t>http://www.anep.edu.uy/monitorces/servlet/portada</w:t>
        </w:r>
      </w:hyperlink>
      <w:r w:rsidRPr="00A965AF">
        <w:rPr>
          <w:rFonts w:ascii="Arial" w:hAnsi="Arial" w:cs="Arial"/>
          <w:sz w:val="22"/>
          <w:szCs w:val="22"/>
          <w:lang w:val="es-AR"/>
        </w:rPr>
        <w:t>), que cubre el sólo los CE del CES.</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AR"/>
        </w:rPr>
        <w:lastRenderedPageBreak/>
        <w:t xml:space="preserve">2480/OC-UR y </w:t>
      </w:r>
      <w:r w:rsidRPr="00A965AF">
        <w:rPr>
          <w:rFonts w:ascii="Arial" w:hAnsi="Arial" w:cs="Arial"/>
          <w:sz w:val="22"/>
          <w:szCs w:val="22"/>
          <w:lang w:val="es-ES_tradnl"/>
        </w:rPr>
        <w:t xml:space="preserve">Cooperación Técnica de Apoyo para el establecimiento de una Gestión por Resultados en la ANEP (UR-T1108, </w:t>
      </w:r>
      <w:r w:rsidRPr="00A965AF">
        <w:rPr>
          <w:rFonts w:ascii="Arial" w:hAnsi="Arial" w:cs="Arial"/>
          <w:sz w:val="22"/>
          <w:szCs w:val="22"/>
          <w:lang w:val="es-AR"/>
        </w:rPr>
        <w:t>USD 0,5M</w:t>
      </w:r>
      <w:r w:rsidRPr="00A965AF">
        <w:rPr>
          <w:rFonts w:ascii="Arial" w:hAnsi="Arial" w:cs="Arial"/>
          <w:sz w:val="22"/>
          <w:szCs w:val="22"/>
          <w:lang w:val="es-ES_tradnl"/>
        </w:rPr>
        <w:t>) que tiene por objetivo contribuir a la mejora de su gestión a través del establecimiento de una Gestión para Resultados en el Desarrollo en particular de un Presupuesto por Programas. En ese marco se mejoró la calidad de la información sobre los salarios, gastos e inversiones por centro educativo, modalidades educativas, departamentos, regiones y Consejos.</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Estado de implementación y desafíos para los sistemas de administración de recursos de ANEP y sus desconcentrados. Gerardo Uña (2016).</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Uña (2016). Estas actividades fueron también apoyadas con la cooperación técnica UR-T1108.</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Se destacan Tránsito entre Ciclos Educativos, Liceos con horas de tutoría, Promejora, Interfase, Compromiso Educativo, Uruguay Estudia, FPB y Rumbo. INEED (2014) y ANEP-CODICEN (2014), Dispositivos: acompañamiento y sostenimiento, reingreso y relacionamiento mundo trabajo.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Sólo 7 de estos programas fueron evaluados entre 2008 y 2013, 9 cuentan con alguna práctica de monitoreo y apenas 6 utilizan regularmente informes de actividad basados en registros administrativos. INEED (2014) y Cuatro evaluaciones de proyectos de inclusión educativa implementados en educación media, </w:t>
      </w:r>
      <w:r w:rsidRPr="00A965AF">
        <w:rPr>
          <w:rFonts w:ascii="Arial" w:eastAsiaTheme="minorHAnsi" w:hAnsi="Arial" w:cs="Arial"/>
          <w:sz w:val="22"/>
          <w:szCs w:val="22"/>
          <w:lang w:val="es-ES_tradnl"/>
        </w:rPr>
        <w:t>Dirección de Investigación, Evaluación y Estadística</w:t>
      </w:r>
      <w:r w:rsidRPr="00A965AF">
        <w:rPr>
          <w:rFonts w:ascii="Arial" w:hAnsi="Arial" w:cs="Arial"/>
          <w:sz w:val="22"/>
          <w:szCs w:val="22"/>
          <w:lang w:val="es-AR"/>
        </w:rPr>
        <w:t xml:space="preserve"> (DIEE), 2015.</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AR"/>
        </w:rPr>
        <w:t xml:space="preserve">La evidencia indica que una mejor dotación de infraestructura contribuye a obtener resultados académicos, Duarte J., C. Gargiulo, y M. Moreno. 2011. “Situación de la Infraestructura Escolar y Calidad de la EB en América Latina: Un análisis a partir del SERCE”. SCL/EDU, Nota Técnica. Washington D.C.: Banco Interamericano de Desarrollo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UY"/>
        </w:rPr>
      </w:pPr>
      <w:r w:rsidRPr="00A965AF">
        <w:rPr>
          <w:rFonts w:ascii="Arial" w:hAnsi="Arial" w:cs="Arial"/>
          <w:sz w:val="22"/>
          <w:szCs w:val="22"/>
          <w:lang w:val="es-AR"/>
        </w:rPr>
        <w:t xml:space="preserve">La priorización de las obras fueron realizadas en base a un índice geo-estadístico que permitió </w:t>
      </w:r>
      <w:r w:rsidRPr="00A965AF">
        <w:rPr>
          <w:rFonts w:ascii="Arial" w:hAnsi="Arial" w:cs="Arial"/>
          <w:sz w:val="22"/>
          <w:szCs w:val="22"/>
          <w:lang w:val="es-UY"/>
        </w:rPr>
        <w:t xml:space="preserve">identificar zonas en las que la oferta educativa es insuficiente basándose en la combinación de indicadores como la evolución de la población en edad escolar, la evolución de la matrícula, la ubicación de los centros educativos e indicadores de cobertura. </w:t>
      </w:r>
      <w:r w:rsidRPr="00A965AF">
        <w:rPr>
          <w:rFonts w:ascii="Arial" w:hAnsi="Arial" w:cs="Arial"/>
          <w:sz w:val="22"/>
          <w:szCs w:val="22"/>
          <w:lang w:val="es-ES_tradnl"/>
        </w:rPr>
        <w:t xml:space="preserve">ANEP. 2014 y </w:t>
      </w:r>
      <w:r w:rsidRPr="00A965AF">
        <w:rPr>
          <w:rFonts w:ascii="Arial" w:hAnsi="Arial" w:cs="Arial"/>
          <w:sz w:val="22"/>
          <w:szCs w:val="22"/>
          <w:lang w:val="es-UY"/>
        </w:rPr>
        <w:t>Elaboración del Plan de Obras 2016-2020 y ANEP, 2015.</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44 jardines, 49 escuelas, 38 liceos, 9 centros de formación profesional y 10 gimnasios.</w:t>
      </w:r>
      <w:r w:rsidRPr="00A965AF">
        <w:rPr>
          <w:rFonts w:ascii="Arial" w:hAnsi="Arial" w:cs="Arial"/>
          <w:sz w:val="22"/>
          <w:szCs w:val="22"/>
          <w:lang w:val="es-AR"/>
        </w:rPr>
        <w:t xml:space="preserve"> </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 xml:space="preserve">ANEP (2015), Proyecto de Presupuesto 2015-2019, Tomo 1, Exposición de Motivos </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Ley No. 18.786 de 19 de julio de 2011 de Contratos de PPP para la Realización de Obras de Infraestructura y Prestación de Servicios Conexos. Durante 2013 y 2014 se llevaron adelante dos proyectos de PPP pilotos en Uruguay impulsados por el Ministerio del Interior (construcción y operación de una cárcel) y el de Transportes y Obras Públicas (rehabilitación de rutas).</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 xml:space="preserve">Incluía acciones para el fortalecimiento de la FI y formación en servicio desarrolladas por el CFE. </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Consultora CIFRA (2012) Estudio de los factores que influyen en la carreras de formación docente.</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DIEE (2015): Cuatro evaluaciones de proyectos de inclusión educativa implementados en educación media, Documento de trabajo para la discusión y DIEE Departamento de Investigación y Estadística Educativa División de Investigación, Evaluación y Estadística (2015), Implementación Proyecto Interfase 2011-2014.</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DIEE (2014): Experiencias de articulación CES-CETP en EM. Estudio de Casos.</w:t>
      </w:r>
    </w:p>
    <w:p w:rsidR="00A965AF" w:rsidRPr="00A965AF" w:rsidRDefault="00A965AF" w:rsidP="00A965AF">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eastAsiaTheme="minorHAnsi" w:hAnsi="Arial" w:cs="Arial"/>
          <w:sz w:val="22"/>
          <w:szCs w:val="22"/>
          <w:lang w:val="es-ES_tradnl"/>
        </w:rPr>
        <w:t>DIEE (2014). Informe: Evaluación de Medio término, infraestructura PAEMFE. Adicionalmente, PAEMFE financió una investigación sobre infraestructura educativa y su impacto en aprendizajes, cuyas conclusiones y recomendaciones respecto a los procesos de ejecución de obra serán consideradas en este programa.</w:t>
      </w:r>
    </w:p>
    <w:p w:rsidR="00A965AF" w:rsidRPr="00151514" w:rsidRDefault="00A965AF" w:rsidP="00151514">
      <w:pPr>
        <w:pStyle w:val="FootnoteText"/>
        <w:keepNext w:val="0"/>
        <w:widowControl w:val="0"/>
        <w:numPr>
          <w:ilvl w:val="0"/>
          <w:numId w:val="2"/>
        </w:numPr>
        <w:spacing w:after="0"/>
        <w:ind w:hanging="720"/>
        <w:rPr>
          <w:rFonts w:ascii="Arial" w:eastAsiaTheme="minorHAnsi" w:hAnsi="Arial" w:cs="Arial"/>
          <w:sz w:val="22"/>
          <w:szCs w:val="22"/>
          <w:lang w:val="es-ES_tradnl"/>
        </w:rPr>
      </w:pPr>
      <w:r w:rsidRPr="00A965AF">
        <w:rPr>
          <w:rFonts w:ascii="Arial" w:hAnsi="Arial" w:cs="Arial"/>
          <w:sz w:val="22"/>
          <w:szCs w:val="22"/>
          <w:lang w:val="es-ES_tradnl"/>
        </w:rPr>
        <w:lastRenderedPageBreak/>
        <w:t xml:space="preserve">Las clases se realizan a través de una metodología de enseñanza remota mediante video conferencia. </w:t>
      </w:r>
      <w:r w:rsidRPr="00A965AF">
        <w:rPr>
          <w:rFonts w:ascii="Arial" w:eastAsiaTheme="minorHAnsi" w:hAnsi="Arial" w:cs="Arial"/>
          <w:sz w:val="22"/>
          <w:szCs w:val="22"/>
          <w:lang w:val="es-ES_tradnl"/>
        </w:rPr>
        <w:t>El programa provee soporte en materiales digitales que se acompañan por materiales impresos que se usan en las clases. La tecnología utilizada, disponible en todos los CE públicos, es de alta calidad: pantalla gigante de alta definición, sonido estéreo, plataforma digital especializada para la inclusión de materiales digitales en la clase remota, materiales de apoyo diseñados para uso intensivo y conexión a internet por fibra óptica.</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Acta 32, resolución 8, ANEP. Mayo 2016. Se crea una CD por cada departamento, excepto para Canelones y Montevideo que contarán con 3 cada uno.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Las UCDIEs (una por departamento), fueron creadas por Acta 96, resolución 10, ANEP de Diciembre de 2015 y dependen de la Dirección Sectorial de Integración Educativa, creada por Acta 15, resolución, 46 ANEP de mayo de 2015. </w:t>
      </w:r>
    </w:p>
    <w:p w:rsidR="00A965AF" w:rsidRPr="00A965AF" w:rsidRDefault="00A965AF" w:rsidP="00A965AF">
      <w:pPr>
        <w:pStyle w:val="FootnoteText"/>
        <w:keepNext w:val="0"/>
        <w:widowControl w:val="0"/>
        <w:numPr>
          <w:ilvl w:val="0"/>
          <w:numId w:val="2"/>
        </w:numPr>
        <w:spacing w:after="0"/>
        <w:ind w:hanging="720"/>
        <w:rPr>
          <w:rFonts w:ascii="Arial" w:hAnsi="Arial" w:cs="Arial"/>
          <w:spacing w:val="0"/>
          <w:sz w:val="22"/>
          <w:szCs w:val="22"/>
        </w:rPr>
      </w:pPr>
      <w:r w:rsidRPr="00A965AF">
        <w:rPr>
          <w:rFonts w:ascii="Arial" w:hAnsi="Arial" w:cs="Arial"/>
          <w:spacing w:val="0"/>
          <w:sz w:val="22"/>
          <w:szCs w:val="22"/>
        </w:rPr>
        <w:t>L</w:t>
      </w:r>
      <w:r w:rsidRPr="00A965AF">
        <w:rPr>
          <w:rFonts w:ascii="Arial" w:hAnsi="Arial" w:cs="Arial"/>
          <w:bCs/>
          <w:spacing w:val="0"/>
          <w:sz w:val="22"/>
          <w:szCs w:val="22"/>
        </w:rPr>
        <w:t xml:space="preserve">eithwood, K. (2013). Strong districts and their leadership: </w:t>
      </w:r>
      <w:r w:rsidRPr="00A965AF">
        <w:rPr>
          <w:rFonts w:ascii="Arial" w:hAnsi="Arial" w:cs="Arial"/>
          <w:spacing w:val="0"/>
          <w:sz w:val="22"/>
          <w:szCs w:val="22"/>
        </w:rPr>
        <w:t>A paper commissioned by</w:t>
      </w:r>
      <w:r w:rsidRPr="00A965AF">
        <w:rPr>
          <w:rFonts w:ascii="Arial" w:hAnsi="Arial" w:cs="Arial"/>
          <w:bCs/>
          <w:spacing w:val="0"/>
          <w:sz w:val="22"/>
          <w:szCs w:val="22"/>
        </w:rPr>
        <w:t xml:space="preserve"> </w:t>
      </w:r>
      <w:r w:rsidRPr="00A965AF">
        <w:rPr>
          <w:rFonts w:ascii="Arial" w:hAnsi="Arial" w:cs="Arial"/>
          <w:iCs/>
          <w:spacing w:val="0"/>
          <w:sz w:val="22"/>
          <w:szCs w:val="22"/>
        </w:rPr>
        <w:t>the Council of Ontario Directors of Education</w:t>
      </w:r>
      <w:r w:rsidRPr="00A965AF">
        <w:rPr>
          <w:rFonts w:ascii="Arial" w:hAnsi="Arial" w:cs="Arial"/>
          <w:bCs/>
          <w:spacing w:val="0"/>
          <w:sz w:val="22"/>
          <w:szCs w:val="22"/>
        </w:rPr>
        <w:t xml:space="preserve"> </w:t>
      </w:r>
      <w:r w:rsidRPr="00A965AF">
        <w:rPr>
          <w:rFonts w:ascii="Arial" w:hAnsi="Arial" w:cs="Arial"/>
          <w:spacing w:val="0"/>
          <w:sz w:val="22"/>
          <w:szCs w:val="22"/>
        </w:rPr>
        <w:t xml:space="preserve">and </w:t>
      </w:r>
      <w:r w:rsidRPr="00A965AF">
        <w:rPr>
          <w:rFonts w:ascii="Arial" w:hAnsi="Arial" w:cs="Arial"/>
          <w:iCs/>
          <w:spacing w:val="0"/>
          <w:sz w:val="22"/>
          <w:szCs w:val="22"/>
        </w:rPr>
        <w:t>The Institute for Education Leadership.</w:t>
      </w:r>
    </w:p>
    <w:p w:rsidR="00A965AF" w:rsidRPr="00A965AF" w:rsidRDefault="00A965AF" w:rsidP="00A965AF">
      <w:pPr>
        <w:pStyle w:val="ListParagraph"/>
        <w:widowControl w:val="0"/>
        <w:numPr>
          <w:ilvl w:val="0"/>
          <w:numId w:val="2"/>
        </w:numPr>
        <w:autoSpaceDE w:val="0"/>
        <w:autoSpaceDN w:val="0"/>
        <w:adjustRightInd w:val="0"/>
        <w:ind w:hanging="720"/>
        <w:jc w:val="both"/>
        <w:rPr>
          <w:rFonts w:ascii="Arial" w:hAnsi="Arial" w:cs="Arial"/>
          <w:sz w:val="22"/>
          <w:szCs w:val="22"/>
        </w:rPr>
      </w:pPr>
      <w:r w:rsidRPr="00A965AF">
        <w:rPr>
          <w:rFonts w:ascii="Arial" w:hAnsi="Arial" w:cs="Arial"/>
          <w:sz w:val="22"/>
          <w:szCs w:val="22"/>
        </w:rPr>
        <w:t xml:space="preserve">Honig, M. I., Copland, M. A., Rainey, L., Lorton, J. A., &amp; Newton, M. (2010). School district central office transformation for teaching and learning improvement: A report to the Wallace Foundation. Seattle, WA: The Center for the Study of Teaching and Policy; Childress, S., Elmore, R.F., Grossman, A. and Johnson, S.M. (Eds.) (2007). Managing School Districts for High Performance: Cases in Public Education Leadership. Cambridge, MA: Harvard Education Press. </w:t>
      </w:r>
    </w:p>
    <w:p w:rsidR="00A965AF" w:rsidRPr="00A965AF" w:rsidRDefault="00A965AF" w:rsidP="00A965AF">
      <w:pPr>
        <w:pStyle w:val="ListParagraph"/>
        <w:widowControl w:val="0"/>
        <w:numPr>
          <w:ilvl w:val="0"/>
          <w:numId w:val="2"/>
        </w:numPr>
        <w:autoSpaceDE w:val="0"/>
        <w:autoSpaceDN w:val="0"/>
        <w:adjustRightInd w:val="0"/>
        <w:ind w:hanging="720"/>
        <w:jc w:val="both"/>
        <w:rPr>
          <w:rFonts w:ascii="Arial" w:hAnsi="Arial" w:cs="Arial"/>
          <w:sz w:val="22"/>
          <w:szCs w:val="22"/>
          <w:lang w:val="es-ES_tradnl"/>
        </w:rPr>
      </w:pPr>
      <w:r w:rsidRPr="00A965AF">
        <w:rPr>
          <w:rFonts w:ascii="Arial" w:hAnsi="Arial" w:cs="Arial"/>
          <w:sz w:val="22"/>
          <w:szCs w:val="22"/>
          <w:lang w:val="de-AT"/>
        </w:rPr>
        <w:t xml:space="preserve">Louis, K. S., Leithwood, K., Wahlstrom, K., Anderson, S. (2010). </w:t>
      </w:r>
      <w:r w:rsidRPr="00A965AF">
        <w:rPr>
          <w:rFonts w:ascii="Arial" w:hAnsi="Arial" w:cs="Arial"/>
          <w:sz w:val="22"/>
          <w:szCs w:val="22"/>
        </w:rPr>
        <w:t xml:space="preserve">Learning from leadership: Investigating the links to improved student learning. </w:t>
      </w:r>
      <w:r w:rsidRPr="00A965AF">
        <w:rPr>
          <w:rFonts w:ascii="Arial" w:hAnsi="Arial" w:cs="Arial"/>
          <w:sz w:val="22"/>
          <w:szCs w:val="22"/>
          <w:lang w:val="es-ES_tradnl"/>
        </w:rPr>
        <w:t xml:space="preserve">New York: The Wallace Foundation.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 xml:space="preserve">Whitehurst (2009) compara el tamaño de los efectos (obtenidos a partir de evaluaciones de impacto rigurosas) de reformas curriculares en aprendizajes y progresión escolar con los efectos de otras intervenciones educativas populares (escuelas charter, renovación de la fuerza docente, programas de prescolar), y encuentra que los efectos de reformas curriculares son más grandes que los de la mayoría de estas otras intervenciones. </w:t>
      </w:r>
      <w:r w:rsidRPr="00A965AF">
        <w:rPr>
          <w:rFonts w:ascii="Arial" w:hAnsi="Arial" w:cs="Arial"/>
          <w:sz w:val="22"/>
          <w:szCs w:val="22"/>
        </w:rPr>
        <w:t xml:space="preserve">Ver Whitehurst, G. (2009). </w:t>
      </w:r>
      <w:r w:rsidRPr="00A965AF">
        <w:rPr>
          <w:rFonts w:ascii="Arial" w:hAnsi="Arial" w:cs="Arial"/>
          <w:i/>
          <w:sz w:val="22"/>
          <w:szCs w:val="22"/>
        </w:rPr>
        <w:t>Don’t forget curriculum</w:t>
      </w:r>
      <w:r w:rsidRPr="00A965AF">
        <w:rPr>
          <w:rFonts w:ascii="Arial" w:hAnsi="Arial" w:cs="Arial"/>
          <w:sz w:val="22"/>
          <w:szCs w:val="22"/>
        </w:rPr>
        <w:t xml:space="preserve">. Brown Center Letters on Education. </w:t>
      </w:r>
      <w:r w:rsidRPr="00A965AF">
        <w:rPr>
          <w:rFonts w:ascii="Arial" w:hAnsi="Arial" w:cs="Arial"/>
          <w:sz w:val="22"/>
          <w:szCs w:val="22"/>
          <w:lang w:val="es-ES_tradnl"/>
        </w:rPr>
        <w:t>Washington, DC: Brookings Institution.</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Ver la revisión de literatura incluida en el Plan de Monitoreo y Evaluación (</w:t>
      </w:r>
      <w:hyperlink r:id="rId9" w:history="1">
        <w:r w:rsidRPr="00675020">
          <w:rPr>
            <w:rStyle w:val="Hyperlink"/>
            <w:rFonts w:ascii="Arial" w:hAnsi="Arial" w:cs="Arial"/>
            <w:sz w:val="22"/>
            <w:szCs w:val="22"/>
            <w:lang w:val="es-ES_tradnl"/>
          </w:rPr>
          <w:t>EER 3</w:t>
        </w:r>
      </w:hyperlink>
      <w:bookmarkStart w:id="0" w:name="_GoBack"/>
      <w:bookmarkEnd w:id="0"/>
      <w:r w:rsidRPr="00A965AF">
        <w:rPr>
          <w:rFonts w:ascii="Arial" w:hAnsi="Arial" w:cs="Arial"/>
          <w:sz w:val="22"/>
          <w:szCs w:val="22"/>
          <w:lang w:val="es-ES_tradnl"/>
        </w:rPr>
        <w:t xml:space="preserve">).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 xml:space="preserve">Se utilizará la metodología mencionada en el párrafo </w:t>
      </w:r>
      <w:r w:rsidRPr="00A965AF">
        <w:rPr>
          <w:rFonts w:ascii="Arial" w:hAnsi="Arial" w:cs="Arial"/>
          <w:sz w:val="22"/>
          <w:szCs w:val="22"/>
          <w:lang w:val="es-ES_tradnl"/>
        </w:rPr>
        <w:fldChar w:fldCharType="begin"/>
      </w:r>
      <w:r w:rsidRPr="00A965AF">
        <w:rPr>
          <w:rFonts w:ascii="Arial" w:hAnsi="Arial" w:cs="Arial"/>
          <w:sz w:val="22"/>
          <w:szCs w:val="22"/>
          <w:lang w:val="es-ES_tradnl"/>
        </w:rPr>
        <w:instrText xml:space="preserve"> REF _Ref457816094 \r \h  \* MERGEFORMAT </w:instrText>
      </w:r>
      <w:r w:rsidRPr="00A965AF">
        <w:rPr>
          <w:rFonts w:ascii="Arial" w:hAnsi="Arial" w:cs="Arial"/>
          <w:sz w:val="22"/>
          <w:szCs w:val="22"/>
          <w:lang w:val="es-ES_tradnl"/>
        </w:rPr>
      </w:r>
      <w:r w:rsidRPr="00A965AF">
        <w:rPr>
          <w:rFonts w:ascii="Arial" w:hAnsi="Arial" w:cs="Arial"/>
          <w:sz w:val="22"/>
          <w:szCs w:val="22"/>
          <w:lang w:val="es-ES_tradnl"/>
        </w:rPr>
        <w:fldChar w:fldCharType="separate"/>
      </w:r>
      <w:r w:rsidRPr="00A965AF">
        <w:rPr>
          <w:rFonts w:ascii="Arial" w:hAnsi="Arial" w:cs="Arial"/>
          <w:sz w:val="22"/>
          <w:szCs w:val="22"/>
          <w:lang w:val="es-ES_tradnl"/>
        </w:rPr>
        <w:t>1.14</w:t>
      </w:r>
      <w:r w:rsidRPr="00A965AF">
        <w:rPr>
          <w:rFonts w:ascii="Arial" w:hAnsi="Arial" w:cs="Arial"/>
          <w:sz w:val="22"/>
          <w:szCs w:val="22"/>
          <w:lang w:val="es-ES_tradnl"/>
        </w:rPr>
        <w:fldChar w:fldCharType="end"/>
      </w:r>
      <w:r w:rsidRPr="00A965AF">
        <w:rPr>
          <w:rFonts w:ascii="Arial" w:hAnsi="Arial" w:cs="Arial"/>
          <w:sz w:val="22"/>
          <w:szCs w:val="22"/>
          <w:lang w:val="es-ES_tradnl"/>
        </w:rPr>
        <w:t xml:space="preserve">, en una experiencia piloto que progresivamente alcanzará a 200 grupos de EMB y priorizará las disciplinas de matemáticas, ciencias naturales y lengua. </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AR"/>
        </w:rPr>
        <w:t xml:space="preserve">Ver </w:t>
      </w:r>
      <w:r w:rsidRPr="00A965AF">
        <w:rPr>
          <w:rFonts w:ascii="Arial" w:hAnsi="Arial" w:cs="Arial"/>
          <w:sz w:val="22"/>
          <w:szCs w:val="22"/>
          <w:lang w:val="es-ES_tradnl"/>
        </w:rPr>
        <w:t xml:space="preserve">Alliaud A. (coord). (2014). Los Sistemas de Formación Docente en el MERCOSUR. Planes de estudio y propuestas de formación continua. OEI y UNESCO-OREALC (2015). Las carreras docentes en América Latina: la acción meritocrática para el desarrollo profesional. </w:t>
      </w:r>
      <w:r w:rsidRPr="00A965AF">
        <w:rPr>
          <w:rFonts w:ascii="Arial" w:hAnsi="Arial" w:cs="Arial"/>
          <w:sz w:val="22"/>
          <w:szCs w:val="22"/>
          <w:lang w:val="es-AR"/>
        </w:rPr>
        <w:t xml:space="preserve">Boyd et al (2008) estudiaron el impacto de 31 planes de estudio de formación inicial docente en los aprendizajes de los estudiantes, y encontraron evidencia que los planes de estudio de la FI pueden afectar la calidad docente y que aquellos programas que tienen un mayor énfasis en el trabajo en el aula producen docentes que son más efectivos durante su primer año en la docencia. </w:t>
      </w:r>
      <w:r w:rsidRPr="00A965AF">
        <w:rPr>
          <w:rFonts w:ascii="Arial" w:hAnsi="Arial" w:cs="Arial"/>
          <w:sz w:val="22"/>
          <w:szCs w:val="22"/>
        </w:rPr>
        <w:t xml:space="preserve">Ver Boyd et al (2008). </w:t>
      </w:r>
      <w:r w:rsidRPr="00A965AF">
        <w:rPr>
          <w:rFonts w:ascii="Arial" w:hAnsi="Arial" w:cs="Arial"/>
          <w:i/>
          <w:sz w:val="22"/>
          <w:szCs w:val="22"/>
        </w:rPr>
        <w:t>Teacher preparation and student achievement</w:t>
      </w:r>
      <w:r w:rsidRPr="00A965AF">
        <w:rPr>
          <w:rFonts w:ascii="Arial" w:hAnsi="Arial" w:cs="Arial"/>
          <w:sz w:val="22"/>
          <w:szCs w:val="22"/>
        </w:rPr>
        <w:t xml:space="preserve">. NBER working paper 14314. </w:t>
      </w:r>
      <w:r w:rsidRPr="00A965AF">
        <w:rPr>
          <w:rFonts w:ascii="Arial" w:hAnsi="Arial" w:cs="Arial"/>
          <w:sz w:val="22"/>
          <w:szCs w:val="22"/>
          <w:lang w:val="es-AR"/>
        </w:rPr>
        <w:t>Cambridge, MA: NBER</w:t>
      </w:r>
      <w:r w:rsidRPr="00A965AF">
        <w:rPr>
          <w:rFonts w:ascii="Arial" w:hAnsi="Arial" w:cs="Arial"/>
          <w:sz w:val="22"/>
          <w:szCs w:val="22"/>
          <w:lang w:val="es-ES_tradnl"/>
        </w:rPr>
        <w:t>.</w:t>
      </w:r>
    </w:p>
    <w:p w:rsidR="00A965AF" w:rsidRPr="00085977" w:rsidRDefault="00A965AF" w:rsidP="00A965AF">
      <w:pPr>
        <w:pStyle w:val="FootnoteText"/>
        <w:keepNext w:val="0"/>
        <w:widowControl w:val="0"/>
        <w:numPr>
          <w:ilvl w:val="0"/>
          <w:numId w:val="2"/>
        </w:numPr>
        <w:spacing w:after="0"/>
        <w:ind w:hanging="720"/>
        <w:rPr>
          <w:rFonts w:ascii="Arial" w:hAnsi="Arial" w:cs="Arial"/>
          <w:sz w:val="22"/>
          <w:szCs w:val="22"/>
        </w:rPr>
      </w:pPr>
      <w:r w:rsidRPr="00A965AF">
        <w:rPr>
          <w:rFonts w:ascii="Arial" w:hAnsi="Arial" w:cs="Arial"/>
          <w:sz w:val="22"/>
          <w:szCs w:val="22"/>
          <w:lang w:val="es-ES_tradnl"/>
        </w:rPr>
        <w:t xml:space="preserve">CFE (Mayo 2016). Propuesta de Estructura Docente y OECD (2005). </w:t>
      </w:r>
      <w:r w:rsidRPr="00085977">
        <w:rPr>
          <w:rFonts w:ascii="Arial" w:hAnsi="Arial" w:cs="Arial"/>
          <w:sz w:val="22"/>
          <w:szCs w:val="22"/>
        </w:rPr>
        <w:t>Teachers Matter: Attracting, Developing and Retaining Effective Teachers.</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 xml:space="preserve">Los docentes nuevos que participan en programas de inducción y apoyo tienen mejor desempeño en la sala de aula y logran que los estudiantes tengan mejores resultados en las pruebas estandarizadas. </w:t>
      </w:r>
      <w:r w:rsidRPr="00A965AF">
        <w:rPr>
          <w:rFonts w:ascii="Arial" w:hAnsi="Arial" w:cs="Arial"/>
          <w:sz w:val="22"/>
          <w:szCs w:val="22"/>
        </w:rPr>
        <w:t xml:space="preserve">Ver Ingersoll, R. M. &amp; Strong, M. (2011). The impact of induction and mentoring programs for beginning teachers: A critical review of the research. </w:t>
      </w:r>
      <w:r w:rsidRPr="00A965AF">
        <w:rPr>
          <w:rFonts w:ascii="Arial" w:hAnsi="Arial" w:cs="Arial"/>
          <w:i/>
          <w:sz w:val="22"/>
          <w:szCs w:val="22"/>
          <w:lang w:val="es-AR"/>
        </w:rPr>
        <w:t>Review of Educational Research, 81</w:t>
      </w:r>
      <w:r w:rsidRPr="00A965AF">
        <w:rPr>
          <w:rFonts w:ascii="Arial" w:hAnsi="Arial" w:cs="Arial"/>
          <w:sz w:val="22"/>
          <w:szCs w:val="22"/>
          <w:lang w:val="es-AR"/>
        </w:rPr>
        <w:t>(2), 201-233.</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lastRenderedPageBreak/>
        <w:t xml:space="preserve">Abdul-Hamid (2014) resume las características que deben tener un sistema efectivo de información para la gestión educativa, y sintetiza estudios que relacionan los sistemas de información y monitoreo con aprendizajes. </w:t>
      </w:r>
      <w:r w:rsidRPr="00A965AF">
        <w:rPr>
          <w:rFonts w:ascii="Arial" w:hAnsi="Arial" w:cs="Arial"/>
          <w:sz w:val="22"/>
          <w:szCs w:val="22"/>
        </w:rPr>
        <w:t xml:space="preserve">Ver Abdul-Hamid, H. (2014). </w:t>
      </w:r>
      <w:r w:rsidRPr="00A965AF">
        <w:rPr>
          <w:rFonts w:ascii="Arial" w:hAnsi="Arial" w:cs="Arial"/>
          <w:i/>
          <w:sz w:val="22"/>
          <w:szCs w:val="22"/>
        </w:rPr>
        <w:t>What matters most for Education Management Information Systems: A framework paper</w:t>
      </w:r>
      <w:r w:rsidRPr="00A965AF">
        <w:rPr>
          <w:rFonts w:ascii="Arial" w:hAnsi="Arial" w:cs="Arial"/>
          <w:sz w:val="22"/>
          <w:szCs w:val="22"/>
        </w:rPr>
        <w:t xml:space="preserve">. </w:t>
      </w:r>
      <w:r w:rsidRPr="00A965AF">
        <w:rPr>
          <w:rFonts w:ascii="Arial" w:hAnsi="Arial" w:cs="Arial"/>
          <w:sz w:val="22"/>
          <w:szCs w:val="22"/>
          <w:lang w:val="es-ES_tradnl"/>
        </w:rPr>
        <w:t>SABER Working Paper Series 7. Washington, DC: The World Bank.</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AR"/>
        </w:rPr>
        <w:t>Observatorio de EM, Monitores Educativos para CES y CETP, Observatorio Educación-Trabajo (que incluye seguimiento de alumnos y egresados de CETP), Evaluación Formativa en Línea de los Resultados de Aprendizaje por CE de EM</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ES_tradnl"/>
        </w:rPr>
        <w:t xml:space="preserve">Louis, K. S., et al (2010) </w:t>
      </w:r>
      <w:r w:rsidRPr="00A965AF">
        <w:rPr>
          <w:rFonts w:ascii="Arial" w:hAnsi="Arial" w:cs="Arial"/>
          <w:sz w:val="22"/>
          <w:szCs w:val="22"/>
          <w:lang w:val="es-AR"/>
        </w:rPr>
        <w:t>Contarán con información oportuna para acompañar las trayectorias educativas, recibir alertas tempranas que permitan acciones para evitar la desvinculación y/o promover el reingreso al sistema educativo.</w:t>
      </w:r>
    </w:p>
    <w:p w:rsidR="00A965AF" w:rsidRPr="00151514" w:rsidRDefault="00A965AF" w:rsidP="00151514">
      <w:pPr>
        <w:pStyle w:val="FootnoteText"/>
        <w:keepNext w:val="0"/>
        <w:widowControl w:val="0"/>
        <w:numPr>
          <w:ilvl w:val="0"/>
          <w:numId w:val="2"/>
        </w:numPr>
        <w:spacing w:after="0"/>
        <w:ind w:hanging="720"/>
        <w:rPr>
          <w:rFonts w:ascii="Arial" w:hAnsi="Arial" w:cs="Arial"/>
          <w:sz w:val="22"/>
          <w:szCs w:val="22"/>
          <w:lang w:val="es-AR"/>
        </w:rPr>
      </w:pPr>
      <w:r w:rsidRPr="00A965AF">
        <w:rPr>
          <w:rFonts w:ascii="Arial" w:hAnsi="Arial" w:cs="Arial"/>
          <w:sz w:val="22"/>
          <w:szCs w:val="22"/>
          <w:lang w:val="es-ES_tradnl"/>
        </w:rPr>
        <w:t>El Plan de Fortalecimiento para la Protección de Trayectorias estará orientado a objetivos de retención y culminación de nivel; re-vinculación y mejora de los aprendizajes de los estudiantes en la EM. Además de la entrega de información, contempla: i) la creación de un fondo de promoción de actividades territoriales; ii), la coordinación con los CE para la implementación de acciones que acompañen y protejan las trayectorias; y iii) la incorporación de mecanismos periódicos de monitoreo a nivel local. Las actividades de apoyo a los CE implican la consolidación de los numerosos programas educativos complementarios actualmente existentes.</w:t>
      </w:r>
    </w:p>
    <w:p w:rsidR="00A965AF" w:rsidRPr="00542E73" w:rsidRDefault="00A965AF" w:rsidP="00151514">
      <w:pPr>
        <w:pStyle w:val="FootnoteText"/>
        <w:keepNext w:val="0"/>
        <w:widowControl w:val="0"/>
        <w:numPr>
          <w:ilvl w:val="0"/>
          <w:numId w:val="2"/>
        </w:numPr>
        <w:ind w:hanging="720"/>
        <w:rPr>
          <w:rFonts w:ascii="Arial" w:hAnsi="Arial" w:cs="Arial"/>
          <w:sz w:val="22"/>
          <w:szCs w:val="22"/>
          <w:lang w:val="es-ES_tradnl"/>
        </w:rPr>
      </w:pPr>
      <w:r w:rsidRPr="00A965AF">
        <w:rPr>
          <w:rFonts w:ascii="Arial" w:hAnsi="Arial" w:cs="Arial"/>
          <w:sz w:val="22"/>
          <w:szCs w:val="22"/>
          <w:lang w:val="es-ES_tradnl"/>
        </w:rPr>
        <w:t xml:space="preserve">ANEP </w:t>
      </w:r>
      <w:r w:rsidRPr="00A965AF">
        <w:rPr>
          <w:rFonts w:ascii="Arial" w:hAnsi="Arial" w:cs="Arial"/>
          <w:sz w:val="22"/>
          <w:szCs w:val="22"/>
          <w:lang w:val="es-AR"/>
        </w:rPr>
        <w:t>realizará 3 procesos licitatorios bajo esquema de APP, de los cuales el primero se iniciará en noviembre de 2016 y se prevé que los primeros centros empiecen su operación a inicios de 2019. Para la etapa de licitación ANEP contará con el apoyo de la Corporación Nacional para el Desarrollo en la estructuración de los procesos. Esta actividad financiará la organización de un área específica en ANEP para administrar esos contratos una vez entren en operación.</w:t>
      </w:r>
    </w:p>
    <w:p w:rsidR="00542E73" w:rsidRPr="00542E73" w:rsidRDefault="00542E73" w:rsidP="00542E73">
      <w:pPr>
        <w:pStyle w:val="FootnoteText"/>
        <w:keepNext w:val="0"/>
        <w:widowControl w:val="0"/>
        <w:numPr>
          <w:ilvl w:val="0"/>
          <w:numId w:val="2"/>
        </w:numPr>
        <w:ind w:hanging="720"/>
        <w:rPr>
          <w:rFonts w:ascii="Arial" w:hAnsi="Arial" w:cs="Arial"/>
          <w:sz w:val="22"/>
          <w:szCs w:val="22"/>
          <w:lang w:val="es-ES_tradnl"/>
        </w:rPr>
      </w:pPr>
      <w:r w:rsidRPr="00542E73">
        <w:rPr>
          <w:rFonts w:ascii="Arial" w:hAnsi="Arial" w:cs="Arial"/>
          <w:sz w:val="22"/>
          <w:szCs w:val="22"/>
          <w:lang w:val="es-ES_tradnl"/>
        </w:rPr>
        <w:t>UR-X1005, Programa de Apoyo a la Estrategia Nacional de Infancia y Adolescencia (ENIA).</w:t>
      </w:r>
    </w:p>
    <w:p w:rsidR="00A965AF" w:rsidRPr="00A965AF" w:rsidRDefault="00A965AF" w:rsidP="00A965AF">
      <w:pPr>
        <w:pStyle w:val="FootnoteText"/>
        <w:keepNext w:val="0"/>
        <w:widowControl w:val="0"/>
        <w:numPr>
          <w:ilvl w:val="0"/>
          <w:numId w:val="2"/>
        </w:numPr>
        <w:spacing w:after="0"/>
        <w:ind w:hanging="720"/>
        <w:rPr>
          <w:rFonts w:ascii="Arial" w:hAnsi="Arial" w:cs="Arial"/>
          <w:sz w:val="22"/>
          <w:szCs w:val="22"/>
          <w:lang w:val="es-ES_tradnl"/>
        </w:rPr>
      </w:pPr>
      <w:r w:rsidRPr="00A965AF">
        <w:rPr>
          <w:rFonts w:ascii="Arial" w:hAnsi="Arial" w:cs="Arial"/>
          <w:sz w:val="22"/>
          <w:szCs w:val="22"/>
          <w:lang w:val="es-ES_tradnl"/>
        </w:rPr>
        <w:t>Esta evaluación tendrá un foco especial en las cuestiones relacionadas al sistema de protección de trayectorias educativas y el rol de las CD y UCDIES.</w:t>
      </w:r>
    </w:p>
    <w:p w:rsidR="00EC5E90" w:rsidRPr="00A965AF" w:rsidRDefault="00EC5E90" w:rsidP="00A965AF">
      <w:pPr>
        <w:widowControl w:val="0"/>
        <w:ind w:hanging="720"/>
        <w:rPr>
          <w:lang w:val="es-ES_tradnl"/>
        </w:rPr>
      </w:pPr>
    </w:p>
    <w:sectPr w:rsidR="00EC5E90" w:rsidRPr="00A9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866075DC"/>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b w:val="0"/>
        <w:sz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20B9148D"/>
    <w:multiLevelType w:val="hybridMultilevel"/>
    <w:tmpl w:val="373E9B6E"/>
    <w:lvl w:ilvl="0" w:tplc="45067E5E">
      <w:start w:val="1"/>
      <w:numFmt w:val="decimal"/>
      <w:lvlText w:val="%1."/>
      <w:lvlJc w:val="left"/>
      <w:pPr>
        <w:ind w:left="720" w:hanging="360"/>
      </w:pPr>
      <w:rPr>
        <w:rFonts w:ascii="Arial" w:hAnsi="Arial" w:cs="Arial" w:hint="default"/>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27246"/>
    <w:multiLevelType w:val="hybridMultilevel"/>
    <w:tmpl w:val="DBF4D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8E2103"/>
    <w:multiLevelType w:val="hybridMultilevel"/>
    <w:tmpl w:val="67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9666D7"/>
    <w:multiLevelType w:val="hybridMultilevel"/>
    <w:tmpl w:val="1C3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2E4B90"/>
    <w:multiLevelType w:val="hybridMultilevel"/>
    <w:tmpl w:val="AD6E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D4BCD"/>
    <w:multiLevelType w:val="hybridMultilevel"/>
    <w:tmpl w:val="91503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AF"/>
    <w:rsid w:val="00085977"/>
    <w:rsid w:val="00151514"/>
    <w:rsid w:val="001B55B2"/>
    <w:rsid w:val="00542E73"/>
    <w:rsid w:val="00675020"/>
    <w:rsid w:val="00893D68"/>
    <w:rsid w:val="00917D3C"/>
    <w:rsid w:val="00A36836"/>
    <w:rsid w:val="00A965AF"/>
    <w:rsid w:val="00BE7FB5"/>
    <w:rsid w:val="00BF1599"/>
    <w:rsid w:val="00E75A5D"/>
    <w:rsid w:val="00EC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A965AF"/>
    <w:pPr>
      <w:keepNext/>
      <w:numPr>
        <w:numId w:val="1"/>
      </w:numPr>
      <w:tabs>
        <w:tab w:val="left" w:pos="1440"/>
      </w:tabs>
      <w:spacing w:before="240" w:after="240"/>
      <w:jc w:val="center"/>
    </w:pPr>
    <w:rPr>
      <w:b/>
      <w:smallCaps/>
      <w:lang w:val="es-ES"/>
    </w:rPr>
  </w:style>
  <w:style w:type="paragraph" w:styleId="FootnoteText">
    <w:name w:val="footnote text"/>
    <w:aliases w:val="fn,Texto de rodapé,nota_rodapé,nota de rodapé,ADB,foottextfra,footnote,F,Texto nota pie Car Car,FOOTNOTES,single space,footnote text,Footnote Text Char Char,texto de nota al pie,Nota a pie/Bibliog,Texto nota pie IIRSA,foottextf,Geneva 9,f"/>
    <w:basedOn w:val="Normal"/>
    <w:link w:val="FootnoteTextChar"/>
    <w:qFormat/>
    <w:rsid w:val="00A965AF"/>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f Char"/>
    <w:basedOn w:val="DefaultParagraphFont"/>
    <w:link w:val="FootnoteText"/>
    <w:rsid w:val="00A965AF"/>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ar"/>
    <w:qFormat/>
    <w:rsid w:val="00A965AF"/>
    <w:pPr>
      <w:numPr>
        <w:ilvl w:val="1"/>
        <w:numId w:val="1"/>
      </w:numPr>
      <w:spacing w:before="120"/>
      <w:jc w:val="both"/>
      <w:outlineLvl w:val="1"/>
    </w:pPr>
    <w:rPr>
      <w:lang w:val="es-ES"/>
    </w:rPr>
  </w:style>
  <w:style w:type="paragraph" w:customStyle="1" w:styleId="subpar">
    <w:name w:val="subpar"/>
    <w:basedOn w:val="BodyTextIndent3"/>
    <w:rsid w:val="00A965AF"/>
    <w:pPr>
      <w:numPr>
        <w:ilvl w:val="2"/>
        <w:numId w:val="1"/>
      </w:numPr>
      <w:spacing w:before="120"/>
      <w:jc w:val="both"/>
      <w:outlineLvl w:val="2"/>
    </w:pPr>
    <w:rPr>
      <w:sz w:val="24"/>
      <w:szCs w:val="20"/>
      <w:lang w:val="es-ES_tradnl"/>
    </w:rPr>
  </w:style>
  <w:style w:type="paragraph" w:customStyle="1" w:styleId="SubSubPar">
    <w:name w:val="SubSubPar"/>
    <w:basedOn w:val="subpar"/>
    <w:rsid w:val="00A965AF"/>
    <w:pPr>
      <w:numPr>
        <w:ilvl w:val="3"/>
      </w:numPr>
      <w:tabs>
        <w:tab w:val="clear" w:pos="2736"/>
        <w:tab w:val="left" w:pos="0"/>
        <w:tab w:val="num" w:pos="1296"/>
      </w:tabs>
      <w:ind w:left="1296"/>
    </w:pPr>
  </w:style>
  <w:style w:type="character" w:styleId="Hyperlink">
    <w:name w:val="Hyperlink"/>
    <w:basedOn w:val="DefaultParagraphFont"/>
    <w:rsid w:val="00A965AF"/>
    <w:rPr>
      <w:color w:val="0000FF"/>
      <w:u w:val="single"/>
    </w:rPr>
  </w:style>
  <w:style w:type="character" w:styleId="FootnoteReference">
    <w:name w:val="footnote reference"/>
    <w:aliases w:val="Ref. de nota al pie.,16 Point,Superscript 6 Point,ftref,Ref,de nota al pie,referencia nota al pie,titulo 2,Fußnotenzeichen DISS,Ref. de nota al pie EDEP,pie pddes,FC,Footnote Reference Number,Footnote Reference_LVL6,fr,SUPERS"/>
    <w:basedOn w:val="DefaultParagraphFont"/>
    <w:qFormat/>
    <w:rsid w:val="00A965AF"/>
    <w:rPr>
      <w:vertAlign w:val="superscript"/>
    </w:rPr>
  </w:style>
  <w:style w:type="character" w:customStyle="1" w:styleId="ParagraphCar">
    <w:name w:val="Paragraph Car"/>
    <w:link w:val="Paragraph"/>
    <w:rsid w:val="00A965AF"/>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A965AF"/>
    <w:pPr>
      <w:spacing w:after="120"/>
      <w:ind w:left="360"/>
    </w:pPr>
  </w:style>
  <w:style w:type="character" w:customStyle="1" w:styleId="BodyTextIndentChar">
    <w:name w:val="Body Text Indent Char"/>
    <w:basedOn w:val="DefaultParagraphFont"/>
    <w:link w:val="BodyTextIndent"/>
    <w:uiPriority w:val="99"/>
    <w:semiHidden/>
    <w:rsid w:val="00A965A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965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65AF"/>
    <w:rPr>
      <w:rFonts w:ascii="Times New Roman" w:eastAsia="Times New Roman" w:hAnsi="Times New Roman" w:cs="Times New Roman"/>
      <w:sz w:val="16"/>
      <w:szCs w:val="16"/>
    </w:rPr>
  </w:style>
  <w:style w:type="paragraph" w:styleId="ListParagraph">
    <w:name w:val="List Paragraph"/>
    <w:basedOn w:val="Normal"/>
    <w:uiPriority w:val="34"/>
    <w:qFormat/>
    <w:rsid w:val="00A9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A965AF"/>
    <w:pPr>
      <w:keepNext/>
      <w:numPr>
        <w:numId w:val="1"/>
      </w:numPr>
      <w:tabs>
        <w:tab w:val="left" w:pos="1440"/>
      </w:tabs>
      <w:spacing w:before="240" w:after="240"/>
      <w:jc w:val="center"/>
    </w:pPr>
    <w:rPr>
      <w:b/>
      <w:smallCaps/>
      <w:lang w:val="es-ES"/>
    </w:rPr>
  </w:style>
  <w:style w:type="paragraph" w:styleId="FootnoteText">
    <w:name w:val="footnote text"/>
    <w:aliases w:val="fn,Texto de rodapé,nota_rodapé,nota de rodapé,ADB,foottextfra,footnote,F,Texto nota pie Car Car,FOOTNOTES,single space,footnote text,Footnote Text Char Char,texto de nota al pie,Nota a pie/Bibliog,Texto nota pie IIRSA,foottextf,Geneva 9,f"/>
    <w:basedOn w:val="Normal"/>
    <w:link w:val="FootnoteTextChar"/>
    <w:qFormat/>
    <w:rsid w:val="00A965AF"/>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f Char"/>
    <w:basedOn w:val="DefaultParagraphFont"/>
    <w:link w:val="FootnoteText"/>
    <w:rsid w:val="00A965AF"/>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ar"/>
    <w:qFormat/>
    <w:rsid w:val="00A965AF"/>
    <w:pPr>
      <w:numPr>
        <w:ilvl w:val="1"/>
        <w:numId w:val="1"/>
      </w:numPr>
      <w:spacing w:before="120"/>
      <w:jc w:val="both"/>
      <w:outlineLvl w:val="1"/>
    </w:pPr>
    <w:rPr>
      <w:lang w:val="es-ES"/>
    </w:rPr>
  </w:style>
  <w:style w:type="paragraph" w:customStyle="1" w:styleId="subpar">
    <w:name w:val="subpar"/>
    <w:basedOn w:val="BodyTextIndent3"/>
    <w:rsid w:val="00A965AF"/>
    <w:pPr>
      <w:numPr>
        <w:ilvl w:val="2"/>
        <w:numId w:val="1"/>
      </w:numPr>
      <w:spacing w:before="120"/>
      <w:jc w:val="both"/>
      <w:outlineLvl w:val="2"/>
    </w:pPr>
    <w:rPr>
      <w:sz w:val="24"/>
      <w:szCs w:val="20"/>
      <w:lang w:val="es-ES_tradnl"/>
    </w:rPr>
  </w:style>
  <w:style w:type="paragraph" w:customStyle="1" w:styleId="SubSubPar">
    <w:name w:val="SubSubPar"/>
    <w:basedOn w:val="subpar"/>
    <w:rsid w:val="00A965AF"/>
    <w:pPr>
      <w:numPr>
        <w:ilvl w:val="3"/>
      </w:numPr>
      <w:tabs>
        <w:tab w:val="clear" w:pos="2736"/>
        <w:tab w:val="left" w:pos="0"/>
        <w:tab w:val="num" w:pos="1296"/>
      </w:tabs>
      <w:ind w:left="1296"/>
    </w:pPr>
  </w:style>
  <w:style w:type="character" w:styleId="Hyperlink">
    <w:name w:val="Hyperlink"/>
    <w:basedOn w:val="DefaultParagraphFont"/>
    <w:rsid w:val="00A965AF"/>
    <w:rPr>
      <w:color w:val="0000FF"/>
      <w:u w:val="single"/>
    </w:rPr>
  </w:style>
  <w:style w:type="character" w:styleId="FootnoteReference">
    <w:name w:val="footnote reference"/>
    <w:aliases w:val="Ref. de nota al pie.,16 Point,Superscript 6 Point,ftref,Ref,de nota al pie,referencia nota al pie,titulo 2,Fußnotenzeichen DISS,Ref. de nota al pie EDEP,pie pddes,FC,Footnote Reference Number,Footnote Reference_LVL6,fr,SUPERS"/>
    <w:basedOn w:val="DefaultParagraphFont"/>
    <w:qFormat/>
    <w:rsid w:val="00A965AF"/>
    <w:rPr>
      <w:vertAlign w:val="superscript"/>
    </w:rPr>
  </w:style>
  <w:style w:type="character" w:customStyle="1" w:styleId="ParagraphCar">
    <w:name w:val="Paragraph Car"/>
    <w:link w:val="Paragraph"/>
    <w:rsid w:val="00A965AF"/>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A965AF"/>
    <w:pPr>
      <w:spacing w:after="120"/>
      <w:ind w:left="360"/>
    </w:pPr>
  </w:style>
  <w:style w:type="character" w:customStyle="1" w:styleId="BodyTextIndentChar">
    <w:name w:val="Body Text Indent Char"/>
    <w:basedOn w:val="DefaultParagraphFont"/>
    <w:link w:val="BodyTextIndent"/>
    <w:uiPriority w:val="99"/>
    <w:semiHidden/>
    <w:rsid w:val="00A965A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965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65AF"/>
    <w:rPr>
      <w:rFonts w:ascii="Times New Roman" w:eastAsia="Times New Roman" w:hAnsi="Times New Roman" w:cs="Times New Roman"/>
      <w:sz w:val="16"/>
      <w:szCs w:val="16"/>
    </w:rPr>
  </w:style>
  <w:style w:type="paragraph" w:styleId="ListParagraph">
    <w:name w:val="List Paragraph"/>
    <w:basedOn w:val="Normal"/>
    <w:uiPriority w:val="34"/>
    <w:qFormat/>
    <w:rsid w:val="00A9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p.edu.uy/monitorces/servlet/portad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anep.edu.uy/portalmonitor/servlet/portada" TargetMode="Externa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bdocs.iadb.org/wsdocs/getDocument.aspx?DOCNUM=40420843"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E287C2AAB838043B7FEEB2457323F73" ma:contentTypeVersion="0" ma:contentTypeDescription="A content type to manage public (operations) IDB documents" ma:contentTypeScope="" ma:versionID="6354b31999b2362b430dcc3e38d5f982">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40433251</IDBDocs_x0020_Number>
    <Document_x0020_Author xmlns="9c571b2f-e523-4ab2-ba2e-09e151a03ef4">Perez Alfaro, Marcelo A.</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UR-L1116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ED-EDU</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AC441F57-57B6-4788-8E9D-78676791AD31}"/>
</file>

<file path=customXml/itemProps2.xml><?xml version="1.0" encoding="utf-8"?>
<ds:datastoreItem xmlns:ds="http://schemas.openxmlformats.org/officeDocument/2006/customXml" ds:itemID="{3C678A7D-4392-4423-9F55-1950B4DECDB5}"/>
</file>

<file path=customXml/itemProps3.xml><?xml version="1.0" encoding="utf-8"?>
<ds:datastoreItem xmlns:ds="http://schemas.openxmlformats.org/officeDocument/2006/customXml" ds:itemID="{82DB8CBE-81A9-43E6-BAC1-8AC6418C8F90}"/>
</file>

<file path=customXml/itemProps4.xml><?xml version="1.0" encoding="utf-8"?>
<ds:datastoreItem xmlns:ds="http://schemas.openxmlformats.org/officeDocument/2006/customXml" ds:itemID="{15F2FD93-FD7A-4630-90BF-4129EDFAD3BB}"/>
</file>

<file path=customXml/itemProps5.xml><?xml version="1.0" encoding="utf-8"?>
<ds:datastoreItem xmlns:ds="http://schemas.openxmlformats.org/officeDocument/2006/customXml" ds:itemID="{D0246411-653E-4858-8559-86A7E289A31D}"/>
</file>

<file path=customXml/itemProps6.xml><?xml version="1.0" encoding="utf-8"?>
<ds:datastoreItem xmlns:ds="http://schemas.openxmlformats.org/officeDocument/2006/customXml" ds:itemID="{972BC067-CBB5-415E-9158-20EDDA28858B}"/>
</file>

<file path=docProps/app.xml><?xml version="1.0" encoding="utf-8"?>
<Properties xmlns="http://schemas.openxmlformats.org/officeDocument/2006/extended-properties" xmlns:vt="http://schemas.openxmlformats.org/officeDocument/2006/docPropsVTypes">
  <Template>Normal.dotm</Template>
  <TotalTime>3</TotalTime>
  <Pages>4</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EEO4 Notas</dc:title>
  <dc:creator>IADB</dc:creator>
  <cp:lastModifiedBy>IADB</cp:lastModifiedBy>
  <cp:revision>4</cp:revision>
  <dcterms:created xsi:type="dcterms:W3CDTF">2016-08-15T20:59:00Z</dcterms:created>
  <dcterms:modified xsi:type="dcterms:W3CDTF">2016-08-29T21:08:00Z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0x01010046CF21643EE8D14686A648AA6DAD089200CE287C2AAB838043B7FEEB2457323F73</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