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F61" w:rsidRPr="00476F57" w:rsidRDefault="00941F61" w:rsidP="00941F61">
      <w:pPr>
        <w:pStyle w:val="Title"/>
        <w:tabs>
          <w:tab w:val="clear" w:pos="1440"/>
          <w:tab w:val="clear" w:pos="3060"/>
        </w:tabs>
        <w:outlineLvl w:val="9"/>
        <w:rPr>
          <w:rFonts w:ascii="Arial" w:hAnsi="Arial" w:cs="Arial"/>
          <w:smallCaps/>
          <w:sz w:val="22"/>
          <w:szCs w:val="22"/>
        </w:rPr>
      </w:pPr>
      <w:r w:rsidRPr="00476F57">
        <w:rPr>
          <w:rFonts w:ascii="Arial" w:hAnsi="Arial" w:cs="Arial"/>
          <w:smallCaps/>
          <w:sz w:val="22"/>
          <w:szCs w:val="22"/>
        </w:rPr>
        <w:t>Document of the Inter-American Development Bank</w:t>
      </w:r>
    </w:p>
    <w:p w:rsidR="00941F61" w:rsidRPr="00476F57" w:rsidRDefault="00941F61" w:rsidP="00941F61">
      <w:pPr>
        <w:pStyle w:val="ListParagraph"/>
        <w:spacing w:before="120" w:after="0" w:line="360" w:lineRule="auto"/>
        <w:ind w:left="0"/>
        <w:jc w:val="center"/>
        <w:rPr>
          <w:rFonts w:ascii="Arial" w:hAnsi="Arial" w:cs="Arial"/>
          <w:b/>
        </w:rPr>
      </w:pPr>
    </w:p>
    <w:p w:rsidR="00941F61" w:rsidRPr="00476F57" w:rsidRDefault="00941F61" w:rsidP="00941F61">
      <w:pPr>
        <w:tabs>
          <w:tab w:val="left" w:pos="1440"/>
          <w:tab w:val="left" w:pos="3060"/>
        </w:tabs>
        <w:jc w:val="center"/>
        <w:rPr>
          <w:rFonts w:ascii="Arial" w:hAnsi="Arial" w:cs="Arial"/>
          <w:b/>
          <w:smallCaps/>
        </w:rPr>
      </w:pPr>
    </w:p>
    <w:p w:rsidR="00941F61" w:rsidRDefault="00941F61" w:rsidP="00941F61">
      <w:pPr>
        <w:tabs>
          <w:tab w:val="left" w:pos="1440"/>
          <w:tab w:val="left" w:pos="3060"/>
        </w:tabs>
        <w:jc w:val="center"/>
        <w:rPr>
          <w:rFonts w:ascii="Arial" w:hAnsi="Arial" w:cs="Arial"/>
          <w:b/>
          <w:smallCaps/>
        </w:rPr>
      </w:pPr>
    </w:p>
    <w:p w:rsidR="00672E05" w:rsidRDefault="00672E05" w:rsidP="00941F61">
      <w:pPr>
        <w:tabs>
          <w:tab w:val="left" w:pos="1440"/>
          <w:tab w:val="left" w:pos="3060"/>
        </w:tabs>
        <w:jc w:val="center"/>
        <w:rPr>
          <w:rFonts w:ascii="Arial" w:hAnsi="Arial" w:cs="Arial"/>
          <w:b/>
          <w:smallCaps/>
        </w:rPr>
      </w:pPr>
    </w:p>
    <w:p w:rsidR="00672E05" w:rsidRPr="00476F57" w:rsidRDefault="00672E05" w:rsidP="00941F61">
      <w:pPr>
        <w:tabs>
          <w:tab w:val="left" w:pos="1440"/>
          <w:tab w:val="left" w:pos="3060"/>
        </w:tabs>
        <w:jc w:val="center"/>
        <w:rPr>
          <w:rFonts w:ascii="Arial" w:hAnsi="Arial" w:cs="Arial"/>
          <w:b/>
          <w:smallCaps/>
        </w:rPr>
      </w:pPr>
    </w:p>
    <w:p w:rsidR="00941F61" w:rsidRPr="00476F57" w:rsidRDefault="00F83FA0" w:rsidP="00941F61">
      <w:pPr>
        <w:tabs>
          <w:tab w:val="left" w:pos="1440"/>
          <w:tab w:val="left" w:pos="3060"/>
        </w:tabs>
        <w:jc w:val="center"/>
        <w:rPr>
          <w:rFonts w:ascii="Arial" w:hAnsi="Arial" w:cs="Arial"/>
          <w:b/>
          <w:smallCaps/>
          <w:highlight w:val="lightGray"/>
          <w:lang w:val="es-ES_tradnl"/>
        </w:rPr>
      </w:pPr>
      <w:r w:rsidRPr="00476F57">
        <w:rPr>
          <w:rFonts w:ascii="Arial" w:hAnsi="Arial" w:cs="Arial"/>
          <w:b/>
          <w:smallCaps/>
          <w:highlight w:val="lightGray"/>
          <w:lang w:val="es-ES_tradnl"/>
        </w:rPr>
        <w:t>ARGENTINA</w:t>
      </w:r>
    </w:p>
    <w:p w:rsidR="00941F61" w:rsidRPr="00476F57" w:rsidRDefault="00941F61" w:rsidP="00941F61">
      <w:pPr>
        <w:tabs>
          <w:tab w:val="left" w:pos="1440"/>
          <w:tab w:val="left" w:pos="3060"/>
        </w:tabs>
        <w:jc w:val="center"/>
        <w:rPr>
          <w:rFonts w:ascii="Arial" w:hAnsi="Arial" w:cs="Arial"/>
          <w:b/>
          <w:smallCaps/>
          <w:highlight w:val="lightGray"/>
          <w:lang w:val="es-ES_tradnl"/>
        </w:rPr>
      </w:pPr>
    </w:p>
    <w:p w:rsidR="00941F61" w:rsidRPr="00476F57" w:rsidRDefault="00941F61" w:rsidP="00941F61">
      <w:pPr>
        <w:tabs>
          <w:tab w:val="left" w:pos="1440"/>
          <w:tab w:val="left" w:pos="3060"/>
        </w:tabs>
        <w:jc w:val="center"/>
        <w:rPr>
          <w:rFonts w:ascii="Arial" w:hAnsi="Arial" w:cs="Arial"/>
          <w:b/>
          <w:smallCaps/>
          <w:highlight w:val="lightGray"/>
          <w:lang w:val="es-ES_tradnl"/>
        </w:rPr>
      </w:pPr>
    </w:p>
    <w:p w:rsidR="00941F61" w:rsidRPr="00476F57" w:rsidRDefault="00F83FA0" w:rsidP="00941F61">
      <w:pPr>
        <w:tabs>
          <w:tab w:val="left" w:pos="1440"/>
          <w:tab w:val="left" w:pos="3060"/>
        </w:tabs>
        <w:jc w:val="center"/>
        <w:rPr>
          <w:rFonts w:ascii="Arial" w:hAnsi="Arial" w:cs="Arial"/>
          <w:b/>
          <w:smallCaps/>
          <w:highlight w:val="lightGray"/>
          <w:lang w:val="es-ES_tradnl"/>
        </w:rPr>
      </w:pPr>
      <w:r w:rsidRPr="00476F57">
        <w:rPr>
          <w:rFonts w:ascii="Arial" w:hAnsi="Arial" w:cs="Arial"/>
          <w:b/>
          <w:smallCaps/>
          <w:highlight w:val="lightGray"/>
          <w:lang w:val="es-ES_tradnl"/>
        </w:rPr>
        <w:t>PROGRAMA DE ATENCIÓN PRIMARIA DE LA SALUD PARA EL MANEJO DE ENFERMEDADES CRÓNICAS NO TRANSMISIBLES, SEGUNDA OPERACIÓN</w:t>
      </w:r>
    </w:p>
    <w:p w:rsidR="00941F61" w:rsidRPr="00476F57" w:rsidRDefault="00941F61" w:rsidP="00941F61">
      <w:pPr>
        <w:tabs>
          <w:tab w:val="left" w:pos="1440"/>
          <w:tab w:val="left" w:pos="3060"/>
        </w:tabs>
        <w:jc w:val="center"/>
        <w:rPr>
          <w:rFonts w:ascii="Arial" w:hAnsi="Arial" w:cs="Arial"/>
          <w:b/>
          <w:smallCaps/>
          <w:lang w:val="pt-BR"/>
        </w:rPr>
      </w:pPr>
      <w:r w:rsidRPr="00476F57">
        <w:rPr>
          <w:rFonts w:ascii="Arial" w:hAnsi="Arial" w:cs="Arial"/>
          <w:b/>
          <w:smallCaps/>
          <w:highlight w:val="lightGray"/>
          <w:lang w:val="pt-BR"/>
        </w:rPr>
        <w:t>(</w:t>
      </w:r>
      <w:r w:rsidR="00F83FA0" w:rsidRPr="00476F57">
        <w:rPr>
          <w:rFonts w:ascii="Arial" w:hAnsi="Arial" w:cs="Arial"/>
          <w:b/>
          <w:smallCaps/>
          <w:highlight w:val="lightGray"/>
          <w:lang w:val="pt-BR"/>
        </w:rPr>
        <w:t>AR-L1196</w:t>
      </w:r>
      <w:r w:rsidRPr="00476F57">
        <w:rPr>
          <w:rFonts w:ascii="Arial" w:hAnsi="Arial" w:cs="Arial"/>
          <w:b/>
          <w:smallCaps/>
          <w:highlight w:val="lightGray"/>
          <w:lang w:val="pt-BR"/>
        </w:rPr>
        <w:t>)</w:t>
      </w:r>
    </w:p>
    <w:p w:rsidR="00941F61" w:rsidRPr="00476F57" w:rsidRDefault="00941F61" w:rsidP="00941F61">
      <w:pPr>
        <w:pStyle w:val="Newpage"/>
        <w:rPr>
          <w:rFonts w:ascii="Arial" w:hAnsi="Arial"/>
          <w:b w:val="0"/>
          <w:caps/>
          <w:smallCaps w:val="0"/>
          <w:sz w:val="22"/>
          <w:szCs w:val="22"/>
          <w:lang w:val="pt-BR"/>
        </w:rPr>
      </w:pPr>
    </w:p>
    <w:p w:rsidR="00941F61" w:rsidRPr="00476F57" w:rsidRDefault="00941F61" w:rsidP="00941F61">
      <w:pPr>
        <w:tabs>
          <w:tab w:val="left" w:pos="1440"/>
          <w:tab w:val="left" w:pos="3060"/>
        </w:tabs>
        <w:jc w:val="center"/>
        <w:rPr>
          <w:rFonts w:ascii="Arial" w:hAnsi="Arial" w:cs="Arial"/>
          <w:smallCaps/>
          <w:lang w:val="pt-BR"/>
        </w:rPr>
      </w:pPr>
    </w:p>
    <w:p w:rsidR="00941F61" w:rsidRPr="00476F57" w:rsidRDefault="00F83FA0" w:rsidP="00941F61">
      <w:pPr>
        <w:tabs>
          <w:tab w:val="left" w:pos="1440"/>
          <w:tab w:val="left" w:pos="3060"/>
        </w:tabs>
        <w:jc w:val="center"/>
        <w:outlineLvl w:val="0"/>
        <w:rPr>
          <w:rFonts w:ascii="Arial" w:hAnsi="Arial" w:cs="Arial"/>
          <w:b/>
          <w:smallCaps/>
          <w:lang w:val="pt-BR"/>
        </w:rPr>
      </w:pPr>
      <w:r w:rsidRPr="00476F57">
        <w:rPr>
          <w:rFonts w:ascii="Arial" w:hAnsi="Arial" w:cs="Arial"/>
          <w:b/>
          <w:smallCaps/>
          <w:lang w:val="pt-BR"/>
        </w:rPr>
        <w:t>ANEXO DE ANÁLISIS ECONÓMICO</w:t>
      </w:r>
    </w:p>
    <w:p w:rsidR="00941F61" w:rsidRPr="00476F57" w:rsidRDefault="00941F61" w:rsidP="00941F61">
      <w:pPr>
        <w:tabs>
          <w:tab w:val="left" w:pos="1440"/>
          <w:tab w:val="left" w:pos="3060"/>
        </w:tabs>
        <w:outlineLvl w:val="0"/>
        <w:rPr>
          <w:rFonts w:ascii="Arial" w:hAnsi="Arial" w:cs="Arial"/>
          <w:b/>
          <w:smallCaps/>
          <w:lang w:val="pt-BR"/>
        </w:rPr>
      </w:pPr>
    </w:p>
    <w:p w:rsidR="00941F61" w:rsidRPr="00476F57" w:rsidRDefault="00941F61" w:rsidP="00941F61">
      <w:pPr>
        <w:pStyle w:val="ListParagraph"/>
        <w:spacing w:before="120" w:after="0" w:line="360" w:lineRule="auto"/>
        <w:ind w:left="1080"/>
        <w:jc w:val="center"/>
        <w:rPr>
          <w:rFonts w:ascii="Arial" w:hAnsi="Arial" w:cs="Arial"/>
          <w:b/>
          <w:lang w:val="pt-BR"/>
        </w:rPr>
      </w:pPr>
    </w:p>
    <w:p w:rsidR="00941F61" w:rsidRPr="00476F57" w:rsidRDefault="00941F61" w:rsidP="00941F61">
      <w:pPr>
        <w:pStyle w:val="ListParagraph"/>
        <w:spacing w:before="120" w:after="0" w:line="360" w:lineRule="auto"/>
        <w:ind w:left="1080"/>
        <w:jc w:val="center"/>
        <w:rPr>
          <w:rFonts w:ascii="Arial" w:hAnsi="Arial" w:cs="Arial"/>
          <w:b/>
          <w:lang w:val="pt-BR"/>
        </w:rPr>
      </w:pPr>
    </w:p>
    <w:p w:rsidR="00941F61" w:rsidRPr="00476F57" w:rsidRDefault="00941F61" w:rsidP="00941F61">
      <w:pPr>
        <w:pStyle w:val="ListParagraph"/>
        <w:spacing w:before="120" w:after="0" w:line="360" w:lineRule="auto"/>
        <w:ind w:left="1080"/>
        <w:jc w:val="center"/>
        <w:rPr>
          <w:rFonts w:ascii="Arial" w:hAnsi="Arial" w:cs="Arial"/>
          <w:b/>
          <w:lang w:val="pt-BR"/>
        </w:rPr>
      </w:pPr>
    </w:p>
    <w:p w:rsidR="00941F61" w:rsidRPr="00476F57" w:rsidRDefault="00941F61" w:rsidP="00941F61">
      <w:pPr>
        <w:pStyle w:val="ListParagraph"/>
        <w:spacing w:before="120" w:after="0" w:line="360" w:lineRule="auto"/>
        <w:ind w:left="1080"/>
        <w:jc w:val="center"/>
        <w:rPr>
          <w:rFonts w:ascii="Arial" w:hAnsi="Arial" w:cs="Arial"/>
          <w:b/>
          <w:lang w:val="pt-BR"/>
        </w:rPr>
      </w:pPr>
    </w:p>
    <w:p w:rsidR="00941F61" w:rsidRPr="00476F57" w:rsidRDefault="00941F61" w:rsidP="00941F61">
      <w:pPr>
        <w:pStyle w:val="ListParagraph"/>
        <w:spacing w:before="120" w:after="0" w:line="360" w:lineRule="auto"/>
        <w:ind w:left="1080"/>
        <w:jc w:val="center"/>
        <w:rPr>
          <w:rFonts w:ascii="Arial" w:hAnsi="Arial" w:cs="Arial"/>
          <w:b/>
          <w:lang w:val="pt-BR"/>
        </w:rPr>
      </w:pPr>
    </w:p>
    <w:p w:rsidR="00941F61" w:rsidRPr="00476F57" w:rsidRDefault="00941F61" w:rsidP="00941F61">
      <w:pPr>
        <w:pStyle w:val="ListParagraph"/>
        <w:spacing w:before="120" w:after="0" w:line="360" w:lineRule="auto"/>
        <w:ind w:left="1080"/>
        <w:jc w:val="center"/>
        <w:rPr>
          <w:rFonts w:ascii="Arial" w:hAnsi="Arial" w:cs="Arial"/>
          <w:b/>
          <w:lang w:val="pt-BR"/>
        </w:rPr>
      </w:pPr>
    </w:p>
    <w:p w:rsidR="00941F61" w:rsidRPr="00476F57" w:rsidRDefault="00941F61" w:rsidP="00941F61">
      <w:pPr>
        <w:pStyle w:val="ListParagraph"/>
        <w:spacing w:before="120" w:after="0" w:line="360" w:lineRule="auto"/>
        <w:ind w:left="1080"/>
        <w:jc w:val="center"/>
        <w:rPr>
          <w:rFonts w:ascii="Arial" w:hAnsi="Arial" w:cs="Arial"/>
          <w:b/>
          <w:lang w:val="pt-BR"/>
        </w:rPr>
      </w:pPr>
    </w:p>
    <w:p w:rsidR="00941F61" w:rsidRPr="00476F57" w:rsidRDefault="00941F61" w:rsidP="00941F61">
      <w:pPr>
        <w:pStyle w:val="ListParagraph"/>
        <w:spacing w:before="120" w:after="0" w:line="360" w:lineRule="auto"/>
        <w:ind w:left="1080"/>
        <w:jc w:val="center"/>
        <w:rPr>
          <w:rFonts w:ascii="Arial" w:hAnsi="Arial" w:cs="Arial"/>
          <w:b/>
          <w:lang w:val="pt-BR"/>
        </w:rPr>
      </w:pPr>
    </w:p>
    <w:p w:rsidR="00941F61" w:rsidRPr="00476F57" w:rsidRDefault="00941F61" w:rsidP="00941F61">
      <w:pPr>
        <w:pStyle w:val="ListParagraph"/>
        <w:spacing w:before="120" w:after="0" w:line="360" w:lineRule="auto"/>
        <w:ind w:left="1080"/>
        <w:jc w:val="center"/>
        <w:rPr>
          <w:rFonts w:ascii="Arial" w:hAnsi="Arial" w:cs="Arial"/>
          <w:b/>
          <w:lang w:val="pt-BR"/>
        </w:rPr>
      </w:pPr>
    </w:p>
    <w:p w:rsidR="00941F61" w:rsidRPr="00476F57" w:rsidRDefault="00941F61" w:rsidP="00941F61">
      <w:pPr>
        <w:pStyle w:val="ListParagraph"/>
        <w:spacing w:before="120" w:after="0" w:line="360" w:lineRule="auto"/>
        <w:ind w:left="1080"/>
        <w:jc w:val="center"/>
        <w:rPr>
          <w:rFonts w:ascii="Arial" w:hAnsi="Arial" w:cs="Arial"/>
          <w:b/>
          <w:lang w:val="pt-BR"/>
        </w:rPr>
      </w:pPr>
    </w:p>
    <w:p w:rsidR="00941F61" w:rsidRPr="00476F57" w:rsidRDefault="00941F61" w:rsidP="00941F61">
      <w:pPr>
        <w:tabs>
          <w:tab w:val="left" w:pos="1440"/>
          <w:tab w:val="left" w:pos="3060"/>
        </w:tabs>
        <w:jc w:val="center"/>
        <w:rPr>
          <w:rFonts w:ascii="Arial" w:hAnsi="Arial" w:cs="Arial"/>
          <w:lang w:val="pt-BR"/>
        </w:rPr>
      </w:pPr>
    </w:p>
    <w:p w:rsidR="00941F61" w:rsidRPr="00672E05" w:rsidRDefault="00F83FA0" w:rsidP="00941F61">
      <w:pPr>
        <w:pStyle w:val="BodyText"/>
        <w:pBdr>
          <w:top w:val="single" w:sz="4" w:space="1" w:color="auto"/>
          <w:left w:val="single" w:sz="4" w:space="4" w:color="auto"/>
          <w:bottom w:val="single" w:sz="4" w:space="1" w:color="auto"/>
          <w:right w:val="single" w:sz="4" w:space="4" w:color="auto"/>
        </w:pBdr>
        <w:tabs>
          <w:tab w:val="left" w:pos="1440"/>
        </w:tabs>
        <w:jc w:val="both"/>
        <w:rPr>
          <w:rFonts w:ascii="Arial" w:hAnsi="Arial" w:cs="Arial"/>
          <w:sz w:val="20"/>
          <w:szCs w:val="20"/>
          <w:lang w:val="es-ES_tradnl"/>
        </w:rPr>
      </w:pPr>
      <w:r w:rsidRPr="00672E05">
        <w:rPr>
          <w:rFonts w:ascii="Arial" w:hAnsi="Arial" w:cs="Arial"/>
          <w:sz w:val="20"/>
          <w:szCs w:val="20"/>
          <w:lang w:val="es-ES_tradnl"/>
        </w:rPr>
        <w:t>Este documento fue preparado por</w:t>
      </w:r>
      <w:r w:rsidR="00941F61" w:rsidRPr="00672E05">
        <w:rPr>
          <w:rFonts w:ascii="Arial" w:hAnsi="Arial" w:cs="Arial"/>
          <w:sz w:val="20"/>
          <w:szCs w:val="20"/>
          <w:lang w:val="es-ES_tradnl"/>
        </w:rPr>
        <w:t>:</w:t>
      </w:r>
      <w:r w:rsidRPr="00672E05">
        <w:rPr>
          <w:rFonts w:ascii="Arial" w:hAnsi="Arial" w:cs="Arial"/>
          <w:sz w:val="20"/>
          <w:szCs w:val="20"/>
          <w:lang w:val="es-ES_tradnl"/>
        </w:rPr>
        <w:t xml:space="preserve"> Martha Guerra (SCL/SPH)</w:t>
      </w:r>
      <w:r w:rsidR="00672E05" w:rsidRPr="00672E05">
        <w:rPr>
          <w:rFonts w:ascii="Arial" w:hAnsi="Arial" w:cs="Arial"/>
          <w:sz w:val="20"/>
          <w:szCs w:val="20"/>
          <w:lang w:val="es-ES_tradnl"/>
        </w:rPr>
        <w:t>;</w:t>
      </w:r>
      <w:r w:rsidR="00544F02" w:rsidRPr="00672E05">
        <w:rPr>
          <w:rFonts w:ascii="Arial" w:hAnsi="Arial" w:cs="Arial"/>
          <w:sz w:val="20"/>
          <w:szCs w:val="20"/>
          <w:lang w:val="es-ES_tradnl"/>
        </w:rPr>
        <w:t xml:space="preserve"> Mercedes Mac Mullen (consultora)</w:t>
      </w:r>
      <w:r w:rsidR="00672E05" w:rsidRPr="00672E05">
        <w:rPr>
          <w:rFonts w:ascii="Arial" w:hAnsi="Arial" w:cs="Arial"/>
          <w:sz w:val="20"/>
          <w:szCs w:val="20"/>
          <w:lang w:val="es-ES_tradnl"/>
        </w:rPr>
        <w:t>;</w:t>
      </w:r>
      <w:r w:rsidRPr="00672E05">
        <w:rPr>
          <w:rFonts w:ascii="Arial" w:hAnsi="Arial" w:cs="Arial"/>
          <w:sz w:val="20"/>
          <w:szCs w:val="20"/>
          <w:lang w:val="es-ES_tradnl"/>
        </w:rPr>
        <w:t xml:space="preserve"> y Mario Sánchez (SPH/CAR)</w:t>
      </w:r>
    </w:p>
    <w:p w:rsidR="00941F61" w:rsidRPr="00476F57" w:rsidRDefault="00941F61" w:rsidP="00F83FA0">
      <w:pPr>
        <w:spacing w:line="240" w:lineRule="auto"/>
        <w:jc w:val="both"/>
        <w:rPr>
          <w:rFonts w:ascii="Arial" w:hAnsi="Arial" w:cs="Arial"/>
          <w:lang w:val="es-ES_tradnl"/>
        </w:rPr>
      </w:pPr>
      <w:r w:rsidRPr="00476F57">
        <w:rPr>
          <w:rFonts w:ascii="Arial" w:hAnsi="Arial" w:cs="Arial"/>
          <w:b/>
          <w:lang w:val="es-ES_tradnl"/>
        </w:rPr>
        <w:br w:type="page"/>
      </w:r>
    </w:p>
    <w:p w:rsidR="00F83FA0" w:rsidRPr="00476F57" w:rsidRDefault="00F83FA0" w:rsidP="00F83FA0">
      <w:pPr>
        <w:jc w:val="both"/>
        <w:rPr>
          <w:rFonts w:ascii="Arial" w:hAnsi="Arial" w:cs="Arial"/>
          <w:b/>
          <w:color w:val="4F81BD" w:themeColor="accent1"/>
          <w:sz w:val="28"/>
          <w:lang w:val="pt-BR"/>
        </w:rPr>
      </w:pPr>
      <w:r w:rsidRPr="00476F57">
        <w:rPr>
          <w:rFonts w:ascii="Arial" w:hAnsi="Arial" w:cs="Arial"/>
          <w:b/>
          <w:color w:val="4F81BD" w:themeColor="accent1"/>
          <w:sz w:val="28"/>
          <w:lang w:val="pt-BR"/>
        </w:rPr>
        <w:lastRenderedPageBreak/>
        <w:t>Alcance de este Anexo</w:t>
      </w:r>
    </w:p>
    <w:p w:rsidR="00544F02" w:rsidRPr="00476F57" w:rsidRDefault="00F83FA0" w:rsidP="00F83FA0">
      <w:pPr>
        <w:pStyle w:val="ListParagraph"/>
        <w:numPr>
          <w:ilvl w:val="0"/>
          <w:numId w:val="16"/>
        </w:numPr>
        <w:jc w:val="both"/>
        <w:rPr>
          <w:rFonts w:ascii="Arial" w:hAnsi="Arial" w:cs="Arial"/>
          <w:lang w:val="es-AR"/>
        </w:rPr>
      </w:pPr>
      <w:r w:rsidRPr="00476F57">
        <w:rPr>
          <w:rFonts w:ascii="Arial" w:hAnsi="Arial" w:cs="Arial"/>
          <w:lang w:val="es-ES"/>
        </w:rPr>
        <w:t xml:space="preserve">El objetivo de este anexo es presentar la evaluación </w:t>
      </w:r>
      <w:r w:rsidRPr="00476F57">
        <w:rPr>
          <w:rFonts w:ascii="Arial" w:hAnsi="Arial" w:cs="Arial"/>
          <w:lang w:val="es-AR"/>
        </w:rPr>
        <w:t>económica de dos de los principales subcomponentes del Programa: el Subcomponente 1.1, Desarrollo de Redes Integradas de servicios de Salud; y el Subcomponente 2.2, Fortalecimiento de los efectores del Primer Nivel de Atención para el cuidado del cáncer. El costo de ambos componentes representa</w:t>
      </w:r>
      <w:r w:rsidR="00544F02" w:rsidRPr="00476F57">
        <w:rPr>
          <w:rFonts w:ascii="Arial" w:hAnsi="Arial" w:cs="Arial"/>
          <w:lang w:val="es-AR"/>
        </w:rPr>
        <w:t>n 50% del costo total del Programa (56% del financiamiento). Para el primero se realizó un análisis costo-beneficio y para el segundo uno de costo-efectividad.</w:t>
      </w:r>
    </w:p>
    <w:p w:rsidR="00544F02" w:rsidRPr="00476F57" w:rsidRDefault="00544F02" w:rsidP="00F83FA0">
      <w:pPr>
        <w:jc w:val="both"/>
        <w:rPr>
          <w:rFonts w:ascii="Arial" w:hAnsi="Arial" w:cs="Arial"/>
          <w:b/>
          <w:color w:val="4F81BD" w:themeColor="accent1"/>
          <w:sz w:val="28"/>
          <w:lang w:val="es-AR"/>
        </w:rPr>
      </w:pPr>
      <w:r w:rsidRPr="00476F57">
        <w:rPr>
          <w:rFonts w:ascii="Arial" w:hAnsi="Arial" w:cs="Arial"/>
          <w:b/>
          <w:color w:val="4F81BD" w:themeColor="accent1"/>
          <w:sz w:val="28"/>
          <w:lang w:val="es-AR"/>
        </w:rPr>
        <w:t>EVALUACIÓN COSTO-BENEFICIO DE REDES</w:t>
      </w:r>
    </w:p>
    <w:p w:rsidR="00F83FA0" w:rsidRPr="00476F57" w:rsidRDefault="00F83FA0" w:rsidP="00F83FA0">
      <w:pPr>
        <w:jc w:val="both"/>
        <w:rPr>
          <w:rFonts w:ascii="Arial" w:hAnsi="Arial" w:cs="Arial"/>
          <w:b/>
          <w:color w:val="4F81BD" w:themeColor="accent1"/>
          <w:sz w:val="28"/>
          <w:lang w:val="es-AR"/>
        </w:rPr>
      </w:pPr>
      <w:r w:rsidRPr="00476F57">
        <w:rPr>
          <w:rFonts w:ascii="Arial" w:hAnsi="Arial" w:cs="Arial"/>
          <w:b/>
          <w:color w:val="4F81BD" w:themeColor="accent1"/>
          <w:sz w:val="28"/>
          <w:lang w:val="es-AR"/>
        </w:rPr>
        <w:t>Metodología y supuestos</w:t>
      </w:r>
    </w:p>
    <w:p w:rsidR="00544F02" w:rsidRPr="00476F57" w:rsidRDefault="00544F02" w:rsidP="00C76F5F">
      <w:pPr>
        <w:pStyle w:val="ListParagraph"/>
        <w:numPr>
          <w:ilvl w:val="0"/>
          <w:numId w:val="18"/>
        </w:numPr>
        <w:jc w:val="both"/>
        <w:rPr>
          <w:rFonts w:ascii="Arial" w:hAnsi="Arial" w:cs="Arial"/>
          <w:lang w:val="es-AR"/>
        </w:rPr>
      </w:pPr>
      <w:r w:rsidRPr="00476F57">
        <w:rPr>
          <w:rFonts w:ascii="Arial" w:hAnsi="Arial" w:cs="Arial"/>
          <w:lang w:val="es-AR"/>
        </w:rPr>
        <w:t>Los beneficios de REDES se computaron a partir de</w:t>
      </w:r>
      <w:r w:rsidR="00E54E23" w:rsidRPr="00476F57">
        <w:rPr>
          <w:rFonts w:ascii="Arial" w:hAnsi="Arial" w:cs="Arial"/>
          <w:lang w:val="es-AR"/>
        </w:rPr>
        <w:t xml:space="preserve"> la suma de</w:t>
      </w:r>
      <w:r w:rsidRPr="00476F57">
        <w:rPr>
          <w:rFonts w:ascii="Arial" w:hAnsi="Arial" w:cs="Arial"/>
          <w:lang w:val="es-AR"/>
        </w:rPr>
        <w:t xml:space="preserve">: (i) el </w:t>
      </w:r>
      <w:r w:rsidR="00DB1E26" w:rsidRPr="00476F57">
        <w:rPr>
          <w:rFonts w:ascii="Arial" w:hAnsi="Arial" w:cs="Arial"/>
          <w:lang w:val="es-AR"/>
        </w:rPr>
        <w:t xml:space="preserve">ahorro en costos médicos directos por el </w:t>
      </w:r>
      <w:r w:rsidRPr="00476F57">
        <w:rPr>
          <w:rFonts w:ascii="Arial" w:hAnsi="Arial" w:cs="Arial"/>
          <w:lang w:val="es-AR"/>
        </w:rPr>
        <w:t>número de eventos</w:t>
      </w:r>
      <w:r w:rsidR="003B0845" w:rsidRPr="00476F57">
        <w:rPr>
          <w:rFonts w:ascii="Arial" w:hAnsi="Arial" w:cs="Arial"/>
          <w:lang w:val="es-AR"/>
        </w:rPr>
        <w:t xml:space="preserve"> médicos asociados a hipertensión y diabetes que </w:t>
      </w:r>
      <w:r w:rsidR="00DB1E26" w:rsidRPr="00476F57">
        <w:rPr>
          <w:rFonts w:ascii="Arial" w:hAnsi="Arial" w:cs="Arial"/>
          <w:lang w:val="es-AR"/>
        </w:rPr>
        <w:t>se evitaron</w:t>
      </w:r>
      <w:r w:rsidR="003B0845" w:rsidRPr="00476F57">
        <w:rPr>
          <w:rFonts w:ascii="Arial" w:hAnsi="Arial" w:cs="Arial"/>
          <w:lang w:val="es-AR"/>
        </w:rPr>
        <w:t xml:space="preserve"> a </w:t>
      </w:r>
      <w:r w:rsidR="00DB1E26" w:rsidRPr="00476F57">
        <w:rPr>
          <w:rFonts w:ascii="Arial" w:hAnsi="Arial" w:cs="Arial"/>
          <w:lang w:val="es-AR"/>
        </w:rPr>
        <w:t>partir</w:t>
      </w:r>
      <w:r w:rsidR="003B0845" w:rsidRPr="00476F57">
        <w:rPr>
          <w:rFonts w:ascii="Arial" w:hAnsi="Arial" w:cs="Arial"/>
          <w:lang w:val="es-AR"/>
        </w:rPr>
        <w:t xml:space="preserve"> del incremento </w:t>
      </w:r>
      <w:r w:rsidR="00DB1E26" w:rsidRPr="00476F57">
        <w:rPr>
          <w:rFonts w:ascii="Arial" w:hAnsi="Arial" w:cs="Arial"/>
          <w:lang w:val="es-AR"/>
        </w:rPr>
        <w:t>(</w:t>
      </w:r>
      <w:r w:rsidR="003B0845" w:rsidRPr="00476F57">
        <w:rPr>
          <w:rFonts w:ascii="Arial" w:hAnsi="Arial" w:cs="Arial"/>
          <w:lang w:val="es-AR"/>
        </w:rPr>
        <w:t>atribuible al programa</w:t>
      </w:r>
      <w:r w:rsidR="00DB1E26" w:rsidRPr="00476F57">
        <w:rPr>
          <w:rFonts w:ascii="Arial" w:hAnsi="Arial" w:cs="Arial"/>
          <w:lang w:val="es-AR"/>
        </w:rPr>
        <w:t xml:space="preserve">) </w:t>
      </w:r>
      <w:r w:rsidR="003B0845" w:rsidRPr="00476F57">
        <w:rPr>
          <w:rFonts w:ascii="Arial" w:hAnsi="Arial" w:cs="Arial"/>
          <w:lang w:val="es-AR"/>
        </w:rPr>
        <w:t xml:space="preserve">en el </w:t>
      </w:r>
      <w:r w:rsidR="00DB1E26" w:rsidRPr="00476F57">
        <w:rPr>
          <w:rFonts w:ascii="Arial" w:hAnsi="Arial" w:cs="Arial"/>
          <w:lang w:val="es-AR"/>
        </w:rPr>
        <w:t>número</w:t>
      </w:r>
      <w:r w:rsidR="003B0845" w:rsidRPr="00476F57">
        <w:rPr>
          <w:rFonts w:ascii="Arial" w:hAnsi="Arial" w:cs="Arial"/>
          <w:lang w:val="es-AR"/>
        </w:rPr>
        <w:t xml:space="preserve"> de personas con estos padecimientos que fueron tratados; y (ii) </w:t>
      </w:r>
      <w:r w:rsidR="00E54E23" w:rsidRPr="00476F57">
        <w:rPr>
          <w:rFonts w:ascii="Arial" w:hAnsi="Arial" w:cs="Arial"/>
          <w:lang w:val="es-AR"/>
        </w:rPr>
        <w:t>la valuación del ahorro (en valor presente neto) por los años de vida prematura que se evitaron de forma atribuible al programa</w:t>
      </w:r>
      <w:r w:rsidR="00B60C5F" w:rsidRPr="00476F57">
        <w:rPr>
          <w:rFonts w:ascii="Arial" w:hAnsi="Arial" w:cs="Arial"/>
          <w:lang w:val="es-AR"/>
        </w:rPr>
        <w:t>, comparando tasas de mortalidad entre localidades REDES y no REDES</w:t>
      </w:r>
      <w:r w:rsidR="00B60C5F" w:rsidRPr="00476F57">
        <w:rPr>
          <w:rStyle w:val="FootnoteReference"/>
          <w:rFonts w:ascii="Arial" w:hAnsi="Arial" w:cs="Arial"/>
          <w:lang w:val="es-AR"/>
        </w:rPr>
        <w:footnoteReference w:id="1"/>
      </w:r>
      <w:r w:rsidR="00E54E23" w:rsidRPr="00476F57">
        <w:rPr>
          <w:rFonts w:ascii="Arial" w:hAnsi="Arial" w:cs="Arial"/>
          <w:lang w:val="es-AR"/>
        </w:rPr>
        <w:t xml:space="preserve">. Estos beneficios fueron comparados contra el costo total del programa REDES, arrojando </w:t>
      </w:r>
      <w:r w:rsidR="00C76F5F" w:rsidRPr="00476F57">
        <w:rPr>
          <w:rFonts w:ascii="Arial" w:hAnsi="Arial" w:cs="Arial"/>
          <w:lang w:val="es-AR"/>
        </w:rPr>
        <w:t xml:space="preserve">una razón costo-beneficio de </w:t>
      </w:r>
      <w:r w:rsidR="00000454" w:rsidRPr="00476F57">
        <w:rPr>
          <w:rFonts w:ascii="Arial" w:hAnsi="Arial" w:cs="Arial"/>
          <w:lang w:val="es-AR"/>
        </w:rPr>
        <w:t>1</w:t>
      </w:r>
      <w:r w:rsidR="00672E05">
        <w:rPr>
          <w:rFonts w:ascii="Arial" w:hAnsi="Arial" w:cs="Arial"/>
          <w:lang w:val="es-AR"/>
        </w:rPr>
        <w:t>,4.</w:t>
      </w:r>
    </w:p>
    <w:p w:rsidR="00F83FA0" w:rsidRPr="00476F57" w:rsidRDefault="00F83FA0" w:rsidP="00F83FA0">
      <w:pPr>
        <w:rPr>
          <w:rFonts w:ascii="Arial" w:hAnsi="Arial" w:cs="Arial"/>
          <w:b/>
          <w:i/>
          <w:lang w:val="es-AR"/>
        </w:rPr>
      </w:pPr>
      <w:r w:rsidRPr="00476F57">
        <w:rPr>
          <w:rFonts w:ascii="Arial" w:hAnsi="Arial" w:cs="Arial"/>
          <w:b/>
          <w:i/>
          <w:lang w:val="es-AR"/>
        </w:rPr>
        <w:t xml:space="preserve">Eventos potencialmente evitados (EPE) </w:t>
      </w:r>
    </w:p>
    <w:p w:rsidR="00F83FA0" w:rsidRPr="00476F57" w:rsidRDefault="00F83FA0" w:rsidP="00544F02">
      <w:pPr>
        <w:pStyle w:val="ListParagraph"/>
        <w:numPr>
          <w:ilvl w:val="0"/>
          <w:numId w:val="18"/>
        </w:numPr>
        <w:jc w:val="both"/>
        <w:rPr>
          <w:rFonts w:ascii="Arial" w:hAnsi="Arial" w:cs="Arial"/>
          <w:lang w:val="es-AR"/>
        </w:rPr>
      </w:pPr>
      <w:r w:rsidRPr="00476F57">
        <w:rPr>
          <w:rFonts w:ascii="Arial" w:hAnsi="Arial" w:cs="Arial"/>
          <w:lang w:val="es-AR"/>
        </w:rPr>
        <w:t>En primer lugar se estimó el número necesario a tratar (NNT) para evitar eventos asociados a la hipertensión (accidente cerebro vascular, eventos cardiovasculares y mortalidad asociada) y a la diabetes (infarto agudo de miocardio, eventos asociados y mortalidad asociada).</w:t>
      </w:r>
    </w:p>
    <w:p w:rsidR="00544F02" w:rsidRPr="00476F57" w:rsidRDefault="00544F02" w:rsidP="00544F02">
      <w:pPr>
        <w:pStyle w:val="ListParagraph"/>
        <w:jc w:val="both"/>
        <w:rPr>
          <w:rFonts w:ascii="Arial" w:hAnsi="Arial" w:cs="Arial"/>
          <w:lang w:val="es-AR"/>
        </w:rPr>
      </w:pPr>
    </w:p>
    <w:p w:rsidR="00F83FA0" w:rsidRPr="00476F57" w:rsidRDefault="00F83FA0" w:rsidP="00544F02">
      <w:pPr>
        <w:pStyle w:val="ListParagraph"/>
        <w:numPr>
          <w:ilvl w:val="0"/>
          <w:numId w:val="18"/>
        </w:numPr>
        <w:jc w:val="both"/>
        <w:rPr>
          <w:rFonts w:ascii="Arial" w:hAnsi="Arial" w:cs="Arial"/>
          <w:lang w:val="es-AR"/>
        </w:rPr>
      </w:pPr>
      <w:r w:rsidRPr="00476F57">
        <w:rPr>
          <w:rFonts w:ascii="Arial" w:hAnsi="Arial" w:cs="Arial"/>
          <w:lang w:val="es-AR"/>
        </w:rPr>
        <w:t>Se calculó el NNT en base a riesgos relativos (RR)</w:t>
      </w:r>
      <w:r w:rsidR="00544F02" w:rsidRPr="00476F57">
        <w:rPr>
          <w:rStyle w:val="FootnoteReference"/>
          <w:rFonts w:ascii="Arial" w:hAnsi="Arial" w:cs="Arial"/>
          <w:lang w:val="es-AR"/>
        </w:rPr>
        <w:footnoteReference w:id="2"/>
      </w:r>
      <w:r w:rsidR="00672E05">
        <w:rPr>
          <w:rFonts w:ascii="Arial" w:hAnsi="Arial" w:cs="Arial"/>
          <w:lang w:val="es-AR"/>
        </w:rPr>
        <w:t>.</w:t>
      </w:r>
      <w:r w:rsidRPr="00476F57">
        <w:rPr>
          <w:rFonts w:ascii="Arial" w:hAnsi="Arial" w:cs="Arial"/>
          <w:lang w:val="es-AR"/>
        </w:rPr>
        <w:t xml:space="preserve"> Se tuvieron en cuenta los riesgos relativos para tratamientos efectuados con Beta Bloqueantes, Tiazidas e Inhibidores de la ECA (IECAS); y acerca de la reducción de eventos relacionados con la DBT atribuible a los tratamientos con Metformina.</w:t>
      </w:r>
      <w:r w:rsidR="00544F02" w:rsidRPr="00476F57">
        <w:rPr>
          <w:rFonts w:ascii="Arial" w:hAnsi="Arial" w:cs="Arial"/>
          <w:lang w:val="es-AR"/>
        </w:rPr>
        <w:t xml:space="preserve"> Estos medicamentos están disponibles en forma gratuita para consultantes </w:t>
      </w:r>
      <w:r w:rsidR="00C76F5F" w:rsidRPr="00476F57">
        <w:rPr>
          <w:rFonts w:ascii="Arial" w:hAnsi="Arial" w:cs="Arial"/>
          <w:lang w:val="es-AR"/>
        </w:rPr>
        <w:t>a</w:t>
      </w:r>
      <w:r w:rsidR="00544F02" w:rsidRPr="00476F57">
        <w:rPr>
          <w:rFonts w:ascii="Arial" w:hAnsi="Arial" w:cs="Arial"/>
          <w:lang w:val="es-AR"/>
        </w:rPr>
        <w:t xml:space="preserve"> los Centros de Atención Primaria de la Salud</w:t>
      </w:r>
      <w:r w:rsidR="00C76F5F" w:rsidRPr="00476F57">
        <w:rPr>
          <w:rFonts w:ascii="Arial" w:hAnsi="Arial" w:cs="Arial"/>
          <w:lang w:val="es-AR"/>
        </w:rPr>
        <w:t>,</w:t>
      </w:r>
      <w:r w:rsidR="00544F02" w:rsidRPr="00476F57">
        <w:rPr>
          <w:rFonts w:ascii="Arial" w:hAnsi="Arial" w:cs="Arial"/>
          <w:lang w:val="es-AR"/>
        </w:rPr>
        <w:t xml:space="preserve"> a través del Programa Cobertura Universal de Salud Medicamentos (otrora REMEDIAR).</w:t>
      </w:r>
    </w:p>
    <w:p w:rsidR="00F83FA0" w:rsidRPr="00476F57" w:rsidRDefault="00F83FA0" w:rsidP="00F83FA0">
      <w:pPr>
        <w:jc w:val="both"/>
        <w:rPr>
          <w:rFonts w:ascii="Arial" w:hAnsi="Arial" w:cs="Arial"/>
          <w:lang w:val="es-AR"/>
        </w:rPr>
      </w:pPr>
      <m:oMathPara>
        <m:oMath>
          <m:r>
            <w:rPr>
              <w:rFonts w:ascii="Cambria Math" w:hAnsi="Cambria Math" w:cs="Arial"/>
              <w:lang w:val="es-AR"/>
            </w:rPr>
            <m:t>NNT=</m:t>
          </m:r>
          <m:d>
            <m:dPr>
              <m:begChr m:val="|"/>
              <m:endChr m:val="|"/>
              <m:ctrlPr>
                <w:rPr>
                  <w:rFonts w:ascii="Cambria Math" w:hAnsi="Cambria Math" w:cs="Arial"/>
                  <w:i/>
                  <w:lang w:val="es-AR"/>
                </w:rPr>
              </m:ctrlPr>
            </m:dPr>
            <m:e>
              <m:f>
                <m:fPr>
                  <m:ctrlPr>
                    <w:rPr>
                      <w:rFonts w:ascii="Cambria Math" w:hAnsi="Cambria Math" w:cs="Arial"/>
                      <w:i/>
                      <w:lang w:val="es-AR"/>
                    </w:rPr>
                  </m:ctrlPr>
                </m:fPr>
                <m:num>
                  <m:r>
                    <w:rPr>
                      <w:rFonts w:ascii="Cambria Math" w:hAnsi="Cambria Math" w:cs="Arial"/>
                      <w:lang w:val="es-AR"/>
                    </w:rPr>
                    <m:t>1</m:t>
                  </m:r>
                </m:num>
                <m:den>
                  <m:r>
                    <w:rPr>
                      <w:rFonts w:ascii="Cambria Math" w:hAnsi="Cambria Math" w:cs="Arial"/>
                      <w:lang w:val="es-AR"/>
                    </w:rPr>
                    <m:t>ACR×(1-RR)</m:t>
                  </m:r>
                </m:den>
              </m:f>
            </m:e>
          </m:d>
        </m:oMath>
      </m:oMathPara>
    </w:p>
    <w:p w:rsidR="00544F02" w:rsidRPr="00476F57" w:rsidRDefault="00F83FA0" w:rsidP="003B0845">
      <w:pPr>
        <w:pStyle w:val="ListParagraph"/>
        <w:numPr>
          <w:ilvl w:val="0"/>
          <w:numId w:val="18"/>
        </w:numPr>
        <w:jc w:val="both"/>
        <w:rPr>
          <w:rFonts w:ascii="Arial" w:hAnsi="Arial" w:cs="Arial"/>
          <w:lang w:val="es-ES"/>
        </w:rPr>
      </w:pPr>
      <w:r w:rsidRPr="00476F57">
        <w:rPr>
          <w:rFonts w:ascii="Arial" w:hAnsi="Arial" w:cs="Arial"/>
          <w:lang w:val="es-ES"/>
        </w:rPr>
        <w:lastRenderedPageBreak/>
        <w:t>Por ejemplo, si el RR=0,47 y el Riesgo asumido del grupo control (ACR) es de 0.019, entonces el NNT=1/0.01, es decir NNT=99. Para estimar el NNT anualizado, se multiplica el NNT estimado por el tiempo promedio de tratamiento reportado. En nuestro ejemplo el tiempo de seguimiento fue de 3,6 años, por lo que el NNT anualizado es de 358 (Tabla 1).</w:t>
      </w:r>
    </w:p>
    <w:p w:rsidR="00544F02" w:rsidRPr="00476F57" w:rsidRDefault="00544F02" w:rsidP="006A4ED8">
      <w:pPr>
        <w:pStyle w:val="ListParagraph"/>
        <w:spacing w:after="0" w:line="240" w:lineRule="auto"/>
        <w:jc w:val="both"/>
        <w:rPr>
          <w:rFonts w:ascii="Arial" w:hAnsi="Arial" w:cs="Arial"/>
          <w:lang w:val="es-ES"/>
        </w:rPr>
      </w:pPr>
    </w:p>
    <w:p w:rsidR="00F83FA0" w:rsidRPr="00476F57" w:rsidRDefault="00F83FA0" w:rsidP="003B0845">
      <w:pPr>
        <w:pStyle w:val="ListParagraph"/>
        <w:numPr>
          <w:ilvl w:val="0"/>
          <w:numId w:val="18"/>
        </w:numPr>
        <w:jc w:val="both"/>
        <w:rPr>
          <w:rFonts w:ascii="Arial" w:hAnsi="Arial" w:cs="Arial"/>
          <w:lang w:val="es-ES"/>
        </w:rPr>
      </w:pPr>
      <w:r w:rsidRPr="00476F57">
        <w:rPr>
          <w:rFonts w:ascii="Arial" w:hAnsi="Arial" w:cs="Arial"/>
          <w:lang w:val="es-ES"/>
        </w:rPr>
        <w:t xml:space="preserve">Para el análisis de los resultados relacionados con la prevención de eventos en HTA se consideró como fuente principal de información un Metanálisis de la Colaboración Cochrane, publicado por Wright y </w:t>
      </w:r>
      <w:r w:rsidR="00544F02" w:rsidRPr="00476F57">
        <w:rPr>
          <w:rFonts w:ascii="Arial" w:hAnsi="Arial" w:cs="Arial"/>
          <w:lang w:val="es-ES"/>
        </w:rPr>
        <w:t>C</w:t>
      </w:r>
      <w:r w:rsidRPr="00476F57">
        <w:rPr>
          <w:rFonts w:ascii="Arial" w:hAnsi="Arial" w:cs="Arial"/>
          <w:lang w:val="es-ES"/>
        </w:rPr>
        <w:t>ols en el año 2009</w:t>
      </w:r>
      <w:r w:rsidR="00544F02" w:rsidRPr="00476F57">
        <w:rPr>
          <w:rFonts w:ascii="Arial" w:hAnsi="Arial" w:cs="Arial"/>
          <w:lang w:val="es-ES"/>
        </w:rPr>
        <w:t>,</w:t>
      </w:r>
      <w:r w:rsidRPr="00476F57">
        <w:rPr>
          <w:rFonts w:ascii="Arial" w:hAnsi="Arial" w:cs="Arial"/>
          <w:lang w:val="es-ES"/>
        </w:rPr>
        <w:t xml:space="preserve"> que incluyó 57 estudios y 58.040 pacientes.</w:t>
      </w:r>
      <w:r w:rsidRPr="00476F57">
        <w:rPr>
          <w:rFonts w:ascii="Arial" w:hAnsi="Arial" w:cs="Arial"/>
          <w:lang w:val="es-ES"/>
        </w:rPr>
        <w:fldChar w:fldCharType="begin"/>
      </w:r>
      <w:r w:rsidRPr="00476F57">
        <w:rPr>
          <w:rFonts w:ascii="Arial" w:hAnsi="Arial" w:cs="Arial"/>
          <w:lang w:val="es-ES"/>
        </w:rPr>
        <w:instrText xml:space="preserve"> ADDIN EN.CITE &lt;EndNote&gt;&lt;Cite&gt;&lt;Author&gt;Wright&lt;/Author&gt;&lt;Year&gt;2009&lt;/Year&gt;&lt;RecNum&gt;15&lt;/RecNum&gt;&lt;DisplayText&gt;[1]&lt;/DisplayText&gt;&lt;record&gt;&lt;rec-number&gt;15&lt;/rec-number&gt;&lt;foreign-keys&gt;&lt;key app="EN" db-id="s2fdxx5as0er0oe9vfk5px9xsxzeztas5t5e"&gt;15&lt;/key&gt;&lt;/foreign-keys&gt;&lt;ref-type name="Journal Article"&gt;17&lt;/ref-type&gt;&lt;contributors&gt;&lt;authors&gt;&lt;author&gt;Wright, J. M.&lt;/author&gt;&lt;author&gt;Musini, V. M.&lt;/author&gt;&lt;/authors&gt;&lt;/contributors&gt;&lt;auth-address&gt;Department of Anesthesiology, Pharmacology and Therapeutics, University of British Columbia, 2176 Health Sciences Mall, Vancouver, BC, Canada, V6T 1Z3.&lt;/auth-address&gt;&lt;titles&gt;&lt;title&gt;First-line drugs for hypertension&lt;/title&gt;&lt;secondary-title&gt;Cochrane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reviews&lt;/abbr-1&gt;&lt;/alt-periodical&gt;&lt;pages&gt;CD001841&lt;/pages&gt;&lt;number&gt;3&lt;/number&gt;&lt;keywords&gt;&lt;keyword&gt;Adrenergic beta-Antagonists/therapeutic use&lt;/keyword&gt;&lt;keyword&gt;Angiotensin-Converting Enzyme Inhibitors/therapeutic use&lt;/keyword&gt;&lt;keyword&gt;Antihypertensive Agents/adverse effects/*therapeutic use&lt;/keyword&gt;&lt;keyword&gt;Calcium Channel Blockers/therapeutic use&lt;/keyword&gt;&lt;keyword&gt;Coronary Disease/prevention &amp;amp; control&lt;/keyword&gt;&lt;keyword&gt;Humans&lt;/keyword&gt;&lt;keyword&gt;Hypertension/*drug therapy/mortality&lt;/keyword&gt;&lt;keyword&gt;Randomized Controlled Trials as Topic&lt;/keyword&gt;&lt;keyword&gt;Sodium Chloride Symporter Inhibitors/therapeutic use&lt;/keyword&gt;&lt;keyword&gt;Stroke/prevention &amp;amp; control&lt;/keyword&gt;&lt;/keywords&gt;&lt;dates&gt;&lt;year&gt;2009&lt;/year&gt;&lt;/dates&gt;&lt;isbn&gt;1469-493X (Electronic)&amp;#xD;1361-6137 (Linking)&lt;/isbn&gt;&lt;accession-num&gt;19588327&lt;/accession-num&gt;&lt;urls&gt;&lt;related-urls&gt;&lt;url&gt;http://www.ncbi.nlm.nih.gov/pubmed/19588327&lt;/url&gt;&lt;/related-urls&gt;&lt;/urls&gt;&lt;electronic-resource-num&gt;10.1002/14651858.CD001841.pub2&lt;/electronic-resource-num&gt;&lt;/record&gt;&lt;/Cite&gt;&lt;/EndNote&gt;</w:instrText>
      </w:r>
      <w:r w:rsidRPr="00476F57">
        <w:rPr>
          <w:rFonts w:ascii="Arial" w:hAnsi="Arial" w:cs="Arial"/>
          <w:lang w:val="es-ES"/>
        </w:rPr>
        <w:fldChar w:fldCharType="separate"/>
      </w:r>
      <w:r w:rsidRPr="00476F57">
        <w:rPr>
          <w:rFonts w:ascii="Arial" w:hAnsi="Arial" w:cs="Arial"/>
          <w:noProof/>
          <w:lang w:val="es-ES"/>
        </w:rPr>
        <w:t>[</w:t>
      </w:r>
      <w:hyperlink w:anchor="_ENREF_1" w:tooltip="Wright, 2009 #15" w:history="1">
        <w:r w:rsidRPr="00476F57">
          <w:rPr>
            <w:rFonts w:ascii="Arial" w:hAnsi="Arial" w:cs="Arial"/>
            <w:noProof/>
            <w:lang w:val="es-ES"/>
          </w:rPr>
          <w:t>1</w:t>
        </w:r>
      </w:hyperlink>
      <w:r w:rsidRPr="00476F57">
        <w:rPr>
          <w:rFonts w:ascii="Arial" w:hAnsi="Arial" w:cs="Arial"/>
          <w:noProof/>
          <w:lang w:val="es-ES"/>
        </w:rPr>
        <w:t>]</w:t>
      </w:r>
      <w:r w:rsidRPr="00476F57">
        <w:rPr>
          <w:rFonts w:ascii="Arial" w:hAnsi="Arial" w:cs="Arial"/>
          <w:lang w:val="es-ES"/>
        </w:rPr>
        <w:fldChar w:fldCharType="end"/>
      </w:r>
      <w:r w:rsidRPr="00476F57">
        <w:rPr>
          <w:rFonts w:ascii="Arial" w:hAnsi="Arial" w:cs="Arial"/>
          <w:lang w:val="es-ES"/>
        </w:rPr>
        <w:t xml:space="preserve"> Para el análisis de los resultados relacionados con la prevención de eventos relacionados con la DBT tipo 2 se consideró como fuente principal de información el Ensayo Clínico Controlado Aleatorizado UKPDS 34, publicado en 1998</w:t>
      </w:r>
      <w:r w:rsidRPr="00476F57">
        <w:rPr>
          <w:rFonts w:ascii="Arial" w:hAnsi="Arial" w:cs="Arial"/>
          <w:lang w:val="es-MX"/>
        </w:rPr>
        <w:t xml:space="preserve"> ya que representa un estudio cardinal cuyo aporte sobre la evidencia acerca de la disminución de la mortalidad y eventos vasculares en pacientes tratados con Metformina marcó un importante cambio en la práctica.</w:t>
      </w:r>
      <w:r w:rsidRPr="00476F57">
        <w:rPr>
          <w:rFonts w:ascii="Arial" w:hAnsi="Arial" w:cs="Arial"/>
          <w:lang w:val="es-MX"/>
        </w:rPr>
        <w:fldChar w:fldCharType="begin"/>
      </w:r>
      <w:r w:rsidRPr="00476F57">
        <w:rPr>
          <w:rFonts w:ascii="Arial" w:hAnsi="Arial" w:cs="Arial"/>
          <w:lang w:val="es-MX"/>
        </w:rPr>
        <w:instrText xml:space="preserve"> ADDIN EN.CITE &lt;EndNote&gt;&lt;Cite&gt;&lt;Author&gt;Group&lt;/Author&gt;&lt;Year&gt;1998&lt;/Year&gt;&lt;RecNum&gt;36&lt;/RecNum&gt;&lt;DisplayText&gt;[2]&lt;/DisplayText&gt;&lt;record&gt;&lt;rec-number&gt;36&lt;/rec-number&gt;&lt;foreign-keys&gt;&lt;key app="EN" db-id="s2fdxx5as0er0oe9vfk5px9xsxzeztas5t5e"&gt;36&lt;/key&gt;&lt;/foreign-keys&gt;&lt;ref-type name="Journal Article"&gt;17&lt;/ref-type&gt;&lt;contributors&gt;&lt;authors&gt;&lt;author&gt;UK Prospective Diabetes Study Group&lt;/author&gt;&lt;/authors&gt;&lt;/contributors&gt;&lt;titles&gt;&lt;title&gt;Effect of intensive blood-glucose control with metformin on complications in overweight patients with type 2 diabetes (UKPDS 34)&lt;/title&gt;&lt;secondary-title&gt;The Lancet&lt;/secondary-title&gt;&lt;/titles&gt;&lt;periodical&gt;&lt;full-title&gt;The Lancet&lt;/full-title&gt;&lt;/periodical&gt;&lt;pages&gt;854-865&lt;/pages&gt;&lt;volume&gt;352&lt;/volume&gt;&lt;number&gt;9131&lt;/number&gt;&lt;dates&gt;&lt;year&gt;1998&lt;/year&gt;&lt;/dates&gt;&lt;isbn&gt;0140-6736&lt;/isbn&gt;&lt;urls&gt;&lt;/urls&gt;&lt;/record&gt;&lt;/Cite&gt;&lt;/EndNote&gt;</w:instrText>
      </w:r>
      <w:r w:rsidRPr="00476F57">
        <w:rPr>
          <w:rFonts w:ascii="Arial" w:hAnsi="Arial" w:cs="Arial"/>
          <w:lang w:val="es-MX"/>
        </w:rPr>
        <w:fldChar w:fldCharType="separate"/>
      </w:r>
      <w:r w:rsidRPr="00476F57">
        <w:rPr>
          <w:rFonts w:ascii="Arial" w:hAnsi="Arial" w:cs="Arial"/>
          <w:noProof/>
          <w:lang w:val="es-MX"/>
        </w:rPr>
        <w:t>[</w:t>
      </w:r>
      <w:hyperlink w:anchor="_ENREF_2" w:tooltip="Group, 1998 #36" w:history="1">
        <w:r w:rsidRPr="00476F57">
          <w:rPr>
            <w:rFonts w:ascii="Arial" w:hAnsi="Arial" w:cs="Arial"/>
            <w:noProof/>
            <w:lang w:val="es-MX"/>
          </w:rPr>
          <w:t>2</w:t>
        </w:r>
      </w:hyperlink>
      <w:r w:rsidRPr="00476F57">
        <w:rPr>
          <w:rFonts w:ascii="Arial" w:hAnsi="Arial" w:cs="Arial"/>
          <w:noProof/>
          <w:lang w:val="es-MX"/>
        </w:rPr>
        <w:t>]</w:t>
      </w:r>
      <w:r w:rsidRPr="00476F57">
        <w:rPr>
          <w:rFonts w:ascii="Arial" w:hAnsi="Arial" w:cs="Arial"/>
          <w:lang w:val="es-MX"/>
        </w:rPr>
        <w:fldChar w:fldCharType="end"/>
      </w:r>
    </w:p>
    <w:tbl>
      <w:tblPr>
        <w:tblW w:w="7245" w:type="dxa"/>
        <w:jc w:val="center"/>
        <w:tblLook w:val="04A0" w:firstRow="1" w:lastRow="0" w:firstColumn="1" w:lastColumn="0" w:noHBand="0" w:noVBand="1"/>
      </w:tblPr>
      <w:tblGrid>
        <w:gridCol w:w="285"/>
        <w:gridCol w:w="2070"/>
        <w:gridCol w:w="754"/>
        <w:gridCol w:w="1030"/>
        <w:gridCol w:w="666"/>
        <w:gridCol w:w="1320"/>
        <w:gridCol w:w="1147"/>
      </w:tblGrid>
      <w:tr w:rsidR="00F83FA0" w:rsidRPr="006A4ED8" w:rsidTr="00F83FA0">
        <w:trPr>
          <w:trHeight w:val="315"/>
          <w:jc w:val="center"/>
        </w:trPr>
        <w:tc>
          <w:tcPr>
            <w:tcW w:w="7245" w:type="dxa"/>
            <w:gridSpan w:val="7"/>
            <w:tcBorders>
              <w:top w:val="nil"/>
              <w:left w:val="nil"/>
              <w:bottom w:val="single" w:sz="8" w:space="0" w:color="FFFFFF"/>
              <w:right w:val="nil"/>
            </w:tcBorders>
            <w:shd w:val="clear" w:color="auto" w:fill="auto"/>
            <w:noWrap/>
            <w:vAlign w:val="bottom"/>
            <w:hideMark/>
          </w:tcPr>
          <w:p w:rsidR="00F83FA0" w:rsidRPr="00672E05" w:rsidRDefault="00F83FA0" w:rsidP="00672E05">
            <w:pPr>
              <w:spacing w:after="0" w:line="240" w:lineRule="auto"/>
              <w:jc w:val="center"/>
              <w:rPr>
                <w:rFonts w:ascii="Arial" w:eastAsia="Times New Roman" w:hAnsi="Arial" w:cs="Arial"/>
                <w:b/>
                <w:bCs/>
                <w:color w:val="000000"/>
                <w:sz w:val="18"/>
                <w:szCs w:val="18"/>
                <w:lang w:val="es-ES"/>
              </w:rPr>
            </w:pPr>
            <w:r w:rsidRPr="00672E05">
              <w:rPr>
                <w:rFonts w:ascii="Arial" w:eastAsia="Times New Roman" w:hAnsi="Arial" w:cs="Arial"/>
                <w:b/>
                <w:bCs/>
                <w:color w:val="000000"/>
                <w:sz w:val="18"/>
                <w:szCs w:val="18"/>
                <w:lang w:val="es-ES"/>
              </w:rPr>
              <w:t>Tabla 1: Estimación del número necesario a tratar (NNT)</w:t>
            </w:r>
          </w:p>
        </w:tc>
      </w:tr>
      <w:tr w:rsidR="00F83FA0" w:rsidRPr="00672E05" w:rsidTr="00F83FA0">
        <w:trPr>
          <w:trHeight w:val="655"/>
          <w:jc w:val="center"/>
        </w:trPr>
        <w:tc>
          <w:tcPr>
            <w:tcW w:w="2355" w:type="dxa"/>
            <w:gridSpan w:val="2"/>
            <w:tcBorders>
              <w:top w:val="nil"/>
              <w:left w:val="single" w:sz="8" w:space="0" w:color="FFFFFF"/>
              <w:bottom w:val="single" w:sz="8" w:space="0" w:color="FFFFFF"/>
              <w:right w:val="single" w:sz="8" w:space="0" w:color="FFFFFF"/>
            </w:tcBorders>
            <w:shd w:val="clear" w:color="000000" w:fill="538DD5"/>
            <w:vAlign w:val="center"/>
            <w:hideMark/>
          </w:tcPr>
          <w:p w:rsidR="00F83FA0" w:rsidRPr="00672E05" w:rsidRDefault="00F83FA0" w:rsidP="00672E05">
            <w:pPr>
              <w:spacing w:after="0" w:line="240" w:lineRule="auto"/>
              <w:jc w:val="center"/>
              <w:rPr>
                <w:rFonts w:ascii="Arial" w:eastAsia="Times New Roman" w:hAnsi="Arial" w:cs="Arial"/>
                <w:b/>
                <w:bCs/>
                <w:color w:val="FFFFFF"/>
                <w:sz w:val="18"/>
                <w:szCs w:val="18"/>
                <w:lang w:val="es-ES"/>
              </w:rPr>
            </w:pPr>
            <w:r w:rsidRPr="00672E05">
              <w:rPr>
                <w:rFonts w:ascii="Arial" w:eastAsia="Times New Roman" w:hAnsi="Arial" w:cs="Arial"/>
                <w:b/>
                <w:bCs/>
                <w:color w:val="FFFFFF"/>
                <w:sz w:val="18"/>
                <w:szCs w:val="18"/>
                <w:lang w:val="es-ES"/>
              </w:rPr>
              <w:t> </w:t>
            </w:r>
          </w:p>
          <w:p w:rsidR="00F83FA0" w:rsidRPr="00672E05" w:rsidRDefault="00F83FA0" w:rsidP="00672E05">
            <w:pPr>
              <w:spacing w:after="0" w:line="240" w:lineRule="auto"/>
              <w:jc w:val="center"/>
              <w:rPr>
                <w:rFonts w:ascii="Arial" w:eastAsia="Times New Roman" w:hAnsi="Arial" w:cs="Arial"/>
                <w:b/>
                <w:bCs/>
                <w:color w:val="FFFFFF"/>
                <w:sz w:val="18"/>
                <w:szCs w:val="18"/>
                <w:lang w:val="es-ES"/>
              </w:rPr>
            </w:pPr>
            <w:r w:rsidRPr="00672E05">
              <w:rPr>
                <w:rFonts w:ascii="Arial" w:eastAsia="Times New Roman" w:hAnsi="Arial" w:cs="Arial"/>
                <w:b/>
                <w:bCs/>
                <w:color w:val="FFFFFF"/>
                <w:sz w:val="18"/>
                <w:szCs w:val="18"/>
                <w:lang w:val="es-ES"/>
              </w:rPr>
              <w:t> </w:t>
            </w:r>
          </w:p>
        </w:tc>
        <w:tc>
          <w:tcPr>
            <w:tcW w:w="754" w:type="dxa"/>
            <w:tcBorders>
              <w:top w:val="nil"/>
              <w:left w:val="nil"/>
              <w:bottom w:val="single" w:sz="8" w:space="0" w:color="FFFFFF"/>
              <w:right w:val="single" w:sz="8" w:space="0" w:color="FFFFFF"/>
            </w:tcBorders>
            <w:shd w:val="clear" w:color="000000" w:fill="538DD5"/>
            <w:vAlign w:val="center"/>
            <w:hideMark/>
          </w:tcPr>
          <w:p w:rsidR="00F83FA0" w:rsidRPr="00672E05" w:rsidRDefault="00F83FA0" w:rsidP="00672E05">
            <w:pPr>
              <w:spacing w:after="0" w:line="240" w:lineRule="auto"/>
              <w:jc w:val="center"/>
              <w:rPr>
                <w:rFonts w:ascii="Arial" w:eastAsia="Times New Roman" w:hAnsi="Arial" w:cs="Arial"/>
                <w:b/>
                <w:bCs/>
                <w:color w:val="FFFFFF"/>
                <w:sz w:val="18"/>
                <w:szCs w:val="18"/>
              </w:rPr>
            </w:pPr>
            <w:r w:rsidRPr="00672E05">
              <w:rPr>
                <w:rFonts w:ascii="Arial" w:eastAsia="Times New Roman" w:hAnsi="Arial" w:cs="Arial"/>
                <w:b/>
                <w:bCs/>
                <w:color w:val="FFFFFF"/>
                <w:sz w:val="18"/>
                <w:szCs w:val="18"/>
              </w:rPr>
              <w:t>RR</w:t>
            </w:r>
          </w:p>
        </w:tc>
        <w:tc>
          <w:tcPr>
            <w:tcW w:w="1030" w:type="dxa"/>
            <w:tcBorders>
              <w:top w:val="nil"/>
              <w:left w:val="nil"/>
              <w:bottom w:val="single" w:sz="8" w:space="0" w:color="FFFFFF"/>
              <w:right w:val="single" w:sz="8" w:space="0" w:color="FFFFFF"/>
            </w:tcBorders>
            <w:shd w:val="clear" w:color="000000" w:fill="538DD5"/>
            <w:vAlign w:val="center"/>
            <w:hideMark/>
          </w:tcPr>
          <w:p w:rsidR="00F83FA0" w:rsidRPr="00672E05" w:rsidRDefault="00F83FA0" w:rsidP="00672E05">
            <w:pPr>
              <w:spacing w:after="0" w:line="240" w:lineRule="auto"/>
              <w:jc w:val="center"/>
              <w:rPr>
                <w:rFonts w:ascii="Arial" w:eastAsia="Times New Roman" w:hAnsi="Arial" w:cs="Arial"/>
                <w:b/>
                <w:bCs/>
                <w:color w:val="FFFFFF"/>
                <w:sz w:val="18"/>
                <w:szCs w:val="18"/>
              </w:rPr>
            </w:pPr>
            <w:r w:rsidRPr="00672E05">
              <w:rPr>
                <w:rFonts w:ascii="Arial" w:eastAsia="Times New Roman" w:hAnsi="Arial" w:cs="Arial"/>
                <w:b/>
                <w:bCs/>
                <w:color w:val="FFFFFF"/>
                <w:sz w:val="18"/>
                <w:szCs w:val="18"/>
              </w:rPr>
              <w:t>Riesgo control</w:t>
            </w:r>
          </w:p>
        </w:tc>
        <w:tc>
          <w:tcPr>
            <w:tcW w:w="666" w:type="dxa"/>
            <w:tcBorders>
              <w:top w:val="nil"/>
              <w:left w:val="nil"/>
              <w:bottom w:val="single" w:sz="8" w:space="0" w:color="FFFFFF"/>
              <w:right w:val="single" w:sz="8" w:space="0" w:color="FFFFFF"/>
            </w:tcBorders>
            <w:shd w:val="clear" w:color="000000" w:fill="538DD5"/>
            <w:vAlign w:val="center"/>
            <w:hideMark/>
          </w:tcPr>
          <w:p w:rsidR="00F83FA0" w:rsidRPr="00672E05" w:rsidRDefault="00F83FA0" w:rsidP="00672E05">
            <w:pPr>
              <w:spacing w:after="0" w:line="240" w:lineRule="auto"/>
              <w:jc w:val="center"/>
              <w:rPr>
                <w:rFonts w:ascii="Arial" w:eastAsia="Times New Roman" w:hAnsi="Arial" w:cs="Arial"/>
                <w:b/>
                <w:bCs/>
                <w:color w:val="FFFFFF"/>
                <w:sz w:val="18"/>
                <w:szCs w:val="18"/>
              </w:rPr>
            </w:pPr>
            <w:r w:rsidRPr="00672E05">
              <w:rPr>
                <w:rFonts w:ascii="Arial" w:eastAsia="Times New Roman" w:hAnsi="Arial" w:cs="Arial"/>
                <w:b/>
                <w:bCs/>
                <w:color w:val="FFFFFF"/>
                <w:sz w:val="18"/>
                <w:szCs w:val="18"/>
              </w:rPr>
              <w:t>NNT</w:t>
            </w:r>
          </w:p>
        </w:tc>
        <w:tc>
          <w:tcPr>
            <w:tcW w:w="1320" w:type="dxa"/>
            <w:tcBorders>
              <w:top w:val="nil"/>
              <w:left w:val="nil"/>
              <w:bottom w:val="single" w:sz="8" w:space="0" w:color="FFFFFF"/>
              <w:right w:val="single" w:sz="8" w:space="0" w:color="FFFFFF"/>
            </w:tcBorders>
            <w:shd w:val="clear" w:color="000000" w:fill="538DD5"/>
            <w:vAlign w:val="center"/>
            <w:hideMark/>
          </w:tcPr>
          <w:p w:rsidR="00F83FA0" w:rsidRPr="00672E05" w:rsidRDefault="00F83FA0" w:rsidP="00672E05">
            <w:pPr>
              <w:spacing w:after="0" w:line="240" w:lineRule="auto"/>
              <w:jc w:val="center"/>
              <w:rPr>
                <w:rFonts w:ascii="Arial" w:eastAsia="Times New Roman" w:hAnsi="Arial" w:cs="Arial"/>
                <w:b/>
                <w:bCs/>
                <w:color w:val="FFFFFF"/>
                <w:sz w:val="18"/>
                <w:szCs w:val="18"/>
              </w:rPr>
            </w:pPr>
            <w:r w:rsidRPr="00672E05">
              <w:rPr>
                <w:rFonts w:ascii="Arial" w:eastAsia="Times New Roman" w:hAnsi="Arial" w:cs="Arial"/>
                <w:b/>
                <w:bCs/>
                <w:color w:val="FFFFFF"/>
                <w:sz w:val="18"/>
                <w:szCs w:val="18"/>
              </w:rPr>
              <w:t xml:space="preserve">Promedio seguimiento </w:t>
            </w:r>
          </w:p>
        </w:tc>
        <w:tc>
          <w:tcPr>
            <w:tcW w:w="1120" w:type="dxa"/>
            <w:tcBorders>
              <w:top w:val="nil"/>
              <w:left w:val="nil"/>
              <w:bottom w:val="single" w:sz="8" w:space="0" w:color="FFFFFF"/>
              <w:right w:val="single" w:sz="8" w:space="0" w:color="FFFFFF"/>
            </w:tcBorders>
            <w:shd w:val="clear" w:color="000000" w:fill="538DD5"/>
            <w:vAlign w:val="center"/>
            <w:hideMark/>
          </w:tcPr>
          <w:p w:rsidR="00F83FA0" w:rsidRPr="00672E05" w:rsidRDefault="00F83FA0" w:rsidP="00672E05">
            <w:pPr>
              <w:spacing w:after="0" w:line="240" w:lineRule="auto"/>
              <w:jc w:val="center"/>
              <w:rPr>
                <w:rFonts w:ascii="Arial" w:eastAsia="Times New Roman" w:hAnsi="Arial" w:cs="Arial"/>
                <w:b/>
                <w:bCs/>
                <w:color w:val="FFFFFF"/>
                <w:sz w:val="18"/>
                <w:szCs w:val="18"/>
              </w:rPr>
            </w:pPr>
            <w:r w:rsidRPr="00672E05">
              <w:rPr>
                <w:rFonts w:ascii="Arial" w:eastAsia="Times New Roman" w:hAnsi="Arial" w:cs="Arial"/>
                <w:b/>
                <w:bCs/>
                <w:color w:val="FFFFFF"/>
                <w:sz w:val="18"/>
                <w:szCs w:val="18"/>
              </w:rPr>
              <w:t>NNT anualizado</w:t>
            </w:r>
          </w:p>
        </w:tc>
      </w:tr>
      <w:tr w:rsidR="00F83FA0" w:rsidRPr="00672E05" w:rsidTr="00F83FA0">
        <w:trPr>
          <w:trHeight w:val="250"/>
          <w:jc w:val="center"/>
        </w:trPr>
        <w:tc>
          <w:tcPr>
            <w:tcW w:w="2355" w:type="dxa"/>
            <w:gridSpan w:val="2"/>
            <w:tcBorders>
              <w:top w:val="single" w:sz="4" w:space="0" w:color="FFFFFF"/>
              <w:left w:val="single" w:sz="4" w:space="0" w:color="FFFFFF"/>
              <w:bottom w:val="single" w:sz="4" w:space="0" w:color="FFFFFF"/>
              <w:right w:val="single" w:sz="4" w:space="0" w:color="FFFFFF"/>
            </w:tcBorders>
            <w:shd w:val="clear" w:color="000000" w:fill="BFBFBF"/>
            <w:noWrap/>
            <w:vAlign w:val="bottom"/>
            <w:hideMark/>
          </w:tcPr>
          <w:p w:rsidR="00F83FA0" w:rsidRPr="00672E05" w:rsidRDefault="00F83FA0" w:rsidP="00672E05">
            <w:pPr>
              <w:spacing w:after="0" w:line="240" w:lineRule="auto"/>
              <w:rPr>
                <w:rFonts w:ascii="Arial" w:eastAsia="Times New Roman" w:hAnsi="Arial" w:cs="Arial"/>
                <w:color w:val="000000"/>
                <w:sz w:val="18"/>
                <w:szCs w:val="18"/>
              </w:rPr>
            </w:pPr>
            <w:r w:rsidRPr="00672E05">
              <w:rPr>
                <w:rFonts w:ascii="Arial" w:eastAsia="Times New Roman" w:hAnsi="Arial" w:cs="Arial"/>
                <w:color w:val="000000"/>
                <w:sz w:val="18"/>
                <w:szCs w:val="18"/>
              </w:rPr>
              <w:t>Tiazidas </w:t>
            </w:r>
          </w:p>
        </w:tc>
        <w:tc>
          <w:tcPr>
            <w:tcW w:w="754" w:type="dxa"/>
            <w:tcBorders>
              <w:top w:val="single" w:sz="4" w:space="0" w:color="FFFFFF"/>
              <w:left w:val="nil"/>
              <w:bottom w:val="single" w:sz="4" w:space="0" w:color="FFFFFF"/>
              <w:right w:val="single" w:sz="4" w:space="0" w:color="FFFFFF"/>
            </w:tcBorders>
            <w:shd w:val="clear" w:color="000000" w:fill="BFBFBF"/>
            <w:noWrap/>
            <w:vAlign w:val="bottom"/>
            <w:hideMark/>
          </w:tcPr>
          <w:p w:rsidR="00F83FA0" w:rsidRPr="00672E05" w:rsidRDefault="00F83FA0" w:rsidP="00672E05">
            <w:pPr>
              <w:spacing w:after="0" w:line="240" w:lineRule="auto"/>
              <w:rPr>
                <w:rFonts w:ascii="Arial" w:eastAsia="Times New Roman" w:hAnsi="Arial" w:cs="Arial"/>
                <w:color w:val="000000"/>
                <w:sz w:val="18"/>
                <w:szCs w:val="18"/>
              </w:rPr>
            </w:pPr>
            <w:r w:rsidRPr="00672E05">
              <w:rPr>
                <w:rFonts w:ascii="Arial" w:eastAsia="Times New Roman" w:hAnsi="Arial" w:cs="Arial"/>
                <w:color w:val="000000"/>
                <w:sz w:val="18"/>
                <w:szCs w:val="18"/>
              </w:rPr>
              <w:t> </w:t>
            </w:r>
          </w:p>
        </w:tc>
        <w:tc>
          <w:tcPr>
            <w:tcW w:w="1030" w:type="dxa"/>
            <w:tcBorders>
              <w:top w:val="single" w:sz="4" w:space="0" w:color="FFFFFF"/>
              <w:left w:val="nil"/>
              <w:bottom w:val="single" w:sz="4" w:space="0" w:color="FFFFFF"/>
              <w:right w:val="single" w:sz="4" w:space="0" w:color="FFFFFF"/>
            </w:tcBorders>
            <w:shd w:val="clear" w:color="000000" w:fill="BFBFBF"/>
            <w:noWrap/>
            <w:vAlign w:val="bottom"/>
            <w:hideMark/>
          </w:tcPr>
          <w:p w:rsidR="00F83FA0" w:rsidRPr="00672E05" w:rsidRDefault="00F83FA0" w:rsidP="00672E05">
            <w:pPr>
              <w:spacing w:after="0" w:line="240" w:lineRule="auto"/>
              <w:rPr>
                <w:rFonts w:ascii="Arial" w:eastAsia="Times New Roman" w:hAnsi="Arial" w:cs="Arial"/>
                <w:color w:val="000000"/>
                <w:sz w:val="18"/>
                <w:szCs w:val="18"/>
              </w:rPr>
            </w:pPr>
            <w:r w:rsidRPr="00672E05">
              <w:rPr>
                <w:rFonts w:ascii="Arial" w:eastAsia="Times New Roman" w:hAnsi="Arial" w:cs="Arial"/>
                <w:color w:val="000000"/>
                <w:sz w:val="18"/>
                <w:szCs w:val="18"/>
              </w:rPr>
              <w:t> </w:t>
            </w:r>
          </w:p>
        </w:tc>
        <w:tc>
          <w:tcPr>
            <w:tcW w:w="666" w:type="dxa"/>
            <w:tcBorders>
              <w:top w:val="single" w:sz="4" w:space="0" w:color="FFFFFF"/>
              <w:left w:val="nil"/>
              <w:bottom w:val="single" w:sz="4" w:space="0" w:color="FFFFFF"/>
              <w:right w:val="single" w:sz="4" w:space="0" w:color="FFFFFF"/>
            </w:tcBorders>
            <w:shd w:val="clear" w:color="000000" w:fill="BFBFBF"/>
            <w:noWrap/>
            <w:vAlign w:val="bottom"/>
            <w:hideMark/>
          </w:tcPr>
          <w:p w:rsidR="00F83FA0" w:rsidRPr="00672E05" w:rsidRDefault="00F83FA0" w:rsidP="00672E05">
            <w:pPr>
              <w:spacing w:after="0" w:line="240" w:lineRule="auto"/>
              <w:rPr>
                <w:rFonts w:ascii="Arial" w:eastAsia="Times New Roman" w:hAnsi="Arial" w:cs="Arial"/>
                <w:color w:val="000000"/>
                <w:sz w:val="18"/>
                <w:szCs w:val="18"/>
              </w:rPr>
            </w:pPr>
            <w:r w:rsidRPr="00672E05">
              <w:rPr>
                <w:rFonts w:ascii="Arial" w:eastAsia="Times New Roman" w:hAnsi="Arial" w:cs="Arial"/>
                <w:color w:val="000000"/>
                <w:sz w:val="18"/>
                <w:szCs w:val="18"/>
              </w:rPr>
              <w:t> </w:t>
            </w:r>
          </w:p>
        </w:tc>
        <w:tc>
          <w:tcPr>
            <w:tcW w:w="1320" w:type="dxa"/>
            <w:tcBorders>
              <w:top w:val="single" w:sz="4" w:space="0" w:color="FFFFFF"/>
              <w:left w:val="nil"/>
              <w:bottom w:val="single" w:sz="4" w:space="0" w:color="FFFFFF"/>
              <w:right w:val="single" w:sz="4" w:space="0" w:color="FFFFFF"/>
            </w:tcBorders>
            <w:shd w:val="clear" w:color="000000" w:fill="BFBFBF"/>
            <w:noWrap/>
            <w:vAlign w:val="bottom"/>
            <w:hideMark/>
          </w:tcPr>
          <w:p w:rsidR="00F83FA0" w:rsidRPr="00672E05" w:rsidRDefault="00F83FA0" w:rsidP="00672E05">
            <w:pPr>
              <w:spacing w:after="0" w:line="240" w:lineRule="auto"/>
              <w:rPr>
                <w:rFonts w:ascii="Arial" w:eastAsia="Times New Roman" w:hAnsi="Arial" w:cs="Arial"/>
                <w:color w:val="000000"/>
                <w:sz w:val="18"/>
                <w:szCs w:val="18"/>
              </w:rPr>
            </w:pPr>
            <w:r w:rsidRPr="00672E05">
              <w:rPr>
                <w:rFonts w:ascii="Arial" w:eastAsia="Times New Roman" w:hAnsi="Arial" w:cs="Arial"/>
                <w:color w:val="000000"/>
                <w:sz w:val="18"/>
                <w:szCs w:val="18"/>
              </w:rPr>
              <w:t> </w:t>
            </w:r>
          </w:p>
        </w:tc>
        <w:tc>
          <w:tcPr>
            <w:tcW w:w="1120" w:type="dxa"/>
            <w:tcBorders>
              <w:top w:val="single" w:sz="4" w:space="0" w:color="FFFFFF"/>
              <w:left w:val="nil"/>
              <w:bottom w:val="single" w:sz="4" w:space="0" w:color="FFFFFF"/>
              <w:right w:val="single" w:sz="4" w:space="0" w:color="FFFFFF"/>
            </w:tcBorders>
            <w:shd w:val="clear" w:color="000000" w:fill="BFBFBF"/>
            <w:noWrap/>
            <w:vAlign w:val="bottom"/>
            <w:hideMark/>
          </w:tcPr>
          <w:p w:rsidR="00F83FA0" w:rsidRPr="00672E05" w:rsidRDefault="00F83FA0" w:rsidP="00672E05">
            <w:pPr>
              <w:spacing w:after="0" w:line="240" w:lineRule="auto"/>
              <w:rPr>
                <w:rFonts w:ascii="Arial" w:eastAsia="Times New Roman" w:hAnsi="Arial" w:cs="Arial"/>
                <w:color w:val="000000"/>
                <w:sz w:val="18"/>
                <w:szCs w:val="18"/>
              </w:rPr>
            </w:pPr>
            <w:r w:rsidRPr="00672E05">
              <w:rPr>
                <w:rFonts w:ascii="Arial" w:eastAsia="Times New Roman" w:hAnsi="Arial" w:cs="Arial"/>
                <w:color w:val="000000"/>
                <w:sz w:val="18"/>
                <w:szCs w:val="18"/>
              </w:rPr>
              <w:t> </w:t>
            </w:r>
          </w:p>
        </w:tc>
      </w:tr>
      <w:tr w:rsidR="00F83FA0" w:rsidRPr="00672E05" w:rsidTr="00F83FA0">
        <w:trPr>
          <w:trHeight w:val="300"/>
          <w:jc w:val="center"/>
        </w:trPr>
        <w:tc>
          <w:tcPr>
            <w:tcW w:w="285" w:type="dxa"/>
            <w:tcBorders>
              <w:top w:val="nil"/>
              <w:left w:val="single" w:sz="4" w:space="0" w:color="FFFFFF"/>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rPr>
                <w:rFonts w:ascii="Arial" w:eastAsia="Times New Roman" w:hAnsi="Arial" w:cs="Arial"/>
                <w:color w:val="000000"/>
                <w:sz w:val="18"/>
                <w:szCs w:val="18"/>
              </w:rPr>
            </w:pPr>
            <w:r w:rsidRPr="00672E05">
              <w:rPr>
                <w:rFonts w:ascii="Arial" w:eastAsia="Times New Roman" w:hAnsi="Arial" w:cs="Arial"/>
                <w:color w:val="000000"/>
                <w:sz w:val="18"/>
                <w:szCs w:val="18"/>
              </w:rPr>
              <w:t> </w:t>
            </w:r>
          </w:p>
        </w:tc>
        <w:tc>
          <w:tcPr>
            <w:tcW w:w="2070"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rPr>
                <w:rFonts w:ascii="Arial" w:eastAsia="Times New Roman" w:hAnsi="Arial" w:cs="Arial"/>
                <w:color w:val="000000"/>
                <w:sz w:val="18"/>
                <w:szCs w:val="18"/>
              </w:rPr>
            </w:pPr>
            <w:r w:rsidRPr="00672E05">
              <w:rPr>
                <w:rFonts w:ascii="Arial" w:eastAsia="Times New Roman" w:hAnsi="Arial" w:cs="Arial"/>
                <w:color w:val="000000"/>
                <w:sz w:val="18"/>
                <w:szCs w:val="18"/>
              </w:rPr>
              <w:t>ACV</w:t>
            </w:r>
          </w:p>
        </w:tc>
        <w:tc>
          <w:tcPr>
            <w:tcW w:w="754"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0,47</w:t>
            </w:r>
          </w:p>
        </w:tc>
        <w:tc>
          <w:tcPr>
            <w:tcW w:w="1030"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0,02</w:t>
            </w:r>
          </w:p>
        </w:tc>
        <w:tc>
          <w:tcPr>
            <w:tcW w:w="666"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99</w:t>
            </w:r>
          </w:p>
        </w:tc>
        <w:tc>
          <w:tcPr>
            <w:tcW w:w="1320"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3,60</w:t>
            </w:r>
          </w:p>
        </w:tc>
        <w:tc>
          <w:tcPr>
            <w:tcW w:w="1120"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358</w:t>
            </w:r>
          </w:p>
        </w:tc>
      </w:tr>
      <w:tr w:rsidR="00F83FA0" w:rsidRPr="00672E05" w:rsidTr="00672E05">
        <w:trPr>
          <w:trHeight w:val="233"/>
          <w:jc w:val="center"/>
        </w:trPr>
        <w:tc>
          <w:tcPr>
            <w:tcW w:w="285" w:type="dxa"/>
            <w:tcBorders>
              <w:top w:val="nil"/>
              <w:left w:val="single" w:sz="4" w:space="0" w:color="FFFFFF"/>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rPr>
                <w:rFonts w:ascii="Arial" w:eastAsia="Times New Roman" w:hAnsi="Arial" w:cs="Arial"/>
                <w:color w:val="000000"/>
                <w:sz w:val="18"/>
                <w:szCs w:val="18"/>
              </w:rPr>
            </w:pPr>
            <w:r w:rsidRPr="00672E05">
              <w:rPr>
                <w:rFonts w:ascii="Arial" w:eastAsia="Times New Roman" w:hAnsi="Arial" w:cs="Arial"/>
                <w:color w:val="000000"/>
                <w:sz w:val="18"/>
                <w:szCs w:val="18"/>
              </w:rPr>
              <w:t> </w:t>
            </w:r>
          </w:p>
        </w:tc>
        <w:tc>
          <w:tcPr>
            <w:tcW w:w="2070"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rPr>
                <w:rFonts w:ascii="Arial" w:eastAsia="Times New Roman" w:hAnsi="Arial" w:cs="Arial"/>
                <w:color w:val="000000"/>
                <w:sz w:val="18"/>
                <w:szCs w:val="18"/>
              </w:rPr>
            </w:pPr>
            <w:r w:rsidRPr="00672E05">
              <w:rPr>
                <w:rFonts w:ascii="Arial" w:eastAsia="Times New Roman" w:hAnsi="Arial" w:cs="Arial"/>
                <w:color w:val="000000"/>
                <w:sz w:val="18"/>
                <w:szCs w:val="18"/>
              </w:rPr>
              <w:t>Eventos CV</w:t>
            </w:r>
          </w:p>
        </w:tc>
        <w:tc>
          <w:tcPr>
            <w:tcW w:w="754"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0,72</w:t>
            </w:r>
          </w:p>
        </w:tc>
        <w:tc>
          <w:tcPr>
            <w:tcW w:w="1030"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0,05</w:t>
            </w:r>
          </w:p>
        </w:tc>
        <w:tc>
          <w:tcPr>
            <w:tcW w:w="666"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71</w:t>
            </w:r>
          </w:p>
        </w:tc>
        <w:tc>
          <w:tcPr>
            <w:tcW w:w="1320"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3,60</w:t>
            </w:r>
          </w:p>
        </w:tc>
        <w:tc>
          <w:tcPr>
            <w:tcW w:w="1120"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254</w:t>
            </w:r>
          </w:p>
        </w:tc>
      </w:tr>
      <w:tr w:rsidR="00F83FA0" w:rsidRPr="00672E05" w:rsidTr="00672E05">
        <w:trPr>
          <w:trHeight w:val="179"/>
          <w:jc w:val="center"/>
        </w:trPr>
        <w:tc>
          <w:tcPr>
            <w:tcW w:w="2355" w:type="dxa"/>
            <w:gridSpan w:val="2"/>
            <w:tcBorders>
              <w:top w:val="nil"/>
              <w:left w:val="single" w:sz="4" w:space="0" w:color="FFFFFF"/>
              <w:bottom w:val="single" w:sz="4" w:space="0" w:color="FFFFFF"/>
              <w:right w:val="single" w:sz="4" w:space="0" w:color="FFFFFF"/>
            </w:tcBorders>
            <w:shd w:val="clear" w:color="000000" w:fill="BFBFBF"/>
            <w:noWrap/>
            <w:vAlign w:val="bottom"/>
            <w:hideMark/>
          </w:tcPr>
          <w:p w:rsidR="00F83FA0" w:rsidRPr="00672E05" w:rsidRDefault="00F83FA0" w:rsidP="00672E05">
            <w:pPr>
              <w:spacing w:after="0" w:line="240" w:lineRule="auto"/>
              <w:rPr>
                <w:rFonts w:ascii="Arial" w:eastAsia="Times New Roman" w:hAnsi="Arial" w:cs="Arial"/>
                <w:color w:val="000000"/>
                <w:sz w:val="18"/>
                <w:szCs w:val="18"/>
              </w:rPr>
            </w:pPr>
            <w:r w:rsidRPr="00672E05">
              <w:rPr>
                <w:rFonts w:ascii="Arial" w:eastAsia="Times New Roman" w:hAnsi="Arial" w:cs="Arial"/>
                <w:color w:val="000000"/>
                <w:sz w:val="18"/>
                <w:szCs w:val="18"/>
              </w:rPr>
              <w:t>IECAS </w:t>
            </w:r>
          </w:p>
        </w:tc>
        <w:tc>
          <w:tcPr>
            <w:tcW w:w="754" w:type="dxa"/>
            <w:tcBorders>
              <w:top w:val="nil"/>
              <w:left w:val="nil"/>
              <w:bottom w:val="single" w:sz="4" w:space="0" w:color="FFFFFF"/>
              <w:right w:val="single" w:sz="4" w:space="0" w:color="FFFFFF"/>
            </w:tcBorders>
            <w:shd w:val="clear" w:color="000000" w:fill="BFBFBF"/>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 </w:t>
            </w:r>
          </w:p>
        </w:tc>
        <w:tc>
          <w:tcPr>
            <w:tcW w:w="1030" w:type="dxa"/>
            <w:tcBorders>
              <w:top w:val="nil"/>
              <w:left w:val="nil"/>
              <w:bottom w:val="single" w:sz="4" w:space="0" w:color="FFFFFF"/>
              <w:right w:val="single" w:sz="4" w:space="0" w:color="FFFFFF"/>
            </w:tcBorders>
            <w:shd w:val="clear" w:color="000000" w:fill="BFBFBF"/>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 </w:t>
            </w:r>
          </w:p>
        </w:tc>
        <w:tc>
          <w:tcPr>
            <w:tcW w:w="666" w:type="dxa"/>
            <w:tcBorders>
              <w:top w:val="nil"/>
              <w:left w:val="nil"/>
              <w:bottom w:val="single" w:sz="4" w:space="0" w:color="FFFFFF"/>
              <w:right w:val="single" w:sz="4" w:space="0" w:color="FFFFFF"/>
            </w:tcBorders>
            <w:shd w:val="clear" w:color="000000" w:fill="BFBFBF"/>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 </w:t>
            </w:r>
          </w:p>
        </w:tc>
        <w:tc>
          <w:tcPr>
            <w:tcW w:w="1320" w:type="dxa"/>
            <w:tcBorders>
              <w:top w:val="nil"/>
              <w:left w:val="nil"/>
              <w:bottom w:val="single" w:sz="4" w:space="0" w:color="FFFFFF"/>
              <w:right w:val="single" w:sz="4" w:space="0" w:color="FFFFFF"/>
            </w:tcBorders>
            <w:shd w:val="clear" w:color="000000" w:fill="BFBFBF"/>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 </w:t>
            </w:r>
          </w:p>
        </w:tc>
        <w:tc>
          <w:tcPr>
            <w:tcW w:w="1120" w:type="dxa"/>
            <w:tcBorders>
              <w:top w:val="nil"/>
              <w:left w:val="nil"/>
              <w:bottom w:val="single" w:sz="4" w:space="0" w:color="FFFFFF"/>
              <w:right w:val="single" w:sz="4" w:space="0" w:color="FFFFFF"/>
            </w:tcBorders>
            <w:shd w:val="clear" w:color="000000" w:fill="BFBFBF"/>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 </w:t>
            </w:r>
          </w:p>
        </w:tc>
      </w:tr>
      <w:tr w:rsidR="00F83FA0" w:rsidRPr="00672E05" w:rsidTr="00672E05">
        <w:trPr>
          <w:trHeight w:val="233"/>
          <w:jc w:val="center"/>
        </w:trPr>
        <w:tc>
          <w:tcPr>
            <w:tcW w:w="285" w:type="dxa"/>
            <w:tcBorders>
              <w:top w:val="nil"/>
              <w:left w:val="single" w:sz="4" w:space="0" w:color="FFFFFF"/>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rPr>
                <w:rFonts w:ascii="Arial" w:eastAsia="Times New Roman" w:hAnsi="Arial" w:cs="Arial"/>
                <w:color w:val="000000"/>
                <w:sz w:val="18"/>
                <w:szCs w:val="18"/>
              </w:rPr>
            </w:pPr>
            <w:r w:rsidRPr="00672E05">
              <w:rPr>
                <w:rFonts w:ascii="Arial" w:eastAsia="Times New Roman" w:hAnsi="Arial" w:cs="Arial"/>
                <w:color w:val="000000"/>
                <w:sz w:val="18"/>
                <w:szCs w:val="18"/>
              </w:rPr>
              <w:t> </w:t>
            </w:r>
          </w:p>
        </w:tc>
        <w:tc>
          <w:tcPr>
            <w:tcW w:w="2070"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rPr>
                <w:rFonts w:ascii="Arial" w:eastAsia="Times New Roman" w:hAnsi="Arial" w:cs="Arial"/>
                <w:color w:val="000000"/>
                <w:sz w:val="18"/>
                <w:szCs w:val="18"/>
              </w:rPr>
            </w:pPr>
            <w:r w:rsidRPr="00672E05">
              <w:rPr>
                <w:rFonts w:ascii="Arial" w:eastAsia="Times New Roman" w:hAnsi="Arial" w:cs="Arial"/>
                <w:color w:val="000000"/>
                <w:sz w:val="18"/>
                <w:szCs w:val="18"/>
              </w:rPr>
              <w:t>Mortalidad</w:t>
            </w:r>
          </w:p>
        </w:tc>
        <w:tc>
          <w:tcPr>
            <w:tcW w:w="754"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0,83</w:t>
            </w:r>
          </w:p>
        </w:tc>
        <w:tc>
          <w:tcPr>
            <w:tcW w:w="1030"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0,14</w:t>
            </w:r>
          </w:p>
        </w:tc>
        <w:tc>
          <w:tcPr>
            <w:tcW w:w="666"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43</w:t>
            </w:r>
          </w:p>
        </w:tc>
        <w:tc>
          <w:tcPr>
            <w:tcW w:w="1320"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5,25</w:t>
            </w:r>
          </w:p>
        </w:tc>
        <w:tc>
          <w:tcPr>
            <w:tcW w:w="1120"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227</w:t>
            </w:r>
          </w:p>
        </w:tc>
      </w:tr>
      <w:tr w:rsidR="00F83FA0" w:rsidRPr="00672E05" w:rsidTr="00672E05">
        <w:trPr>
          <w:trHeight w:val="251"/>
          <w:jc w:val="center"/>
        </w:trPr>
        <w:tc>
          <w:tcPr>
            <w:tcW w:w="285" w:type="dxa"/>
            <w:tcBorders>
              <w:top w:val="nil"/>
              <w:left w:val="single" w:sz="4" w:space="0" w:color="FFFFFF"/>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rPr>
                <w:rFonts w:ascii="Arial" w:eastAsia="Times New Roman" w:hAnsi="Arial" w:cs="Arial"/>
                <w:color w:val="000000"/>
                <w:sz w:val="18"/>
                <w:szCs w:val="18"/>
              </w:rPr>
            </w:pPr>
            <w:r w:rsidRPr="00672E05">
              <w:rPr>
                <w:rFonts w:ascii="Arial" w:eastAsia="Times New Roman" w:hAnsi="Arial" w:cs="Arial"/>
                <w:color w:val="000000"/>
                <w:sz w:val="18"/>
                <w:szCs w:val="18"/>
              </w:rPr>
              <w:t> </w:t>
            </w:r>
          </w:p>
        </w:tc>
        <w:tc>
          <w:tcPr>
            <w:tcW w:w="2070"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rPr>
                <w:rFonts w:ascii="Arial" w:eastAsia="Times New Roman" w:hAnsi="Arial" w:cs="Arial"/>
                <w:color w:val="000000"/>
                <w:sz w:val="18"/>
                <w:szCs w:val="18"/>
              </w:rPr>
            </w:pPr>
            <w:r w:rsidRPr="00672E05">
              <w:rPr>
                <w:rFonts w:ascii="Arial" w:eastAsia="Times New Roman" w:hAnsi="Arial" w:cs="Arial"/>
                <w:color w:val="000000"/>
                <w:sz w:val="18"/>
                <w:szCs w:val="18"/>
              </w:rPr>
              <w:t>ACV</w:t>
            </w:r>
          </w:p>
        </w:tc>
        <w:tc>
          <w:tcPr>
            <w:tcW w:w="754"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0,65</w:t>
            </w:r>
          </w:p>
        </w:tc>
        <w:tc>
          <w:tcPr>
            <w:tcW w:w="1030"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0,06</w:t>
            </w:r>
          </w:p>
        </w:tc>
        <w:tc>
          <w:tcPr>
            <w:tcW w:w="666"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48</w:t>
            </w:r>
          </w:p>
        </w:tc>
        <w:tc>
          <w:tcPr>
            <w:tcW w:w="1320"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4,66</w:t>
            </w:r>
          </w:p>
        </w:tc>
        <w:tc>
          <w:tcPr>
            <w:tcW w:w="1120"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223</w:t>
            </w:r>
          </w:p>
        </w:tc>
      </w:tr>
      <w:tr w:rsidR="00F83FA0" w:rsidRPr="00672E05" w:rsidTr="00672E05">
        <w:trPr>
          <w:trHeight w:val="260"/>
          <w:jc w:val="center"/>
        </w:trPr>
        <w:tc>
          <w:tcPr>
            <w:tcW w:w="285" w:type="dxa"/>
            <w:tcBorders>
              <w:top w:val="nil"/>
              <w:left w:val="single" w:sz="4" w:space="0" w:color="FFFFFF"/>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rPr>
                <w:rFonts w:ascii="Arial" w:eastAsia="Times New Roman" w:hAnsi="Arial" w:cs="Arial"/>
                <w:color w:val="000000"/>
                <w:sz w:val="18"/>
                <w:szCs w:val="18"/>
              </w:rPr>
            </w:pPr>
            <w:r w:rsidRPr="00672E05">
              <w:rPr>
                <w:rFonts w:ascii="Arial" w:eastAsia="Times New Roman" w:hAnsi="Arial" w:cs="Arial"/>
                <w:color w:val="000000"/>
                <w:sz w:val="18"/>
                <w:szCs w:val="18"/>
              </w:rPr>
              <w:t> </w:t>
            </w:r>
          </w:p>
        </w:tc>
        <w:tc>
          <w:tcPr>
            <w:tcW w:w="2070"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rPr>
                <w:rFonts w:ascii="Arial" w:eastAsia="Times New Roman" w:hAnsi="Arial" w:cs="Arial"/>
                <w:color w:val="000000"/>
                <w:sz w:val="18"/>
                <w:szCs w:val="18"/>
              </w:rPr>
            </w:pPr>
            <w:r w:rsidRPr="00672E05">
              <w:rPr>
                <w:rFonts w:ascii="Arial" w:eastAsia="Times New Roman" w:hAnsi="Arial" w:cs="Arial"/>
                <w:color w:val="000000"/>
                <w:sz w:val="18"/>
                <w:szCs w:val="18"/>
              </w:rPr>
              <w:t>CHD</w:t>
            </w:r>
          </w:p>
        </w:tc>
        <w:tc>
          <w:tcPr>
            <w:tcW w:w="754"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0,81</w:t>
            </w:r>
          </w:p>
        </w:tc>
        <w:tc>
          <w:tcPr>
            <w:tcW w:w="1030"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0,14</w:t>
            </w:r>
          </w:p>
        </w:tc>
        <w:tc>
          <w:tcPr>
            <w:tcW w:w="666"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39</w:t>
            </w:r>
          </w:p>
        </w:tc>
        <w:tc>
          <w:tcPr>
            <w:tcW w:w="1320"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6,45</w:t>
            </w:r>
          </w:p>
        </w:tc>
        <w:tc>
          <w:tcPr>
            <w:tcW w:w="1120"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251</w:t>
            </w:r>
          </w:p>
        </w:tc>
      </w:tr>
      <w:tr w:rsidR="00F83FA0" w:rsidRPr="00672E05" w:rsidTr="00672E05">
        <w:trPr>
          <w:trHeight w:val="179"/>
          <w:jc w:val="center"/>
        </w:trPr>
        <w:tc>
          <w:tcPr>
            <w:tcW w:w="285" w:type="dxa"/>
            <w:tcBorders>
              <w:top w:val="nil"/>
              <w:left w:val="single" w:sz="4" w:space="0" w:color="FFFFFF"/>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rPr>
                <w:rFonts w:ascii="Arial" w:eastAsia="Times New Roman" w:hAnsi="Arial" w:cs="Arial"/>
                <w:color w:val="000000"/>
                <w:sz w:val="18"/>
                <w:szCs w:val="18"/>
              </w:rPr>
            </w:pPr>
            <w:r w:rsidRPr="00672E05">
              <w:rPr>
                <w:rFonts w:ascii="Arial" w:eastAsia="Times New Roman" w:hAnsi="Arial" w:cs="Arial"/>
                <w:color w:val="000000"/>
                <w:sz w:val="18"/>
                <w:szCs w:val="18"/>
              </w:rPr>
              <w:t> </w:t>
            </w:r>
          </w:p>
        </w:tc>
        <w:tc>
          <w:tcPr>
            <w:tcW w:w="2070"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rPr>
                <w:rFonts w:ascii="Arial" w:eastAsia="Times New Roman" w:hAnsi="Arial" w:cs="Arial"/>
                <w:color w:val="000000"/>
                <w:sz w:val="18"/>
                <w:szCs w:val="18"/>
              </w:rPr>
            </w:pPr>
            <w:r w:rsidRPr="00672E05">
              <w:rPr>
                <w:rFonts w:ascii="Arial" w:eastAsia="Times New Roman" w:hAnsi="Arial" w:cs="Arial"/>
                <w:color w:val="000000"/>
                <w:sz w:val="18"/>
                <w:szCs w:val="18"/>
              </w:rPr>
              <w:t>Eventos CV</w:t>
            </w:r>
          </w:p>
        </w:tc>
        <w:tc>
          <w:tcPr>
            <w:tcW w:w="754"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0,76</w:t>
            </w:r>
          </w:p>
        </w:tc>
        <w:tc>
          <w:tcPr>
            <w:tcW w:w="1030"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0,21</w:t>
            </w:r>
          </w:p>
        </w:tc>
        <w:tc>
          <w:tcPr>
            <w:tcW w:w="666"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20</w:t>
            </w:r>
          </w:p>
        </w:tc>
        <w:tc>
          <w:tcPr>
            <w:tcW w:w="1320"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6,45</w:t>
            </w:r>
          </w:p>
        </w:tc>
        <w:tc>
          <w:tcPr>
            <w:tcW w:w="1120"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131</w:t>
            </w:r>
          </w:p>
        </w:tc>
      </w:tr>
      <w:tr w:rsidR="00F83FA0" w:rsidRPr="00672E05" w:rsidTr="00F83FA0">
        <w:trPr>
          <w:trHeight w:val="300"/>
          <w:jc w:val="center"/>
        </w:trPr>
        <w:tc>
          <w:tcPr>
            <w:tcW w:w="2355" w:type="dxa"/>
            <w:gridSpan w:val="2"/>
            <w:tcBorders>
              <w:top w:val="nil"/>
              <w:left w:val="single" w:sz="4" w:space="0" w:color="FFFFFF"/>
              <w:bottom w:val="single" w:sz="4" w:space="0" w:color="FFFFFF"/>
              <w:right w:val="single" w:sz="4" w:space="0" w:color="FFFFFF"/>
            </w:tcBorders>
            <w:shd w:val="clear" w:color="000000" w:fill="BFBFBF"/>
            <w:noWrap/>
            <w:vAlign w:val="bottom"/>
            <w:hideMark/>
          </w:tcPr>
          <w:p w:rsidR="00F83FA0" w:rsidRPr="00672E05" w:rsidRDefault="00F83FA0" w:rsidP="00672E05">
            <w:pPr>
              <w:spacing w:after="0" w:line="240" w:lineRule="auto"/>
              <w:rPr>
                <w:rFonts w:ascii="Arial" w:eastAsia="Times New Roman" w:hAnsi="Arial" w:cs="Arial"/>
                <w:color w:val="000000"/>
                <w:sz w:val="18"/>
                <w:szCs w:val="18"/>
              </w:rPr>
            </w:pPr>
            <w:r w:rsidRPr="00672E05">
              <w:rPr>
                <w:rFonts w:ascii="Arial" w:eastAsia="Times New Roman" w:hAnsi="Arial" w:cs="Arial"/>
                <w:color w:val="000000"/>
                <w:sz w:val="18"/>
                <w:szCs w:val="18"/>
              </w:rPr>
              <w:t>Betabloqueantes </w:t>
            </w:r>
          </w:p>
        </w:tc>
        <w:tc>
          <w:tcPr>
            <w:tcW w:w="754" w:type="dxa"/>
            <w:tcBorders>
              <w:top w:val="nil"/>
              <w:left w:val="nil"/>
              <w:bottom w:val="single" w:sz="4" w:space="0" w:color="FFFFFF"/>
              <w:right w:val="single" w:sz="4" w:space="0" w:color="FFFFFF"/>
            </w:tcBorders>
            <w:shd w:val="clear" w:color="000000" w:fill="BFBFBF"/>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 </w:t>
            </w:r>
          </w:p>
        </w:tc>
        <w:tc>
          <w:tcPr>
            <w:tcW w:w="1030" w:type="dxa"/>
            <w:tcBorders>
              <w:top w:val="nil"/>
              <w:left w:val="nil"/>
              <w:bottom w:val="single" w:sz="4" w:space="0" w:color="FFFFFF"/>
              <w:right w:val="single" w:sz="4" w:space="0" w:color="FFFFFF"/>
            </w:tcBorders>
            <w:shd w:val="clear" w:color="000000" w:fill="BFBFBF"/>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 </w:t>
            </w:r>
          </w:p>
        </w:tc>
        <w:tc>
          <w:tcPr>
            <w:tcW w:w="666" w:type="dxa"/>
            <w:tcBorders>
              <w:top w:val="nil"/>
              <w:left w:val="nil"/>
              <w:bottom w:val="single" w:sz="4" w:space="0" w:color="FFFFFF"/>
              <w:right w:val="single" w:sz="4" w:space="0" w:color="FFFFFF"/>
            </w:tcBorders>
            <w:shd w:val="clear" w:color="000000" w:fill="BFBFBF"/>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 </w:t>
            </w:r>
          </w:p>
        </w:tc>
        <w:tc>
          <w:tcPr>
            <w:tcW w:w="1320" w:type="dxa"/>
            <w:tcBorders>
              <w:top w:val="nil"/>
              <w:left w:val="nil"/>
              <w:bottom w:val="single" w:sz="4" w:space="0" w:color="FFFFFF"/>
              <w:right w:val="single" w:sz="4" w:space="0" w:color="FFFFFF"/>
            </w:tcBorders>
            <w:shd w:val="clear" w:color="000000" w:fill="BFBFBF"/>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 </w:t>
            </w:r>
          </w:p>
        </w:tc>
        <w:tc>
          <w:tcPr>
            <w:tcW w:w="1120" w:type="dxa"/>
            <w:tcBorders>
              <w:top w:val="nil"/>
              <w:left w:val="nil"/>
              <w:bottom w:val="single" w:sz="4" w:space="0" w:color="FFFFFF"/>
              <w:right w:val="single" w:sz="4" w:space="0" w:color="FFFFFF"/>
            </w:tcBorders>
            <w:shd w:val="clear" w:color="000000" w:fill="BFBFBF"/>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 </w:t>
            </w:r>
          </w:p>
        </w:tc>
      </w:tr>
      <w:tr w:rsidR="00F83FA0" w:rsidRPr="00672E05" w:rsidTr="00672E05">
        <w:trPr>
          <w:trHeight w:val="188"/>
          <w:jc w:val="center"/>
        </w:trPr>
        <w:tc>
          <w:tcPr>
            <w:tcW w:w="285" w:type="dxa"/>
            <w:tcBorders>
              <w:top w:val="nil"/>
              <w:left w:val="single" w:sz="4" w:space="0" w:color="FFFFFF"/>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rPr>
                <w:rFonts w:ascii="Arial" w:eastAsia="Times New Roman" w:hAnsi="Arial" w:cs="Arial"/>
                <w:color w:val="000000"/>
                <w:sz w:val="18"/>
                <w:szCs w:val="18"/>
              </w:rPr>
            </w:pPr>
            <w:r w:rsidRPr="00672E05">
              <w:rPr>
                <w:rFonts w:ascii="Arial" w:eastAsia="Times New Roman" w:hAnsi="Arial" w:cs="Arial"/>
                <w:color w:val="000000"/>
                <w:sz w:val="18"/>
                <w:szCs w:val="18"/>
              </w:rPr>
              <w:t> </w:t>
            </w:r>
          </w:p>
        </w:tc>
        <w:tc>
          <w:tcPr>
            <w:tcW w:w="2070"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rPr>
                <w:rFonts w:ascii="Arial" w:eastAsia="Times New Roman" w:hAnsi="Arial" w:cs="Arial"/>
                <w:color w:val="000000"/>
                <w:sz w:val="18"/>
                <w:szCs w:val="18"/>
              </w:rPr>
            </w:pPr>
            <w:r w:rsidRPr="00672E05">
              <w:rPr>
                <w:rFonts w:ascii="Arial" w:eastAsia="Times New Roman" w:hAnsi="Arial" w:cs="Arial"/>
                <w:color w:val="000000"/>
                <w:sz w:val="18"/>
                <w:szCs w:val="18"/>
              </w:rPr>
              <w:t>ACV</w:t>
            </w:r>
          </w:p>
        </w:tc>
        <w:tc>
          <w:tcPr>
            <w:tcW w:w="754"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0,83</w:t>
            </w:r>
          </w:p>
        </w:tc>
        <w:tc>
          <w:tcPr>
            <w:tcW w:w="1030"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0,03</w:t>
            </w:r>
          </w:p>
        </w:tc>
        <w:tc>
          <w:tcPr>
            <w:tcW w:w="666"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175</w:t>
            </w:r>
          </w:p>
        </w:tc>
        <w:tc>
          <w:tcPr>
            <w:tcW w:w="1320"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4,86</w:t>
            </w:r>
          </w:p>
        </w:tc>
        <w:tc>
          <w:tcPr>
            <w:tcW w:w="1120"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853</w:t>
            </w:r>
          </w:p>
        </w:tc>
      </w:tr>
      <w:tr w:rsidR="00F83FA0" w:rsidRPr="00672E05" w:rsidTr="00672E05">
        <w:trPr>
          <w:trHeight w:val="233"/>
          <w:jc w:val="center"/>
        </w:trPr>
        <w:tc>
          <w:tcPr>
            <w:tcW w:w="285" w:type="dxa"/>
            <w:tcBorders>
              <w:top w:val="nil"/>
              <w:left w:val="single" w:sz="4" w:space="0" w:color="FFFFFF"/>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rPr>
                <w:rFonts w:ascii="Arial" w:eastAsia="Times New Roman" w:hAnsi="Arial" w:cs="Arial"/>
                <w:color w:val="000000"/>
                <w:sz w:val="18"/>
                <w:szCs w:val="18"/>
              </w:rPr>
            </w:pPr>
            <w:r w:rsidRPr="00672E05">
              <w:rPr>
                <w:rFonts w:ascii="Arial" w:eastAsia="Times New Roman" w:hAnsi="Arial" w:cs="Arial"/>
                <w:color w:val="000000"/>
                <w:sz w:val="18"/>
                <w:szCs w:val="18"/>
              </w:rPr>
              <w:t> </w:t>
            </w:r>
          </w:p>
        </w:tc>
        <w:tc>
          <w:tcPr>
            <w:tcW w:w="2070"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rPr>
                <w:rFonts w:ascii="Arial" w:eastAsia="Times New Roman" w:hAnsi="Arial" w:cs="Arial"/>
                <w:color w:val="000000"/>
                <w:sz w:val="18"/>
                <w:szCs w:val="18"/>
              </w:rPr>
            </w:pPr>
            <w:r w:rsidRPr="00672E05">
              <w:rPr>
                <w:rFonts w:ascii="Arial" w:eastAsia="Times New Roman" w:hAnsi="Arial" w:cs="Arial"/>
                <w:color w:val="000000"/>
                <w:sz w:val="18"/>
                <w:szCs w:val="18"/>
              </w:rPr>
              <w:t>Eventos CV</w:t>
            </w:r>
          </w:p>
        </w:tc>
        <w:tc>
          <w:tcPr>
            <w:tcW w:w="754"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0,89</w:t>
            </w:r>
          </w:p>
        </w:tc>
        <w:tc>
          <w:tcPr>
            <w:tcW w:w="1030"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0,08</w:t>
            </w:r>
          </w:p>
        </w:tc>
        <w:tc>
          <w:tcPr>
            <w:tcW w:w="666"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119</w:t>
            </w:r>
          </w:p>
        </w:tc>
        <w:tc>
          <w:tcPr>
            <w:tcW w:w="1320"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4,86</w:t>
            </w:r>
          </w:p>
        </w:tc>
        <w:tc>
          <w:tcPr>
            <w:tcW w:w="1120"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580</w:t>
            </w:r>
          </w:p>
        </w:tc>
      </w:tr>
      <w:tr w:rsidR="00F83FA0" w:rsidRPr="00672E05" w:rsidTr="006A4ED8">
        <w:trPr>
          <w:trHeight w:val="448"/>
          <w:jc w:val="center"/>
        </w:trPr>
        <w:tc>
          <w:tcPr>
            <w:tcW w:w="2355" w:type="dxa"/>
            <w:gridSpan w:val="2"/>
            <w:tcBorders>
              <w:top w:val="single" w:sz="8" w:space="0" w:color="FFFFFF"/>
              <w:left w:val="single" w:sz="8" w:space="0" w:color="FFFFFF"/>
              <w:bottom w:val="single" w:sz="8" w:space="0" w:color="FFFFFF"/>
              <w:right w:val="single" w:sz="8" w:space="0" w:color="FFFFFF"/>
            </w:tcBorders>
            <w:shd w:val="clear" w:color="000000" w:fill="538DD5"/>
            <w:vAlign w:val="center"/>
            <w:hideMark/>
          </w:tcPr>
          <w:p w:rsidR="00F83FA0" w:rsidRPr="00672E05" w:rsidRDefault="00F83FA0" w:rsidP="00672E05">
            <w:pPr>
              <w:spacing w:after="0" w:line="240" w:lineRule="auto"/>
              <w:jc w:val="center"/>
              <w:rPr>
                <w:rFonts w:ascii="Arial" w:eastAsia="Times New Roman" w:hAnsi="Arial" w:cs="Arial"/>
                <w:b/>
                <w:bCs/>
                <w:color w:val="FFFFFF"/>
                <w:sz w:val="18"/>
                <w:szCs w:val="18"/>
              </w:rPr>
            </w:pPr>
            <w:r w:rsidRPr="00672E05">
              <w:rPr>
                <w:rFonts w:ascii="Arial" w:eastAsia="Times New Roman" w:hAnsi="Arial" w:cs="Arial"/>
                <w:b/>
                <w:bCs/>
                <w:color w:val="FFFFFF"/>
                <w:sz w:val="18"/>
                <w:szCs w:val="18"/>
              </w:rPr>
              <w:t> </w:t>
            </w:r>
          </w:p>
          <w:p w:rsidR="00F83FA0" w:rsidRPr="00672E05" w:rsidRDefault="00F83FA0" w:rsidP="00672E05">
            <w:pPr>
              <w:spacing w:after="0" w:line="240" w:lineRule="auto"/>
              <w:jc w:val="center"/>
              <w:rPr>
                <w:rFonts w:ascii="Arial" w:eastAsia="Times New Roman" w:hAnsi="Arial" w:cs="Arial"/>
                <w:b/>
                <w:bCs/>
                <w:color w:val="FFFFFF"/>
                <w:sz w:val="18"/>
                <w:szCs w:val="18"/>
              </w:rPr>
            </w:pPr>
            <w:r w:rsidRPr="00672E05">
              <w:rPr>
                <w:rFonts w:ascii="Arial" w:eastAsia="Times New Roman" w:hAnsi="Arial" w:cs="Arial"/>
                <w:b/>
                <w:bCs/>
                <w:color w:val="FFFFFF"/>
                <w:sz w:val="18"/>
                <w:szCs w:val="18"/>
              </w:rPr>
              <w:t> </w:t>
            </w:r>
          </w:p>
        </w:tc>
        <w:tc>
          <w:tcPr>
            <w:tcW w:w="754" w:type="dxa"/>
            <w:tcBorders>
              <w:top w:val="single" w:sz="8" w:space="0" w:color="FFFFFF"/>
              <w:left w:val="nil"/>
              <w:bottom w:val="single" w:sz="8" w:space="0" w:color="FFFFFF"/>
              <w:right w:val="single" w:sz="8" w:space="0" w:color="FFFFFF"/>
            </w:tcBorders>
            <w:shd w:val="clear" w:color="000000" w:fill="538DD5"/>
            <w:vAlign w:val="center"/>
            <w:hideMark/>
          </w:tcPr>
          <w:p w:rsidR="00F83FA0" w:rsidRPr="00672E05" w:rsidRDefault="00F83FA0" w:rsidP="00672E05">
            <w:pPr>
              <w:spacing w:after="0" w:line="240" w:lineRule="auto"/>
              <w:jc w:val="center"/>
              <w:rPr>
                <w:rFonts w:ascii="Arial" w:eastAsia="Times New Roman" w:hAnsi="Arial" w:cs="Arial"/>
                <w:b/>
                <w:bCs/>
                <w:color w:val="FFFFFF"/>
                <w:sz w:val="18"/>
                <w:szCs w:val="18"/>
              </w:rPr>
            </w:pPr>
            <w:r w:rsidRPr="00672E05">
              <w:rPr>
                <w:rFonts w:ascii="Arial" w:eastAsia="Times New Roman" w:hAnsi="Arial" w:cs="Arial"/>
                <w:b/>
                <w:bCs/>
                <w:color w:val="FFFFFF"/>
                <w:sz w:val="18"/>
                <w:szCs w:val="18"/>
              </w:rPr>
              <w:t>RR</w:t>
            </w:r>
          </w:p>
        </w:tc>
        <w:tc>
          <w:tcPr>
            <w:tcW w:w="1030" w:type="dxa"/>
            <w:tcBorders>
              <w:top w:val="single" w:sz="8" w:space="0" w:color="FFFFFF"/>
              <w:left w:val="nil"/>
              <w:bottom w:val="single" w:sz="8" w:space="0" w:color="FFFFFF"/>
              <w:right w:val="single" w:sz="8" w:space="0" w:color="FFFFFF"/>
            </w:tcBorders>
            <w:shd w:val="clear" w:color="000000" w:fill="538DD5"/>
            <w:vAlign w:val="center"/>
            <w:hideMark/>
          </w:tcPr>
          <w:p w:rsidR="00F83FA0" w:rsidRPr="00672E05" w:rsidRDefault="00F83FA0" w:rsidP="00672E05">
            <w:pPr>
              <w:spacing w:after="0" w:line="240" w:lineRule="auto"/>
              <w:jc w:val="center"/>
              <w:rPr>
                <w:rFonts w:ascii="Arial" w:eastAsia="Times New Roman" w:hAnsi="Arial" w:cs="Arial"/>
                <w:b/>
                <w:bCs/>
                <w:color w:val="FFFFFF"/>
                <w:sz w:val="18"/>
                <w:szCs w:val="18"/>
              </w:rPr>
            </w:pPr>
            <w:r w:rsidRPr="00672E05">
              <w:rPr>
                <w:rFonts w:ascii="Arial" w:eastAsia="Times New Roman" w:hAnsi="Arial" w:cs="Arial"/>
                <w:b/>
                <w:bCs/>
                <w:color w:val="FFFFFF"/>
                <w:sz w:val="18"/>
                <w:szCs w:val="18"/>
              </w:rPr>
              <w:t>RRA</w:t>
            </w:r>
          </w:p>
        </w:tc>
        <w:tc>
          <w:tcPr>
            <w:tcW w:w="666" w:type="dxa"/>
            <w:tcBorders>
              <w:top w:val="single" w:sz="8" w:space="0" w:color="FFFFFF"/>
              <w:left w:val="nil"/>
              <w:bottom w:val="single" w:sz="8" w:space="0" w:color="FFFFFF"/>
              <w:right w:val="single" w:sz="8" w:space="0" w:color="FFFFFF"/>
            </w:tcBorders>
            <w:shd w:val="clear" w:color="000000" w:fill="538DD5"/>
            <w:vAlign w:val="center"/>
            <w:hideMark/>
          </w:tcPr>
          <w:p w:rsidR="00F83FA0" w:rsidRPr="00672E05" w:rsidRDefault="00F83FA0" w:rsidP="00672E05">
            <w:pPr>
              <w:spacing w:after="0" w:line="240" w:lineRule="auto"/>
              <w:jc w:val="center"/>
              <w:rPr>
                <w:rFonts w:ascii="Arial" w:eastAsia="Times New Roman" w:hAnsi="Arial" w:cs="Arial"/>
                <w:b/>
                <w:bCs/>
                <w:color w:val="FFFFFF"/>
                <w:sz w:val="18"/>
                <w:szCs w:val="18"/>
              </w:rPr>
            </w:pPr>
            <w:r w:rsidRPr="00672E05">
              <w:rPr>
                <w:rFonts w:ascii="Arial" w:eastAsia="Times New Roman" w:hAnsi="Arial" w:cs="Arial"/>
                <w:b/>
                <w:bCs/>
                <w:color w:val="FFFFFF"/>
                <w:sz w:val="18"/>
                <w:szCs w:val="18"/>
              </w:rPr>
              <w:t>NNT</w:t>
            </w:r>
          </w:p>
        </w:tc>
        <w:tc>
          <w:tcPr>
            <w:tcW w:w="1320" w:type="dxa"/>
            <w:tcBorders>
              <w:top w:val="single" w:sz="8" w:space="0" w:color="FFFFFF"/>
              <w:left w:val="nil"/>
              <w:bottom w:val="single" w:sz="8" w:space="0" w:color="FFFFFF"/>
              <w:right w:val="single" w:sz="8" w:space="0" w:color="FFFFFF"/>
            </w:tcBorders>
            <w:shd w:val="clear" w:color="000000" w:fill="538DD5"/>
            <w:vAlign w:val="center"/>
            <w:hideMark/>
          </w:tcPr>
          <w:p w:rsidR="00F83FA0" w:rsidRPr="00672E05" w:rsidRDefault="00F83FA0" w:rsidP="00672E05">
            <w:pPr>
              <w:spacing w:after="0" w:line="240" w:lineRule="auto"/>
              <w:jc w:val="center"/>
              <w:rPr>
                <w:rFonts w:ascii="Arial" w:eastAsia="Times New Roman" w:hAnsi="Arial" w:cs="Arial"/>
                <w:b/>
                <w:bCs/>
                <w:color w:val="FFFFFF"/>
                <w:sz w:val="18"/>
                <w:szCs w:val="18"/>
              </w:rPr>
            </w:pPr>
            <w:r w:rsidRPr="00672E05">
              <w:rPr>
                <w:rFonts w:ascii="Arial" w:eastAsia="Times New Roman" w:hAnsi="Arial" w:cs="Arial"/>
                <w:b/>
                <w:bCs/>
                <w:color w:val="FFFFFF"/>
                <w:sz w:val="18"/>
                <w:szCs w:val="18"/>
              </w:rPr>
              <w:t xml:space="preserve">Promedio seguimiento </w:t>
            </w:r>
          </w:p>
        </w:tc>
        <w:tc>
          <w:tcPr>
            <w:tcW w:w="1120" w:type="dxa"/>
            <w:tcBorders>
              <w:top w:val="single" w:sz="8" w:space="0" w:color="FFFFFF"/>
              <w:left w:val="nil"/>
              <w:bottom w:val="single" w:sz="8" w:space="0" w:color="FFFFFF"/>
              <w:right w:val="single" w:sz="8" w:space="0" w:color="FFFFFF"/>
            </w:tcBorders>
            <w:shd w:val="clear" w:color="000000" w:fill="538DD5"/>
            <w:vAlign w:val="center"/>
            <w:hideMark/>
          </w:tcPr>
          <w:p w:rsidR="00F83FA0" w:rsidRPr="00672E05" w:rsidRDefault="00F83FA0" w:rsidP="00672E05">
            <w:pPr>
              <w:spacing w:after="0" w:line="240" w:lineRule="auto"/>
              <w:jc w:val="center"/>
              <w:rPr>
                <w:rFonts w:ascii="Arial" w:eastAsia="Times New Roman" w:hAnsi="Arial" w:cs="Arial"/>
                <w:b/>
                <w:bCs/>
                <w:color w:val="FFFFFF"/>
                <w:sz w:val="18"/>
                <w:szCs w:val="18"/>
              </w:rPr>
            </w:pPr>
            <w:r w:rsidRPr="00672E05">
              <w:rPr>
                <w:rFonts w:ascii="Arial" w:eastAsia="Times New Roman" w:hAnsi="Arial" w:cs="Arial"/>
                <w:b/>
                <w:bCs/>
                <w:color w:val="FFFFFF"/>
                <w:sz w:val="18"/>
                <w:szCs w:val="18"/>
              </w:rPr>
              <w:t>NNT anualizado</w:t>
            </w:r>
          </w:p>
        </w:tc>
      </w:tr>
      <w:tr w:rsidR="00F83FA0" w:rsidRPr="00672E05" w:rsidTr="006A4ED8">
        <w:trPr>
          <w:trHeight w:val="151"/>
          <w:jc w:val="center"/>
        </w:trPr>
        <w:tc>
          <w:tcPr>
            <w:tcW w:w="2355" w:type="dxa"/>
            <w:gridSpan w:val="2"/>
            <w:tcBorders>
              <w:top w:val="single" w:sz="4" w:space="0" w:color="FFFFFF"/>
              <w:left w:val="single" w:sz="4" w:space="0" w:color="FFFFFF"/>
              <w:bottom w:val="single" w:sz="4" w:space="0" w:color="FFFFFF"/>
              <w:right w:val="single" w:sz="4" w:space="0" w:color="FFFFFF"/>
            </w:tcBorders>
            <w:shd w:val="clear" w:color="000000" w:fill="BFBFBF"/>
            <w:noWrap/>
            <w:vAlign w:val="bottom"/>
            <w:hideMark/>
          </w:tcPr>
          <w:p w:rsidR="00F83FA0" w:rsidRPr="00672E05" w:rsidRDefault="00F83FA0" w:rsidP="00672E05">
            <w:pPr>
              <w:spacing w:after="0" w:line="240" w:lineRule="auto"/>
              <w:rPr>
                <w:rFonts w:ascii="Arial" w:eastAsia="Times New Roman" w:hAnsi="Arial" w:cs="Arial"/>
                <w:color w:val="000000"/>
                <w:sz w:val="18"/>
                <w:szCs w:val="18"/>
              </w:rPr>
            </w:pPr>
            <w:r w:rsidRPr="00672E05">
              <w:rPr>
                <w:rFonts w:ascii="Arial" w:eastAsia="Times New Roman" w:hAnsi="Arial" w:cs="Arial"/>
                <w:color w:val="000000"/>
                <w:sz w:val="18"/>
                <w:szCs w:val="18"/>
              </w:rPr>
              <w:t>Metformina </w:t>
            </w:r>
          </w:p>
        </w:tc>
        <w:tc>
          <w:tcPr>
            <w:tcW w:w="754" w:type="dxa"/>
            <w:tcBorders>
              <w:top w:val="single" w:sz="4" w:space="0" w:color="FFFFFF"/>
              <w:left w:val="nil"/>
              <w:bottom w:val="single" w:sz="4" w:space="0" w:color="FFFFFF"/>
              <w:right w:val="single" w:sz="4" w:space="0" w:color="FFFFFF"/>
            </w:tcBorders>
            <w:shd w:val="clear" w:color="000000" w:fill="BFBFBF"/>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 </w:t>
            </w:r>
          </w:p>
        </w:tc>
        <w:tc>
          <w:tcPr>
            <w:tcW w:w="1030" w:type="dxa"/>
            <w:tcBorders>
              <w:top w:val="single" w:sz="4" w:space="0" w:color="FFFFFF"/>
              <w:left w:val="nil"/>
              <w:bottom w:val="single" w:sz="4" w:space="0" w:color="FFFFFF"/>
              <w:right w:val="single" w:sz="4" w:space="0" w:color="FFFFFF"/>
            </w:tcBorders>
            <w:shd w:val="clear" w:color="000000" w:fill="BFBFBF"/>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 </w:t>
            </w:r>
          </w:p>
        </w:tc>
        <w:tc>
          <w:tcPr>
            <w:tcW w:w="666" w:type="dxa"/>
            <w:tcBorders>
              <w:top w:val="single" w:sz="4" w:space="0" w:color="FFFFFF"/>
              <w:left w:val="nil"/>
              <w:bottom w:val="single" w:sz="4" w:space="0" w:color="FFFFFF"/>
              <w:right w:val="single" w:sz="4" w:space="0" w:color="FFFFFF"/>
            </w:tcBorders>
            <w:shd w:val="clear" w:color="000000" w:fill="BFBFBF"/>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 </w:t>
            </w:r>
          </w:p>
        </w:tc>
        <w:tc>
          <w:tcPr>
            <w:tcW w:w="1320" w:type="dxa"/>
            <w:tcBorders>
              <w:top w:val="single" w:sz="4" w:space="0" w:color="FFFFFF"/>
              <w:left w:val="nil"/>
              <w:bottom w:val="single" w:sz="4" w:space="0" w:color="FFFFFF"/>
              <w:right w:val="single" w:sz="4" w:space="0" w:color="FFFFFF"/>
            </w:tcBorders>
            <w:shd w:val="clear" w:color="000000" w:fill="BFBFBF"/>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 </w:t>
            </w:r>
          </w:p>
        </w:tc>
        <w:tc>
          <w:tcPr>
            <w:tcW w:w="1120" w:type="dxa"/>
            <w:tcBorders>
              <w:top w:val="single" w:sz="4" w:space="0" w:color="FFFFFF"/>
              <w:left w:val="nil"/>
              <w:bottom w:val="single" w:sz="4" w:space="0" w:color="FFFFFF"/>
              <w:right w:val="single" w:sz="4" w:space="0" w:color="FFFFFF"/>
            </w:tcBorders>
            <w:shd w:val="clear" w:color="000000" w:fill="BFBFBF"/>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 </w:t>
            </w:r>
          </w:p>
        </w:tc>
      </w:tr>
      <w:tr w:rsidR="00F83FA0" w:rsidRPr="00672E05" w:rsidTr="00672E05">
        <w:trPr>
          <w:trHeight w:val="359"/>
          <w:jc w:val="center"/>
        </w:trPr>
        <w:tc>
          <w:tcPr>
            <w:tcW w:w="285" w:type="dxa"/>
            <w:tcBorders>
              <w:top w:val="nil"/>
              <w:left w:val="single" w:sz="4" w:space="0" w:color="FFFFFF"/>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rPr>
                <w:rFonts w:ascii="Arial" w:eastAsia="Times New Roman" w:hAnsi="Arial" w:cs="Arial"/>
                <w:color w:val="000000"/>
                <w:sz w:val="18"/>
                <w:szCs w:val="18"/>
              </w:rPr>
            </w:pPr>
            <w:r w:rsidRPr="00672E05">
              <w:rPr>
                <w:rFonts w:ascii="Arial" w:eastAsia="Times New Roman" w:hAnsi="Arial" w:cs="Arial"/>
                <w:color w:val="000000"/>
                <w:sz w:val="18"/>
                <w:szCs w:val="18"/>
              </w:rPr>
              <w:t> </w:t>
            </w:r>
          </w:p>
        </w:tc>
        <w:tc>
          <w:tcPr>
            <w:tcW w:w="2070"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rPr>
                <w:rFonts w:ascii="Arial" w:eastAsia="Times New Roman" w:hAnsi="Arial" w:cs="Arial"/>
                <w:color w:val="000000"/>
                <w:sz w:val="18"/>
                <w:szCs w:val="18"/>
              </w:rPr>
            </w:pPr>
            <w:r w:rsidRPr="00672E05">
              <w:rPr>
                <w:rFonts w:ascii="Arial" w:eastAsia="Times New Roman" w:hAnsi="Arial" w:cs="Arial"/>
                <w:color w:val="000000"/>
                <w:sz w:val="18"/>
                <w:szCs w:val="18"/>
              </w:rPr>
              <w:t>Mortalidad por cualquier causa</w:t>
            </w:r>
          </w:p>
        </w:tc>
        <w:tc>
          <w:tcPr>
            <w:tcW w:w="754"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0,64</w:t>
            </w:r>
          </w:p>
        </w:tc>
        <w:tc>
          <w:tcPr>
            <w:tcW w:w="1030"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7,10</w:t>
            </w:r>
          </w:p>
        </w:tc>
        <w:tc>
          <w:tcPr>
            <w:tcW w:w="666"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14</w:t>
            </w:r>
          </w:p>
        </w:tc>
        <w:tc>
          <w:tcPr>
            <w:tcW w:w="1320"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1,00</w:t>
            </w:r>
          </w:p>
        </w:tc>
        <w:tc>
          <w:tcPr>
            <w:tcW w:w="1120"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14</w:t>
            </w:r>
          </w:p>
        </w:tc>
      </w:tr>
      <w:tr w:rsidR="00F83FA0" w:rsidRPr="00672E05" w:rsidTr="00F83FA0">
        <w:trPr>
          <w:trHeight w:val="300"/>
          <w:jc w:val="center"/>
        </w:trPr>
        <w:tc>
          <w:tcPr>
            <w:tcW w:w="285" w:type="dxa"/>
            <w:tcBorders>
              <w:top w:val="nil"/>
              <w:left w:val="single" w:sz="4" w:space="0" w:color="FFFFFF"/>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rPr>
                <w:rFonts w:ascii="Arial" w:eastAsia="Times New Roman" w:hAnsi="Arial" w:cs="Arial"/>
                <w:color w:val="000000"/>
                <w:sz w:val="18"/>
                <w:szCs w:val="18"/>
              </w:rPr>
            </w:pPr>
            <w:r w:rsidRPr="00672E05">
              <w:rPr>
                <w:rFonts w:ascii="Arial" w:eastAsia="Times New Roman" w:hAnsi="Arial" w:cs="Arial"/>
                <w:color w:val="000000"/>
                <w:sz w:val="18"/>
                <w:szCs w:val="18"/>
              </w:rPr>
              <w:t> </w:t>
            </w:r>
          </w:p>
        </w:tc>
        <w:tc>
          <w:tcPr>
            <w:tcW w:w="2070"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rPr>
                <w:rFonts w:ascii="Arial" w:eastAsia="Times New Roman" w:hAnsi="Arial" w:cs="Arial"/>
                <w:color w:val="000000"/>
                <w:sz w:val="18"/>
                <w:szCs w:val="18"/>
              </w:rPr>
            </w:pPr>
            <w:r w:rsidRPr="00672E05">
              <w:rPr>
                <w:rFonts w:ascii="Arial" w:eastAsia="Times New Roman" w:hAnsi="Arial" w:cs="Arial"/>
                <w:color w:val="000000"/>
                <w:sz w:val="18"/>
                <w:szCs w:val="18"/>
              </w:rPr>
              <w:t>IAM</w:t>
            </w:r>
          </w:p>
        </w:tc>
        <w:tc>
          <w:tcPr>
            <w:tcW w:w="754"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0,61</w:t>
            </w:r>
          </w:p>
        </w:tc>
        <w:tc>
          <w:tcPr>
            <w:tcW w:w="1030"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7,00</w:t>
            </w:r>
          </w:p>
        </w:tc>
        <w:tc>
          <w:tcPr>
            <w:tcW w:w="666"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14</w:t>
            </w:r>
          </w:p>
        </w:tc>
        <w:tc>
          <w:tcPr>
            <w:tcW w:w="1320"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1,00</w:t>
            </w:r>
          </w:p>
        </w:tc>
        <w:tc>
          <w:tcPr>
            <w:tcW w:w="1120"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14</w:t>
            </w:r>
          </w:p>
        </w:tc>
      </w:tr>
      <w:tr w:rsidR="00F83FA0" w:rsidRPr="00672E05" w:rsidTr="00672E05">
        <w:trPr>
          <w:trHeight w:val="341"/>
          <w:jc w:val="center"/>
        </w:trPr>
        <w:tc>
          <w:tcPr>
            <w:tcW w:w="285" w:type="dxa"/>
            <w:tcBorders>
              <w:top w:val="nil"/>
              <w:left w:val="single" w:sz="4" w:space="0" w:color="FFFFFF"/>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rPr>
                <w:rFonts w:ascii="Arial" w:eastAsia="Times New Roman" w:hAnsi="Arial" w:cs="Arial"/>
                <w:color w:val="000000"/>
                <w:sz w:val="18"/>
                <w:szCs w:val="18"/>
              </w:rPr>
            </w:pPr>
            <w:r w:rsidRPr="00672E05">
              <w:rPr>
                <w:rFonts w:ascii="Arial" w:eastAsia="Times New Roman" w:hAnsi="Arial" w:cs="Arial"/>
                <w:color w:val="000000"/>
                <w:sz w:val="18"/>
                <w:szCs w:val="18"/>
              </w:rPr>
              <w:t> </w:t>
            </w:r>
          </w:p>
        </w:tc>
        <w:tc>
          <w:tcPr>
            <w:tcW w:w="2070"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rPr>
                <w:rFonts w:ascii="Arial" w:eastAsia="Times New Roman" w:hAnsi="Arial" w:cs="Arial"/>
                <w:color w:val="000000"/>
                <w:sz w:val="18"/>
                <w:szCs w:val="18"/>
              </w:rPr>
            </w:pPr>
            <w:r w:rsidRPr="00672E05">
              <w:rPr>
                <w:rFonts w:ascii="Arial" w:eastAsia="Times New Roman" w:hAnsi="Arial" w:cs="Arial"/>
                <w:color w:val="000000"/>
                <w:sz w:val="18"/>
                <w:szCs w:val="18"/>
              </w:rPr>
              <w:t>Evento asociado a DBT</w:t>
            </w:r>
          </w:p>
        </w:tc>
        <w:tc>
          <w:tcPr>
            <w:tcW w:w="754"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0,68</w:t>
            </w:r>
          </w:p>
        </w:tc>
        <w:tc>
          <w:tcPr>
            <w:tcW w:w="1030"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13,50</w:t>
            </w:r>
          </w:p>
        </w:tc>
        <w:tc>
          <w:tcPr>
            <w:tcW w:w="666"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7</w:t>
            </w:r>
          </w:p>
        </w:tc>
        <w:tc>
          <w:tcPr>
            <w:tcW w:w="1320"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1,00</w:t>
            </w:r>
          </w:p>
        </w:tc>
        <w:tc>
          <w:tcPr>
            <w:tcW w:w="1120"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7</w:t>
            </w:r>
          </w:p>
        </w:tc>
      </w:tr>
      <w:tr w:rsidR="00F83FA0" w:rsidRPr="00672E05" w:rsidTr="00672E05">
        <w:trPr>
          <w:trHeight w:val="269"/>
          <w:jc w:val="center"/>
        </w:trPr>
        <w:tc>
          <w:tcPr>
            <w:tcW w:w="285" w:type="dxa"/>
            <w:tcBorders>
              <w:top w:val="nil"/>
              <w:left w:val="single" w:sz="4" w:space="0" w:color="FFFFFF"/>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rPr>
                <w:rFonts w:ascii="Arial" w:eastAsia="Times New Roman" w:hAnsi="Arial" w:cs="Arial"/>
                <w:color w:val="000000"/>
                <w:sz w:val="18"/>
                <w:szCs w:val="18"/>
              </w:rPr>
            </w:pPr>
            <w:r w:rsidRPr="00672E05">
              <w:rPr>
                <w:rFonts w:ascii="Arial" w:eastAsia="Times New Roman" w:hAnsi="Arial" w:cs="Arial"/>
                <w:color w:val="000000"/>
                <w:sz w:val="18"/>
                <w:szCs w:val="18"/>
              </w:rPr>
              <w:t> </w:t>
            </w:r>
          </w:p>
        </w:tc>
        <w:tc>
          <w:tcPr>
            <w:tcW w:w="2070"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rPr>
                <w:rFonts w:ascii="Arial" w:eastAsia="Times New Roman" w:hAnsi="Arial" w:cs="Arial"/>
                <w:color w:val="000000"/>
                <w:sz w:val="18"/>
                <w:szCs w:val="18"/>
              </w:rPr>
            </w:pPr>
            <w:r w:rsidRPr="00672E05">
              <w:rPr>
                <w:rFonts w:ascii="Arial" w:eastAsia="Times New Roman" w:hAnsi="Arial" w:cs="Arial"/>
                <w:color w:val="000000"/>
                <w:sz w:val="18"/>
                <w:szCs w:val="18"/>
              </w:rPr>
              <w:t>Mortalidad por DBT</w:t>
            </w:r>
          </w:p>
        </w:tc>
        <w:tc>
          <w:tcPr>
            <w:tcW w:w="754"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0,58</w:t>
            </w:r>
          </w:p>
        </w:tc>
        <w:tc>
          <w:tcPr>
            <w:tcW w:w="1030"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5,20</w:t>
            </w:r>
          </w:p>
        </w:tc>
        <w:tc>
          <w:tcPr>
            <w:tcW w:w="666"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19</w:t>
            </w:r>
          </w:p>
        </w:tc>
        <w:tc>
          <w:tcPr>
            <w:tcW w:w="1320"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1,00</w:t>
            </w:r>
          </w:p>
        </w:tc>
        <w:tc>
          <w:tcPr>
            <w:tcW w:w="1120" w:type="dxa"/>
            <w:tcBorders>
              <w:top w:val="nil"/>
              <w:left w:val="nil"/>
              <w:bottom w:val="single" w:sz="4" w:space="0" w:color="FFFFFF"/>
              <w:right w:val="single" w:sz="4" w:space="0" w:color="FFFFFF"/>
            </w:tcBorders>
            <w:shd w:val="clear" w:color="000000" w:fill="F2F2F2"/>
            <w:noWrap/>
            <w:vAlign w:val="bottom"/>
            <w:hideMark/>
          </w:tcPr>
          <w:p w:rsidR="00F83FA0" w:rsidRPr="00672E05" w:rsidRDefault="00F83FA0" w:rsidP="00672E05">
            <w:pPr>
              <w:spacing w:after="0" w:line="240" w:lineRule="auto"/>
              <w:jc w:val="center"/>
              <w:rPr>
                <w:rFonts w:ascii="Arial" w:eastAsia="Times New Roman" w:hAnsi="Arial" w:cs="Arial"/>
                <w:color w:val="000000"/>
                <w:sz w:val="18"/>
                <w:szCs w:val="18"/>
              </w:rPr>
            </w:pPr>
            <w:r w:rsidRPr="00672E05">
              <w:rPr>
                <w:rFonts w:ascii="Arial" w:eastAsia="Times New Roman" w:hAnsi="Arial" w:cs="Arial"/>
                <w:color w:val="000000"/>
                <w:sz w:val="18"/>
                <w:szCs w:val="18"/>
              </w:rPr>
              <w:t>19</w:t>
            </w:r>
          </w:p>
        </w:tc>
      </w:tr>
      <w:tr w:rsidR="00F83FA0" w:rsidRPr="006A4ED8" w:rsidTr="00672E05">
        <w:trPr>
          <w:trHeight w:val="179"/>
          <w:jc w:val="center"/>
        </w:trPr>
        <w:tc>
          <w:tcPr>
            <w:tcW w:w="7245" w:type="dxa"/>
            <w:gridSpan w:val="7"/>
            <w:tcBorders>
              <w:top w:val="single" w:sz="4" w:space="0" w:color="FFFFFF"/>
              <w:left w:val="nil"/>
              <w:bottom w:val="nil"/>
              <w:right w:val="nil"/>
            </w:tcBorders>
            <w:shd w:val="clear" w:color="auto" w:fill="auto"/>
            <w:noWrap/>
            <w:vAlign w:val="bottom"/>
            <w:hideMark/>
          </w:tcPr>
          <w:p w:rsidR="00F83FA0" w:rsidRPr="00672E05" w:rsidRDefault="00F83FA0" w:rsidP="00672E05">
            <w:pPr>
              <w:spacing w:after="0" w:line="240" w:lineRule="auto"/>
              <w:rPr>
                <w:rFonts w:ascii="Arial" w:eastAsia="Times New Roman" w:hAnsi="Arial" w:cs="Arial"/>
                <w:color w:val="000000"/>
                <w:sz w:val="18"/>
                <w:szCs w:val="18"/>
                <w:lang w:val="es-ES"/>
              </w:rPr>
            </w:pPr>
            <w:r w:rsidRPr="00672E05">
              <w:rPr>
                <w:rFonts w:ascii="Arial" w:eastAsia="Times New Roman" w:hAnsi="Arial" w:cs="Arial"/>
                <w:color w:val="000000"/>
                <w:sz w:val="18"/>
                <w:szCs w:val="18"/>
                <w:lang w:val="es-ES"/>
              </w:rPr>
              <w:t>RR, Riesgo relativo; RRA, reducción del riesgo absoluto</w:t>
            </w:r>
          </w:p>
        </w:tc>
      </w:tr>
    </w:tbl>
    <w:p w:rsidR="00F83FA0" w:rsidRPr="00476F57" w:rsidRDefault="00F83FA0" w:rsidP="00672E05">
      <w:pPr>
        <w:spacing w:after="0" w:line="240" w:lineRule="auto"/>
        <w:ind w:left="360"/>
        <w:jc w:val="both"/>
        <w:rPr>
          <w:rFonts w:ascii="Arial" w:hAnsi="Arial" w:cs="Arial"/>
          <w:lang w:val="es-ES"/>
        </w:rPr>
      </w:pPr>
    </w:p>
    <w:p w:rsidR="003B0845" w:rsidRPr="00476F57" w:rsidRDefault="00F83FA0" w:rsidP="00F83FA0">
      <w:pPr>
        <w:pStyle w:val="ListParagraph"/>
        <w:numPr>
          <w:ilvl w:val="0"/>
          <w:numId w:val="18"/>
        </w:numPr>
        <w:jc w:val="both"/>
        <w:rPr>
          <w:rFonts w:ascii="Arial" w:hAnsi="Arial" w:cs="Arial"/>
          <w:lang w:val="es-AR"/>
        </w:rPr>
      </w:pPr>
      <w:r w:rsidRPr="00476F57">
        <w:rPr>
          <w:rFonts w:ascii="Arial" w:hAnsi="Arial" w:cs="Arial"/>
          <w:lang w:val="es-AR"/>
        </w:rPr>
        <w:t xml:space="preserve">Luego, se aproximó el número de tratamientos dispensados. De acuerdo a los datos provistos por </w:t>
      </w:r>
      <w:r w:rsidR="00C76F5F" w:rsidRPr="00476F57">
        <w:rPr>
          <w:rFonts w:ascii="Arial" w:hAnsi="Arial" w:cs="Arial"/>
          <w:lang w:val="es-AR"/>
        </w:rPr>
        <w:t>REMEDIAR</w:t>
      </w:r>
      <w:r w:rsidRPr="00476F57">
        <w:rPr>
          <w:rFonts w:ascii="Arial" w:hAnsi="Arial" w:cs="Arial"/>
          <w:lang w:val="es-AR"/>
        </w:rPr>
        <w:t xml:space="preserve">, en el año 2013 habían </w:t>
      </w:r>
      <w:r w:rsidR="003B0845" w:rsidRPr="00476F57">
        <w:rPr>
          <w:rFonts w:ascii="Arial" w:hAnsi="Arial" w:cs="Arial"/>
          <w:lang w:val="es-AR"/>
        </w:rPr>
        <w:t>33</w:t>
      </w:r>
      <w:r w:rsidRPr="00476F57">
        <w:rPr>
          <w:rFonts w:ascii="Arial" w:hAnsi="Arial" w:cs="Arial"/>
          <w:lang w:val="es-AR"/>
        </w:rPr>
        <w:t>.</w:t>
      </w:r>
      <w:r w:rsidR="003B0845" w:rsidRPr="00476F57">
        <w:rPr>
          <w:rFonts w:ascii="Arial" w:hAnsi="Arial" w:cs="Arial"/>
          <w:lang w:val="es-AR"/>
        </w:rPr>
        <w:t>332</w:t>
      </w:r>
      <w:r w:rsidRPr="00476F57">
        <w:rPr>
          <w:rFonts w:ascii="Arial" w:hAnsi="Arial" w:cs="Arial"/>
          <w:lang w:val="es-AR"/>
        </w:rPr>
        <w:t xml:space="preserve"> personas clasificadas con riesgo cardiovascular global (RCVG)</w:t>
      </w:r>
      <w:r w:rsidR="003B0845" w:rsidRPr="00476F57">
        <w:rPr>
          <w:rFonts w:ascii="Arial" w:hAnsi="Arial" w:cs="Arial"/>
          <w:lang w:val="es-AR"/>
        </w:rPr>
        <w:t xml:space="preserve"> medio o alto</w:t>
      </w:r>
      <w:r w:rsidRPr="00476F57">
        <w:rPr>
          <w:rFonts w:ascii="Arial" w:hAnsi="Arial" w:cs="Arial"/>
          <w:lang w:val="es-AR"/>
        </w:rPr>
        <w:t xml:space="preserve">. </w:t>
      </w:r>
    </w:p>
    <w:p w:rsidR="003B0845" w:rsidRPr="00476F57" w:rsidRDefault="003B0845" w:rsidP="00672E05">
      <w:pPr>
        <w:pStyle w:val="ListParagraph"/>
        <w:spacing w:after="120" w:line="240" w:lineRule="auto"/>
        <w:jc w:val="both"/>
        <w:rPr>
          <w:rFonts w:ascii="Arial" w:hAnsi="Arial" w:cs="Arial"/>
          <w:lang w:val="es-AR"/>
        </w:rPr>
      </w:pPr>
    </w:p>
    <w:p w:rsidR="003B0845" w:rsidRPr="00476F57" w:rsidRDefault="00F83FA0" w:rsidP="00F83FA0">
      <w:pPr>
        <w:pStyle w:val="ListParagraph"/>
        <w:numPr>
          <w:ilvl w:val="0"/>
          <w:numId w:val="18"/>
        </w:numPr>
        <w:jc w:val="both"/>
        <w:rPr>
          <w:rFonts w:ascii="Arial" w:hAnsi="Arial" w:cs="Arial"/>
          <w:lang w:val="es-AR"/>
        </w:rPr>
      </w:pPr>
      <w:r w:rsidRPr="00476F57">
        <w:rPr>
          <w:rFonts w:ascii="Arial" w:hAnsi="Arial" w:cs="Arial"/>
          <w:lang w:val="es-AR"/>
        </w:rPr>
        <w:t>Se utilizaron las prevalencias reportadas en la Encuesta Nacional de Factores de Riesgo (ENFR) 2013 para estimar las prevalencias de hipertensión y diabetes entre aquellas personas</w:t>
      </w:r>
      <w:r w:rsidR="003B0845" w:rsidRPr="00476F57">
        <w:rPr>
          <w:rFonts w:ascii="Arial" w:hAnsi="Arial" w:cs="Arial"/>
          <w:lang w:val="es-AR"/>
        </w:rPr>
        <w:t xml:space="preserve"> clasificadas con RCVG </w:t>
      </w:r>
      <w:r w:rsidRPr="00476F57">
        <w:rPr>
          <w:rFonts w:ascii="Arial" w:hAnsi="Arial" w:cs="Arial"/>
          <w:lang w:val="es-AR"/>
        </w:rPr>
        <w:t xml:space="preserve">medio y alto. De este modo se asumió que </w:t>
      </w:r>
      <w:r w:rsidRPr="00476F57">
        <w:rPr>
          <w:rFonts w:ascii="Arial" w:hAnsi="Arial" w:cs="Arial"/>
          <w:lang w:val="es-AR"/>
        </w:rPr>
        <w:lastRenderedPageBreak/>
        <w:t>del total de personas con RCVG el 87% era hipertenso y el 27% diabético.</w:t>
      </w:r>
      <w:r w:rsidRPr="00476F57">
        <w:rPr>
          <w:rStyle w:val="FootnoteReference"/>
          <w:rFonts w:ascii="Arial" w:hAnsi="Arial" w:cs="Arial"/>
          <w:lang w:val="es-AR"/>
        </w:rPr>
        <w:footnoteReference w:id="3"/>
      </w:r>
      <w:r w:rsidRPr="00476F57">
        <w:rPr>
          <w:rFonts w:ascii="Arial" w:hAnsi="Arial" w:cs="Arial"/>
          <w:lang w:val="es-AR"/>
        </w:rPr>
        <w:t xml:space="preserve"> Teniendo en cuenta que se desconoce el número de personas con RCVG en las localidades sin Redes, para los fines prácticos de</w:t>
      </w:r>
      <w:r w:rsidR="00B66897" w:rsidRPr="00476F57">
        <w:rPr>
          <w:rFonts w:ascii="Arial" w:hAnsi="Arial" w:cs="Arial"/>
          <w:lang w:val="es-AR"/>
        </w:rPr>
        <w:t xml:space="preserve"> este anexo</w:t>
      </w:r>
      <w:r w:rsidRPr="00476F57">
        <w:rPr>
          <w:rFonts w:ascii="Arial" w:hAnsi="Arial" w:cs="Arial"/>
          <w:lang w:val="es-AR"/>
        </w:rPr>
        <w:t xml:space="preserve"> se asumió que el número de personas, así como las prevalencias de HTA y DBT será igual en ambos grupos.</w:t>
      </w:r>
    </w:p>
    <w:p w:rsidR="003B0845" w:rsidRPr="00476F57" w:rsidRDefault="003B0845" w:rsidP="006A4ED8">
      <w:pPr>
        <w:pStyle w:val="ListParagraph"/>
        <w:spacing w:line="240" w:lineRule="auto"/>
        <w:jc w:val="both"/>
        <w:rPr>
          <w:rFonts w:ascii="Arial" w:hAnsi="Arial" w:cs="Arial"/>
          <w:lang w:val="es-AR"/>
        </w:rPr>
      </w:pPr>
    </w:p>
    <w:p w:rsidR="00F83FA0" w:rsidRPr="00476F57" w:rsidRDefault="00F83FA0" w:rsidP="00F83FA0">
      <w:pPr>
        <w:pStyle w:val="ListParagraph"/>
        <w:numPr>
          <w:ilvl w:val="0"/>
          <w:numId w:val="18"/>
        </w:numPr>
        <w:jc w:val="both"/>
        <w:rPr>
          <w:rFonts w:ascii="Arial" w:hAnsi="Arial" w:cs="Arial"/>
          <w:lang w:val="es-AR"/>
        </w:rPr>
      </w:pPr>
      <w:r w:rsidRPr="00476F57">
        <w:rPr>
          <w:rFonts w:ascii="Arial" w:hAnsi="Arial" w:cs="Arial"/>
          <w:lang w:val="es-AR"/>
        </w:rPr>
        <w:t xml:space="preserve">A su vez, el informe de monitoreo “Evaluar para seguir adelante: Resultados del Programa Redes” reporta las tasas de tratamientos con antihipertensivos (AH) dispensados a hipertensos así como los tratamientos para la diabetes dispensados a diabéticos tanto para localidades con Redes como sin Redes. </w:t>
      </w:r>
    </w:p>
    <w:tbl>
      <w:tblPr>
        <w:tblW w:w="6720" w:type="dxa"/>
        <w:jc w:val="center"/>
        <w:tblLook w:val="04A0" w:firstRow="1" w:lastRow="0" w:firstColumn="1" w:lastColumn="0" w:noHBand="0" w:noVBand="1"/>
      </w:tblPr>
      <w:tblGrid>
        <w:gridCol w:w="846"/>
        <w:gridCol w:w="1005"/>
        <w:gridCol w:w="642"/>
        <w:gridCol w:w="909"/>
        <w:gridCol w:w="1398"/>
        <w:gridCol w:w="960"/>
        <w:gridCol w:w="960"/>
      </w:tblGrid>
      <w:tr w:rsidR="00672E05" w:rsidRPr="006A4ED8" w:rsidTr="006A4ED8">
        <w:trPr>
          <w:trHeight w:val="243"/>
          <w:jc w:val="center"/>
        </w:trPr>
        <w:tc>
          <w:tcPr>
            <w:tcW w:w="6720" w:type="dxa"/>
            <w:gridSpan w:val="7"/>
            <w:tcBorders>
              <w:top w:val="nil"/>
              <w:left w:val="nil"/>
              <w:bottom w:val="nil"/>
              <w:right w:val="nil"/>
            </w:tcBorders>
            <w:shd w:val="clear" w:color="auto" w:fill="auto"/>
            <w:noWrap/>
            <w:vAlign w:val="bottom"/>
            <w:hideMark/>
          </w:tcPr>
          <w:p w:rsidR="00672E05" w:rsidRPr="00476F57" w:rsidRDefault="00672E05" w:rsidP="00672E05">
            <w:pPr>
              <w:spacing w:after="0" w:line="240" w:lineRule="auto"/>
              <w:jc w:val="center"/>
              <w:rPr>
                <w:rFonts w:ascii="Arial" w:eastAsia="Times New Roman" w:hAnsi="Arial" w:cs="Arial"/>
                <w:color w:val="000000"/>
                <w:sz w:val="18"/>
                <w:szCs w:val="18"/>
                <w:lang w:val="es-ES"/>
              </w:rPr>
            </w:pPr>
            <w:r w:rsidRPr="00476F57">
              <w:rPr>
                <w:rFonts w:ascii="Arial" w:eastAsia="Times New Roman" w:hAnsi="Arial" w:cs="Arial"/>
                <w:b/>
                <w:bCs/>
                <w:color w:val="000000"/>
                <w:sz w:val="18"/>
                <w:szCs w:val="18"/>
                <w:lang w:val="es-ES"/>
              </w:rPr>
              <w:t>Tabla 2: Estimación de tratamientos dispensados</w:t>
            </w:r>
          </w:p>
        </w:tc>
      </w:tr>
      <w:tr w:rsidR="00F83FA0" w:rsidRPr="00476F57" w:rsidTr="00F83FA0">
        <w:trPr>
          <w:trHeight w:val="315"/>
          <w:jc w:val="center"/>
        </w:trPr>
        <w:tc>
          <w:tcPr>
            <w:tcW w:w="846" w:type="dxa"/>
            <w:vMerge w:val="restart"/>
            <w:tcBorders>
              <w:top w:val="single" w:sz="8" w:space="0" w:color="FFFFFF"/>
              <w:left w:val="single" w:sz="8" w:space="0" w:color="FFFFFF"/>
              <w:bottom w:val="single" w:sz="8" w:space="0" w:color="FFFFFF"/>
              <w:right w:val="single" w:sz="8" w:space="0" w:color="FFFFFF"/>
            </w:tcBorders>
            <w:shd w:val="clear" w:color="auto" w:fill="548DD4" w:themeFill="text2" w:themeFillTint="99"/>
            <w:noWrap/>
            <w:vAlign w:val="center"/>
            <w:hideMark/>
          </w:tcPr>
          <w:p w:rsidR="00F83FA0" w:rsidRPr="00476F57" w:rsidRDefault="00F83FA0" w:rsidP="00F83FA0">
            <w:pPr>
              <w:spacing w:after="0" w:line="240" w:lineRule="auto"/>
              <w:jc w:val="center"/>
              <w:rPr>
                <w:rFonts w:ascii="Arial" w:eastAsia="Times New Roman" w:hAnsi="Arial" w:cs="Arial"/>
                <w:b/>
                <w:bCs/>
                <w:color w:val="FFFFFF"/>
                <w:sz w:val="18"/>
                <w:szCs w:val="18"/>
                <w:lang w:val="es-ES"/>
              </w:rPr>
            </w:pPr>
            <w:r w:rsidRPr="00476F57">
              <w:rPr>
                <w:rFonts w:ascii="Arial" w:eastAsia="Times New Roman" w:hAnsi="Arial" w:cs="Arial"/>
                <w:b/>
                <w:bCs/>
                <w:color w:val="FFFFFF"/>
                <w:sz w:val="18"/>
                <w:szCs w:val="18"/>
                <w:lang w:val="es-ES"/>
              </w:rPr>
              <w:t> </w:t>
            </w:r>
          </w:p>
        </w:tc>
        <w:tc>
          <w:tcPr>
            <w:tcW w:w="1005" w:type="dxa"/>
            <w:vMerge w:val="restart"/>
            <w:tcBorders>
              <w:top w:val="single" w:sz="8" w:space="0" w:color="FFFFFF"/>
              <w:left w:val="single" w:sz="8" w:space="0" w:color="FFFFFF"/>
              <w:bottom w:val="single" w:sz="8" w:space="0" w:color="FFFFFF"/>
              <w:right w:val="single" w:sz="8" w:space="0" w:color="FFFFFF"/>
            </w:tcBorders>
            <w:shd w:val="clear" w:color="auto" w:fill="548DD4" w:themeFill="text2" w:themeFillTint="99"/>
            <w:noWrap/>
            <w:vAlign w:val="center"/>
            <w:hideMark/>
          </w:tcPr>
          <w:p w:rsidR="00F83FA0" w:rsidRPr="00476F57" w:rsidRDefault="00F83FA0" w:rsidP="00F83FA0">
            <w:pPr>
              <w:spacing w:after="0" w:line="240" w:lineRule="auto"/>
              <w:jc w:val="center"/>
              <w:rPr>
                <w:rFonts w:ascii="Arial" w:eastAsia="Times New Roman" w:hAnsi="Arial" w:cs="Arial"/>
                <w:b/>
                <w:bCs/>
                <w:color w:val="FFFFFF"/>
                <w:sz w:val="18"/>
                <w:szCs w:val="18"/>
              </w:rPr>
            </w:pPr>
            <w:r w:rsidRPr="00476F57">
              <w:rPr>
                <w:rFonts w:ascii="Arial" w:eastAsia="Times New Roman" w:hAnsi="Arial" w:cs="Arial"/>
                <w:b/>
                <w:bCs/>
                <w:color w:val="FFFFFF"/>
                <w:sz w:val="18"/>
                <w:szCs w:val="18"/>
              </w:rPr>
              <w:t>N</w:t>
            </w:r>
          </w:p>
        </w:tc>
        <w:tc>
          <w:tcPr>
            <w:tcW w:w="642" w:type="dxa"/>
            <w:vMerge w:val="restart"/>
            <w:tcBorders>
              <w:top w:val="single" w:sz="8" w:space="0" w:color="FFFFFF"/>
              <w:left w:val="single" w:sz="8" w:space="0" w:color="FFFFFF"/>
              <w:bottom w:val="single" w:sz="8" w:space="0" w:color="FFFFFF"/>
              <w:right w:val="single" w:sz="8" w:space="0" w:color="FFFFFF"/>
            </w:tcBorders>
            <w:shd w:val="clear" w:color="auto" w:fill="548DD4" w:themeFill="text2" w:themeFillTint="99"/>
            <w:noWrap/>
            <w:vAlign w:val="center"/>
            <w:hideMark/>
          </w:tcPr>
          <w:p w:rsidR="00F83FA0" w:rsidRPr="00476F57" w:rsidRDefault="00F83FA0" w:rsidP="00F83FA0">
            <w:pPr>
              <w:spacing w:after="0" w:line="240" w:lineRule="auto"/>
              <w:jc w:val="center"/>
              <w:rPr>
                <w:rFonts w:ascii="Arial" w:eastAsia="Times New Roman" w:hAnsi="Arial" w:cs="Arial"/>
                <w:b/>
                <w:bCs/>
                <w:color w:val="FFFFFF"/>
                <w:sz w:val="18"/>
                <w:szCs w:val="18"/>
              </w:rPr>
            </w:pPr>
            <w:r w:rsidRPr="00476F57">
              <w:rPr>
                <w:rFonts w:ascii="Arial" w:eastAsia="Times New Roman" w:hAnsi="Arial" w:cs="Arial"/>
                <w:b/>
                <w:bCs/>
                <w:color w:val="FFFFFF"/>
                <w:sz w:val="18"/>
                <w:szCs w:val="18"/>
              </w:rPr>
              <w:t>%</w:t>
            </w:r>
          </w:p>
        </w:tc>
        <w:tc>
          <w:tcPr>
            <w:tcW w:w="2307" w:type="dxa"/>
            <w:gridSpan w:val="2"/>
            <w:tcBorders>
              <w:top w:val="single" w:sz="8" w:space="0" w:color="FFFFFF"/>
              <w:left w:val="nil"/>
              <w:bottom w:val="single" w:sz="8" w:space="0" w:color="FFFFFF"/>
              <w:right w:val="single" w:sz="8" w:space="0" w:color="FFFFFF"/>
            </w:tcBorders>
            <w:shd w:val="clear" w:color="auto" w:fill="548DD4" w:themeFill="text2" w:themeFillTint="99"/>
            <w:noWrap/>
            <w:vAlign w:val="center"/>
            <w:hideMark/>
          </w:tcPr>
          <w:p w:rsidR="00F83FA0" w:rsidRPr="00476F57" w:rsidRDefault="00F83FA0" w:rsidP="00F83FA0">
            <w:pPr>
              <w:spacing w:after="0" w:line="240" w:lineRule="auto"/>
              <w:jc w:val="center"/>
              <w:rPr>
                <w:rFonts w:ascii="Arial" w:eastAsia="Times New Roman" w:hAnsi="Arial" w:cs="Arial"/>
                <w:b/>
                <w:bCs/>
                <w:color w:val="FFFFFF"/>
                <w:sz w:val="18"/>
                <w:szCs w:val="18"/>
              </w:rPr>
            </w:pPr>
            <w:r w:rsidRPr="00476F57">
              <w:rPr>
                <w:rFonts w:ascii="Arial" w:eastAsia="Times New Roman" w:hAnsi="Arial" w:cs="Arial"/>
                <w:b/>
                <w:bCs/>
                <w:color w:val="FFFFFF"/>
                <w:sz w:val="18"/>
                <w:szCs w:val="18"/>
              </w:rPr>
              <w:t>% Tratamientos dispensados (1)</w:t>
            </w:r>
          </w:p>
        </w:tc>
        <w:tc>
          <w:tcPr>
            <w:tcW w:w="1920" w:type="dxa"/>
            <w:gridSpan w:val="2"/>
            <w:tcBorders>
              <w:top w:val="single" w:sz="8" w:space="0" w:color="FFFFFF"/>
              <w:left w:val="nil"/>
              <w:bottom w:val="single" w:sz="8" w:space="0" w:color="FFFFFF"/>
              <w:right w:val="single" w:sz="8" w:space="0" w:color="FFFFFF"/>
            </w:tcBorders>
            <w:shd w:val="clear" w:color="auto" w:fill="548DD4" w:themeFill="text2" w:themeFillTint="99"/>
            <w:vAlign w:val="center"/>
            <w:hideMark/>
          </w:tcPr>
          <w:p w:rsidR="00F83FA0" w:rsidRPr="00476F57" w:rsidRDefault="00F83FA0" w:rsidP="00F83FA0">
            <w:pPr>
              <w:spacing w:after="0" w:line="240" w:lineRule="auto"/>
              <w:jc w:val="center"/>
              <w:rPr>
                <w:rFonts w:ascii="Arial" w:eastAsia="Times New Roman" w:hAnsi="Arial" w:cs="Arial"/>
                <w:b/>
                <w:bCs/>
                <w:color w:val="FFFFFF"/>
                <w:sz w:val="18"/>
                <w:szCs w:val="18"/>
              </w:rPr>
            </w:pPr>
            <w:r w:rsidRPr="00476F57">
              <w:rPr>
                <w:rFonts w:ascii="Arial" w:eastAsia="Times New Roman" w:hAnsi="Arial" w:cs="Arial"/>
                <w:b/>
                <w:bCs/>
                <w:color w:val="FFFFFF"/>
                <w:sz w:val="18"/>
                <w:szCs w:val="18"/>
              </w:rPr>
              <w:t>Tratamientos dispensados</w:t>
            </w:r>
          </w:p>
        </w:tc>
      </w:tr>
      <w:tr w:rsidR="00F83FA0" w:rsidRPr="00476F57" w:rsidTr="00F83FA0">
        <w:trPr>
          <w:trHeight w:val="315"/>
          <w:jc w:val="center"/>
        </w:trPr>
        <w:tc>
          <w:tcPr>
            <w:tcW w:w="846" w:type="dxa"/>
            <w:vMerge/>
            <w:tcBorders>
              <w:top w:val="single" w:sz="8" w:space="0" w:color="FFFFFF"/>
              <w:left w:val="single" w:sz="8" w:space="0" w:color="FFFFFF"/>
              <w:bottom w:val="single" w:sz="8" w:space="0" w:color="FFFFFF"/>
              <w:right w:val="single" w:sz="8" w:space="0" w:color="FFFFFF"/>
            </w:tcBorders>
            <w:shd w:val="clear" w:color="auto" w:fill="548DD4" w:themeFill="text2" w:themeFillTint="99"/>
            <w:vAlign w:val="center"/>
            <w:hideMark/>
          </w:tcPr>
          <w:p w:rsidR="00F83FA0" w:rsidRPr="00476F57" w:rsidRDefault="00F83FA0" w:rsidP="00F83FA0">
            <w:pPr>
              <w:spacing w:after="0" w:line="240" w:lineRule="auto"/>
              <w:rPr>
                <w:rFonts w:ascii="Arial" w:eastAsia="Times New Roman" w:hAnsi="Arial" w:cs="Arial"/>
                <w:b/>
                <w:bCs/>
                <w:color w:val="FFFFFF"/>
                <w:sz w:val="18"/>
                <w:szCs w:val="18"/>
              </w:rPr>
            </w:pPr>
          </w:p>
        </w:tc>
        <w:tc>
          <w:tcPr>
            <w:tcW w:w="1005" w:type="dxa"/>
            <w:vMerge/>
            <w:tcBorders>
              <w:top w:val="single" w:sz="8" w:space="0" w:color="FFFFFF"/>
              <w:left w:val="single" w:sz="8" w:space="0" w:color="FFFFFF"/>
              <w:bottom w:val="single" w:sz="8" w:space="0" w:color="FFFFFF"/>
              <w:right w:val="single" w:sz="8" w:space="0" w:color="FFFFFF"/>
            </w:tcBorders>
            <w:shd w:val="clear" w:color="auto" w:fill="548DD4" w:themeFill="text2" w:themeFillTint="99"/>
            <w:vAlign w:val="center"/>
            <w:hideMark/>
          </w:tcPr>
          <w:p w:rsidR="00F83FA0" w:rsidRPr="00476F57" w:rsidRDefault="00F83FA0" w:rsidP="00F83FA0">
            <w:pPr>
              <w:spacing w:after="0" w:line="240" w:lineRule="auto"/>
              <w:rPr>
                <w:rFonts w:ascii="Arial" w:eastAsia="Times New Roman" w:hAnsi="Arial" w:cs="Arial"/>
                <w:b/>
                <w:bCs/>
                <w:color w:val="FFFFFF"/>
                <w:sz w:val="18"/>
                <w:szCs w:val="18"/>
              </w:rPr>
            </w:pPr>
          </w:p>
        </w:tc>
        <w:tc>
          <w:tcPr>
            <w:tcW w:w="642" w:type="dxa"/>
            <w:vMerge/>
            <w:tcBorders>
              <w:top w:val="single" w:sz="8" w:space="0" w:color="FFFFFF"/>
              <w:left w:val="single" w:sz="8" w:space="0" w:color="FFFFFF"/>
              <w:bottom w:val="single" w:sz="8" w:space="0" w:color="FFFFFF"/>
              <w:right w:val="single" w:sz="8" w:space="0" w:color="FFFFFF"/>
            </w:tcBorders>
            <w:shd w:val="clear" w:color="auto" w:fill="548DD4" w:themeFill="text2" w:themeFillTint="99"/>
            <w:vAlign w:val="center"/>
            <w:hideMark/>
          </w:tcPr>
          <w:p w:rsidR="00F83FA0" w:rsidRPr="00476F57" w:rsidRDefault="00F83FA0" w:rsidP="00F83FA0">
            <w:pPr>
              <w:spacing w:after="0" w:line="240" w:lineRule="auto"/>
              <w:rPr>
                <w:rFonts w:ascii="Arial" w:eastAsia="Times New Roman" w:hAnsi="Arial" w:cs="Arial"/>
                <w:b/>
                <w:bCs/>
                <w:color w:val="FFFFFF"/>
                <w:sz w:val="18"/>
                <w:szCs w:val="18"/>
              </w:rPr>
            </w:pPr>
          </w:p>
        </w:tc>
        <w:tc>
          <w:tcPr>
            <w:tcW w:w="909" w:type="dxa"/>
            <w:tcBorders>
              <w:top w:val="nil"/>
              <w:left w:val="nil"/>
              <w:bottom w:val="single" w:sz="8" w:space="0" w:color="FFFFFF"/>
              <w:right w:val="single" w:sz="8" w:space="0" w:color="FFFFFF"/>
            </w:tcBorders>
            <w:shd w:val="clear" w:color="auto" w:fill="548DD4" w:themeFill="text2" w:themeFillTint="99"/>
            <w:noWrap/>
            <w:vAlign w:val="center"/>
            <w:hideMark/>
          </w:tcPr>
          <w:p w:rsidR="00F83FA0" w:rsidRPr="00476F57" w:rsidRDefault="00F83FA0" w:rsidP="00F83FA0">
            <w:pPr>
              <w:spacing w:after="0" w:line="240" w:lineRule="auto"/>
              <w:jc w:val="center"/>
              <w:rPr>
                <w:rFonts w:ascii="Arial" w:eastAsia="Times New Roman" w:hAnsi="Arial" w:cs="Arial"/>
                <w:b/>
                <w:bCs/>
                <w:color w:val="FFFFFF"/>
                <w:sz w:val="18"/>
                <w:szCs w:val="18"/>
              </w:rPr>
            </w:pPr>
            <w:r w:rsidRPr="00476F57">
              <w:rPr>
                <w:rFonts w:ascii="Arial" w:eastAsia="Times New Roman" w:hAnsi="Arial" w:cs="Arial"/>
                <w:b/>
                <w:bCs/>
                <w:color w:val="FFFFFF"/>
                <w:sz w:val="18"/>
                <w:szCs w:val="18"/>
              </w:rPr>
              <w:t>Redes</w:t>
            </w:r>
          </w:p>
        </w:tc>
        <w:tc>
          <w:tcPr>
            <w:tcW w:w="1398" w:type="dxa"/>
            <w:tcBorders>
              <w:top w:val="nil"/>
              <w:left w:val="nil"/>
              <w:bottom w:val="single" w:sz="8" w:space="0" w:color="FFFFFF"/>
              <w:right w:val="single" w:sz="8" w:space="0" w:color="FFFFFF"/>
            </w:tcBorders>
            <w:shd w:val="clear" w:color="auto" w:fill="548DD4" w:themeFill="text2" w:themeFillTint="99"/>
            <w:noWrap/>
            <w:vAlign w:val="center"/>
            <w:hideMark/>
          </w:tcPr>
          <w:p w:rsidR="00F83FA0" w:rsidRPr="00476F57" w:rsidRDefault="00F83FA0" w:rsidP="00F83FA0">
            <w:pPr>
              <w:spacing w:after="0" w:line="240" w:lineRule="auto"/>
              <w:jc w:val="center"/>
              <w:rPr>
                <w:rFonts w:ascii="Arial" w:eastAsia="Times New Roman" w:hAnsi="Arial" w:cs="Arial"/>
                <w:b/>
                <w:bCs/>
                <w:color w:val="FFFFFF"/>
                <w:sz w:val="18"/>
                <w:szCs w:val="18"/>
              </w:rPr>
            </w:pPr>
            <w:r w:rsidRPr="00476F57">
              <w:rPr>
                <w:rFonts w:ascii="Arial" w:eastAsia="Times New Roman" w:hAnsi="Arial" w:cs="Arial"/>
                <w:b/>
                <w:bCs/>
                <w:color w:val="FFFFFF"/>
                <w:sz w:val="18"/>
                <w:szCs w:val="18"/>
              </w:rPr>
              <w:t>No Redes</w:t>
            </w:r>
          </w:p>
        </w:tc>
        <w:tc>
          <w:tcPr>
            <w:tcW w:w="960" w:type="dxa"/>
            <w:tcBorders>
              <w:top w:val="nil"/>
              <w:left w:val="nil"/>
              <w:bottom w:val="single" w:sz="8" w:space="0" w:color="FFFFFF"/>
              <w:right w:val="single" w:sz="8" w:space="0" w:color="FFFFFF"/>
            </w:tcBorders>
            <w:shd w:val="clear" w:color="auto" w:fill="548DD4" w:themeFill="text2" w:themeFillTint="99"/>
            <w:noWrap/>
            <w:vAlign w:val="center"/>
            <w:hideMark/>
          </w:tcPr>
          <w:p w:rsidR="00F83FA0" w:rsidRPr="00476F57" w:rsidRDefault="00F83FA0" w:rsidP="00F83FA0">
            <w:pPr>
              <w:spacing w:after="0" w:line="240" w:lineRule="auto"/>
              <w:jc w:val="center"/>
              <w:rPr>
                <w:rFonts w:ascii="Arial" w:eastAsia="Times New Roman" w:hAnsi="Arial" w:cs="Arial"/>
                <w:b/>
                <w:bCs/>
                <w:color w:val="FFFFFF"/>
                <w:sz w:val="18"/>
                <w:szCs w:val="18"/>
              </w:rPr>
            </w:pPr>
            <w:r w:rsidRPr="00476F57">
              <w:rPr>
                <w:rFonts w:ascii="Arial" w:eastAsia="Times New Roman" w:hAnsi="Arial" w:cs="Arial"/>
                <w:b/>
                <w:bCs/>
                <w:color w:val="FFFFFF"/>
                <w:sz w:val="18"/>
                <w:szCs w:val="18"/>
              </w:rPr>
              <w:t>Redes</w:t>
            </w:r>
          </w:p>
        </w:tc>
        <w:tc>
          <w:tcPr>
            <w:tcW w:w="960" w:type="dxa"/>
            <w:tcBorders>
              <w:top w:val="nil"/>
              <w:left w:val="nil"/>
              <w:bottom w:val="single" w:sz="8" w:space="0" w:color="FFFFFF"/>
              <w:right w:val="single" w:sz="8" w:space="0" w:color="FFFFFF"/>
            </w:tcBorders>
            <w:shd w:val="clear" w:color="auto" w:fill="548DD4" w:themeFill="text2" w:themeFillTint="99"/>
            <w:noWrap/>
            <w:vAlign w:val="center"/>
            <w:hideMark/>
          </w:tcPr>
          <w:p w:rsidR="00F83FA0" w:rsidRPr="00476F57" w:rsidRDefault="00F83FA0" w:rsidP="00F83FA0">
            <w:pPr>
              <w:spacing w:after="0" w:line="240" w:lineRule="auto"/>
              <w:jc w:val="center"/>
              <w:rPr>
                <w:rFonts w:ascii="Arial" w:eastAsia="Times New Roman" w:hAnsi="Arial" w:cs="Arial"/>
                <w:b/>
                <w:bCs/>
                <w:color w:val="FFFFFF"/>
                <w:sz w:val="18"/>
                <w:szCs w:val="18"/>
              </w:rPr>
            </w:pPr>
            <w:r w:rsidRPr="00476F57">
              <w:rPr>
                <w:rFonts w:ascii="Arial" w:eastAsia="Times New Roman" w:hAnsi="Arial" w:cs="Arial"/>
                <w:b/>
                <w:bCs/>
                <w:color w:val="FFFFFF"/>
                <w:sz w:val="18"/>
                <w:szCs w:val="18"/>
              </w:rPr>
              <w:t>No Redes</w:t>
            </w:r>
          </w:p>
        </w:tc>
      </w:tr>
      <w:tr w:rsidR="00F83FA0" w:rsidRPr="00476F57" w:rsidTr="006A4ED8">
        <w:trPr>
          <w:trHeight w:val="205"/>
          <w:jc w:val="center"/>
        </w:trPr>
        <w:tc>
          <w:tcPr>
            <w:tcW w:w="846" w:type="dxa"/>
            <w:tcBorders>
              <w:top w:val="nil"/>
              <w:left w:val="single" w:sz="8" w:space="0" w:color="FFFFFF"/>
              <w:bottom w:val="single" w:sz="8" w:space="0" w:color="FFFFFF"/>
              <w:right w:val="single" w:sz="8" w:space="0" w:color="FFFFFF"/>
            </w:tcBorders>
            <w:shd w:val="clear" w:color="000000" w:fill="F2F2F2"/>
            <w:noWrap/>
            <w:vAlign w:val="bottom"/>
            <w:hideMark/>
          </w:tcPr>
          <w:p w:rsidR="00F83FA0" w:rsidRPr="00476F57" w:rsidRDefault="00F83FA0" w:rsidP="00F83FA0">
            <w:pPr>
              <w:spacing w:after="0" w:line="240" w:lineRule="auto"/>
              <w:rPr>
                <w:rFonts w:ascii="Arial" w:eastAsia="Times New Roman" w:hAnsi="Arial" w:cs="Arial"/>
                <w:b/>
                <w:bCs/>
                <w:color w:val="000000"/>
                <w:sz w:val="18"/>
                <w:szCs w:val="18"/>
              </w:rPr>
            </w:pPr>
            <w:r w:rsidRPr="00476F57">
              <w:rPr>
                <w:rFonts w:ascii="Arial" w:eastAsia="Times New Roman" w:hAnsi="Arial" w:cs="Arial"/>
                <w:b/>
                <w:bCs/>
                <w:color w:val="000000"/>
                <w:sz w:val="18"/>
                <w:szCs w:val="18"/>
              </w:rPr>
              <w:t>RCVG</w:t>
            </w:r>
          </w:p>
        </w:tc>
        <w:tc>
          <w:tcPr>
            <w:tcW w:w="1005" w:type="dxa"/>
            <w:tcBorders>
              <w:top w:val="nil"/>
              <w:left w:val="nil"/>
              <w:bottom w:val="single" w:sz="8" w:space="0" w:color="FFFFFF"/>
              <w:right w:val="single" w:sz="8" w:space="0" w:color="FFFFFF"/>
            </w:tcBorders>
            <w:shd w:val="clear" w:color="000000" w:fill="F2F2F2"/>
            <w:noWrap/>
            <w:vAlign w:val="center"/>
            <w:hideMark/>
          </w:tcPr>
          <w:p w:rsidR="00F83FA0" w:rsidRPr="00476F57" w:rsidRDefault="00F83FA0" w:rsidP="00F83FA0">
            <w:pPr>
              <w:spacing w:after="0" w:line="240" w:lineRule="auto"/>
              <w:jc w:val="center"/>
              <w:rPr>
                <w:rFonts w:ascii="Arial" w:eastAsia="Times New Roman" w:hAnsi="Arial" w:cs="Arial"/>
                <w:color w:val="000000"/>
                <w:sz w:val="18"/>
                <w:szCs w:val="18"/>
              </w:rPr>
            </w:pPr>
            <w:r w:rsidRPr="00476F57">
              <w:rPr>
                <w:rFonts w:ascii="Arial" w:hAnsi="Arial" w:cs="Arial"/>
                <w:color w:val="000000"/>
                <w:sz w:val="18"/>
                <w:szCs w:val="18"/>
              </w:rPr>
              <w:t>33,392</w:t>
            </w:r>
          </w:p>
        </w:tc>
        <w:tc>
          <w:tcPr>
            <w:tcW w:w="642" w:type="dxa"/>
            <w:tcBorders>
              <w:top w:val="nil"/>
              <w:left w:val="nil"/>
              <w:bottom w:val="single" w:sz="8" w:space="0" w:color="FFFFFF"/>
              <w:right w:val="single" w:sz="8" w:space="0" w:color="FFFFFF"/>
            </w:tcBorders>
            <w:shd w:val="clear" w:color="000000" w:fill="F2F2F2"/>
            <w:noWrap/>
            <w:vAlign w:val="center"/>
            <w:hideMark/>
          </w:tcPr>
          <w:p w:rsidR="00F83FA0" w:rsidRPr="00476F57" w:rsidRDefault="00F83FA0" w:rsidP="00F83FA0">
            <w:pPr>
              <w:spacing w:after="0" w:line="240" w:lineRule="auto"/>
              <w:jc w:val="center"/>
              <w:rPr>
                <w:rFonts w:ascii="Arial" w:eastAsia="Times New Roman" w:hAnsi="Arial" w:cs="Arial"/>
                <w:color w:val="000000"/>
                <w:sz w:val="18"/>
                <w:szCs w:val="18"/>
              </w:rPr>
            </w:pPr>
          </w:p>
        </w:tc>
        <w:tc>
          <w:tcPr>
            <w:tcW w:w="909" w:type="dxa"/>
            <w:tcBorders>
              <w:top w:val="nil"/>
              <w:left w:val="nil"/>
              <w:bottom w:val="single" w:sz="8" w:space="0" w:color="FFFFFF"/>
              <w:right w:val="single" w:sz="8" w:space="0" w:color="FFFFFF"/>
            </w:tcBorders>
            <w:shd w:val="clear" w:color="000000" w:fill="F2F2F2"/>
            <w:noWrap/>
            <w:vAlign w:val="center"/>
            <w:hideMark/>
          </w:tcPr>
          <w:p w:rsidR="00F83FA0" w:rsidRPr="00476F57" w:rsidRDefault="00F83FA0" w:rsidP="00F83FA0">
            <w:pPr>
              <w:spacing w:after="0" w:line="240" w:lineRule="auto"/>
              <w:jc w:val="center"/>
              <w:rPr>
                <w:rFonts w:ascii="Arial" w:eastAsia="Times New Roman" w:hAnsi="Arial" w:cs="Arial"/>
                <w:color w:val="000000"/>
                <w:sz w:val="18"/>
                <w:szCs w:val="18"/>
              </w:rPr>
            </w:pPr>
          </w:p>
        </w:tc>
        <w:tc>
          <w:tcPr>
            <w:tcW w:w="1398" w:type="dxa"/>
            <w:tcBorders>
              <w:top w:val="nil"/>
              <w:left w:val="nil"/>
              <w:bottom w:val="single" w:sz="8" w:space="0" w:color="FFFFFF"/>
              <w:right w:val="single" w:sz="8" w:space="0" w:color="FFFFFF"/>
            </w:tcBorders>
            <w:shd w:val="clear" w:color="000000" w:fill="F2F2F2"/>
            <w:noWrap/>
            <w:vAlign w:val="center"/>
            <w:hideMark/>
          </w:tcPr>
          <w:p w:rsidR="00F83FA0" w:rsidRPr="00476F57" w:rsidRDefault="00F83FA0" w:rsidP="00F83FA0">
            <w:pPr>
              <w:spacing w:after="0" w:line="240" w:lineRule="auto"/>
              <w:jc w:val="center"/>
              <w:rPr>
                <w:rFonts w:ascii="Arial" w:eastAsia="Times New Roman" w:hAnsi="Arial" w:cs="Arial"/>
                <w:color w:val="000000"/>
                <w:sz w:val="18"/>
                <w:szCs w:val="18"/>
              </w:rPr>
            </w:pPr>
          </w:p>
        </w:tc>
        <w:tc>
          <w:tcPr>
            <w:tcW w:w="960" w:type="dxa"/>
            <w:tcBorders>
              <w:top w:val="nil"/>
              <w:left w:val="nil"/>
              <w:bottom w:val="single" w:sz="8" w:space="0" w:color="FFFFFF"/>
              <w:right w:val="single" w:sz="8" w:space="0" w:color="FFFFFF"/>
            </w:tcBorders>
            <w:shd w:val="clear" w:color="000000" w:fill="F2F2F2"/>
            <w:noWrap/>
            <w:vAlign w:val="center"/>
            <w:hideMark/>
          </w:tcPr>
          <w:p w:rsidR="00F83FA0" w:rsidRPr="00476F57" w:rsidRDefault="00F83FA0" w:rsidP="00F83FA0">
            <w:pPr>
              <w:spacing w:after="0" w:line="240" w:lineRule="auto"/>
              <w:jc w:val="center"/>
              <w:rPr>
                <w:rFonts w:ascii="Arial" w:eastAsia="Times New Roman" w:hAnsi="Arial" w:cs="Arial"/>
                <w:color w:val="000000"/>
                <w:sz w:val="18"/>
                <w:szCs w:val="18"/>
              </w:rPr>
            </w:pPr>
          </w:p>
        </w:tc>
        <w:tc>
          <w:tcPr>
            <w:tcW w:w="960" w:type="dxa"/>
            <w:tcBorders>
              <w:top w:val="nil"/>
              <w:left w:val="nil"/>
              <w:bottom w:val="single" w:sz="8" w:space="0" w:color="FFFFFF"/>
              <w:right w:val="single" w:sz="8" w:space="0" w:color="FFFFFF"/>
            </w:tcBorders>
            <w:shd w:val="clear" w:color="000000" w:fill="F2F2F2"/>
            <w:noWrap/>
            <w:vAlign w:val="center"/>
            <w:hideMark/>
          </w:tcPr>
          <w:p w:rsidR="00F83FA0" w:rsidRPr="00476F57" w:rsidRDefault="00F83FA0" w:rsidP="00F83FA0">
            <w:pPr>
              <w:spacing w:after="0" w:line="240" w:lineRule="auto"/>
              <w:jc w:val="center"/>
              <w:rPr>
                <w:rFonts w:ascii="Arial" w:eastAsia="Times New Roman" w:hAnsi="Arial" w:cs="Arial"/>
                <w:color w:val="000000"/>
                <w:sz w:val="18"/>
                <w:szCs w:val="18"/>
              </w:rPr>
            </w:pPr>
          </w:p>
        </w:tc>
      </w:tr>
      <w:tr w:rsidR="00F83FA0" w:rsidRPr="00476F57" w:rsidTr="006A4ED8">
        <w:trPr>
          <w:trHeight w:val="250"/>
          <w:jc w:val="center"/>
        </w:trPr>
        <w:tc>
          <w:tcPr>
            <w:tcW w:w="846" w:type="dxa"/>
            <w:tcBorders>
              <w:top w:val="nil"/>
              <w:left w:val="single" w:sz="8" w:space="0" w:color="FFFFFF"/>
              <w:bottom w:val="single" w:sz="8" w:space="0" w:color="FFFFFF"/>
              <w:right w:val="single" w:sz="8" w:space="0" w:color="FFFFFF"/>
            </w:tcBorders>
            <w:shd w:val="clear" w:color="000000" w:fill="F2F2F2"/>
            <w:noWrap/>
            <w:vAlign w:val="bottom"/>
            <w:hideMark/>
          </w:tcPr>
          <w:p w:rsidR="00F83FA0" w:rsidRPr="00476F57" w:rsidRDefault="00F83FA0" w:rsidP="00F83FA0">
            <w:pPr>
              <w:spacing w:after="0" w:line="240" w:lineRule="auto"/>
              <w:rPr>
                <w:rFonts w:ascii="Arial" w:eastAsia="Times New Roman" w:hAnsi="Arial" w:cs="Arial"/>
                <w:b/>
                <w:bCs/>
                <w:color w:val="000000"/>
                <w:sz w:val="18"/>
                <w:szCs w:val="18"/>
              </w:rPr>
            </w:pPr>
            <w:r w:rsidRPr="00476F57">
              <w:rPr>
                <w:rFonts w:ascii="Arial" w:eastAsia="Times New Roman" w:hAnsi="Arial" w:cs="Arial"/>
                <w:b/>
                <w:bCs/>
                <w:color w:val="000000"/>
                <w:sz w:val="18"/>
                <w:szCs w:val="18"/>
              </w:rPr>
              <w:t>HTA</w:t>
            </w:r>
          </w:p>
        </w:tc>
        <w:tc>
          <w:tcPr>
            <w:tcW w:w="1005" w:type="dxa"/>
            <w:tcBorders>
              <w:top w:val="nil"/>
              <w:left w:val="nil"/>
              <w:bottom w:val="single" w:sz="8" w:space="0" w:color="FFFFFF"/>
              <w:right w:val="single" w:sz="8" w:space="0" w:color="FFFFFF"/>
            </w:tcBorders>
            <w:shd w:val="clear" w:color="000000" w:fill="F2F2F2"/>
            <w:noWrap/>
            <w:vAlign w:val="center"/>
            <w:hideMark/>
          </w:tcPr>
          <w:p w:rsidR="00F83FA0" w:rsidRPr="00476F57" w:rsidRDefault="00F83FA0" w:rsidP="00F83FA0">
            <w:pPr>
              <w:spacing w:after="0" w:line="240" w:lineRule="auto"/>
              <w:jc w:val="center"/>
              <w:rPr>
                <w:rFonts w:ascii="Arial" w:eastAsia="Times New Roman" w:hAnsi="Arial" w:cs="Arial"/>
                <w:color w:val="000000"/>
                <w:sz w:val="18"/>
                <w:szCs w:val="18"/>
              </w:rPr>
            </w:pPr>
            <w:r w:rsidRPr="00476F57">
              <w:rPr>
                <w:rFonts w:ascii="Arial" w:hAnsi="Arial" w:cs="Arial"/>
                <w:color w:val="000000"/>
                <w:sz w:val="18"/>
                <w:szCs w:val="18"/>
              </w:rPr>
              <w:t>29,183</w:t>
            </w:r>
          </w:p>
        </w:tc>
        <w:tc>
          <w:tcPr>
            <w:tcW w:w="642" w:type="dxa"/>
            <w:tcBorders>
              <w:top w:val="nil"/>
              <w:left w:val="nil"/>
              <w:bottom w:val="single" w:sz="8" w:space="0" w:color="FFFFFF"/>
              <w:right w:val="single" w:sz="8" w:space="0" w:color="FFFFFF"/>
            </w:tcBorders>
            <w:shd w:val="clear" w:color="000000" w:fill="F2F2F2"/>
            <w:noWrap/>
            <w:vAlign w:val="center"/>
            <w:hideMark/>
          </w:tcPr>
          <w:p w:rsidR="00F83FA0" w:rsidRPr="00476F57" w:rsidRDefault="00F83FA0" w:rsidP="00F83FA0">
            <w:pPr>
              <w:spacing w:after="0" w:line="240" w:lineRule="auto"/>
              <w:jc w:val="center"/>
              <w:rPr>
                <w:rFonts w:ascii="Arial" w:eastAsia="Times New Roman" w:hAnsi="Arial" w:cs="Arial"/>
                <w:color w:val="000000"/>
                <w:sz w:val="18"/>
                <w:szCs w:val="18"/>
              </w:rPr>
            </w:pPr>
            <w:r w:rsidRPr="00476F57">
              <w:rPr>
                <w:rFonts w:ascii="Arial" w:eastAsia="Times New Roman" w:hAnsi="Arial" w:cs="Arial"/>
                <w:color w:val="000000"/>
                <w:sz w:val="18"/>
                <w:szCs w:val="18"/>
              </w:rPr>
              <w:t>87%</w:t>
            </w:r>
          </w:p>
        </w:tc>
        <w:tc>
          <w:tcPr>
            <w:tcW w:w="909" w:type="dxa"/>
            <w:tcBorders>
              <w:top w:val="nil"/>
              <w:left w:val="nil"/>
              <w:bottom w:val="single" w:sz="8" w:space="0" w:color="FFFFFF"/>
              <w:right w:val="single" w:sz="8" w:space="0" w:color="FFFFFF"/>
            </w:tcBorders>
            <w:shd w:val="clear" w:color="000000" w:fill="F2F2F2"/>
            <w:noWrap/>
            <w:vAlign w:val="center"/>
            <w:hideMark/>
          </w:tcPr>
          <w:p w:rsidR="00F83FA0" w:rsidRPr="00476F57" w:rsidRDefault="00F83FA0" w:rsidP="00F83FA0">
            <w:pPr>
              <w:spacing w:after="0" w:line="240" w:lineRule="auto"/>
              <w:jc w:val="center"/>
              <w:rPr>
                <w:rFonts w:ascii="Arial" w:eastAsia="Times New Roman" w:hAnsi="Arial" w:cs="Arial"/>
                <w:color w:val="000000"/>
                <w:sz w:val="18"/>
                <w:szCs w:val="18"/>
              </w:rPr>
            </w:pPr>
            <w:r w:rsidRPr="00476F57">
              <w:rPr>
                <w:rFonts w:ascii="Arial" w:eastAsia="Times New Roman" w:hAnsi="Arial" w:cs="Arial"/>
                <w:color w:val="000000"/>
                <w:sz w:val="18"/>
                <w:szCs w:val="18"/>
              </w:rPr>
              <w:t>69%</w:t>
            </w:r>
          </w:p>
        </w:tc>
        <w:tc>
          <w:tcPr>
            <w:tcW w:w="1398" w:type="dxa"/>
            <w:tcBorders>
              <w:top w:val="nil"/>
              <w:left w:val="nil"/>
              <w:bottom w:val="single" w:sz="8" w:space="0" w:color="FFFFFF"/>
              <w:right w:val="single" w:sz="8" w:space="0" w:color="FFFFFF"/>
            </w:tcBorders>
            <w:shd w:val="clear" w:color="000000" w:fill="F2F2F2"/>
            <w:noWrap/>
            <w:vAlign w:val="center"/>
            <w:hideMark/>
          </w:tcPr>
          <w:p w:rsidR="00F83FA0" w:rsidRPr="00476F57" w:rsidRDefault="00F83FA0" w:rsidP="00F83FA0">
            <w:pPr>
              <w:spacing w:after="0" w:line="240" w:lineRule="auto"/>
              <w:jc w:val="center"/>
              <w:rPr>
                <w:rFonts w:ascii="Arial" w:eastAsia="Times New Roman" w:hAnsi="Arial" w:cs="Arial"/>
                <w:color w:val="000000"/>
                <w:sz w:val="18"/>
                <w:szCs w:val="18"/>
              </w:rPr>
            </w:pPr>
            <w:r w:rsidRPr="00476F57">
              <w:rPr>
                <w:rFonts w:ascii="Arial" w:eastAsia="Times New Roman" w:hAnsi="Arial" w:cs="Arial"/>
                <w:color w:val="000000"/>
                <w:sz w:val="18"/>
                <w:szCs w:val="18"/>
              </w:rPr>
              <w:t>57%</w:t>
            </w:r>
          </w:p>
        </w:tc>
        <w:tc>
          <w:tcPr>
            <w:tcW w:w="960" w:type="dxa"/>
            <w:tcBorders>
              <w:top w:val="nil"/>
              <w:left w:val="nil"/>
              <w:bottom w:val="single" w:sz="8" w:space="0" w:color="FFFFFF"/>
              <w:right w:val="single" w:sz="8" w:space="0" w:color="FFFFFF"/>
            </w:tcBorders>
            <w:shd w:val="clear" w:color="000000" w:fill="F2F2F2"/>
            <w:noWrap/>
            <w:vAlign w:val="center"/>
            <w:hideMark/>
          </w:tcPr>
          <w:p w:rsidR="00F83FA0" w:rsidRPr="00476F57" w:rsidRDefault="00F83FA0" w:rsidP="00F83FA0">
            <w:pPr>
              <w:spacing w:after="0" w:line="240" w:lineRule="auto"/>
              <w:jc w:val="center"/>
              <w:rPr>
                <w:rFonts w:ascii="Arial" w:eastAsia="Times New Roman" w:hAnsi="Arial" w:cs="Arial"/>
                <w:color w:val="000000"/>
                <w:sz w:val="18"/>
                <w:szCs w:val="18"/>
              </w:rPr>
            </w:pPr>
            <w:r w:rsidRPr="00476F57">
              <w:rPr>
                <w:rFonts w:ascii="Arial" w:hAnsi="Arial" w:cs="Arial"/>
                <w:color w:val="000000"/>
                <w:sz w:val="18"/>
                <w:szCs w:val="18"/>
              </w:rPr>
              <w:t>20,224</w:t>
            </w:r>
          </w:p>
        </w:tc>
        <w:tc>
          <w:tcPr>
            <w:tcW w:w="960" w:type="dxa"/>
            <w:tcBorders>
              <w:top w:val="nil"/>
              <w:left w:val="nil"/>
              <w:bottom w:val="single" w:sz="8" w:space="0" w:color="FFFFFF"/>
              <w:right w:val="single" w:sz="8" w:space="0" w:color="FFFFFF"/>
            </w:tcBorders>
            <w:shd w:val="clear" w:color="000000" w:fill="F2F2F2"/>
            <w:noWrap/>
            <w:vAlign w:val="center"/>
            <w:hideMark/>
          </w:tcPr>
          <w:p w:rsidR="00F83FA0" w:rsidRPr="00476F57" w:rsidRDefault="00F83FA0" w:rsidP="00F83FA0">
            <w:pPr>
              <w:spacing w:after="0" w:line="240" w:lineRule="auto"/>
              <w:jc w:val="center"/>
              <w:rPr>
                <w:rFonts w:ascii="Arial" w:eastAsia="Times New Roman" w:hAnsi="Arial" w:cs="Arial"/>
                <w:color w:val="000000"/>
                <w:sz w:val="18"/>
                <w:szCs w:val="18"/>
              </w:rPr>
            </w:pPr>
            <w:r w:rsidRPr="00476F57">
              <w:rPr>
                <w:rFonts w:ascii="Arial" w:hAnsi="Arial" w:cs="Arial"/>
                <w:color w:val="000000"/>
                <w:sz w:val="18"/>
                <w:szCs w:val="18"/>
              </w:rPr>
              <w:t>16,722</w:t>
            </w:r>
          </w:p>
        </w:tc>
      </w:tr>
      <w:tr w:rsidR="00F83FA0" w:rsidRPr="00476F57" w:rsidTr="006A4ED8">
        <w:trPr>
          <w:trHeight w:val="169"/>
          <w:jc w:val="center"/>
        </w:trPr>
        <w:tc>
          <w:tcPr>
            <w:tcW w:w="846" w:type="dxa"/>
            <w:tcBorders>
              <w:top w:val="nil"/>
              <w:left w:val="single" w:sz="8" w:space="0" w:color="FFFFFF"/>
              <w:bottom w:val="single" w:sz="8" w:space="0" w:color="FFFFFF"/>
              <w:right w:val="single" w:sz="8" w:space="0" w:color="FFFFFF"/>
            </w:tcBorders>
            <w:shd w:val="clear" w:color="000000" w:fill="F2F2F2"/>
            <w:noWrap/>
            <w:vAlign w:val="bottom"/>
            <w:hideMark/>
          </w:tcPr>
          <w:p w:rsidR="00F83FA0" w:rsidRPr="00476F57" w:rsidRDefault="00F83FA0" w:rsidP="00F83FA0">
            <w:pPr>
              <w:spacing w:after="0" w:line="240" w:lineRule="auto"/>
              <w:rPr>
                <w:rFonts w:ascii="Arial" w:eastAsia="Times New Roman" w:hAnsi="Arial" w:cs="Arial"/>
                <w:b/>
                <w:bCs/>
                <w:color w:val="000000"/>
                <w:sz w:val="18"/>
                <w:szCs w:val="18"/>
              </w:rPr>
            </w:pPr>
            <w:r w:rsidRPr="00476F57">
              <w:rPr>
                <w:rFonts w:ascii="Arial" w:eastAsia="Times New Roman" w:hAnsi="Arial" w:cs="Arial"/>
                <w:b/>
                <w:bCs/>
                <w:color w:val="000000"/>
                <w:sz w:val="18"/>
                <w:szCs w:val="18"/>
              </w:rPr>
              <w:t>DBT</w:t>
            </w:r>
          </w:p>
        </w:tc>
        <w:tc>
          <w:tcPr>
            <w:tcW w:w="1005" w:type="dxa"/>
            <w:tcBorders>
              <w:top w:val="nil"/>
              <w:left w:val="nil"/>
              <w:bottom w:val="single" w:sz="8" w:space="0" w:color="FFFFFF"/>
              <w:right w:val="single" w:sz="8" w:space="0" w:color="FFFFFF"/>
            </w:tcBorders>
            <w:shd w:val="clear" w:color="000000" w:fill="F2F2F2"/>
            <w:noWrap/>
            <w:vAlign w:val="center"/>
            <w:hideMark/>
          </w:tcPr>
          <w:p w:rsidR="00F83FA0" w:rsidRPr="00476F57" w:rsidRDefault="00F83FA0" w:rsidP="00F83FA0">
            <w:pPr>
              <w:spacing w:after="0" w:line="240" w:lineRule="auto"/>
              <w:jc w:val="center"/>
              <w:rPr>
                <w:rFonts w:ascii="Arial" w:eastAsia="Times New Roman" w:hAnsi="Arial" w:cs="Arial"/>
                <w:color w:val="000000"/>
                <w:sz w:val="18"/>
                <w:szCs w:val="18"/>
              </w:rPr>
            </w:pPr>
            <w:r w:rsidRPr="00476F57">
              <w:rPr>
                <w:rFonts w:ascii="Arial" w:hAnsi="Arial" w:cs="Arial"/>
                <w:color w:val="000000"/>
                <w:sz w:val="18"/>
                <w:szCs w:val="18"/>
              </w:rPr>
              <w:t>8,974</w:t>
            </w:r>
          </w:p>
        </w:tc>
        <w:tc>
          <w:tcPr>
            <w:tcW w:w="642" w:type="dxa"/>
            <w:tcBorders>
              <w:top w:val="nil"/>
              <w:left w:val="nil"/>
              <w:bottom w:val="single" w:sz="8" w:space="0" w:color="FFFFFF"/>
              <w:right w:val="single" w:sz="8" w:space="0" w:color="FFFFFF"/>
            </w:tcBorders>
            <w:shd w:val="clear" w:color="000000" w:fill="F2F2F2"/>
            <w:noWrap/>
            <w:vAlign w:val="center"/>
            <w:hideMark/>
          </w:tcPr>
          <w:p w:rsidR="00F83FA0" w:rsidRPr="00476F57" w:rsidRDefault="00F83FA0" w:rsidP="00F83FA0">
            <w:pPr>
              <w:spacing w:after="0" w:line="240" w:lineRule="auto"/>
              <w:jc w:val="center"/>
              <w:rPr>
                <w:rFonts w:ascii="Arial" w:eastAsia="Times New Roman" w:hAnsi="Arial" w:cs="Arial"/>
                <w:color w:val="000000"/>
                <w:sz w:val="18"/>
                <w:szCs w:val="18"/>
              </w:rPr>
            </w:pPr>
            <w:r w:rsidRPr="00476F57">
              <w:rPr>
                <w:rFonts w:ascii="Arial" w:eastAsia="Times New Roman" w:hAnsi="Arial" w:cs="Arial"/>
                <w:color w:val="000000"/>
                <w:sz w:val="18"/>
                <w:szCs w:val="18"/>
              </w:rPr>
              <w:t>27%</w:t>
            </w:r>
          </w:p>
        </w:tc>
        <w:tc>
          <w:tcPr>
            <w:tcW w:w="909" w:type="dxa"/>
            <w:tcBorders>
              <w:top w:val="nil"/>
              <w:left w:val="nil"/>
              <w:bottom w:val="single" w:sz="8" w:space="0" w:color="FFFFFF"/>
              <w:right w:val="single" w:sz="8" w:space="0" w:color="FFFFFF"/>
            </w:tcBorders>
            <w:shd w:val="clear" w:color="000000" w:fill="F2F2F2"/>
            <w:noWrap/>
            <w:vAlign w:val="center"/>
            <w:hideMark/>
          </w:tcPr>
          <w:p w:rsidR="00F83FA0" w:rsidRPr="00476F57" w:rsidRDefault="00F83FA0" w:rsidP="00F83FA0">
            <w:pPr>
              <w:spacing w:after="0" w:line="240" w:lineRule="auto"/>
              <w:jc w:val="center"/>
              <w:rPr>
                <w:rFonts w:ascii="Arial" w:eastAsia="Times New Roman" w:hAnsi="Arial" w:cs="Arial"/>
                <w:color w:val="000000"/>
                <w:sz w:val="18"/>
                <w:szCs w:val="18"/>
              </w:rPr>
            </w:pPr>
            <w:r w:rsidRPr="00476F57">
              <w:rPr>
                <w:rFonts w:ascii="Arial" w:eastAsia="Times New Roman" w:hAnsi="Arial" w:cs="Arial"/>
                <w:color w:val="000000"/>
                <w:sz w:val="18"/>
                <w:szCs w:val="18"/>
              </w:rPr>
              <w:t>46%</w:t>
            </w:r>
          </w:p>
        </w:tc>
        <w:tc>
          <w:tcPr>
            <w:tcW w:w="1398" w:type="dxa"/>
            <w:tcBorders>
              <w:top w:val="nil"/>
              <w:left w:val="nil"/>
              <w:bottom w:val="single" w:sz="8" w:space="0" w:color="FFFFFF"/>
              <w:right w:val="single" w:sz="8" w:space="0" w:color="FFFFFF"/>
            </w:tcBorders>
            <w:shd w:val="clear" w:color="000000" w:fill="F2F2F2"/>
            <w:noWrap/>
            <w:vAlign w:val="center"/>
            <w:hideMark/>
          </w:tcPr>
          <w:p w:rsidR="00F83FA0" w:rsidRPr="00476F57" w:rsidRDefault="00F83FA0" w:rsidP="00F83FA0">
            <w:pPr>
              <w:spacing w:after="0" w:line="240" w:lineRule="auto"/>
              <w:jc w:val="center"/>
              <w:rPr>
                <w:rFonts w:ascii="Arial" w:eastAsia="Times New Roman" w:hAnsi="Arial" w:cs="Arial"/>
                <w:color w:val="000000"/>
                <w:sz w:val="18"/>
                <w:szCs w:val="18"/>
              </w:rPr>
            </w:pPr>
            <w:r w:rsidRPr="00476F57">
              <w:rPr>
                <w:rFonts w:ascii="Arial" w:eastAsia="Times New Roman" w:hAnsi="Arial" w:cs="Arial"/>
                <w:color w:val="000000"/>
                <w:sz w:val="18"/>
                <w:szCs w:val="18"/>
              </w:rPr>
              <w:t>41%</w:t>
            </w:r>
          </w:p>
        </w:tc>
        <w:tc>
          <w:tcPr>
            <w:tcW w:w="960" w:type="dxa"/>
            <w:tcBorders>
              <w:top w:val="nil"/>
              <w:left w:val="nil"/>
              <w:bottom w:val="single" w:sz="8" w:space="0" w:color="FFFFFF"/>
              <w:right w:val="single" w:sz="8" w:space="0" w:color="FFFFFF"/>
            </w:tcBorders>
            <w:shd w:val="clear" w:color="000000" w:fill="F2F2F2"/>
            <w:noWrap/>
            <w:vAlign w:val="center"/>
            <w:hideMark/>
          </w:tcPr>
          <w:p w:rsidR="00F83FA0" w:rsidRPr="00476F57" w:rsidRDefault="00F83FA0" w:rsidP="00F83FA0">
            <w:pPr>
              <w:spacing w:after="0" w:line="240" w:lineRule="auto"/>
              <w:jc w:val="center"/>
              <w:rPr>
                <w:rFonts w:ascii="Arial" w:eastAsia="Times New Roman" w:hAnsi="Arial" w:cs="Arial"/>
                <w:color w:val="000000"/>
                <w:sz w:val="18"/>
                <w:szCs w:val="18"/>
              </w:rPr>
            </w:pPr>
            <w:r w:rsidRPr="00476F57">
              <w:rPr>
                <w:rFonts w:ascii="Arial" w:hAnsi="Arial" w:cs="Arial"/>
                <w:color w:val="000000"/>
                <w:sz w:val="18"/>
                <w:szCs w:val="18"/>
              </w:rPr>
              <w:t>4,155</w:t>
            </w:r>
          </w:p>
        </w:tc>
        <w:tc>
          <w:tcPr>
            <w:tcW w:w="960" w:type="dxa"/>
            <w:tcBorders>
              <w:top w:val="nil"/>
              <w:left w:val="nil"/>
              <w:bottom w:val="single" w:sz="8" w:space="0" w:color="FFFFFF"/>
              <w:right w:val="single" w:sz="8" w:space="0" w:color="FFFFFF"/>
            </w:tcBorders>
            <w:shd w:val="clear" w:color="000000" w:fill="F2F2F2"/>
            <w:noWrap/>
            <w:vAlign w:val="center"/>
            <w:hideMark/>
          </w:tcPr>
          <w:p w:rsidR="00F83FA0" w:rsidRPr="00476F57" w:rsidRDefault="00F83FA0" w:rsidP="00F83FA0">
            <w:pPr>
              <w:spacing w:after="0" w:line="240" w:lineRule="auto"/>
              <w:jc w:val="center"/>
              <w:rPr>
                <w:rFonts w:ascii="Arial" w:eastAsia="Times New Roman" w:hAnsi="Arial" w:cs="Arial"/>
                <w:color w:val="000000"/>
                <w:sz w:val="18"/>
                <w:szCs w:val="18"/>
              </w:rPr>
            </w:pPr>
            <w:r w:rsidRPr="00476F57">
              <w:rPr>
                <w:rFonts w:ascii="Arial" w:hAnsi="Arial" w:cs="Arial"/>
                <w:color w:val="000000"/>
                <w:sz w:val="18"/>
                <w:szCs w:val="18"/>
              </w:rPr>
              <w:t>3,652</w:t>
            </w:r>
          </w:p>
        </w:tc>
      </w:tr>
      <w:tr w:rsidR="00F83FA0" w:rsidRPr="00476F57" w:rsidTr="00F83FA0">
        <w:trPr>
          <w:trHeight w:val="300"/>
          <w:jc w:val="center"/>
        </w:trPr>
        <w:tc>
          <w:tcPr>
            <w:tcW w:w="6720" w:type="dxa"/>
            <w:gridSpan w:val="7"/>
            <w:tcBorders>
              <w:top w:val="single" w:sz="8" w:space="0" w:color="FFFFFF"/>
              <w:left w:val="single" w:sz="8" w:space="0" w:color="FFFFFF"/>
              <w:bottom w:val="nil"/>
              <w:right w:val="nil"/>
            </w:tcBorders>
            <w:shd w:val="clear" w:color="auto" w:fill="auto"/>
            <w:noWrap/>
            <w:vAlign w:val="bottom"/>
            <w:hideMark/>
          </w:tcPr>
          <w:p w:rsidR="00F83FA0" w:rsidRPr="00476F57" w:rsidRDefault="00F83FA0" w:rsidP="00F83FA0">
            <w:pPr>
              <w:spacing w:after="0" w:line="240" w:lineRule="auto"/>
              <w:rPr>
                <w:rFonts w:ascii="Arial" w:eastAsia="Times New Roman" w:hAnsi="Arial" w:cs="Arial"/>
                <w:color w:val="000000"/>
                <w:sz w:val="18"/>
                <w:szCs w:val="18"/>
                <w:lang w:val="es-ES"/>
              </w:rPr>
            </w:pPr>
            <w:r w:rsidRPr="00476F57">
              <w:rPr>
                <w:rFonts w:ascii="Arial" w:eastAsia="Times New Roman" w:hAnsi="Arial" w:cs="Arial"/>
                <w:color w:val="000000"/>
                <w:sz w:val="18"/>
                <w:szCs w:val="18"/>
                <w:lang w:val="es-ES"/>
              </w:rPr>
              <w:t>RCVG: Riesgo Cardiovascular Global, HTA: Hipertensión, DBT: Diabétes</w:t>
            </w:r>
          </w:p>
          <w:p w:rsidR="00F83FA0" w:rsidRPr="00476F57" w:rsidRDefault="00F83FA0" w:rsidP="00F83FA0">
            <w:pPr>
              <w:pStyle w:val="ListParagraph"/>
              <w:numPr>
                <w:ilvl w:val="0"/>
                <w:numId w:val="9"/>
              </w:numPr>
              <w:tabs>
                <w:tab w:val="left" w:pos="462"/>
              </w:tabs>
              <w:spacing w:after="0" w:line="240" w:lineRule="auto"/>
              <w:ind w:left="12" w:firstLine="0"/>
              <w:rPr>
                <w:rFonts w:ascii="Arial" w:eastAsia="Times New Roman" w:hAnsi="Arial" w:cs="Arial"/>
                <w:color w:val="000000"/>
                <w:sz w:val="18"/>
                <w:szCs w:val="18"/>
                <w:lang w:val="es-ES"/>
              </w:rPr>
            </w:pPr>
            <w:r w:rsidRPr="00476F57">
              <w:rPr>
                <w:rFonts w:ascii="Arial" w:eastAsia="Times New Roman" w:hAnsi="Arial" w:cs="Arial"/>
                <w:color w:val="000000"/>
                <w:sz w:val="18"/>
                <w:szCs w:val="18"/>
                <w:lang w:val="es-ES"/>
              </w:rPr>
              <w:t xml:space="preserve">Fuente: </w:t>
            </w:r>
            <w:r w:rsidRPr="00476F57">
              <w:rPr>
                <w:rFonts w:ascii="Arial" w:hAnsi="Arial" w:cs="Arial"/>
                <w:sz w:val="18"/>
                <w:szCs w:val="18"/>
                <w:lang w:val="es-AR"/>
              </w:rPr>
              <w:t>“Evaluar para seguir adelante: Resultados del Programa Redes”</w:t>
            </w:r>
          </w:p>
        </w:tc>
      </w:tr>
    </w:tbl>
    <w:p w:rsidR="00F83FA0" w:rsidRPr="00476F57" w:rsidRDefault="00F83FA0" w:rsidP="00672E05">
      <w:pPr>
        <w:spacing w:after="0"/>
        <w:jc w:val="both"/>
        <w:rPr>
          <w:rFonts w:ascii="Arial" w:hAnsi="Arial" w:cs="Arial"/>
          <w:lang w:val="es-ES"/>
        </w:rPr>
      </w:pPr>
    </w:p>
    <w:p w:rsidR="003B0845" w:rsidRPr="00476F57" w:rsidRDefault="00F83FA0" w:rsidP="00F83FA0">
      <w:pPr>
        <w:pStyle w:val="ListParagraph"/>
        <w:numPr>
          <w:ilvl w:val="0"/>
          <w:numId w:val="18"/>
        </w:numPr>
        <w:jc w:val="both"/>
        <w:rPr>
          <w:rFonts w:ascii="Arial" w:hAnsi="Arial" w:cs="Arial"/>
          <w:lang w:val="es-AR"/>
        </w:rPr>
      </w:pPr>
      <w:r w:rsidRPr="00476F57">
        <w:rPr>
          <w:rFonts w:ascii="Arial" w:hAnsi="Arial" w:cs="Arial"/>
          <w:lang w:val="es-AR"/>
        </w:rPr>
        <w:t>Luego, para aproximar de qué manera se distribuyen los tratamientos A</w:t>
      </w:r>
      <w:r w:rsidR="00B66897" w:rsidRPr="00476F57">
        <w:rPr>
          <w:rFonts w:ascii="Arial" w:hAnsi="Arial" w:cs="Arial"/>
          <w:lang w:val="es-AR"/>
        </w:rPr>
        <w:t>H</w:t>
      </w:r>
      <w:r w:rsidRPr="00476F57">
        <w:rPr>
          <w:rFonts w:ascii="Arial" w:hAnsi="Arial" w:cs="Arial"/>
          <w:lang w:val="es-AR"/>
        </w:rPr>
        <w:t xml:space="preserve"> entre las tiazidas, IECAS y betabloqueantes se tuvo en cuenta el promedio de tratamientos dispensados por el programa Remediar entre los años 2003-2011. Esto arrojó la siguiente distribución: 79% IECSA, 17% betabloqueantes y 4% tiazidas.</w:t>
      </w:r>
    </w:p>
    <w:p w:rsidR="003B0845" w:rsidRPr="00476F57" w:rsidRDefault="003B0845" w:rsidP="003B0845">
      <w:pPr>
        <w:pStyle w:val="ListParagraph"/>
        <w:jc w:val="both"/>
        <w:rPr>
          <w:rFonts w:ascii="Arial" w:hAnsi="Arial" w:cs="Arial"/>
          <w:lang w:val="es-AR"/>
        </w:rPr>
      </w:pPr>
    </w:p>
    <w:p w:rsidR="00F83FA0" w:rsidRPr="00476F57" w:rsidRDefault="00F83FA0" w:rsidP="00F83FA0">
      <w:pPr>
        <w:pStyle w:val="ListParagraph"/>
        <w:numPr>
          <w:ilvl w:val="0"/>
          <w:numId w:val="18"/>
        </w:numPr>
        <w:jc w:val="both"/>
        <w:rPr>
          <w:rFonts w:ascii="Arial" w:hAnsi="Arial" w:cs="Arial"/>
          <w:lang w:val="es-AR"/>
        </w:rPr>
      </w:pPr>
      <w:r w:rsidRPr="00476F57">
        <w:rPr>
          <w:rFonts w:ascii="Arial" w:hAnsi="Arial" w:cs="Arial"/>
          <w:lang w:val="es-AR"/>
        </w:rPr>
        <w:t xml:space="preserve">De este modo se pudo estimar el número de eventos potencialmente evitados (EPE) como el cociente entre los tratamientos dispensados y el NNT anualizado. Para poder obtener una medida económica de los eventos evitados se </w:t>
      </w:r>
      <w:r w:rsidR="00B66897" w:rsidRPr="00476F57">
        <w:rPr>
          <w:rFonts w:ascii="Arial" w:hAnsi="Arial" w:cs="Arial"/>
          <w:lang w:val="es-AR"/>
        </w:rPr>
        <w:t>multiplicaron los EPE por los</w:t>
      </w:r>
      <w:r w:rsidRPr="00476F57">
        <w:rPr>
          <w:rFonts w:ascii="Arial" w:hAnsi="Arial" w:cs="Arial"/>
          <w:lang w:val="es-AR"/>
        </w:rPr>
        <w:t xml:space="preserve"> costos directos del evento en base a costos de eventos obtenidos en la literatura (Tabla 3). En los casos que resultaron necesarios se llevaron los costos a precios de diciembre de 2013 ajustándolos por el Índice de precios al Consumidor para la salud (IPC Salud) publicado por el Instituto </w:t>
      </w:r>
      <w:r w:rsidR="00B66897" w:rsidRPr="00476F57">
        <w:rPr>
          <w:rFonts w:ascii="Arial" w:hAnsi="Arial" w:cs="Arial"/>
          <w:lang w:val="es-AR"/>
        </w:rPr>
        <w:t xml:space="preserve">Nacional </w:t>
      </w:r>
      <w:r w:rsidRPr="00476F57">
        <w:rPr>
          <w:rFonts w:ascii="Arial" w:hAnsi="Arial" w:cs="Arial"/>
          <w:lang w:val="es-AR"/>
        </w:rPr>
        <w:t>de Estadísticas y Censos.</w:t>
      </w:r>
    </w:p>
    <w:tbl>
      <w:tblPr>
        <w:tblW w:w="5235" w:type="dxa"/>
        <w:jc w:val="center"/>
        <w:tblLook w:val="04A0" w:firstRow="1" w:lastRow="0" w:firstColumn="1" w:lastColumn="0" w:noHBand="0" w:noVBand="1"/>
      </w:tblPr>
      <w:tblGrid>
        <w:gridCol w:w="1725"/>
        <w:gridCol w:w="2250"/>
        <w:gridCol w:w="1260"/>
      </w:tblGrid>
      <w:tr w:rsidR="00F83FA0" w:rsidRPr="006A4ED8" w:rsidTr="00294FC6">
        <w:trPr>
          <w:trHeight w:val="270"/>
          <w:jc w:val="center"/>
        </w:trPr>
        <w:tc>
          <w:tcPr>
            <w:tcW w:w="5235" w:type="dxa"/>
            <w:gridSpan w:val="3"/>
            <w:tcBorders>
              <w:top w:val="nil"/>
              <w:left w:val="nil"/>
              <w:bottom w:val="single" w:sz="8" w:space="0" w:color="FFFFFF"/>
              <w:right w:val="nil"/>
            </w:tcBorders>
            <w:shd w:val="clear" w:color="auto" w:fill="auto"/>
            <w:noWrap/>
            <w:vAlign w:val="bottom"/>
            <w:hideMark/>
          </w:tcPr>
          <w:p w:rsidR="00F83FA0" w:rsidRPr="00476F57" w:rsidRDefault="00F83FA0" w:rsidP="00F83FA0">
            <w:pPr>
              <w:spacing w:after="0" w:line="240" w:lineRule="auto"/>
              <w:jc w:val="center"/>
              <w:rPr>
                <w:rFonts w:ascii="Arial" w:eastAsia="Times New Roman" w:hAnsi="Arial" w:cs="Arial"/>
                <w:b/>
                <w:bCs/>
                <w:color w:val="000000"/>
                <w:sz w:val="18"/>
                <w:szCs w:val="18"/>
                <w:lang w:val="es-ES"/>
              </w:rPr>
            </w:pPr>
            <w:r w:rsidRPr="00476F57">
              <w:rPr>
                <w:rFonts w:ascii="Arial" w:eastAsia="Times New Roman" w:hAnsi="Arial" w:cs="Arial"/>
                <w:b/>
                <w:bCs/>
                <w:color w:val="000000"/>
                <w:sz w:val="18"/>
                <w:szCs w:val="18"/>
                <w:lang w:val="es-ES"/>
              </w:rPr>
              <w:t>Tabla 3: Costos de eventos en pesos a diciembre de 2013</w:t>
            </w:r>
          </w:p>
        </w:tc>
      </w:tr>
      <w:tr w:rsidR="00F83FA0" w:rsidRPr="00476F57" w:rsidTr="00294FC6">
        <w:trPr>
          <w:trHeight w:val="259"/>
          <w:jc w:val="center"/>
        </w:trPr>
        <w:tc>
          <w:tcPr>
            <w:tcW w:w="1725" w:type="dxa"/>
            <w:tcBorders>
              <w:top w:val="nil"/>
              <w:left w:val="single" w:sz="8" w:space="0" w:color="FFFFFF"/>
              <w:bottom w:val="single" w:sz="8" w:space="0" w:color="FFFFFF"/>
              <w:right w:val="single" w:sz="8" w:space="0" w:color="FFFFFF"/>
            </w:tcBorders>
            <w:shd w:val="clear" w:color="000000" w:fill="538DD5"/>
            <w:vAlign w:val="center"/>
            <w:hideMark/>
          </w:tcPr>
          <w:p w:rsidR="00F83FA0" w:rsidRPr="00476F57" w:rsidRDefault="00F83FA0" w:rsidP="00F83FA0">
            <w:pPr>
              <w:spacing w:after="0" w:line="240" w:lineRule="auto"/>
              <w:jc w:val="center"/>
              <w:rPr>
                <w:rFonts w:ascii="Arial" w:eastAsia="Times New Roman" w:hAnsi="Arial" w:cs="Arial"/>
                <w:b/>
                <w:bCs/>
                <w:color w:val="FFFFFF"/>
                <w:sz w:val="18"/>
                <w:szCs w:val="18"/>
                <w:lang w:val="es-ES"/>
              </w:rPr>
            </w:pPr>
            <w:r w:rsidRPr="00476F57">
              <w:rPr>
                <w:rFonts w:ascii="Arial" w:eastAsia="Times New Roman" w:hAnsi="Arial" w:cs="Arial"/>
                <w:b/>
                <w:bCs/>
                <w:color w:val="FFFFFF"/>
                <w:sz w:val="18"/>
                <w:szCs w:val="18"/>
                <w:lang w:val="es-ES"/>
              </w:rPr>
              <w:t> </w:t>
            </w:r>
          </w:p>
        </w:tc>
        <w:tc>
          <w:tcPr>
            <w:tcW w:w="2250" w:type="dxa"/>
            <w:tcBorders>
              <w:top w:val="nil"/>
              <w:left w:val="nil"/>
              <w:bottom w:val="single" w:sz="8" w:space="0" w:color="FFFFFF"/>
              <w:right w:val="single" w:sz="8" w:space="0" w:color="FFFFFF"/>
            </w:tcBorders>
            <w:shd w:val="clear" w:color="000000" w:fill="538DD5"/>
            <w:vAlign w:val="center"/>
            <w:hideMark/>
          </w:tcPr>
          <w:p w:rsidR="00F83FA0" w:rsidRPr="00476F57" w:rsidRDefault="00F83FA0" w:rsidP="00F83FA0">
            <w:pPr>
              <w:spacing w:after="0" w:line="240" w:lineRule="auto"/>
              <w:jc w:val="center"/>
              <w:rPr>
                <w:rFonts w:ascii="Arial" w:eastAsia="Times New Roman" w:hAnsi="Arial" w:cs="Arial"/>
                <w:b/>
                <w:bCs/>
                <w:color w:val="FFFFFF"/>
                <w:sz w:val="18"/>
                <w:szCs w:val="18"/>
              </w:rPr>
            </w:pPr>
            <w:r w:rsidRPr="00476F57">
              <w:rPr>
                <w:rFonts w:ascii="Arial" w:eastAsia="Times New Roman" w:hAnsi="Arial" w:cs="Arial"/>
                <w:b/>
                <w:bCs/>
                <w:color w:val="FFFFFF"/>
                <w:sz w:val="18"/>
                <w:szCs w:val="18"/>
              </w:rPr>
              <w:t>Pesos 2013</w:t>
            </w:r>
          </w:p>
        </w:tc>
        <w:tc>
          <w:tcPr>
            <w:tcW w:w="1260" w:type="dxa"/>
            <w:tcBorders>
              <w:top w:val="nil"/>
              <w:left w:val="nil"/>
              <w:bottom w:val="single" w:sz="8" w:space="0" w:color="FFFFFF"/>
              <w:right w:val="single" w:sz="8" w:space="0" w:color="FFFFFF"/>
            </w:tcBorders>
            <w:shd w:val="clear" w:color="000000" w:fill="538DD5"/>
            <w:vAlign w:val="center"/>
            <w:hideMark/>
          </w:tcPr>
          <w:p w:rsidR="00F83FA0" w:rsidRPr="00476F57" w:rsidRDefault="00F83FA0" w:rsidP="00F83FA0">
            <w:pPr>
              <w:spacing w:after="0" w:line="240" w:lineRule="auto"/>
              <w:jc w:val="center"/>
              <w:rPr>
                <w:rFonts w:ascii="Arial" w:eastAsia="Times New Roman" w:hAnsi="Arial" w:cs="Arial"/>
                <w:b/>
                <w:bCs/>
                <w:color w:val="FFFFFF"/>
                <w:sz w:val="18"/>
                <w:szCs w:val="18"/>
              </w:rPr>
            </w:pPr>
            <w:r w:rsidRPr="00476F57">
              <w:rPr>
                <w:rFonts w:ascii="Arial" w:eastAsia="Times New Roman" w:hAnsi="Arial" w:cs="Arial"/>
                <w:b/>
                <w:bCs/>
                <w:color w:val="FFFFFF"/>
                <w:sz w:val="18"/>
                <w:szCs w:val="18"/>
              </w:rPr>
              <w:t>Fuente</w:t>
            </w:r>
          </w:p>
        </w:tc>
      </w:tr>
      <w:tr w:rsidR="00F83FA0" w:rsidRPr="00476F57" w:rsidTr="00294FC6">
        <w:trPr>
          <w:trHeight w:val="151"/>
          <w:jc w:val="center"/>
        </w:trPr>
        <w:tc>
          <w:tcPr>
            <w:tcW w:w="1725" w:type="dxa"/>
            <w:tcBorders>
              <w:top w:val="nil"/>
              <w:left w:val="single" w:sz="8" w:space="0" w:color="FFFFFF"/>
              <w:bottom w:val="single" w:sz="8" w:space="0" w:color="FFFFFF"/>
              <w:right w:val="single" w:sz="8" w:space="0" w:color="FFFFFF"/>
            </w:tcBorders>
            <w:shd w:val="clear" w:color="000000" w:fill="F2F2F2"/>
            <w:noWrap/>
            <w:vAlign w:val="bottom"/>
            <w:hideMark/>
          </w:tcPr>
          <w:p w:rsidR="00F83FA0" w:rsidRPr="00476F57" w:rsidRDefault="00F83FA0" w:rsidP="00F83FA0">
            <w:pPr>
              <w:spacing w:after="0" w:line="240" w:lineRule="auto"/>
              <w:rPr>
                <w:rFonts w:ascii="Arial" w:eastAsia="Times New Roman" w:hAnsi="Arial" w:cs="Arial"/>
                <w:b/>
                <w:bCs/>
                <w:color w:val="000000"/>
                <w:sz w:val="18"/>
                <w:szCs w:val="18"/>
              </w:rPr>
            </w:pPr>
            <w:r w:rsidRPr="00476F57">
              <w:rPr>
                <w:rFonts w:ascii="Arial" w:eastAsia="Times New Roman" w:hAnsi="Arial" w:cs="Arial"/>
                <w:b/>
                <w:bCs/>
                <w:color w:val="000000"/>
                <w:sz w:val="18"/>
                <w:szCs w:val="18"/>
              </w:rPr>
              <w:t>ACV</w:t>
            </w:r>
          </w:p>
        </w:tc>
        <w:tc>
          <w:tcPr>
            <w:tcW w:w="2250" w:type="dxa"/>
            <w:tcBorders>
              <w:top w:val="nil"/>
              <w:left w:val="nil"/>
              <w:bottom w:val="single" w:sz="8" w:space="0" w:color="FFFFFF"/>
              <w:right w:val="single" w:sz="8" w:space="0" w:color="FFFFFF"/>
            </w:tcBorders>
            <w:shd w:val="clear" w:color="000000" w:fill="F2F2F2"/>
            <w:noWrap/>
            <w:vAlign w:val="bottom"/>
            <w:hideMark/>
          </w:tcPr>
          <w:p w:rsidR="00F83FA0" w:rsidRPr="00476F57" w:rsidRDefault="00F83FA0" w:rsidP="00F83FA0">
            <w:pPr>
              <w:spacing w:after="0" w:line="240" w:lineRule="auto"/>
              <w:jc w:val="center"/>
              <w:rPr>
                <w:rFonts w:ascii="Arial" w:eastAsia="Times New Roman" w:hAnsi="Arial" w:cs="Arial"/>
                <w:color w:val="000000"/>
                <w:sz w:val="18"/>
                <w:szCs w:val="18"/>
              </w:rPr>
            </w:pPr>
            <w:r w:rsidRPr="00476F57">
              <w:rPr>
                <w:rFonts w:ascii="Arial" w:eastAsia="Times New Roman" w:hAnsi="Arial" w:cs="Arial"/>
                <w:color w:val="000000"/>
                <w:sz w:val="18"/>
                <w:szCs w:val="18"/>
              </w:rPr>
              <w:t>$27,401</w:t>
            </w:r>
          </w:p>
        </w:tc>
        <w:tc>
          <w:tcPr>
            <w:tcW w:w="1260" w:type="dxa"/>
            <w:tcBorders>
              <w:top w:val="nil"/>
              <w:left w:val="nil"/>
              <w:bottom w:val="single" w:sz="8" w:space="0" w:color="FFFFFF"/>
              <w:right w:val="single" w:sz="8" w:space="0" w:color="FFFFFF"/>
            </w:tcBorders>
            <w:shd w:val="clear" w:color="000000" w:fill="F2F2F2"/>
            <w:noWrap/>
            <w:vAlign w:val="bottom"/>
            <w:hideMark/>
          </w:tcPr>
          <w:p w:rsidR="00F83FA0" w:rsidRPr="00476F57" w:rsidRDefault="00F83FA0" w:rsidP="00F83FA0">
            <w:pPr>
              <w:spacing w:after="0" w:line="240" w:lineRule="auto"/>
              <w:jc w:val="center"/>
              <w:rPr>
                <w:rFonts w:ascii="Arial" w:eastAsia="Times New Roman" w:hAnsi="Arial" w:cs="Arial"/>
                <w:b/>
                <w:bCs/>
                <w:color w:val="000000"/>
                <w:sz w:val="18"/>
                <w:szCs w:val="18"/>
              </w:rPr>
            </w:pPr>
            <w:r w:rsidRPr="00476F57">
              <w:rPr>
                <w:rFonts w:ascii="Arial" w:eastAsia="Times New Roman" w:hAnsi="Arial" w:cs="Arial"/>
                <w:b/>
                <w:bCs/>
                <w:color w:val="000000"/>
                <w:sz w:val="18"/>
                <w:szCs w:val="18"/>
              </w:rPr>
              <w:fldChar w:fldCharType="begin"/>
            </w:r>
            <w:r w:rsidRPr="00476F57">
              <w:rPr>
                <w:rFonts w:ascii="Arial" w:eastAsia="Times New Roman" w:hAnsi="Arial" w:cs="Arial"/>
                <w:b/>
                <w:bCs/>
                <w:color w:val="000000"/>
                <w:sz w:val="18"/>
                <w:szCs w:val="18"/>
              </w:rPr>
              <w:instrText xml:space="preserve"> ADDIN EN.CITE &lt;EndNote&gt;&lt;Cite&gt;&lt;Author&gt;Bruni&lt;/Author&gt;&lt;Year&gt;2004&lt;/Year&gt;&lt;RecNum&gt;38&lt;/RecNum&gt;&lt;DisplayText&gt;[3]&lt;/DisplayText&gt;&lt;record&gt;&lt;rec-number&gt;38&lt;/rec-number&gt;&lt;foreign-keys&gt;&lt;key app="EN" db-id="s2fdxx5as0er0oe9vfk5px9xsxzeztas5t5e"&gt;38&lt;/key&gt;&lt;/foreign-keys&gt;&lt;ref-type name="Journal Article"&gt;17&lt;/ref-type&gt;&lt;contributors&gt;&lt;authors&gt;&lt;author&gt;Bruni, José Maria&lt;/author&gt;&lt;/authors&gt;&lt;/contributors&gt;&lt;titles&gt;&lt;title&gt;Costos directos de la atención médica de las enfermedades atribuibles al consumo de tabaco en Argentina&lt;/title&gt;&lt;secondary-title&gt;Ministerio de Salud y Ambiente de la Nación. Proyecto VIGIA. Informe final&lt;/secondary-title&gt;&lt;/titles&gt;&lt;periodical&gt;&lt;full-title&gt;Ministerio de Salud y Ambiente de la Nación. Proyecto VIGIA. Informe final&lt;/full-title&gt;&lt;/periodical&gt;&lt;dates&gt;&lt;year&gt;2004&lt;/year&gt;&lt;/dates&gt;&lt;urls&gt;&lt;/urls&gt;&lt;/record&gt;&lt;/Cite&gt;&lt;/EndNote&gt;</w:instrText>
            </w:r>
            <w:r w:rsidRPr="00476F57">
              <w:rPr>
                <w:rFonts w:ascii="Arial" w:eastAsia="Times New Roman" w:hAnsi="Arial" w:cs="Arial"/>
                <w:b/>
                <w:bCs/>
                <w:color w:val="000000"/>
                <w:sz w:val="18"/>
                <w:szCs w:val="18"/>
              </w:rPr>
              <w:fldChar w:fldCharType="separate"/>
            </w:r>
            <w:r w:rsidRPr="00476F57">
              <w:rPr>
                <w:rFonts w:ascii="Arial" w:eastAsia="Times New Roman" w:hAnsi="Arial" w:cs="Arial"/>
                <w:b/>
                <w:bCs/>
                <w:noProof/>
                <w:color w:val="000000"/>
                <w:sz w:val="18"/>
                <w:szCs w:val="18"/>
              </w:rPr>
              <w:t>[</w:t>
            </w:r>
            <w:hyperlink w:anchor="_ENREF_3" w:tooltip="Bruni, 2004 #38" w:history="1">
              <w:r w:rsidRPr="00476F57">
                <w:rPr>
                  <w:rFonts w:ascii="Arial" w:eastAsia="Times New Roman" w:hAnsi="Arial" w:cs="Arial"/>
                  <w:b/>
                  <w:bCs/>
                  <w:noProof/>
                  <w:color w:val="000000"/>
                  <w:sz w:val="18"/>
                  <w:szCs w:val="18"/>
                </w:rPr>
                <w:t>3</w:t>
              </w:r>
            </w:hyperlink>
            <w:r w:rsidRPr="00476F57">
              <w:rPr>
                <w:rFonts w:ascii="Arial" w:eastAsia="Times New Roman" w:hAnsi="Arial" w:cs="Arial"/>
                <w:b/>
                <w:bCs/>
                <w:noProof/>
                <w:color w:val="000000"/>
                <w:sz w:val="18"/>
                <w:szCs w:val="18"/>
              </w:rPr>
              <w:t>]</w:t>
            </w:r>
            <w:r w:rsidRPr="00476F57">
              <w:rPr>
                <w:rFonts w:ascii="Arial" w:eastAsia="Times New Roman" w:hAnsi="Arial" w:cs="Arial"/>
                <w:b/>
                <w:bCs/>
                <w:color w:val="000000"/>
                <w:sz w:val="18"/>
                <w:szCs w:val="18"/>
              </w:rPr>
              <w:fldChar w:fldCharType="end"/>
            </w:r>
          </w:p>
        </w:tc>
      </w:tr>
      <w:tr w:rsidR="00F83FA0" w:rsidRPr="00476F57" w:rsidTr="00294FC6">
        <w:trPr>
          <w:trHeight w:val="106"/>
          <w:jc w:val="center"/>
        </w:trPr>
        <w:tc>
          <w:tcPr>
            <w:tcW w:w="1725" w:type="dxa"/>
            <w:tcBorders>
              <w:top w:val="nil"/>
              <w:left w:val="single" w:sz="8" w:space="0" w:color="FFFFFF"/>
              <w:bottom w:val="single" w:sz="8" w:space="0" w:color="FFFFFF"/>
              <w:right w:val="single" w:sz="8" w:space="0" w:color="FFFFFF"/>
            </w:tcBorders>
            <w:shd w:val="clear" w:color="000000" w:fill="F2F2F2"/>
            <w:noWrap/>
            <w:vAlign w:val="bottom"/>
            <w:hideMark/>
          </w:tcPr>
          <w:p w:rsidR="00F83FA0" w:rsidRPr="00476F57" w:rsidRDefault="00F83FA0" w:rsidP="00F83FA0">
            <w:pPr>
              <w:spacing w:after="0" w:line="240" w:lineRule="auto"/>
              <w:rPr>
                <w:rFonts w:ascii="Arial" w:eastAsia="Times New Roman" w:hAnsi="Arial" w:cs="Arial"/>
                <w:b/>
                <w:bCs/>
                <w:color w:val="000000"/>
                <w:sz w:val="18"/>
                <w:szCs w:val="18"/>
              </w:rPr>
            </w:pPr>
            <w:r w:rsidRPr="00476F57">
              <w:rPr>
                <w:rFonts w:ascii="Arial" w:eastAsia="Times New Roman" w:hAnsi="Arial" w:cs="Arial"/>
                <w:b/>
                <w:bCs/>
                <w:color w:val="000000"/>
                <w:sz w:val="18"/>
                <w:szCs w:val="18"/>
              </w:rPr>
              <w:t>CHD</w:t>
            </w:r>
          </w:p>
        </w:tc>
        <w:tc>
          <w:tcPr>
            <w:tcW w:w="2250" w:type="dxa"/>
            <w:tcBorders>
              <w:top w:val="nil"/>
              <w:left w:val="nil"/>
              <w:bottom w:val="single" w:sz="8" w:space="0" w:color="FFFFFF"/>
              <w:right w:val="single" w:sz="8" w:space="0" w:color="FFFFFF"/>
            </w:tcBorders>
            <w:shd w:val="clear" w:color="000000" w:fill="F2F2F2"/>
            <w:noWrap/>
            <w:vAlign w:val="bottom"/>
            <w:hideMark/>
          </w:tcPr>
          <w:p w:rsidR="00F83FA0" w:rsidRPr="00476F57" w:rsidRDefault="00F83FA0" w:rsidP="00F83FA0">
            <w:pPr>
              <w:spacing w:after="0" w:line="240" w:lineRule="auto"/>
              <w:jc w:val="center"/>
              <w:rPr>
                <w:rFonts w:ascii="Arial" w:eastAsia="Times New Roman" w:hAnsi="Arial" w:cs="Arial"/>
                <w:color w:val="000000"/>
                <w:sz w:val="18"/>
                <w:szCs w:val="18"/>
              </w:rPr>
            </w:pPr>
            <w:r w:rsidRPr="00476F57">
              <w:rPr>
                <w:rFonts w:ascii="Arial" w:eastAsia="Times New Roman" w:hAnsi="Arial" w:cs="Arial"/>
                <w:color w:val="000000"/>
                <w:sz w:val="18"/>
                <w:szCs w:val="18"/>
              </w:rPr>
              <w:t>$21,074</w:t>
            </w:r>
          </w:p>
        </w:tc>
        <w:tc>
          <w:tcPr>
            <w:tcW w:w="1260" w:type="dxa"/>
            <w:tcBorders>
              <w:top w:val="nil"/>
              <w:left w:val="nil"/>
              <w:bottom w:val="single" w:sz="8" w:space="0" w:color="FFFFFF"/>
              <w:right w:val="single" w:sz="8" w:space="0" w:color="FFFFFF"/>
            </w:tcBorders>
            <w:shd w:val="clear" w:color="000000" w:fill="F2F2F2"/>
            <w:noWrap/>
            <w:vAlign w:val="bottom"/>
            <w:hideMark/>
          </w:tcPr>
          <w:p w:rsidR="00F83FA0" w:rsidRPr="00476F57" w:rsidRDefault="00F83FA0" w:rsidP="00F83FA0">
            <w:pPr>
              <w:spacing w:after="0" w:line="240" w:lineRule="auto"/>
              <w:jc w:val="center"/>
              <w:rPr>
                <w:rFonts w:ascii="Arial" w:eastAsia="Times New Roman" w:hAnsi="Arial" w:cs="Arial"/>
                <w:b/>
                <w:bCs/>
                <w:color w:val="000000"/>
                <w:sz w:val="18"/>
                <w:szCs w:val="18"/>
              </w:rPr>
            </w:pPr>
            <w:r w:rsidRPr="00476F57">
              <w:rPr>
                <w:rFonts w:ascii="Arial" w:eastAsia="Times New Roman" w:hAnsi="Arial" w:cs="Arial"/>
                <w:b/>
                <w:bCs/>
                <w:color w:val="000000"/>
                <w:sz w:val="18"/>
                <w:szCs w:val="18"/>
              </w:rPr>
              <w:fldChar w:fldCharType="begin"/>
            </w:r>
            <w:r w:rsidRPr="00476F57">
              <w:rPr>
                <w:rFonts w:ascii="Arial" w:eastAsia="Times New Roman" w:hAnsi="Arial" w:cs="Arial"/>
                <w:b/>
                <w:bCs/>
                <w:color w:val="000000"/>
                <w:sz w:val="18"/>
                <w:szCs w:val="18"/>
              </w:rPr>
              <w:instrText xml:space="preserve"> ADDIN EN.CITE &lt;EndNote&gt;&lt;Cite&gt;&lt;Author&gt;Pichon-Riviere&lt;/Author&gt;&lt;Year&gt;2013&lt;/Year&gt;&lt;RecNum&gt;37&lt;/RecNum&gt;&lt;DisplayText&gt;[4]&lt;/DisplayText&gt;&lt;record&gt;&lt;rec-number&gt;37&lt;/rec-number&gt;&lt;foreign-keys&gt;&lt;key app="EN" db-id="s2fdxx5as0er0oe9vfk5px9xsxzeztas5t5e"&gt;37&lt;/key&gt;&lt;/foreign-keys&gt;&lt;ref-type name="Journal Article"&gt;17&lt;/ref-type&gt;&lt;contributors&gt;&lt;authors&gt;&lt;author&gt;Pichon-Riviere, A&lt;/author&gt;&lt;author&gt;Alcaraz, A&lt;/author&gt;&lt;author&gt;Bardach, A&lt;/author&gt;&lt;author&gt;Augustovski, F&lt;/author&gt;&lt;author&gt;Caporale, J&lt;/author&gt;&lt;author&gt;Caccavo, F&lt;/author&gt;&lt;/authors&gt;&lt;/contributors&gt;&lt;titles&gt;&lt;title&gt;Carga de enfermedad atribuible al tabaquismo en Argentina&lt;/title&gt;&lt;secondary-title&gt;Buenos Aires: Instituto de Efectividad Clínica y Sanitaria&lt;/secondary-title&gt;&lt;/titles&gt;&lt;periodical&gt;&lt;full-title&gt;Buenos Aires: Instituto de Efectividad Clínica y Sanitaria&lt;/full-title&gt;&lt;/periodical&gt;&lt;dates&gt;&lt;year&gt;2013&lt;/year&gt;&lt;/dates&gt;&lt;urls&gt;&lt;/urls&gt;&lt;/record&gt;&lt;/Cite&gt;&lt;/EndNote&gt;</w:instrText>
            </w:r>
            <w:r w:rsidRPr="00476F57">
              <w:rPr>
                <w:rFonts w:ascii="Arial" w:eastAsia="Times New Roman" w:hAnsi="Arial" w:cs="Arial"/>
                <w:b/>
                <w:bCs/>
                <w:color w:val="000000"/>
                <w:sz w:val="18"/>
                <w:szCs w:val="18"/>
              </w:rPr>
              <w:fldChar w:fldCharType="separate"/>
            </w:r>
            <w:r w:rsidRPr="00476F57">
              <w:rPr>
                <w:rFonts w:ascii="Arial" w:eastAsia="Times New Roman" w:hAnsi="Arial" w:cs="Arial"/>
                <w:b/>
                <w:bCs/>
                <w:noProof/>
                <w:color w:val="000000"/>
                <w:sz w:val="18"/>
                <w:szCs w:val="18"/>
              </w:rPr>
              <w:t>[</w:t>
            </w:r>
            <w:hyperlink w:anchor="_ENREF_4" w:tooltip="Pichon-Riviere, 2013 #37" w:history="1">
              <w:r w:rsidRPr="00476F57">
                <w:rPr>
                  <w:rFonts w:ascii="Arial" w:eastAsia="Times New Roman" w:hAnsi="Arial" w:cs="Arial"/>
                  <w:b/>
                  <w:bCs/>
                  <w:noProof/>
                  <w:color w:val="000000"/>
                  <w:sz w:val="18"/>
                  <w:szCs w:val="18"/>
                </w:rPr>
                <w:t>4</w:t>
              </w:r>
            </w:hyperlink>
            <w:r w:rsidRPr="00476F57">
              <w:rPr>
                <w:rFonts w:ascii="Arial" w:eastAsia="Times New Roman" w:hAnsi="Arial" w:cs="Arial"/>
                <w:b/>
                <w:bCs/>
                <w:noProof/>
                <w:color w:val="000000"/>
                <w:sz w:val="18"/>
                <w:szCs w:val="18"/>
              </w:rPr>
              <w:t>]</w:t>
            </w:r>
            <w:r w:rsidRPr="00476F57">
              <w:rPr>
                <w:rFonts w:ascii="Arial" w:eastAsia="Times New Roman" w:hAnsi="Arial" w:cs="Arial"/>
                <w:b/>
                <w:bCs/>
                <w:color w:val="000000"/>
                <w:sz w:val="18"/>
                <w:szCs w:val="18"/>
              </w:rPr>
              <w:fldChar w:fldCharType="end"/>
            </w:r>
          </w:p>
        </w:tc>
      </w:tr>
      <w:tr w:rsidR="00F83FA0" w:rsidRPr="00476F57" w:rsidTr="006A4ED8">
        <w:trPr>
          <w:trHeight w:val="79"/>
          <w:jc w:val="center"/>
        </w:trPr>
        <w:tc>
          <w:tcPr>
            <w:tcW w:w="1725" w:type="dxa"/>
            <w:tcBorders>
              <w:top w:val="nil"/>
              <w:left w:val="single" w:sz="8" w:space="0" w:color="FFFFFF"/>
              <w:bottom w:val="single" w:sz="8" w:space="0" w:color="FFFFFF"/>
              <w:right w:val="single" w:sz="8" w:space="0" w:color="FFFFFF"/>
            </w:tcBorders>
            <w:shd w:val="clear" w:color="000000" w:fill="F2F2F2"/>
            <w:noWrap/>
            <w:vAlign w:val="bottom"/>
            <w:hideMark/>
          </w:tcPr>
          <w:p w:rsidR="00F83FA0" w:rsidRPr="00476F57" w:rsidRDefault="00F83FA0" w:rsidP="00F83FA0">
            <w:pPr>
              <w:spacing w:after="0" w:line="240" w:lineRule="auto"/>
              <w:rPr>
                <w:rFonts w:ascii="Arial" w:eastAsia="Times New Roman" w:hAnsi="Arial" w:cs="Arial"/>
                <w:b/>
                <w:bCs/>
                <w:color w:val="000000"/>
                <w:sz w:val="18"/>
                <w:szCs w:val="18"/>
              </w:rPr>
            </w:pPr>
            <w:r w:rsidRPr="00476F57">
              <w:rPr>
                <w:rFonts w:ascii="Arial" w:eastAsia="Times New Roman" w:hAnsi="Arial" w:cs="Arial"/>
                <w:b/>
                <w:bCs/>
                <w:color w:val="000000"/>
                <w:sz w:val="18"/>
                <w:szCs w:val="18"/>
              </w:rPr>
              <w:t>Eventos CV</w:t>
            </w:r>
          </w:p>
        </w:tc>
        <w:tc>
          <w:tcPr>
            <w:tcW w:w="2250" w:type="dxa"/>
            <w:tcBorders>
              <w:top w:val="nil"/>
              <w:left w:val="nil"/>
              <w:bottom w:val="single" w:sz="8" w:space="0" w:color="FFFFFF"/>
              <w:right w:val="single" w:sz="8" w:space="0" w:color="FFFFFF"/>
            </w:tcBorders>
            <w:shd w:val="clear" w:color="000000" w:fill="F2F2F2"/>
            <w:noWrap/>
            <w:vAlign w:val="bottom"/>
            <w:hideMark/>
          </w:tcPr>
          <w:p w:rsidR="00F83FA0" w:rsidRPr="00476F57" w:rsidRDefault="00F83FA0" w:rsidP="00F83FA0">
            <w:pPr>
              <w:spacing w:after="0" w:line="240" w:lineRule="auto"/>
              <w:jc w:val="center"/>
              <w:rPr>
                <w:rFonts w:ascii="Arial" w:eastAsia="Times New Roman" w:hAnsi="Arial" w:cs="Arial"/>
                <w:color w:val="000000"/>
                <w:sz w:val="18"/>
                <w:szCs w:val="18"/>
              </w:rPr>
            </w:pPr>
            <w:r w:rsidRPr="00476F57">
              <w:rPr>
                <w:rFonts w:ascii="Arial" w:eastAsia="Times New Roman" w:hAnsi="Arial" w:cs="Arial"/>
                <w:color w:val="000000"/>
                <w:sz w:val="18"/>
                <w:szCs w:val="18"/>
              </w:rPr>
              <w:t>$4,437</w:t>
            </w:r>
          </w:p>
        </w:tc>
        <w:tc>
          <w:tcPr>
            <w:tcW w:w="1260" w:type="dxa"/>
            <w:tcBorders>
              <w:top w:val="nil"/>
              <w:left w:val="nil"/>
              <w:bottom w:val="single" w:sz="8" w:space="0" w:color="FFFFFF"/>
              <w:right w:val="single" w:sz="8" w:space="0" w:color="FFFFFF"/>
            </w:tcBorders>
            <w:shd w:val="clear" w:color="000000" w:fill="F2F2F2"/>
            <w:noWrap/>
            <w:vAlign w:val="bottom"/>
            <w:hideMark/>
          </w:tcPr>
          <w:p w:rsidR="00F83FA0" w:rsidRPr="00476F57" w:rsidRDefault="00F83FA0" w:rsidP="00F83FA0">
            <w:pPr>
              <w:spacing w:after="0" w:line="240" w:lineRule="auto"/>
              <w:jc w:val="center"/>
              <w:rPr>
                <w:rFonts w:ascii="Arial" w:eastAsia="Times New Roman" w:hAnsi="Arial" w:cs="Arial"/>
                <w:b/>
                <w:bCs/>
                <w:color w:val="000000"/>
                <w:sz w:val="18"/>
                <w:szCs w:val="18"/>
              </w:rPr>
            </w:pPr>
            <w:r w:rsidRPr="00476F57">
              <w:rPr>
                <w:rFonts w:ascii="Arial" w:eastAsia="Times New Roman" w:hAnsi="Arial" w:cs="Arial"/>
                <w:b/>
                <w:bCs/>
                <w:color w:val="000000"/>
                <w:sz w:val="18"/>
                <w:szCs w:val="18"/>
              </w:rPr>
              <w:fldChar w:fldCharType="begin"/>
            </w:r>
            <w:r w:rsidRPr="00476F57">
              <w:rPr>
                <w:rFonts w:ascii="Arial" w:eastAsia="Times New Roman" w:hAnsi="Arial" w:cs="Arial"/>
                <w:b/>
                <w:bCs/>
                <w:color w:val="000000"/>
                <w:sz w:val="18"/>
                <w:szCs w:val="18"/>
              </w:rPr>
              <w:instrText xml:space="preserve"> ADDIN EN.CITE &lt;EndNote&gt;&lt;Cite&gt;&lt;Author&gt;Botto&lt;/Author&gt;&lt;Year&gt;2003&lt;/Year&gt;&lt;RecNum&gt;39&lt;/RecNum&gt;&lt;DisplayText&gt;[5]&lt;/DisplayText&gt;&lt;record&gt;&lt;rec-number&gt;39&lt;/rec-number&gt;&lt;foreign-keys&gt;&lt;key app="EN" db-id="s2fdxx5as0er0oe9vfk5px9xsxzeztas5t5e"&gt;39&lt;/key&gt;&lt;/foreign-keys&gt;&lt;ref-type name="Journal Article"&gt;17&lt;/ref-type&gt;&lt;contributors&gt;&lt;authors&gt;&lt;author&gt;Botto, Fernando&lt;/author&gt;&lt;author&gt;HAUSMANN, CRISTIAN VON-SCHULZ&lt;/author&gt;&lt;author&gt;Cúneo, Jorge&lt;/author&gt;&lt;author&gt;Herrera, Víctor&lt;/author&gt;&lt;author&gt;Ferrante, Daniel&lt;/author&gt;&lt;/authors&gt;&lt;/contributors&gt;&lt;titles&gt;&lt;title&gt;Costo-eficacia del uso de ramipril en pacientes de alto riesgo vascular en la Argentina&lt;/title&gt;&lt;secondary-title&gt;Rev Argent Cardiol&lt;/secondary-title&gt;&lt;/titles&gt;&lt;periodical&gt;&lt;full-title&gt;Rev Argent Cardiol&lt;/full-title&gt;&lt;/periodical&gt;&lt;pages&gt;16-22&lt;/pages&gt;&lt;volume&gt;71&lt;/volume&gt;&lt;dates&gt;&lt;year&gt;2003&lt;/year&gt;&lt;/dates&gt;&lt;urls&gt;&lt;/urls&gt;&lt;/record&gt;&lt;/Cite&gt;&lt;/EndNote&gt;</w:instrText>
            </w:r>
            <w:r w:rsidRPr="00476F57">
              <w:rPr>
                <w:rFonts w:ascii="Arial" w:eastAsia="Times New Roman" w:hAnsi="Arial" w:cs="Arial"/>
                <w:b/>
                <w:bCs/>
                <w:color w:val="000000"/>
                <w:sz w:val="18"/>
                <w:szCs w:val="18"/>
              </w:rPr>
              <w:fldChar w:fldCharType="separate"/>
            </w:r>
            <w:r w:rsidRPr="00476F57">
              <w:rPr>
                <w:rFonts w:ascii="Arial" w:eastAsia="Times New Roman" w:hAnsi="Arial" w:cs="Arial"/>
                <w:b/>
                <w:bCs/>
                <w:noProof/>
                <w:color w:val="000000"/>
                <w:sz w:val="18"/>
                <w:szCs w:val="18"/>
              </w:rPr>
              <w:t>[</w:t>
            </w:r>
            <w:hyperlink w:anchor="_ENREF_5" w:tooltip="Botto, 2003 #39" w:history="1">
              <w:r w:rsidRPr="00476F57">
                <w:rPr>
                  <w:rFonts w:ascii="Arial" w:eastAsia="Times New Roman" w:hAnsi="Arial" w:cs="Arial"/>
                  <w:b/>
                  <w:bCs/>
                  <w:noProof/>
                  <w:color w:val="000000"/>
                  <w:sz w:val="18"/>
                  <w:szCs w:val="18"/>
                </w:rPr>
                <w:t>5</w:t>
              </w:r>
            </w:hyperlink>
            <w:r w:rsidRPr="00476F57">
              <w:rPr>
                <w:rFonts w:ascii="Arial" w:eastAsia="Times New Roman" w:hAnsi="Arial" w:cs="Arial"/>
                <w:b/>
                <w:bCs/>
                <w:noProof/>
                <w:color w:val="000000"/>
                <w:sz w:val="18"/>
                <w:szCs w:val="18"/>
              </w:rPr>
              <w:t>]</w:t>
            </w:r>
            <w:r w:rsidRPr="00476F57">
              <w:rPr>
                <w:rFonts w:ascii="Arial" w:eastAsia="Times New Roman" w:hAnsi="Arial" w:cs="Arial"/>
                <w:b/>
                <w:bCs/>
                <w:color w:val="000000"/>
                <w:sz w:val="18"/>
                <w:szCs w:val="18"/>
              </w:rPr>
              <w:fldChar w:fldCharType="end"/>
            </w:r>
          </w:p>
        </w:tc>
      </w:tr>
      <w:tr w:rsidR="00F83FA0" w:rsidRPr="00476F57" w:rsidTr="006A4ED8">
        <w:trPr>
          <w:trHeight w:val="115"/>
          <w:jc w:val="center"/>
        </w:trPr>
        <w:tc>
          <w:tcPr>
            <w:tcW w:w="1725" w:type="dxa"/>
            <w:tcBorders>
              <w:top w:val="nil"/>
              <w:left w:val="single" w:sz="8" w:space="0" w:color="FFFFFF"/>
              <w:bottom w:val="single" w:sz="8" w:space="0" w:color="FFFFFF"/>
              <w:right w:val="single" w:sz="8" w:space="0" w:color="FFFFFF"/>
            </w:tcBorders>
            <w:shd w:val="clear" w:color="000000" w:fill="F2F2F2"/>
            <w:noWrap/>
            <w:vAlign w:val="bottom"/>
            <w:hideMark/>
          </w:tcPr>
          <w:p w:rsidR="00F83FA0" w:rsidRPr="00476F57" w:rsidRDefault="00F83FA0" w:rsidP="00F83FA0">
            <w:pPr>
              <w:spacing w:after="0" w:line="240" w:lineRule="auto"/>
              <w:rPr>
                <w:rFonts w:ascii="Arial" w:eastAsia="Times New Roman" w:hAnsi="Arial" w:cs="Arial"/>
                <w:b/>
                <w:bCs/>
                <w:color w:val="000000"/>
                <w:sz w:val="18"/>
                <w:szCs w:val="18"/>
              </w:rPr>
            </w:pPr>
            <w:r w:rsidRPr="00476F57">
              <w:rPr>
                <w:rFonts w:ascii="Arial" w:eastAsia="Times New Roman" w:hAnsi="Arial" w:cs="Arial"/>
                <w:b/>
                <w:bCs/>
                <w:color w:val="000000"/>
                <w:sz w:val="18"/>
                <w:szCs w:val="18"/>
              </w:rPr>
              <w:t>IAM</w:t>
            </w:r>
          </w:p>
        </w:tc>
        <w:tc>
          <w:tcPr>
            <w:tcW w:w="2250" w:type="dxa"/>
            <w:tcBorders>
              <w:top w:val="nil"/>
              <w:left w:val="nil"/>
              <w:bottom w:val="single" w:sz="8" w:space="0" w:color="FFFFFF"/>
              <w:right w:val="single" w:sz="8" w:space="0" w:color="FFFFFF"/>
            </w:tcBorders>
            <w:shd w:val="clear" w:color="000000" w:fill="F2F2F2"/>
            <w:noWrap/>
            <w:vAlign w:val="bottom"/>
            <w:hideMark/>
          </w:tcPr>
          <w:p w:rsidR="00F83FA0" w:rsidRPr="00476F57" w:rsidRDefault="00F83FA0" w:rsidP="00F83FA0">
            <w:pPr>
              <w:spacing w:after="0" w:line="240" w:lineRule="auto"/>
              <w:jc w:val="center"/>
              <w:rPr>
                <w:rFonts w:ascii="Arial" w:eastAsia="Times New Roman" w:hAnsi="Arial" w:cs="Arial"/>
                <w:color w:val="000000"/>
                <w:sz w:val="18"/>
                <w:szCs w:val="18"/>
              </w:rPr>
            </w:pPr>
            <w:r w:rsidRPr="00476F57">
              <w:rPr>
                <w:rFonts w:ascii="Arial" w:eastAsia="Times New Roman" w:hAnsi="Arial" w:cs="Arial"/>
                <w:color w:val="000000"/>
                <w:sz w:val="18"/>
                <w:szCs w:val="18"/>
              </w:rPr>
              <w:t>$21,066</w:t>
            </w:r>
          </w:p>
        </w:tc>
        <w:tc>
          <w:tcPr>
            <w:tcW w:w="1260" w:type="dxa"/>
            <w:tcBorders>
              <w:top w:val="nil"/>
              <w:left w:val="nil"/>
              <w:bottom w:val="single" w:sz="8" w:space="0" w:color="FFFFFF"/>
              <w:right w:val="single" w:sz="8" w:space="0" w:color="FFFFFF"/>
            </w:tcBorders>
            <w:shd w:val="clear" w:color="000000" w:fill="F2F2F2"/>
            <w:noWrap/>
            <w:vAlign w:val="bottom"/>
            <w:hideMark/>
          </w:tcPr>
          <w:p w:rsidR="00F83FA0" w:rsidRPr="00476F57" w:rsidRDefault="00F83FA0" w:rsidP="00F83FA0">
            <w:pPr>
              <w:spacing w:after="0" w:line="240" w:lineRule="auto"/>
              <w:jc w:val="center"/>
              <w:rPr>
                <w:rFonts w:ascii="Arial" w:eastAsia="Times New Roman" w:hAnsi="Arial" w:cs="Arial"/>
                <w:b/>
                <w:bCs/>
                <w:color w:val="000000"/>
                <w:sz w:val="18"/>
                <w:szCs w:val="18"/>
              </w:rPr>
            </w:pPr>
            <w:r w:rsidRPr="00476F57">
              <w:rPr>
                <w:rFonts w:ascii="Arial" w:eastAsia="Times New Roman" w:hAnsi="Arial" w:cs="Arial"/>
                <w:b/>
                <w:bCs/>
                <w:color w:val="000000"/>
                <w:sz w:val="18"/>
                <w:szCs w:val="18"/>
              </w:rPr>
              <w:fldChar w:fldCharType="begin"/>
            </w:r>
            <w:r w:rsidRPr="00476F57">
              <w:rPr>
                <w:rFonts w:ascii="Arial" w:eastAsia="Times New Roman" w:hAnsi="Arial" w:cs="Arial"/>
                <w:b/>
                <w:bCs/>
                <w:color w:val="000000"/>
                <w:sz w:val="18"/>
                <w:szCs w:val="18"/>
              </w:rPr>
              <w:instrText xml:space="preserve"> ADDIN EN.CITE &lt;EndNote&gt;&lt;Cite&gt;&lt;Author&gt;Bruni&lt;/Author&gt;&lt;Year&gt;2004&lt;/Year&gt;&lt;RecNum&gt;38&lt;/RecNum&gt;&lt;DisplayText&gt;[3]&lt;/DisplayText&gt;&lt;record&gt;&lt;rec-number&gt;38&lt;/rec-number&gt;&lt;foreign-keys&gt;&lt;key app="EN" db-id="s2fdxx5as0er0oe9vfk5px9xsxzeztas5t5e"&gt;38&lt;/key&gt;&lt;/foreign-keys&gt;&lt;ref-type name="Journal Article"&gt;17&lt;/ref-type&gt;&lt;contributors&gt;&lt;authors&gt;&lt;author&gt;Bruni, José Maria&lt;/author&gt;&lt;/authors&gt;&lt;/contributors&gt;&lt;titles&gt;&lt;title&gt;Costos directos de la atención médica de las enfermedades atribuibles al consumo de tabaco en Argentina&lt;/title&gt;&lt;secondary-title&gt;Ministerio de Salud y Ambiente de la Nación. Proyecto VIGIA. Informe final&lt;/secondary-title&gt;&lt;/titles&gt;&lt;periodical&gt;&lt;full-title&gt;Ministerio de Salud y Ambiente de la Nación. Proyecto VIGIA. Informe final&lt;/full-title&gt;&lt;/periodical&gt;&lt;dates&gt;&lt;year&gt;2004&lt;/year&gt;&lt;/dates&gt;&lt;urls&gt;&lt;/urls&gt;&lt;/record&gt;&lt;/Cite&gt;&lt;/EndNote&gt;</w:instrText>
            </w:r>
            <w:r w:rsidRPr="00476F57">
              <w:rPr>
                <w:rFonts w:ascii="Arial" w:eastAsia="Times New Roman" w:hAnsi="Arial" w:cs="Arial"/>
                <w:b/>
                <w:bCs/>
                <w:color w:val="000000"/>
                <w:sz w:val="18"/>
                <w:szCs w:val="18"/>
              </w:rPr>
              <w:fldChar w:fldCharType="separate"/>
            </w:r>
            <w:r w:rsidRPr="00476F57">
              <w:rPr>
                <w:rFonts w:ascii="Arial" w:eastAsia="Times New Roman" w:hAnsi="Arial" w:cs="Arial"/>
                <w:b/>
                <w:bCs/>
                <w:noProof/>
                <w:color w:val="000000"/>
                <w:sz w:val="18"/>
                <w:szCs w:val="18"/>
              </w:rPr>
              <w:t>[</w:t>
            </w:r>
            <w:hyperlink w:anchor="_ENREF_3" w:tooltip="Bruni, 2004 #38" w:history="1">
              <w:r w:rsidRPr="00476F57">
                <w:rPr>
                  <w:rFonts w:ascii="Arial" w:eastAsia="Times New Roman" w:hAnsi="Arial" w:cs="Arial"/>
                  <w:b/>
                  <w:bCs/>
                  <w:noProof/>
                  <w:color w:val="000000"/>
                  <w:sz w:val="18"/>
                  <w:szCs w:val="18"/>
                </w:rPr>
                <w:t>3</w:t>
              </w:r>
            </w:hyperlink>
            <w:r w:rsidRPr="00476F57">
              <w:rPr>
                <w:rFonts w:ascii="Arial" w:eastAsia="Times New Roman" w:hAnsi="Arial" w:cs="Arial"/>
                <w:b/>
                <w:bCs/>
                <w:noProof/>
                <w:color w:val="000000"/>
                <w:sz w:val="18"/>
                <w:szCs w:val="18"/>
              </w:rPr>
              <w:t>]</w:t>
            </w:r>
            <w:r w:rsidRPr="00476F57">
              <w:rPr>
                <w:rFonts w:ascii="Arial" w:eastAsia="Times New Roman" w:hAnsi="Arial" w:cs="Arial"/>
                <w:b/>
                <w:bCs/>
                <w:color w:val="000000"/>
                <w:sz w:val="18"/>
                <w:szCs w:val="18"/>
              </w:rPr>
              <w:fldChar w:fldCharType="end"/>
            </w:r>
          </w:p>
        </w:tc>
      </w:tr>
      <w:tr w:rsidR="00F83FA0" w:rsidRPr="00476F57" w:rsidTr="00294FC6">
        <w:trPr>
          <w:trHeight w:val="151"/>
          <w:jc w:val="center"/>
        </w:trPr>
        <w:tc>
          <w:tcPr>
            <w:tcW w:w="1725" w:type="dxa"/>
            <w:tcBorders>
              <w:top w:val="nil"/>
              <w:left w:val="single" w:sz="8" w:space="0" w:color="FFFFFF"/>
              <w:bottom w:val="single" w:sz="8" w:space="0" w:color="FFFFFF"/>
              <w:right w:val="single" w:sz="8" w:space="0" w:color="FFFFFF"/>
            </w:tcBorders>
            <w:shd w:val="clear" w:color="000000" w:fill="F2F2F2"/>
            <w:noWrap/>
            <w:vAlign w:val="bottom"/>
            <w:hideMark/>
          </w:tcPr>
          <w:p w:rsidR="00F83FA0" w:rsidRPr="00476F57" w:rsidRDefault="00F83FA0" w:rsidP="00F83FA0">
            <w:pPr>
              <w:spacing w:after="0" w:line="240" w:lineRule="auto"/>
              <w:rPr>
                <w:rFonts w:ascii="Arial" w:eastAsia="Times New Roman" w:hAnsi="Arial" w:cs="Arial"/>
                <w:b/>
                <w:bCs/>
                <w:color w:val="000000"/>
                <w:sz w:val="18"/>
                <w:szCs w:val="18"/>
              </w:rPr>
            </w:pPr>
            <w:r w:rsidRPr="00476F57">
              <w:rPr>
                <w:rFonts w:ascii="Arial" w:eastAsia="Times New Roman" w:hAnsi="Arial" w:cs="Arial"/>
                <w:b/>
                <w:bCs/>
                <w:color w:val="000000"/>
                <w:sz w:val="18"/>
                <w:szCs w:val="18"/>
              </w:rPr>
              <w:t>Evento por DBT</w:t>
            </w:r>
          </w:p>
        </w:tc>
        <w:tc>
          <w:tcPr>
            <w:tcW w:w="2250" w:type="dxa"/>
            <w:tcBorders>
              <w:top w:val="nil"/>
              <w:left w:val="nil"/>
              <w:bottom w:val="single" w:sz="8" w:space="0" w:color="FFFFFF"/>
              <w:right w:val="single" w:sz="8" w:space="0" w:color="FFFFFF"/>
            </w:tcBorders>
            <w:shd w:val="clear" w:color="000000" w:fill="F2F2F2"/>
            <w:noWrap/>
            <w:vAlign w:val="bottom"/>
            <w:hideMark/>
          </w:tcPr>
          <w:p w:rsidR="00F83FA0" w:rsidRPr="00476F57" w:rsidRDefault="00F83FA0" w:rsidP="00F83FA0">
            <w:pPr>
              <w:spacing w:after="0" w:line="240" w:lineRule="auto"/>
              <w:jc w:val="center"/>
              <w:rPr>
                <w:rFonts w:ascii="Arial" w:eastAsia="Times New Roman" w:hAnsi="Arial" w:cs="Arial"/>
                <w:color w:val="000000"/>
                <w:sz w:val="18"/>
                <w:szCs w:val="18"/>
              </w:rPr>
            </w:pPr>
            <w:r w:rsidRPr="00476F57">
              <w:rPr>
                <w:rFonts w:ascii="Arial" w:eastAsia="Times New Roman" w:hAnsi="Arial" w:cs="Arial"/>
                <w:color w:val="000000"/>
                <w:sz w:val="18"/>
                <w:szCs w:val="18"/>
              </w:rPr>
              <w:t>$5,546</w:t>
            </w:r>
          </w:p>
        </w:tc>
        <w:tc>
          <w:tcPr>
            <w:tcW w:w="1260" w:type="dxa"/>
            <w:tcBorders>
              <w:top w:val="nil"/>
              <w:left w:val="nil"/>
              <w:bottom w:val="single" w:sz="8" w:space="0" w:color="FFFFFF"/>
              <w:right w:val="single" w:sz="8" w:space="0" w:color="FFFFFF"/>
            </w:tcBorders>
            <w:shd w:val="clear" w:color="000000" w:fill="F2F2F2"/>
            <w:noWrap/>
            <w:vAlign w:val="bottom"/>
            <w:hideMark/>
          </w:tcPr>
          <w:p w:rsidR="00F83FA0" w:rsidRPr="00476F57" w:rsidRDefault="00F83FA0" w:rsidP="00F83FA0">
            <w:pPr>
              <w:spacing w:after="0" w:line="240" w:lineRule="auto"/>
              <w:jc w:val="center"/>
              <w:rPr>
                <w:rFonts w:ascii="Arial" w:eastAsia="Times New Roman" w:hAnsi="Arial" w:cs="Arial"/>
                <w:b/>
                <w:bCs/>
                <w:color w:val="000000"/>
                <w:sz w:val="18"/>
                <w:szCs w:val="18"/>
              </w:rPr>
            </w:pPr>
            <w:r w:rsidRPr="00476F57">
              <w:rPr>
                <w:rFonts w:ascii="Arial" w:eastAsia="Times New Roman" w:hAnsi="Arial" w:cs="Arial"/>
                <w:b/>
                <w:bCs/>
                <w:color w:val="000000"/>
                <w:sz w:val="18"/>
                <w:szCs w:val="18"/>
              </w:rPr>
              <w:fldChar w:fldCharType="begin"/>
            </w:r>
            <w:r w:rsidRPr="00476F57">
              <w:rPr>
                <w:rFonts w:ascii="Arial" w:eastAsia="Times New Roman" w:hAnsi="Arial" w:cs="Arial"/>
                <w:b/>
                <w:bCs/>
                <w:color w:val="000000"/>
                <w:sz w:val="18"/>
                <w:szCs w:val="18"/>
              </w:rPr>
              <w:instrText xml:space="preserve"> ADDIN EN.CITE &lt;EndNote&gt;&lt;Cite&gt;&lt;Author&gt;Botto&lt;/Author&gt;&lt;Year&gt;2003&lt;/Year&gt;&lt;RecNum&gt;39&lt;/RecNum&gt;&lt;DisplayText&gt;[5]&lt;/DisplayText&gt;&lt;record&gt;&lt;rec-number&gt;39&lt;/rec-number&gt;&lt;foreign-keys&gt;&lt;key app="EN" db-id="s2fdxx5as0er0oe9vfk5px9xsxzeztas5t5e"&gt;39&lt;/key&gt;&lt;/foreign-keys&gt;&lt;ref-type name="Journal Article"&gt;17&lt;/ref-type&gt;&lt;contributors&gt;&lt;authors&gt;&lt;author&gt;Botto, Fernando&lt;/author&gt;&lt;author&gt;HAUSMANN, CRISTIAN VON-SCHULZ&lt;/author&gt;&lt;author&gt;Cúneo, Jorge&lt;/author&gt;&lt;author&gt;Herrera, Víctor&lt;/author&gt;&lt;author&gt;Ferrante, Daniel&lt;/author&gt;&lt;/authors&gt;&lt;/contributors&gt;&lt;titles&gt;&lt;title&gt;Costo-eficacia del uso de ramipril en pacientes de alto riesgo vascular en la Argentina&lt;/title&gt;&lt;secondary-title&gt;Rev Argent Cardiol&lt;/secondary-title&gt;&lt;/titles&gt;&lt;periodical&gt;&lt;full-title&gt;Rev Argent Cardiol&lt;/full-title&gt;&lt;/periodical&gt;&lt;pages&gt;16-22&lt;/pages&gt;&lt;volume&gt;71&lt;/volume&gt;&lt;dates&gt;&lt;year&gt;2003&lt;/year&gt;&lt;/dates&gt;&lt;urls&gt;&lt;/urls&gt;&lt;/record&gt;&lt;/Cite&gt;&lt;/EndNote&gt;</w:instrText>
            </w:r>
            <w:r w:rsidRPr="00476F57">
              <w:rPr>
                <w:rFonts w:ascii="Arial" w:eastAsia="Times New Roman" w:hAnsi="Arial" w:cs="Arial"/>
                <w:b/>
                <w:bCs/>
                <w:color w:val="000000"/>
                <w:sz w:val="18"/>
                <w:szCs w:val="18"/>
              </w:rPr>
              <w:fldChar w:fldCharType="separate"/>
            </w:r>
            <w:r w:rsidRPr="00476F57">
              <w:rPr>
                <w:rFonts w:ascii="Arial" w:eastAsia="Times New Roman" w:hAnsi="Arial" w:cs="Arial"/>
                <w:b/>
                <w:bCs/>
                <w:noProof/>
                <w:color w:val="000000"/>
                <w:sz w:val="18"/>
                <w:szCs w:val="18"/>
              </w:rPr>
              <w:t>[</w:t>
            </w:r>
            <w:hyperlink w:anchor="_ENREF_5" w:tooltip="Botto, 2003 #39" w:history="1">
              <w:r w:rsidRPr="00476F57">
                <w:rPr>
                  <w:rFonts w:ascii="Arial" w:eastAsia="Times New Roman" w:hAnsi="Arial" w:cs="Arial"/>
                  <w:b/>
                  <w:bCs/>
                  <w:noProof/>
                  <w:color w:val="000000"/>
                  <w:sz w:val="18"/>
                  <w:szCs w:val="18"/>
                </w:rPr>
                <w:t>5</w:t>
              </w:r>
            </w:hyperlink>
            <w:r w:rsidRPr="00476F57">
              <w:rPr>
                <w:rFonts w:ascii="Arial" w:eastAsia="Times New Roman" w:hAnsi="Arial" w:cs="Arial"/>
                <w:b/>
                <w:bCs/>
                <w:noProof/>
                <w:color w:val="000000"/>
                <w:sz w:val="18"/>
                <w:szCs w:val="18"/>
              </w:rPr>
              <w:t>]</w:t>
            </w:r>
            <w:r w:rsidRPr="00476F57">
              <w:rPr>
                <w:rFonts w:ascii="Arial" w:eastAsia="Times New Roman" w:hAnsi="Arial" w:cs="Arial"/>
                <w:b/>
                <w:bCs/>
                <w:color w:val="000000"/>
                <w:sz w:val="18"/>
                <w:szCs w:val="18"/>
              </w:rPr>
              <w:fldChar w:fldCharType="end"/>
            </w:r>
          </w:p>
        </w:tc>
      </w:tr>
      <w:tr w:rsidR="00F83FA0" w:rsidRPr="006A4ED8" w:rsidTr="00F83FA0">
        <w:trPr>
          <w:trHeight w:val="300"/>
          <w:jc w:val="center"/>
        </w:trPr>
        <w:tc>
          <w:tcPr>
            <w:tcW w:w="5235" w:type="dxa"/>
            <w:gridSpan w:val="3"/>
            <w:tcBorders>
              <w:top w:val="single" w:sz="8" w:space="0" w:color="FFFFFF"/>
              <w:left w:val="nil"/>
              <w:bottom w:val="nil"/>
              <w:right w:val="nil"/>
            </w:tcBorders>
            <w:shd w:val="clear" w:color="000000" w:fill="FFFFFF"/>
            <w:noWrap/>
            <w:vAlign w:val="bottom"/>
            <w:hideMark/>
          </w:tcPr>
          <w:p w:rsidR="00F83FA0" w:rsidRPr="00476F57" w:rsidRDefault="00F83FA0" w:rsidP="00F83FA0">
            <w:pPr>
              <w:spacing w:after="0" w:line="240" w:lineRule="auto"/>
              <w:rPr>
                <w:rFonts w:ascii="Arial" w:eastAsia="Times New Roman" w:hAnsi="Arial" w:cs="Arial"/>
                <w:color w:val="000000"/>
                <w:sz w:val="18"/>
                <w:szCs w:val="18"/>
                <w:lang w:val="pt-BR"/>
              </w:rPr>
            </w:pPr>
            <w:r w:rsidRPr="00476F57">
              <w:rPr>
                <w:rFonts w:ascii="Arial" w:eastAsia="Times New Roman" w:hAnsi="Arial" w:cs="Arial"/>
                <w:color w:val="000000"/>
                <w:sz w:val="18"/>
                <w:szCs w:val="18"/>
                <w:lang w:val="pt-BR"/>
              </w:rPr>
              <w:t>ACV accidente cerebrovascular, CV cardiovascular, CHD enfermedad coronaria, IAM infarto agudo de miocardio, DBT diabetes</w:t>
            </w:r>
          </w:p>
        </w:tc>
      </w:tr>
    </w:tbl>
    <w:p w:rsidR="00F83FA0" w:rsidRPr="00476F57" w:rsidRDefault="00F83FA0" w:rsidP="006A4ED8">
      <w:pPr>
        <w:spacing w:before="120" w:after="120"/>
        <w:jc w:val="both"/>
        <w:rPr>
          <w:rFonts w:ascii="Arial" w:hAnsi="Arial" w:cs="Arial"/>
          <w:b/>
          <w:i/>
          <w:lang w:val="es-AR"/>
        </w:rPr>
      </w:pPr>
      <w:r w:rsidRPr="00476F57">
        <w:rPr>
          <w:rFonts w:ascii="Arial" w:hAnsi="Arial" w:cs="Arial"/>
          <w:b/>
          <w:i/>
          <w:lang w:val="es-AR"/>
        </w:rPr>
        <w:t>Años de vida perdidos por muerte prematura (AVPMP)</w:t>
      </w:r>
    </w:p>
    <w:p w:rsidR="003B0845" w:rsidRPr="00476F57" w:rsidRDefault="00F83FA0" w:rsidP="00F83FA0">
      <w:pPr>
        <w:pStyle w:val="ListParagraph"/>
        <w:numPr>
          <w:ilvl w:val="0"/>
          <w:numId w:val="18"/>
        </w:numPr>
        <w:jc w:val="both"/>
        <w:rPr>
          <w:rFonts w:ascii="Arial" w:hAnsi="Arial" w:cs="Arial"/>
          <w:lang w:val="es-ES"/>
        </w:rPr>
      </w:pPr>
      <w:r w:rsidRPr="00476F57">
        <w:rPr>
          <w:rFonts w:ascii="Arial" w:hAnsi="Arial" w:cs="Arial"/>
          <w:lang w:val="es-ES"/>
        </w:rPr>
        <w:lastRenderedPageBreak/>
        <w:t xml:space="preserve">Los indicadores necesarios para calcular los AVPMP son casos de muerte por HTA y DBT así como la expectativa de vida para cada edad o grupo etario, género y jurisdicción geográfica. La cantidad de muertes se obtuvo de la Base de Mortalidad Argentina 2013 provista por la Dirección de Estadística e Información para la Salud (DEIS) del Ministerio de Salud de la Nación. En esta base se identifican los códigos ICD-10 correspondientes a los eventos de Angina Inestable (I20, I24, I25), Infarto Agudo de Miocardio (IAM) (I21, I22) y Accidente Cerebrovascular (ACV) (I60-I64, I67, I69) y aquellos por DBT Mellitus (E10-E14), por género, grupo etario y jurisdicción geográfica. Finalmente, se utilizó la expectativa de vida esperada por edad o grupos etarios y género estimada por internacional West Level 26. </w:t>
      </w:r>
    </w:p>
    <w:p w:rsidR="003B0845" w:rsidRPr="00476F57" w:rsidRDefault="003B0845" w:rsidP="003B0845">
      <w:pPr>
        <w:pStyle w:val="ListParagraph"/>
        <w:jc w:val="both"/>
        <w:rPr>
          <w:rFonts w:ascii="Arial" w:hAnsi="Arial" w:cs="Arial"/>
          <w:lang w:val="es-ES"/>
        </w:rPr>
      </w:pPr>
    </w:p>
    <w:p w:rsidR="003B0845" w:rsidRPr="00476F57" w:rsidRDefault="00F83FA0" w:rsidP="00F83FA0">
      <w:pPr>
        <w:pStyle w:val="ListParagraph"/>
        <w:numPr>
          <w:ilvl w:val="0"/>
          <w:numId w:val="18"/>
        </w:numPr>
        <w:jc w:val="both"/>
        <w:rPr>
          <w:rFonts w:ascii="Arial" w:hAnsi="Arial" w:cs="Arial"/>
          <w:lang w:val="es-ES"/>
        </w:rPr>
      </w:pPr>
      <w:r w:rsidRPr="00476F57">
        <w:rPr>
          <w:rFonts w:ascii="Arial" w:hAnsi="Arial" w:cs="Arial"/>
          <w:lang w:val="es-ES"/>
        </w:rPr>
        <w:t>La metodolog</w:t>
      </w:r>
      <w:r w:rsidRPr="00476F57">
        <w:rPr>
          <w:rFonts w:ascii="Arial" w:hAnsi="Arial" w:cs="Arial"/>
          <w:lang w:val="es-AR"/>
        </w:rPr>
        <w:t>ía empleada para la estimación de los AVPMP fue la desarrollada por la Organización Mundial de la Salud (OMS) en el proyecto de carga de enfermedad.</w:t>
      </w:r>
      <w:r w:rsidRPr="00476F57">
        <w:rPr>
          <w:rFonts w:ascii="Arial" w:hAnsi="Arial" w:cs="Arial"/>
          <w:lang w:val="es-AR"/>
        </w:rPr>
        <w:fldChar w:fldCharType="begin"/>
      </w:r>
      <w:r w:rsidRPr="00476F57">
        <w:rPr>
          <w:rFonts w:ascii="Arial" w:hAnsi="Arial" w:cs="Arial"/>
          <w:lang w:val="es-AR"/>
        </w:rPr>
        <w:instrText xml:space="preserve"> ADDIN EN.CITE &lt;EndNote&gt;&lt;Cite&gt;&lt;Author&gt;Organization&lt;/Author&gt;&lt;Year&gt;2001&lt;/Year&gt;&lt;RecNum&gt;40&lt;/RecNum&gt;&lt;DisplayText&gt;[6]&lt;/DisplayText&gt;&lt;record&gt;&lt;rec-number&gt;40&lt;/rec-number&gt;&lt;foreign-keys&gt;&lt;key app="EN" db-id="s2fdxx5as0er0oe9vfk5px9xsxzeztas5t5e"&gt;40&lt;/key&gt;&lt;/foreign-keys&gt;&lt;ref-type name="Journal Article"&gt;17&lt;/ref-type&gt;&lt;contributors&gt;&lt;authors&gt;&lt;author&gt;World Health Organization&lt;/author&gt;&lt;/authors&gt;&lt;/contributors&gt;&lt;titles&gt;&lt;title&gt;National burden of disease studies: a practical guide&lt;/title&gt;&lt;secondary-title&gt;Global Program on Evidence for Health Policy. Geneva: World Health Organization&lt;/secondary-title&gt;&lt;/titles&gt;&lt;periodical&gt;&lt;full-title&gt;Global Program on Evidence for Health Policy. Geneva: World Health Organization&lt;/full-title&gt;&lt;/periodical&gt;&lt;dates&gt;&lt;year&gt;2001&lt;/year&gt;&lt;/dates&gt;&lt;urls&gt;&lt;/urls&gt;&lt;/record&gt;&lt;/Cite&gt;&lt;/EndNote&gt;</w:instrText>
      </w:r>
      <w:r w:rsidRPr="00476F57">
        <w:rPr>
          <w:rFonts w:ascii="Arial" w:hAnsi="Arial" w:cs="Arial"/>
          <w:lang w:val="es-AR"/>
        </w:rPr>
        <w:fldChar w:fldCharType="separate"/>
      </w:r>
      <w:r w:rsidRPr="00476F57">
        <w:rPr>
          <w:rFonts w:ascii="Arial" w:hAnsi="Arial" w:cs="Arial"/>
          <w:noProof/>
          <w:lang w:val="es-AR"/>
        </w:rPr>
        <w:t>[</w:t>
      </w:r>
      <w:hyperlink w:anchor="_ENREF_6" w:tooltip="Organization, 2001 #40" w:history="1">
        <w:r w:rsidRPr="00476F57">
          <w:rPr>
            <w:rFonts w:ascii="Arial" w:hAnsi="Arial" w:cs="Arial"/>
            <w:noProof/>
            <w:lang w:val="es-AR"/>
          </w:rPr>
          <w:t>6</w:t>
        </w:r>
      </w:hyperlink>
      <w:r w:rsidRPr="00476F57">
        <w:rPr>
          <w:rFonts w:ascii="Arial" w:hAnsi="Arial" w:cs="Arial"/>
          <w:noProof/>
          <w:lang w:val="es-AR"/>
        </w:rPr>
        <w:t>]</w:t>
      </w:r>
      <w:r w:rsidRPr="00476F57">
        <w:rPr>
          <w:rFonts w:ascii="Arial" w:hAnsi="Arial" w:cs="Arial"/>
          <w:lang w:val="es-AR"/>
        </w:rPr>
        <w:fldChar w:fldCharType="end"/>
      </w:r>
      <w:r w:rsidR="006A4ED8">
        <w:rPr>
          <w:rFonts w:ascii="Arial" w:hAnsi="Arial" w:cs="Arial"/>
          <w:lang w:val="es-AR"/>
        </w:rPr>
        <w:t xml:space="preserve"> La </w:t>
      </w:r>
      <w:r w:rsidRPr="00476F57">
        <w:rPr>
          <w:rFonts w:ascii="Arial" w:hAnsi="Arial" w:cs="Arial"/>
          <w:lang w:val="es-AR"/>
        </w:rPr>
        <w:t>OMS tiene una serie de herramientas para la estimación de carga de enfermedad (GBD, por sus siglas en inglés), entre ellas un template para la estimación de AVPMP que puede ser customizado para cada país, solamente requiere que se ingresen el número de muertes y pob</w:t>
      </w:r>
      <w:r w:rsidR="006A4ED8">
        <w:rPr>
          <w:rFonts w:ascii="Arial" w:hAnsi="Arial" w:cs="Arial"/>
          <w:lang w:val="es-AR"/>
        </w:rPr>
        <w:t>lación por grupo etario y sexo.</w:t>
      </w:r>
    </w:p>
    <w:p w:rsidR="003B0845" w:rsidRPr="00476F57" w:rsidRDefault="003B0845" w:rsidP="003B0845">
      <w:pPr>
        <w:pStyle w:val="ListParagraph"/>
        <w:jc w:val="both"/>
        <w:rPr>
          <w:rFonts w:ascii="Arial" w:hAnsi="Arial" w:cs="Arial"/>
          <w:lang w:val="es-ES"/>
        </w:rPr>
      </w:pPr>
    </w:p>
    <w:p w:rsidR="00F83FA0" w:rsidRPr="00476F57" w:rsidRDefault="00F83FA0" w:rsidP="00F83FA0">
      <w:pPr>
        <w:pStyle w:val="ListParagraph"/>
        <w:numPr>
          <w:ilvl w:val="0"/>
          <w:numId w:val="18"/>
        </w:numPr>
        <w:jc w:val="both"/>
        <w:rPr>
          <w:rFonts w:ascii="Arial" w:hAnsi="Arial" w:cs="Arial"/>
          <w:lang w:val="es-ES"/>
        </w:rPr>
      </w:pPr>
      <w:r w:rsidRPr="00476F57">
        <w:rPr>
          <w:rFonts w:ascii="Arial" w:hAnsi="Arial" w:cs="Arial"/>
          <w:lang w:val="es-AR"/>
        </w:rPr>
        <w:t>Dado que se desea comparar los AVPMP en las localidades con Redes y sin Redes, se contabilizaron las defunciones para aquellas localidades con Redes y sin Redes por separado, lo mismo se hizo para la población en base al Censo 2010. Se utilizó una tasa de descuento del 3% para descontar los AVPMP dado que esta es la tasa recomendada por la OMS</w:t>
      </w:r>
      <w:r w:rsidRPr="00476F57">
        <w:rPr>
          <w:rFonts w:ascii="Arial" w:hAnsi="Arial" w:cs="Arial"/>
          <w:lang w:val="es-AR"/>
        </w:rPr>
        <w:fldChar w:fldCharType="begin"/>
      </w:r>
      <w:r w:rsidRPr="00476F57">
        <w:rPr>
          <w:rFonts w:ascii="Arial" w:hAnsi="Arial" w:cs="Arial"/>
          <w:lang w:val="es-AR"/>
        </w:rPr>
        <w:instrText xml:space="preserve"> ADDIN EN.CITE &lt;EndNote&gt;&lt;Cite&gt;&lt;Author&gt;Organization&lt;/Author&gt;&lt;Year&gt;2001&lt;/Year&gt;&lt;RecNum&gt;40&lt;/RecNum&gt;&lt;DisplayText&gt;[6]&lt;/DisplayText&gt;&lt;record&gt;&lt;rec-number&gt;40&lt;/rec-number&gt;&lt;foreign-keys&gt;&lt;key app="EN" db-id="s2fdxx5as0er0oe9vfk5px9xsxzeztas5t5e"&gt;40&lt;/key&gt;&lt;/foreign-keys&gt;&lt;ref-type name="Journal Article"&gt;17&lt;/ref-type&gt;&lt;contributors&gt;&lt;authors&gt;&lt;author&gt;World Health Organization&lt;/author&gt;&lt;/authors&gt;&lt;/contributors&gt;&lt;titles&gt;&lt;title&gt;National burden of disease studies: a practical guide&lt;/title&gt;&lt;secondary-title&gt;Global Program on Evidence for Health Policy. Geneva: World Health Organization&lt;/secondary-title&gt;&lt;/titles&gt;&lt;periodical&gt;&lt;full-title&gt;Global Program on Evidence for Health Policy. Geneva: World Health Organization&lt;/full-title&gt;&lt;/periodical&gt;&lt;dates&gt;&lt;year&gt;2001&lt;/year&gt;&lt;/dates&gt;&lt;urls&gt;&lt;/urls&gt;&lt;/record&gt;&lt;/Cite&gt;&lt;/EndNote&gt;</w:instrText>
      </w:r>
      <w:r w:rsidRPr="00476F57">
        <w:rPr>
          <w:rFonts w:ascii="Arial" w:hAnsi="Arial" w:cs="Arial"/>
          <w:lang w:val="es-AR"/>
        </w:rPr>
        <w:fldChar w:fldCharType="separate"/>
      </w:r>
      <w:r w:rsidRPr="00476F57">
        <w:rPr>
          <w:rFonts w:ascii="Arial" w:hAnsi="Arial" w:cs="Arial"/>
          <w:noProof/>
          <w:lang w:val="es-AR"/>
        </w:rPr>
        <w:t>[</w:t>
      </w:r>
      <w:hyperlink w:anchor="_ENREF_6" w:tooltip="Organization, 2001 #40" w:history="1">
        <w:r w:rsidRPr="00476F57">
          <w:rPr>
            <w:rFonts w:ascii="Arial" w:hAnsi="Arial" w:cs="Arial"/>
            <w:noProof/>
            <w:lang w:val="es-AR"/>
          </w:rPr>
          <w:t>6</w:t>
        </w:r>
      </w:hyperlink>
      <w:r w:rsidRPr="00476F57">
        <w:rPr>
          <w:rFonts w:ascii="Arial" w:hAnsi="Arial" w:cs="Arial"/>
          <w:noProof/>
          <w:lang w:val="es-AR"/>
        </w:rPr>
        <w:t>]</w:t>
      </w:r>
      <w:r w:rsidRPr="00476F57">
        <w:rPr>
          <w:rFonts w:ascii="Arial" w:hAnsi="Arial" w:cs="Arial"/>
          <w:lang w:val="es-AR"/>
        </w:rPr>
        <w:fldChar w:fldCharType="end"/>
      </w:r>
      <w:r w:rsidR="006A4ED8">
        <w:rPr>
          <w:rFonts w:ascii="Arial" w:hAnsi="Arial" w:cs="Arial"/>
          <w:lang w:val="es-AR"/>
        </w:rPr>
        <w:t>.</w:t>
      </w:r>
      <w:r w:rsidRPr="00476F57">
        <w:rPr>
          <w:rFonts w:ascii="Arial" w:hAnsi="Arial" w:cs="Arial"/>
          <w:lang w:val="es-AR"/>
        </w:rPr>
        <w:t xml:space="preserve"> </w:t>
      </w:r>
    </w:p>
    <w:p w:rsidR="00F83FA0" w:rsidRPr="00476F57" w:rsidRDefault="00F83FA0" w:rsidP="00F83FA0">
      <w:pPr>
        <w:jc w:val="both"/>
        <w:rPr>
          <w:rFonts w:ascii="Arial" w:hAnsi="Arial" w:cs="Arial"/>
          <w:b/>
          <w:i/>
          <w:lang w:val="es-AR"/>
        </w:rPr>
      </w:pPr>
      <w:r w:rsidRPr="00476F57">
        <w:rPr>
          <w:rFonts w:ascii="Arial" w:hAnsi="Arial" w:cs="Arial"/>
          <w:b/>
          <w:i/>
          <w:lang w:val="es-AR"/>
        </w:rPr>
        <w:t>Costos por pérdida de productividad asociados a Muerte Prematura</w:t>
      </w:r>
    </w:p>
    <w:p w:rsidR="00F83FA0" w:rsidRPr="00476F57" w:rsidRDefault="00F83FA0" w:rsidP="003B0845">
      <w:pPr>
        <w:pStyle w:val="ListParagraph"/>
        <w:numPr>
          <w:ilvl w:val="0"/>
          <w:numId w:val="18"/>
        </w:numPr>
        <w:jc w:val="both"/>
        <w:rPr>
          <w:rFonts w:ascii="Arial" w:hAnsi="Arial" w:cs="Arial"/>
          <w:lang w:val="es-AR"/>
        </w:rPr>
      </w:pPr>
      <w:r w:rsidRPr="00476F57">
        <w:rPr>
          <w:rFonts w:ascii="Arial" w:hAnsi="Arial" w:cs="Arial"/>
          <w:lang w:val="es-AR"/>
        </w:rPr>
        <w:t>L</w:t>
      </w:r>
      <w:r w:rsidRPr="00476F57">
        <w:rPr>
          <w:rFonts w:ascii="Arial" w:hAnsi="Arial" w:cs="Arial"/>
          <w:lang w:val="es-ES"/>
        </w:rPr>
        <w:t>a estimación</w:t>
      </w:r>
      <w:r w:rsidRPr="00476F57">
        <w:rPr>
          <w:rFonts w:ascii="Arial" w:hAnsi="Arial" w:cs="Arial"/>
          <w:lang w:val="es-AR"/>
        </w:rPr>
        <w:t xml:space="preserve"> de los costos por pérdida de productividad por muerte prematura es básicamente asignarle un valor monetario a la vida humana. Existen varios enfoques, a los fines de este </w:t>
      </w:r>
      <w:r w:rsidR="003B24D4" w:rsidRPr="00476F57">
        <w:rPr>
          <w:rFonts w:ascii="Arial" w:hAnsi="Arial" w:cs="Arial"/>
          <w:lang w:val="es-AR"/>
        </w:rPr>
        <w:t>anexo</w:t>
      </w:r>
      <w:r w:rsidRPr="00476F57">
        <w:rPr>
          <w:rFonts w:ascii="Arial" w:hAnsi="Arial" w:cs="Arial"/>
          <w:lang w:val="es-AR"/>
        </w:rPr>
        <w:t xml:space="preserve"> se utilizó el conocido como el enfoque de Capital Humano, que estima el valor de la vida humana mediante un cálculo actuarial del valor de la productividad perdida por el hecho de que una persona muera prematuramente. Por lo tanto, el costo por pérdida de productividad por muerte prematura se aproxima multiplicando la cantidad de muertes por el valor estadístico de una vida para cada grupo etario según sexo. </w:t>
      </w:r>
    </w:p>
    <w:p w:rsidR="00F83FA0" w:rsidRPr="00476F57" w:rsidRDefault="00F83FA0" w:rsidP="003B0845">
      <w:pPr>
        <w:jc w:val="both"/>
        <w:rPr>
          <w:rFonts w:ascii="Arial" w:hAnsi="Arial" w:cs="Arial"/>
          <w:i/>
          <w:lang w:val="es-ES"/>
        </w:rPr>
      </w:pPr>
      <w:r w:rsidRPr="00476F57">
        <w:rPr>
          <w:rFonts w:ascii="Arial" w:hAnsi="Arial" w:cs="Arial"/>
          <w:i/>
          <w:lang w:val="es-ES"/>
        </w:rPr>
        <w:t>La estimación del valor estadístico de la vida (VSL)</w:t>
      </w:r>
    </w:p>
    <w:p w:rsidR="00F83FA0" w:rsidRPr="00476F57" w:rsidRDefault="00F83FA0" w:rsidP="00DB1E26">
      <w:pPr>
        <w:pStyle w:val="ListParagraph"/>
        <w:numPr>
          <w:ilvl w:val="0"/>
          <w:numId w:val="18"/>
        </w:numPr>
        <w:jc w:val="both"/>
        <w:rPr>
          <w:rFonts w:ascii="Arial" w:hAnsi="Arial" w:cs="Arial"/>
          <w:lang w:val="es-AR"/>
        </w:rPr>
      </w:pPr>
      <w:r w:rsidRPr="00476F57">
        <w:rPr>
          <w:rFonts w:ascii="Arial" w:hAnsi="Arial" w:cs="Arial"/>
          <w:lang w:val="es-AR"/>
        </w:rPr>
        <w:t>Estimar el Valor de una Vida Estadística (VVE o VSL por sus siglas en inglés) por edad utilizando el método del Capital Humano implica valorar la pérdida de productividad ocasionada por la enfermedad, mediante el ingreso bruto que se dejaría de percibir.</w:t>
      </w:r>
      <w:r w:rsidRPr="00476F57">
        <w:rPr>
          <w:rFonts w:ascii="Arial" w:hAnsi="Arial" w:cs="Arial"/>
          <w:lang w:val="es-AR"/>
        </w:rPr>
        <w:fldChar w:fldCharType="begin"/>
      </w:r>
      <w:r w:rsidRPr="00476F57">
        <w:rPr>
          <w:rFonts w:ascii="Arial" w:hAnsi="Arial" w:cs="Arial"/>
          <w:lang w:val="es-AR"/>
        </w:rPr>
        <w:instrText xml:space="preserve"> ADDIN EN.CITE &lt;EndNote&gt;&lt;Cite&gt;&lt;Author&gt;Drummond MF&lt;/Author&gt;&lt;Year&gt;2001&lt;/Year&gt;&lt;RecNum&gt;17&lt;/RecNum&gt;&lt;DisplayText&gt;[7, 8]&lt;/DisplayText&gt;&lt;record&gt;&lt;rec-number&gt;17&lt;/rec-number&gt;&lt;foreign-keys&gt;&lt;key app="EN" db-id="s2fdxx5as0er0oe9vfk5px9xsxzeztas5t5e"&gt;17&lt;/key&gt;&lt;/foreign-keys&gt;&lt;ref-type name="Journal Article"&gt;17&lt;/ref-type&gt;&lt;contributors&gt;&lt;authors&gt;&lt;author&gt;Drummond MF, &lt;/author&gt;&lt;author&gt;McGuire A.&lt;/author&gt;&lt;/authors&gt;&lt;/contributors&gt;&lt;titles&gt;&lt;title&gt;Economic Evaluation in Health Care. Merging theory with practice&lt;/title&gt;&lt;/titles&gt;&lt;pages&gt;Primera Edición. Oxford University Press&lt;/pages&gt;&lt;dates&gt;&lt;year&gt;2001&lt;/year&gt;&lt;/dates&gt;&lt;urls&gt;&lt;/urls&gt;&lt;/record&gt;&lt;/Cite&gt;&lt;Cite&gt;&lt;Author&gt;Drummond MF&lt;/Author&gt;&lt;Year&gt;2001&lt;/Year&gt;&lt;RecNum&gt;18&lt;/RecNum&gt;&lt;record&gt;&lt;rec-number&gt;18&lt;/rec-number&gt;&lt;foreign-keys&gt;&lt;key app="EN" db-id="s2fdxx5as0er0oe9vfk5px9xsxzeztas5t5e"&gt;18&lt;/key&gt;&lt;/foreign-keys&gt;&lt;ref-type name="Journal Article"&gt;17&lt;/ref-type&gt;&lt;contributors&gt;&lt;authors&gt;&lt;author&gt;Drummond MF, &lt;/author&gt;&lt;author&gt;O’Brien B, &lt;/author&gt;&lt;author&gt;Stoddart GL, &lt;/author&gt;&lt;author&gt;Torrance GW. &lt;/author&gt;&lt;/authors&gt;&lt;/contributors&gt;&lt;titles&gt;&lt;title&gt;Methods for the Economic Evaluation of Health Care Programmes&lt;/title&gt;&lt;/titles&gt;&lt;pages&gt;Segunda Edición. Oxford University Press&lt;/pages&gt;&lt;dates&gt;&lt;year&gt;2001&lt;/year&gt;&lt;/dates&gt;&lt;urls&gt;&lt;/urls&gt;&lt;/record&gt;&lt;/Cite&gt;&lt;/EndNote&gt;</w:instrText>
      </w:r>
      <w:r w:rsidRPr="00476F57">
        <w:rPr>
          <w:rFonts w:ascii="Arial" w:hAnsi="Arial" w:cs="Arial"/>
          <w:lang w:val="es-AR"/>
        </w:rPr>
        <w:fldChar w:fldCharType="separate"/>
      </w:r>
      <w:r w:rsidRPr="00476F57">
        <w:rPr>
          <w:rFonts w:ascii="Arial" w:hAnsi="Arial" w:cs="Arial"/>
          <w:lang w:val="es-AR"/>
        </w:rPr>
        <w:t>[</w:t>
      </w:r>
      <w:hyperlink w:anchor="_ENREF_7" w:tooltip="Drummond MF, 2001 #17" w:history="1">
        <w:r w:rsidRPr="00476F57">
          <w:rPr>
            <w:rFonts w:ascii="Arial" w:hAnsi="Arial" w:cs="Arial"/>
            <w:lang w:val="es-AR"/>
          </w:rPr>
          <w:t>7</w:t>
        </w:r>
      </w:hyperlink>
      <w:r w:rsidR="006A4ED8">
        <w:rPr>
          <w:rFonts w:ascii="Arial" w:hAnsi="Arial" w:cs="Arial"/>
          <w:lang w:val="es-AR"/>
        </w:rPr>
        <w:t>, </w:t>
      </w:r>
      <w:hyperlink w:anchor="_ENREF_8" w:tooltip="Drummond MF, 2001 #18" w:history="1">
        <w:r w:rsidRPr="00476F57">
          <w:rPr>
            <w:rFonts w:ascii="Arial" w:hAnsi="Arial" w:cs="Arial"/>
            <w:lang w:val="es-AR"/>
          </w:rPr>
          <w:t>8</w:t>
        </w:r>
      </w:hyperlink>
      <w:r w:rsidRPr="00476F57">
        <w:rPr>
          <w:rFonts w:ascii="Arial" w:hAnsi="Arial" w:cs="Arial"/>
          <w:lang w:val="es-AR"/>
        </w:rPr>
        <w:t>]</w:t>
      </w:r>
      <w:r w:rsidRPr="00476F57">
        <w:rPr>
          <w:rFonts w:ascii="Arial" w:hAnsi="Arial" w:cs="Arial"/>
          <w:lang w:val="es-AR"/>
        </w:rPr>
        <w:fldChar w:fldCharType="end"/>
      </w:r>
      <w:r w:rsidRPr="00476F57">
        <w:rPr>
          <w:rFonts w:ascii="Arial" w:hAnsi="Arial" w:cs="Arial"/>
          <w:lang w:val="es-AR"/>
        </w:rPr>
        <w:t xml:space="preserve"> Aquí sólo se consideró la valuación de los cambios en productividad relacionados a la ocupación principal. En consecuencia no se incluyó la valuación de cambios en productividad desde trabajo no pago (costo de oportunidad, lo cual implica usar un salario o ingreso de mercado por la misma actividad, en lo posible desarrollada por una </w:t>
      </w:r>
      <w:r w:rsidRPr="00476F57">
        <w:rPr>
          <w:rFonts w:ascii="Arial" w:hAnsi="Arial" w:cs="Arial"/>
          <w:lang w:val="es-AR"/>
        </w:rPr>
        <w:lastRenderedPageBreak/>
        <w:t>persona semejante); ni la valuación de los cambios en productividad desde actividades de</w:t>
      </w:r>
      <w:r w:rsidR="003B24D4" w:rsidRPr="00476F57">
        <w:rPr>
          <w:rFonts w:ascii="Arial" w:hAnsi="Arial" w:cs="Arial"/>
          <w:lang w:val="es-AR"/>
        </w:rPr>
        <w:t xml:space="preserve"> ocio perdidas</w:t>
      </w:r>
      <w:r w:rsidRPr="00476F57">
        <w:rPr>
          <w:rFonts w:ascii="Arial" w:hAnsi="Arial" w:cs="Arial"/>
          <w:lang w:val="es-AR"/>
        </w:rPr>
        <w:t>. La ecuación empleada para el cálculo del VVE es la siguiente:</w:t>
      </w:r>
      <w:r w:rsidRPr="00476F57">
        <w:rPr>
          <w:rFonts w:ascii="Arial" w:hAnsi="Arial" w:cs="Arial"/>
          <w:lang w:val="es-AR"/>
        </w:rPr>
        <w:fldChar w:fldCharType="begin"/>
      </w:r>
      <w:r w:rsidRPr="00476F57">
        <w:rPr>
          <w:rFonts w:ascii="Arial" w:hAnsi="Arial" w:cs="Arial"/>
          <w:lang w:val="es-AR"/>
        </w:rPr>
        <w:instrText xml:space="preserve"> ADDIN EN.CITE &lt;EndNote&gt;&lt;Cite&gt;&lt;Author&gt;Conte Grand M&lt;/Author&gt;&lt;RecNum&gt;19&lt;/RecNum&gt;&lt;DisplayText&gt;[9]&lt;/DisplayText&gt;&lt;record&gt;&lt;rec-number&gt;19&lt;/rec-number&gt;&lt;foreign-keys&gt;&lt;key app="EN" db-id="s2fdxx5as0er0oe9vfk5px9xsxzeztas5t5e"&gt;19&lt;/key&gt;&lt;/foreign-keys&gt;&lt;ref-type name="Journal Article"&gt;17&lt;/ref-type&gt;&lt;contributors&gt;&lt;authors&gt;&lt;author&gt;Conte Grand M, &lt;/author&gt;&lt;author&gt;Perel P, &lt;/author&gt;&lt;author&gt;Pitarque R, &lt;/author&gt;&lt;author&gt;Sánchez G. &lt;/author&gt;&lt;/authors&gt;&lt;/contributors&gt;&lt;titles&gt;&lt;title&gt;Estimación del Costo Económico en Argentina de la Mortalidad atribuible al tabaco en adultos&lt;/title&gt;&lt;/titles&gt;&lt;pages&gt;Disponible en: http://ideas.repec.org/p/cem/doctra/253.html&lt;/pages&gt;&lt;dates&gt;&lt;/dates&gt;&lt;urls&gt;&lt;/urls&gt;&lt;/record&gt;&lt;/Cite&gt;&lt;/EndNote&gt;</w:instrText>
      </w:r>
      <w:r w:rsidRPr="00476F57">
        <w:rPr>
          <w:rFonts w:ascii="Arial" w:hAnsi="Arial" w:cs="Arial"/>
          <w:lang w:val="es-AR"/>
        </w:rPr>
        <w:fldChar w:fldCharType="separate"/>
      </w:r>
      <w:r w:rsidRPr="00476F57">
        <w:rPr>
          <w:rFonts w:ascii="Arial" w:hAnsi="Arial" w:cs="Arial"/>
          <w:lang w:val="es-AR"/>
        </w:rPr>
        <w:t>[</w:t>
      </w:r>
      <w:hyperlink w:anchor="_ENREF_9" w:tooltip="Conte Grand M,  #19" w:history="1">
        <w:r w:rsidRPr="00476F57">
          <w:rPr>
            <w:rFonts w:ascii="Arial" w:hAnsi="Arial" w:cs="Arial"/>
            <w:lang w:val="es-AR"/>
          </w:rPr>
          <w:t>9</w:t>
        </w:r>
      </w:hyperlink>
      <w:r w:rsidRPr="00476F57">
        <w:rPr>
          <w:rFonts w:ascii="Arial" w:hAnsi="Arial" w:cs="Arial"/>
          <w:lang w:val="es-AR"/>
        </w:rPr>
        <w:t>]</w:t>
      </w:r>
      <w:r w:rsidRPr="00476F57">
        <w:rPr>
          <w:rFonts w:ascii="Arial" w:hAnsi="Arial" w:cs="Arial"/>
          <w:lang w:val="es-AR"/>
        </w:rPr>
        <w:fldChar w:fldCharType="end"/>
      </w:r>
    </w:p>
    <w:p w:rsidR="00F83FA0" w:rsidRDefault="00180837" w:rsidP="00DB1E26">
      <w:pPr>
        <w:jc w:val="center"/>
        <w:rPr>
          <w:rFonts w:ascii="Arial" w:hAnsi="Arial" w:cs="Arial"/>
          <w:lang w:val="es-AR"/>
        </w:rPr>
      </w:pPr>
      <w:r>
        <w:rPr>
          <w:rFonts w:ascii="Arial" w:hAnsi="Arial" w:cs="Arial"/>
          <w:lang w:val="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4.3pt;margin-top:-7.85pt;width:278.35pt;height:42.4pt;z-index:251659264" fillcolor="#bbe0e3">
            <v:imagedata r:id="rId9" o:title=""/>
          </v:shape>
          <o:OLEObject Type="Embed" ProgID="Equation.3" ShapeID="_x0000_s1026" DrawAspect="Content" ObjectID="_1531745317" r:id="rId10"/>
        </w:pict>
      </w:r>
    </w:p>
    <w:p w:rsidR="00913651" w:rsidRDefault="00913651" w:rsidP="00DB1E26">
      <w:pPr>
        <w:jc w:val="center"/>
        <w:rPr>
          <w:rFonts w:ascii="Arial" w:hAnsi="Arial" w:cs="Arial"/>
          <w:lang w:val="es-AR"/>
        </w:rPr>
      </w:pPr>
    </w:p>
    <w:p w:rsidR="00913651" w:rsidRPr="00476F57" w:rsidRDefault="00913651" w:rsidP="00DB1E26">
      <w:pPr>
        <w:jc w:val="center"/>
        <w:rPr>
          <w:rFonts w:ascii="Arial" w:hAnsi="Arial" w:cs="Arial"/>
          <w:lang w:val="es-AR"/>
        </w:rPr>
      </w:pPr>
      <w:r w:rsidRPr="00476F57">
        <w:rPr>
          <w:rFonts w:ascii="Arial" w:hAnsi="Arial" w:cs="Arial"/>
          <w:noProof/>
        </w:rPr>
        <w:drawing>
          <wp:inline distT="0" distB="0" distL="0" distR="0" wp14:anchorId="5CB41942" wp14:editId="0439EF24">
            <wp:extent cx="3542665" cy="5524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2665" cy="552450"/>
                    </a:xfrm>
                    <a:prstGeom prst="rect">
                      <a:avLst/>
                    </a:prstGeom>
                    <a:noFill/>
                  </pic:spPr>
                </pic:pic>
              </a:graphicData>
            </a:graphic>
          </wp:inline>
        </w:drawing>
      </w:r>
    </w:p>
    <w:p w:rsidR="00F83FA0" w:rsidRPr="00476F57" w:rsidRDefault="00F83FA0" w:rsidP="00DB1E26">
      <w:pPr>
        <w:pStyle w:val="ListParagraph"/>
        <w:numPr>
          <w:ilvl w:val="0"/>
          <w:numId w:val="18"/>
        </w:numPr>
        <w:jc w:val="both"/>
        <w:rPr>
          <w:rFonts w:ascii="Arial" w:hAnsi="Arial" w:cs="Arial"/>
          <w:lang w:val="es-AR"/>
        </w:rPr>
      </w:pPr>
      <w:r w:rsidRPr="00476F57">
        <w:rPr>
          <w:rFonts w:ascii="Arial" w:hAnsi="Arial" w:cs="Arial"/>
          <w:lang w:val="es-AR"/>
        </w:rPr>
        <w:t>Donde el primer término refleja la probabilidad de que la persona i este viva en el periodo j multiplicada por el ingreso medio laboral de la persona de edad j, estimado a partir de la ecuación de Mincer.</w:t>
      </w:r>
      <w:r w:rsidRPr="00476F57">
        <w:rPr>
          <w:rFonts w:ascii="Arial" w:hAnsi="Arial" w:cs="Arial"/>
          <w:lang w:val="es-AR"/>
        </w:rPr>
        <w:fldChar w:fldCharType="begin"/>
      </w:r>
      <w:r w:rsidRPr="00476F57">
        <w:rPr>
          <w:rFonts w:ascii="Arial" w:hAnsi="Arial" w:cs="Arial"/>
          <w:lang w:val="es-AR"/>
        </w:rPr>
        <w:instrText xml:space="preserve"> ADDIN EN.CITE &lt;EndNote&gt;&lt;Cite&gt;&lt;Author&gt;Lemieux&lt;/Author&gt;&lt;Year&gt;2006&lt;/Year&gt;&lt;RecNum&gt;21&lt;/RecNum&gt;&lt;DisplayText&gt;[10, 11]&lt;/DisplayText&gt;&lt;record&gt;&lt;rec-number&gt;21&lt;/rec-number&gt;&lt;foreign-keys&gt;&lt;key app="EN" db-id="s2fdxx5as0er0oe9vfk5px9xsxzeztas5t5e"&gt;21&lt;/key&gt;&lt;/foreign-keys&gt;&lt;ref-type name="Book"&gt;6&lt;/ref-type&gt;&lt;contributors&gt;&lt;authors&gt;&lt;author&gt;Lemieux, Thomas&lt;/author&gt;&lt;/authors&gt;&lt;/contributors&gt;&lt;titles&gt;&lt;title&gt;The “Mincer equation” thirty years after schooling, experience, and earnings&lt;/title&gt;&lt;/titles&gt;&lt;dates&gt;&lt;year&gt;2006&lt;/year&gt;&lt;/dates&gt;&lt;publisher&gt;Springer&lt;/publisher&gt;&lt;isbn&gt;0387291741&lt;/isbn&gt;&lt;urls&gt;&lt;/urls&gt;&lt;/record&gt;&lt;/Cite&gt;&lt;Cite&gt;&lt;Author&gt;Harberger&lt;/Author&gt;&lt;Year&gt;2012&lt;/Year&gt;&lt;RecNum&gt;22&lt;/RecNum&gt;&lt;record&gt;&lt;rec-number&gt;22&lt;/rec-number&gt;&lt;foreign-keys&gt;&lt;key app="EN" db-id="s2fdxx5as0er0oe9vfk5px9xsxzeztas5t5e"&gt;22&lt;/key&gt;&lt;/foreign-keys&gt;&lt;ref-type name="Journal Article"&gt;17&lt;/ref-type&gt;&lt;contributors&gt;&lt;authors&gt;&lt;author&gt;Harberger, Arnold C&lt;/author&gt;&lt;author&gt;Guillermo-Peón, Sylvia&lt;/author&gt;&lt;/authors&gt;&lt;/contributors&gt;&lt;titles&gt;&lt;title&gt;Estimating private returns to education in Mexico&lt;/title&gt;&lt;secondary-title&gt;Latin american journal of economics&lt;/secondary-title&gt;&lt;/titles&gt;&lt;periodical&gt;&lt;full-title&gt;Latin american journal of economics&lt;/full-title&gt;&lt;/periodical&gt;&lt;pages&gt;1-35&lt;/pages&gt;&lt;volume&gt;49&lt;/volume&gt;&lt;number&gt;1&lt;/number&gt;&lt;dates&gt;&lt;year&gt;2012&lt;/year&gt;&lt;/dates&gt;&lt;isbn&gt;0719-0433&lt;/isbn&gt;&lt;urls&gt;&lt;/urls&gt;&lt;/record&gt;&lt;/Cite&gt;&lt;/EndNote&gt;</w:instrText>
      </w:r>
      <w:r w:rsidRPr="00476F57">
        <w:rPr>
          <w:rFonts w:ascii="Arial" w:hAnsi="Arial" w:cs="Arial"/>
          <w:lang w:val="es-AR"/>
        </w:rPr>
        <w:fldChar w:fldCharType="separate"/>
      </w:r>
      <w:r w:rsidRPr="00476F57">
        <w:rPr>
          <w:rFonts w:ascii="Arial" w:hAnsi="Arial" w:cs="Arial"/>
          <w:lang w:val="es-AR"/>
        </w:rPr>
        <w:t>[</w:t>
      </w:r>
      <w:hyperlink w:anchor="_ENREF_10" w:tooltip="Lemieux, 2006 #21" w:history="1">
        <w:r w:rsidRPr="00476F57">
          <w:rPr>
            <w:rFonts w:ascii="Arial" w:hAnsi="Arial" w:cs="Arial"/>
            <w:lang w:val="es-AR"/>
          </w:rPr>
          <w:t>10</w:t>
        </w:r>
      </w:hyperlink>
      <w:r w:rsidRPr="00476F57">
        <w:rPr>
          <w:rFonts w:ascii="Arial" w:hAnsi="Arial" w:cs="Arial"/>
          <w:lang w:val="es-AR"/>
        </w:rPr>
        <w:t xml:space="preserve">, </w:t>
      </w:r>
      <w:hyperlink w:anchor="_ENREF_11" w:tooltip="Harberger, 2012 #22" w:history="1">
        <w:r w:rsidRPr="00476F57">
          <w:rPr>
            <w:rFonts w:ascii="Arial" w:hAnsi="Arial" w:cs="Arial"/>
            <w:lang w:val="es-AR"/>
          </w:rPr>
          <w:t>11</w:t>
        </w:r>
      </w:hyperlink>
      <w:r w:rsidRPr="00476F57">
        <w:rPr>
          <w:rFonts w:ascii="Arial" w:hAnsi="Arial" w:cs="Arial"/>
          <w:lang w:val="es-AR"/>
        </w:rPr>
        <w:t>]</w:t>
      </w:r>
      <w:r w:rsidRPr="00476F57">
        <w:rPr>
          <w:rFonts w:ascii="Arial" w:hAnsi="Arial" w:cs="Arial"/>
          <w:lang w:val="es-AR"/>
        </w:rPr>
        <w:fldChar w:fldCharType="end"/>
      </w:r>
      <w:r w:rsidRPr="00476F57">
        <w:rPr>
          <w:rFonts w:ascii="Arial" w:hAnsi="Arial" w:cs="Arial"/>
          <w:lang w:val="es-AR"/>
        </w:rPr>
        <w:t xml:space="preserve"> Los ingresos considerados se extrajeron de la Encuesta Permanente de Hogares (EPH) [4T.2013]. El tercer término refleja un factor de descuento ajustado por un supuesto crecimiento del ingreso a lo largo de los años. Esta estimación permite obtener un valor monetario que refleja el flujo potencial de ingresos a lo largo de una vida y que de acuerdo al Enfoque del Capital Humano aproxima un valor mínimo al VVE. Para descontar el flujo de valores futuros seguimos el criterio de Conte Grand et al (2003) y utilizamos una tasa de descuento equivalente al 11% anual. Por otra parte, la probabilidad de vivir por edad se obtuvo de la dirección de estadísticas poblacionales del INDEC.</w:t>
      </w:r>
      <w:r w:rsidRPr="00476F57">
        <w:rPr>
          <w:rFonts w:ascii="Arial" w:hAnsi="Arial" w:cs="Arial"/>
          <w:lang w:val="es-AR"/>
        </w:rPr>
        <w:fldChar w:fldCharType="begin"/>
      </w:r>
      <w:r w:rsidRPr="00476F57">
        <w:rPr>
          <w:rFonts w:ascii="Arial" w:hAnsi="Arial" w:cs="Arial"/>
          <w:lang w:val="es-AR"/>
        </w:rPr>
        <w:instrText xml:space="preserve"> ADDIN EN.CITE &lt;EndNote&gt;&lt;Cite&gt;&lt;Author&gt;Conte Grand M&lt;/Author&gt;&lt;RecNum&gt;19&lt;/RecNum&gt;&lt;DisplayText&gt;[9, 12]&lt;/DisplayText&gt;&lt;record&gt;&lt;rec-number&gt;19&lt;/rec-number&gt;&lt;foreign-keys&gt;&lt;key app="EN" db-id="s2fdxx5as0er0oe9vfk5px9xsxzeztas5t5e"&gt;19&lt;/key&gt;&lt;/foreign-keys&gt;&lt;ref-type name="Journal Article"&gt;17&lt;/ref-type&gt;&lt;contributors&gt;&lt;authors&gt;&lt;author&gt;Conte Grand M, &lt;/author&gt;&lt;author&gt;Perel P, &lt;/author&gt;&lt;author&gt;Pitarque R, &lt;/author&gt;&lt;author&gt;Sánchez G. &lt;/author&gt;&lt;/authors&gt;&lt;/contributors&gt;&lt;titles&gt;&lt;title&gt;Estimación del Costo Económico en Argentina de la Mortalidad atribuible al tabaco en adultos&lt;/title&gt;&lt;/titles&gt;&lt;pages&gt;Disponible en: http://ideas.repec.org/p/cem/doctra/253.html&lt;/pages&gt;&lt;dates&gt;&lt;/dates&gt;&lt;urls&gt;&lt;/urls&gt;&lt;/record&gt;&lt;/Cite&gt;&lt;Cite&gt;&lt;Author&gt;Dirección de Estadísticas Poblacionales - Programa Análisis Demográfico&lt;/Author&gt;&lt;Year&gt;2005&lt;/Year&gt;&lt;RecNum&gt;20&lt;/RecNum&gt;&lt;record&gt;&lt;rec-number&gt;20&lt;/rec-number&gt;&lt;foreign-keys&gt;&lt;key app="EN" db-id="s2fdxx5as0er0oe9vfk5px9xsxzeztas5t5e"&gt;20&lt;/key&gt;&lt;/foreign-keys&gt;&lt;ref-type name="Government Document"&gt;46&lt;/ref-type&gt;&lt;contributors&gt;&lt;authors&gt;&lt;author&gt;Dirección de Estadísticas Poblacionales - Programa Análisis Demográfico, &lt;/author&gt;&lt;/authors&gt;&lt;/contributors&gt;&lt;titles&gt;&lt;title&gt;Tablas abreviadas de mortalidad 2000-2001. Total País y Provincias&lt;/title&gt;&lt;/titles&gt;&lt;dates&gt;&lt;year&gt;2005&lt;/year&gt;&lt;/dates&gt;&lt;pub-location&gt;Buenos Aires&lt;/pub-location&gt;&lt;urls&gt;&lt;/urls&gt;&lt;/record&gt;&lt;/Cite&gt;&lt;/EndNote&gt;</w:instrText>
      </w:r>
      <w:r w:rsidRPr="00476F57">
        <w:rPr>
          <w:rFonts w:ascii="Arial" w:hAnsi="Arial" w:cs="Arial"/>
          <w:lang w:val="es-AR"/>
        </w:rPr>
        <w:fldChar w:fldCharType="separate"/>
      </w:r>
      <w:r w:rsidRPr="00476F57">
        <w:rPr>
          <w:rFonts w:ascii="Arial" w:hAnsi="Arial" w:cs="Arial"/>
          <w:lang w:val="es-AR"/>
        </w:rPr>
        <w:t>[</w:t>
      </w:r>
      <w:hyperlink w:anchor="_ENREF_9" w:tooltip="Conte Grand M,  #19" w:history="1">
        <w:r w:rsidRPr="00476F57">
          <w:rPr>
            <w:rFonts w:ascii="Arial" w:hAnsi="Arial" w:cs="Arial"/>
            <w:lang w:val="es-AR"/>
          </w:rPr>
          <w:t>9</w:t>
        </w:r>
      </w:hyperlink>
      <w:r w:rsidRPr="00476F57">
        <w:rPr>
          <w:rFonts w:ascii="Arial" w:hAnsi="Arial" w:cs="Arial"/>
          <w:lang w:val="es-AR"/>
        </w:rPr>
        <w:t xml:space="preserve">, </w:t>
      </w:r>
      <w:hyperlink w:anchor="_ENREF_12" w:tooltip="Dirección de Estadísticas Poblacionales - Programa Análisis Demográfico, 2005 #20" w:history="1">
        <w:r w:rsidRPr="00476F57">
          <w:rPr>
            <w:rFonts w:ascii="Arial" w:hAnsi="Arial" w:cs="Arial"/>
            <w:lang w:val="es-AR"/>
          </w:rPr>
          <w:t>12</w:t>
        </w:r>
      </w:hyperlink>
      <w:r w:rsidRPr="00476F57">
        <w:rPr>
          <w:rFonts w:ascii="Arial" w:hAnsi="Arial" w:cs="Arial"/>
          <w:lang w:val="es-AR"/>
        </w:rPr>
        <w:t>]</w:t>
      </w:r>
      <w:r w:rsidRPr="00476F57">
        <w:rPr>
          <w:rFonts w:ascii="Arial" w:hAnsi="Arial" w:cs="Arial"/>
          <w:lang w:val="es-AR"/>
        </w:rPr>
        <w:fldChar w:fldCharType="end"/>
      </w:r>
    </w:p>
    <w:p w:rsidR="00DB1E26" w:rsidRPr="00476F57" w:rsidRDefault="00DB1E26" w:rsidP="00DB1E26">
      <w:pPr>
        <w:pStyle w:val="ListParagraph"/>
        <w:jc w:val="both"/>
        <w:rPr>
          <w:rFonts w:ascii="Arial" w:hAnsi="Arial" w:cs="Arial"/>
          <w:lang w:val="es-AR"/>
        </w:rPr>
      </w:pPr>
    </w:p>
    <w:p w:rsidR="00F83FA0" w:rsidRPr="00476F57" w:rsidRDefault="00F83FA0" w:rsidP="00DB1E26">
      <w:pPr>
        <w:pStyle w:val="ListParagraph"/>
        <w:numPr>
          <w:ilvl w:val="0"/>
          <w:numId w:val="18"/>
        </w:numPr>
        <w:jc w:val="both"/>
        <w:rPr>
          <w:rFonts w:ascii="Arial" w:hAnsi="Arial" w:cs="Arial"/>
          <w:lang w:val="es-AR"/>
        </w:rPr>
      </w:pPr>
      <w:r w:rsidRPr="00476F57">
        <w:rPr>
          <w:rFonts w:ascii="Arial" w:hAnsi="Arial" w:cs="Arial"/>
          <w:lang w:val="es-AR"/>
        </w:rPr>
        <w:t>Por su parte, la tasa de crecimiento de los ingresos (g) se asumió igual a la variación del PBI y ésta se calculó como el promedio de crecimiento interanual desde 1900 en adelante. Este promedio de variaciones entre las diversas fuentes se justifica porque ninguna estimación por sí sola era lo suficientemente amplia para cubrir todo el horizonte temporal y a su vez brinda mayor robustez a la estimación.</w:t>
      </w:r>
    </w:p>
    <w:p w:rsidR="00F83FA0" w:rsidRPr="00476F57" w:rsidRDefault="00F83FA0" w:rsidP="003B0845">
      <w:pPr>
        <w:jc w:val="both"/>
        <w:rPr>
          <w:rFonts w:ascii="Arial" w:hAnsi="Arial" w:cs="Arial"/>
          <w:b/>
          <w:i/>
          <w:lang w:val="es-AR"/>
        </w:rPr>
      </w:pPr>
      <w:r w:rsidRPr="00476F57">
        <w:rPr>
          <w:rFonts w:ascii="Arial" w:hAnsi="Arial" w:cs="Arial"/>
          <w:b/>
          <w:i/>
          <w:lang w:val="es-AR"/>
        </w:rPr>
        <w:t>Costo-Beneficio y Retorno de la inversión (ROI)</w:t>
      </w:r>
    </w:p>
    <w:p w:rsidR="00F83FA0" w:rsidRPr="00476F57" w:rsidRDefault="00F83FA0" w:rsidP="00DB1E26">
      <w:pPr>
        <w:pStyle w:val="ListParagraph"/>
        <w:numPr>
          <w:ilvl w:val="0"/>
          <w:numId w:val="18"/>
        </w:numPr>
        <w:jc w:val="both"/>
        <w:rPr>
          <w:rFonts w:ascii="Arial" w:hAnsi="Arial" w:cs="Arial"/>
          <w:lang w:val="es-AR"/>
        </w:rPr>
      </w:pPr>
      <w:r w:rsidRPr="00476F57">
        <w:rPr>
          <w:rFonts w:ascii="Arial" w:hAnsi="Arial" w:cs="Arial"/>
          <w:lang w:val="es-AR"/>
        </w:rPr>
        <w:t>Una vez obtenidas las estimaciones de los beneficios, en términos de ahorros monetarios, y de los costos se estim</w:t>
      </w:r>
      <w:r w:rsidR="00DB1E26" w:rsidRPr="00476F57">
        <w:rPr>
          <w:rFonts w:ascii="Arial" w:hAnsi="Arial" w:cs="Arial"/>
          <w:lang w:val="es-AR"/>
        </w:rPr>
        <w:t>ó</w:t>
      </w:r>
      <w:r w:rsidRPr="00476F57">
        <w:rPr>
          <w:rFonts w:ascii="Arial" w:hAnsi="Arial" w:cs="Arial"/>
          <w:lang w:val="es-AR"/>
        </w:rPr>
        <w:t xml:space="preserve"> el ratio de costo-beneficio del programa (RCB).</w:t>
      </w:r>
      <w:r w:rsidRPr="00476F57">
        <w:rPr>
          <w:rFonts w:ascii="Arial" w:hAnsi="Arial" w:cs="Arial"/>
          <w:lang w:val="es-AR"/>
        </w:rPr>
        <w:fldChar w:fldCharType="begin"/>
      </w:r>
      <w:r w:rsidRPr="00476F57">
        <w:rPr>
          <w:rFonts w:ascii="Arial" w:hAnsi="Arial" w:cs="Arial"/>
          <w:lang w:val="es-AR"/>
        </w:rPr>
        <w:instrText xml:space="preserve"> ADDIN EN.CITE &lt;EndNote&gt;&lt;Cite&gt;&lt;Author&gt;Opperman&lt;/Author&gt;&lt;Year&gt;2016&lt;/Year&gt;&lt;RecNum&gt;41&lt;/RecNum&gt;&lt;DisplayText&gt;[13]&lt;/DisplayText&gt;&lt;record&gt;&lt;rec-number&gt;41&lt;/rec-number&gt;&lt;foreign-keys&gt;&lt;key app="EN" db-id="s2fdxx5as0er0oe9vfk5px9xsxzeztas5t5e"&gt;41&lt;/key&gt;&lt;/foreign-keys&gt;&lt;ref-type name="Journal Article"&gt;17&lt;/ref-type&gt;&lt;contributors&gt;&lt;authors&gt;&lt;author&gt;Opperman, Cathleen&lt;/author&gt;&lt;author&gt;Liebig, Debra&lt;/author&gt;&lt;author&gt;Bowling, Judith&lt;/author&gt;&lt;author&gt;Johnson, Carol Susan&lt;/author&gt;&lt;author&gt;Harper, Mary&lt;/author&gt;&lt;/authors&gt;&lt;/contributors&gt;&lt;titles&gt;&lt;title&gt;Measuring Return on Investment for Professional Development Activities: Implications for Practice&lt;/title&gt;&lt;secondary-title&gt;Journal for Nurses in Professional Development&lt;/secondary-title&gt;&lt;/titles&gt;&lt;periodical&gt;&lt;full-title&gt;Journal for Nurses in Professional Development&lt;/full-title&gt;&lt;/periodical&gt;&lt;pages&gt;176-184&lt;/pages&gt;&lt;volume&gt;32&lt;/volume&gt;&lt;number&gt;4&lt;/number&gt;&lt;dates&gt;&lt;year&gt;2016&lt;/year&gt;&lt;/dates&gt;&lt;isbn&gt;2169-9798&lt;/isbn&gt;&lt;urls&gt;&lt;/urls&gt;&lt;/record&gt;&lt;/Cite&gt;&lt;/EndNote&gt;</w:instrText>
      </w:r>
      <w:r w:rsidRPr="00476F57">
        <w:rPr>
          <w:rFonts w:ascii="Arial" w:hAnsi="Arial" w:cs="Arial"/>
          <w:lang w:val="es-AR"/>
        </w:rPr>
        <w:fldChar w:fldCharType="separate"/>
      </w:r>
      <w:r w:rsidRPr="00476F57">
        <w:rPr>
          <w:rFonts w:ascii="Arial" w:hAnsi="Arial" w:cs="Arial"/>
          <w:noProof/>
          <w:lang w:val="es-AR"/>
        </w:rPr>
        <w:t>[</w:t>
      </w:r>
      <w:hyperlink w:anchor="_ENREF_13" w:tooltip="Opperman, 2016 #41" w:history="1">
        <w:r w:rsidRPr="00476F57">
          <w:rPr>
            <w:rFonts w:ascii="Arial" w:hAnsi="Arial" w:cs="Arial"/>
            <w:noProof/>
            <w:lang w:val="es-AR"/>
          </w:rPr>
          <w:t>13</w:t>
        </w:r>
      </w:hyperlink>
      <w:r w:rsidRPr="00476F57">
        <w:rPr>
          <w:rFonts w:ascii="Arial" w:hAnsi="Arial" w:cs="Arial"/>
          <w:noProof/>
          <w:lang w:val="es-AR"/>
        </w:rPr>
        <w:t>]</w:t>
      </w:r>
      <w:r w:rsidRPr="00476F57">
        <w:rPr>
          <w:rFonts w:ascii="Arial" w:hAnsi="Arial" w:cs="Arial"/>
          <w:lang w:val="es-AR"/>
        </w:rPr>
        <w:fldChar w:fldCharType="end"/>
      </w:r>
    </w:p>
    <w:p w:rsidR="00F83FA0" w:rsidRPr="00476F57" w:rsidRDefault="00490080" w:rsidP="003B0845">
      <w:pPr>
        <w:jc w:val="both"/>
        <w:rPr>
          <w:rFonts w:ascii="Arial" w:eastAsiaTheme="minorEastAsia" w:hAnsi="Arial" w:cs="Arial"/>
          <w:lang w:val="es-AR"/>
        </w:rPr>
      </w:pPr>
      <m:oMathPara>
        <m:oMath>
          <m:r>
            <w:rPr>
              <w:rFonts w:ascii="Cambria Math" w:hAnsi="Cambria Math" w:cs="Arial"/>
              <w:lang w:val="es-AR"/>
            </w:rPr>
            <m:t>RBC=</m:t>
          </m:r>
          <m:f>
            <m:fPr>
              <m:ctrlPr>
                <w:rPr>
                  <w:rFonts w:ascii="Cambria Math" w:hAnsi="Cambria Math" w:cs="Arial"/>
                  <w:i/>
                  <w:lang w:val="es-AR"/>
                </w:rPr>
              </m:ctrlPr>
            </m:fPr>
            <m:num>
              <m:r>
                <w:rPr>
                  <w:rFonts w:ascii="Cambria Math" w:hAnsi="Cambria Math" w:cs="Arial"/>
                  <w:lang w:val="es-AR"/>
                </w:rPr>
                <m:t>Beneficio Neto</m:t>
              </m:r>
            </m:num>
            <m:den>
              <m:r>
                <w:rPr>
                  <w:rFonts w:ascii="Cambria Math" w:hAnsi="Cambria Math" w:cs="Arial"/>
                  <w:lang w:val="es-AR"/>
                </w:rPr>
                <m:t>Costo Total</m:t>
              </m:r>
            </m:den>
          </m:f>
        </m:oMath>
      </m:oMathPara>
    </w:p>
    <w:p w:rsidR="00F83FA0" w:rsidRPr="00476F57" w:rsidRDefault="00F83FA0" w:rsidP="00913651">
      <w:pPr>
        <w:spacing w:after="0" w:line="240" w:lineRule="auto"/>
        <w:jc w:val="both"/>
        <w:rPr>
          <w:rFonts w:ascii="Arial" w:eastAsiaTheme="minorEastAsia" w:hAnsi="Arial" w:cs="Arial"/>
          <w:lang w:val="es-AR"/>
        </w:rPr>
      </w:pPr>
    </w:p>
    <w:p w:rsidR="00F83FA0" w:rsidRPr="00476F57" w:rsidRDefault="00F83FA0" w:rsidP="003B0845">
      <w:pPr>
        <w:jc w:val="both"/>
        <w:rPr>
          <w:rFonts w:ascii="Arial" w:hAnsi="Arial" w:cs="Arial"/>
          <w:b/>
          <w:color w:val="4F81BD" w:themeColor="accent1"/>
          <w:sz w:val="28"/>
          <w:lang w:val="es-AR"/>
        </w:rPr>
      </w:pPr>
      <w:r w:rsidRPr="00476F57">
        <w:rPr>
          <w:rFonts w:ascii="Arial" w:hAnsi="Arial" w:cs="Arial"/>
          <w:b/>
          <w:color w:val="4F81BD" w:themeColor="accent1"/>
          <w:sz w:val="28"/>
          <w:lang w:val="es-AR"/>
        </w:rPr>
        <w:t>Resultados</w:t>
      </w:r>
    </w:p>
    <w:p w:rsidR="00F83FA0" w:rsidRPr="00476F57" w:rsidRDefault="00F83FA0" w:rsidP="003B0845">
      <w:pPr>
        <w:jc w:val="both"/>
        <w:rPr>
          <w:rFonts w:ascii="Arial" w:hAnsi="Arial" w:cs="Arial"/>
          <w:b/>
          <w:lang w:val="es-AR"/>
        </w:rPr>
      </w:pPr>
      <w:r w:rsidRPr="00476F57">
        <w:rPr>
          <w:rFonts w:ascii="Arial" w:hAnsi="Arial" w:cs="Arial"/>
          <w:b/>
          <w:lang w:val="es-AR"/>
        </w:rPr>
        <w:t>Eventos Potencialmente Evitados</w:t>
      </w:r>
    </w:p>
    <w:p w:rsidR="00F83FA0" w:rsidRPr="00476F57" w:rsidRDefault="00F83FA0" w:rsidP="003B0845">
      <w:pPr>
        <w:jc w:val="both"/>
        <w:rPr>
          <w:rFonts w:ascii="Arial" w:hAnsi="Arial" w:cs="Arial"/>
          <w:i/>
          <w:lang w:val="es-AR"/>
        </w:rPr>
      </w:pPr>
      <w:r w:rsidRPr="00476F57">
        <w:rPr>
          <w:rFonts w:ascii="Arial" w:hAnsi="Arial" w:cs="Arial"/>
          <w:i/>
          <w:lang w:val="es-AR"/>
        </w:rPr>
        <w:t>Tiazidas</w:t>
      </w:r>
    </w:p>
    <w:p w:rsidR="00F83FA0" w:rsidRPr="00476F57" w:rsidRDefault="00F83FA0" w:rsidP="00DB1E26">
      <w:pPr>
        <w:pStyle w:val="ListParagraph"/>
        <w:numPr>
          <w:ilvl w:val="0"/>
          <w:numId w:val="18"/>
        </w:numPr>
        <w:jc w:val="both"/>
        <w:rPr>
          <w:rFonts w:ascii="Arial" w:hAnsi="Arial" w:cs="Arial"/>
          <w:lang w:val="es-AR"/>
        </w:rPr>
      </w:pPr>
      <w:r w:rsidRPr="00476F57">
        <w:rPr>
          <w:rFonts w:ascii="Arial" w:hAnsi="Arial" w:cs="Arial"/>
          <w:lang w:val="es-AR"/>
        </w:rPr>
        <w:t xml:space="preserve">Las probabilidades de mortalidad total, enfermedad coronaria, aparición de ACV y enfermedad CV fueron analizados por 11 estudios incluidos en el metanálisis (19.839 </w:t>
      </w:r>
      <w:r w:rsidRPr="00476F57">
        <w:rPr>
          <w:rFonts w:ascii="Arial" w:hAnsi="Arial" w:cs="Arial"/>
          <w:lang w:val="es-AR"/>
        </w:rPr>
        <w:lastRenderedPageBreak/>
        <w:t>pacientes).</w:t>
      </w:r>
      <w:r w:rsidRPr="00476F57">
        <w:rPr>
          <w:rFonts w:ascii="Arial" w:hAnsi="Arial" w:cs="Arial"/>
          <w:lang w:val="es-AR"/>
        </w:rPr>
        <w:fldChar w:fldCharType="begin"/>
      </w:r>
      <w:r w:rsidRPr="00476F57">
        <w:rPr>
          <w:rFonts w:ascii="Arial" w:hAnsi="Arial" w:cs="Arial"/>
          <w:lang w:val="es-AR"/>
        </w:rPr>
        <w:instrText xml:space="preserve"> ADDIN EN.CITE &lt;EndNote&gt;&lt;Cite&gt;&lt;Author&gt;Wright&lt;/Author&gt;&lt;Year&gt;2009&lt;/Year&gt;&lt;RecNum&gt;15&lt;/RecNum&gt;&lt;DisplayText&gt;[1]&lt;/DisplayText&gt;&lt;record&gt;&lt;rec-number&gt;15&lt;/rec-number&gt;&lt;foreign-keys&gt;&lt;key app="EN" db-id="s2fdxx5as0er0oe9vfk5px9xsxzeztas5t5e"&gt;15&lt;/key&gt;&lt;/foreign-keys&gt;&lt;ref-type name="Journal Article"&gt;17&lt;/ref-type&gt;&lt;contributors&gt;&lt;authors&gt;&lt;author&gt;Wright, J. M.&lt;/author&gt;&lt;author&gt;Musini, V. M.&lt;/author&gt;&lt;/authors&gt;&lt;/contributors&gt;&lt;auth-address&gt;Department of Anesthesiology, Pharmacology and Therapeutics, University of British Columbia, 2176 Health Sciences Mall, Vancouver, BC, Canada, V6T 1Z3.&lt;/auth-address&gt;&lt;titles&gt;&lt;title&gt;First-line drugs for hypertension&lt;/title&gt;&lt;secondary-title&gt;Cochrane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reviews&lt;/abbr-1&gt;&lt;/alt-periodical&gt;&lt;pages&gt;CD001841&lt;/pages&gt;&lt;number&gt;3&lt;/number&gt;&lt;keywords&gt;&lt;keyword&gt;Adrenergic beta-Antagonists/therapeutic use&lt;/keyword&gt;&lt;keyword&gt;Angiotensin-Converting Enzyme Inhibitors/therapeutic use&lt;/keyword&gt;&lt;keyword&gt;Antihypertensive Agents/adverse effects/*therapeutic use&lt;/keyword&gt;&lt;keyword&gt;Calcium Channel Blockers/therapeutic use&lt;/keyword&gt;&lt;keyword&gt;Coronary Disease/prevention &amp;amp; control&lt;/keyword&gt;&lt;keyword&gt;Humans&lt;/keyword&gt;&lt;keyword&gt;Hypertension/*drug therapy/mortality&lt;/keyword&gt;&lt;keyword&gt;Randomized Controlled Trials as Topic&lt;/keyword&gt;&lt;keyword&gt;Sodium Chloride Symporter Inhibitors/therapeutic use&lt;/keyword&gt;&lt;keyword&gt;Stroke/prevention &amp;amp; control&lt;/keyword&gt;&lt;/keywords&gt;&lt;dates&gt;&lt;year&gt;2009&lt;/year&gt;&lt;/dates&gt;&lt;isbn&gt;1469-493X (Electronic)&amp;#xD;1361-6137 (Linking)&lt;/isbn&gt;&lt;accession-num&gt;19588327&lt;/accession-num&gt;&lt;urls&gt;&lt;related-urls&gt;&lt;url&gt;http://www.ncbi.nlm.nih.gov/pubmed/19588327&lt;/url&gt;&lt;/related-urls&gt;&lt;/urls&gt;&lt;electronic-resource-num&gt;10.1002/14651858.CD001841.pub2&lt;/electronic-resource-num&gt;&lt;/record&gt;&lt;/Cite&gt;&lt;/EndNote&gt;</w:instrText>
      </w:r>
      <w:r w:rsidRPr="00476F57">
        <w:rPr>
          <w:rFonts w:ascii="Arial" w:hAnsi="Arial" w:cs="Arial"/>
          <w:lang w:val="es-AR"/>
        </w:rPr>
        <w:fldChar w:fldCharType="separate"/>
      </w:r>
      <w:r w:rsidRPr="00476F57">
        <w:rPr>
          <w:rFonts w:ascii="Arial" w:hAnsi="Arial" w:cs="Arial"/>
          <w:noProof/>
          <w:lang w:val="es-AR"/>
        </w:rPr>
        <w:t>[</w:t>
      </w:r>
      <w:hyperlink w:anchor="_ENREF_1" w:tooltip="Wright, 2009 #15" w:history="1">
        <w:r w:rsidRPr="00476F57">
          <w:rPr>
            <w:rFonts w:ascii="Arial" w:hAnsi="Arial" w:cs="Arial"/>
            <w:noProof/>
            <w:lang w:val="es-AR"/>
          </w:rPr>
          <w:t>1</w:t>
        </w:r>
      </w:hyperlink>
      <w:r w:rsidRPr="00476F57">
        <w:rPr>
          <w:rFonts w:ascii="Arial" w:hAnsi="Arial" w:cs="Arial"/>
          <w:noProof/>
          <w:lang w:val="es-AR"/>
        </w:rPr>
        <w:t>]</w:t>
      </w:r>
      <w:r w:rsidRPr="00476F57">
        <w:rPr>
          <w:rFonts w:ascii="Arial" w:hAnsi="Arial" w:cs="Arial"/>
          <w:lang w:val="es-AR"/>
        </w:rPr>
        <w:fldChar w:fldCharType="end"/>
      </w:r>
      <w:r w:rsidRPr="00476F57">
        <w:rPr>
          <w:rFonts w:ascii="Arial" w:hAnsi="Arial" w:cs="Arial"/>
          <w:lang w:val="es-AR"/>
        </w:rPr>
        <w:t xml:space="preserve"> Los primeros tres eventos no mostraron diferencias estadísticamente en los riesgos relativos entre los pacientes tratados con tiazidas y los pacientes tratados con placebo. Por el contrario, los riesgos relativos tanto para la aparición de ACV y eventos CV mostraron diferencias significativas. </w:t>
      </w:r>
    </w:p>
    <w:p w:rsidR="00DB1E26" w:rsidRPr="00476F57" w:rsidRDefault="00DB1E26" w:rsidP="00DB1E26">
      <w:pPr>
        <w:pStyle w:val="ListParagraph"/>
        <w:jc w:val="both"/>
        <w:rPr>
          <w:rFonts w:ascii="Arial" w:hAnsi="Arial" w:cs="Arial"/>
          <w:lang w:val="es-AR"/>
        </w:rPr>
      </w:pPr>
    </w:p>
    <w:p w:rsidR="00F83FA0" w:rsidRPr="00476F57" w:rsidRDefault="00F83FA0" w:rsidP="00DB1E26">
      <w:pPr>
        <w:pStyle w:val="ListParagraph"/>
        <w:numPr>
          <w:ilvl w:val="0"/>
          <w:numId w:val="18"/>
        </w:numPr>
        <w:jc w:val="both"/>
        <w:rPr>
          <w:rFonts w:ascii="Arial" w:hAnsi="Arial" w:cs="Arial"/>
          <w:lang w:val="es-ES"/>
        </w:rPr>
      </w:pPr>
      <w:r w:rsidRPr="00476F57">
        <w:rPr>
          <w:rFonts w:ascii="Arial" w:hAnsi="Arial" w:cs="Arial"/>
          <w:lang w:val="es-AR"/>
        </w:rPr>
        <w:t xml:space="preserve">El RR de padecer un ACV fue significativamente menor en los pacientes tratados con tiazidas vs los pacientes tratados con placebo, RR 0,47 IC95%(0,37-0,61). </w:t>
      </w:r>
      <w:r w:rsidRPr="00476F57">
        <w:rPr>
          <w:rFonts w:ascii="Arial" w:hAnsi="Arial" w:cs="Arial"/>
          <w:lang w:val="es-ES"/>
        </w:rPr>
        <w:t>En consecuencia, en base a estos estudios el número de individuos necesarios a tratar para evitar un ACV (NNT) es de aproximadamente 99 ( 99,4 IC95% (83,8-135,1) durante 3,6 años y aproximadamente de 358 en 1 año</w:t>
      </w:r>
      <w:r w:rsidR="006A4ED8">
        <w:rPr>
          <w:rFonts w:ascii="Arial" w:hAnsi="Arial" w:cs="Arial"/>
          <w:lang w:val="es-ES"/>
        </w:rPr>
        <w:t xml:space="preserve"> para lograr la misma reducción</w:t>
      </w:r>
      <w:r w:rsidRPr="00476F57">
        <w:rPr>
          <w:rFonts w:ascii="Arial" w:hAnsi="Arial" w:cs="Arial"/>
          <w:lang w:val="es-ES"/>
        </w:rPr>
        <w:t>.</w:t>
      </w:r>
    </w:p>
    <w:p w:rsidR="00F83FA0" w:rsidRPr="00476F57" w:rsidRDefault="00F83FA0" w:rsidP="003B0845">
      <w:pPr>
        <w:spacing w:after="0" w:line="240" w:lineRule="auto"/>
        <w:jc w:val="both"/>
        <w:rPr>
          <w:rFonts w:ascii="Arial" w:eastAsia="Times New Roman" w:hAnsi="Arial" w:cs="Arial"/>
          <w:b/>
          <w:bCs/>
          <w:color w:val="000000"/>
          <w:lang w:val="es-ES"/>
        </w:rPr>
        <w:sectPr w:rsidR="00F83FA0" w:rsidRPr="00476F57">
          <w:footnotePr>
            <w:pos w:val="beneathText"/>
          </w:footnotePr>
          <w:pgSz w:w="12240" w:h="15840"/>
          <w:pgMar w:top="1440" w:right="1440" w:bottom="1440" w:left="1440" w:header="720" w:footer="720" w:gutter="0"/>
          <w:cols w:space="720"/>
          <w:docGrid w:linePitch="360"/>
        </w:sectPr>
      </w:pPr>
    </w:p>
    <w:tbl>
      <w:tblPr>
        <w:tblW w:w="13849" w:type="dxa"/>
        <w:jc w:val="center"/>
        <w:tblLook w:val="04A0" w:firstRow="1" w:lastRow="0" w:firstColumn="1" w:lastColumn="0" w:noHBand="0" w:noVBand="1"/>
      </w:tblPr>
      <w:tblGrid>
        <w:gridCol w:w="267"/>
        <w:gridCol w:w="2548"/>
        <w:gridCol w:w="610"/>
        <w:gridCol w:w="1005"/>
        <w:gridCol w:w="1400"/>
        <w:gridCol w:w="931"/>
        <w:gridCol w:w="1431"/>
        <w:gridCol w:w="851"/>
        <w:gridCol w:w="1626"/>
        <w:gridCol w:w="1626"/>
        <w:gridCol w:w="1564"/>
      </w:tblGrid>
      <w:tr w:rsidR="00F83FA0" w:rsidRPr="00476F57" w:rsidTr="00913651">
        <w:trPr>
          <w:trHeight w:val="300"/>
          <w:jc w:val="center"/>
        </w:trPr>
        <w:tc>
          <w:tcPr>
            <w:tcW w:w="13849" w:type="dxa"/>
            <w:gridSpan w:val="11"/>
            <w:tcBorders>
              <w:top w:val="nil"/>
              <w:left w:val="nil"/>
              <w:bottom w:val="single" w:sz="4" w:space="0" w:color="FFFFFF"/>
              <w:right w:val="nil"/>
            </w:tcBorders>
            <w:shd w:val="clear" w:color="000000" w:fill="FFFFFF"/>
            <w:noWrap/>
            <w:vAlign w:val="bottom"/>
            <w:hideMark/>
          </w:tcPr>
          <w:p w:rsidR="00F83FA0" w:rsidRPr="00476F57" w:rsidRDefault="00F83FA0" w:rsidP="003B0845">
            <w:pPr>
              <w:spacing w:after="0" w:line="240" w:lineRule="auto"/>
              <w:jc w:val="both"/>
              <w:rPr>
                <w:rFonts w:ascii="Arial" w:eastAsia="Times New Roman" w:hAnsi="Arial" w:cs="Arial"/>
                <w:b/>
                <w:bCs/>
                <w:color w:val="000000"/>
                <w:sz w:val="18"/>
                <w:szCs w:val="18"/>
              </w:rPr>
            </w:pPr>
            <w:r w:rsidRPr="00476F57">
              <w:rPr>
                <w:rFonts w:ascii="Arial" w:eastAsia="Times New Roman" w:hAnsi="Arial" w:cs="Arial"/>
                <w:b/>
                <w:bCs/>
                <w:color w:val="000000"/>
                <w:sz w:val="18"/>
                <w:szCs w:val="18"/>
              </w:rPr>
              <w:lastRenderedPageBreak/>
              <w:t>Tabla 4: Eventos Potencialmente Evitados</w:t>
            </w:r>
          </w:p>
        </w:tc>
      </w:tr>
      <w:tr w:rsidR="00F83FA0" w:rsidRPr="00476F57" w:rsidTr="00913651">
        <w:trPr>
          <w:trHeight w:val="413"/>
          <w:jc w:val="center"/>
        </w:trPr>
        <w:tc>
          <w:tcPr>
            <w:tcW w:w="2805" w:type="dxa"/>
            <w:gridSpan w:val="2"/>
            <w:vMerge w:val="restart"/>
            <w:tcBorders>
              <w:top w:val="single" w:sz="4" w:space="0" w:color="FFFFFF"/>
              <w:left w:val="single" w:sz="4" w:space="0" w:color="FFFFFF"/>
              <w:bottom w:val="single" w:sz="4" w:space="0" w:color="FFFFFF"/>
              <w:right w:val="single" w:sz="4" w:space="0" w:color="FFFFFF"/>
            </w:tcBorders>
            <w:shd w:val="clear" w:color="000000" w:fill="538DD5"/>
            <w:noWrap/>
            <w:vAlign w:val="bottom"/>
            <w:hideMark/>
          </w:tcPr>
          <w:p w:rsidR="00F83FA0" w:rsidRPr="00476F57" w:rsidRDefault="00F83FA0" w:rsidP="003B0845">
            <w:pPr>
              <w:spacing w:after="0" w:line="240" w:lineRule="auto"/>
              <w:jc w:val="both"/>
              <w:rPr>
                <w:rFonts w:ascii="Arial" w:eastAsia="Times New Roman" w:hAnsi="Arial" w:cs="Arial"/>
                <w:b/>
                <w:bCs/>
                <w:color w:val="FFFFFF"/>
                <w:sz w:val="18"/>
                <w:szCs w:val="18"/>
              </w:rPr>
            </w:pPr>
            <w:r w:rsidRPr="00476F57">
              <w:rPr>
                <w:rFonts w:ascii="Arial" w:eastAsia="Times New Roman" w:hAnsi="Arial" w:cs="Arial"/>
                <w:b/>
                <w:bCs/>
                <w:color w:val="FFFFFF"/>
                <w:sz w:val="18"/>
                <w:szCs w:val="18"/>
              </w:rPr>
              <w:t> </w:t>
            </w:r>
          </w:p>
        </w:tc>
        <w:tc>
          <w:tcPr>
            <w:tcW w:w="610" w:type="dxa"/>
            <w:vMerge w:val="restart"/>
            <w:tcBorders>
              <w:top w:val="nil"/>
              <w:left w:val="single" w:sz="4" w:space="0" w:color="FFFFFF"/>
              <w:bottom w:val="single" w:sz="4" w:space="0" w:color="FFFFFF"/>
              <w:right w:val="single" w:sz="4" w:space="0" w:color="FFFFFF"/>
            </w:tcBorders>
            <w:shd w:val="clear" w:color="000000" w:fill="538DD5"/>
            <w:noWrap/>
            <w:vAlign w:val="center"/>
            <w:hideMark/>
          </w:tcPr>
          <w:p w:rsidR="00F83FA0" w:rsidRPr="00476F57" w:rsidRDefault="00F83FA0" w:rsidP="003B0845">
            <w:pPr>
              <w:spacing w:after="0" w:line="240" w:lineRule="auto"/>
              <w:jc w:val="both"/>
              <w:rPr>
                <w:rFonts w:ascii="Arial" w:eastAsia="Times New Roman" w:hAnsi="Arial" w:cs="Arial"/>
                <w:b/>
                <w:bCs/>
                <w:color w:val="FFFFFF"/>
                <w:sz w:val="18"/>
                <w:szCs w:val="18"/>
              </w:rPr>
            </w:pPr>
            <w:r w:rsidRPr="00476F57">
              <w:rPr>
                <w:rFonts w:ascii="Arial" w:eastAsia="Times New Roman" w:hAnsi="Arial" w:cs="Arial"/>
                <w:b/>
                <w:bCs/>
                <w:color w:val="FFFFFF"/>
                <w:sz w:val="18"/>
                <w:szCs w:val="18"/>
              </w:rPr>
              <w:t>NNT</w:t>
            </w:r>
          </w:p>
        </w:tc>
        <w:tc>
          <w:tcPr>
            <w:tcW w:w="2405" w:type="dxa"/>
            <w:gridSpan w:val="2"/>
            <w:tcBorders>
              <w:top w:val="single" w:sz="4" w:space="0" w:color="FFFFFF"/>
              <w:left w:val="nil"/>
              <w:bottom w:val="single" w:sz="4" w:space="0" w:color="FFFFFF"/>
              <w:right w:val="single" w:sz="4" w:space="0" w:color="FFFFFF"/>
            </w:tcBorders>
            <w:shd w:val="clear" w:color="000000" w:fill="538DD5"/>
            <w:vAlign w:val="center"/>
            <w:hideMark/>
          </w:tcPr>
          <w:p w:rsidR="00F83FA0" w:rsidRPr="00476F57" w:rsidRDefault="00F83FA0" w:rsidP="006A4ED8">
            <w:pPr>
              <w:spacing w:after="0" w:line="240" w:lineRule="auto"/>
              <w:jc w:val="center"/>
              <w:rPr>
                <w:rFonts w:ascii="Arial" w:eastAsia="Times New Roman" w:hAnsi="Arial" w:cs="Arial"/>
                <w:b/>
                <w:bCs/>
                <w:color w:val="FFFFFF"/>
                <w:sz w:val="18"/>
                <w:szCs w:val="18"/>
              </w:rPr>
            </w:pPr>
            <w:r w:rsidRPr="00476F57">
              <w:rPr>
                <w:rFonts w:ascii="Arial" w:eastAsia="Times New Roman" w:hAnsi="Arial" w:cs="Arial"/>
                <w:b/>
                <w:bCs/>
                <w:color w:val="FFFFFF"/>
                <w:sz w:val="18"/>
                <w:szCs w:val="18"/>
              </w:rPr>
              <w:t>Tratamientos dispensados</w:t>
            </w:r>
          </w:p>
        </w:tc>
        <w:tc>
          <w:tcPr>
            <w:tcW w:w="2362" w:type="dxa"/>
            <w:gridSpan w:val="2"/>
            <w:tcBorders>
              <w:top w:val="single" w:sz="4" w:space="0" w:color="FFFFFF"/>
              <w:left w:val="nil"/>
              <w:bottom w:val="single" w:sz="4" w:space="0" w:color="FFFFFF"/>
              <w:right w:val="single" w:sz="4" w:space="0" w:color="FFFFFF"/>
            </w:tcBorders>
            <w:shd w:val="clear" w:color="000000" w:fill="538DD5"/>
            <w:vAlign w:val="center"/>
            <w:hideMark/>
          </w:tcPr>
          <w:p w:rsidR="00F83FA0" w:rsidRPr="00476F57" w:rsidRDefault="00F83FA0" w:rsidP="006A4ED8">
            <w:pPr>
              <w:spacing w:after="0" w:line="240" w:lineRule="auto"/>
              <w:jc w:val="center"/>
              <w:rPr>
                <w:rFonts w:ascii="Arial" w:eastAsia="Times New Roman" w:hAnsi="Arial" w:cs="Arial"/>
                <w:b/>
                <w:bCs/>
                <w:color w:val="FFFFFF"/>
                <w:sz w:val="18"/>
                <w:szCs w:val="18"/>
              </w:rPr>
            </w:pPr>
            <w:r w:rsidRPr="00476F57">
              <w:rPr>
                <w:rFonts w:ascii="Arial" w:eastAsia="Times New Roman" w:hAnsi="Arial" w:cs="Arial"/>
                <w:b/>
                <w:bCs/>
                <w:color w:val="FFFFFF"/>
                <w:sz w:val="18"/>
                <w:szCs w:val="18"/>
              </w:rPr>
              <w:t>Eventos potencialmente evitados</w:t>
            </w:r>
          </w:p>
        </w:tc>
        <w:tc>
          <w:tcPr>
            <w:tcW w:w="851" w:type="dxa"/>
            <w:vMerge w:val="restart"/>
            <w:tcBorders>
              <w:top w:val="nil"/>
              <w:left w:val="single" w:sz="4" w:space="0" w:color="FFFFFF"/>
              <w:bottom w:val="single" w:sz="4" w:space="0" w:color="FFFFFF"/>
              <w:right w:val="single" w:sz="4" w:space="0" w:color="FFFFFF"/>
            </w:tcBorders>
            <w:shd w:val="clear" w:color="000000" w:fill="538DD5"/>
            <w:noWrap/>
            <w:vAlign w:val="center"/>
            <w:hideMark/>
          </w:tcPr>
          <w:p w:rsidR="00F83FA0" w:rsidRPr="00476F57" w:rsidRDefault="00F83FA0" w:rsidP="006A4ED8">
            <w:pPr>
              <w:spacing w:after="0" w:line="240" w:lineRule="auto"/>
              <w:jc w:val="center"/>
              <w:rPr>
                <w:rFonts w:ascii="Arial" w:eastAsia="Times New Roman" w:hAnsi="Arial" w:cs="Arial"/>
                <w:b/>
                <w:bCs/>
                <w:color w:val="FFFFFF"/>
                <w:sz w:val="18"/>
                <w:szCs w:val="18"/>
              </w:rPr>
            </w:pPr>
            <w:r w:rsidRPr="00476F57">
              <w:rPr>
                <w:rFonts w:ascii="Arial" w:eastAsia="Times New Roman" w:hAnsi="Arial" w:cs="Arial"/>
                <w:b/>
                <w:bCs/>
                <w:color w:val="FFFFFF"/>
                <w:sz w:val="18"/>
                <w:szCs w:val="18"/>
              </w:rPr>
              <w:t></w:t>
            </w:r>
            <w:r w:rsidRPr="00476F57">
              <w:rPr>
                <w:rFonts w:ascii="Arial" w:eastAsia="Times New Roman" w:hAnsi="Arial" w:cs="Arial"/>
                <w:b/>
                <w:bCs/>
                <w:color w:val="FFFFFF"/>
                <w:sz w:val="18"/>
                <w:szCs w:val="18"/>
              </w:rPr>
              <w:t>EPE</w:t>
            </w:r>
          </w:p>
        </w:tc>
        <w:tc>
          <w:tcPr>
            <w:tcW w:w="3252" w:type="dxa"/>
            <w:gridSpan w:val="2"/>
            <w:tcBorders>
              <w:top w:val="single" w:sz="4" w:space="0" w:color="FFFFFF"/>
              <w:left w:val="nil"/>
              <w:bottom w:val="single" w:sz="4" w:space="0" w:color="FFFFFF"/>
              <w:right w:val="single" w:sz="4" w:space="0" w:color="FFFFFF"/>
            </w:tcBorders>
            <w:shd w:val="clear" w:color="000000" w:fill="538DD5"/>
            <w:noWrap/>
            <w:vAlign w:val="center"/>
            <w:hideMark/>
          </w:tcPr>
          <w:p w:rsidR="00F83FA0" w:rsidRPr="00476F57" w:rsidRDefault="00F83FA0" w:rsidP="006A4ED8">
            <w:pPr>
              <w:spacing w:after="0" w:line="240" w:lineRule="auto"/>
              <w:jc w:val="center"/>
              <w:rPr>
                <w:rFonts w:ascii="Arial" w:eastAsia="Times New Roman" w:hAnsi="Arial" w:cs="Arial"/>
                <w:b/>
                <w:bCs/>
                <w:color w:val="FFFFFF"/>
                <w:sz w:val="18"/>
                <w:szCs w:val="18"/>
              </w:rPr>
            </w:pPr>
            <w:r w:rsidRPr="00476F57">
              <w:rPr>
                <w:rFonts w:ascii="Arial" w:eastAsia="Times New Roman" w:hAnsi="Arial" w:cs="Arial"/>
                <w:b/>
                <w:bCs/>
                <w:color w:val="FFFFFF"/>
                <w:sz w:val="18"/>
                <w:szCs w:val="18"/>
              </w:rPr>
              <w:t>Costo EPE (Pesos argentinos)</w:t>
            </w:r>
          </w:p>
        </w:tc>
        <w:tc>
          <w:tcPr>
            <w:tcW w:w="1564" w:type="dxa"/>
            <w:vMerge w:val="restart"/>
            <w:tcBorders>
              <w:top w:val="nil"/>
              <w:left w:val="single" w:sz="4" w:space="0" w:color="FFFFFF"/>
              <w:bottom w:val="single" w:sz="4" w:space="0" w:color="FFFFFF"/>
              <w:right w:val="single" w:sz="4" w:space="0" w:color="FFFFFF"/>
            </w:tcBorders>
            <w:shd w:val="clear" w:color="000000" w:fill="538DD5"/>
            <w:noWrap/>
            <w:vAlign w:val="center"/>
            <w:hideMark/>
          </w:tcPr>
          <w:p w:rsidR="00F83FA0" w:rsidRPr="00476F57" w:rsidRDefault="00F83FA0" w:rsidP="003B0845">
            <w:pPr>
              <w:spacing w:after="0" w:line="240" w:lineRule="auto"/>
              <w:jc w:val="both"/>
              <w:rPr>
                <w:rFonts w:ascii="Arial" w:eastAsia="Times New Roman" w:hAnsi="Arial" w:cs="Arial"/>
                <w:b/>
                <w:bCs/>
                <w:color w:val="FFFFFF"/>
                <w:sz w:val="18"/>
                <w:szCs w:val="18"/>
              </w:rPr>
            </w:pPr>
            <w:r w:rsidRPr="00476F57">
              <w:rPr>
                <w:rFonts w:ascii="Arial" w:eastAsia="Times New Roman" w:hAnsi="Arial" w:cs="Arial"/>
                <w:b/>
                <w:bCs/>
                <w:color w:val="FFFFFF"/>
                <w:sz w:val="18"/>
                <w:szCs w:val="18"/>
              </w:rPr>
              <w:t></w:t>
            </w:r>
            <w:r w:rsidRPr="00476F57">
              <w:rPr>
                <w:rFonts w:ascii="Arial" w:eastAsia="Times New Roman" w:hAnsi="Arial" w:cs="Arial"/>
                <w:b/>
                <w:bCs/>
                <w:color w:val="FFFFFF"/>
                <w:sz w:val="18"/>
                <w:szCs w:val="18"/>
              </w:rPr>
              <w:t>costo EPE</w:t>
            </w:r>
          </w:p>
        </w:tc>
      </w:tr>
      <w:tr w:rsidR="00F83FA0" w:rsidRPr="00476F57" w:rsidTr="00913651">
        <w:trPr>
          <w:trHeight w:val="300"/>
          <w:jc w:val="center"/>
        </w:trPr>
        <w:tc>
          <w:tcPr>
            <w:tcW w:w="2805" w:type="dxa"/>
            <w:gridSpan w:val="2"/>
            <w:vMerge/>
            <w:tcBorders>
              <w:top w:val="single" w:sz="4" w:space="0" w:color="FFFFFF"/>
              <w:left w:val="single" w:sz="4" w:space="0" w:color="FFFFFF"/>
              <w:bottom w:val="single" w:sz="4" w:space="0" w:color="FFFFFF"/>
              <w:right w:val="single" w:sz="4" w:space="0" w:color="FFFFFF"/>
            </w:tcBorders>
            <w:vAlign w:val="center"/>
            <w:hideMark/>
          </w:tcPr>
          <w:p w:rsidR="00F83FA0" w:rsidRPr="00476F57" w:rsidRDefault="00F83FA0" w:rsidP="003B0845">
            <w:pPr>
              <w:spacing w:after="0" w:line="240" w:lineRule="auto"/>
              <w:jc w:val="both"/>
              <w:rPr>
                <w:rFonts w:ascii="Arial" w:eastAsia="Times New Roman" w:hAnsi="Arial" w:cs="Arial"/>
                <w:b/>
                <w:bCs/>
                <w:color w:val="FFFFFF"/>
                <w:sz w:val="18"/>
                <w:szCs w:val="18"/>
              </w:rPr>
            </w:pPr>
          </w:p>
        </w:tc>
        <w:tc>
          <w:tcPr>
            <w:tcW w:w="610" w:type="dxa"/>
            <w:vMerge/>
            <w:tcBorders>
              <w:top w:val="nil"/>
              <w:left w:val="single" w:sz="4" w:space="0" w:color="FFFFFF"/>
              <w:bottom w:val="single" w:sz="4" w:space="0" w:color="FFFFFF"/>
              <w:right w:val="single" w:sz="4" w:space="0" w:color="FFFFFF"/>
            </w:tcBorders>
            <w:vAlign w:val="center"/>
            <w:hideMark/>
          </w:tcPr>
          <w:p w:rsidR="00F83FA0" w:rsidRPr="00476F57" w:rsidRDefault="00F83FA0" w:rsidP="003B0845">
            <w:pPr>
              <w:spacing w:after="0" w:line="240" w:lineRule="auto"/>
              <w:jc w:val="both"/>
              <w:rPr>
                <w:rFonts w:ascii="Arial" w:eastAsia="Times New Roman" w:hAnsi="Arial" w:cs="Arial"/>
                <w:b/>
                <w:bCs/>
                <w:color w:val="FFFFFF"/>
                <w:sz w:val="18"/>
                <w:szCs w:val="18"/>
              </w:rPr>
            </w:pPr>
          </w:p>
        </w:tc>
        <w:tc>
          <w:tcPr>
            <w:tcW w:w="1005" w:type="dxa"/>
            <w:tcBorders>
              <w:top w:val="nil"/>
              <w:left w:val="nil"/>
              <w:bottom w:val="nil"/>
              <w:right w:val="single" w:sz="4" w:space="0" w:color="FFFFFF"/>
            </w:tcBorders>
            <w:shd w:val="clear" w:color="000000" w:fill="538DD5"/>
            <w:noWrap/>
            <w:vAlign w:val="center"/>
            <w:hideMark/>
          </w:tcPr>
          <w:p w:rsidR="00F83FA0" w:rsidRPr="00476F57" w:rsidRDefault="00F83FA0" w:rsidP="006A4ED8">
            <w:pPr>
              <w:spacing w:after="0" w:line="240" w:lineRule="auto"/>
              <w:jc w:val="center"/>
              <w:rPr>
                <w:rFonts w:ascii="Arial" w:eastAsia="Times New Roman" w:hAnsi="Arial" w:cs="Arial"/>
                <w:b/>
                <w:bCs/>
                <w:color w:val="FFFFFF"/>
                <w:sz w:val="18"/>
                <w:szCs w:val="18"/>
              </w:rPr>
            </w:pPr>
            <w:r w:rsidRPr="00476F57">
              <w:rPr>
                <w:rFonts w:ascii="Arial" w:eastAsia="Times New Roman" w:hAnsi="Arial" w:cs="Arial"/>
                <w:b/>
                <w:bCs/>
                <w:color w:val="FFFFFF"/>
                <w:sz w:val="18"/>
                <w:szCs w:val="18"/>
              </w:rPr>
              <w:t>Redes</w:t>
            </w:r>
          </w:p>
        </w:tc>
        <w:tc>
          <w:tcPr>
            <w:tcW w:w="1400" w:type="dxa"/>
            <w:tcBorders>
              <w:top w:val="nil"/>
              <w:left w:val="nil"/>
              <w:bottom w:val="nil"/>
              <w:right w:val="single" w:sz="4" w:space="0" w:color="FFFFFF"/>
            </w:tcBorders>
            <w:shd w:val="clear" w:color="000000" w:fill="538DD5"/>
            <w:noWrap/>
            <w:vAlign w:val="center"/>
            <w:hideMark/>
          </w:tcPr>
          <w:p w:rsidR="00F83FA0" w:rsidRPr="00476F57" w:rsidRDefault="00F83FA0" w:rsidP="006A4ED8">
            <w:pPr>
              <w:spacing w:after="0" w:line="240" w:lineRule="auto"/>
              <w:jc w:val="center"/>
              <w:rPr>
                <w:rFonts w:ascii="Arial" w:eastAsia="Times New Roman" w:hAnsi="Arial" w:cs="Arial"/>
                <w:b/>
                <w:bCs/>
                <w:color w:val="FFFFFF"/>
                <w:sz w:val="18"/>
                <w:szCs w:val="18"/>
              </w:rPr>
            </w:pPr>
            <w:r w:rsidRPr="00476F57">
              <w:rPr>
                <w:rFonts w:ascii="Arial" w:eastAsia="Times New Roman" w:hAnsi="Arial" w:cs="Arial"/>
                <w:b/>
                <w:bCs/>
                <w:color w:val="FFFFFF"/>
                <w:sz w:val="18"/>
                <w:szCs w:val="18"/>
              </w:rPr>
              <w:t>No Redes</w:t>
            </w:r>
          </w:p>
        </w:tc>
        <w:tc>
          <w:tcPr>
            <w:tcW w:w="931" w:type="dxa"/>
            <w:tcBorders>
              <w:top w:val="nil"/>
              <w:left w:val="nil"/>
              <w:bottom w:val="nil"/>
              <w:right w:val="single" w:sz="4" w:space="0" w:color="FFFFFF"/>
            </w:tcBorders>
            <w:shd w:val="clear" w:color="000000" w:fill="538DD5"/>
            <w:noWrap/>
            <w:vAlign w:val="center"/>
            <w:hideMark/>
          </w:tcPr>
          <w:p w:rsidR="00F83FA0" w:rsidRPr="00476F57" w:rsidRDefault="00F83FA0" w:rsidP="006A4ED8">
            <w:pPr>
              <w:spacing w:after="0" w:line="240" w:lineRule="auto"/>
              <w:jc w:val="center"/>
              <w:rPr>
                <w:rFonts w:ascii="Arial" w:eastAsia="Times New Roman" w:hAnsi="Arial" w:cs="Arial"/>
                <w:b/>
                <w:bCs/>
                <w:color w:val="FFFFFF"/>
                <w:sz w:val="18"/>
                <w:szCs w:val="18"/>
              </w:rPr>
            </w:pPr>
            <w:r w:rsidRPr="00476F57">
              <w:rPr>
                <w:rFonts w:ascii="Arial" w:eastAsia="Times New Roman" w:hAnsi="Arial" w:cs="Arial"/>
                <w:b/>
                <w:bCs/>
                <w:color w:val="FFFFFF"/>
                <w:sz w:val="18"/>
                <w:szCs w:val="18"/>
              </w:rPr>
              <w:t>Redes</w:t>
            </w:r>
          </w:p>
        </w:tc>
        <w:tc>
          <w:tcPr>
            <w:tcW w:w="1431" w:type="dxa"/>
            <w:tcBorders>
              <w:top w:val="nil"/>
              <w:left w:val="nil"/>
              <w:bottom w:val="nil"/>
              <w:right w:val="single" w:sz="4" w:space="0" w:color="FFFFFF"/>
            </w:tcBorders>
            <w:shd w:val="clear" w:color="000000" w:fill="538DD5"/>
            <w:noWrap/>
            <w:vAlign w:val="center"/>
            <w:hideMark/>
          </w:tcPr>
          <w:p w:rsidR="00F83FA0" w:rsidRPr="00476F57" w:rsidRDefault="00F83FA0" w:rsidP="006A4ED8">
            <w:pPr>
              <w:spacing w:after="0" w:line="240" w:lineRule="auto"/>
              <w:jc w:val="center"/>
              <w:rPr>
                <w:rFonts w:ascii="Arial" w:eastAsia="Times New Roman" w:hAnsi="Arial" w:cs="Arial"/>
                <w:b/>
                <w:bCs/>
                <w:color w:val="FFFFFF"/>
                <w:sz w:val="18"/>
                <w:szCs w:val="18"/>
              </w:rPr>
            </w:pPr>
            <w:r w:rsidRPr="00476F57">
              <w:rPr>
                <w:rFonts w:ascii="Arial" w:eastAsia="Times New Roman" w:hAnsi="Arial" w:cs="Arial"/>
                <w:b/>
                <w:bCs/>
                <w:color w:val="FFFFFF"/>
                <w:sz w:val="18"/>
                <w:szCs w:val="18"/>
              </w:rPr>
              <w:t>No Redes</w:t>
            </w:r>
          </w:p>
        </w:tc>
        <w:tc>
          <w:tcPr>
            <w:tcW w:w="851" w:type="dxa"/>
            <w:vMerge/>
            <w:tcBorders>
              <w:top w:val="nil"/>
              <w:left w:val="single" w:sz="4" w:space="0" w:color="FFFFFF"/>
              <w:bottom w:val="single" w:sz="4" w:space="0" w:color="FFFFFF"/>
              <w:right w:val="single" w:sz="4" w:space="0" w:color="FFFFFF"/>
            </w:tcBorders>
            <w:vAlign w:val="center"/>
            <w:hideMark/>
          </w:tcPr>
          <w:p w:rsidR="00F83FA0" w:rsidRPr="00476F57" w:rsidRDefault="00F83FA0" w:rsidP="006A4ED8">
            <w:pPr>
              <w:spacing w:after="0" w:line="240" w:lineRule="auto"/>
              <w:jc w:val="center"/>
              <w:rPr>
                <w:rFonts w:ascii="Arial" w:eastAsia="Times New Roman" w:hAnsi="Arial" w:cs="Arial"/>
                <w:b/>
                <w:bCs/>
                <w:color w:val="FFFFFF"/>
                <w:sz w:val="18"/>
                <w:szCs w:val="18"/>
              </w:rPr>
            </w:pPr>
          </w:p>
        </w:tc>
        <w:tc>
          <w:tcPr>
            <w:tcW w:w="1626" w:type="dxa"/>
            <w:tcBorders>
              <w:top w:val="nil"/>
              <w:left w:val="nil"/>
              <w:bottom w:val="nil"/>
              <w:right w:val="single" w:sz="4" w:space="0" w:color="FFFFFF"/>
            </w:tcBorders>
            <w:shd w:val="clear" w:color="000000" w:fill="538DD5"/>
            <w:noWrap/>
            <w:vAlign w:val="center"/>
            <w:hideMark/>
          </w:tcPr>
          <w:p w:rsidR="00F83FA0" w:rsidRPr="00476F57" w:rsidRDefault="00F83FA0" w:rsidP="006A4ED8">
            <w:pPr>
              <w:spacing w:after="0" w:line="240" w:lineRule="auto"/>
              <w:jc w:val="center"/>
              <w:rPr>
                <w:rFonts w:ascii="Arial" w:eastAsia="Times New Roman" w:hAnsi="Arial" w:cs="Arial"/>
                <w:b/>
                <w:bCs/>
                <w:color w:val="FFFFFF"/>
                <w:sz w:val="18"/>
                <w:szCs w:val="18"/>
              </w:rPr>
            </w:pPr>
            <w:r w:rsidRPr="00476F57">
              <w:rPr>
                <w:rFonts w:ascii="Arial" w:eastAsia="Times New Roman" w:hAnsi="Arial" w:cs="Arial"/>
                <w:b/>
                <w:bCs/>
                <w:color w:val="FFFFFF"/>
                <w:sz w:val="18"/>
                <w:szCs w:val="18"/>
              </w:rPr>
              <w:t>Redes</w:t>
            </w:r>
          </w:p>
        </w:tc>
        <w:tc>
          <w:tcPr>
            <w:tcW w:w="1626" w:type="dxa"/>
            <w:tcBorders>
              <w:top w:val="nil"/>
              <w:left w:val="nil"/>
              <w:bottom w:val="nil"/>
              <w:right w:val="single" w:sz="4" w:space="0" w:color="FFFFFF"/>
            </w:tcBorders>
            <w:shd w:val="clear" w:color="000000" w:fill="538DD5"/>
            <w:noWrap/>
            <w:vAlign w:val="center"/>
            <w:hideMark/>
          </w:tcPr>
          <w:p w:rsidR="00F83FA0" w:rsidRPr="00476F57" w:rsidRDefault="00F83FA0" w:rsidP="006A4ED8">
            <w:pPr>
              <w:spacing w:after="0" w:line="240" w:lineRule="auto"/>
              <w:jc w:val="center"/>
              <w:rPr>
                <w:rFonts w:ascii="Arial" w:eastAsia="Times New Roman" w:hAnsi="Arial" w:cs="Arial"/>
                <w:b/>
                <w:bCs/>
                <w:color w:val="FFFFFF"/>
                <w:sz w:val="18"/>
                <w:szCs w:val="18"/>
              </w:rPr>
            </w:pPr>
            <w:r w:rsidRPr="00476F57">
              <w:rPr>
                <w:rFonts w:ascii="Arial" w:eastAsia="Times New Roman" w:hAnsi="Arial" w:cs="Arial"/>
                <w:b/>
                <w:bCs/>
                <w:color w:val="FFFFFF"/>
                <w:sz w:val="18"/>
                <w:szCs w:val="18"/>
              </w:rPr>
              <w:t>No Redes</w:t>
            </w:r>
          </w:p>
        </w:tc>
        <w:tc>
          <w:tcPr>
            <w:tcW w:w="1564" w:type="dxa"/>
            <w:vMerge/>
            <w:tcBorders>
              <w:top w:val="nil"/>
              <w:left w:val="single" w:sz="4" w:space="0" w:color="FFFFFF"/>
              <w:bottom w:val="single" w:sz="4" w:space="0" w:color="FFFFFF"/>
              <w:right w:val="single" w:sz="4" w:space="0" w:color="FFFFFF"/>
            </w:tcBorders>
            <w:vAlign w:val="center"/>
            <w:hideMark/>
          </w:tcPr>
          <w:p w:rsidR="00F83FA0" w:rsidRPr="00476F57" w:rsidRDefault="00F83FA0" w:rsidP="003B0845">
            <w:pPr>
              <w:spacing w:after="0" w:line="240" w:lineRule="auto"/>
              <w:jc w:val="both"/>
              <w:rPr>
                <w:rFonts w:ascii="Arial" w:eastAsia="Times New Roman" w:hAnsi="Arial" w:cs="Arial"/>
                <w:b/>
                <w:bCs/>
                <w:color w:val="FFFFFF"/>
                <w:sz w:val="18"/>
                <w:szCs w:val="18"/>
              </w:rPr>
            </w:pPr>
          </w:p>
        </w:tc>
      </w:tr>
      <w:tr w:rsidR="00F83FA0" w:rsidRPr="00476F57" w:rsidTr="00913651">
        <w:trPr>
          <w:trHeight w:val="300"/>
          <w:jc w:val="center"/>
        </w:trPr>
        <w:tc>
          <w:tcPr>
            <w:tcW w:w="2805" w:type="dxa"/>
            <w:gridSpan w:val="2"/>
            <w:tcBorders>
              <w:top w:val="single" w:sz="4" w:space="0" w:color="FFFFFF"/>
              <w:left w:val="single" w:sz="4" w:space="0" w:color="FFFFFF"/>
              <w:bottom w:val="single" w:sz="4" w:space="0" w:color="FFFFFF"/>
              <w:right w:val="single" w:sz="4" w:space="0" w:color="FFFFFF"/>
            </w:tcBorders>
            <w:shd w:val="clear" w:color="000000" w:fill="BFBFBF"/>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Tiazidas</w:t>
            </w:r>
          </w:p>
        </w:tc>
        <w:tc>
          <w:tcPr>
            <w:tcW w:w="610" w:type="dxa"/>
            <w:tcBorders>
              <w:top w:val="nil"/>
              <w:left w:val="nil"/>
              <w:bottom w:val="single" w:sz="4" w:space="0" w:color="FFFFFF"/>
              <w:right w:val="single" w:sz="4" w:space="0" w:color="FFFFFF"/>
            </w:tcBorders>
            <w:shd w:val="clear" w:color="000000" w:fill="BFBFBF"/>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1005" w:type="dxa"/>
            <w:tcBorders>
              <w:top w:val="single" w:sz="4" w:space="0" w:color="FFFFFF"/>
              <w:left w:val="nil"/>
              <w:bottom w:val="single" w:sz="4" w:space="0" w:color="FFFFFF"/>
              <w:right w:val="single" w:sz="4" w:space="0" w:color="FFFFFF"/>
            </w:tcBorders>
            <w:shd w:val="clear" w:color="000000" w:fill="BFBFBF"/>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892</w:t>
            </w:r>
          </w:p>
        </w:tc>
        <w:tc>
          <w:tcPr>
            <w:tcW w:w="1400" w:type="dxa"/>
            <w:tcBorders>
              <w:top w:val="single" w:sz="4" w:space="0" w:color="FFFFFF"/>
              <w:left w:val="nil"/>
              <w:bottom w:val="single" w:sz="4" w:space="0" w:color="FFFFFF"/>
              <w:right w:val="single" w:sz="4" w:space="0" w:color="FFFFFF"/>
            </w:tcBorders>
            <w:shd w:val="clear" w:color="000000" w:fill="BFBFBF"/>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738</w:t>
            </w:r>
          </w:p>
        </w:tc>
        <w:tc>
          <w:tcPr>
            <w:tcW w:w="931" w:type="dxa"/>
            <w:tcBorders>
              <w:top w:val="single" w:sz="4" w:space="0" w:color="FFFFFF"/>
              <w:left w:val="nil"/>
              <w:bottom w:val="single" w:sz="4" w:space="0" w:color="FFFFFF"/>
              <w:right w:val="single" w:sz="4" w:space="0" w:color="FFFFFF"/>
            </w:tcBorders>
            <w:shd w:val="clear" w:color="000000" w:fill="BFBFBF"/>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1431" w:type="dxa"/>
            <w:tcBorders>
              <w:top w:val="single" w:sz="4" w:space="0" w:color="FFFFFF"/>
              <w:left w:val="nil"/>
              <w:bottom w:val="single" w:sz="4" w:space="0" w:color="FFFFFF"/>
              <w:right w:val="single" w:sz="4" w:space="0" w:color="FFFFFF"/>
            </w:tcBorders>
            <w:shd w:val="clear" w:color="000000" w:fill="BFBFBF"/>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851" w:type="dxa"/>
            <w:tcBorders>
              <w:top w:val="nil"/>
              <w:left w:val="nil"/>
              <w:bottom w:val="single" w:sz="4" w:space="0" w:color="FFFFFF"/>
              <w:right w:val="single" w:sz="4" w:space="0" w:color="FFFFFF"/>
            </w:tcBorders>
            <w:shd w:val="clear" w:color="000000" w:fill="BFBFBF"/>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1626" w:type="dxa"/>
            <w:tcBorders>
              <w:top w:val="single" w:sz="4" w:space="0" w:color="FFFFFF"/>
              <w:left w:val="nil"/>
              <w:bottom w:val="single" w:sz="4" w:space="0" w:color="FFFFFF"/>
              <w:right w:val="single" w:sz="4" w:space="0" w:color="FFFFFF"/>
            </w:tcBorders>
            <w:shd w:val="clear" w:color="000000" w:fill="BFBFBF"/>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1626" w:type="dxa"/>
            <w:tcBorders>
              <w:top w:val="single" w:sz="4" w:space="0" w:color="FFFFFF"/>
              <w:left w:val="nil"/>
              <w:bottom w:val="single" w:sz="4" w:space="0" w:color="FFFFFF"/>
              <w:right w:val="single" w:sz="4" w:space="0" w:color="FFFFFF"/>
            </w:tcBorders>
            <w:shd w:val="clear" w:color="000000" w:fill="BFBFBF"/>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1564" w:type="dxa"/>
            <w:tcBorders>
              <w:top w:val="nil"/>
              <w:left w:val="nil"/>
              <w:bottom w:val="single" w:sz="4" w:space="0" w:color="FFFFFF"/>
              <w:right w:val="single" w:sz="4" w:space="0" w:color="FFFFFF"/>
            </w:tcBorders>
            <w:shd w:val="clear" w:color="000000" w:fill="BFBFBF"/>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r>
      <w:tr w:rsidR="00F83FA0" w:rsidRPr="00476F57" w:rsidTr="00913651">
        <w:trPr>
          <w:trHeight w:val="300"/>
          <w:jc w:val="center"/>
        </w:trPr>
        <w:tc>
          <w:tcPr>
            <w:tcW w:w="257" w:type="dxa"/>
            <w:tcBorders>
              <w:top w:val="nil"/>
              <w:left w:val="single" w:sz="4" w:space="0" w:color="FFFFFF"/>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2548" w:type="dxa"/>
            <w:tcBorders>
              <w:top w:val="nil"/>
              <w:left w:val="nil"/>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ACV</w:t>
            </w:r>
          </w:p>
        </w:tc>
        <w:tc>
          <w:tcPr>
            <w:tcW w:w="610" w:type="dxa"/>
            <w:tcBorders>
              <w:top w:val="nil"/>
              <w:left w:val="nil"/>
              <w:bottom w:val="single" w:sz="4" w:space="0" w:color="FFFFFF"/>
              <w:right w:val="single" w:sz="4" w:space="0" w:color="FFFFFF"/>
            </w:tcBorders>
            <w:shd w:val="clear" w:color="000000" w:fill="F2F2F2"/>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358</w:t>
            </w:r>
          </w:p>
        </w:tc>
        <w:tc>
          <w:tcPr>
            <w:tcW w:w="1005" w:type="dxa"/>
            <w:tcBorders>
              <w:top w:val="nil"/>
              <w:left w:val="nil"/>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1400" w:type="dxa"/>
            <w:tcBorders>
              <w:top w:val="nil"/>
              <w:left w:val="nil"/>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931" w:type="dxa"/>
            <w:tcBorders>
              <w:top w:val="nil"/>
              <w:left w:val="nil"/>
              <w:bottom w:val="single" w:sz="4" w:space="0" w:color="FFFFFF"/>
              <w:right w:val="single" w:sz="4" w:space="0" w:color="FFFFFF"/>
            </w:tcBorders>
            <w:shd w:val="clear" w:color="000000" w:fill="F2F2F2"/>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2</w:t>
            </w:r>
          </w:p>
        </w:tc>
        <w:tc>
          <w:tcPr>
            <w:tcW w:w="1431" w:type="dxa"/>
            <w:tcBorders>
              <w:top w:val="nil"/>
              <w:left w:val="nil"/>
              <w:bottom w:val="single" w:sz="4" w:space="0" w:color="FFFFFF"/>
              <w:right w:val="single" w:sz="4" w:space="0" w:color="FFFFFF"/>
            </w:tcBorders>
            <w:shd w:val="clear" w:color="000000" w:fill="F2F2F2"/>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2</w:t>
            </w:r>
          </w:p>
        </w:tc>
        <w:tc>
          <w:tcPr>
            <w:tcW w:w="851" w:type="dxa"/>
            <w:tcBorders>
              <w:top w:val="nil"/>
              <w:left w:val="nil"/>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-0.43</w:t>
            </w:r>
          </w:p>
        </w:tc>
        <w:tc>
          <w:tcPr>
            <w:tcW w:w="1626" w:type="dxa"/>
            <w:tcBorders>
              <w:top w:val="nil"/>
              <w:left w:val="nil"/>
              <w:bottom w:val="single" w:sz="4" w:space="0" w:color="FFFFFF"/>
              <w:right w:val="single" w:sz="4" w:space="0" w:color="FFFFFF"/>
            </w:tcBorders>
            <w:shd w:val="clear" w:color="000000" w:fill="F2F2F2"/>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$68,299</w:t>
            </w:r>
          </w:p>
        </w:tc>
        <w:tc>
          <w:tcPr>
            <w:tcW w:w="1626" w:type="dxa"/>
            <w:tcBorders>
              <w:top w:val="nil"/>
              <w:left w:val="nil"/>
              <w:bottom w:val="single" w:sz="4" w:space="0" w:color="FFFFFF"/>
              <w:right w:val="single" w:sz="4" w:space="0" w:color="FFFFFF"/>
            </w:tcBorders>
            <w:shd w:val="clear" w:color="000000" w:fill="F2F2F2"/>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$56,472</w:t>
            </w:r>
          </w:p>
        </w:tc>
        <w:tc>
          <w:tcPr>
            <w:tcW w:w="1564" w:type="dxa"/>
            <w:tcBorders>
              <w:top w:val="nil"/>
              <w:left w:val="nil"/>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-$11,827</w:t>
            </w:r>
          </w:p>
        </w:tc>
      </w:tr>
      <w:tr w:rsidR="00F83FA0" w:rsidRPr="00476F57" w:rsidTr="00913651">
        <w:trPr>
          <w:trHeight w:val="300"/>
          <w:jc w:val="center"/>
        </w:trPr>
        <w:tc>
          <w:tcPr>
            <w:tcW w:w="257" w:type="dxa"/>
            <w:tcBorders>
              <w:top w:val="nil"/>
              <w:left w:val="single" w:sz="4" w:space="0" w:color="FFFFFF"/>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2548" w:type="dxa"/>
            <w:tcBorders>
              <w:top w:val="nil"/>
              <w:left w:val="nil"/>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Eventos CV</w:t>
            </w:r>
          </w:p>
        </w:tc>
        <w:tc>
          <w:tcPr>
            <w:tcW w:w="610" w:type="dxa"/>
            <w:tcBorders>
              <w:top w:val="nil"/>
              <w:left w:val="nil"/>
              <w:bottom w:val="single" w:sz="4" w:space="0" w:color="FFFFFF"/>
              <w:right w:val="single" w:sz="4" w:space="0" w:color="FFFFFF"/>
            </w:tcBorders>
            <w:shd w:val="clear" w:color="000000" w:fill="F2F2F2"/>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254</w:t>
            </w:r>
          </w:p>
        </w:tc>
        <w:tc>
          <w:tcPr>
            <w:tcW w:w="1005" w:type="dxa"/>
            <w:tcBorders>
              <w:top w:val="nil"/>
              <w:left w:val="nil"/>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1400" w:type="dxa"/>
            <w:tcBorders>
              <w:top w:val="nil"/>
              <w:left w:val="nil"/>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931" w:type="dxa"/>
            <w:tcBorders>
              <w:top w:val="nil"/>
              <w:left w:val="nil"/>
              <w:bottom w:val="single" w:sz="4" w:space="0" w:color="FFFFFF"/>
              <w:right w:val="single" w:sz="4" w:space="0" w:color="FFFFFF"/>
            </w:tcBorders>
            <w:shd w:val="clear" w:color="000000" w:fill="F2F2F2"/>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4</w:t>
            </w:r>
          </w:p>
        </w:tc>
        <w:tc>
          <w:tcPr>
            <w:tcW w:w="1431" w:type="dxa"/>
            <w:tcBorders>
              <w:top w:val="nil"/>
              <w:left w:val="nil"/>
              <w:bottom w:val="single" w:sz="4" w:space="0" w:color="FFFFFF"/>
              <w:right w:val="single" w:sz="4" w:space="0" w:color="FFFFFF"/>
            </w:tcBorders>
            <w:shd w:val="clear" w:color="000000" w:fill="F2F2F2"/>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3</w:t>
            </w:r>
          </w:p>
        </w:tc>
        <w:tc>
          <w:tcPr>
            <w:tcW w:w="851" w:type="dxa"/>
            <w:tcBorders>
              <w:top w:val="nil"/>
              <w:left w:val="nil"/>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-0.61</w:t>
            </w:r>
          </w:p>
        </w:tc>
        <w:tc>
          <w:tcPr>
            <w:tcW w:w="1626" w:type="dxa"/>
            <w:tcBorders>
              <w:top w:val="nil"/>
              <w:left w:val="nil"/>
              <w:bottom w:val="single" w:sz="4" w:space="0" w:color="FFFFFF"/>
              <w:right w:val="single" w:sz="4" w:space="0" w:color="FFFFFF"/>
            </w:tcBorders>
            <w:shd w:val="clear" w:color="000000" w:fill="F2F2F2"/>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$15,589</w:t>
            </w:r>
          </w:p>
        </w:tc>
        <w:tc>
          <w:tcPr>
            <w:tcW w:w="1626" w:type="dxa"/>
            <w:tcBorders>
              <w:top w:val="nil"/>
              <w:left w:val="nil"/>
              <w:bottom w:val="single" w:sz="4" w:space="0" w:color="FFFFFF"/>
              <w:right w:val="single" w:sz="4" w:space="0" w:color="FFFFFF"/>
            </w:tcBorders>
            <w:shd w:val="clear" w:color="000000" w:fill="F2F2F2"/>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$12,890</w:t>
            </w:r>
          </w:p>
        </w:tc>
        <w:tc>
          <w:tcPr>
            <w:tcW w:w="1564" w:type="dxa"/>
            <w:tcBorders>
              <w:top w:val="nil"/>
              <w:left w:val="nil"/>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-$2,699</w:t>
            </w:r>
          </w:p>
        </w:tc>
      </w:tr>
      <w:tr w:rsidR="00F83FA0" w:rsidRPr="00476F57" w:rsidTr="00913651">
        <w:trPr>
          <w:trHeight w:val="300"/>
          <w:jc w:val="center"/>
        </w:trPr>
        <w:tc>
          <w:tcPr>
            <w:tcW w:w="2805" w:type="dxa"/>
            <w:gridSpan w:val="2"/>
            <w:tcBorders>
              <w:top w:val="single" w:sz="4" w:space="0" w:color="FFFFFF"/>
              <w:left w:val="single" w:sz="4" w:space="0" w:color="FFFFFF"/>
              <w:bottom w:val="single" w:sz="4" w:space="0" w:color="FFFFFF"/>
              <w:right w:val="single" w:sz="4" w:space="0" w:color="FFFFFF"/>
            </w:tcBorders>
            <w:shd w:val="clear" w:color="000000" w:fill="BFBFBF"/>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IECAS</w:t>
            </w:r>
          </w:p>
        </w:tc>
        <w:tc>
          <w:tcPr>
            <w:tcW w:w="610" w:type="dxa"/>
            <w:tcBorders>
              <w:top w:val="nil"/>
              <w:left w:val="nil"/>
              <w:bottom w:val="single" w:sz="4" w:space="0" w:color="FFFFFF"/>
              <w:right w:val="single" w:sz="4" w:space="0" w:color="FFFFFF"/>
            </w:tcBorders>
            <w:shd w:val="clear" w:color="000000" w:fill="BFBFBF"/>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1005" w:type="dxa"/>
            <w:tcBorders>
              <w:top w:val="nil"/>
              <w:left w:val="nil"/>
              <w:bottom w:val="single" w:sz="4" w:space="0" w:color="FFFFFF"/>
              <w:right w:val="single" w:sz="4" w:space="0" w:color="FFFFFF"/>
            </w:tcBorders>
            <w:shd w:val="clear" w:color="000000" w:fill="BFBFBF"/>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15,942</w:t>
            </w:r>
          </w:p>
        </w:tc>
        <w:tc>
          <w:tcPr>
            <w:tcW w:w="1400" w:type="dxa"/>
            <w:tcBorders>
              <w:top w:val="nil"/>
              <w:left w:val="nil"/>
              <w:bottom w:val="single" w:sz="4" w:space="0" w:color="FFFFFF"/>
              <w:right w:val="single" w:sz="4" w:space="0" w:color="FFFFFF"/>
            </w:tcBorders>
            <w:shd w:val="clear" w:color="000000" w:fill="BFBFBF"/>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13,182</w:t>
            </w:r>
          </w:p>
        </w:tc>
        <w:tc>
          <w:tcPr>
            <w:tcW w:w="931" w:type="dxa"/>
            <w:tcBorders>
              <w:top w:val="nil"/>
              <w:left w:val="nil"/>
              <w:bottom w:val="single" w:sz="4" w:space="0" w:color="FFFFFF"/>
              <w:right w:val="single" w:sz="4" w:space="0" w:color="FFFFFF"/>
            </w:tcBorders>
            <w:shd w:val="clear" w:color="000000" w:fill="BFBFBF"/>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1431" w:type="dxa"/>
            <w:tcBorders>
              <w:top w:val="nil"/>
              <w:left w:val="nil"/>
              <w:bottom w:val="single" w:sz="4" w:space="0" w:color="FFFFFF"/>
              <w:right w:val="single" w:sz="4" w:space="0" w:color="FFFFFF"/>
            </w:tcBorders>
            <w:shd w:val="clear" w:color="000000" w:fill="BFBFBF"/>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851" w:type="dxa"/>
            <w:tcBorders>
              <w:top w:val="nil"/>
              <w:left w:val="nil"/>
              <w:bottom w:val="single" w:sz="4" w:space="0" w:color="FFFFFF"/>
              <w:right w:val="single" w:sz="4" w:space="0" w:color="FFFFFF"/>
            </w:tcBorders>
            <w:shd w:val="clear" w:color="000000" w:fill="BFBFBF"/>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1626" w:type="dxa"/>
            <w:tcBorders>
              <w:top w:val="nil"/>
              <w:left w:val="nil"/>
              <w:bottom w:val="single" w:sz="4" w:space="0" w:color="FFFFFF"/>
              <w:right w:val="single" w:sz="4" w:space="0" w:color="FFFFFF"/>
            </w:tcBorders>
            <w:shd w:val="clear" w:color="000000" w:fill="BFBFBF"/>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1626" w:type="dxa"/>
            <w:tcBorders>
              <w:top w:val="nil"/>
              <w:left w:val="nil"/>
              <w:bottom w:val="single" w:sz="4" w:space="0" w:color="FFFFFF"/>
              <w:right w:val="single" w:sz="4" w:space="0" w:color="FFFFFF"/>
            </w:tcBorders>
            <w:shd w:val="clear" w:color="000000" w:fill="BFBFBF"/>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1564" w:type="dxa"/>
            <w:tcBorders>
              <w:top w:val="nil"/>
              <w:left w:val="nil"/>
              <w:bottom w:val="single" w:sz="4" w:space="0" w:color="FFFFFF"/>
              <w:right w:val="single" w:sz="4" w:space="0" w:color="FFFFFF"/>
            </w:tcBorders>
            <w:shd w:val="clear" w:color="000000" w:fill="BFBFBF"/>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r>
      <w:tr w:rsidR="00F83FA0" w:rsidRPr="00476F57" w:rsidTr="00913651">
        <w:trPr>
          <w:trHeight w:val="300"/>
          <w:jc w:val="center"/>
        </w:trPr>
        <w:tc>
          <w:tcPr>
            <w:tcW w:w="257" w:type="dxa"/>
            <w:tcBorders>
              <w:top w:val="nil"/>
              <w:left w:val="single" w:sz="4" w:space="0" w:color="FFFFFF"/>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2548" w:type="dxa"/>
            <w:tcBorders>
              <w:top w:val="nil"/>
              <w:left w:val="nil"/>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Mortalidad</w:t>
            </w:r>
          </w:p>
        </w:tc>
        <w:tc>
          <w:tcPr>
            <w:tcW w:w="610" w:type="dxa"/>
            <w:tcBorders>
              <w:top w:val="nil"/>
              <w:left w:val="nil"/>
              <w:bottom w:val="single" w:sz="4" w:space="0" w:color="FFFFFF"/>
              <w:right w:val="single" w:sz="4" w:space="0" w:color="FFFFFF"/>
            </w:tcBorders>
            <w:shd w:val="clear" w:color="000000" w:fill="F2F2F2"/>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227</w:t>
            </w:r>
          </w:p>
        </w:tc>
        <w:tc>
          <w:tcPr>
            <w:tcW w:w="1005" w:type="dxa"/>
            <w:tcBorders>
              <w:top w:val="nil"/>
              <w:left w:val="nil"/>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1400" w:type="dxa"/>
            <w:tcBorders>
              <w:top w:val="nil"/>
              <w:left w:val="nil"/>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931" w:type="dxa"/>
            <w:tcBorders>
              <w:top w:val="nil"/>
              <w:left w:val="nil"/>
              <w:bottom w:val="single" w:sz="4" w:space="0" w:color="FFFFFF"/>
              <w:right w:val="single" w:sz="4" w:space="0" w:color="FFFFFF"/>
            </w:tcBorders>
            <w:shd w:val="clear" w:color="000000" w:fill="F2F2F2"/>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70</w:t>
            </w:r>
          </w:p>
        </w:tc>
        <w:tc>
          <w:tcPr>
            <w:tcW w:w="1431" w:type="dxa"/>
            <w:tcBorders>
              <w:top w:val="nil"/>
              <w:left w:val="nil"/>
              <w:bottom w:val="single" w:sz="4" w:space="0" w:color="FFFFFF"/>
              <w:right w:val="single" w:sz="4" w:space="0" w:color="FFFFFF"/>
            </w:tcBorders>
            <w:shd w:val="clear" w:color="000000" w:fill="F2F2F2"/>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58</w:t>
            </w:r>
          </w:p>
        </w:tc>
        <w:tc>
          <w:tcPr>
            <w:tcW w:w="851" w:type="dxa"/>
            <w:tcBorders>
              <w:top w:val="nil"/>
              <w:left w:val="nil"/>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n.a.</w:t>
            </w:r>
          </w:p>
        </w:tc>
        <w:tc>
          <w:tcPr>
            <w:tcW w:w="1626" w:type="dxa"/>
            <w:tcBorders>
              <w:top w:val="nil"/>
              <w:left w:val="nil"/>
              <w:bottom w:val="single" w:sz="4" w:space="0" w:color="FFFFFF"/>
              <w:right w:val="single" w:sz="4" w:space="0" w:color="FFFFFF"/>
            </w:tcBorders>
            <w:shd w:val="clear" w:color="000000" w:fill="F2F2F2"/>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1626" w:type="dxa"/>
            <w:tcBorders>
              <w:top w:val="nil"/>
              <w:left w:val="nil"/>
              <w:bottom w:val="single" w:sz="4" w:space="0" w:color="FFFFFF"/>
              <w:right w:val="single" w:sz="4" w:space="0" w:color="FFFFFF"/>
            </w:tcBorders>
            <w:shd w:val="clear" w:color="000000" w:fill="F2F2F2"/>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1564" w:type="dxa"/>
            <w:tcBorders>
              <w:top w:val="nil"/>
              <w:left w:val="nil"/>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n.a.</w:t>
            </w:r>
          </w:p>
        </w:tc>
      </w:tr>
      <w:tr w:rsidR="00F83FA0" w:rsidRPr="00476F57" w:rsidTr="00913651">
        <w:trPr>
          <w:trHeight w:val="300"/>
          <w:jc w:val="center"/>
        </w:trPr>
        <w:tc>
          <w:tcPr>
            <w:tcW w:w="257" w:type="dxa"/>
            <w:tcBorders>
              <w:top w:val="nil"/>
              <w:left w:val="single" w:sz="4" w:space="0" w:color="FFFFFF"/>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2548" w:type="dxa"/>
            <w:tcBorders>
              <w:top w:val="nil"/>
              <w:left w:val="nil"/>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CHD</w:t>
            </w:r>
          </w:p>
        </w:tc>
        <w:tc>
          <w:tcPr>
            <w:tcW w:w="610" w:type="dxa"/>
            <w:tcBorders>
              <w:top w:val="nil"/>
              <w:left w:val="nil"/>
              <w:bottom w:val="single" w:sz="4" w:space="0" w:color="FFFFFF"/>
              <w:right w:val="single" w:sz="4" w:space="0" w:color="FFFFFF"/>
            </w:tcBorders>
            <w:shd w:val="clear" w:color="000000" w:fill="F2F2F2"/>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251</w:t>
            </w:r>
          </w:p>
        </w:tc>
        <w:tc>
          <w:tcPr>
            <w:tcW w:w="1005" w:type="dxa"/>
            <w:tcBorders>
              <w:top w:val="nil"/>
              <w:left w:val="nil"/>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1400" w:type="dxa"/>
            <w:tcBorders>
              <w:top w:val="nil"/>
              <w:left w:val="nil"/>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931" w:type="dxa"/>
            <w:tcBorders>
              <w:top w:val="nil"/>
              <w:left w:val="nil"/>
              <w:bottom w:val="single" w:sz="4" w:space="0" w:color="FFFFFF"/>
              <w:right w:val="single" w:sz="4" w:space="0" w:color="FFFFFF"/>
            </w:tcBorders>
            <w:shd w:val="clear" w:color="000000" w:fill="F2F2F2"/>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64</w:t>
            </w:r>
          </w:p>
        </w:tc>
        <w:tc>
          <w:tcPr>
            <w:tcW w:w="1431" w:type="dxa"/>
            <w:tcBorders>
              <w:top w:val="nil"/>
              <w:left w:val="nil"/>
              <w:bottom w:val="single" w:sz="4" w:space="0" w:color="FFFFFF"/>
              <w:right w:val="single" w:sz="4" w:space="0" w:color="FFFFFF"/>
            </w:tcBorders>
            <w:shd w:val="clear" w:color="000000" w:fill="F2F2F2"/>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53</w:t>
            </w:r>
          </w:p>
        </w:tc>
        <w:tc>
          <w:tcPr>
            <w:tcW w:w="851" w:type="dxa"/>
            <w:tcBorders>
              <w:top w:val="nil"/>
              <w:left w:val="nil"/>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-11.01</w:t>
            </w:r>
          </w:p>
        </w:tc>
        <w:tc>
          <w:tcPr>
            <w:tcW w:w="1626" w:type="dxa"/>
            <w:tcBorders>
              <w:top w:val="nil"/>
              <w:left w:val="nil"/>
              <w:bottom w:val="single" w:sz="4" w:space="0" w:color="FFFFFF"/>
              <w:right w:val="single" w:sz="4" w:space="0" w:color="FFFFFF"/>
            </w:tcBorders>
            <w:shd w:val="clear" w:color="000000" w:fill="F2F2F2"/>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$1,340,141</w:t>
            </w:r>
          </w:p>
        </w:tc>
        <w:tc>
          <w:tcPr>
            <w:tcW w:w="1626" w:type="dxa"/>
            <w:tcBorders>
              <w:top w:val="nil"/>
              <w:left w:val="nil"/>
              <w:bottom w:val="single" w:sz="4" w:space="0" w:color="FFFFFF"/>
              <w:right w:val="single" w:sz="4" w:space="0" w:color="FFFFFF"/>
            </w:tcBorders>
            <w:shd w:val="clear" w:color="000000" w:fill="F2F2F2"/>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$1,108,082</w:t>
            </w:r>
          </w:p>
        </w:tc>
        <w:tc>
          <w:tcPr>
            <w:tcW w:w="1564" w:type="dxa"/>
            <w:tcBorders>
              <w:top w:val="nil"/>
              <w:left w:val="nil"/>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-$232,059</w:t>
            </w:r>
          </w:p>
        </w:tc>
      </w:tr>
      <w:tr w:rsidR="00F83FA0" w:rsidRPr="00476F57" w:rsidTr="00913651">
        <w:trPr>
          <w:trHeight w:val="300"/>
          <w:jc w:val="center"/>
        </w:trPr>
        <w:tc>
          <w:tcPr>
            <w:tcW w:w="257" w:type="dxa"/>
            <w:tcBorders>
              <w:top w:val="nil"/>
              <w:left w:val="single" w:sz="4" w:space="0" w:color="FFFFFF"/>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2548" w:type="dxa"/>
            <w:tcBorders>
              <w:top w:val="nil"/>
              <w:left w:val="nil"/>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Eventos CV</w:t>
            </w:r>
          </w:p>
        </w:tc>
        <w:tc>
          <w:tcPr>
            <w:tcW w:w="610" w:type="dxa"/>
            <w:tcBorders>
              <w:top w:val="nil"/>
              <w:left w:val="nil"/>
              <w:bottom w:val="single" w:sz="4" w:space="0" w:color="FFFFFF"/>
              <w:right w:val="single" w:sz="4" w:space="0" w:color="FFFFFF"/>
            </w:tcBorders>
            <w:shd w:val="clear" w:color="000000" w:fill="F2F2F2"/>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131</w:t>
            </w:r>
          </w:p>
        </w:tc>
        <w:tc>
          <w:tcPr>
            <w:tcW w:w="1005" w:type="dxa"/>
            <w:tcBorders>
              <w:top w:val="nil"/>
              <w:left w:val="nil"/>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1400" w:type="dxa"/>
            <w:tcBorders>
              <w:top w:val="nil"/>
              <w:left w:val="nil"/>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931" w:type="dxa"/>
            <w:tcBorders>
              <w:top w:val="nil"/>
              <w:left w:val="nil"/>
              <w:bottom w:val="single" w:sz="4" w:space="0" w:color="FFFFFF"/>
              <w:right w:val="single" w:sz="4" w:space="0" w:color="FFFFFF"/>
            </w:tcBorders>
            <w:shd w:val="clear" w:color="000000" w:fill="F2F2F2"/>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122</w:t>
            </w:r>
          </w:p>
        </w:tc>
        <w:tc>
          <w:tcPr>
            <w:tcW w:w="1431" w:type="dxa"/>
            <w:tcBorders>
              <w:top w:val="nil"/>
              <w:left w:val="nil"/>
              <w:bottom w:val="single" w:sz="4" w:space="0" w:color="FFFFFF"/>
              <w:right w:val="single" w:sz="4" w:space="0" w:color="FFFFFF"/>
            </w:tcBorders>
            <w:shd w:val="clear" w:color="000000" w:fill="F2F2F2"/>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101</w:t>
            </w:r>
          </w:p>
        </w:tc>
        <w:tc>
          <w:tcPr>
            <w:tcW w:w="851" w:type="dxa"/>
            <w:tcBorders>
              <w:top w:val="nil"/>
              <w:left w:val="nil"/>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-21.09</w:t>
            </w:r>
          </w:p>
        </w:tc>
        <w:tc>
          <w:tcPr>
            <w:tcW w:w="1626" w:type="dxa"/>
            <w:tcBorders>
              <w:top w:val="nil"/>
              <w:left w:val="nil"/>
              <w:bottom w:val="single" w:sz="4" w:space="0" w:color="FFFFFF"/>
              <w:right w:val="single" w:sz="4" w:space="0" w:color="FFFFFF"/>
            </w:tcBorders>
            <w:shd w:val="clear" w:color="000000" w:fill="F2F2F2"/>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$540,338</w:t>
            </w:r>
          </w:p>
        </w:tc>
        <w:tc>
          <w:tcPr>
            <w:tcW w:w="1626" w:type="dxa"/>
            <w:tcBorders>
              <w:top w:val="nil"/>
              <w:left w:val="nil"/>
              <w:bottom w:val="single" w:sz="4" w:space="0" w:color="FFFFFF"/>
              <w:right w:val="single" w:sz="4" w:space="0" w:color="FFFFFF"/>
            </w:tcBorders>
            <w:shd w:val="clear" w:color="000000" w:fill="F2F2F2"/>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$446,773</w:t>
            </w:r>
          </w:p>
        </w:tc>
        <w:tc>
          <w:tcPr>
            <w:tcW w:w="1564" w:type="dxa"/>
            <w:tcBorders>
              <w:top w:val="nil"/>
              <w:left w:val="nil"/>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-$93,565</w:t>
            </w:r>
          </w:p>
        </w:tc>
      </w:tr>
      <w:tr w:rsidR="00F83FA0" w:rsidRPr="00476F57" w:rsidTr="00913651">
        <w:trPr>
          <w:trHeight w:val="300"/>
          <w:jc w:val="center"/>
        </w:trPr>
        <w:tc>
          <w:tcPr>
            <w:tcW w:w="2805" w:type="dxa"/>
            <w:gridSpan w:val="2"/>
            <w:tcBorders>
              <w:top w:val="single" w:sz="4" w:space="0" w:color="FFFFFF"/>
              <w:left w:val="single" w:sz="4" w:space="0" w:color="FFFFFF"/>
              <w:bottom w:val="single" w:sz="4" w:space="0" w:color="FFFFFF"/>
              <w:right w:val="single" w:sz="4" w:space="0" w:color="FFFFFF"/>
            </w:tcBorders>
            <w:shd w:val="clear" w:color="000000" w:fill="BFBFBF"/>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Betabloqueantes</w:t>
            </w:r>
          </w:p>
        </w:tc>
        <w:tc>
          <w:tcPr>
            <w:tcW w:w="610" w:type="dxa"/>
            <w:tcBorders>
              <w:top w:val="nil"/>
              <w:left w:val="nil"/>
              <w:bottom w:val="single" w:sz="4" w:space="0" w:color="FFFFFF"/>
              <w:right w:val="single" w:sz="4" w:space="0" w:color="FFFFFF"/>
            </w:tcBorders>
            <w:shd w:val="clear" w:color="000000" w:fill="BFBFBF"/>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1005" w:type="dxa"/>
            <w:tcBorders>
              <w:top w:val="nil"/>
              <w:left w:val="nil"/>
              <w:bottom w:val="single" w:sz="4" w:space="0" w:color="FFFFFF"/>
              <w:right w:val="single" w:sz="4" w:space="0" w:color="FFFFFF"/>
            </w:tcBorders>
            <w:shd w:val="clear" w:color="000000" w:fill="BFBFBF"/>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3,389</w:t>
            </w:r>
          </w:p>
        </w:tc>
        <w:tc>
          <w:tcPr>
            <w:tcW w:w="1400" w:type="dxa"/>
            <w:tcBorders>
              <w:top w:val="nil"/>
              <w:left w:val="nil"/>
              <w:bottom w:val="single" w:sz="4" w:space="0" w:color="FFFFFF"/>
              <w:right w:val="single" w:sz="4" w:space="0" w:color="FFFFFF"/>
            </w:tcBorders>
            <w:shd w:val="clear" w:color="000000" w:fill="BFBFBF"/>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2,802</w:t>
            </w:r>
          </w:p>
        </w:tc>
        <w:tc>
          <w:tcPr>
            <w:tcW w:w="931" w:type="dxa"/>
            <w:tcBorders>
              <w:top w:val="nil"/>
              <w:left w:val="nil"/>
              <w:bottom w:val="single" w:sz="4" w:space="0" w:color="FFFFFF"/>
              <w:right w:val="single" w:sz="4" w:space="0" w:color="FFFFFF"/>
            </w:tcBorders>
            <w:shd w:val="clear" w:color="000000" w:fill="BFBFBF"/>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1431" w:type="dxa"/>
            <w:tcBorders>
              <w:top w:val="nil"/>
              <w:left w:val="nil"/>
              <w:bottom w:val="single" w:sz="4" w:space="0" w:color="FFFFFF"/>
              <w:right w:val="single" w:sz="4" w:space="0" w:color="FFFFFF"/>
            </w:tcBorders>
            <w:shd w:val="clear" w:color="000000" w:fill="BFBFBF"/>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851" w:type="dxa"/>
            <w:tcBorders>
              <w:top w:val="nil"/>
              <w:left w:val="nil"/>
              <w:bottom w:val="single" w:sz="4" w:space="0" w:color="FFFFFF"/>
              <w:right w:val="single" w:sz="4" w:space="0" w:color="FFFFFF"/>
            </w:tcBorders>
            <w:shd w:val="clear" w:color="000000" w:fill="BFBFBF"/>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1626" w:type="dxa"/>
            <w:tcBorders>
              <w:top w:val="nil"/>
              <w:left w:val="nil"/>
              <w:bottom w:val="single" w:sz="4" w:space="0" w:color="FFFFFF"/>
              <w:right w:val="single" w:sz="4" w:space="0" w:color="FFFFFF"/>
            </w:tcBorders>
            <w:shd w:val="clear" w:color="000000" w:fill="BFBFBF"/>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1626" w:type="dxa"/>
            <w:tcBorders>
              <w:top w:val="nil"/>
              <w:left w:val="nil"/>
              <w:bottom w:val="single" w:sz="4" w:space="0" w:color="FFFFFF"/>
              <w:right w:val="single" w:sz="4" w:space="0" w:color="FFFFFF"/>
            </w:tcBorders>
            <w:shd w:val="clear" w:color="000000" w:fill="BFBFBF"/>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1564" w:type="dxa"/>
            <w:tcBorders>
              <w:top w:val="nil"/>
              <w:left w:val="nil"/>
              <w:bottom w:val="single" w:sz="4" w:space="0" w:color="FFFFFF"/>
              <w:right w:val="single" w:sz="4" w:space="0" w:color="FFFFFF"/>
            </w:tcBorders>
            <w:shd w:val="clear" w:color="000000" w:fill="BFBFBF"/>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r>
      <w:tr w:rsidR="00F83FA0" w:rsidRPr="00476F57" w:rsidTr="00913651">
        <w:trPr>
          <w:trHeight w:val="300"/>
          <w:jc w:val="center"/>
        </w:trPr>
        <w:tc>
          <w:tcPr>
            <w:tcW w:w="257" w:type="dxa"/>
            <w:tcBorders>
              <w:top w:val="nil"/>
              <w:left w:val="single" w:sz="4" w:space="0" w:color="FFFFFF"/>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2548" w:type="dxa"/>
            <w:tcBorders>
              <w:top w:val="nil"/>
              <w:left w:val="nil"/>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ACV</w:t>
            </w:r>
          </w:p>
        </w:tc>
        <w:tc>
          <w:tcPr>
            <w:tcW w:w="610" w:type="dxa"/>
            <w:tcBorders>
              <w:top w:val="nil"/>
              <w:left w:val="nil"/>
              <w:bottom w:val="single" w:sz="4" w:space="0" w:color="FFFFFF"/>
              <w:right w:val="single" w:sz="4" w:space="0" w:color="FFFFFF"/>
            </w:tcBorders>
            <w:shd w:val="clear" w:color="000000" w:fill="F2F2F2"/>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853</w:t>
            </w:r>
          </w:p>
        </w:tc>
        <w:tc>
          <w:tcPr>
            <w:tcW w:w="1005" w:type="dxa"/>
            <w:tcBorders>
              <w:top w:val="nil"/>
              <w:left w:val="nil"/>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1400" w:type="dxa"/>
            <w:tcBorders>
              <w:top w:val="nil"/>
              <w:left w:val="nil"/>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931" w:type="dxa"/>
            <w:tcBorders>
              <w:top w:val="nil"/>
              <w:left w:val="nil"/>
              <w:bottom w:val="single" w:sz="4" w:space="0" w:color="FFFFFF"/>
              <w:right w:val="single" w:sz="4" w:space="0" w:color="FFFFFF"/>
            </w:tcBorders>
            <w:shd w:val="clear" w:color="000000" w:fill="F2F2F2"/>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4</w:t>
            </w:r>
          </w:p>
        </w:tc>
        <w:tc>
          <w:tcPr>
            <w:tcW w:w="1431" w:type="dxa"/>
            <w:tcBorders>
              <w:top w:val="nil"/>
              <w:left w:val="nil"/>
              <w:bottom w:val="single" w:sz="4" w:space="0" w:color="FFFFFF"/>
              <w:right w:val="single" w:sz="4" w:space="0" w:color="FFFFFF"/>
            </w:tcBorders>
            <w:shd w:val="clear" w:color="000000" w:fill="F2F2F2"/>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3</w:t>
            </w:r>
          </w:p>
        </w:tc>
        <w:tc>
          <w:tcPr>
            <w:tcW w:w="851" w:type="dxa"/>
            <w:tcBorders>
              <w:top w:val="nil"/>
              <w:left w:val="nil"/>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-0.69</w:t>
            </w:r>
          </w:p>
        </w:tc>
        <w:tc>
          <w:tcPr>
            <w:tcW w:w="1626" w:type="dxa"/>
            <w:tcBorders>
              <w:top w:val="nil"/>
              <w:left w:val="nil"/>
              <w:bottom w:val="single" w:sz="4" w:space="0" w:color="FFFFFF"/>
              <w:right w:val="single" w:sz="4" w:space="0" w:color="FFFFFF"/>
            </w:tcBorders>
            <w:shd w:val="clear" w:color="000000" w:fill="F2F2F2"/>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$108,931</w:t>
            </w:r>
          </w:p>
        </w:tc>
        <w:tc>
          <w:tcPr>
            <w:tcW w:w="1626" w:type="dxa"/>
            <w:tcBorders>
              <w:top w:val="nil"/>
              <w:left w:val="nil"/>
              <w:bottom w:val="single" w:sz="4" w:space="0" w:color="FFFFFF"/>
              <w:right w:val="single" w:sz="4" w:space="0" w:color="FFFFFF"/>
            </w:tcBorders>
            <w:shd w:val="clear" w:color="000000" w:fill="F2F2F2"/>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$90,069</w:t>
            </w:r>
          </w:p>
        </w:tc>
        <w:tc>
          <w:tcPr>
            <w:tcW w:w="1564" w:type="dxa"/>
            <w:tcBorders>
              <w:top w:val="nil"/>
              <w:left w:val="nil"/>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-$18,863</w:t>
            </w:r>
          </w:p>
        </w:tc>
      </w:tr>
      <w:tr w:rsidR="00F83FA0" w:rsidRPr="00476F57" w:rsidTr="00913651">
        <w:trPr>
          <w:trHeight w:val="300"/>
          <w:jc w:val="center"/>
        </w:trPr>
        <w:tc>
          <w:tcPr>
            <w:tcW w:w="257" w:type="dxa"/>
            <w:tcBorders>
              <w:top w:val="nil"/>
              <w:left w:val="single" w:sz="4" w:space="0" w:color="FFFFFF"/>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2548" w:type="dxa"/>
            <w:tcBorders>
              <w:top w:val="nil"/>
              <w:left w:val="nil"/>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Eventos CV</w:t>
            </w:r>
          </w:p>
        </w:tc>
        <w:tc>
          <w:tcPr>
            <w:tcW w:w="610" w:type="dxa"/>
            <w:tcBorders>
              <w:top w:val="nil"/>
              <w:left w:val="nil"/>
              <w:bottom w:val="single" w:sz="4" w:space="0" w:color="FFFFFF"/>
              <w:right w:val="single" w:sz="4" w:space="0" w:color="FFFFFF"/>
            </w:tcBorders>
            <w:shd w:val="clear" w:color="000000" w:fill="F2F2F2"/>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580</w:t>
            </w:r>
          </w:p>
        </w:tc>
        <w:tc>
          <w:tcPr>
            <w:tcW w:w="1005" w:type="dxa"/>
            <w:tcBorders>
              <w:top w:val="nil"/>
              <w:left w:val="nil"/>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1400" w:type="dxa"/>
            <w:tcBorders>
              <w:top w:val="nil"/>
              <w:left w:val="nil"/>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931" w:type="dxa"/>
            <w:tcBorders>
              <w:top w:val="nil"/>
              <w:left w:val="nil"/>
              <w:bottom w:val="single" w:sz="4" w:space="0" w:color="FFFFFF"/>
              <w:right w:val="single" w:sz="4" w:space="0" w:color="FFFFFF"/>
            </w:tcBorders>
            <w:shd w:val="clear" w:color="000000" w:fill="F2F2F2"/>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6</w:t>
            </w:r>
          </w:p>
        </w:tc>
        <w:tc>
          <w:tcPr>
            <w:tcW w:w="1431" w:type="dxa"/>
            <w:tcBorders>
              <w:top w:val="nil"/>
              <w:left w:val="nil"/>
              <w:bottom w:val="single" w:sz="4" w:space="0" w:color="FFFFFF"/>
              <w:right w:val="single" w:sz="4" w:space="0" w:color="FFFFFF"/>
            </w:tcBorders>
            <w:shd w:val="clear" w:color="000000" w:fill="F2F2F2"/>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5</w:t>
            </w:r>
          </w:p>
        </w:tc>
        <w:tc>
          <w:tcPr>
            <w:tcW w:w="851" w:type="dxa"/>
            <w:tcBorders>
              <w:top w:val="nil"/>
              <w:left w:val="nil"/>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-1.01</w:t>
            </w:r>
          </w:p>
        </w:tc>
        <w:tc>
          <w:tcPr>
            <w:tcW w:w="1626" w:type="dxa"/>
            <w:tcBorders>
              <w:top w:val="nil"/>
              <w:left w:val="nil"/>
              <w:bottom w:val="single" w:sz="4" w:space="0" w:color="FFFFFF"/>
              <w:right w:val="single" w:sz="4" w:space="0" w:color="FFFFFF"/>
            </w:tcBorders>
            <w:shd w:val="clear" w:color="000000" w:fill="F2F2F2"/>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$25,942</w:t>
            </w:r>
          </w:p>
        </w:tc>
        <w:tc>
          <w:tcPr>
            <w:tcW w:w="1626" w:type="dxa"/>
            <w:tcBorders>
              <w:top w:val="nil"/>
              <w:left w:val="nil"/>
              <w:bottom w:val="single" w:sz="4" w:space="0" w:color="FFFFFF"/>
              <w:right w:val="single" w:sz="4" w:space="0" w:color="FFFFFF"/>
            </w:tcBorders>
            <w:shd w:val="clear" w:color="000000" w:fill="F2F2F2"/>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$21,450</w:t>
            </w:r>
          </w:p>
        </w:tc>
        <w:tc>
          <w:tcPr>
            <w:tcW w:w="1564" w:type="dxa"/>
            <w:tcBorders>
              <w:top w:val="nil"/>
              <w:left w:val="nil"/>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-$4,492</w:t>
            </w:r>
          </w:p>
        </w:tc>
      </w:tr>
      <w:tr w:rsidR="00F83FA0" w:rsidRPr="00476F57" w:rsidTr="00913651">
        <w:trPr>
          <w:trHeight w:val="300"/>
          <w:jc w:val="center"/>
        </w:trPr>
        <w:tc>
          <w:tcPr>
            <w:tcW w:w="2805" w:type="dxa"/>
            <w:gridSpan w:val="2"/>
            <w:tcBorders>
              <w:top w:val="single" w:sz="4" w:space="0" w:color="FFFFFF"/>
              <w:left w:val="single" w:sz="4" w:space="0" w:color="FFFFFF"/>
              <w:bottom w:val="single" w:sz="4" w:space="0" w:color="FFFFFF"/>
              <w:right w:val="single" w:sz="4" w:space="0" w:color="FFFFFF"/>
            </w:tcBorders>
            <w:shd w:val="clear" w:color="000000" w:fill="BFBFBF"/>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Metformina</w:t>
            </w:r>
          </w:p>
        </w:tc>
        <w:tc>
          <w:tcPr>
            <w:tcW w:w="610" w:type="dxa"/>
            <w:tcBorders>
              <w:top w:val="nil"/>
              <w:left w:val="nil"/>
              <w:bottom w:val="single" w:sz="4" w:space="0" w:color="FFFFFF"/>
              <w:right w:val="single" w:sz="4" w:space="0" w:color="FFFFFF"/>
            </w:tcBorders>
            <w:shd w:val="clear" w:color="000000" w:fill="BFBFBF"/>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1005" w:type="dxa"/>
            <w:tcBorders>
              <w:top w:val="nil"/>
              <w:left w:val="nil"/>
              <w:bottom w:val="single" w:sz="4" w:space="0" w:color="FFFFFF"/>
              <w:right w:val="single" w:sz="4" w:space="0" w:color="FFFFFF"/>
            </w:tcBorders>
            <w:shd w:val="clear" w:color="000000" w:fill="BFBFBF"/>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4,155</w:t>
            </w:r>
          </w:p>
        </w:tc>
        <w:tc>
          <w:tcPr>
            <w:tcW w:w="1400" w:type="dxa"/>
            <w:tcBorders>
              <w:top w:val="nil"/>
              <w:left w:val="nil"/>
              <w:bottom w:val="single" w:sz="4" w:space="0" w:color="FFFFFF"/>
              <w:right w:val="single" w:sz="4" w:space="0" w:color="FFFFFF"/>
            </w:tcBorders>
            <w:shd w:val="clear" w:color="000000" w:fill="BFBFBF"/>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3,652</w:t>
            </w:r>
          </w:p>
        </w:tc>
        <w:tc>
          <w:tcPr>
            <w:tcW w:w="931" w:type="dxa"/>
            <w:tcBorders>
              <w:top w:val="nil"/>
              <w:left w:val="nil"/>
              <w:bottom w:val="single" w:sz="4" w:space="0" w:color="FFFFFF"/>
              <w:right w:val="single" w:sz="4" w:space="0" w:color="FFFFFF"/>
            </w:tcBorders>
            <w:shd w:val="clear" w:color="000000" w:fill="BFBFBF"/>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1431" w:type="dxa"/>
            <w:tcBorders>
              <w:top w:val="nil"/>
              <w:left w:val="nil"/>
              <w:bottom w:val="single" w:sz="4" w:space="0" w:color="FFFFFF"/>
              <w:right w:val="single" w:sz="4" w:space="0" w:color="FFFFFF"/>
            </w:tcBorders>
            <w:shd w:val="clear" w:color="000000" w:fill="BFBFBF"/>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851" w:type="dxa"/>
            <w:tcBorders>
              <w:top w:val="nil"/>
              <w:left w:val="nil"/>
              <w:bottom w:val="single" w:sz="4" w:space="0" w:color="FFFFFF"/>
              <w:right w:val="single" w:sz="4" w:space="0" w:color="FFFFFF"/>
            </w:tcBorders>
            <w:shd w:val="clear" w:color="000000" w:fill="BFBFBF"/>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1626" w:type="dxa"/>
            <w:tcBorders>
              <w:top w:val="nil"/>
              <w:left w:val="nil"/>
              <w:bottom w:val="single" w:sz="4" w:space="0" w:color="FFFFFF"/>
              <w:right w:val="single" w:sz="4" w:space="0" w:color="FFFFFF"/>
            </w:tcBorders>
            <w:shd w:val="clear" w:color="000000" w:fill="BFBFBF"/>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1626" w:type="dxa"/>
            <w:tcBorders>
              <w:top w:val="nil"/>
              <w:left w:val="nil"/>
              <w:bottom w:val="single" w:sz="4" w:space="0" w:color="FFFFFF"/>
              <w:right w:val="single" w:sz="4" w:space="0" w:color="FFFFFF"/>
            </w:tcBorders>
            <w:shd w:val="clear" w:color="000000" w:fill="BFBFBF"/>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1564" w:type="dxa"/>
            <w:tcBorders>
              <w:top w:val="nil"/>
              <w:left w:val="nil"/>
              <w:bottom w:val="single" w:sz="4" w:space="0" w:color="FFFFFF"/>
              <w:right w:val="single" w:sz="4" w:space="0" w:color="FFFFFF"/>
            </w:tcBorders>
            <w:shd w:val="clear" w:color="000000" w:fill="BFBFBF"/>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r>
      <w:tr w:rsidR="00F83FA0" w:rsidRPr="00476F57" w:rsidTr="00913651">
        <w:trPr>
          <w:trHeight w:val="300"/>
          <w:jc w:val="center"/>
        </w:trPr>
        <w:tc>
          <w:tcPr>
            <w:tcW w:w="257" w:type="dxa"/>
            <w:tcBorders>
              <w:top w:val="nil"/>
              <w:left w:val="single" w:sz="4" w:space="0" w:color="FFFFFF"/>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2548" w:type="dxa"/>
            <w:tcBorders>
              <w:top w:val="nil"/>
              <w:left w:val="nil"/>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Mortalidad por cualquier causa</w:t>
            </w:r>
          </w:p>
        </w:tc>
        <w:tc>
          <w:tcPr>
            <w:tcW w:w="610" w:type="dxa"/>
            <w:tcBorders>
              <w:top w:val="nil"/>
              <w:left w:val="nil"/>
              <w:bottom w:val="single" w:sz="4" w:space="0" w:color="FFFFFF"/>
              <w:right w:val="single" w:sz="4" w:space="0" w:color="FFFFFF"/>
            </w:tcBorders>
            <w:shd w:val="clear" w:color="000000" w:fill="F2F2F2"/>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14</w:t>
            </w:r>
          </w:p>
        </w:tc>
        <w:tc>
          <w:tcPr>
            <w:tcW w:w="1005" w:type="dxa"/>
            <w:tcBorders>
              <w:top w:val="nil"/>
              <w:left w:val="nil"/>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1400" w:type="dxa"/>
            <w:tcBorders>
              <w:top w:val="nil"/>
              <w:left w:val="nil"/>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931" w:type="dxa"/>
            <w:tcBorders>
              <w:top w:val="nil"/>
              <w:left w:val="nil"/>
              <w:bottom w:val="single" w:sz="4" w:space="0" w:color="FFFFFF"/>
              <w:right w:val="single" w:sz="4" w:space="0" w:color="FFFFFF"/>
            </w:tcBorders>
            <w:shd w:val="clear" w:color="000000" w:fill="F2F2F2"/>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295</w:t>
            </w:r>
          </w:p>
        </w:tc>
        <w:tc>
          <w:tcPr>
            <w:tcW w:w="1431" w:type="dxa"/>
            <w:tcBorders>
              <w:top w:val="nil"/>
              <w:left w:val="nil"/>
              <w:bottom w:val="single" w:sz="4" w:space="0" w:color="FFFFFF"/>
              <w:right w:val="single" w:sz="4" w:space="0" w:color="FFFFFF"/>
            </w:tcBorders>
            <w:shd w:val="clear" w:color="000000" w:fill="F2F2F2"/>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259</w:t>
            </w:r>
          </w:p>
        </w:tc>
        <w:tc>
          <w:tcPr>
            <w:tcW w:w="851" w:type="dxa"/>
            <w:tcBorders>
              <w:top w:val="nil"/>
              <w:left w:val="nil"/>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n.a.</w:t>
            </w:r>
          </w:p>
        </w:tc>
        <w:tc>
          <w:tcPr>
            <w:tcW w:w="1626" w:type="dxa"/>
            <w:tcBorders>
              <w:top w:val="nil"/>
              <w:left w:val="nil"/>
              <w:bottom w:val="single" w:sz="4" w:space="0" w:color="FFFFFF"/>
              <w:right w:val="single" w:sz="4" w:space="0" w:color="FFFFFF"/>
            </w:tcBorders>
            <w:shd w:val="clear" w:color="000000" w:fill="F2F2F2"/>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1626" w:type="dxa"/>
            <w:tcBorders>
              <w:top w:val="nil"/>
              <w:left w:val="nil"/>
              <w:bottom w:val="single" w:sz="4" w:space="0" w:color="FFFFFF"/>
              <w:right w:val="single" w:sz="4" w:space="0" w:color="FFFFFF"/>
            </w:tcBorders>
            <w:shd w:val="clear" w:color="000000" w:fill="F2F2F2"/>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1564" w:type="dxa"/>
            <w:tcBorders>
              <w:top w:val="nil"/>
              <w:left w:val="nil"/>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n.a.</w:t>
            </w:r>
          </w:p>
        </w:tc>
      </w:tr>
      <w:tr w:rsidR="00F83FA0" w:rsidRPr="00476F57" w:rsidTr="00913651">
        <w:trPr>
          <w:trHeight w:val="300"/>
          <w:jc w:val="center"/>
        </w:trPr>
        <w:tc>
          <w:tcPr>
            <w:tcW w:w="257" w:type="dxa"/>
            <w:tcBorders>
              <w:top w:val="nil"/>
              <w:left w:val="single" w:sz="4" w:space="0" w:color="FFFFFF"/>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2548" w:type="dxa"/>
            <w:tcBorders>
              <w:top w:val="nil"/>
              <w:left w:val="nil"/>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IAM</w:t>
            </w:r>
          </w:p>
        </w:tc>
        <w:tc>
          <w:tcPr>
            <w:tcW w:w="610" w:type="dxa"/>
            <w:tcBorders>
              <w:top w:val="nil"/>
              <w:left w:val="nil"/>
              <w:bottom w:val="single" w:sz="4" w:space="0" w:color="FFFFFF"/>
              <w:right w:val="single" w:sz="4" w:space="0" w:color="FFFFFF"/>
            </w:tcBorders>
            <w:shd w:val="clear" w:color="000000" w:fill="F2F2F2"/>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14</w:t>
            </w:r>
          </w:p>
        </w:tc>
        <w:tc>
          <w:tcPr>
            <w:tcW w:w="1005" w:type="dxa"/>
            <w:tcBorders>
              <w:top w:val="nil"/>
              <w:left w:val="nil"/>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1400" w:type="dxa"/>
            <w:tcBorders>
              <w:top w:val="nil"/>
              <w:left w:val="nil"/>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931" w:type="dxa"/>
            <w:tcBorders>
              <w:top w:val="nil"/>
              <w:left w:val="nil"/>
              <w:bottom w:val="single" w:sz="4" w:space="0" w:color="FFFFFF"/>
              <w:right w:val="single" w:sz="4" w:space="0" w:color="FFFFFF"/>
            </w:tcBorders>
            <w:shd w:val="clear" w:color="000000" w:fill="F2F2F2"/>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291</w:t>
            </w:r>
          </w:p>
        </w:tc>
        <w:tc>
          <w:tcPr>
            <w:tcW w:w="1431" w:type="dxa"/>
            <w:tcBorders>
              <w:top w:val="nil"/>
              <w:left w:val="nil"/>
              <w:bottom w:val="single" w:sz="4" w:space="0" w:color="FFFFFF"/>
              <w:right w:val="single" w:sz="4" w:space="0" w:color="FFFFFF"/>
            </w:tcBorders>
            <w:shd w:val="clear" w:color="000000" w:fill="F2F2F2"/>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256</w:t>
            </w:r>
          </w:p>
        </w:tc>
        <w:tc>
          <w:tcPr>
            <w:tcW w:w="851" w:type="dxa"/>
            <w:tcBorders>
              <w:top w:val="nil"/>
              <w:left w:val="nil"/>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-35.18</w:t>
            </w:r>
          </w:p>
        </w:tc>
        <w:tc>
          <w:tcPr>
            <w:tcW w:w="1626" w:type="dxa"/>
            <w:tcBorders>
              <w:top w:val="nil"/>
              <w:left w:val="nil"/>
              <w:bottom w:val="single" w:sz="4" w:space="0" w:color="FFFFFF"/>
              <w:right w:val="single" w:sz="4" w:space="0" w:color="FFFFFF"/>
            </w:tcBorders>
            <w:shd w:val="clear" w:color="000000" w:fill="F2F2F2"/>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$6,127,001</w:t>
            </w:r>
          </w:p>
        </w:tc>
        <w:tc>
          <w:tcPr>
            <w:tcW w:w="1626" w:type="dxa"/>
            <w:tcBorders>
              <w:top w:val="nil"/>
              <w:left w:val="nil"/>
              <w:bottom w:val="single" w:sz="4" w:space="0" w:color="FFFFFF"/>
              <w:right w:val="single" w:sz="4" w:space="0" w:color="FFFFFF"/>
            </w:tcBorders>
            <w:shd w:val="clear" w:color="000000" w:fill="F2F2F2"/>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$5,385,938</w:t>
            </w:r>
          </w:p>
        </w:tc>
        <w:tc>
          <w:tcPr>
            <w:tcW w:w="1564" w:type="dxa"/>
            <w:tcBorders>
              <w:top w:val="nil"/>
              <w:left w:val="nil"/>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-$741,063</w:t>
            </w:r>
          </w:p>
        </w:tc>
      </w:tr>
      <w:tr w:rsidR="00F83FA0" w:rsidRPr="00476F57" w:rsidTr="00913651">
        <w:trPr>
          <w:trHeight w:val="300"/>
          <w:jc w:val="center"/>
        </w:trPr>
        <w:tc>
          <w:tcPr>
            <w:tcW w:w="257" w:type="dxa"/>
            <w:tcBorders>
              <w:top w:val="nil"/>
              <w:left w:val="single" w:sz="4" w:space="0" w:color="FFFFFF"/>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2548" w:type="dxa"/>
            <w:tcBorders>
              <w:top w:val="nil"/>
              <w:left w:val="nil"/>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Evento asociado a DBT</w:t>
            </w:r>
          </w:p>
        </w:tc>
        <w:tc>
          <w:tcPr>
            <w:tcW w:w="610" w:type="dxa"/>
            <w:tcBorders>
              <w:top w:val="nil"/>
              <w:left w:val="nil"/>
              <w:bottom w:val="single" w:sz="4" w:space="0" w:color="FFFFFF"/>
              <w:right w:val="single" w:sz="4" w:space="0" w:color="FFFFFF"/>
            </w:tcBorders>
            <w:shd w:val="clear" w:color="000000" w:fill="F2F2F2"/>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7</w:t>
            </w:r>
          </w:p>
        </w:tc>
        <w:tc>
          <w:tcPr>
            <w:tcW w:w="1005" w:type="dxa"/>
            <w:tcBorders>
              <w:top w:val="nil"/>
              <w:left w:val="nil"/>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1400" w:type="dxa"/>
            <w:tcBorders>
              <w:top w:val="nil"/>
              <w:left w:val="nil"/>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931" w:type="dxa"/>
            <w:tcBorders>
              <w:top w:val="nil"/>
              <w:left w:val="nil"/>
              <w:bottom w:val="single" w:sz="4" w:space="0" w:color="FFFFFF"/>
              <w:right w:val="single" w:sz="4" w:space="0" w:color="FFFFFF"/>
            </w:tcBorders>
            <w:shd w:val="clear" w:color="000000" w:fill="F2F2F2"/>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561</w:t>
            </w:r>
          </w:p>
        </w:tc>
        <w:tc>
          <w:tcPr>
            <w:tcW w:w="1431" w:type="dxa"/>
            <w:tcBorders>
              <w:top w:val="nil"/>
              <w:left w:val="nil"/>
              <w:bottom w:val="single" w:sz="4" w:space="0" w:color="FFFFFF"/>
              <w:right w:val="single" w:sz="4" w:space="0" w:color="FFFFFF"/>
            </w:tcBorders>
            <w:shd w:val="clear" w:color="000000" w:fill="F2F2F2"/>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493</w:t>
            </w:r>
          </w:p>
        </w:tc>
        <w:tc>
          <w:tcPr>
            <w:tcW w:w="851" w:type="dxa"/>
            <w:tcBorders>
              <w:top w:val="nil"/>
              <w:left w:val="nil"/>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-67.84</w:t>
            </w:r>
          </w:p>
        </w:tc>
        <w:tc>
          <w:tcPr>
            <w:tcW w:w="1626" w:type="dxa"/>
            <w:tcBorders>
              <w:top w:val="nil"/>
              <w:left w:val="nil"/>
              <w:bottom w:val="single" w:sz="4" w:space="0" w:color="FFFFFF"/>
              <w:right w:val="single" w:sz="4" w:space="0" w:color="FFFFFF"/>
            </w:tcBorders>
            <w:shd w:val="clear" w:color="000000" w:fill="F2F2F2"/>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$3,110,971</w:t>
            </w:r>
          </w:p>
        </w:tc>
        <w:tc>
          <w:tcPr>
            <w:tcW w:w="1626" w:type="dxa"/>
            <w:tcBorders>
              <w:top w:val="nil"/>
              <w:left w:val="nil"/>
              <w:bottom w:val="single" w:sz="4" w:space="0" w:color="FFFFFF"/>
              <w:right w:val="single" w:sz="4" w:space="0" w:color="FFFFFF"/>
            </w:tcBorders>
            <w:shd w:val="clear" w:color="000000" w:fill="F2F2F2"/>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$2,734,698</w:t>
            </w:r>
          </w:p>
        </w:tc>
        <w:tc>
          <w:tcPr>
            <w:tcW w:w="1564" w:type="dxa"/>
            <w:tcBorders>
              <w:top w:val="nil"/>
              <w:left w:val="nil"/>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-$376,273</w:t>
            </w:r>
          </w:p>
        </w:tc>
      </w:tr>
      <w:tr w:rsidR="00F83FA0" w:rsidRPr="00476F57" w:rsidTr="00913651">
        <w:trPr>
          <w:trHeight w:val="300"/>
          <w:jc w:val="center"/>
        </w:trPr>
        <w:tc>
          <w:tcPr>
            <w:tcW w:w="257" w:type="dxa"/>
            <w:tcBorders>
              <w:top w:val="nil"/>
              <w:left w:val="single" w:sz="4" w:space="0" w:color="FFFFFF"/>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2548" w:type="dxa"/>
            <w:tcBorders>
              <w:top w:val="nil"/>
              <w:left w:val="nil"/>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Mortalidad por DBT</w:t>
            </w:r>
          </w:p>
        </w:tc>
        <w:tc>
          <w:tcPr>
            <w:tcW w:w="610" w:type="dxa"/>
            <w:tcBorders>
              <w:top w:val="nil"/>
              <w:left w:val="nil"/>
              <w:bottom w:val="single" w:sz="4" w:space="0" w:color="FFFFFF"/>
              <w:right w:val="single" w:sz="4" w:space="0" w:color="FFFFFF"/>
            </w:tcBorders>
            <w:shd w:val="clear" w:color="000000" w:fill="F2F2F2"/>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19</w:t>
            </w:r>
          </w:p>
        </w:tc>
        <w:tc>
          <w:tcPr>
            <w:tcW w:w="1005" w:type="dxa"/>
            <w:tcBorders>
              <w:top w:val="nil"/>
              <w:left w:val="nil"/>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1400" w:type="dxa"/>
            <w:tcBorders>
              <w:top w:val="nil"/>
              <w:left w:val="nil"/>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931" w:type="dxa"/>
            <w:tcBorders>
              <w:top w:val="nil"/>
              <w:left w:val="nil"/>
              <w:bottom w:val="single" w:sz="4" w:space="0" w:color="FFFFFF"/>
              <w:right w:val="single" w:sz="4" w:space="0" w:color="FFFFFF"/>
            </w:tcBorders>
            <w:shd w:val="clear" w:color="000000" w:fill="F2F2F2"/>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216</w:t>
            </w:r>
          </w:p>
        </w:tc>
        <w:tc>
          <w:tcPr>
            <w:tcW w:w="1431" w:type="dxa"/>
            <w:tcBorders>
              <w:top w:val="nil"/>
              <w:left w:val="nil"/>
              <w:bottom w:val="single" w:sz="4" w:space="0" w:color="FFFFFF"/>
              <w:right w:val="single" w:sz="4" w:space="0" w:color="FFFFFF"/>
            </w:tcBorders>
            <w:shd w:val="clear" w:color="000000" w:fill="F2F2F2"/>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190</w:t>
            </w:r>
          </w:p>
        </w:tc>
        <w:tc>
          <w:tcPr>
            <w:tcW w:w="851" w:type="dxa"/>
            <w:tcBorders>
              <w:top w:val="nil"/>
              <w:left w:val="nil"/>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n.a.</w:t>
            </w:r>
          </w:p>
        </w:tc>
        <w:tc>
          <w:tcPr>
            <w:tcW w:w="1626" w:type="dxa"/>
            <w:tcBorders>
              <w:top w:val="nil"/>
              <w:left w:val="nil"/>
              <w:bottom w:val="single" w:sz="4" w:space="0" w:color="FFFFFF"/>
              <w:right w:val="single" w:sz="4" w:space="0" w:color="FFFFFF"/>
            </w:tcBorders>
            <w:shd w:val="clear" w:color="000000" w:fill="F2F2F2"/>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1626" w:type="dxa"/>
            <w:tcBorders>
              <w:top w:val="nil"/>
              <w:left w:val="nil"/>
              <w:bottom w:val="single" w:sz="4" w:space="0" w:color="FFFFFF"/>
              <w:right w:val="single" w:sz="4" w:space="0" w:color="FFFFFF"/>
            </w:tcBorders>
            <w:shd w:val="clear" w:color="000000" w:fill="F2F2F2"/>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1564" w:type="dxa"/>
            <w:tcBorders>
              <w:top w:val="nil"/>
              <w:left w:val="nil"/>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n.a.</w:t>
            </w:r>
          </w:p>
        </w:tc>
      </w:tr>
      <w:tr w:rsidR="00F83FA0" w:rsidRPr="00476F57" w:rsidTr="00913651">
        <w:trPr>
          <w:trHeight w:val="300"/>
          <w:jc w:val="center"/>
        </w:trPr>
        <w:tc>
          <w:tcPr>
            <w:tcW w:w="2805" w:type="dxa"/>
            <w:gridSpan w:val="2"/>
            <w:tcBorders>
              <w:top w:val="single" w:sz="4" w:space="0" w:color="FFFFFF"/>
              <w:left w:val="single" w:sz="4" w:space="0" w:color="FFFFFF"/>
              <w:bottom w:val="single" w:sz="4" w:space="0" w:color="FFFFFF"/>
              <w:right w:val="single" w:sz="4" w:space="0" w:color="FFFFFF"/>
            </w:tcBorders>
            <w:shd w:val="clear" w:color="000000" w:fill="8DB4E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Total</w:t>
            </w:r>
          </w:p>
        </w:tc>
        <w:tc>
          <w:tcPr>
            <w:tcW w:w="610" w:type="dxa"/>
            <w:tcBorders>
              <w:top w:val="nil"/>
              <w:left w:val="nil"/>
              <w:bottom w:val="single" w:sz="4" w:space="0" w:color="FFFFFF"/>
              <w:right w:val="single" w:sz="4" w:space="0" w:color="FFFFFF"/>
            </w:tcBorders>
            <w:shd w:val="clear" w:color="000000" w:fill="8DB4E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1005" w:type="dxa"/>
            <w:tcBorders>
              <w:top w:val="nil"/>
              <w:left w:val="nil"/>
              <w:bottom w:val="single" w:sz="4" w:space="0" w:color="FFFFFF"/>
              <w:right w:val="single" w:sz="4" w:space="0" w:color="FFFFFF"/>
            </w:tcBorders>
            <w:shd w:val="clear" w:color="000000" w:fill="8DB4E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1400" w:type="dxa"/>
            <w:tcBorders>
              <w:top w:val="nil"/>
              <w:left w:val="nil"/>
              <w:bottom w:val="single" w:sz="4" w:space="0" w:color="FFFFFF"/>
              <w:right w:val="single" w:sz="4" w:space="0" w:color="FFFFFF"/>
            </w:tcBorders>
            <w:shd w:val="clear" w:color="000000" w:fill="8DB4E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931" w:type="dxa"/>
            <w:tcBorders>
              <w:top w:val="nil"/>
              <w:left w:val="nil"/>
              <w:bottom w:val="single" w:sz="4" w:space="0" w:color="FFFFFF"/>
              <w:right w:val="single" w:sz="4" w:space="0" w:color="FFFFFF"/>
            </w:tcBorders>
            <w:shd w:val="clear" w:color="000000" w:fill="8DB4E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1431" w:type="dxa"/>
            <w:tcBorders>
              <w:top w:val="nil"/>
              <w:left w:val="nil"/>
              <w:bottom w:val="single" w:sz="4" w:space="0" w:color="FFFFFF"/>
              <w:right w:val="single" w:sz="4" w:space="0" w:color="FFFFFF"/>
            </w:tcBorders>
            <w:shd w:val="clear" w:color="000000" w:fill="8DB4E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851" w:type="dxa"/>
            <w:tcBorders>
              <w:top w:val="nil"/>
              <w:left w:val="nil"/>
              <w:bottom w:val="single" w:sz="4" w:space="0" w:color="FFFFFF"/>
              <w:right w:val="single" w:sz="4" w:space="0" w:color="FFFFFF"/>
            </w:tcBorders>
            <w:shd w:val="clear" w:color="000000" w:fill="8DB4E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 </w:t>
            </w:r>
          </w:p>
        </w:tc>
        <w:tc>
          <w:tcPr>
            <w:tcW w:w="1626" w:type="dxa"/>
            <w:tcBorders>
              <w:top w:val="nil"/>
              <w:left w:val="nil"/>
              <w:bottom w:val="single" w:sz="4" w:space="0" w:color="FFFFFF"/>
              <w:right w:val="single" w:sz="4" w:space="0" w:color="FFFFFF"/>
            </w:tcBorders>
            <w:shd w:val="clear" w:color="000000" w:fill="8DB4E2"/>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$13,299,837</w:t>
            </w:r>
          </w:p>
        </w:tc>
        <w:tc>
          <w:tcPr>
            <w:tcW w:w="1626" w:type="dxa"/>
            <w:tcBorders>
              <w:top w:val="nil"/>
              <w:left w:val="nil"/>
              <w:bottom w:val="single" w:sz="4" w:space="0" w:color="FFFFFF"/>
              <w:right w:val="single" w:sz="4" w:space="0" w:color="FFFFFF"/>
            </w:tcBorders>
            <w:shd w:val="clear" w:color="000000" w:fill="8DB4E2"/>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$11,479,148</w:t>
            </w:r>
          </w:p>
        </w:tc>
        <w:tc>
          <w:tcPr>
            <w:tcW w:w="1564" w:type="dxa"/>
            <w:tcBorders>
              <w:top w:val="nil"/>
              <w:left w:val="nil"/>
              <w:bottom w:val="single" w:sz="4" w:space="0" w:color="FFFFFF"/>
              <w:right w:val="single" w:sz="4" w:space="0" w:color="FFFFFF"/>
            </w:tcBorders>
            <w:shd w:val="clear" w:color="000000" w:fill="8DB4E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-$1,820,689</w:t>
            </w:r>
          </w:p>
        </w:tc>
      </w:tr>
      <w:tr w:rsidR="00F83FA0" w:rsidRPr="00476F57" w:rsidTr="00913651">
        <w:trPr>
          <w:trHeight w:val="300"/>
          <w:jc w:val="center"/>
        </w:trPr>
        <w:tc>
          <w:tcPr>
            <w:tcW w:w="13849" w:type="dxa"/>
            <w:gridSpan w:val="11"/>
            <w:tcBorders>
              <w:top w:val="single" w:sz="4" w:space="0" w:color="FFFFFF"/>
              <w:left w:val="nil"/>
              <w:bottom w:val="nil"/>
              <w:right w:val="nil"/>
            </w:tcBorders>
            <w:shd w:val="clear" w:color="000000" w:fill="FFFFFF"/>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NNT número necesario a tratar anualizado, ACV accidente cerebrovascular, CV cardiovascular, CHD enfermedad coronaria, IAM infarto agudo de miocardio, DBT diabetes</w:t>
            </w:r>
          </w:p>
        </w:tc>
      </w:tr>
      <w:tr w:rsidR="00F83FA0" w:rsidRPr="00476F57" w:rsidTr="00913651">
        <w:trPr>
          <w:trHeight w:val="206"/>
          <w:jc w:val="center"/>
        </w:trPr>
        <w:tc>
          <w:tcPr>
            <w:tcW w:w="13849" w:type="dxa"/>
            <w:gridSpan w:val="11"/>
            <w:tcBorders>
              <w:top w:val="single" w:sz="4" w:space="0" w:color="FFFFFF"/>
              <w:left w:val="nil"/>
              <w:bottom w:val="nil"/>
              <w:right w:val="nil"/>
            </w:tcBorders>
            <w:shd w:val="clear" w:color="000000" w:fill="FFFFFF"/>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EPE: Eventos potencialmente evitados</w:t>
            </w:r>
          </w:p>
        </w:tc>
      </w:tr>
      <w:tr w:rsidR="00F83FA0" w:rsidRPr="006A4ED8" w:rsidTr="00913651">
        <w:trPr>
          <w:trHeight w:val="170"/>
          <w:jc w:val="center"/>
        </w:trPr>
        <w:tc>
          <w:tcPr>
            <w:tcW w:w="13849" w:type="dxa"/>
            <w:gridSpan w:val="11"/>
            <w:tcBorders>
              <w:top w:val="single" w:sz="4" w:space="0" w:color="FFFFFF"/>
              <w:left w:val="nil"/>
              <w:bottom w:val="nil"/>
              <w:right w:val="nil"/>
            </w:tcBorders>
            <w:shd w:val="clear" w:color="000000" w:fill="FFFFFF"/>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lang w:val="es-ES"/>
              </w:rPr>
            </w:pPr>
            <w:r w:rsidRPr="00476F57">
              <w:rPr>
                <w:rFonts w:ascii="Arial" w:eastAsia="Times New Roman" w:hAnsi="Arial" w:cs="Arial"/>
                <w:color w:val="000000"/>
                <w:sz w:val="18"/>
                <w:szCs w:val="18"/>
                <w:lang w:val="es-ES"/>
              </w:rPr>
              <w:t>Market share: Tiazidas 4%, IECAS 79%, Betabloqueantes 17% y Metformina 100%. En base a Remediar 2003-2011</w:t>
            </w:r>
          </w:p>
        </w:tc>
      </w:tr>
      <w:tr w:rsidR="00F83FA0" w:rsidRPr="006A4ED8" w:rsidTr="00913651">
        <w:trPr>
          <w:trHeight w:val="134"/>
          <w:jc w:val="center"/>
        </w:trPr>
        <w:tc>
          <w:tcPr>
            <w:tcW w:w="13849" w:type="dxa"/>
            <w:gridSpan w:val="11"/>
            <w:tcBorders>
              <w:top w:val="single" w:sz="4" w:space="0" w:color="FFFFFF"/>
              <w:left w:val="nil"/>
              <w:bottom w:val="nil"/>
              <w:right w:val="nil"/>
            </w:tcBorders>
            <w:shd w:val="clear" w:color="000000" w:fill="FFFFFF"/>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lang w:val="es-ES"/>
              </w:rPr>
            </w:pPr>
            <w:r w:rsidRPr="00476F57">
              <w:rPr>
                <w:rFonts w:ascii="Arial" w:eastAsia="Times New Roman" w:hAnsi="Arial" w:cs="Arial"/>
                <w:color w:val="000000"/>
                <w:sz w:val="18"/>
                <w:szCs w:val="18"/>
                <w:lang w:val="es-ES"/>
              </w:rPr>
              <w:t>Costos expresados en pesos argentinos a diciembre de 2013</w:t>
            </w:r>
            <w:r w:rsidR="006A4ED8">
              <w:rPr>
                <w:rFonts w:ascii="Arial" w:eastAsia="Times New Roman" w:hAnsi="Arial" w:cs="Arial"/>
                <w:color w:val="000000"/>
                <w:sz w:val="18"/>
                <w:szCs w:val="18"/>
                <w:lang w:val="es-ES"/>
              </w:rPr>
              <w:t>.</w:t>
            </w:r>
          </w:p>
        </w:tc>
      </w:tr>
    </w:tbl>
    <w:p w:rsidR="00F83FA0" w:rsidRPr="00476F57" w:rsidRDefault="00F83FA0" w:rsidP="003B0845">
      <w:pPr>
        <w:jc w:val="both"/>
        <w:rPr>
          <w:rFonts w:ascii="Arial" w:hAnsi="Arial" w:cs="Arial"/>
          <w:lang w:val="es-ES"/>
        </w:rPr>
        <w:sectPr w:rsidR="00F83FA0" w:rsidRPr="00476F57" w:rsidSect="00F83FA0">
          <w:footnotePr>
            <w:pos w:val="beneathText"/>
            <w:numFmt w:val="chicago"/>
            <w:numStart w:val="2"/>
          </w:footnotePr>
          <w:pgSz w:w="15840" w:h="12240" w:orient="landscape"/>
          <w:pgMar w:top="1440" w:right="1440" w:bottom="1440" w:left="1440" w:header="720" w:footer="720" w:gutter="0"/>
          <w:cols w:space="720"/>
          <w:docGrid w:linePitch="360"/>
        </w:sectPr>
      </w:pPr>
    </w:p>
    <w:p w:rsidR="00F83FA0" w:rsidRPr="00476F57" w:rsidRDefault="00F83FA0" w:rsidP="00DB1E26">
      <w:pPr>
        <w:pStyle w:val="ListParagraph"/>
        <w:numPr>
          <w:ilvl w:val="0"/>
          <w:numId w:val="18"/>
        </w:numPr>
        <w:jc w:val="both"/>
        <w:rPr>
          <w:rFonts w:ascii="Arial" w:hAnsi="Arial" w:cs="Arial"/>
          <w:lang w:val="es-AR"/>
        </w:rPr>
      </w:pPr>
      <w:r w:rsidRPr="00476F57">
        <w:rPr>
          <w:rFonts w:ascii="Arial" w:hAnsi="Arial" w:cs="Arial"/>
          <w:lang w:val="es-AR"/>
        </w:rPr>
        <w:lastRenderedPageBreak/>
        <w:t>El RR de padecer un Evento CV fue significativamente menor en el grupo tratado con tiazidas RR 0,72 IC95%(0,63-0,82). El número de individuos necesarios a tratar durante 3,6 años para evitar un Evento CV (NNT) fue de 71 IC95%(53,4-109,7) o de 254 en 1 año.</w:t>
      </w:r>
    </w:p>
    <w:p w:rsidR="00F83FA0" w:rsidRPr="00476F57" w:rsidRDefault="00F83FA0" w:rsidP="003B0845">
      <w:pPr>
        <w:spacing w:line="360" w:lineRule="auto"/>
        <w:jc w:val="both"/>
        <w:rPr>
          <w:rFonts w:ascii="Arial" w:hAnsi="Arial" w:cs="Arial"/>
          <w:i/>
          <w:lang w:val="es-ES"/>
        </w:rPr>
      </w:pPr>
      <w:r w:rsidRPr="00476F57">
        <w:rPr>
          <w:rFonts w:ascii="Arial" w:hAnsi="Arial" w:cs="Arial"/>
          <w:i/>
          <w:lang w:val="es-ES"/>
        </w:rPr>
        <w:t>Betabloqueantes</w:t>
      </w:r>
    </w:p>
    <w:p w:rsidR="00F83FA0" w:rsidRPr="00476F57" w:rsidRDefault="00F83FA0" w:rsidP="00DB1E26">
      <w:pPr>
        <w:pStyle w:val="ListParagraph"/>
        <w:numPr>
          <w:ilvl w:val="0"/>
          <w:numId w:val="18"/>
        </w:numPr>
        <w:jc w:val="both"/>
        <w:rPr>
          <w:rFonts w:ascii="Arial" w:hAnsi="Arial" w:cs="Arial"/>
          <w:lang w:val="es-AR"/>
        </w:rPr>
      </w:pPr>
      <w:r w:rsidRPr="00476F57">
        <w:rPr>
          <w:rFonts w:ascii="Arial" w:hAnsi="Arial" w:cs="Arial"/>
          <w:lang w:val="es-AR"/>
        </w:rPr>
        <w:t>El metanálisis de Wright y colaboradores analizó los siguientes resultados relacionados con los Beta Bloqueantes.</w:t>
      </w:r>
      <w:r w:rsidRPr="00476F57">
        <w:rPr>
          <w:rFonts w:ascii="Arial" w:hAnsi="Arial" w:cs="Arial"/>
          <w:lang w:val="es-AR"/>
        </w:rPr>
        <w:fldChar w:fldCharType="begin"/>
      </w:r>
      <w:r w:rsidRPr="00476F57">
        <w:rPr>
          <w:rFonts w:ascii="Arial" w:hAnsi="Arial" w:cs="Arial"/>
          <w:lang w:val="es-AR"/>
        </w:rPr>
        <w:instrText xml:space="preserve"> ADDIN EN.CITE &lt;EndNote&gt;&lt;Cite&gt;&lt;Author&gt;Wright&lt;/Author&gt;&lt;Year&gt;2009&lt;/Year&gt;&lt;RecNum&gt;15&lt;/RecNum&gt;&lt;DisplayText&gt;[1]&lt;/DisplayText&gt;&lt;record&gt;&lt;rec-number&gt;15&lt;/rec-number&gt;&lt;foreign-keys&gt;&lt;key app="EN" db-id="s2fdxx5as0er0oe9vfk5px9xsxzeztas5t5e"&gt;15&lt;/key&gt;&lt;/foreign-keys&gt;&lt;ref-type name="Journal Article"&gt;17&lt;/ref-type&gt;&lt;contributors&gt;&lt;authors&gt;&lt;author&gt;Wright, J. M.&lt;/author&gt;&lt;author&gt;Musini, V. M.&lt;/author&gt;&lt;/authors&gt;&lt;/contributors&gt;&lt;auth-address&gt;Department of Anesthesiology, Pharmacology and Therapeutics, University of British Columbia, 2176 Health Sciences Mall, Vancouver, BC, Canada, V6T 1Z3.&lt;/auth-address&gt;&lt;titles&gt;&lt;title&gt;First-line drugs for hypertension&lt;/title&gt;&lt;secondary-title&gt;Cochrane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reviews&lt;/abbr-1&gt;&lt;/alt-periodical&gt;&lt;pages&gt;CD001841&lt;/pages&gt;&lt;number&gt;3&lt;/number&gt;&lt;keywords&gt;&lt;keyword&gt;Adrenergic beta-Antagonists/therapeutic use&lt;/keyword&gt;&lt;keyword&gt;Angiotensin-Converting Enzyme Inhibitors/therapeutic use&lt;/keyword&gt;&lt;keyword&gt;Antihypertensive Agents/adverse effects/*therapeutic use&lt;/keyword&gt;&lt;keyword&gt;Calcium Channel Blockers/therapeutic use&lt;/keyword&gt;&lt;keyword&gt;Coronary Disease/prevention &amp;amp; control&lt;/keyword&gt;&lt;keyword&gt;Humans&lt;/keyword&gt;&lt;keyword&gt;Hypertension/*drug therapy/mortality&lt;/keyword&gt;&lt;keyword&gt;Randomized Controlled Trials as Topic&lt;/keyword&gt;&lt;keyword&gt;Sodium Chloride Symporter Inhibitors/therapeutic use&lt;/keyword&gt;&lt;keyword&gt;Stroke/prevention &amp;amp; control&lt;/keyword&gt;&lt;/keywords&gt;&lt;dates&gt;&lt;year&gt;2009&lt;/year&gt;&lt;/dates&gt;&lt;isbn&gt;1469-493X (Electronic)&amp;#xD;1361-6137 (Linking)&lt;/isbn&gt;&lt;accession-num&gt;19588327&lt;/accession-num&gt;&lt;urls&gt;&lt;related-urls&gt;&lt;url&gt;http://www.ncbi.nlm.nih.gov/pubmed/19588327&lt;/url&gt;&lt;/related-urls&gt;&lt;/urls&gt;&lt;electronic-resource-num&gt;10.1002/14651858.CD001841.pub2&lt;/electronic-resource-num&gt;&lt;/record&gt;&lt;/Cite&gt;&lt;/EndNote&gt;</w:instrText>
      </w:r>
      <w:r w:rsidRPr="00476F57">
        <w:rPr>
          <w:rFonts w:ascii="Arial" w:hAnsi="Arial" w:cs="Arial"/>
          <w:lang w:val="es-AR"/>
        </w:rPr>
        <w:fldChar w:fldCharType="separate"/>
      </w:r>
      <w:r w:rsidRPr="00476F57">
        <w:rPr>
          <w:rFonts w:ascii="Arial" w:hAnsi="Arial" w:cs="Arial"/>
          <w:lang w:val="es-AR"/>
        </w:rPr>
        <w:t>[</w:t>
      </w:r>
      <w:hyperlink w:anchor="_ENREF_1" w:tooltip="Wright, 2009 #15" w:history="1">
        <w:r w:rsidRPr="00476F57">
          <w:rPr>
            <w:rFonts w:ascii="Arial" w:hAnsi="Arial" w:cs="Arial"/>
            <w:lang w:val="es-AR"/>
          </w:rPr>
          <w:t>1</w:t>
        </w:r>
      </w:hyperlink>
      <w:r w:rsidRPr="00476F57">
        <w:rPr>
          <w:rFonts w:ascii="Arial" w:hAnsi="Arial" w:cs="Arial"/>
          <w:lang w:val="es-AR"/>
        </w:rPr>
        <w:t>]</w:t>
      </w:r>
      <w:r w:rsidRPr="00476F57">
        <w:rPr>
          <w:rFonts w:ascii="Arial" w:hAnsi="Arial" w:cs="Arial"/>
          <w:lang w:val="es-AR"/>
        </w:rPr>
        <w:fldChar w:fldCharType="end"/>
      </w:r>
    </w:p>
    <w:p w:rsidR="00DB1E26" w:rsidRPr="00913651" w:rsidRDefault="00DB1E26" w:rsidP="00913651">
      <w:pPr>
        <w:pStyle w:val="ListParagraph"/>
        <w:spacing w:after="0" w:line="240" w:lineRule="auto"/>
        <w:jc w:val="both"/>
        <w:rPr>
          <w:rFonts w:ascii="Arial" w:hAnsi="Arial" w:cs="Arial"/>
          <w:lang w:val="es-ES"/>
        </w:rPr>
      </w:pPr>
    </w:p>
    <w:p w:rsidR="00F83FA0" w:rsidRPr="00476F57" w:rsidRDefault="00F83FA0" w:rsidP="00DB1E26">
      <w:pPr>
        <w:pStyle w:val="ListParagraph"/>
        <w:numPr>
          <w:ilvl w:val="0"/>
          <w:numId w:val="18"/>
        </w:numPr>
        <w:jc w:val="both"/>
        <w:rPr>
          <w:rFonts w:ascii="Arial" w:hAnsi="Arial" w:cs="Arial"/>
          <w:lang w:val="es-AR"/>
        </w:rPr>
      </w:pPr>
      <w:r w:rsidRPr="00476F57">
        <w:rPr>
          <w:rFonts w:ascii="Arial" w:hAnsi="Arial" w:cs="Arial"/>
          <w:lang w:val="es-AR"/>
        </w:rPr>
        <w:t>La probabilidad de aparición de un ACV fue analizada también por 5 estudios incluidos en el metanálisis, que incluyeron 19.313 pacientes. El RR de padecer un ACV fue significativamente menor en los pacientes tratados con beta bloqueantes vs los pacientes tratados con placebo. RR 0,83 IC95%(0,72-0,97). En consecuencia, en base a estos estudios el número de individuos necesarios a tratar durante casi 5 añ</w:t>
      </w:r>
      <w:r w:rsidR="00476F57">
        <w:rPr>
          <w:rFonts w:ascii="Arial" w:hAnsi="Arial" w:cs="Arial"/>
          <w:lang w:val="es-AR"/>
        </w:rPr>
        <w:t xml:space="preserve">os para evitar un ACV (NNT) es </w:t>
      </w:r>
      <w:r w:rsidRPr="00476F57">
        <w:rPr>
          <w:rFonts w:ascii="Arial" w:hAnsi="Arial" w:cs="Arial"/>
          <w:lang w:val="es-AR"/>
        </w:rPr>
        <w:t>de aproximadamente 175 (IC95% 26,3 - 147,2).</w:t>
      </w:r>
    </w:p>
    <w:p w:rsidR="00DB1E26" w:rsidRPr="00913651" w:rsidRDefault="00DB1E26" w:rsidP="00913651">
      <w:pPr>
        <w:pStyle w:val="ListParagraph"/>
        <w:spacing w:after="0" w:line="240" w:lineRule="auto"/>
        <w:jc w:val="both"/>
        <w:rPr>
          <w:rFonts w:ascii="Arial" w:hAnsi="Arial" w:cs="Arial"/>
          <w:lang w:val="es-ES"/>
        </w:rPr>
      </w:pPr>
    </w:p>
    <w:p w:rsidR="00F83FA0" w:rsidRPr="00476F57" w:rsidRDefault="00F83FA0" w:rsidP="00DB1E26">
      <w:pPr>
        <w:pStyle w:val="ListParagraph"/>
        <w:numPr>
          <w:ilvl w:val="0"/>
          <w:numId w:val="18"/>
        </w:numPr>
        <w:jc w:val="both"/>
        <w:rPr>
          <w:rFonts w:ascii="Arial" w:hAnsi="Arial" w:cs="Arial"/>
          <w:lang w:val="es-AR"/>
        </w:rPr>
      </w:pPr>
      <w:r w:rsidRPr="00476F57">
        <w:rPr>
          <w:rFonts w:ascii="Arial" w:hAnsi="Arial" w:cs="Arial"/>
          <w:lang w:val="es-AR"/>
        </w:rPr>
        <w:t>La probabilidad de aparición de un evento CV fue analizada también por 5 estudios incluidos en el metanálisis (19.313 pacientes). El RR de padecer un Evento CV fue significativamente menor en el grupo tratado con Beta bloqueantes que en el grupo tratado con placebo RR 0,89 IC95%(0,81-0,98). En consecuencia, en base a estos estudios el número de individuos necesarios a tratar durante casi 5 años para evitar un e</w:t>
      </w:r>
      <w:r w:rsidR="00672E05">
        <w:rPr>
          <w:rFonts w:ascii="Arial" w:hAnsi="Arial" w:cs="Arial"/>
          <w:lang w:val="es-AR"/>
        </w:rPr>
        <w:t xml:space="preserve">vento CV (NNT) es </w:t>
      </w:r>
      <w:r w:rsidRPr="00476F57">
        <w:rPr>
          <w:rFonts w:ascii="Arial" w:hAnsi="Arial" w:cs="Arial"/>
          <w:lang w:val="es-AR"/>
        </w:rPr>
        <w:t>de aproximadamente 119.</w:t>
      </w:r>
    </w:p>
    <w:p w:rsidR="00F83FA0" w:rsidRPr="00476F57" w:rsidRDefault="00F83FA0" w:rsidP="003B0845">
      <w:pPr>
        <w:spacing w:line="360" w:lineRule="auto"/>
        <w:jc w:val="both"/>
        <w:rPr>
          <w:rFonts w:ascii="Arial" w:hAnsi="Arial" w:cs="Arial"/>
          <w:i/>
          <w:lang w:val="es-ES"/>
        </w:rPr>
      </w:pPr>
      <w:r w:rsidRPr="00476F57">
        <w:rPr>
          <w:rFonts w:ascii="Arial" w:hAnsi="Arial" w:cs="Arial"/>
          <w:i/>
          <w:lang w:val="es-ES"/>
        </w:rPr>
        <w:t>IECAS</w:t>
      </w:r>
    </w:p>
    <w:p w:rsidR="00F83FA0" w:rsidRPr="00476F57" w:rsidRDefault="00F83FA0" w:rsidP="00DB1E26">
      <w:pPr>
        <w:pStyle w:val="ListParagraph"/>
        <w:numPr>
          <w:ilvl w:val="0"/>
          <w:numId w:val="18"/>
        </w:numPr>
        <w:jc w:val="both"/>
        <w:rPr>
          <w:rFonts w:ascii="Arial" w:hAnsi="Arial" w:cs="Arial"/>
          <w:lang w:val="es-AR"/>
        </w:rPr>
      </w:pPr>
      <w:r w:rsidRPr="00476F57">
        <w:rPr>
          <w:rFonts w:ascii="Arial" w:hAnsi="Arial" w:cs="Arial"/>
          <w:lang w:val="es-AR"/>
        </w:rPr>
        <w:t>La mortalidad fue analizada por 3 estudios incluidos en el metanálisis, que incluyeron 6.002 pacientes. El RR de morir fue significativamente menor en los pacientes tratados con IECAS vs los pacientes tratados con placebo. RR 0,83 IC95%(0,72-0,95). El número de individuos necesarios a tratar durante 5,25 años para evitar una muerte (NNT)</w:t>
      </w:r>
      <w:r w:rsidR="006A4ED8">
        <w:rPr>
          <w:rFonts w:ascii="Arial" w:hAnsi="Arial" w:cs="Arial"/>
          <w:lang w:val="es-AR"/>
        </w:rPr>
        <w:t xml:space="preserve"> fue de 43,3 IC95%(26,3-147,2).</w:t>
      </w:r>
    </w:p>
    <w:p w:rsidR="00DB1E26" w:rsidRPr="00913651" w:rsidRDefault="00DB1E26" w:rsidP="00913651">
      <w:pPr>
        <w:pStyle w:val="ListParagraph"/>
        <w:spacing w:after="0" w:line="240" w:lineRule="auto"/>
        <w:jc w:val="both"/>
        <w:rPr>
          <w:rFonts w:ascii="Arial" w:hAnsi="Arial" w:cs="Arial"/>
          <w:lang w:val="es-ES"/>
        </w:rPr>
      </w:pPr>
    </w:p>
    <w:p w:rsidR="00F83FA0" w:rsidRPr="00476F57" w:rsidRDefault="00F83FA0" w:rsidP="00DB1E26">
      <w:pPr>
        <w:pStyle w:val="ListParagraph"/>
        <w:numPr>
          <w:ilvl w:val="0"/>
          <w:numId w:val="18"/>
        </w:numPr>
        <w:jc w:val="both"/>
        <w:rPr>
          <w:rFonts w:ascii="Arial" w:hAnsi="Arial" w:cs="Arial"/>
          <w:lang w:val="es-AR"/>
        </w:rPr>
      </w:pPr>
      <w:r w:rsidRPr="00476F57">
        <w:rPr>
          <w:rFonts w:ascii="Arial" w:hAnsi="Arial" w:cs="Arial"/>
          <w:lang w:val="es-AR"/>
        </w:rPr>
        <w:t>La probabilidad de aparición de un ACV fue analizada por 3 estudios incluidos en el me</w:t>
      </w:r>
      <w:r w:rsidR="00672E05">
        <w:rPr>
          <w:rFonts w:ascii="Arial" w:hAnsi="Arial" w:cs="Arial"/>
          <w:lang w:val="es-AR"/>
        </w:rPr>
        <w:t>tanálisis, que incluyeron 6.002</w:t>
      </w:r>
      <w:r w:rsidRPr="00476F57">
        <w:rPr>
          <w:rFonts w:ascii="Arial" w:hAnsi="Arial" w:cs="Arial"/>
          <w:lang w:val="es-AR"/>
        </w:rPr>
        <w:t xml:space="preserve"> pacientes. El RR de padecer un ACV fue significativamente menor en los pacientes tratados con IECAS vs los pacientes tratados con placebo. RR 0,65 IC95%(0,52-0,82). El número de individuos necesarios a tratar durante 4.66 años para evitar un ACV (NNT) fu</w:t>
      </w:r>
      <w:r w:rsidR="006A4ED8">
        <w:rPr>
          <w:rFonts w:ascii="Arial" w:hAnsi="Arial" w:cs="Arial"/>
          <w:lang w:val="es-AR"/>
        </w:rPr>
        <w:t>e de 47,8 IC95%(34,8-92,9).</w:t>
      </w:r>
    </w:p>
    <w:p w:rsidR="00DB1E26" w:rsidRPr="00476F57" w:rsidRDefault="00DB1E26" w:rsidP="00DB1E26">
      <w:pPr>
        <w:pStyle w:val="ListParagraph"/>
        <w:jc w:val="both"/>
        <w:rPr>
          <w:rFonts w:ascii="Arial" w:hAnsi="Arial" w:cs="Arial"/>
          <w:lang w:val="es-AR"/>
        </w:rPr>
      </w:pPr>
    </w:p>
    <w:p w:rsidR="00F83FA0" w:rsidRDefault="00F83FA0" w:rsidP="00913651">
      <w:pPr>
        <w:pStyle w:val="ListParagraph"/>
        <w:jc w:val="both"/>
        <w:rPr>
          <w:rFonts w:ascii="Arial" w:hAnsi="Arial" w:cs="Arial"/>
          <w:lang w:val="es-AR"/>
        </w:rPr>
      </w:pPr>
      <w:r w:rsidRPr="00476F57">
        <w:rPr>
          <w:rFonts w:ascii="Arial" w:hAnsi="Arial" w:cs="Arial"/>
          <w:lang w:val="es-AR"/>
        </w:rPr>
        <w:t>La probabilidad de aparición de un Evento CV fue analizada por 2 estudios incluidos en el metanálisis (5.145 pacientes). El RR de padecer un Evento CV fue significativamente menor en el grupo tratado con IECAS que en el grupo tratado con placebo RR 0,76 IC95%(0,67-0,85). El número de individuos necesarios a tratar durante 6,45 años para evitar un evento CV (NNT</w:t>
      </w:r>
      <w:r w:rsidR="006A4ED8">
        <w:rPr>
          <w:rFonts w:ascii="Arial" w:hAnsi="Arial" w:cs="Arial"/>
          <w:lang w:val="es-AR"/>
        </w:rPr>
        <w:t>) fue de 20,7 IC95%(15,1-33,1).</w:t>
      </w:r>
    </w:p>
    <w:p w:rsidR="00913651" w:rsidRPr="00476F57" w:rsidRDefault="00913651" w:rsidP="00913651">
      <w:pPr>
        <w:pStyle w:val="ListParagraph"/>
        <w:jc w:val="both"/>
        <w:rPr>
          <w:rFonts w:ascii="Arial" w:hAnsi="Arial" w:cs="Arial"/>
          <w:lang w:val="es-AR"/>
        </w:rPr>
      </w:pPr>
    </w:p>
    <w:p w:rsidR="00F83FA0" w:rsidRPr="00476F57" w:rsidRDefault="00F83FA0" w:rsidP="00DB1E26">
      <w:pPr>
        <w:pStyle w:val="ListParagraph"/>
        <w:numPr>
          <w:ilvl w:val="0"/>
          <w:numId w:val="18"/>
        </w:numPr>
        <w:jc w:val="both"/>
        <w:rPr>
          <w:rFonts w:ascii="Arial" w:hAnsi="Arial" w:cs="Arial"/>
          <w:lang w:val="es-AR"/>
        </w:rPr>
      </w:pPr>
      <w:r w:rsidRPr="00476F57">
        <w:rPr>
          <w:rFonts w:ascii="Arial" w:hAnsi="Arial" w:cs="Arial"/>
          <w:lang w:val="es-AR"/>
        </w:rPr>
        <w:lastRenderedPageBreak/>
        <w:t xml:space="preserve">La probabilidad de padecer una IC fue analizada por </w:t>
      </w:r>
      <w:r w:rsidR="00913651">
        <w:rPr>
          <w:rFonts w:ascii="Arial" w:hAnsi="Arial" w:cs="Arial"/>
          <w:lang w:val="es-AR"/>
        </w:rPr>
        <w:t>dos</w:t>
      </w:r>
      <w:r w:rsidRPr="00476F57">
        <w:rPr>
          <w:rFonts w:ascii="Arial" w:hAnsi="Arial" w:cs="Arial"/>
          <w:lang w:val="es-AR"/>
        </w:rPr>
        <w:t xml:space="preserve"> estudios incluidos en el me</w:t>
      </w:r>
      <w:r w:rsidR="00672E05">
        <w:rPr>
          <w:rFonts w:ascii="Arial" w:hAnsi="Arial" w:cs="Arial"/>
          <w:lang w:val="es-AR"/>
        </w:rPr>
        <w:t>tanálisis, que incluyeron 5.145</w:t>
      </w:r>
      <w:r w:rsidRPr="00476F57">
        <w:rPr>
          <w:rFonts w:ascii="Arial" w:hAnsi="Arial" w:cs="Arial"/>
          <w:lang w:val="es-AR"/>
        </w:rPr>
        <w:t xml:space="preserve"> paciente</w:t>
      </w:r>
      <w:r w:rsidR="00672E05">
        <w:rPr>
          <w:rFonts w:ascii="Arial" w:hAnsi="Arial" w:cs="Arial"/>
          <w:lang w:val="es-AR"/>
        </w:rPr>
        <w:t>s. El RR de sufrir un evento de</w:t>
      </w:r>
      <w:r w:rsidRPr="00476F57">
        <w:rPr>
          <w:rFonts w:ascii="Arial" w:hAnsi="Arial" w:cs="Arial"/>
          <w:lang w:val="es-AR"/>
        </w:rPr>
        <w:t xml:space="preserve"> EC fue significativamente menor en los pacientes tratados con IECAS vs los pacientes tratados con placebo. RR 0,81 IC95%(0,7-0,94). El número de individuos necesarios a tratar durante 6,45 años para evitar un episodio de EC (NNT) fue de 38,9 IC95%(24,6-123,1). </w:t>
      </w:r>
    </w:p>
    <w:p w:rsidR="00DB1E26" w:rsidRPr="00913651" w:rsidRDefault="00DB1E26" w:rsidP="00913651">
      <w:pPr>
        <w:pStyle w:val="ListParagraph"/>
        <w:spacing w:after="0" w:line="240" w:lineRule="auto"/>
        <w:jc w:val="both"/>
        <w:rPr>
          <w:rFonts w:ascii="Arial" w:hAnsi="Arial" w:cs="Arial"/>
          <w:lang w:val="es-ES"/>
        </w:rPr>
      </w:pPr>
    </w:p>
    <w:p w:rsidR="00F83FA0" w:rsidRPr="00476F57" w:rsidRDefault="00F83FA0" w:rsidP="00DB1E26">
      <w:pPr>
        <w:pStyle w:val="ListParagraph"/>
        <w:numPr>
          <w:ilvl w:val="0"/>
          <w:numId w:val="18"/>
        </w:numPr>
        <w:jc w:val="both"/>
        <w:rPr>
          <w:rFonts w:ascii="Arial" w:hAnsi="Arial" w:cs="Arial"/>
          <w:lang w:val="es-AR"/>
        </w:rPr>
      </w:pPr>
      <w:r w:rsidRPr="00476F57">
        <w:rPr>
          <w:rFonts w:ascii="Arial" w:hAnsi="Arial" w:cs="Arial"/>
          <w:lang w:val="es-AR"/>
        </w:rPr>
        <w:t xml:space="preserve">Como se puede observar, la eficacia reportada en estos estudios para las distintas drogas antihipertensivas es diferente, destacándose los inhibidores de la enzima de conversión (IECAs) por sobre las tiazidas y los beta bloqueantes. </w:t>
      </w:r>
    </w:p>
    <w:p w:rsidR="00F83FA0" w:rsidRPr="00476F57" w:rsidRDefault="00F83FA0" w:rsidP="003B0845">
      <w:pPr>
        <w:spacing w:line="360" w:lineRule="auto"/>
        <w:jc w:val="both"/>
        <w:rPr>
          <w:rFonts w:ascii="Arial" w:hAnsi="Arial" w:cs="Arial"/>
          <w:i/>
          <w:lang w:val="es-ES"/>
        </w:rPr>
      </w:pPr>
      <w:r w:rsidRPr="00476F57">
        <w:rPr>
          <w:rFonts w:ascii="Arial" w:hAnsi="Arial" w:cs="Arial"/>
          <w:i/>
          <w:lang w:val="es-ES"/>
        </w:rPr>
        <w:t>Metformina</w:t>
      </w:r>
    </w:p>
    <w:p w:rsidR="00F83FA0" w:rsidRPr="00476F57" w:rsidRDefault="00F83FA0" w:rsidP="00913651">
      <w:pPr>
        <w:pStyle w:val="ListParagraph"/>
        <w:numPr>
          <w:ilvl w:val="0"/>
          <w:numId w:val="18"/>
        </w:numPr>
        <w:spacing w:after="0" w:line="360" w:lineRule="auto"/>
        <w:jc w:val="both"/>
        <w:rPr>
          <w:rFonts w:ascii="Arial" w:hAnsi="Arial" w:cs="Arial"/>
          <w:lang w:val="es-AR"/>
        </w:rPr>
      </w:pPr>
      <w:r w:rsidRPr="00476F57">
        <w:rPr>
          <w:rFonts w:ascii="Arial" w:hAnsi="Arial" w:cs="Arial"/>
          <w:lang w:val="es-AR"/>
        </w:rPr>
        <w:t>El RR de morir fue significativamente menor en los pacientes tratados con metformina vs los pacientes tratados sulfonilureas o dieta. RR 0,64 IC95%(0,45-0,91). El número de individuos necesarios a tratar durante un año para evitar una muerte (NNT) fue de casi 141 IC95%(88,2-539,3).</w:t>
      </w:r>
    </w:p>
    <w:p w:rsidR="00DB1E26" w:rsidRPr="00913651" w:rsidRDefault="00DB1E26" w:rsidP="00913651">
      <w:pPr>
        <w:pStyle w:val="ListParagraph"/>
        <w:spacing w:after="0" w:line="240" w:lineRule="auto"/>
        <w:jc w:val="both"/>
        <w:rPr>
          <w:rFonts w:ascii="Arial" w:hAnsi="Arial" w:cs="Arial"/>
          <w:lang w:val="es-ES"/>
        </w:rPr>
      </w:pPr>
    </w:p>
    <w:p w:rsidR="00F83FA0" w:rsidRPr="00476F57" w:rsidRDefault="00F83FA0" w:rsidP="00913651">
      <w:pPr>
        <w:pStyle w:val="ListParagraph"/>
        <w:numPr>
          <w:ilvl w:val="0"/>
          <w:numId w:val="18"/>
        </w:numPr>
        <w:spacing w:after="0" w:line="360" w:lineRule="auto"/>
        <w:jc w:val="both"/>
        <w:rPr>
          <w:rFonts w:ascii="Arial" w:hAnsi="Arial" w:cs="Arial"/>
          <w:lang w:val="es-ES"/>
        </w:rPr>
      </w:pPr>
      <w:r w:rsidRPr="00476F57">
        <w:rPr>
          <w:rFonts w:ascii="Arial" w:hAnsi="Arial" w:cs="Arial"/>
          <w:lang w:val="es-ES"/>
        </w:rPr>
        <w:t>El RR de sufrir un Infarto Agudo de Miocardio fue significativamente menor en los pacientes tratados con m</w:t>
      </w:r>
      <w:r w:rsidR="00672E05">
        <w:rPr>
          <w:rFonts w:ascii="Arial" w:hAnsi="Arial" w:cs="Arial"/>
          <w:lang w:val="es-ES"/>
        </w:rPr>
        <w:t>etformina que en</w:t>
      </w:r>
      <w:r w:rsidRPr="00476F57">
        <w:rPr>
          <w:rFonts w:ascii="Arial" w:hAnsi="Arial" w:cs="Arial"/>
          <w:lang w:val="es-ES"/>
        </w:rPr>
        <w:t xml:space="preserve"> los pacientes tratados sulfonilureas o dieta. RR 0,61 IC95%(0,41-0,89). El número de individuos necesarios a tratar durante un año para evita</w:t>
      </w:r>
      <w:r w:rsidR="00672E05">
        <w:rPr>
          <w:rFonts w:ascii="Arial" w:hAnsi="Arial" w:cs="Arial"/>
          <w:lang w:val="es-ES"/>
        </w:rPr>
        <w:t>r un Infarto Agudo de Miocardio</w:t>
      </w:r>
      <w:r w:rsidRPr="00476F57">
        <w:rPr>
          <w:rFonts w:ascii="Arial" w:hAnsi="Arial" w:cs="Arial"/>
          <w:lang w:val="es-ES"/>
        </w:rPr>
        <w:t xml:space="preserve"> </w:t>
      </w:r>
      <w:r w:rsidR="006A4ED8">
        <w:rPr>
          <w:rFonts w:ascii="Arial" w:hAnsi="Arial" w:cs="Arial"/>
          <w:lang w:val="es-ES"/>
        </w:rPr>
        <w:t>(NNT) fue de 143 IC95%(94-505).</w:t>
      </w:r>
    </w:p>
    <w:p w:rsidR="00DB1E26" w:rsidRPr="00476F57" w:rsidRDefault="00DB1E26" w:rsidP="00913651">
      <w:pPr>
        <w:pStyle w:val="ListParagraph"/>
        <w:spacing w:after="0" w:line="240" w:lineRule="auto"/>
        <w:jc w:val="both"/>
        <w:rPr>
          <w:rFonts w:ascii="Arial" w:hAnsi="Arial" w:cs="Arial"/>
          <w:lang w:val="es-ES"/>
        </w:rPr>
      </w:pPr>
    </w:p>
    <w:p w:rsidR="00F83FA0" w:rsidRPr="00476F57" w:rsidRDefault="00F83FA0" w:rsidP="00913651">
      <w:pPr>
        <w:pStyle w:val="ListParagraph"/>
        <w:numPr>
          <w:ilvl w:val="0"/>
          <w:numId w:val="18"/>
        </w:numPr>
        <w:spacing w:after="0" w:line="360" w:lineRule="auto"/>
        <w:jc w:val="both"/>
        <w:rPr>
          <w:rFonts w:ascii="Arial" w:hAnsi="Arial" w:cs="Arial"/>
          <w:lang w:val="es-ES"/>
        </w:rPr>
      </w:pPr>
      <w:r w:rsidRPr="00476F57">
        <w:rPr>
          <w:rFonts w:ascii="Arial" w:hAnsi="Arial" w:cs="Arial"/>
          <w:lang w:val="es-ES"/>
        </w:rPr>
        <w:t>El RR de sufrir un evento relacionado con la DBT fue significativamente menor en los pacientes tratados con metformina vs los pacientes tra</w:t>
      </w:r>
      <w:r w:rsidR="006A4ED8">
        <w:rPr>
          <w:rFonts w:ascii="Arial" w:hAnsi="Arial" w:cs="Arial"/>
          <w:lang w:val="es-ES"/>
        </w:rPr>
        <w:t>tados sulfonilureas o dieta. RR </w:t>
      </w:r>
      <w:r w:rsidRPr="00476F57">
        <w:rPr>
          <w:rFonts w:ascii="Arial" w:hAnsi="Arial" w:cs="Arial"/>
          <w:lang w:val="es-ES"/>
        </w:rPr>
        <w:t>0,68 IC95%(0,53-0,87). En consecuencia, en base a estos estudios el número de individuos necesarios a tratar para evitar</w:t>
      </w:r>
      <w:r w:rsidR="00672E05">
        <w:rPr>
          <w:rFonts w:ascii="Arial" w:hAnsi="Arial" w:cs="Arial"/>
          <w:lang w:val="es-ES"/>
        </w:rPr>
        <w:t xml:space="preserve"> un Infarto Agudo de Miocardio </w:t>
      </w:r>
      <w:r w:rsidRPr="00476F57">
        <w:rPr>
          <w:rFonts w:ascii="Arial" w:hAnsi="Arial" w:cs="Arial"/>
          <w:lang w:val="es-ES"/>
        </w:rPr>
        <w:t xml:space="preserve">(NNT) fue de 74 IC95%(49 – 177). </w:t>
      </w:r>
    </w:p>
    <w:p w:rsidR="00DB1E26" w:rsidRPr="00476F57" w:rsidRDefault="00DB1E26" w:rsidP="00913651">
      <w:pPr>
        <w:pStyle w:val="ListParagraph"/>
        <w:spacing w:after="0" w:line="240" w:lineRule="auto"/>
        <w:jc w:val="both"/>
        <w:rPr>
          <w:rFonts w:ascii="Arial" w:hAnsi="Arial" w:cs="Arial"/>
          <w:lang w:val="es-ES"/>
        </w:rPr>
      </w:pPr>
    </w:p>
    <w:p w:rsidR="00F83FA0" w:rsidRPr="00476F57" w:rsidRDefault="00F83FA0" w:rsidP="00DB1E26">
      <w:pPr>
        <w:pStyle w:val="ListParagraph"/>
        <w:numPr>
          <w:ilvl w:val="0"/>
          <w:numId w:val="18"/>
        </w:numPr>
        <w:spacing w:line="360" w:lineRule="auto"/>
        <w:jc w:val="both"/>
        <w:rPr>
          <w:rFonts w:ascii="Arial" w:hAnsi="Arial" w:cs="Arial"/>
          <w:lang w:val="es-ES"/>
        </w:rPr>
      </w:pPr>
      <w:r w:rsidRPr="00476F57">
        <w:rPr>
          <w:rFonts w:ascii="Arial" w:hAnsi="Arial" w:cs="Arial"/>
          <w:lang w:val="es-ES"/>
        </w:rPr>
        <w:t>El RR de sufrir una muerte asociada a la DBT fue significativamente menor en los pacientes tratados con metformina vs los pacientes tra</w:t>
      </w:r>
      <w:r w:rsidR="006A4ED8">
        <w:rPr>
          <w:rFonts w:ascii="Arial" w:hAnsi="Arial" w:cs="Arial"/>
          <w:lang w:val="es-ES"/>
        </w:rPr>
        <w:t>tados sulfonilureas o dieta. RR </w:t>
      </w:r>
      <w:r w:rsidRPr="00476F57">
        <w:rPr>
          <w:rFonts w:ascii="Arial" w:hAnsi="Arial" w:cs="Arial"/>
          <w:lang w:val="es-ES"/>
        </w:rPr>
        <w:t>0,58 IC95%(0,37-0,91). El número de individuos necesarios a tratar durante un año para evita</w:t>
      </w:r>
      <w:r w:rsidR="00672E05">
        <w:rPr>
          <w:rFonts w:ascii="Arial" w:hAnsi="Arial" w:cs="Arial"/>
          <w:lang w:val="es-ES"/>
        </w:rPr>
        <w:t>r un Infarto Agudo de Miocardio</w:t>
      </w:r>
      <w:r w:rsidRPr="00476F57">
        <w:rPr>
          <w:rFonts w:ascii="Arial" w:hAnsi="Arial" w:cs="Arial"/>
          <w:lang w:val="es-ES"/>
        </w:rPr>
        <w:t xml:space="preserve"> (NNT) fue </w:t>
      </w:r>
      <w:r w:rsidR="006A4ED8">
        <w:rPr>
          <w:rFonts w:ascii="Arial" w:hAnsi="Arial" w:cs="Arial"/>
          <w:lang w:val="es-ES"/>
        </w:rPr>
        <w:t>de 192,31 IC95%(124,98-878,89).</w:t>
      </w:r>
    </w:p>
    <w:p w:rsidR="00F83FA0" w:rsidRPr="00476F57" w:rsidRDefault="00F83FA0" w:rsidP="003B0845">
      <w:pPr>
        <w:spacing w:line="360" w:lineRule="auto"/>
        <w:jc w:val="both"/>
        <w:rPr>
          <w:rFonts w:ascii="Arial" w:hAnsi="Arial" w:cs="Arial"/>
          <w:b/>
          <w:lang w:val="es-ES"/>
        </w:rPr>
      </w:pPr>
      <w:r w:rsidRPr="00476F57">
        <w:rPr>
          <w:rFonts w:ascii="Arial" w:hAnsi="Arial" w:cs="Arial"/>
          <w:b/>
          <w:lang w:val="es-ES"/>
        </w:rPr>
        <w:t>Ahorro por eventos potencialmente evitados</w:t>
      </w:r>
    </w:p>
    <w:p w:rsidR="00F83FA0" w:rsidRPr="00476F57" w:rsidRDefault="00F83FA0" w:rsidP="00DB1E26">
      <w:pPr>
        <w:pStyle w:val="ListParagraph"/>
        <w:numPr>
          <w:ilvl w:val="0"/>
          <w:numId w:val="18"/>
        </w:numPr>
        <w:jc w:val="both"/>
        <w:rPr>
          <w:rFonts w:ascii="Arial" w:eastAsia="Times New Roman" w:hAnsi="Arial" w:cs="Arial"/>
          <w:color w:val="000000"/>
          <w:lang w:val="es-ES"/>
        </w:rPr>
      </w:pPr>
      <w:r w:rsidRPr="00476F57">
        <w:rPr>
          <w:rFonts w:ascii="Arial" w:hAnsi="Arial" w:cs="Arial"/>
          <w:lang w:val="es-ES"/>
        </w:rPr>
        <w:t xml:space="preserve">El ahorro por los EPE con Redes fue de $17.475.713 comparado con $ $15.193.075 sin Redes. Esto representa una diferencia de </w:t>
      </w:r>
      <w:r w:rsidRPr="00476F57">
        <w:rPr>
          <w:rFonts w:ascii="Arial" w:eastAsia="Times New Roman" w:hAnsi="Arial" w:cs="Arial"/>
          <w:color w:val="000000"/>
          <w:lang w:val="es-ES"/>
        </w:rPr>
        <w:t xml:space="preserve">-$2.282.637 para el año 2013. Aproximadamente la mitad de esta diferencia está explicada por los infartos agudos de miocardio evitados por los tratamientos dispensados de metformina, seguido por el </w:t>
      </w:r>
      <w:r w:rsidRPr="00476F57">
        <w:rPr>
          <w:rFonts w:ascii="Arial" w:eastAsia="Times New Roman" w:hAnsi="Arial" w:cs="Arial"/>
          <w:color w:val="000000"/>
          <w:lang w:val="es-ES"/>
        </w:rPr>
        <w:lastRenderedPageBreak/>
        <w:t>ahorro gracias a los eventos asociados a DBT y a enfermedad coronaria por el tratamiento con IECAS.</w:t>
      </w:r>
    </w:p>
    <w:p w:rsidR="00F83FA0" w:rsidRPr="00476F57" w:rsidRDefault="00F83FA0" w:rsidP="003B0845">
      <w:pPr>
        <w:spacing w:line="360" w:lineRule="auto"/>
        <w:jc w:val="both"/>
        <w:rPr>
          <w:rFonts w:ascii="Arial" w:hAnsi="Arial" w:cs="Arial"/>
          <w:b/>
          <w:lang w:val="es-ES"/>
        </w:rPr>
      </w:pPr>
      <w:r w:rsidRPr="00476F57">
        <w:rPr>
          <w:rFonts w:ascii="Arial" w:hAnsi="Arial" w:cs="Arial"/>
          <w:b/>
          <w:lang w:val="es-ES"/>
        </w:rPr>
        <w:t>Años de vida perdidos por muerte prematura</w:t>
      </w:r>
    </w:p>
    <w:p w:rsidR="00F83FA0" w:rsidRPr="00476F57" w:rsidRDefault="00203415" w:rsidP="00DB1E26">
      <w:pPr>
        <w:pStyle w:val="ListParagraph"/>
        <w:numPr>
          <w:ilvl w:val="0"/>
          <w:numId w:val="18"/>
        </w:numPr>
        <w:jc w:val="both"/>
        <w:rPr>
          <w:rFonts w:ascii="Arial" w:hAnsi="Arial" w:cs="Arial"/>
          <w:lang w:val="es-ES"/>
        </w:rPr>
      </w:pPr>
      <w:r w:rsidRPr="00476F57">
        <w:rPr>
          <w:rFonts w:ascii="Arial" w:hAnsi="Arial" w:cs="Arial"/>
          <w:lang w:val="es-ES"/>
        </w:rPr>
        <w:t>S</w:t>
      </w:r>
      <w:r w:rsidR="00F83FA0" w:rsidRPr="00476F57">
        <w:rPr>
          <w:rFonts w:ascii="Arial" w:hAnsi="Arial" w:cs="Arial"/>
          <w:lang w:val="es-ES"/>
        </w:rPr>
        <w:t xml:space="preserve">e observaron diferencias en los AVPMP entre ambos grupos, </w:t>
      </w:r>
      <w:r w:rsidR="00D04E60" w:rsidRPr="00476F57">
        <w:rPr>
          <w:rFonts w:ascii="Arial" w:hAnsi="Arial" w:cs="Arial"/>
          <w:lang w:val="es-ES"/>
        </w:rPr>
        <w:t>361</w:t>
      </w:r>
      <w:r w:rsidR="00F83FA0" w:rsidRPr="00476F57">
        <w:rPr>
          <w:rFonts w:ascii="Arial" w:hAnsi="Arial" w:cs="Arial"/>
          <w:lang w:val="es-ES"/>
        </w:rPr>
        <w:t xml:space="preserve"> años cada 10.000 habitantes, a favor del grupo tratamiento (Tabla 5).</w:t>
      </w:r>
    </w:p>
    <w:p w:rsidR="00F83FA0" w:rsidRPr="00476F57" w:rsidRDefault="00F83FA0" w:rsidP="003B0845">
      <w:pPr>
        <w:jc w:val="both"/>
        <w:rPr>
          <w:rFonts w:ascii="Arial" w:hAnsi="Arial" w:cs="Arial"/>
          <w:b/>
          <w:lang w:val="es-ES"/>
        </w:rPr>
      </w:pPr>
      <w:r w:rsidRPr="00476F57">
        <w:rPr>
          <w:rFonts w:ascii="Arial" w:hAnsi="Arial" w:cs="Arial"/>
          <w:b/>
          <w:lang w:val="es-ES"/>
        </w:rPr>
        <w:t>Pérdida de productividad por muerte prematura</w:t>
      </w:r>
    </w:p>
    <w:tbl>
      <w:tblPr>
        <w:tblW w:w="7942" w:type="dxa"/>
        <w:jc w:val="center"/>
        <w:tblLayout w:type="fixed"/>
        <w:tblLook w:val="04A0" w:firstRow="1" w:lastRow="0" w:firstColumn="1" w:lastColumn="0" w:noHBand="0" w:noVBand="1"/>
      </w:tblPr>
      <w:tblGrid>
        <w:gridCol w:w="1002"/>
        <w:gridCol w:w="980"/>
        <w:gridCol w:w="1000"/>
        <w:gridCol w:w="1000"/>
        <w:gridCol w:w="980"/>
        <w:gridCol w:w="1000"/>
        <w:gridCol w:w="1000"/>
        <w:gridCol w:w="727"/>
        <w:gridCol w:w="253"/>
      </w:tblGrid>
      <w:tr w:rsidR="00D04E60" w:rsidRPr="006A4ED8" w:rsidTr="00672E05">
        <w:trPr>
          <w:gridAfter w:val="1"/>
          <w:wAfter w:w="253" w:type="dxa"/>
          <w:trHeight w:val="300"/>
          <w:jc w:val="center"/>
        </w:trPr>
        <w:tc>
          <w:tcPr>
            <w:tcW w:w="7689" w:type="dxa"/>
            <w:gridSpan w:val="8"/>
            <w:tcBorders>
              <w:top w:val="nil"/>
              <w:left w:val="nil"/>
              <w:bottom w:val="single" w:sz="4" w:space="0" w:color="auto"/>
              <w:right w:val="nil"/>
            </w:tcBorders>
            <w:shd w:val="clear" w:color="auto" w:fill="auto"/>
            <w:noWrap/>
            <w:vAlign w:val="center"/>
            <w:hideMark/>
          </w:tcPr>
          <w:p w:rsidR="00D04E60" w:rsidRPr="00476F57" w:rsidRDefault="00D04E60" w:rsidP="00913651">
            <w:pPr>
              <w:spacing w:after="0" w:line="240" w:lineRule="auto"/>
              <w:jc w:val="center"/>
              <w:rPr>
                <w:rFonts w:ascii="Arial" w:eastAsia="Times New Roman" w:hAnsi="Arial" w:cs="Arial"/>
                <w:b/>
                <w:bCs/>
                <w:color w:val="000000"/>
                <w:sz w:val="18"/>
                <w:szCs w:val="18"/>
                <w:lang w:val="es-ES"/>
              </w:rPr>
            </w:pPr>
            <w:r w:rsidRPr="00476F57">
              <w:rPr>
                <w:rFonts w:ascii="Arial" w:eastAsia="Times New Roman" w:hAnsi="Arial" w:cs="Arial"/>
                <w:b/>
                <w:bCs/>
                <w:color w:val="000000"/>
                <w:sz w:val="18"/>
                <w:szCs w:val="18"/>
                <w:lang w:val="es-ES"/>
              </w:rPr>
              <w:t>Tabla 5: Años de vida perdidos por muerte prematura (AVPMP) cada 10.000 habitantes</w:t>
            </w:r>
          </w:p>
        </w:tc>
      </w:tr>
      <w:tr w:rsidR="00D04E60" w:rsidRPr="00476F57" w:rsidTr="00672E05">
        <w:trPr>
          <w:trHeight w:val="300"/>
          <w:jc w:val="center"/>
        </w:trPr>
        <w:tc>
          <w:tcPr>
            <w:tcW w:w="1002" w:type="dxa"/>
            <w:vMerge w:val="restart"/>
            <w:tcBorders>
              <w:top w:val="nil"/>
              <w:left w:val="single" w:sz="4" w:space="0" w:color="auto"/>
              <w:bottom w:val="single" w:sz="4" w:space="0" w:color="FFFFFF"/>
              <w:right w:val="single" w:sz="4" w:space="0" w:color="FFFFFF"/>
            </w:tcBorders>
            <w:shd w:val="clear" w:color="000000" w:fill="538DD5"/>
            <w:vAlign w:val="center"/>
            <w:hideMark/>
          </w:tcPr>
          <w:p w:rsidR="00D04E60" w:rsidRPr="00476F57" w:rsidRDefault="00D04E60" w:rsidP="00672E05">
            <w:pPr>
              <w:spacing w:after="0" w:line="240" w:lineRule="auto"/>
              <w:jc w:val="center"/>
              <w:rPr>
                <w:rFonts w:ascii="Arial" w:eastAsia="Times New Roman" w:hAnsi="Arial" w:cs="Arial"/>
                <w:b/>
                <w:bCs/>
                <w:color w:val="FFFFFF"/>
                <w:sz w:val="18"/>
                <w:szCs w:val="18"/>
              </w:rPr>
            </w:pPr>
            <w:r w:rsidRPr="00476F57">
              <w:rPr>
                <w:rFonts w:ascii="Arial" w:eastAsia="Times New Roman" w:hAnsi="Arial" w:cs="Arial"/>
                <w:b/>
                <w:bCs/>
                <w:color w:val="FFFFFF"/>
                <w:sz w:val="18"/>
                <w:szCs w:val="18"/>
              </w:rPr>
              <w:t>Grupo Etario</w:t>
            </w:r>
          </w:p>
        </w:tc>
        <w:tc>
          <w:tcPr>
            <w:tcW w:w="6940" w:type="dxa"/>
            <w:gridSpan w:val="8"/>
            <w:tcBorders>
              <w:top w:val="nil"/>
              <w:left w:val="nil"/>
              <w:bottom w:val="single" w:sz="4" w:space="0" w:color="FFFFFF"/>
              <w:right w:val="single" w:sz="4" w:space="0" w:color="FFFFFF"/>
            </w:tcBorders>
            <w:shd w:val="clear" w:color="000000" w:fill="538DD5"/>
            <w:noWrap/>
            <w:vAlign w:val="center"/>
            <w:hideMark/>
          </w:tcPr>
          <w:p w:rsidR="00D04E60" w:rsidRPr="00476F57" w:rsidRDefault="00D04E60" w:rsidP="00672E05">
            <w:pPr>
              <w:spacing w:after="0" w:line="240" w:lineRule="auto"/>
              <w:jc w:val="center"/>
              <w:rPr>
                <w:rFonts w:ascii="Arial" w:eastAsia="Times New Roman" w:hAnsi="Arial" w:cs="Arial"/>
                <w:b/>
                <w:bCs/>
                <w:color w:val="FFFFFF"/>
                <w:sz w:val="18"/>
                <w:szCs w:val="18"/>
              </w:rPr>
            </w:pPr>
            <w:r w:rsidRPr="00476F57">
              <w:rPr>
                <w:rFonts w:ascii="Arial" w:eastAsia="Times New Roman" w:hAnsi="Arial" w:cs="Arial"/>
                <w:b/>
                <w:bCs/>
                <w:color w:val="FFFFFF"/>
                <w:sz w:val="18"/>
                <w:szCs w:val="18"/>
              </w:rPr>
              <w:t>AVPMP/10000</w:t>
            </w:r>
          </w:p>
        </w:tc>
      </w:tr>
      <w:tr w:rsidR="00D04E60" w:rsidRPr="00476F57" w:rsidTr="00913651">
        <w:trPr>
          <w:trHeight w:val="260"/>
          <w:jc w:val="center"/>
        </w:trPr>
        <w:tc>
          <w:tcPr>
            <w:tcW w:w="1002" w:type="dxa"/>
            <w:vMerge/>
            <w:tcBorders>
              <w:top w:val="nil"/>
              <w:left w:val="single" w:sz="4" w:space="0" w:color="auto"/>
              <w:bottom w:val="single" w:sz="4" w:space="0" w:color="FFFFFF"/>
              <w:right w:val="single" w:sz="4" w:space="0" w:color="FFFFFF"/>
            </w:tcBorders>
            <w:vAlign w:val="center"/>
            <w:hideMark/>
          </w:tcPr>
          <w:p w:rsidR="00D04E60" w:rsidRPr="00476F57" w:rsidRDefault="00D04E60" w:rsidP="00672E05">
            <w:pPr>
              <w:spacing w:after="0" w:line="240" w:lineRule="auto"/>
              <w:rPr>
                <w:rFonts w:ascii="Arial" w:eastAsia="Times New Roman" w:hAnsi="Arial" w:cs="Arial"/>
                <w:b/>
                <w:bCs/>
                <w:color w:val="FFFFFF"/>
                <w:sz w:val="18"/>
                <w:szCs w:val="18"/>
              </w:rPr>
            </w:pPr>
          </w:p>
        </w:tc>
        <w:tc>
          <w:tcPr>
            <w:tcW w:w="2980" w:type="dxa"/>
            <w:gridSpan w:val="3"/>
            <w:tcBorders>
              <w:top w:val="single" w:sz="4" w:space="0" w:color="FFFFFF"/>
              <w:left w:val="nil"/>
              <w:bottom w:val="single" w:sz="4" w:space="0" w:color="FFFFFF"/>
              <w:right w:val="single" w:sz="4" w:space="0" w:color="FFFFFF"/>
            </w:tcBorders>
            <w:shd w:val="clear" w:color="000000" w:fill="538DD5"/>
            <w:noWrap/>
            <w:vAlign w:val="center"/>
            <w:hideMark/>
          </w:tcPr>
          <w:p w:rsidR="00D04E60" w:rsidRPr="00476F57" w:rsidRDefault="00D04E60" w:rsidP="00672E05">
            <w:pPr>
              <w:spacing w:after="0" w:line="240" w:lineRule="auto"/>
              <w:jc w:val="center"/>
              <w:rPr>
                <w:rFonts w:ascii="Arial" w:eastAsia="Times New Roman" w:hAnsi="Arial" w:cs="Arial"/>
                <w:b/>
                <w:bCs/>
                <w:color w:val="FFFFFF"/>
                <w:sz w:val="18"/>
                <w:szCs w:val="18"/>
              </w:rPr>
            </w:pPr>
            <w:r w:rsidRPr="00476F57">
              <w:rPr>
                <w:rFonts w:ascii="Arial" w:eastAsia="Times New Roman" w:hAnsi="Arial" w:cs="Arial"/>
                <w:b/>
                <w:bCs/>
                <w:color w:val="FFFFFF"/>
                <w:sz w:val="18"/>
                <w:szCs w:val="18"/>
              </w:rPr>
              <w:t>NO REDES</w:t>
            </w:r>
          </w:p>
        </w:tc>
        <w:tc>
          <w:tcPr>
            <w:tcW w:w="2980" w:type="dxa"/>
            <w:gridSpan w:val="3"/>
            <w:tcBorders>
              <w:top w:val="single" w:sz="4" w:space="0" w:color="FFFFFF"/>
              <w:left w:val="nil"/>
              <w:bottom w:val="single" w:sz="4" w:space="0" w:color="FFFFFF"/>
              <w:right w:val="single" w:sz="4" w:space="0" w:color="FFFFFF"/>
            </w:tcBorders>
            <w:shd w:val="clear" w:color="000000" w:fill="538DD5"/>
            <w:noWrap/>
            <w:vAlign w:val="center"/>
            <w:hideMark/>
          </w:tcPr>
          <w:p w:rsidR="00D04E60" w:rsidRPr="00476F57" w:rsidRDefault="00D04E60" w:rsidP="00672E05">
            <w:pPr>
              <w:spacing w:after="0" w:line="240" w:lineRule="auto"/>
              <w:jc w:val="center"/>
              <w:rPr>
                <w:rFonts w:ascii="Arial" w:eastAsia="Times New Roman" w:hAnsi="Arial" w:cs="Arial"/>
                <w:b/>
                <w:bCs/>
                <w:color w:val="FFFFFF"/>
                <w:sz w:val="18"/>
                <w:szCs w:val="18"/>
              </w:rPr>
            </w:pPr>
            <w:r w:rsidRPr="00476F57">
              <w:rPr>
                <w:rFonts w:ascii="Arial" w:eastAsia="Times New Roman" w:hAnsi="Arial" w:cs="Arial"/>
                <w:b/>
                <w:bCs/>
                <w:color w:val="FFFFFF"/>
                <w:sz w:val="18"/>
                <w:szCs w:val="18"/>
              </w:rPr>
              <w:t>REDES</w:t>
            </w:r>
          </w:p>
        </w:tc>
        <w:tc>
          <w:tcPr>
            <w:tcW w:w="980" w:type="dxa"/>
            <w:gridSpan w:val="2"/>
            <w:vMerge w:val="restart"/>
            <w:tcBorders>
              <w:top w:val="nil"/>
              <w:left w:val="single" w:sz="4" w:space="0" w:color="FFFFFF"/>
              <w:bottom w:val="single" w:sz="4" w:space="0" w:color="FFFFFF"/>
              <w:right w:val="single" w:sz="4" w:space="0" w:color="FFFFFF"/>
            </w:tcBorders>
            <w:shd w:val="clear" w:color="000000" w:fill="538DD5"/>
            <w:noWrap/>
            <w:vAlign w:val="center"/>
            <w:hideMark/>
          </w:tcPr>
          <w:p w:rsidR="00D04E60" w:rsidRPr="00476F57" w:rsidRDefault="00D04E60" w:rsidP="00672E05">
            <w:pPr>
              <w:spacing w:after="0" w:line="240" w:lineRule="auto"/>
              <w:jc w:val="center"/>
              <w:rPr>
                <w:rFonts w:ascii="Arial" w:eastAsia="Times New Roman" w:hAnsi="Arial" w:cs="Arial"/>
                <w:b/>
                <w:bCs/>
                <w:color w:val="FFFFFF"/>
                <w:sz w:val="18"/>
                <w:szCs w:val="18"/>
              </w:rPr>
            </w:pPr>
            <w:r w:rsidRPr="00476F57">
              <w:rPr>
                <w:rFonts w:ascii="Arial" w:eastAsia="Times New Roman" w:hAnsi="Arial" w:cs="Arial"/>
                <w:b/>
                <w:bCs/>
                <w:color w:val="FFFFFF"/>
                <w:sz w:val="18"/>
                <w:szCs w:val="18"/>
              </w:rPr>
              <w:t> AVPMP</w:t>
            </w:r>
          </w:p>
        </w:tc>
      </w:tr>
      <w:tr w:rsidR="00D04E60" w:rsidRPr="00476F57" w:rsidTr="00672E05">
        <w:trPr>
          <w:trHeight w:val="300"/>
          <w:jc w:val="center"/>
        </w:trPr>
        <w:tc>
          <w:tcPr>
            <w:tcW w:w="1002" w:type="dxa"/>
            <w:vMerge/>
            <w:tcBorders>
              <w:top w:val="nil"/>
              <w:left w:val="single" w:sz="4" w:space="0" w:color="auto"/>
              <w:bottom w:val="single" w:sz="4" w:space="0" w:color="FFFFFF"/>
              <w:right w:val="single" w:sz="4" w:space="0" w:color="FFFFFF"/>
            </w:tcBorders>
            <w:vAlign w:val="center"/>
            <w:hideMark/>
          </w:tcPr>
          <w:p w:rsidR="00D04E60" w:rsidRPr="00476F57" w:rsidRDefault="00D04E60" w:rsidP="00672E05">
            <w:pPr>
              <w:spacing w:after="0" w:line="240" w:lineRule="auto"/>
              <w:rPr>
                <w:rFonts w:ascii="Arial" w:eastAsia="Times New Roman" w:hAnsi="Arial" w:cs="Arial"/>
                <w:b/>
                <w:bCs/>
                <w:color w:val="FFFFFF"/>
                <w:sz w:val="18"/>
                <w:szCs w:val="18"/>
              </w:rPr>
            </w:pPr>
          </w:p>
        </w:tc>
        <w:tc>
          <w:tcPr>
            <w:tcW w:w="980" w:type="dxa"/>
            <w:tcBorders>
              <w:top w:val="nil"/>
              <w:left w:val="nil"/>
              <w:bottom w:val="nil"/>
              <w:right w:val="single" w:sz="4" w:space="0" w:color="FFFFFF"/>
            </w:tcBorders>
            <w:shd w:val="clear" w:color="000000" w:fill="538DD5"/>
            <w:noWrap/>
            <w:vAlign w:val="center"/>
            <w:hideMark/>
          </w:tcPr>
          <w:p w:rsidR="00D04E60" w:rsidRPr="00476F57" w:rsidRDefault="00D04E60" w:rsidP="00672E05">
            <w:pPr>
              <w:spacing w:after="0" w:line="240" w:lineRule="auto"/>
              <w:jc w:val="center"/>
              <w:rPr>
                <w:rFonts w:ascii="Arial" w:eastAsia="Times New Roman" w:hAnsi="Arial" w:cs="Arial"/>
                <w:b/>
                <w:bCs/>
                <w:color w:val="FFFFFF"/>
                <w:sz w:val="18"/>
                <w:szCs w:val="18"/>
              </w:rPr>
            </w:pPr>
            <w:r w:rsidRPr="00476F57">
              <w:rPr>
                <w:rFonts w:ascii="Arial" w:eastAsia="Times New Roman" w:hAnsi="Arial" w:cs="Arial"/>
                <w:b/>
                <w:bCs/>
                <w:color w:val="FFFFFF"/>
                <w:sz w:val="18"/>
                <w:szCs w:val="18"/>
              </w:rPr>
              <w:t>DBT</w:t>
            </w:r>
          </w:p>
        </w:tc>
        <w:tc>
          <w:tcPr>
            <w:tcW w:w="1000" w:type="dxa"/>
            <w:tcBorders>
              <w:top w:val="nil"/>
              <w:left w:val="nil"/>
              <w:bottom w:val="nil"/>
              <w:right w:val="single" w:sz="4" w:space="0" w:color="FFFFFF"/>
            </w:tcBorders>
            <w:shd w:val="clear" w:color="000000" w:fill="538DD5"/>
            <w:noWrap/>
            <w:vAlign w:val="center"/>
            <w:hideMark/>
          </w:tcPr>
          <w:p w:rsidR="00D04E60" w:rsidRPr="00476F57" w:rsidRDefault="00D04E60" w:rsidP="00672E05">
            <w:pPr>
              <w:spacing w:after="0" w:line="240" w:lineRule="auto"/>
              <w:jc w:val="center"/>
              <w:rPr>
                <w:rFonts w:ascii="Arial" w:eastAsia="Times New Roman" w:hAnsi="Arial" w:cs="Arial"/>
                <w:b/>
                <w:bCs/>
                <w:color w:val="FFFFFF"/>
                <w:sz w:val="18"/>
                <w:szCs w:val="18"/>
              </w:rPr>
            </w:pPr>
            <w:r w:rsidRPr="00476F57">
              <w:rPr>
                <w:rFonts w:ascii="Arial" w:eastAsia="Times New Roman" w:hAnsi="Arial" w:cs="Arial"/>
                <w:b/>
                <w:bCs/>
                <w:color w:val="FFFFFF"/>
                <w:sz w:val="18"/>
                <w:szCs w:val="18"/>
              </w:rPr>
              <w:t>HTA</w:t>
            </w:r>
          </w:p>
        </w:tc>
        <w:tc>
          <w:tcPr>
            <w:tcW w:w="1000" w:type="dxa"/>
            <w:tcBorders>
              <w:top w:val="nil"/>
              <w:left w:val="nil"/>
              <w:bottom w:val="nil"/>
              <w:right w:val="single" w:sz="4" w:space="0" w:color="FFFFFF"/>
            </w:tcBorders>
            <w:shd w:val="clear" w:color="000000" w:fill="538DD5"/>
            <w:noWrap/>
            <w:vAlign w:val="center"/>
            <w:hideMark/>
          </w:tcPr>
          <w:p w:rsidR="00D04E60" w:rsidRPr="00476F57" w:rsidRDefault="00D04E60" w:rsidP="00672E05">
            <w:pPr>
              <w:spacing w:after="0" w:line="240" w:lineRule="auto"/>
              <w:jc w:val="center"/>
              <w:rPr>
                <w:rFonts w:ascii="Arial" w:eastAsia="Times New Roman" w:hAnsi="Arial" w:cs="Arial"/>
                <w:b/>
                <w:bCs/>
                <w:color w:val="FFFFFF"/>
                <w:sz w:val="18"/>
                <w:szCs w:val="18"/>
              </w:rPr>
            </w:pPr>
            <w:r w:rsidRPr="00476F57">
              <w:rPr>
                <w:rFonts w:ascii="Arial" w:eastAsia="Times New Roman" w:hAnsi="Arial" w:cs="Arial"/>
                <w:b/>
                <w:bCs/>
                <w:color w:val="FFFFFF"/>
                <w:sz w:val="18"/>
                <w:szCs w:val="18"/>
              </w:rPr>
              <w:t>TOTAL</w:t>
            </w:r>
          </w:p>
        </w:tc>
        <w:tc>
          <w:tcPr>
            <w:tcW w:w="980" w:type="dxa"/>
            <w:tcBorders>
              <w:top w:val="nil"/>
              <w:left w:val="nil"/>
              <w:bottom w:val="nil"/>
              <w:right w:val="single" w:sz="4" w:space="0" w:color="FFFFFF"/>
            </w:tcBorders>
            <w:shd w:val="clear" w:color="000000" w:fill="538DD5"/>
            <w:noWrap/>
            <w:vAlign w:val="center"/>
            <w:hideMark/>
          </w:tcPr>
          <w:p w:rsidR="00D04E60" w:rsidRPr="00476F57" w:rsidRDefault="00D04E60" w:rsidP="00672E05">
            <w:pPr>
              <w:spacing w:after="0" w:line="240" w:lineRule="auto"/>
              <w:jc w:val="center"/>
              <w:rPr>
                <w:rFonts w:ascii="Arial" w:eastAsia="Times New Roman" w:hAnsi="Arial" w:cs="Arial"/>
                <w:b/>
                <w:bCs/>
                <w:color w:val="FFFFFF"/>
                <w:sz w:val="18"/>
                <w:szCs w:val="18"/>
              </w:rPr>
            </w:pPr>
            <w:r w:rsidRPr="00476F57">
              <w:rPr>
                <w:rFonts w:ascii="Arial" w:eastAsia="Times New Roman" w:hAnsi="Arial" w:cs="Arial"/>
                <w:b/>
                <w:bCs/>
                <w:color w:val="FFFFFF"/>
                <w:sz w:val="18"/>
                <w:szCs w:val="18"/>
              </w:rPr>
              <w:t>DBT</w:t>
            </w:r>
          </w:p>
        </w:tc>
        <w:tc>
          <w:tcPr>
            <w:tcW w:w="1000" w:type="dxa"/>
            <w:tcBorders>
              <w:top w:val="nil"/>
              <w:left w:val="nil"/>
              <w:bottom w:val="nil"/>
              <w:right w:val="single" w:sz="4" w:space="0" w:color="FFFFFF"/>
            </w:tcBorders>
            <w:shd w:val="clear" w:color="000000" w:fill="538DD5"/>
            <w:noWrap/>
            <w:vAlign w:val="center"/>
            <w:hideMark/>
          </w:tcPr>
          <w:p w:rsidR="00D04E60" w:rsidRPr="00476F57" w:rsidRDefault="00D04E60" w:rsidP="00672E05">
            <w:pPr>
              <w:spacing w:after="0" w:line="240" w:lineRule="auto"/>
              <w:jc w:val="center"/>
              <w:rPr>
                <w:rFonts w:ascii="Arial" w:eastAsia="Times New Roman" w:hAnsi="Arial" w:cs="Arial"/>
                <w:b/>
                <w:bCs/>
                <w:color w:val="FFFFFF"/>
                <w:sz w:val="18"/>
                <w:szCs w:val="18"/>
              </w:rPr>
            </w:pPr>
            <w:r w:rsidRPr="00476F57">
              <w:rPr>
                <w:rFonts w:ascii="Arial" w:eastAsia="Times New Roman" w:hAnsi="Arial" w:cs="Arial"/>
                <w:b/>
                <w:bCs/>
                <w:color w:val="FFFFFF"/>
                <w:sz w:val="18"/>
                <w:szCs w:val="18"/>
              </w:rPr>
              <w:t>HTA</w:t>
            </w:r>
          </w:p>
        </w:tc>
        <w:tc>
          <w:tcPr>
            <w:tcW w:w="1000" w:type="dxa"/>
            <w:tcBorders>
              <w:top w:val="nil"/>
              <w:left w:val="nil"/>
              <w:bottom w:val="nil"/>
              <w:right w:val="single" w:sz="4" w:space="0" w:color="FFFFFF"/>
            </w:tcBorders>
            <w:shd w:val="clear" w:color="000000" w:fill="538DD5"/>
            <w:noWrap/>
            <w:vAlign w:val="center"/>
            <w:hideMark/>
          </w:tcPr>
          <w:p w:rsidR="00D04E60" w:rsidRPr="00476F57" w:rsidRDefault="00D04E60" w:rsidP="00672E05">
            <w:pPr>
              <w:spacing w:after="0" w:line="240" w:lineRule="auto"/>
              <w:jc w:val="center"/>
              <w:rPr>
                <w:rFonts w:ascii="Arial" w:eastAsia="Times New Roman" w:hAnsi="Arial" w:cs="Arial"/>
                <w:b/>
                <w:bCs/>
                <w:color w:val="FFFFFF"/>
                <w:sz w:val="18"/>
                <w:szCs w:val="18"/>
              </w:rPr>
            </w:pPr>
            <w:r w:rsidRPr="00476F57">
              <w:rPr>
                <w:rFonts w:ascii="Arial" w:eastAsia="Times New Roman" w:hAnsi="Arial" w:cs="Arial"/>
                <w:b/>
                <w:bCs/>
                <w:color w:val="FFFFFF"/>
                <w:sz w:val="18"/>
                <w:szCs w:val="18"/>
              </w:rPr>
              <w:t>TOTAL</w:t>
            </w:r>
          </w:p>
        </w:tc>
        <w:tc>
          <w:tcPr>
            <w:tcW w:w="980" w:type="dxa"/>
            <w:gridSpan w:val="2"/>
            <w:vMerge/>
            <w:tcBorders>
              <w:top w:val="nil"/>
              <w:left w:val="single" w:sz="4" w:space="0" w:color="FFFFFF"/>
              <w:bottom w:val="single" w:sz="4" w:space="0" w:color="FFFFFF"/>
              <w:right w:val="single" w:sz="4" w:space="0" w:color="FFFFFF"/>
            </w:tcBorders>
            <w:vAlign w:val="center"/>
            <w:hideMark/>
          </w:tcPr>
          <w:p w:rsidR="00D04E60" w:rsidRPr="00476F57" w:rsidRDefault="00D04E60" w:rsidP="00672E05">
            <w:pPr>
              <w:spacing w:after="0" w:line="240" w:lineRule="auto"/>
              <w:rPr>
                <w:rFonts w:ascii="Arial" w:eastAsia="Times New Roman" w:hAnsi="Arial" w:cs="Arial"/>
                <w:b/>
                <w:bCs/>
                <w:color w:val="FFFFFF"/>
                <w:sz w:val="18"/>
                <w:szCs w:val="18"/>
              </w:rPr>
            </w:pPr>
          </w:p>
        </w:tc>
      </w:tr>
      <w:tr w:rsidR="00D04E60" w:rsidRPr="00476F57" w:rsidTr="00913651">
        <w:trPr>
          <w:trHeight w:val="224"/>
          <w:jc w:val="center"/>
        </w:trPr>
        <w:tc>
          <w:tcPr>
            <w:tcW w:w="1002" w:type="dxa"/>
            <w:tcBorders>
              <w:top w:val="single" w:sz="4" w:space="0" w:color="FFFFFF"/>
              <w:left w:val="single" w:sz="4" w:space="0" w:color="FFFFFF"/>
              <w:bottom w:val="single" w:sz="4" w:space="0" w:color="FFFFFF"/>
              <w:right w:val="single" w:sz="4" w:space="0" w:color="FFFFFF"/>
            </w:tcBorders>
            <w:shd w:val="clear" w:color="000000" w:fill="F2F2F2"/>
            <w:noWrap/>
            <w:vAlign w:val="bottom"/>
            <w:hideMark/>
          </w:tcPr>
          <w:p w:rsidR="00D04E60" w:rsidRPr="00476F57" w:rsidRDefault="00D04E60" w:rsidP="00672E05">
            <w:pPr>
              <w:spacing w:after="0" w:line="240" w:lineRule="auto"/>
              <w:rPr>
                <w:rFonts w:ascii="Arial" w:eastAsia="Times New Roman" w:hAnsi="Arial" w:cs="Arial"/>
                <w:b/>
                <w:bCs/>
                <w:sz w:val="18"/>
                <w:szCs w:val="18"/>
              </w:rPr>
            </w:pPr>
            <w:r w:rsidRPr="00476F57">
              <w:rPr>
                <w:rFonts w:ascii="Arial" w:eastAsia="Times New Roman" w:hAnsi="Arial" w:cs="Arial"/>
                <w:b/>
                <w:bCs/>
                <w:sz w:val="18"/>
                <w:szCs w:val="18"/>
              </w:rPr>
              <w:t>5-9</w:t>
            </w:r>
          </w:p>
        </w:tc>
        <w:tc>
          <w:tcPr>
            <w:tcW w:w="980" w:type="dxa"/>
            <w:tcBorders>
              <w:top w:val="single" w:sz="4" w:space="0" w:color="FFFFFF"/>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color w:val="000000"/>
                <w:sz w:val="18"/>
                <w:szCs w:val="18"/>
              </w:rPr>
              <w:t>0.2</w:t>
            </w:r>
          </w:p>
        </w:tc>
        <w:tc>
          <w:tcPr>
            <w:tcW w:w="1000" w:type="dxa"/>
            <w:tcBorders>
              <w:top w:val="single" w:sz="4" w:space="0" w:color="FFFFFF"/>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color w:val="000000"/>
                <w:sz w:val="18"/>
                <w:szCs w:val="18"/>
              </w:rPr>
              <w:t>0.6</w:t>
            </w:r>
          </w:p>
        </w:tc>
        <w:tc>
          <w:tcPr>
            <w:tcW w:w="1000" w:type="dxa"/>
            <w:tcBorders>
              <w:top w:val="single" w:sz="4" w:space="0" w:color="FFFFFF"/>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b/>
                <w:bCs/>
                <w:color w:val="000000"/>
                <w:sz w:val="18"/>
                <w:szCs w:val="18"/>
              </w:rPr>
              <w:t>0.8</w:t>
            </w:r>
          </w:p>
        </w:tc>
        <w:tc>
          <w:tcPr>
            <w:tcW w:w="980" w:type="dxa"/>
            <w:tcBorders>
              <w:top w:val="single" w:sz="4" w:space="0" w:color="FFFFFF"/>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color w:val="000000"/>
                <w:sz w:val="18"/>
                <w:szCs w:val="18"/>
              </w:rPr>
              <w:t>0.0</w:t>
            </w:r>
          </w:p>
        </w:tc>
        <w:tc>
          <w:tcPr>
            <w:tcW w:w="1000" w:type="dxa"/>
            <w:tcBorders>
              <w:top w:val="single" w:sz="4" w:space="0" w:color="FFFFFF"/>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color w:val="000000"/>
                <w:sz w:val="18"/>
                <w:szCs w:val="18"/>
              </w:rPr>
              <w:t>0.6</w:t>
            </w:r>
          </w:p>
        </w:tc>
        <w:tc>
          <w:tcPr>
            <w:tcW w:w="1000" w:type="dxa"/>
            <w:tcBorders>
              <w:top w:val="single" w:sz="4" w:space="0" w:color="FFFFFF"/>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b/>
                <w:bCs/>
                <w:color w:val="000000"/>
                <w:sz w:val="18"/>
                <w:szCs w:val="18"/>
              </w:rPr>
              <w:t>0.7</w:t>
            </w:r>
          </w:p>
        </w:tc>
        <w:tc>
          <w:tcPr>
            <w:tcW w:w="980" w:type="dxa"/>
            <w:gridSpan w:val="2"/>
            <w:tcBorders>
              <w:top w:val="single" w:sz="4" w:space="0" w:color="FFFFFF"/>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b/>
                <w:bCs/>
                <w:color w:val="000000"/>
                <w:sz w:val="18"/>
                <w:szCs w:val="18"/>
              </w:rPr>
              <w:t>-0.2</w:t>
            </w:r>
          </w:p>
        </w:tc>
      </w:tr>
      <w:tr w:rsidR="00D04E60" w:rsidRPr="00476F57" w:rsidTr="00913651">
        <w:trPr>
          <w:trHeight w:val="251"/>
          <w:jc w:val="center"/>
        </w:trPr>
        <w:tc>
          <w:tcPr>
            <w:tcW w:w="1002" w:type="dxa"/>
            <w:tcBorders>
              <w:top w:val="nil"/>
              <w:left w:val="single" w:sz="4" w:space="0" w:color="FFFFFF"/>
              <w:bottom w:val="single" w:sz="4" w:space="0" w:color="FFFFFF"/>
              <w:right w:val="single" w:sz="4" w:space="0" w:color="FFFFFF"/>
            </w:tcBorders>
            <w:shd w:val="clear" w:color="000000" w:fill="F2F2F2"/>
            <w:noWrap/>
            <w:vAlign w:val="bottom"/>
            <w:hideMark/>
          </w:tcPr>
          <w:p w:rsidR="00D04E60" w:rsidRPr="00476F57" w:rsidRDefault="00D04E60" w:rsidP="00672E05">
            <w:pPr>
              <w:spacing w:after="0" w:line="240" w:lineRule="auto"/>
              <w:rPr>
                <w:rFonts w:ascii="Arial" w:eastAsia="Times New Roman" w:hAnsi="Arial" w:cs="Arial"/>
                <w:b/>
                <w:bCs/>
                <w:sz w:val="18"/>
                <w:szCs w:val="18"/>
              </w:rPr>
            </w:pPr>
            <w:r w:rsidRPr="00476F57">
              <w:rPr>
                <w:rFonts w:ascii="Arial" w:eastAsia="Times New Roman" w:hAnsi="Arial" w:cs="Arial"/>
                <w:b/>
                <w:bCs/>
                <w:sz w:val="18"/>
                <w:szCs w:val="18"/>
              </w:rPr>
              <w:t>10-14</w:t>
            </w:r>
          </w:p>
        </w:tc>
        <w:tc>
          <w:tcPr>
            <w:tcW w:w="98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color w:val="000000"/>
                <w:sz w:val="18"/>
                <w:szCs w:val="18"/>
              </w:rPr>
              <w:t>0.1</w:t>
            </w:r>
          </w:p>
        </w:tc>
        <w:tc>
          <w:tcPr>
            <w:tcW w:w="100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color w:val="000000"/>
                <w:sz w:val="18"/>
                <w:szCs w:val="18"/>
              </w:rPr>
              <w:t>1.5</w:t>
            </w:r>
          </w:p>
        </w:tc>
        <w:tc>
          <w:tcPr>
            <w:tcW w:w="100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b/>
                <w:bCs/>
                <w:color w:val="000000"/>
                <w:sz w:val="18"/>
                <w:szCs w:val="18"/>
              </w:rPr>
              <w:t>1.7</w:t>
            </w:r>
          </w:p>
        </w:tc>
        <w:tc>
          <w:tcPr>
            <w:tcW w:w="98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color w:val="000000"/>
                <w:sz w:val="18"/>
                <w:szCs w:val="18"/>
              </w:rPr>
              <w:t>0.2</w:t>
            </w:r>
          </w:p>
        </w:tc>
        <w:tc>
          <w:tcPr>
            <w:tcW w:w="100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color w:val="000000"/>
                <w:sz w:val="18"/>
                <w:szCs w:val="18"/>
              </w:rPr>
              <w:t>1.0</w:t>
            </w:r>
          </w:p>
        </w:tc>
        <w:tc>
          <w:tcPr>
            <w:tcW w:w="100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b/>
                <w:bCs/>
                <w:color w:val="000000"/>
                <w:sz w:val="18"/>
                <w:szCs w:val="18"/>
              </w:rPr>
              <w:t>1.2</w:t>
            </w:r>
          </w:p>
        </w:tc>
        <w:tc>
          <w:tcPr>
            <w:tcW w:w="980" w:type="dxa"/>
            <w:gridSpan w:val="2"/>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b/>
                <w:bCs/>
                <w:color w:val="000000"/>
                <w:sz w:val="18"/>
                <w:szCs w:val="18"/>
              </w:rPr>
              <w:t>-0.5</w:t>
            </w:r>
          </w:p>
        </w:tc>
      </w:tr>
      <w:tr w:rsidR="00D04E60" w:rsidRPr="00476F57" w:rsidTr="00913651">
        <w:trPr>
          <w:trHeight w:val="170"/>
          <w:jc w:val="center"/>
        </w:trPr>
        <w:tc>
          <w:tcPr>
            <w:tcW w:w="1002" w:type="dxa"/>
            <w:tcBorders>
              <w:top w:val="nil"/>
              <w:left w:val="single" w:sz="4" w:space="0" w:color="FFFFFF"/>
              <w:bottom w:val="single" w:sz="4" w:space="0" w:color="FFFFFF"/>
              <w:right w:val="single" w:sz="4" w:space="0" w:color="FFFFFF"/>
            </w:tcBorders>
            <w:shd w:val="clear" w:color="000000" w:fill="F2F2F2"/>
            <w:noWrap/>
            <w:vAlign w:val="bottom"/>
            <w:hideMark/>
          </w:tcPr>
          <w:p w:rsidR="00D04E60" w:rsidRPr="00476F57" w:rsidRDefault="00D04E60" w:rsidP="00672E05">
            <w:pPr>
              <w:spacing w:after="0" w:line="240" w:lineRule="auto"/>
              <w:rPr>
                <w:rFonts w:ascii="Arial" w:eastAsia="Times New Roman" w:hAnsi="Arial" w:cs="Arial"/>
                <w:b/>
                <w:bCs/>
                <w:sz w:val="18"/>
                <w:szCs w:val="18"/>
              </w:rPr>
            </w:pPr>
            <w:r w:rsidRPr="00476F57">
              <w:rPr>
                <w:rFonts w:ascii="Arial" w:eastAsia="Times New Roman" w:hAnsi="Arial" w:cs="Arial"/>
                <w:b/>
                <w:bCs/>
                <w:sz w:val="18"/>
                <w:szCs w:val="18"/>
              </w:rPr>
              <w:t>15-19</w:t>
            </w:r>
          </w:p>
        </w:tc>
        <w:tc>
          <w:tcPr>
            <w:tcW w:w="98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color w:val="000000"/>
                <w:sz w:val="18"/>
                <w:szCs w:val="18"/>
              </w:rPr>
              <w:t>0.4</w:t>
            </w:r>
          </w:p>
        </w:tc>
        <w:tc>
          <w:tcPr>
            <w:tcW w:w="100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color w:val="000000"/>
                <w:sz w:val="18"/>
                <w:szCs w:val="18"/>
              </w:rPr>
              <w:t>2.6</w:t>
            </w:r>
          </w:p>
        </w:tc>
        <w:tc>
          <w:tcPr>
            <w:tcW w:w="100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b/>
                <w:bCs/>
                <w:color w:val="000000"/>
                <w:sz w:val="18"/>
                <w:szCs w:val="18"/>
              </w:rPr>
              <w:t>3.0</w:t>
            </w:r>
          </w:p>
        </w:tc>
        <w:tc>
          <w:tcPr>
            <w:tcW w:w="98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color w:val="000000"/>
                <w:sz w:val="18"/>
                <w:szCs w:val="18"/>
              </w:rPr>
              <w:t>0.2</w:t>
            </w:r>
          </w:p>
        </w:tc>
        <w:tc>
          <w:tcPr>
            <w:tcW w:w="100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color w:val="000000"/>
                <w:sz w:val="18"/>
                <w:szCs w:val="18"/>
              </w:rPr>
              <w:t>1.3</w:t>
            </w:r>
          </w:p>
        </w:tc>
        <w:tc>
          <w:tcPr>
            <w:tcW w:w="100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b/>
                <w:bCs/>
                <w:color w:val="000000"/>
                <w:sz w:val="18"/>
                <w:szCs w:val="18"/>
              </w:rPr>
              <w:t>1.6</w:t>
            </w:r>
          </w:p>
        </w:tc>
        <w:tc>
          <w:tcPr>
            <w:tcW w:w="980" w:type="dxa"/>
            <w:gridSpan w:val="2"/>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b/>
                <w:bCs/>
                <w:color w:val="000000"/>
                <w:sz w:val="18"/>
                <w:szCs w:val="18"/>
              </w:rPr>
              <w:t>-1.5</w:t>
            </w:r>
          </w:p>
        </w:tc>
      </w:tr>
      <w:tr w:rsidR="00D04E60" w:rsidRPr="00476F57" w:rsidTr="00913651">
        <w:trPr>
          <w:trHeight w:val="224"/>
          <w:jc w:val="center"/>
        </w:trPr>
        <w:tc>
          <w:tcPr>
            <w:tcW w:w="1002" w:type="dxa"/>
            <w:tcBorders>
              <w:top w:val="nil"/>
              <w:left w:val="single" w:sz="4" w:space="0" w:color="FFFFFF"/>
              <w:bottom w:val="single" w:sz="4" w:space="0" w:color="FFFFFF"/>
              <w:right w:val="single" w:sz="4" w:space="0" w:color="FFFFFF"/>
            </w:tcBorders>
            <w:shd w:val="clear" w:color="000000" w:fill="F2F2F2"/>
            <w:noWrap/>
            <w:vAlign w:val="bottom"/>
            <w:hideMark/>
          </w:tcPr>
          <w:p w:rsidR="00D04E60" w:rsidRPr="00476F57" w:rsidRDefault="00D04E60" w:rsidP="00672E05">
            <w:pPr>
              <w:spacing w:after="0" w:line="240" w:lineRule="auto"/>
              <w:rPr>
                <w:rFonts w:ascii="Arial" w:eastAsia="Times New Roman" w:hAnsi="Arial" w:cs="Arial"/>
                <w:b/>
                <w:bCs/>
                <w:sz w:val="18"/>
                <w:szCs w:val="18"/>
              </w:rPr>
            </w:pPr>
            <w:r w:rsidRPr="00476F57">
              <w:rPr>
                <w:rFonts w:ascii="Arial" w:eastAsia="Times New Roman" w:hAnsi="Arial" w:cs="Arial"/>
                <w:b/>
                <w:bCs/>
                <w:sz w:val="18"/>
                <w:szCs w:val="18"/>
              </w:rPr>
              <w:t>20-24</w:t>
            </w:r>
          </w:p>
        </w:tc>
        <w:tc>
          <w:tcPr>
            <w:tcW w:w="98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color w:val="000000"/>
                <w:sz w:val="18"/>
                <w:szCs w:val="18"/>
              </w:rPr>
              <w:t>0.7</w:t>
            </w:r>
          </w:p>
        </w:tc>
        <w:tc>
          <w:tcPr>
            <w:tcW w:w="100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color w:val="000000"/>
                <w:sz w:val="18"/>
                <w:szCs w:val="18"/>
              </w:rPr>
              <w:t>3.8</w:t>
            </w:r>
          </w:p>
        </w:tc>
        <w:tc>
          <w:tcPr>
            <w:tcW w:w="100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b/>
                <w:bCs/>
                <w:color w:val="000000"/>
                <w:sz w:val="18"/>
                <w:szCs w:val="18"/>
              </w:rPr>
              <w:t>4.5</w:t>
            </w:r>
          </w:p>
        </w:tc>
        <w:tc>
          <w:tcPr>
            <w:tcW w:w="98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color w:val="000000"/>
                <w:sz w:val="18"/>
                <w:szCs w:val="18"/>
              </w:rPr>
              <w:t>0.2</w:t>
            </w:r>
          </w:p>
        </w:tc>
        <w:tc>
          <w:tcPr>
            <w:tcW w:w="100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color w:val="000000"/>
                <w:sz w:val="18"/>
                <w:szCs w:val="18"/>
              </w:rPr>
              <w:t>1.9</w:t>
            </w:r>
          </w:p>
        </w:tc>
        <w:tc>
          <w:tcPr>
            <w:tcW w:w="100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b/>
                <w:bCs/>
                <w:color w:val="000000"/>
                <w:sz w:val="18"/>
                <w:szCs w:val="18"/>
              </w:rPr>
              <w:t>2.1</w:t>
            </w:r>
          </w:p>
        </w:tc>
        <w:tc>
          <w:tcPr>
            <w:tcW w:w="980" w:type="dxa"/>
            <w:gridSpan w:val="2"/>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b/>
                <w:bCs/>
                <w:color w:val="000000"/>
                <w:sz w:val="18"/>
                <w:szCs w:val="18"/>
              </w:rPr>
              <w:t>-2.4</w:t>
            </w:r>
          </w:p>
        </w:tc>
      </w:tr>
      <w:tr w:rsidR="00D04E60" w:rsidRPr="00476F57" w:rsidTr="00913651">
        <w:trPr>
          <w:trHeight w:val="170"/>
          <w:jc w:val="center"/>
        </w:trPr>
        <w:tc>
          <w:tcPr>
            <w:tcW w:w="1002" w:type="dxa"/>
            <w:tcBorders>
              <w:top w:val="nil"/>
              <w:left w:val="single" w:sz="4" w:space="0" w:color="FFFFFF"/>
              <w:bottom w:val="single" w:sz="4" w:space="0" w:color="FFFFFF"/>
              <w:right w:val="single" w:sz="4" w:space="0" w:color="FFFFFF"/>
            </w:tcBorders>
            <w:shd w:val="clear" w:color="000000" w:fill="F2F2F2"/>
            <w:noWrap/>
            <w:vAlign w:val="bottom"/>
            <w:hideMark/>
          </w:tcPr>
          <w:p w:rsidR="00D04E60" w:rsidRPr="00476F57" w:rsidRDefault="00D04E60" w:rsidP="00672E05">
            <w:pPr>
              <w:spacing w:after="0" w:line="240" w:lineRule="auto"/>
              <w:rPr>
                <w:rFonts w:ascii="Arial" w:eastAsia="Times New Roman" w:hAnsi="Arial" w:cs="Arial"/>
                <w:b/>
                <w:bCs/>
                <w:sz w:val="18"/>
                <w:szCs w:val="18"/>
              </w:rPr>
            </w:pPr>
            <w:r w:rsidRPr="00476F57">
              <w:rPr>
                <w:rFonts w:ascii="Arial" w:eastAsia="Times New Roman" w:hAnsi="Arial" w:cs="Arial"/>
                <w:b/>
                <w:bCs/>
                <w:sz w:val="18"/>
                <w:szCs w:val="18"/>
              </w:rPr>
              <w:t>25-29</w:t>
            </w:r>
          </w:p>
        </w:tc>
        <w:tc>
          <w:tcPr>
            <w:tcW w:w="98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color w:val="000000"/>
                <w:sz w:val="18"/>
                <w:szCs w:val="18"/>
              </w:rPr>
              <w:t>0.8</w:t>
            </w:r>
          </w:p>
        </w:tc>
        <w:tc>
          <w:tcPr>
            <w:tcW w:w="100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color w:val="000000"/>
                <w:sz w:val="18"/>
                <w:szCs w:val="18"/>
              </w:rPr>
              <w:t>6.4</w:t>
            </w:r>
          </w:p>
        </w:tc>
        <w:tc>
          <w:tcPr>
            <w:tcW w:w="100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b/>
                <w:bCs/>
                <w:color w:val="000000"/>
                <w:sz w:val="18"/>
                <w:szCs w:val="18"/>
              </w:rPr>
              <w:t>7.1</w:t>
            </w:r>
          </w:p>
        </w:tc>
        <w:tc>
          <w:tcPr>
            <w:tcW w:w="98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color w:val="000000"/>
                <w:sz w:val="18"/>
                <w:szCs w:val="18"/>
              </w:rPr>
              <w:t>0.5</w:t>
            </w:r>
          </w:p>
        </w:tc>
        <w:tc>
          <w:tcPr>
            <w:tcW w:w="100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color w:val="000000"/>
                <w:sz w:val="18"/>
                <w:szCs w:val="18"/>
              </w:rPr>
              <w:t>3.7</w:t>
            </w:r>
          </w:p>
        </w:tc>
        <w:tc>
          <w:tcPr>
            <w:tcW w:w="100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b/>
                <w:bCs/>
                <w:color w:val="000000"/>
                <w:sz w:val="18"/>
                <w:szCs w:val="18"/>
              </w:rPr>
              <w:t>4.1</w:t>
            </w:r>
          </w:p>
        </w:tc>
        <w:tc>
          <w:tcPr>
            <w:tcW w:w="980" w:type="dxa"/>
            <w:gridSpan w:val="2"/>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b/>
                <w:bCs/>
                <w:color w:val="000000"/>
                <w:sz w:val="18"/>
                <w:szCs w:val="18"/>
              </w:rPr>
              <w:t>-3.0</w:t>
            </w:r>
          </w:p>
        </w:tc>
      </w:tr>
      <w:tr w:rsidR="00D04E60" w:rsidRPr="00476F57" w:rsidTr="00913651">
        <w:trPr>
          <w:trHeight w:val="224"/>
          <w:jc w:val="center"/>
        </w:trPr>
        <w:tc>
          <w:tcPr>
            <w:tcW w:w="1002" w:type="dxa"/>
            <w:tcBorders>
              <w:top w:val="nil"/>
              <w:left w:val="single" w:sz="4" w:space="0" w:color="FFFFFF"/>
              <w:bottom w:val="single" w:sz="4" w:space="0" w:color="FFFFFF"/>
              <w:right w:val="single" w:sz="4" w:space="0" w:color="FFFFFF"/>
            </w:tcBorders>
            <w:shd w:val="clear" w:color="000000" w:fill="F2F2F2"/>
            <w:noWrap/>
            <w:vAlign w:val="bottom"/>
            <w:hideMark/>
          </w:tcPr>
          <w:p w:rsidR="00D04E60" w:rsidRPr="00476F57" w:rsidRDefault="00D04E60" w:rsidP="00672E05">
            <w:pPr>
              <w:spacing w:after="0" w:line="240" w:lineRule="auto"/>
              <w:rPr>
                <w:rFonts w:ascii="Arial" w:eastAsia="Times New Roman" w:hAnsi="Arial" w:cs="Arial"/>
                <w:b/>
                <w:bCs/>
                <w:sz w:val="18"/>
                <w:szCs w:val="18"/>
              </w:rPr>
            </w:pPr>
            <w:r w:rsidRPr="00476F57">
              <w:rPr>
                <w:rFonts w:ascii="Arial" w:eastAsia="Times New Roman" w:hAnsi="Arial" w:cs="Arial"/>
                <w:b/>
                <w:bCs/>
                <w:sz w:val="18"/>
                <w:szCs w:val="18"/>
              </w:rPr>
              <w:t>30-34</w:t>
            </w:r>
          </w:p>
        </w:tc>
        <w:tc>
          <w:tcPr>
            <w:tcW w:w="98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color w:val="000000"/>
                <w:sz w:val="18"/>
                <w:szCs w:val="18"/>
              </w:rPr>
              <w:t>1.8</w:t>
            </w:r>
          </w:p>
        </w:tc>
        <w:tc>
          <w:tcPr>
            <w:tcW w:w="100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color w:val="000000"/>
                <w:sz w:val="18"/>
                <w:szCs w:val="18"/>
              </w:rPr>
              <w:t>10.3</w:t>
            </w:r>
          </w:p>
        </w:tc>
        <w:tc>
          <w:tcPr>
            <w:tcW w:w="100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b/>
                <w:bCs/>
                <w:color w:val="000000"/>
                <w:sz w:val="18"/>
                <w:szCs w:val="18"/>
              </w:rPr>
              <w:t>12.1</w:t>
            </w:r>
          </w:p>
        </w:tc>
        <w:tc>
          <w:tcPr>
            <w:tcW w:w="98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color w:val="000000"/>
                <w:sz w:val="18"/>
                <w:szCs w:val="18"/>
              </w:rPr>
              <w:t>0.6</w:t>
            </w:r>
          </w:p>
        </w:tc>
        <w:tc>
          <w:tcPr>
            <w:tcW w:w="100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color w:val="000000"/>
                <w:sz w:val="18"/>
                <w:szCs w:val="18"/>
              </w:rPr>
              <w:t>5.6</w:t>
            </w:r>
          </w:p>
        </w:tc>
        <w:tc>
          <w:tcPr>
            <w:tcW w:w="100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b/>
                <w:bCs/>
                <w:color w:val="000000"/>
                <w:sz w:val="18"/>
                <w:szCs w:val="18"/>
              </w:rPr>
              <w:t>6.2</w:t>
            </w:r>
          </w:p>
        </w:tc>
        <w:tc>
          <w:tcPr>
            <w:tcW w:w="980" w:type="dxa"/>
            <w:gridSpan w:val="2"/>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b/>
                <w:bCs/>
                <w:color w:val="000000"/>
                <w:sz w:val="18"/>
                <w:szCs w:val="18"/>
              </w:rPr>
              <w:t>-5.9</w:t>
            </w:r>
          </w:p>
        </w:tc>
      </w:tr>
      <w:tr w:rsidR="00D04E60" w:rsidRPr="00476F57" w:rsidTr="00913651">
        <w:trPr>
          <w:trHeight w:val="170"/>
          <w:jc w:val="center"/>
        </w:trPr>
        <w:tc>
          <w:tcPr>
            <w:tcW w:w="1002" w:type="dxa"/>
            <w:tcBorders>
              <w:top w:val="nil"/>
              <w:left w:val="single" w:sz="4" w:space="0" w:color="FFFFFF"/>
              <w:bottom w:val="single" w:sz="4" w:space="0" w:color="FFFFFF"/>
              <w:right w:val="single" w:sz="4" w:space="0" w:color="FFFFFF"/>
            </w:tcBorders>
            <w:shd w:val="clear" w:color="000000" w:fill="F2F2F2"/>
            <w:noWrap/>
            <w:vAlign w:val="bottom"/>
            <w:hideMark/>
          </w:tcPr>
          <w:p w:rsidR="00D04E60" w:rsidRPr="00476F57" w:rsidRDefault="00D04E60" w:rsidP="00672E05">
            <w:pPr>
              <w:spacing w:after="0" w:line="240" w:lineRule="auto"/>
              <w:rPr>
                <w:rFonts w:ascii="Arial" w:eastAsia="Times New Roman" w:hAnsi="Arial" w:cs="Arial"/>
                <w:b/>
                <w:bCs/>
                <w:sz w:val="18"/>
                <w:szCs w:val="18"/>
              </w:rPr>
            </w:pPr>
            <w:r w:rsidRPr="00476F57">
              <w:rPr>
                <w:rFonts w:ascii="Arial" w:eastAsia="Times New Roman" w:hAnsi="Arial" w:cs="Arial"/>
                <w:b/>
                <w:bCs/>
                <w:sz w:val="18"/>
                <w:szCs w:val="18"/>
              </w:rPr>
              <w:t>35-39</w:t>
            </w:r>
          </w:p>
        </w:tc>
        <w:tc>
          <w:tcPr>
            <w:tcW w:w="98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color w:val="000000"/>
                <w:sz w:val="18"/>
                <w:szCs w:val="18"/>
              </w:rPr>
              <w:t>3.5</w:t>
            </w:r>
          </w:p>
        </w:tc>
        <w:tc>
          <w:tcPr>
            <w:tcW w:w="100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color w:val="000000"/>
                <w:sz w:val="18"/>
                <w:szCs w:val="18"/>
              </w:rPr>
              <w:t>20.9</w:t>
            </w:r>
          </w:p>
        </w:tc>
        <w:tc>
          <w:tcPr>
            <w:tcW w:w="100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b/>
                <w:bCs/>
                <w:color w:val="000000"/>
                <w:sz w:val="18"/>
                <w:szCs w:val="18"/>
              </w:rPr>
              <w:t>24.3</w:t>
            </w:r>
          </w:p>
        </w:tc>
        <w:tc>
          <w:tcPr>
            <w:tcW w:w="98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color w:val="000000"/>
                <w:sz w:val="18"/>
                <w:szCs w:val="18"/>
              </w:rPr>
              <w:t>2.0</w:t>
            </w:r>
          </w:p>
        </w:tc>
        <w:tc>
          <w:tcPr>
            <w:tcW w:w="100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color w:val="000000"/>
                <w:sz w:val="18"/>
                <w:szCs w:val="18"/>
              </w:rPr>
              <w:t>11.8</w:t>
            </w:r>
          </w:p>
        </w:tc>
        <w:tc>
          <w:tcPr>
            <w:tcW w:w="100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b/>
                <w:bCs/>
                <w:color w:val="000000"/>
                <w:sz w:val="18"/>
                <w:szCs w:val="18"/>
              </w:rPr>
              <w:t>13.8</w:t>
            </w:r>
          </w:p>
        </w:tc>
        <w:tc>
          <w:tcPr>
            <w:tcW w:w="980" w:type="dxa"/>
            <w:gridSpan w:val="2"/>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b/>
                <w:bCs/>
                <w:color w:val="000000"/>
                <w:sz w:val="18"/>
                <w:szCs w:val="18"/>
              </w:rPr>
              <w:t>-10.5</w:t>
            </w:r>
          </w:p>
        </w:tc>
      </w:tr>
      <w:tr w:rsidR="00D04E60" w:rsidRPr="00476F57" w:rsidTr="00913651">
        <w:trPr>
          <w:trHeight w:val="224"/>
          <w:jc w:val="center"/>
        </w:trPr>
        <w:tc>
          <w:tcPr>
            <w:tcW w:w="1002" w:type="dxa"/>
            <w:tcBorders>
              <w:top w:val="nil"/>
              <w:left w:val="single" w:sz="4" w:space="0" w:color="FFFFFF"/>
              <w:bottom w:val="single" w:sz="4" w:space="0" w:color="FFFFFF"/>
              <w:right w:val="single" w:sz="4" w:space="0" w:color="FFFFFF"/>
            </w:tcBorders>
            <w:shd w:val="clear" w:color="000000" w:fill="F2F2F2"/>
            <w:noWrap/>
            <w:vAlign w:val="bottom"/>
            <w:hideMark/>
          </w:tcPr>
          <w:p w:rsidR="00D04E60" w:rsidRPr="00476F57" w:rsidRDefault="00D04E60" w:rsidP="00672E05">
            <w:pPr>
              <w:spacing w:after="0" w:line="240" w:lineRule="auto"/>
              <w:rPr>
                <w:rFonts w:ascii="Arial" w:eastAsia="Times New Roman" w:hAnsi="Arial" w:cs="Arial"/>
                <w:b/>
                <w:bCs/>
                <w:sz w:val="18"/>
                <w:szCs w:val="18"/>
              </w:rPr>
            </w:pPr>
            <w:r w:rsidRPr="00476F57">
              <w:rPr>
                <w:rFonts w:ascii="Arial" w:eastAsia="Times New Roman" w:hAnsi="Arial" w:cs="Arial"/>
                <w:b/>
                <w:bCs/>
                <w:sz w:val="18"/>
                <w:szCs w:val="18"/>
              </w:rPr>
              <w:t>40-44</w:t>
            </w:r>
          </w:p>
        </w:tc>
        <w:tc>
          <w:tcPr>
            <w:tcW w:w="98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color w:val="000000"/>
                <w:sz w:val="18"/>
                <w:szCs w:val="18"/>
              </w:rPr>
              <w:t>7.1</w:t>
            </w:r>
          </w:p>
        </w:tc>
        <w:tc>
          <w:tcPr>
            <w:tcW w:w="100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color w:val="000000"/>
                <w:sz w:val="18"/>
                <w:szCs w:val="18"/>
              </w:rPr>
              <w:t>44.1</w:t>
            </w:r>
          </w:p>
        </w:tc>
        <w:tc>
          <w:tcPr>
            <w:tcW w:w="100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b/>
                <w:bCs/>
                <w:color w:val="000000"/>
                <w:sz w:val="18"/>
                <w:szCs w:val="18"/>
              </w:rPr>
              <w:t>51.1</w:t>
            </w:r>
          </w:p>
        </w:tc>
        <w:tc>
          <w:tcPr>
            <w:tcW w:w="98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color w:val="000000"/>
                <w:sz w:val="18"/>
                <w:szCs w:val="18"/>
              </w:rPr>
              <w:t>3.2</w:t>
            </w:r>
          </w:p>
        </w:tc>
        <w:tc>
          <w:tcPr>
            <w:tcW w:w="100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color w:val="000000"/>
                <w:sz w:val="18"/>
                <w:szCs w:val="18"/>
              </w:rPr>
              <w:t>25.1</w:t>
            </w:r>
          </w:p>
        </w:tc>
        <w:tc>
          <w:tcPr>
            <w:tcW w:w="100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b/>
                <w:bCs/>
                <w:color w:val="000000"/>
                <w:sz w:val="18"/>
                <w:szCs w:val="18"/>
              </w:rPr>
              <w:t>28.3</w:t>
            </w:r>
          </w:p>
        </w:tc>
        <w:tc>
          <w:tcPr>
            <w:tcW w:w="980" w:type="dxa"/>
            <w:gridSpan w:val="2"/>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b/>
                <w:bCs/>
                <w:color w:val="000000"/>
                <w:sz w:val="18"/>
                <w:szCs w:val="18"/>
              </w:rPr>
              <w:t>-22.8</w:t>
            </w:r>
          </w:p>
        </w:tc>
      </w:tr>
      <w:tr w:rsidR="00D04E60" w:rsidRPr="00476F57" w:rsidTr="00913651">
        <w:trPr>
          <w:trHeight w:val="170"/>
          <w:jc w:val="center"/>
        </w:trPr>
        <w:tc>
          <w:tcPr>
            <w:tcW w:w="1002" w:type="dxa"/>
            <w:tcBorders>
              <w:top w:val="nil"/>
              <w:left w:val="single" w:sz="4" w:space="0" w:color="FFFFFF"/>
              <w:bottom w:val="single" w:sz="4" w:space="0" w:color="FFFFFF"/>
              <w:right w:val="single" w:sz="4" w:space="0" w:color="FFFFFF"/>
            </w:tcBorders>
            <w:shd w:val="clear" w:color="000000" w:fill="F2F2F2"/>
            <w:noWrap/>
            <w:vAlign w:val="bottom"/>
            <w:hideMark/>
          </w:tcPr>
          <w:p w:rsidR="00D04E60" w:rsidRPr="00476F57" w:rsidRDefault="00D04E60" w:rsidP="00672E05">
            <w:pPr>
              <w:spacing w:after="0" w:line="240" w:lineRule="auto"/>
              <w:rPr>
                <w:rFonts w:ascii="Arial" w:eastAsia="Times New Roman" w:hAnsi="Arial" w:cs="Arial"/>
                <w:b/>
                <w:bCs/>
                <w:sz w:val="18"/>
                <w:szCs w:val="18"/>
              </w:rPr>
            </w:pPr>
            <w:r w:rsidRPr="00476F57">
              <w:rPr>
                <w:rFonts w:ascii="Arial" w:eastAsia="Times New Roman" w:hAnsi="Arial" w:cs="Arial"/>
                <w:b/>
                <w:bCs/>
                <w:sz w:val="18"/>
                <w:szCs w:val="18"/>
              </w:rPr>
              <w:t>45-49</w:t>
            </w:r>
          </w:p>
        </w:tc>
        <w:tc>
          <w:tcPr>
            <w:tcW w:w="98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color w:val="000000"/>
                <w:sz w:val="18"/>
                <w:szCs w:val="18"/>
              </w:rPr>
              <w:t>11.3</w:t>
            </w:r>
          </w:p>
        </w:tc>
        <w:tc>
          <w:tcPr>
            <w:tcW w:w="100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color w:val="000000"/>
                <w:sz w:val="18"/>
                <w:szCs w:val="18"/>
              </w:rPr>
              <w:t>71.6</w:t>
            </w:r>
          </w:p>
        </w:tc>
        <w:tc>
          <w:tcPr>
            <w:tcW w:w="100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b/>
                <w:bCs/>
                <w:color w:val="000000"/>
                <w:sz w:val="18"/>
                <w:szCs w:val="18"/>
              </w:rPr>
              <w:t>82.8</w:t>
            </w:r>
          </w:p>
        </w:tc>
        <w:tc>
          <w:tcPr>
            <w:tcW w:w="98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color w:val="000000"/>
                <w:sz w:val="18"/>
                <w:szCs w:val="18"/>
              </w:rPr>
              <w:t>5.7</w:t>
            </w:r>
          </w:p>
        </w:tc>
        <w:tc>
          <w:tcPr>
            <w:tcW w:w="100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color w:val="000000"/>
                <w:sz w:val="18"/>
                <w:szCs w:val="18"/>
              </w:rPr>
              <w:t>40.0</w:t>
            </w:r>
          </w:p>
        </w:tc>
        <w:tc>
          <w:tcPr>
            <w:tcW w:w="100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b/>
                <w:bCs/>
                <w:color w:val="000000"/>
                <w:sz w:val="18"/>
                <w:szCs w:val="18"/>
              </w:rPr>
              <w:t>45.7</w:t>
            </w:r>
          </w:p>
        </w:tc>
        <w:tc>
          <w:tcPr>
            <w:tcW w:w="980" w:type="dxa"/>
            <w:gridSpan w:val="2"/>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b/>
                <w:bCs/>
                <w:color w:val="000000"/>
                <w:sz w:val="18"/>
                <w:szCs w:val="18"/>
              </w:rPr>
              <w:t>-37.1</w:t>
            </w:r>
          </w:p>
        </w:tc>
      </w:tr>
      <w:tr w:rsidR="00D04E60" w:rsidRPr="00476F57" w:rsidTr="00913651">
        <w:trPr>
          <w:trHeight w:val="224"/>
          <w:jc w:val="center"/>
        </w:trPr>
        <w:tc>
          <w:tcPr>
            <w:tcW w:w="1002" w:type="dxa"/>
            <w:tcBorders>
              <w:top w:val="nil"/>
              <w:left w:val="single" w:sz="4" w:space="0" w:color="FFFFFF"/>
              <w:bottom w:val="single" w:sz="4" w:space="0" w:color="FFFFFF"/>
              <w:right w:val="single" w:sz="4" w:space="0" w:color="FFFFFF"/>
            </w:tcBorders>
            <w:shd w:val="clear" w:color="000000" w:fill="F2F2F2"/>
            <w:noWrap/>
            <w:vAlign w:val="bottom"/>
            <w:hideMark/>
          </w:tcPr>
          <w:p w:rsidR="00D04E60" w:rsidRPr="00476F57" w:rsidRDefault="00D04E60" w:rsidP="00672E05">
            <w:pPr>
              <w:spacing w:after="0" w:line="240" w:lineRule="auto"/>
              <w:rPr>
                <w:rFonts w:ascii="Arial" w:eastAsia="Times New Roman" w:hAnsi="Arial" w:cs="Arial"/>
                <w:b/>
                <w:bCs/>
                <w:sz w:val="18"/>
                <w:szCs w:val="18"/>
              </w:rPr>
            </w:pPr>
            <w:r w:rsidRPr="00476F57">
              <w:rPr>
                <w:rFonts w:ascii="Arial" w:eastAsia="Times New Roman" w:hAnsi="Arial" w:cs="Arial"/>
                <w:b/>
                <w:bCs/>
                <w:sz w:val="18"/>
                <w:szCs w:val="18"/>
              </w:rPr>
              <w:t>50-54</w:t>
            </w:r>
          </w:p>
        </w:tc>
        <w:tc>
          <w:tcPr>
            <w:tcW w:w="98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color w:val="000000"/>
                <w:sz w:val="18"/>
                <w:szCs w:val="18"/>
              </w:rPr>
              <w:t>19.4</w:t>
            </w:r>
          </w:p>
        </w:tc>
        <w:tc>
          <w:tcPr>
            <w:tcW w:w="100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color w:val="000000"/>
                <w:sz w:val="18"/>
                <w:szCs w:val="18"/>
              </w:rPr>
              <w:t>110.2</w:t>
            </w:r>
          </w:p>
        </w:tc>
        <w:tc>
          <w:tcPr>
            <w:tcW w:w="100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b/>
                <w:bCs/>
                <w:color w:val="000000"/>
                <w:sz w:val="18"/>
                <w:szCs w:val="18"/>
              </w:rPr>
              <w:t>129.6</w:t>
            </w:r>
          </w:p>
        </w:tc>
        <w:tc>
          <w:tcPr>
            <w:tcW w:w="98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color w:val="000000"/>
                <w:sz w:val="18"/>
                <w:szCs w:val="18"/>
              </w:rPr>
              <w:t>11.3</w:t>
            </w:r>
          </w:p>
        </w:tc>
        <w:tc>
          <w:tcPr>
            <w:tcW w:w="100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color w:val="000000"/>
                <w:sz w:val="18"/>
                <w:szCs w:val="18"/>
              </w:rPr>
              <w:t>60.9</w:t>
            </w:r>
          </w:p>
        </w:tc>
        <w:tc>
          <w:tcPr>
            <w:tcW w:w="100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b/>
                <w:bCs/>
                <w:color w:val="000000"/>
                <w:sz w:val="18"/>
                <w:szCs w:val="18"/>
              </w:rPr>
              <w:t>72.2</w:t>
            </w:r>
          </w:p>
        </w:tc>
        <w:tc>
          <w:tcPr>
            <w:tcW w:w="980" w:type="dxa"/>
            <w:gridSpan w:val="2"/>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b/>
                <w:bCs/>
                <w:color w:val="000000"/>
                <w:sz w:val="18"/>
                <w:szCs w:val="18"/>
              </w:rPr>
              <w:t>-57.4</w:t>
            </w:r>
          </w:p>
        </w:tc>
      </w:tr>
      <w:tr w:rsidR="00D04E60" w:rsidRPr="00476F57" w:rsidTr="00913651">
        <w:trPr>
          <w:trHeight w:val="170"/>
          <w:jc w:val="center"/>
        </w:trPr>
        <w:tc>
          <w:tcPr>
            <w:tcW w:w="1002" w:type="dxa"/>
            <w:tcBorders>
              <w:top w:val="nil"/>
              <w:left w:val="single" w:sz="4" w:space="0" w:color="FFFFFF"/>
              <w:bottom w:val="single" w:sz="4" w:space="0" w:color="FFFFFF"/>
              <w:right w:val="single" w:sz="4" w:space="0" w:color="FFFFFF"/>
            </w:tcBorders>
            <w:shd w:val="clear" w:color="000000" w:fill="F2F2F2"/>
            <w:noWrap/>
            <w:vAlign w:val="bottom"/>
            <w:hideMark/>
          </w:tcPr>
          <w:p w:rsidR="00D04E60" w:rsidRPr="00476F57" w:rsidRDefault="00D04E60" w:rsidP="00672E05">
            <w:pPr>
              <w:spacing w:after="0" w:line="240" w:lineRule="auto"/>
              <w:rPr>
                <w:rFonts w:ascii="Arial" w:eastAsia="Times New Roman" w:hAnsi="Arial" w:cs="Arial"/>
                <w:b/>
                <w:bCs/>
                <w:sz w:val="18"/>
                <w:szCs w:val="18"/>
              </w:rPr>
            </w:pPr>
            <w:r w:rsidRPr="00476F57">
              <w:rPr>
                <w:rFonts w:ascii="Arial" w:eastAsia="Times New Roman" w:hAnsi="Arial" w:cs="Arial"/>
                <w:b/>
                <w:bCs/>
                <w:sz w:val="18"/>
                <w:szCs w:val="18"/>
              </w:rPr>
              <w:t>55-59</w:t>
            </w:r>
          </w:p>
        </w:tc>
        <w:tc>
          <w:tcPr>
            <w:tcW w:w="98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color w:val="000000"/>
                <w:sz w:val="18"/>
                <w:szCs w:val="18"/>
              </w:rPr>
              <w:t>32.4</w:t>
            </w:r>
          </w:p>
        </w:tc>
        <w:tc>
          <w:tcPr>
            <w:tcW w:w="100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color w:val="000000"/>
                <w:sz w:val="18"/>
                <w:szCs w:val="18"/>
              </w:rPr>
              <w:t>169.6</w:t>
            </w:r>
          </w:p>
        </w:tc>
        <w:tc>
          <w:tcPr>
            <w:tcW w:w="100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b/>
                <w:bCs/>
                <w:color w:val="000000"/>
                <w:sz w:val="18"/>
                <w:szCs w:val="18"/>
              </w:rPr>
              <w:t>202.1</w:t>
            </w:r>
          </w:p>
        </w:tc>
        <w:tc>
          <w:tcPr>
            <w:tcW w:w="98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color w:val="000000"/>
                <w:sz w:val="18"/>
                <w:szCs w:val="18"/>
              </w:rPr>
              <w:t>18.7</w:t>
            </w:r>
          </w:p>
        </w:tc>
        <w:tc>
          <w:tcPr>
            <w:tcW w:w="100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color w:val="000000"/>
                <w:sz w:val="18"/>
                <w:szCs w:val="18"/>
              </w:rPr>
              <w:t>88.3</w:t>
            </w:r>
          </w:p>
        </w:tc>
        <w:tc>
          <w:tcPr>
            <w:tcW w:w="100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b/>
                <w:bCs/>
                <w:color w:val="000000"/>
                <w:sz w:val="18"/>
                <w:szCs w:val="18"/>
              </w:rPr>
              <w:t>107.0</w:t>
            </w:r>
          </w:p>
        </w:tc>
        <w:tc>
          <w:tcPr>
            <w:tcW w:w="980" w:type="dxa"/>
            <w:gridSpan w:val="2"/>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b/>
                <w:bCs/>
                <w:color w:val="000000"/>
                <w:sz w:val="18"/>
                <w:szCs w:val="18"/>
              </w:rPr>
              <w:t>-95.1</w:t>
            </w:r>
          </w:p>
        </w:tc>
      </w:tr>
      <w:tr w:rsidR="00D04E60" w:rsidRPr="00476F57" w:rsidTr="00913651">
        <w:trPr>
          <w:trHeight w:val="134"/>
          <w:jc w:val="center"/>
        </w:trPr>
        <w:tc>
          <w:tcPr>
            <w:tcW w:w="1002" w:type="dxa"/>
            <w:tcBorders>
              <w:top w:val="nil"/>
              <w:left w:val="single" w:sz="4" w:space="0" w:color="FFFFFF"/>
              <w:bottom w:val="single" w:sz="4" w:space="0" w:color="FFFFFF"/>
              <w:right w:val="single" w:sz="4" w:space="0" w:color="FFFFFF"/>
            </w:tcBorders>
            <w:shd w:val="clear" w:color="000000" w:fill="F2F2F2"/>
            <w:noWrap/>
            <w:vAlign w:val="bottom"/>
            <w:hideMark/>
          </w:tcPr>
          <w:p w:rsidR="00D04E60" w:rsidRPr="00476F57" w:rsidRDefault="00D04E60" w:rsidP="00672E05">
            <w:pPr>
              <w:spacing w:after="0" w:line="240" w:lineRule="auto"/>
              <w:rPr>
                <w:rFonts w:ascii="Arial" w:eastAsia="Times New Roman" w:hAnsi="Arial" w:cs="Arial"/>
                <w:b/>
                <w:bCs/>
                <w:sz w:val="18"/>
                <w:szCs w:val="18"/>
              </w:rPr>
            </w:pPr>
            <w:r w:rsidRPr="00476F57">
              <w:rPr>
                <w:rFonts w:ascii="Arial" w:eastAsia="Times New Roman" w:hAnsi="Arial" w:cs="Arial"/>
                <w:b/>
                <w:bCs/>
                <w:sz w:val="18"/>
                <w:szCs w:val="18"/>
              </w:rPr>
              <w:t>60-64</w:t>
            </w:r>
          </w:p>
        </w:tc>
        <w:tc>
          <w:tcPr>
            <w:tcW w:w="98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color w:val="000000"/>
                <w:sz w:val="18"/>
                <w:szCs w:val="18"/>
              </w:rPr>
              <w:t>39.7</w:t>
            </w:r>
          </w:p>
        </w:tc>
        <w:tc>
          <w:tcPr>
            <w:tcW w:w="100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color w:val="000000"/>
                <w:sz w:val="18"/>
                <w:szCs w:val="18"/>
              </w:rPr>
              <w:t>226.6</w:t>
            </w:r>
          </w:p>
        </w:tc>
        <w:tc>
          <w:tcPr>
            <w:tcW w:w="100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b/>
                <w:bCs/>
                <w:color w:val="000000"/>
                <w:sz w:val="18"/>
                <w:szCs w:val="18"/>
              </w:rPr>
              <w:t>266.3</w:t>
            </w:r>
          </w:p>
        </w:tc>
        <w:tc>
          <w:tcPr>
            <w:tcW w:w="98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color w:val="000000"/>
                <w:sz w:val="18"/>
                <w:szCs w:val="18"/>
              </w:rPr>
              <w:t>22.4</w:t>
            </w:r>
          </w:p>
        </w:tc>
        <w:tc>
          <w:tcPr>
            <w:tcW w:w="100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color w:val="000000"/>
                <w:sz w:val="18"/>
                <w:szCs w:val="18"/>
              </w:rPr>
              <w:t>119.5</w:t>
            </w:r>
          </w:p>
        </w:tc>
        <w:tc>
          <w:tcPr>
            <w:tcW w:w="1000" w:type="dxa"/>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b/>
                <w:bCs/>
                <w:color w:val="000000"/>
                <w:sz w:val="18"/>
                <w:szCs w:val="18"/>
              </w:rPr>
              <w:t>141.9</w:t>
            </w:r>
          </w:p>
        </w:tc>
        <w:tc>
          <w:tcPr>
            <w:tcW w:w="980" w:type="dxa"/>
            <w:gridSpan w:val="2"/>
            <w:tcBorders>
              <w:top w:val="nil"/>
              <w:left w:val="nil"/>
              <w:bottom w:val="single" w:sz="4" w:space="0" w:color="FFFFFF"/>
              <w:right w:val="single" w:sz="4" w:space="0" w:color="FFFFFF"/>
            </w:tcBorders>
            <w:shd w:val="clear" w:color="000000" w:fill="F2F2F2"/>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b/>
                <w:bCs/>
                <w:color w:val="000000"/>
                <w:sz w:val="18"/>
                <w:szCs w:val="18"/>
              </w:rPr>
              <w:t>-124.4</w:t>
            </w:r>
          </w:p>
        </w:tc>
      </w:tr>
      <w:tr w:rsidR="00D04E60" w:rsidRPr="00476F57" w:rsidTr="00672E05">
        <w:trPr>
          <w:trHeight w:val="325"/>
          <w:jc w:val="center"/>
        </w:trPr>
        <w:tc>
          <w:tcPr>
            <w:tcW w:w="1002" w:type="dxa"/>
            <w:tcBorders>
              <w:top w:val="nil"/>
              <w:left w:val="single" w:sz="4" w:space="0" w:color="FFFFFF"/>
              <w:bottom w:val="single" w:sz="4" w:space="0" w:color="FFFFFF"/>
              <w:right w:val="single" w:sz="4" w:space="0" w:color="FFFFFF"/>
            </w:tcBorders>
            <w:shd w:val="clear" w:color="000000" w:fill="BFBFBF"/>
            <w:noWrap/>
            <w:vAlign w:val="center"/>
            <w:hideMark/>
          </w:tcPr>
          <w:p w:rsidR="00D04E60" w:rsidRPr="00476F57" w:rsidRDefault="00D04E60" w:rsidP="00672E05">
            <w:pPr>
              <w:spacing w:after="0" w:line="240" w:lineRule="auto"/>
              <w:jc w:val="center"/>
              <w:rPr>
                <w:rFonts w:ascii="Arial" w:eastAsia="Times New Roman" w:hAnsi="Arial" w:cs="Arial"/>
                <w:b/>
                <w:bCs/>
                <w:sz w:val="18"/>
                <w:szCs w:val="18"/>
              </w:rPr>
            </w:pPr>
            <w:r w:rsidRPr="00476F57">
              <w:rPr>
                <w:rFonts w:ascii="Arial" w:eastAsia="Times New Roman" w:hAnsi="Arial" w:cs="Arial"/>
                <w:b/>
                <w:bCs/>
                <w:sz w:val="18"/>
                <w:szCs w:val="18"/>
              </w:rPr>
              <w:t>Total</w:t>
            </w:r>
          </w:p>
        </w:tc>
        <w:tc>
          <w:tcPr>
            <w:tcW w:w="980" w:type="dxa"/>
            <w:tcBorders>
              <w:top w:val="nil"/>
              <w:left w:val="nil"/>
              <w:bottom w:val="single" w:sz="4" w:space="0" w:color="FFFFFF"/>
              <w:right w:val="single" w:sz="4" w:space="0" w:color="FFFFFF"/>
            </w:tcBorders>
            <w:shd w:val="clear" w:color="000000" w:fill="BFBFBF"/>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highlight w:val="yellow"/>
              </w:rPr>
            </w:pPr>
            <w:r w:rsidRPr="00476F57">
              <w:rPr>
                <w:rFonts w:ascii="Arial" w:hAnsi="Arial" w:cs="Arial"/>
                <w:color w:val="000000"/>
                <w:sz w:val="18"/>
                <w:szCs w:val="18"/>
              </w:rPr>
              <w:t>117</w:t>
            </w:r>
          </w:p>
        </w:tc>
        <w:tc>
          <w:tcPr>
            <w:tcW w:w="1000" w:type="dxa"/>
            <w:tcBorders>
              <w:top w:val="nil"/>
              <w:left w:val="nil"/>
              <w:bottom w:val="single" w:sz="4" w:space="0" w:color="FFFFFF"/>
              <w:right w:val="single" w:sz="4" w:space="0" w:color="FFFFFF"/>
            </w:tcBorders>
            <w:shd w:val="clear" w:color="000000" w:fill="BFBFBF"/>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highlight w:val="yellow"/>
              </w:rPr>
            </w:pPr>
            <w:r w:rsidRPr="00476F57">
              <w:rPr>
                <w:rFonts w:ascii="Arial" w:hAnsi="Arial" w:cs="Arial"/>
                <w:color w:val="000000"/>
                <w:sz w:val="18"/>
                <w:szCs w:val="18"/>
              </w:rPr>
              <w:t>668</w:t>
            </w:r>
          </w:p>
        </w:tc>
        <w:tc>
          <w:tcPr>
            <w:tcW w:w="1000" w:type="dxa"/>
            <w:tcBorders>
              <w:top w:val="nil"/>
              <w:left w:val="nil"/>
              <w:bottom w:val="single" w:sz="4" w:space="0" w:color="FFFFFF"/>
              <w:right w:val="single" w:sz="4" w:space="0" w:color="FFFFFF"/>
            </w:tcBorders>
            <w:shd w:val="clear" w:color="000000" w:fill="BFBFBF"/>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highlight w:val="yellow"/>
              </w:rPr>
            </w:pPr>
            <w:r w:rsidRPr="00476F57">
              <w:rPr>
                <w:rFonts w:ascii="Arial" w:hAnsi="Arial" w:cs="Arial"/>
                <w:b/>
                <w:bCs/>
                <w:color w:val="000000"/>
                <w:sz w:val="18"/>
                <w:szCs w:val="18"/>
              </w:rPr>
              <w:t>786</w:t>
            </w:r>
          </w:p>
        </w:tc>
        <w:tc>
          <w:tcPr>
            <w:tcW w:w="980" w:type="dxa"/>
            <w:tcBorders>
              <w:top w:val="nil"/>
              <w:left w:val="nil"/>
              <w:bottom w:val="single" w:sz="4" w:space="0" w:color="FFFFFF"/>
              <w:right w:val="single" w:sz="4" w:space="0" w:color="FFFFFF"/>
            </w:tcBorders>
            <w:shd w:val="clear" w:color="000000" w:fill="BFBFBF"/>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highlight w:val="yellow"/>
              </w:rPr>
            </w:pPr>
            <w:r w:rsidRPr="00476F57">
              <w:rPr>
                <w:rFonts w:ascii="Arial" w:hAnsi="Arial" w:cs="Arial"/>
                <w:color w:val="000000"/>
                <w:sz w:val="18"/>
                <w:szCs w:val="18"/>
              </w:rPr>
              <w:t>65</w:t>
            </w:r>
          </w:p>
        </w:tc>
        <w:tc>
          <w:tcPr>
            <w:tcW w:w="1000" w:type="dxa"/>
            <w:tcBorders>
              <w:top w:val="nil"/>
              <w:left w:val="nil"/>
              <w:bottom w:val="single" w:sz="4" w:space="0" w:color="FFFFFF"/>
              <w:right w:val="single" w:sz="4" w:space="0" w:color="FFFFFF"/>
            </w:tcBorders>
            <w:shd w:val="clear" w:color="000000" w:fill="BFBFBF"/>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highlight w:val="yellow"/>
              </w:rPr>
            </w:pPr>
            <w:r w:rsidRPr="00476F57">
              <w:rPr>
                <w:rFonts w:ascii="Arial" w:hAnsi="Arial" w:cs="Arial"/>
                <w:color w:val="000000"/>
                <w:sz w:val="18"/>
                <w:szCs w:val="18"/>
              </w:rPr>
              <w:t>360</w:t>
            </w:r>
          </w:p>
        </w:tc>
        <w:tc>
          <w:tcPr>
            <w:tcW w:w="1000" w:type="dxa"/>
            <w:tcBorders>
              <w:top w:val="nil"/>
              <w:left w:val="nil"/>
              <w:bottom w:val="single" w:sz="4" w:space="0" w:color="FFFFFF"/>
              <w:right w:val="single" w:sz="4" w:space="0" w:color="FFFFFF"/>
            </w:tcBorders>
            <w:shd w:val="clear" w:color="000000" w:fill="BFBFBF"/>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highlight w:val="yellow"/>
              </w:rPr>
            </w:pPr>
            <w:r w:rsidRPr="00476F57">
              <w:rPr>
                <w:rFonts w:ascii="Arial" w:hAnsi="Arial" w:cs="Arial"/>
                <w:b/>
                <w:bCs/>
                <w:color w:val="000000"/>
                <w:sz w:val="18"/>
                <w:szCs w:val="18"/>
              </w:rPr>
              <w:t>425</w:t>
            </w:r>
          </w:p>
        </w:tc>
        <w:tc>
          <w:tcPr>
            <w:tcW w:w="980" w:type="dxa"/>
            <w:gridSpan w:val="2"/>
            <w:tcBorders>
              <w:top w:val="nil"/>
              <w:left w:val="nil"/>
              <w:bottom w:val="single" w:sz="4" w:space="0" w:color="FFFFFF"/>
              <w:right w:val="single" w:sz="4" w:space="0" w:color="FFFFFF"/>
            </w:tcBorders>
            <w:shd w:val="clear" w:color="000000" w:fill="BFBFBF"/>
            <w:noWrap/>
            <w:vAlign w:val="center"/>
          </w:tcPr>
          <w:p w:rsidR="00D04E60" w:rsidRPr="00476F57" w:rsidRDefault="00D04E60" w:rsidP="00672E05">
            <w:pPr>
              <w:spacing w:after="0" w:line="240" w:lineRule="auto"/>
              <w:jc w:val="center"/>
              <w:rPr>
                <w:rFonts w:ascii="Arial" w:eastAsia="Times New Roman" w:hAnsi="Arial" w:cs="Arial"/>
                <w:color w:val="000000"/>
                <w:sz w:val="18"/>
                <w:szCs w:val="18"/>
              </w:rPr>
            </w:pPr>
            <w:r w:rsidRPr="00476F57">
              <w:rPr>
                <w:rFonts w:ascii="Arial" w:hAnsi="Arial" w:cs="Arial"/>
                <w:b/>
                <w:bCs/>
                <w:color w:val="000000"/>
                <w:sz w:val="18"/>
                <w:szCs w:val="18"/>
              </w:rPr>
              <w:t>-361</w:t>
            </w:r>
          </w:p>
        </w:tc>
      </w:tr>
    </w:tbl>
    <w:p w:rsidR="00D04E60" w:rsidRPr="00476F57" w:rsidRDefault="00D04E60" w:rsidP="00913651">
      <w:pPr>
        <w:spacing w:after="0" w:line="240" w:lineRule="auto"/>
        <w:jc w:val="both"/>
        <w:rPr>
          <w:rFonts w:ascii="Arial" w:hAnsi="Arial" w:cs="Arial"/>
          <w:b/>
          <w:lang w:val="es-ES"/>
        </w:rPr>
      </w:pPr>
    </w:p>
    <w:p w:rsidR="00DB1E26" w:rsidRPr="00476F57" w:rsidRDefault="00F83FA0" w:rsidP="00913651">
      <w:pPr>
        <w:pStyle w:val="ListParagraph"/>
        <w:numPr>
          <w:ilvl w:val="0"/>
          <w:numId w:val="18"/>
        </w:numPr>
        <w:spacing w:after="0"/>
        <w:jc w:val="both"/>
        <w:rPr>
          <w:rFonts w:ascii="Arial" w:hAnsi="Arial" w:cs="Arial"/>
          <w:lang w:val="es-ES"/>
        </w:rPr>
      </w:pPr>
      <w:r w:rsidRPr="00476F57">
        <w:rPr>
          <w:rFonts w:ascii="Arial" w:hAnsi="Arial" w:cs="Arial"/>
          <w:lang w:val="es-ES"/>
        </w:rPr>
        <w:t>El VSL estimado para la población elegible del Programa Redes (6-64 años) varía entre aproximadamente $13.000 para el menor grupo etario a $10.0</w:t>
      </w:r>
      <w:r w:rsidR="006A4ED8">
        <w:rPr>
          <w:rFonts w:ascii="Arial" w:hAnsi="Arial" w:cs="Arial"/>
          <w:lang w:val="es-ES"/>
        </w:rPr>
        <w:t>00 para el último grupo etario.</w:t>
      </w:r>
    </w:p>
    <w:p w:rsidR="00DB1E26" w:rsidRPr="00476F57" w:rsidRDefault="00DB1E26" w:rsidP="00913651">
      <w:pPr>
        <w:pStyle w:val="ListParagraph"/>
        <w:spacing w:after="0" w:line="240" w:lineRule="auto"/>
        <w:jc w:val="both"/>
        <w:rPr>
          <w:rFonts w:ascii="Arial" w:hAnsi="Arial" w:cs="Arial"/>
          <w:lang w:val="es-ES"/>
        </w:rPr>
      </w:pPr>
    </w:p>
    <w:p w:rsidR="00DB1E26" w:rsidRPr="00476F57" w:rsidRDefault="00F83FA0" w:rsidP="003B0845">
      <w:pPr>
        <w:pStyle w:val="ListParagraph"/>
        <w:numPr>
          <w:ilvl w:val="0"/>
          <w:numId w:val="18"/>
        </w:numPr>
        <w:jc w:val="both"/>
        <w:rPr>
          <w:rFonts w:ascii="Arial" w:hAnsi="Arial" w:cs="Arial"/>
          <w:lang w:val="es-ES"/>
        </w:rPr>
      </w:pPr>
      <w:r w:rsidRPr="00476F57">
        <w:rPr>
          <w:rFonts w:ascii="Arial" w:hAnsi="Arial" w:cs="Arial"/>
          <w:lang w:val="es-ES"/>
        </w:rPr>
        <w:t xml:space="preserve">Al multiplicar la cantidad de muertes ocurridas por grupo etario y sexo por el VSL correspondiente, se obtiene una estimación para los costos por pérdida de productividad asociados a muerte prematura a causa de enfermedad cardiovascular. </w:t>
      </w:r>
    </w:p>
    <w:p w:rsidR="00DB1E26" w:rsidRPr="00476F57" w:rsidRDefault="00DB1E26" w:rsidP="00DB1E26">
      <w:pPr>
        <w:pStyle w:val="ListParagraph"/>
        <w:jc w:val="both"/>
        <w:rPr>
          <w:rFonts w:ascii="Arial" w:hAnsi="Arial" w:cs="Arial"/>
          <w:lang w:val="es-ES"/>
        </w:rPr>
      </w:pPr>
    </w:p>
    <w:p w:rsidR="00F83FA0" w:rsidRDefault="00F83FA0" w:rsidP="003B0845">
      <w:pPr>
        <w:pStyle w:val="ListParagraph"/>
        <w:numPr>
          <w:ilvl w:val="0"/>
          <w:numId w:val="18"/>
        </w:numPr>
        <w:jc w:val="both"/>
        <w:rPr>
          <w:rFonts w:ascii="Arial" w:hAnsi="Arial" w:cs="Arial"/>
          <w:lang w:val="es-ES"/>
        </w:rPr>
      </w:pPr>
      <w:r w:rsidRPr="00476F57">
        <w:rPr>
          <w:rFonts w:ascii="Arial" w:hAnsi="Arial" w:cs="Arial"/>
          <w:lang w:val="es-ES"/>
        </w:rPr>
        <w:t xml:space="preserve">La cantidad de muertes y los costos resultantes se incluyen en la Tabla 6 </w:t>
      </w:r>
      <w:r w:rsidRPr="00476F57">
        <w:rPr>
          <w:rFonts w:ascii="Arial" w:hAnsi="Arial" w:cs="Arial"/>
        </w:rPr>
        <w:fldChar w:fldCharType="begin"/>
      </w:r>
      <w:r w:rsidRPr="00476F57">
        <w:rPr>
          <w:rFonts w:ascii="Arial" w:hAnsi="Arial" w:cs="Arial"/>
          <w:lang w:val="es-ES"/>
        </w:rPr>
        <w:instrText xml:space="preserve"> REF _Ref311618165 \h  \* MERGEFORMAT </w:instrText>
      </w:r>
      <w:r w:rsidRPr="00476F57">
        <w:rPr>
          <w:rFonts w:ascii="Arial" w:hAnsi="Arial" w:cs="Arial"/>
        </w:rPr>
      </w:r>
      <w:r w:rsidRPr="00476F57">
        <w:rPr>
          <w:rFonts w:ascii="Arial" w:hAnsi="Arial" w:cs="Arial"/>
        </w:rPr>
        <w:fldChar w:fldCharType="end"/>
      </w:r>
      <w:r w:rsidRPr="00476F57">
        <w:rPr>
          <w:rFonts w:ascii="Arial" w:hAnsi="Arial" w:cs="Arial"/>
          <w:lang w:val="es-ES"/>
        </w:rPr>
        <w:t>para cada grupo etario tanto para el grupo Redes como para el grupo no Redes. Los resultados arrojan para el año 2013 diferencial de la pérdida de productividad de $348.168.599 a favor de los departamentos bajo el programa redes.</w:t>
      </w:r>
    </w:p>
    <w:p w:rsidR="00913651" w:rsidRPr="00913651" w:rsidRDefault="00913651" w:rsidP="006A4ED8">
      <w:pPr>
        <w:pStyle w:val="ListParagraph"/>
        <w:spacing w:after="0" w:line="240" w:lineRule="auto"/>
        <w:rPr>
          <w:rFonts w:ascii="Arial" w:hAnsi="Arial" w:cs="Arial"/>
          <w:lang w:val="es-ES"/>
        </w:rPr>
      </w:pPr>
    </w:p>
    <w:p w:rsidR="00913651" w:rsidRPr="00913651" w:rsidRDefault="00913651" w:rsidP="006A4ED8">
      <w:pPr>
        <w:pStyle w:val="ListParagraph"/>
        <w:spacing w:after="120" w:line="240" w:lineRule="auto"/>
        <w:jc w:val="center"/>
        <w:rPr>
          <w:rFonts w:ascii="Arial" w:hAnsi="Arial" w:cs="Arial"/>
          <w:sz w:val="18"/>
          <w:szCs w:val="18"/>
          <w:lang w:val="es-ES"/>
        </w:rPr>
      </w:pPr>
      <w:r w:rsidRPr="00476F57">
        <w:rPr>
          <w:rFonts w:ascii="Arial" w:eastAsia="Times New Roman" w:hAnsi="Arial" w:cs="Arial"/>
          <w:b/>
          <w:bCs/>
          <w:color w:val="000000"/>
          <w:sz w:val="18"/>
          <w:szCs w:val="18"/>
          <w:lang w:val="es-ES"/>
        </w:rPr>
        <w:t>Tabla 6: Perdida productividad evitada por cada 100.000 habitantes</w:t>
      </w:r>
    </w:p>
    <w:tbl>
      <w:tblPr>
        <w:tblW w:w="7360" w:type="dxa"/>
        <w:jc w:val="center"/>
        <w:tblLook w:val="04A0" w:firstRow="1" w:lastRow="0" w:firstColumn="1" w:lastColumn="0" w:noHBand="0" w:noVBand="1"/>
      </w:tblPr>
      <w:tblGrid>
        <w:gridCol w:w="957"/>
        <w:gridCol w:w="1283"/>
        <w:gridCol w:w="900"/>
        <w:gridCol w:w="1452"/>
        <w:gridCol w:w="1318"/>
        <w:gridCol w:w="1450"/>
      </w:tblGrid>
      <w:tr w:rsidR="00F83FA0" w:rsidRPr="00476F57" w:rsidTr="00913651">
        <w:trPr>
          <w:trHeight w:val="315"/>
          <w:tblHeader/>
          <w:jc w:val="center"/>
        </w:trPr>
        <w:tc>
          <w:tcPr>
            <w:tcW w:w="957" w:type="dxa"/>
            <w:vMerge w:val="restart"/>
            <w:tcBorders>
              <w:top w:val="nil"/>
              <w:left w:val="single" w:sz="8" w:space="0" w:color="FFFFFF"/>
              <w:bottom w:val="single" w:sz="8" w:space="0" w:color="FFFFFF"/>
              <w:right w:val="single" w:sz="8" w:space="0" w:color="FFFFFF"/>
            </w:tcBorders>
            <w:shd w:val="clear" w:color="000000" w:fill="4F81BD"/>
            <w:vAlign w:val="center"/>
            <w:hideMark/>
          </w:tcPr>
          <w:p w:rsidR="00F83FA0" w:rsidRPr="00476F57" w:rsidRDefault="00F83FA0" w:rsidP="003B0845">
            <w:pPr>
              <w:spacing w:after="0" w:line="240" w:lineRule="auto"/>
              <w:jc w:val="both"/>
              <w:rPr>
                <w:rFonts w:ascii="Arial" w:eastAsia="Times New Roman" w:hAnsi="Arial" w:cs="Arial"/>
                <w:b/>
                <w:bCs/>
                <w:color w:val="FFFFFF"/>
                <w:sz w:val="18"/>
                <w:szCs w:val="18"/>
              </w:rPr>
            </w:pPr>
            <w:r w:rsidRPr="00476F57">
              <w:rPr>
                <w:rFonts w:ascii="Arial" w:eastAsia="Times New Roman" w:hAnsi="Arial" w:cs="Arial"/>
                <w:b/>
                <w:bCs/>
                <w:color w:val="FFFFFF"/>
                <w:sz w:val="18"/>
                <w:szCs w:val="18"/>
              </w:rPr>
              <w:t>Grupo Etario</w:t>
            </w:r>
          </w:p>
        </w:tc>
        <w:tc>
          <w:tcPr>
            <w:tcW w:w="2183" w:type="dxa"/>
            <w:gridSpan w:val="2"/>
            <w:tcBorders>
              <w:top w:val="single" w:sz="4" w:space="0" w:color="FFFFFF"/>
              <w:left w:val="single" w:sz="4" w:space="0" w:color="FFFFFF"/>
              <w:bottom w:val="single" w:sz="4" w:space="0" w:color="FFFFFF"/>
              <w:right w:val="single" w:sz="4" w:space="0" w:color="FFFFFF"/>
            </w:tcBorders>
            <w:shd w:val="clear" w:color="000000" w:fill="538DD5"/>
            <w:vAlign w:val="center"/>
            <w:hideMark/>
          </w:tcPr>
          <w:p w:rsidR="00F83FA0" w:rsidRPr="00476F57" w:rsidRDefault="00F83FA0" w:rsidP="00913651">
            <w:pPr>
              <w:spacing w:after="0" w:line="240" w:lineRule="auto"/>
              <w:jc w:val="center"/>
              <w:rPr>
                <w:rFonts w:ascii="Arial" w:eastAsia="Times New Roman" w:hAnsi="Arial" w:cs="Arial"/>
                <w:b/>
                <w:bCs/>
                <w:color w:val="FFFFFF"/>
                <w:sz w:val="18"/>
                <w:szCs w:val="18"/>
                <w:lang w:val="es-ES"/>
              </w:rPr>
            </w:pPr>
            <w:r w:rsidRPr="00476F57">
              <w:rPr>
                <w:rFonts w:ascii="Arial" w:eastAsia="Times New Roman" w:hAnsi="Arial" w:cs="Arial"/>
                <w:b/>
                <w:bCs/>
                <w:color w:val="FFFFFF"/>
                <w:sz w:val="18"/>
                <w:szCs w:val="18"/>
                <w:lang w:val="es-ES"/>
              </w:rPr>
              <w:t>Cantidad de muertes (cada 1.000.000 habitantes)</w:t>
            </w:r>
          </w:p>
        </w:tc>
        <w:tc>
          <w:tcPr>
            <w:tcW w:w="2770" w:type="dxa"/>
            <w:gridSpan w:val="2"/>
            <w:tcBorders>
              <w:top w:val="single" w:sz="4" w:space="0" w:color="FFFFFF"/>
              <w:left w:val="nil"/>
              <w:bottom w:val="single" w:sz="4" w:space="0" w:color="FFFFFF"/>
              <w:right w:val="single" w:sz="4" w:space="0" w:color="FFFFFF"/>
            </w:tcBorders>
            <w:shd w:val="clear" w:color="000000" w:fill="538DD5"/>
            <w:vAlign w:val="center"/>
            <w:hideMark/>
          </w:tcPr>
          <w:p w:rsidR="00F83FA0" w:rsidRPr="00476F57" w:rsidRDefault="00F83FA0" w:rsidP="00913651">
            <w:pPr>
              <w:spacing w:after="0" w:line="240" w:lineRule="auto"/>
              <w:jc w:val="center"/>
              <w:rPr>
                <w:rFonts w:ascii="Arial" w:eastAsia="Times New Roman" w:hAnsi="Arial" w:cs="Arial"/>
                <w:b/>
                <w:bCs/>
                <w:color w:val="FFFFFF"/>
                <w:sz w:val="18"/>
                <w:szCs w:val="18"/>
                <w:lang w:val="es-ES"/>
              </w:rPr>
            </w:pPr>
            <w:r w:rsidRPr="00476F57">
              <w:rPr>
                <w:rFonts w:ascii="Arial" w:eastAsia="Times New Roman" w:hAnsi="Arial" w:cs="Arial"/>
                <w:b/>
                <w:bCs/>
                <w:color w:val="FFFFFF"/>
                <w:sz w:val="18"/>
                <w:szCs w:val="18"/>
                <w:lang w:val="es-ES"/>
              </w:rPr>
              <w:t>Perdida de productividad por muerte prematura</w:t>
            </w:r>
          </w:p>
        </w:tc>
        <w:tc>
          <w:tcPr>
            <w:tcW w:w="1450" w:type="dxa"/>
            <w:vMerge w:val="restart"/>
            <w:tcBorders>
              <w:top w:val="nil"/>
              <w:left w:val="single" w:sz="8" w:space="0" w:color="FFFFFF"/>
              <w:bottom w:val="single" w:sz="8" w:space="0" w:color="FFFFFF"/>
              <w:right w:val="single" w:sz="8" w:space="0" w:color="FFFFFF"/>
            </w:tcBorders>
            <w:shd w:val="clear" w:color="000000" w:fill="4F81BD"/>
            <w:noWrap/>
            <w:vAlign w:val="center"/>
            <w:hideMark/>
          </w:tcPr>
          <w:p w:rsidR="00F83FA0" w:rsidRPr="00476F57" w:rsidRDefault="00F83FA0" w:rsidP="00913651">
            <w:pPr>
              <w:spacing w:after="0" w:line="240" w:lineRule="auto"/>
              <w:jc w:val="center"/>
              <w:rPr>
                <w:rFonts w:ascii="Arial" w:eastAsia="Times New Roman" w:hAnsi="Arial" w:cs="Arial"/>
                <w:b/>
                <w:bCs/>
                <w:color w:val="FFFFFF"/>
                <w:sz w:val="18"/>
                <w:szCs w:val="18"/>
              </w:rPr>
            </w:pPr>
            <w:r w:rsidRPr="00476F57">
              <w:rPr>
                <w:rFonts w:ascii="Arial" w:eastAsia="Times New Roman" w:hAnsi="Arial" w:cs="Arial"/>
                <w:color w:val="FFFFFF"/>
                <w:sz w:val="18"/>
                <w:szCs w:val="18"/>
              </w:rPr>
              <w:t> PPMP</w:t>
            </w:r>
          </w:p>
        </w:tc>
      </w:tr>
      <w:tr w:rsidR="00F83FA0" w:rsidRPr="00476F57" w:rsidTr="00913651">
        <w:trPr>
          <w:trHeight w:val="196"/>
          <w:jc w:val="center"/>
        </w:trPr>
        <w:tc>
          <w:tcPr>
            <w:tcW w:w="957" w:type="dxa"/>
            <w:vMerge/>
            <w:tcBorders>
              <w:top w:val="nil"/>
              <w:left w:val="single" w:sz="8" w:space="0" w:color="FFFFFF"/>
              <w:bottom w:val="single" w:sz="8" w:space="0" w:color="FFFFFF"/>
              <w:right w:val="single" w:sz="8" w:space="0" w:color="FFFFFF"/>
            </w:tcBorders>
            <w:vAlign w:val="center"/>
            <w:hideMark/>
          </w:tcPr>
          <w:p w:rsidR="00F83FA0" w:rsidRPr="00476F57" w:rsidRDefault="00F83FA0" w:rsidP="003B0845">
            <w:pPr>
              <w:spacing w:after="0" w:line="240" w:lineRule="auto"/>
              <w:jc w:val="both"/>
              <w:rPr>
                <w:rFonts w:ascii="Arial" w:eastAsia="Times New Roman" w:hAnsi="Arial" w:cs="Arial"/>
                <w:b/>
                <w:bCs/>
                <w:color w:val="FFFFFF"/>
                <w:sz w:val="18"/>
                <w:szCs w:val="18"/>
              </w:rPr>
            </w:pPr>
          </w:p>
        </w:tc>
        <w:tc>
          <w:tcPr>
            <w:tcW w:w="1283" w:type="dxa"/>
            <w:tcBorders>
              <w:top w:val="nil"/>
              <w:left w:val="single" w:sz="4" w:space="0" w:color="FFFFFF"/>
              <w:bottom w:val="nil"/>
              <w:right w:val="single" w:sz="4" w:space="0" w:color="FFFFFF"/>
            </w:tcBorders>
            <w:shd w:val="clear" w:color="000000" w:fill="538DD5"/>
            <w:noWrap/>
            <w:vAlign w:val="center"/>
            <w:hideMark/>
          </w:tcPr>
          <w:p w:rsidR="00F83FA0" w:rsidRPr="00476F57" w:rsidRDefault="00D04E60" w:rsidP="003B0845">
            <w:pPr>
              <w:spacing w:after="0" w:line="240" w:lineRule="auto"/>
              <w:jc w:val="both"/>
              <w:rPr>
                <w:rFonts w:ascii="Arial" w:eastAsia="Times New Roman" w:hAnsi="Arial" w:cs="Arial"/>
                <w:b/>
                <w:bCs/>
                <w:color w:val="FFFFFF"/>
                <w:sz w:val="18"/>
                <w:szCs w:val="18"/>
              </w:rPr>
            </w:pPr>
            <w:r w:rsidRPr="00476F57">
              <w:rPr>
                <w:rFonts w:ascii="Arial" w:eastAsia="Times New Roman" w:hAnsi="Arial" w:cs="Arial"/>
                <w:b/>
                <w:bCs/>
                <w:color w:val="FFFFFF"/>
                <w:sz w:val="18"/>
                <w:szCs w:val="18"/>
              </w:rPr>
              <w:t xml:space="preserve">No </w:t>
            </w:r>
            <w:r w:rsidR="00F83FA0" w:rsidRPr="00476F57">
              <w:rPr>
                <w:rFonts w:ascii="Arial" w:eastAsia="Times New Roman" w:hAnsi="Arial" w:cs="Arial"/>
                <w:b/>
                <w:bCs/>
                <w:color w:val="FFFFFF"/>
                <w:sz w:val="18"/>
                <w:szCs w:val="18"/>
              </w:rPr>
              <w:t>Redes</w:t>
            </w:r>
          </w:p>
        </w:tc>
        <w:tc>
          <w:tcPr>
            <w:tcW w:w="900" w:type="dxa"/>
            <w:tcBorders>
              <w:top w:val="nil"/>
              <w:left w:val="nil"/>
              <w:bottom w:val="nil"/>
              <w:right w:val="single" w:sz="4" w:space="0" w:color="FFFFFF"/>
            </w:tcBorders>
            <w:shd w:val="clear" w:color="000000" w:fill="538DD5"/>
            <w:noWrap/>
            <w:vAlign w:val="center"/>
            <w:hideMark/>
          </w:tcPr>
          <w:p w:rsidR="00F83FA0" w:rsidRPr="00476F57" w:rsidRDefault="00D04E60" w:rsidP="003B0845">
            <w:pPr>
              <w:spacing w:after="0" w:line="240" w:lineRule="auto"/>
              <w:jc w:val="both"/>
              <w:rPr>
                <w:rFonts w:ascii="Arial" w:eastAsia="Times New Roman" w:hAnsi="Arial" w:cs="Arial"/>
                <w:b/>
                <w:bCs/>
                <w:color w:val="FFFFFF"/>
                <w:sz w:val="18"/>
                <w:szCs w:val="18"/>
              </w:rPr>
            </w:pPr>
            <w:r w:rsidRPr="00476F57">
              <w:rPr>
                <w:rFonts w:ascii="Arial" w:eastAsia="Times New Roman" w:hAnsi="Arial" w:cs="Arial"/>
                <w:b/>
                <w:bCs/>
                <w:color w:val="FFFFFF"/>
                <w:sz w:val="18"/>
                <w:szCs w:val="18"/>
              </w:rPr>
              <w:t>R</w:t>
            </w:r>
            <w:r w:rsidR="00F83FA0" w:rsidRPr="00476F57">
              <w:rPr>
                <w:rFonts w:ascii="Arial" w:eastAsia="Times New Roman" w:hAnsi="Arial" w:cs="Arial"/>
                <w:b/>
                <w:bCs/>
                <w:color w:val="FFFFFF"/>
                <w:sz w:val="18"/>
                <w:szCs w:val="18"/>
              </w:rPr>
              <w:t>edes</w:t>
            </w:r>
          </w:p>
        </w:tc>
        <w:tc>
          <w:tcPr>
            <w:tcW w:w="1452" w:type="dxa"/>
            <w:tcBorders>
              <w:top w:val="nil"/>
              <w:left w:val="nil"/>
              <w:bottom w:val="nil"/>
              <w:right w:val="single" w:sz="4" w:space="0" w:color="FFFFFF"/>
            </w:tcBorders>
            <w:shd w:val="clear" w:color="000000" w:fill="538DD5"/>
            <w:noWrap/>
            <w:vAlign w:val="center"/>
            <w:hideMark/>
          </w:tcPr>
          <w:p w:rsidR="00F83FA0" w:rsidRPr="00476F57" w:rsidRDefault="00D04E60" w:rsidP="003B0845">
            <w:pPr>
              <w:spacing w:after="0" w:line="240" w:lineRule="auto"/>
              <w:jc w:val="both"/>
              <w:rPr>
                <w:rFonts w:ascii="Arial" w:eastAsia="Times New Roman" w:hAnsi="Arial" w:cs="Arial"/>
                <w:b/>
                <w:bCs/>
                <w:color w:val="FFFFFF"/>
                <w:sz w:val="18"/>
                <w:szCs w:val="18"/>
              </w:rPr>
            </w:pPr>
            <w:r w:rsidRPr="00476F57">
              <w:rPr>
                <w:rFonts w:ascii="Arial" w:eastAsia="Times New Roman" w:hAnsi="Arial" w:cs="Arial"/>
                <w:b/>
                <w:bCs/>
                <w:color w:val="FFFFFF"/>
                <w:sz w:val="18"/>
                <w:szCs w:val="18"/>
              </w:rPr>
              <w:t xml:space="preserve">No </w:t>
            </w:r>
            <w:r w:rsidR="00F83FA0" w:rsidRPr="00476F57">
              <w:rPr>
                <w:rFonts w:ascii="Arial" w:eastAsia="Times New Roman" w:hAnsi="Arial" w:cs="Arial"/>
                <w:b/>
                <w:bCs/>
                <w:color w:val="FFFFFF"/>
                <w:sz w:val="18"/>
                <w:szCs w:val="18"/>
              </w:rPr>
              <w:t>Redes</w:t>
            </w:r>
          </w:p>
        </w:tc>
        <w:tc>
          <w:tcPr>
            <w:tcW w:w="1318" w:type="dxa"/>
            <w:tcBorders>
              <w:top w:val="nil"/>
              <w:left w:val="nil"/>
              <w:bottom w:val="nil"/>
              <w:right w:val="single" w:sz="4" w:space="0" w:color="FFFFFF"/>
            </w:tcBorders>
            <w:shd w:val="clear" w:color="000000" w:fill="538DD5"/>
            <w:noWrap/>
            <w:vAlign w:val="center"/>
            <w:hideMark/>
          </w:tcPr>
          <w:p w:rsidR="00F83FA0" w:rsidRPr="00476F57" w:rsidRDefault="00D04E60" w:rsidP="003B0845">
            <w:pPr>
              <w:spacing w:after="0" w:line="240" w:lineRule="auto"/>
              <w:jc w:val="both"/>
              <w:rPr>
                <w:rFonts w:ascii="Arial" w:eastAsia="Times New Roman" w:hAnsi="Arial" w:cs="Arial"/>
                <w:b/>
                <w:bCs/>
                <w:color w:val="FFFFFF"/>
                <w:sz w:val="18"/>
                <w:szCs w:val="18"/>
              </w:rPr>
            </w:pPr>
            <w:r w:rsidRPr="00476F57">
              <w:rPr>
                <w:rFonts w:ascii="Arial" w:eastAsia="Times New Roman" w:hAnsi="Arial" w:cs="Arial"/>
                <w:b/>
                <w:bCs/>
                <w:color w:val="FFFFFF"/>
                <w:sz w:val="18"/>
                <w:szCs w:val="18"/>
              </w:rPr>
              <w:t>R</w:t>
            </w:r>
            <w:r w:rsidR="00F83FA0" w:rsidRPr="00476F57">
              <w:rPr>
                <w:rFonts w:ascii="Arial" w:eastAsia="Times New Roman" w:hAnsi="Arial" w:cs="Arial"/>
                <w:b/>
                <w:bCs/>
                <w:color w:val="FFFFFF"/>
                <w:sz w:val="18"/>
                <w:szCs w:val="18"/>
              </w:rPr>
              <w:t>edes</w:t>
            </w:r>
          </w:p>
        </w:tc>
        <w:tc>
          <w:tcPr>
            <w:tcW w:w="1450" w:type="dxa"/>
            <w:vMerge/>
            <w:tcBorders>
              <w:top w:val="nil"/>
              <w:left w:val="single" w:sz="8" w:space="0" w:color="FFFFFF"/>
              <w:bottom w:val="single" w:sz="8" w:space="0" w:color="FFFFFF"/>
              <w:right w:val="single" w:sz="8" w:space="0" w:color="FFFFFF"/>
            </w:tcBorders>
            <w:vAlign w:val="center"/>
            <w:hideMark/>
          </w:tcPr>
          <w:p w:rsidR="00F83FA0" w:rsidRPr="00476F57" w:rsidRDefault="00F83FA0" w:rsidP="003B0845">
            <w:pPr>
              <w:spacing w:after="0" w:line="240" w:lineRule="auto"/>
              <w:jc w:val="both"/>
              <w:rPr>
                <w:rFonts w:ascii="Arial" w:eastAsia="Times New Roman" w:hAnsi="Arial" w:cs="Arial"/>
                <w:b/>
                <w:bCs/>
                <w:color w:val="FFFFFF"/>
                <w:sz w:val="18"/>
                <w:szCs w:val="18"/>
              </w:rPr>
            </w:pPr>
          </w:p>
        </w:tc>
      </w:tr>
      <w:tr w:rsidR="00F83FA0" w:rsidRPr="00476F57" w:rsidTr="00913651">
        <w:trPr>
          <w:trHeight w:val="223"/>
          <w:jc w:val="center"/>
        </w:trPr>
        <w:tc>
          <w:tcPr>
            <w:tcW w:w="957" w:type="dxa"/>
            <w:tcBorders>
              <w:top w:val="nil"/>
              <w:left w:val="single" w:sz="8" w:space="0" w:color="FFFFFF"/>
              <w:bottom w:val="single" w:sz="8" w:space="0" w:color="FFFFFF"/>
              <w:right w:val="single" w:sz="8"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b/>
                <w:bCs/>
                <w:sz w:val="18"/>
                <w:szCs w:val="18"/>
              </w:rPr>
            </w:pPr>
            <w:r w:rsidRPr="00476F57">
              <w:rPr>
                <w:rFonts w:ascii="Arial" w:eastAsia="Times New Roman" w:hAnsi="Arial" w:cs="Arial"/>
                <w:b/>
                <w:bCs/>
                <w:sz w:val="18"/>
                <w:szCs w:val="18"/>
              </w:rPr>
              <w:t>5-9</w:t>
            </w:r>
          </w:p>
        </w:tc>
        <w:tc>
          <w:tcPr>
            <w:tcW w:w="1283" w:type="dxa"/>
            <w:tcBorders>
              <w:top w:val="single" w:sz="8" w:space="0" w:color="FFFFFF"/>
              <w:left w:val="nil"/>
              <w:bottom w:val="single" w:sz="8" w:space="0" w:color="FFFFFF"/>
              <w:right w:val="single" w:sz="8"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sz w:val="18"/>
                <w:szCs w:val="18"/>
              </w:rPr>
            </w:pPr>
            <w:r w:rsidRPr="00476F57">
              <w:rPr>
                <w:rFonts w:ascii="Arial" w:eastAsia="Times New Roman" w:hAnsi="Arial" w:cs="Arial"/>
                <w:sz w:val="18"/>
                <w:szCs w:val="18"/>
              </w:rPr>
              <w:t>38</w:t>
            </w:r>
          </w:p>
        </w:tc>
        <w:tc>
          <w:tcPr>
            <w:tcW w:w="900" w:type="dxa"/>
            <w:tcBorders>
              <w:top w:val="single" w:sz="8" w:space="0" w:color="FFFFFF"/>
              <w:left w:val="nil"/>
              <w:bottom w:val="single" w:sz="8" w:space="0" w:color="FFFFFF"/>
              <w:right w:val="single" w:sz="8"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sz w:val="18"/>
                <w:szCs w:val="18"/>
              </w:rPr>
            </w:pPr>
            <w:r w:rsidRPr="00476F57">
              <w:rPr>
                <w:rFonts w:ascii="Arial" w:eastAsia="Times New Roman" w:hAnsi="Arial" w:cs="Arial"/>
                <w:sz w:val="18"/>
                <w:szCs w:val="18"/>
              </w:rPr>
              <w:t>14</w:t>
            </w:r>
          </w:p>
        </w:tc>
        <w:tc>
          <w:tcPr>
            <w:tcW w:w="1452" w:type="dxa"/>
            <w:tcBorders>
              <w:top w:val="single" w:sz="8" w:space="0" w:color="FFFFFF"/>
              <w:left w:val="nil"/>
              <w:bottom w:val="single" w:sz="8" w:space="0" w:color="FFFFFF"/>
              <w:right w:val="single" w:sz="8"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$356,674</w:t>
            </w:r>
          </w:p>
        </w:tc>
        <w:tc>
          <w:tcPr>
            <w:tcW w:w="1318" w:type="dxa"/>
            <w:tcBorders>
              <w:top w:val="single" w:sz="8" w:space="0" w:color="FFFFFF"/>
              <w:left w:val="nil"/>
              <w:bottom w:val="single" w:sz="8" w:space="0" w:color="FFFFFF"/>
              <w:right w:val="single" w:sz="8"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$165,671</w:t>
            </w:r>
          </w:p>
        </w:tc>
        <w:tc>
          <w:tcPr>
            <w:tcW w:w="1450" w:type="dxa"/>
            <w:tcBorders>
              <w:top w:val="nil"/>
              <w:left w:val="nil"/>
              <w:bottom w:val="single" w:sz="8" w:space="0" w:color="FFFFFF"/>
              <w:right w:val="single" w:sz="8" w:space="0" w:color="FFFFFF"/>
            </w:tcBorders>
            <w:shd w:val="clear" w:color="000000" w:fill="D9D9D9"/>
            <w:noWrap/>
            <w:vAlign w:val="bottom"/>
            <w:hideMark/>
          </w:tcPr>
          <w:p w:rsidR="00F83FA0" w:rsidRPr="00476F57" w:rsidRDefault="00F83FA0" w:rsidP="003B0845">
            <w:pPr>
              <w:spacing w:after="0" w:line="240" w:lineRule="auto"/>
              <w:jc w:val="both"/>
              <w:rPr>
                <w:rFonts w:ascii="Arial" w:eastAsia="Times New Roman" w:hAnsi="Arial" w:cs="Arial"/>
                <w:b/>
                <w:bCs/>
                <w:color w:val="000000"/>
                <w:sz w:val="18"/>
                <w:szCs w:val="18"/>
              </w:rPr>
            </w:pPr>
            <w:r w:rsidRPr="00476F57">
              <w:rPr>
                <w:rFonts w:ascii="Arial" w:eastAsia="Times New Roman" w:hAnsi="Arial" w:cs="Arial"/>
                <w:b/>
                <w:bCs/>
                <w:color w:val="000000"/>
                <w:sz w:val="18"/>
                <w:szCs w:val="18"/>
              </w:rPr>
              <w:t>-$191,003</w:t>
            </w:r>
          </w:p>
        </w:tc>
      </w:tr>
      <w:tr w:rsidR="00F83FA0" w:rsidRPr="00476F57" w:rsidTr="00913651">
        <w:trPr>
          <w:trHeight w:val="169"/>
          <w:jc w:val="center"/>
        </w:trPr>
        <w:tc>
          <w:tcPr>
            <w:tcW w:w="957" w:type="dxa"/>
            <w:tcBorders>
              <w:top w:val="nil"/>
              <w:left w:val="single" w:sz="8" w:space="0" w:color="FFFFFF"/>
              <w:bottom w:val="single" w:sz="8" w:space="0" w:color="FFFFFF"/>
              <w:right w:val="single" w:sz="8"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b/>
                <w:bCs/>
                <w:sz w:val="18"/>
                <w:szCs w:val="18"/>
              </w:rPr>
            </w:pPr>
            <w:r w:rsidRPr="00476F57">
              <w:rPr>
                <w:rFonts w:ascii="Arial" w:eastAsia="Times New Roman" w:hAnsi="Arial" w:cs="Arial"/>
                <w:b/>
                <w:bCs/>
                <w:sz w:val="18"/>
                <w:szCs w:val="18"/>
              </w:rPr>
              <w:t>10-14</w:t>
            </w:r>
          </w:p>
        </w:tc>
        <w:tc>
          <w:tcPr>
            <w:tcW w:w="1283" w:type="dxa"/>
            <w:tcBorders>
              <w:top w:val="nil"/>
              <w:left w:val="nil"/>
              <w:bottom w:val="single" w:sz="8" w:space="0" w:color="FFFFFF"/>
              <w:right w:val="single" w:sz="8"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sz w:val="18"/>
                <w:szCs w:val="18"/>
              </w:rPr>
            </w:pPr>
            <w:r w:rsidRPr="00476F57">
              <w:rPr>
                <w:rFonts w:ascii="Arial" w:eastAsia="Times New Roman" w:hAnsi="Arial" w:cs="Arial"/>
                <w:sz w:val="18"/>
                <w:szCs w:val="18"/>
              </w:rPr>
              <w:t>28</w:t>
            </w:r>
          </w:p>
        </w:tc>
        <w:tc>
          <w:tcPr>
            <w:tcW w:w="900" w:type="dxa"/>
            <w:tcBorders>
              <w:top w:val="nil"/>
              <w:left w:val="nil"/>
              <w:bottom w:val="single" w:sz="8" w:space="0" w:color="FFFFFF"/>
              <w:right w:val="single" w:sz="8"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sz w:val="18"/>
                <w:szCs w:val="18"/>
              </w:rPr>
            </w:pPr>
            <w:r w:rsidRPr="00476F57">
              <w:rPr>
                <w:rFonts w:ascii="Arial" w:eastAsia="Times New Roman" w:hAnsi="Arial" w:cs="Arial"/>
                <w:sz w:val="18"/>
                <w:szCs w:val="18"/>
              </w:rPr>
              <w:t>13</w:t>
            </w:r>
          </w:p>
        </w:tc>
        <w:tc>
          <w:tcPr>
            <w:tcW w:w="1452" w:type="dxa"/>
            <w:tcBorders>
              <w:top w:val="nil"/>
              <w:left w:val="nil"/>
              <w:bottom w:val="single" w:sz="8" w:space="0" w:color="FFFFFF"/>
              <w:right w:val="single" w:sz="8"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$744,666</w:t>
            </w:r>
          </w:p>
        </w:tc>
        <w:tc>
          <w:tcPr>
            <w:tcW w:w="1318" w:type="dxa"/>
            <w:tcBorders>
              <w:top w:val="nil"/>
              <w:left w:val="nil"/>
              <w:bottom w:val="single" w:sz="8" w:space="0" w:color="FFFFFF"/>
              <w:right w:val="single" w:sz="8"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$311,215</w:t>
            </w:r>
          </w:p>
        </w:tc>
        <w:tc>
          <w:tcPr>
            <w:tcW w:w="1450" w:type="dxa"/>
            <w:tcBorders>
              <w:top w:val="nil"/>
              <w:left w:val="nil"/>
              <w:bottom w:val="single" w:sz="8" w:space="0" w:color="FFFFFF"/>
              <w:right w:val="single" w:sz="8" w:space="0" w:color="FFFFFF"/>
            </w:tcBorders>
            <w:shd w:val="clear" w:color="000000" w:fill="D9D9D9"/>
            <w:noWrap/>
            <w:vAlign w:val="bottom"/>
            <w:hideMark/>
          </w:tcPr>
          <w:p w:rsidR="00F83FA0" w:rsidRPr="00476F57" w:rsidRDefault="00F83FA0" w:rsidP="003B0845">
            <w:pPr>
              <w:spacing w:after="0" w:line="240" w:lineRule="auto"/>
              <w:jc w:val="both"/>
              <w:rPr>
                <w:rFonts w:ascii="Arial" w:eastAsia="Times New Roman" w:hAnsi="Arial" w:cs="Arial"/>
                <w:b/>
                <w:bCs/>
                <w:color w:val="000000"/>
                <w:sz w:val="18"/>
                <w:szCs w:val="18"/>
              </w:rPr>
            </w:pPr>
            <w:r w:rsidRPr="00476F57">
              <w:rPr>
                <w:rFonts w:ascii="Arial" w:eastAsia="Times New Roman" w:hAnsi="Arial" w:cs="Arial"/>
                <w:b/>
                <w:bCs/>
                <w:color w:val="000000"/>
                <w:sz w:val="18"/>
                <w:szCs w:val="18"/>
              </w:rPr>
              <w:t>-$433,451</w:t>
            </w:r>
          </w:p>
        </w:tc>
      </w:tr>
      <w:tr w:rsidR="00F83FA0" w:rsidRPr="00476F57" w:rsidTr="00913651">
        <w:trPr>
          <w:trHeight w:val="214"/>
          <w:jc w:val="center"/>
        </w:trPr>
        <w:tc>
          <w:tcPr>
            <w:tcW w:w="957" w:type="dxa"/>
            <w:tcBorders>
              <w:top w:val="nil"/>
              <w:left w:val="single" w:sz="8" w:space="0" w:color="FFFFFF"/>
              <w:bottom w:val="single" w:sz="8" w:space="0" w:color="FFFFFF"/>
              <w:right w:val="single" w:sz="8"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b/>
                <w:bCs/>
                <w:sz w:val="18"/>
                <w:szCs w:val="18"/>
              </w:rPr>
            </w:pPr>
            <w:r w:rsidRPr="00476F57">
              <w:rPr>
                <w:rFonts w:ascii="Arial" w:eastAsia="Times New Roman" w:hAnsi="Arial" w:cs="Arial"/>
                <w:b/>
                <w:bCs/>
                <w:sz w:val="18"/>
                <w:szCs w:val="18"/>
              </w:rPr>
              <w:t>15-19</w:t>
            </w:r>
          </w:p>
        </w:tc>
        <w:tc>
          <w:tcPr>
            <w:tcW w:w="1283" w:type="dxa"/>
            <w:tcBorders>
              <w:top w:val="nil"/>
              <w:left w:val="nil"/>
              <w:bottom w:val="single" w:sz="8" w:space="0" w:color="FFFFFF"/>
              <w:right w:val="single" w:sz="8"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sz w:val="18"/>
                <w:szCs w:val="18"/>
              </w:rPr>
            </w:pPr>
            <w:r w:rsidRPr="00476F57">
              <w:rPr>
                <w:rFonts w:ascii="Arial" w:eastAsia="Times New Roman" w:hAnsi="Arial" w:cs="Arial"/>
                <w:sz w:val="18"/>
                <w:szCs w:val="18"/>
              </w:rPr>
              <w:t>58</w:t>
            </w:r>
          </w:p>
        </w:tc>
        <w:tc>
          <w:tcPr>
            <w:tcW w:w="900" w:type="dxa"/>
            <w:tcBorders>
              <w:top w:val="nil"/>
              <w:left w:val="nil"/>
              <w:bottom w:val="single" w:sz="8" w:space="0" w:color="FFFFFF"/>
              <w:right w:val="single" w:sz="8"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sz w:val="18"/>
                <w:szCs w:val="18"/>
              </w:rPr>
            </w:pPr>
            <w:r w:rsidRPr="00476F57">
              <w:rPr>
                <w:rFonts w:ascii="Arial" w:eastAsia="Times New Roman" w:hAnsi="Arial" w:cs="Arial"/>
                <w:sz w:val="18"/>
                <w:szCs w:val="18"/>
              </w:rPr>
              <w:t>24</w:t>
            </w:r>
          </w:p>
        </w:tc>
        <w:tc>
          <w:tcPr>
            <w:tcW w:w="1452" w:type="dxa"/>
            <w:tcBorders>
              <w:top w:val="nil"/>
              <w:left w:val="nil"/>
              <w:bottom w:val="single" w:sz="8" w:space="0" w:color="FFFFFF"/>
              <w:right w:val="single" w:sz="8"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$1,376,846</w:t>
            </w:r>
          </w:p>
        </w:tc>
        <w:tc>
          <w:tcPr>
            <w:tcW w:w="1318" w:type="dxa"/>
            <w:tcBorders>
              <w:top w:val="nil"/>
              <w:left w:val="nil"/>
              <w:bottom w:val="single" w:sz="8" w:space="0" w:color="FFFFFF"/>
              <w:right w:val="single" w:sz="8"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$411,942</w:t>
            </w:r>
          </w:p>
        </w:tc>
        <w:tc>
          <w:tcPr>
            <w:tcW w:w="1450" w:type="dxa"/>
            <w:tcBorders>
              <w:top w:val="nil"/>
              <w:left w:val="nil"/>
              <w:bottom w:val="single" w:sz="8" w:space="0" w:color="FFFFFF"/>
              <w:right w:val="single" w:sz="8" w:space="0" w:color="FFFFFF"/>
            </w:tcBorders>
            <w:shd w:val="clear" w:color="000000" w:fill="D9D9D9"/>
            <w:noWrap/>
            <w:vAlign w:val="bottom"/>
            <w:hideMark/>
          </w:tcPr>
          <w:p w:rsidR="00F83FA0" w:rsidRPr="00476F57" w:rsidRDefault="00F83FA0" w:rsidP="003B0845">
            <w:pPr>
              <w:spacing w:after="0" w:line="240" w:lineRule="auto"/>
              <w:jc w:val="both"/>
              <w:rPr>
                <w:rFonts w:ascii="Arial" w:eastAsia="Times New Roman" w:hAnsi="Arial" w:cs="Arial"/>
                <w:b/>
                <w:bCs/>
                <w:color w:val="000000"/>
                <w:sz w:val="18"/>
                <w:szCs w:val="18"/>
              </w:rPr>
            </w:pPr>
            <w:r w:rsidRPr="00476F57">
              <w:rPr>
                <w:rFonts w:ascii="Arial" w:eastAsia="Times New Roman" w:hAnsi="Arial" w:cs="Arial"/>
                <w:b/>
                <w:bCs/>
                <w:color w:val="000000"/>
                <w:sz w:val="18"/>
                <w:szCs w:val="18"/>
              </w:rPr>
              <w:t>-$964,903</w:t>
            </w:r>
          </w:p>
        </w:tc>
      </w:tr>
      <w:tr w:rsidR="00F83FA0" w:rsidRPr="00476F57" w:rsidTr="00913651">
        <w:trPr>
          <w:trHeight w:val="160"/>
          <w:jc w:val="center"/>
        </w:trPr>
        <w:tc>
          <w:tcPr>
            <w:tcW w:w="957" w:type="dxa"/>
            <w:tcBorders>
              <w:top w:val="nil"/>
              <w:left w:val="single" w:sz="8" w:space="0" w:color="FFFFFF"/>
              <w:bottom w:val="single" w:sz="8" w:space="0" w:color="FFFFFF"/>
              <w:right w:val="single" w:sz="8"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b/>
                <w:bCs/>
                <w:sz w:val="18"/>
                <w:szCs w:val="18"/>
              </w:rPr>
            </w:pPr>
            <w:r w:rsidRPr="00476F57">
              <w:rPr>
                <w:rFonts w:ascii="Arial" w:eastAsia="Times New Roman" w:hAnsi="Arial" w:cs="Arial"/>
                <w:b/>
                <w:bCs/>
                <w:sz w:val="18"/>
                <w:szCs w:val="18"/>
              </w:rPr>
              <w:lastRenderedPageBreak/>
              <w:t>20-24</w:t>
            </w:r>
          </w:p>
        </w:tc>
        <w:tc>
          <w:tcPr>
            <w:tcW w:w="1283" w:type="dxa"/>
            <w:tcBorders>
              <w:top w:val="nil"/>
              <w:left w:val="nil"/>
              <w:bottom w:val="single" w:sz="8" w:space="0" w:color="FFFFFF"/>
              <w:right w:val="single" w:sz="8"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sz w:val="18"/>
                <w:szCs w:val="18"/>
              </w:rPr>
            </w:pPr>
            <w:r w:rsidRPr="00476F57">
              <w:rPr>
                <w:rFonts w:ascii="Arial" w:eastAsia="Times New Roman" w:hAnsi="Arial" w:cs="Arial"/>
                <w:sz w:val="18"/>
                <w:szCs w:val="18"/>
              </w:rPr>
              <w:t>107</w:t>
            </w:r>
          </w:p>
        </w:tc>
        <w:tc>
          <w:tcPr>
            <w:tcW w:w="900" w:type="dxa"/>
            <w:tcBorders>
              <w:top w:val="nil"/>
              <w:left w:val="nil"/>
              <w:bottom w:val="single" w:sz="8" w:space="0" w:color="FFFFFF"/>
              <w:right w:val="single" w:sz="8"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sz w:val="18"/>
                <w:szCs w:val="18"/>
              </w:rPr>
            </w:pPr>
            <w:r w:rsidRPr="00476F57">
              <w:rPr>
                <w:rFonts w:ascii="Arial" w:eastAsia="Times New Roman" w:hAnsi="Arial" w:cs="Arial"/>
                <w:sz w:val="18"/>
                <w:szCs w:val="18"/>
              </w:rPr>
              <w:t>32</w:t>
            </w:r>
          </w:p>
        </w:tc>
        <w:tc>
          <w:tcPr>
            <w:tcW w:w="1452" w:type="dxa"/>
            <w:tcBorders>
              <w:top w:val="nil"/>
              <w:left w:val="nil"/>
              <w:bottom w:val="single" w:sz="8" w:space="0" w:color="FFFFFF"/>
              <w:right w:val="single" w:sz="8"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$2,100,367</w:t>
            </w:r>
          </w:p>
        </w:tc>
        <w:tc>
          <w:tcPr>
            <w:tcW w:w="1318" w:type="dxa"/>
            <w:tcBorders>
              <w:top w:val="nil"/>
              <w:left w:val="nil"/>
              <w:bottom w:val="single" w:sz="8" w:space="0" w:color="FFFFFF"/>
              <w:right w:val="single" w:sz="8"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$566,959</w:t>
            </w:r>
          </w:p>
        </w:tc>
        <w:tc>
          <w:tcPr>
            <w:tcW w:w="1450" w:type="dxa"/>
            <w:tcBorders>
              <w:top w:val="nil"/>
              <w:left w:val="nil"/>
              <w:bottom w:val="single" w:sz="8" w:space="0" w:color="FFFFFF"/>
              <w:right w:val="single" w:sz="8" w:space="0" w:color="FFFFFF"/>
            </w:tcBorders>
            <w:shd w:val="clear" w:color="000000" w:fill="D9D9D9"/>
            <w:noWrap/>
            <w:vAlign w:val="bottom"/>
            <w:hideMark/>
          </w:tcPr>
          <w:p w:rsidR="00F83FA0" w:rsidRPr="00476F57" w:rsidRDefault="00F83FA0" w:rsidP="003B0845">
            <w:pPr>
              <w:spacing w:after="0" w:line="240" w:lineRule="auto"/>
              <w:jc w:val="both"/>
              <w:rPr>
                <w:rFonts w:ascii="Arial" w:eastAsia="Times New Roman" w:hAnsi="Arial" w:cs="Arial"/>
                <w:b/>
                <w:bCs/>
                <w:color w:val="000000"/>
                <w:sz w:val="18"/>
                <w:szCs w:val="18"/>
              </w:rPr>
            </w:pPr>
            <w:r w:rsidRPr="00476F57">
              <w:rPr>
                <w:rFonts w:ascii="Arial" w:eastAsia="Times New Roman" w:hAnsi="Arial" w:cs="Arial"/>
                <w:b/>
                <w:bCs/>
                <w:color w:val="000000"/>
                <w:sz w:val="18"/>
                <w:szCs w:val="18"/>
              </w:rPr>
              <w:t>-$1,533,407</w:t>
            </w:r>
          </w:p>
        </w:tc>
      </w:tr>
      <w:tr w:rsidR="00F83FA0" w:rsidRPr="00476F57" w:rsidTr="00913651">
        <w:trPr>
          <w:trHeight w:val="106"/>
          <w:jc w:val="center"/>
        </w:trPr>
        <w:tc>
          <w:tcPr>
            <w:tcW w:w="957" w:type="dxa"/>
            <w:tcBorders>
              <w:top w:val="nil"/>
              <w:left w:val="single" w:sz="8" w:space="0" w:color="FFFFFF"/>
              <w:bottom w:val="single" w:sz="8" w:space="0" w:color="FFFFFF"/>
              <w:right w:val="single" w:sz="8"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b/>
                <w:bCs/>
                <w:sz w:val="18"/>
                <w:szCs w:val="18"/>
              </w:rPr>
            </w:pPr>
            <w:r w:rsidRPr="00476F57">
              <w:rPr>
                <w:rFonts w:ascii="Arial" w:eastAsia="Times New Roman" w:hAnsi="Arial" w:cs="Arial"/>
                <w:b/>
                <w:bCs/>
                <w:sz w:val="18"/>
                <w:szCs w:val="18"/>
              </w:rPr>
              <w:t>25-29</w:t>
            </w:r>
          </w:p>
        </w:tc>
        <w:tc>
          <w:tcPr>
            <w:tcW w:w="1283" w:type="dxa"/>
            <w:tcBorders>
              <w:top w:val="nil"/>
              <w:left w:val="nil"/>
              <w:bottom w:val="single" w:sz="8" w:space="0" w:color="FFFFFF"/>
              <w:right w:val="single" w:sz="8"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sz w:val="18"/>
                <w:szCs w:val="18"/>
              </w:rPr>
            </w:pPr>
            <w:r w:rsidRPr="00476F57">
              <w:rPr>
                <w:rFonts w:ascii="Arial" w:eastAsia="Times New Roman" w:hAnsi="Arial" w:cs="Arial"/>
                <w:sz w:val="18"/>
                <w:szCs w:val="18"/>
              </w:rPr>
              <w:t>163</w:t>
            </w:r>
          </w:p>
        </w:tc>
        <w:tc>
          <w:tcPr>
            <w:tcW w:w="900" w:type="dxa"/>
            <w:tcBorders>
              <w:top w:val="nil"/>
              <w:left w:val="nil"/>
              <w:bottom w:val="single" w:sz="8" w:space="0" w:color="FFFFFF"/>
              <w:right w:val="single" w:sz="8"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sz w:val="18"/>
                <w:szCs w:val="18"/>
              </w:rPr>
            </w:pPr>
            <w:r w:rsidRPr="00476F57">
              <w:rPr>
                <w:rFonts w:ascii="Arial" w:eastAsia="Times New Roman" w:hAnsi="Arial" w:cs="Arial"/>
                <w:sz w:val="18"/>
                <w:szCs w:val="18"/>
              </w:rPr>
              <w:t>44</w:t>
            </w:r>
          </w:p>
        </w:tc>
        <w:tc>
          <w:tcPr>
            <w:tcW w:w="1452" w:type="dxa"/>
            <w:tcBorders>
              <w:top w:val="nil"/>
              <w:left w:val="nil"/>
              <w:bottom w:val="single" w:sz="8" w:space="0" w:color="FFFFFF"/>
              <w:right w:val="single" w:sz="8"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$3,433,819</w:t>
            </w:r>
          </w:p>
        </w:tc>
        <w:tc>
          <w:tcPr>
            <w:tcW w:w="1318" w:type="dxa"/>
            <w:tcBorders>
              <w:top w:val="nil"/>
              <w:left w:val="nil"/>
              <w:bottom w:val="single" w:sz="8" w:space="0" w:color="FFFFFF"/>
              <w:right w:val="single" w:sz="8"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$1,119,175</w:t>
            </w:r>
          </w:p>
        </w:tc>
        <w:tc>
          <w:tcPr>
            <w:tcW w:w="1450" w:type="dxa"/>
            <w:tcBorders>
              <w:top w:val="nil"/>
              <w:left w:val="nil"/>
              <w:bottom w:val="single" w:sz="8" w:space="0" w:color="FFFFFF"/>
              <w:right w:val="single" w:sz="8" w:space="0" w:color="FFFFFF"/>
            </w:tcBorders>
            <w:shd w:val="clear" w:color="000000" w:fill="D9D9D9"/>
            <w:noWrap/>
            <w:vAlign w:val="bottom"/>
            <w:hideMark/>
          </w:tcPr>
          <w:p w:rsidR="00F83FA0" w:rsidRPr="00476F57" w:rsidRDefault="00F83FA0" w:rsidP="003B0845">
            <w:pPr>
              <w:spacing w:after="0" w:line="240" w:lineRule="auto"/>
              <w:jc w:val="both"/>
              <w:rPr>
                <w:rFonts w:ascii="Arial" w:eastAsia="Times New Roman" w:hAnsi="Arial" w:cs="Arial"/>
                <w:b/>
                <w:bCs/>
                <w:color w:val="000000"/>
                <w:sz w:val="18"/>
                <w:szCs w:val="18"/>
              </w:rPr>
            </w:pPr>
            <w:r w:rsidRPr="00476F57">
              <w:rPr>
                <w:rFonts w:ascii="Arial" w:eastAsia="Times New Roman" w:hAnsi="Arial" w:cs="Arial"/>
                <w:b/>
                <w:bCs/>
                <w:color w:val="000000"/>
                <w:sz w:val="18"/>
                <w:szCs w:val="18"/>
              </w:rPr>
              <w:t>-$2,314,644</w:t>
            </w:r>
          </w:p>
        </w:tc>
      </w:tr>
      <w:tr w:rsidR="00F83FA0" w:rsidRPr="00476F57" w:rsidTr="00913651">
        <w:trPr>
          <w:trHeight w:val="151"/>
          <w:jc w:val="center"/>
        </w:trPr>
        <w:tc>
          <w:tcPr>
            <w:tcW w:w="957" w:type="dxa"/>
            <w:tcBorders>
              <w:top w:val="nil"/>
              <w:left w:val="single" w:sz="8" w:space="0" w:color="FFFFFF"/>
              <w:bottom w:val="single" w:sz="8" w:space="0" w:color="FFFFFF"/>
              <w:right w:val="single" w:sz="8"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b/>
                <w:bCs/>
                <w:sz w:val="18"/>
                <w:szCs w:val="18"/>
              </w:rPr>
            </w:pPr>
            <w:r w:rsidRPr="00476F57">
              <w:rPr>
                <w:rFonts w:ascii="Arial" w:eastAsia="Times New Roman" w:hAnsi="Arial" w:cs="Arial"/>
                <w:b/>
                <w:bCs/>
                <w:sz w:val="18"/>
                <w:szCs w:val="18"/>
              </w:rPr>
              <w:t>30-34</w:t>
            </w:r>
          </w:p>
        </w:tc>
        <w:tc>
          <w:tcPr>
            <w:tcW w:w="1283" w:type="dxa"/>
            <w:tcBorders>
              <w:top w:val="nil"/>
              <w:left w:val="nil"/>
              <w:bottom w:val="single" w:sz="8" w:space="0" w:color="FFFFFF"/>
              <w:right w:val="single" w:sz="8"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sz w:val="18"/>
                <w:szCs w:val="18"/>
              </w:rPr>
            </w:pPr>
            <w:r w:rsidRPr="00476F57">
              <w:rPr>
                <w:rFonts w:ascii="Arial" w:eastAsia="Times New Roman" w:hAnsi="Arial" w:cs="Arial"/>
                <w:sz w:val="18"/>
                <w:szCs w:val="18"/>
              </w:rPr>
              <w:t>267</w:t>
            </w:r>
          </w:p>
        </w:tc>
        <w:tc>
          <w:tcPr>
            <w:tcW w:w="900" w:type="dxa"/>
            <w:tcBorders>
              <w:top w:val="nil"/>
              <w:left w:val="nil"/>
              <w:bottom w:val="single" w:sz="8" w:space="0" w:color="FFFFFF"/>
              <w:right w:val="single" w:sz="8"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sz w:val="18"/>
                <w:szCs w:val="18"/>
              </w:rPr>
            </w:pPr>
            <w:r w:rsidRPr="00476F57">
              <w:rPr>
                <w:rFonts w:ascii="Arial" w:eastAsia="Times New Roman" w:hAnsi="Arial" w:cs="Arial"/>
                <w:sz w:val="18"/>
                <w:szCs w:val="18"/>
              </w:rPr>
              <w:t>87</w:t>
            </w:r>
          </w:p>
        </w:tc>
        <w:tc>
          <w:tcPr>
            <w:tcW w:w="1452" w:type="dxa"/>
            <w:tcBorders>
              <w:top w:val="nil"/>
              <w:left w:val="nil"/>
              <w:bottom w:val="single" w:sz="8" w:space="0" w:color="FFFFFF"/>
              <w:right w:val="single" w:sz="8"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$6,083,985</w:t>
            </w:r>
          </w:p>
        </w:tc>
        <w:tc>
          <w:tcPr>
            <w:tcW w:w="1318" w:type="dxa"/>
            <w:tcBorders>
              <w:top w:val="nil"/>
              <w:left w:val="nil"/>
              <w:bottom w:val="single" w:sz="8" w:space="0" w:color="FFFFFF"/>
              <w:right w:val="single" w:sz="8"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$1,716,726</w:t>
            </w:r>
          </w:p>
        </w:tc>
        <w:tc>
          <w:tcPr>
            <w:tcW w:w="1450" w:type="dxa"/>
            <w:tcBorders>
              <w:top w:val="nil"/>
              <w:left w:val="nil"/>
              <w:bottom w:val="single" w:sz="8" w:space="0" w:color="FFFFFF"/>
              <w:right w:val="single" w:sz="8" w:space="0" w:color="FFFFFF"/>
            </w:tcBorders>
            <w:shd w:val="clear" w:color="000000" w:fill="D9D9D9"/>
            <w:noWrap/>
            <w:vAlign w:val="bottom"/>
            <w:hideMark/>
          </w:tcPr>
          <w:p w:rsidR="00F83FA0" w:rsidRPr="00476F57" w:rsidRDefault="00F83FA0" w:rsidP="003B0845">
            <w:pPr>
              <w:spacing w:after="0" w:line="240" w:lineRule="auto"/>
              <w:jc w:val="both"/>
              <w:rPr>
                <w:rFonts w:ascii="Arial" w:eastAsia="Times New Roman" w:hAnsi="Arial" w:cs="Arial"/>
                <w:b/>
                <w:bCs/>
                <w:color w:val="000000"/>
                <w:sz w:val="18"/>
                <w:szCs w:val="18"/>
              </w:rPr>
            </w:pPr>
            <w:r w:rsidRPr="00476F57">
              <w:rPr>
                <w:rFonts w:ascii="Arial" w:eastAsia="Times New Roman" w:hAnsi="Arial" w:cs="Arial"/>
                <w:b/>
                <w:bCs/>
                <w:color w:val="000000"/>
                <w:sz w:val="18"/>
                <w:szCs w:val="18"/>
              </w:rPr>
              <w:t>-$4,367,258</w:t>
            </w:r>
          </w:p>
        </w:tc>
      </w:tr>
      <w:tr w:rsidR="00F83FA0" w:rsidRPr="00476F57" w:rsidTr="00913651">
        <w:trPr>
          <w:trHeight w:val="196"/>
          <w:jc w:val="center"/>
        </w:trPr>
        <w:tc>
          <w:tcPr>
            <w:tcW w:w="957" w:type="dxa"/>
            <w:tcBorders>
              <w:top w:val="nil"/>
              <w:left w:val="single" w:sz="8" w:space="0" w:color="FFFFFF"/>
              <w:bottom w:val="single" w:sz="8" w:space="0" w:color="FFFFFF"/>
              <w:right w:val="single" w:sz="8"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b/>
                <w:bCs/>
                <w:sz w:val="18"/>
                <w:szCs w:val="18"/>
              </w:rPr>
            </w:pPr>
            <w:r w:rsidRPr="00476F57">
              <w:rPr>
                <w:rFonts w:ascii="Arial" w:eastAsia="Times New Roman" w:hAnsi="Arial" w:cs="Arial"/>
                <w:b/>
                <w:bCs/>
                <w:sz w:val="18"/>
                <w:szCs w:val="18"/>
              </w:rPr>
              <w:t>35-39</w:t>
            </w:r>
          </w:p>
        </w:tc>
        <w:tc>
          <w:tcPr>
            <w:tcW w:w="1283" w:type="dxa"/>
            <w:tcBorders>
              <w:top w:val="nil"/>
              <w:left w:val="nil"/>
              <w:bottom w:val="single" w:sz="8" w:space="0" w:color="FFFFFF"/>
              <w:right w:val="single" w:sz="8"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sz w:val="18"/>
                <w:szCs w:val="18"/>
              </w:rPr>
            </w:pPr>
            <w:r w:rsidRPr="00476F57">
              <w:rPr>
                <w:rFonts w:ascii="Arial" w:eastAsia="Times New Roman" w:hAnsi="Arial" w:cs="Arial"/>
                <w:sz w:val="18"/>
                <w:szCs w:val="18"/>
              </w:rPr>
              <w:t>474</w:t>
            </w:r>
          </w:p>
        </w:tc>
        <w:tc>
          <w:tcPr>
            <w:tcW w:w="900" w:type="dxa"/>
            <w:tcBorders>
              <w:top w:val="nil"/>
              <w:left w:val="nil"/>
              <w:bottom w:val="single" w:sz="8" w:space="0" w:color="FFFFFF"/>
              <w:right w:val="single" w:sz="8"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sz w:val="18"/>
                <w:szCs w:val="18"/>
              </w:rPr>
            </w:pPr>
            <w:r w:rsidRPr="00476F57">
              <w:rPr>
                <w:rFonts w:ascii="Arial" w:eastAsia="Times New Roman" w:hAnsi="Arial" w:cs="Arial"/>
                <w:sz w:val="18"/>
                <w:szCs w:val="18"/>
              </w:rPr>
              <w:t>134</w:t>
            </w:r>
          </w:p>
        </w:tc>
        <w:tc>
          <w:tcPr>
            <w:tcW w:w="1452" w:type="dxa"/>
            <w:tcBorders>
              <w:top w:val="nil"/>
              <w:left w:val="nil"/>
              <w:bottom w:val="single" w:sz="8" w:space="0" w:color="FFFFFF"/>
              <w:right w:val="single" w:sz="8"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$12,757,763</w:t>
            </w:r>
          </w:p>
        </w:tc>
        <w:tc>
          <w:tcPr>
            <w:tcW w:w="1318" w:type="dxa"/>
            <w:tcBorders>
              <w:top w:val="nil"/>
              <w:left w:val="nil"/>
              <w:bottom w:val="single" w:sz="8" w:space="0" w:color="FFFFFF"/>
              <w:right w:val="single" w:sz="8"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$3,914,117</w:t>
            </w:r>
          </w:p>
        </w:tc>
        <w:tc>
          <w:tcPr>
            <w:tcW w:w="1450" w:type="dxa"/>
            <w:tcBorders>
              <w:top w:val="nil"/>
              <w:left w:val="nil"/>
              <w:bottom w:val="single" w:sz="8" w:space="0" w:color="FFFFFF"/>
              <w:right w:val="single" w:sz="8" w:space="0" w:color="FFFFFF"/>
            </w:tcBorders>
            <w:shd w:val="clear" w:color="000000" w:fill="D9D9D9"/>
            <w:noWrap/>
            <w:vAlign w:val="bottom"/>
            <w:hideMark/>
          </w:tcPr>
          <w:p w:rsidR="00F83FA0" w:rsidRPr="00476F57" w:rsidRDefault="00F83FA0" w:rsidP="003B0845">
            <w:pPr>
              <w:spacing w:after="0" w:line="240" w:lineRule="auto"/>
              <w:jc w:val="both"/>
              <w:rPr>
                <w:rFonts w:ascii="Arial" w:eastAsia="Times New Roman" w:hAnsi="Arial" w:cs="Arial"/>
                <w:b/>
                <w:bCs/>
                <w:color w:val="000000"/>
                <w:sz w:val="18"/>
                <w:szCs w:val="18"/>
              </w:rPr>
            </w:pPr>
            <w:r w:rsidRPr="00476F57">
              <w:rPr>
                <w:rFonts w:ascii="Arial" w:eastAsia="Times New Roman" w:hAnsi="Arial" w:cs="Arial"/>
                <w:b/>
                <w:bCs/>
                <w:color w:val="000000"/>
                <w:sz w:val="18"/>
                <w:szCs w:val="18"/>
              </w:rPr>
              <w:t>-$8,843,645</w:t>
            </w:r>
          </w:p>
        </w:tc>
      </w:tr>
      <w:tr w:rsidR="00F83FA0" w:rsidRPr="00476F57" w:rsidTr="00913651">
        <w:trPr>
          <w:trHeight w:val="151"/>
          <w:jc w:val="center"/>
        </w:trPr>
        <w:tc>
          <w:tcPr>
            <w:tcW w:w="957" w:type="dxa"/>
            <w:tcBorders>
              <w:top w:val="nil"/>
              <w:left w:val="single" w:sz="8" w:space="0" w:color="FFFFFF"/>
              <w:bottom w:val="single" w:sz="8" w:space="0" w:color="FFFFFF"/>
              <w:right w:val="single" w:sz="8"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b/>
                <w:bCs/>
                <w:sz w:val="18"/>
                <w:szCs w:val="18"/>
              </w:rPr>
            </w:pPr>
            <w:r w:rsidRPr="00476F57">
              <w:rPr>
                <w:rFonts w:ascii="Arial" w:eastAsia="Times New Roman" w:hAnsi="Arial" w:cs="Arial"/>
                <w:b/>
                <w:bCs/>
                <w:sz w:val="18"/>
                <w:szCs w:val="18"/>
              </w:rPr>
              <w:t>40-44</w:t>
            </w:r>
          </w:p>
        </w:tc>
        <w:tc>
          <w:tcPr>
            <w:tcW w:w="1283" w:type="dxa"/>
            <w:tcBorders>
              <w:top w:val="nil"/>
              <w:left w:val="nil"/>
              <w:bottom w:val="single" w:sz="8" w:space="0" w:color="FFFFFF"/>
              <w:right w:val="single" w:sz="8"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sz w:val="18"/>
                <w:szCs w:val="18"/>
              </w:rPr>
            </w:pPr>
            <w:r w:rsidRPr="00476F57">
              <w:rPr>
                <w:rFonts w:ascii="Arial" w:eastAsia="Times New Roman" w:hAnsi="Arial" w:cs="Arial"/>
                <w:sz w:val="18"/>
                <w:szCs w:val="18"/>
              </w:rPr>
              <w:t>999</w:t>
            </w:r>
          </w:p>
        </w:tc>
        <w:tc>
          <w:tcPr>
            <w:tcW w:w="900" w:type="dxa"/>
            <w:tcBorders>
              <w:top w:val="nil"/>
              <w:left w:val="nil"/>
              <w:bottom w:val="single" w:sz="8" w:space="0" w:color="FFFFFF"/>
              <w:right w:val="single" w:sz="8"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sz w:val="18"/>
                <w:szCs w:val="18"/>
              </w:rPr>
            </w:pPr>
            <w:r w:rsidRPr="00476F57">
              <w:rPr>
                <w:rFonts w:ascii="Arial" w:eastAsia="Times New Roman" w:hAnsi="Arial" w:cs="Arial"/>
                <w:sz w:val="18"/>
                <w:szCs w:val="18"/>
              </w:rPr>
              <w:t>307</w:t>
            </w:r>
          </w:p>
        </w:tc>
        <w:tc>
          <w:tcPr>
            <w:tcW w:w="1452" w:type="dxa"/>
            <w:tcBorders>
              <w:top w:val="nil"/>
              <w:left w:val="nil"/>
              <w:bottom w:val="single" w:sz="8" w:space="0" w:color="FFFFFF"/>
              <w:right w:val="single" w:sz="8"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$28,150,020</w:t>
            </w:r>
          </w:p>
        </w:tc>
        <w:tc>
          <w:tcPr>
            <w:tcW w:w="1318" w:type="dxa"/>
            <w:tcBorders>
              <w:top w:val="nil"/>
              <w:left w:val="nil"/>
              <w:bottom w:val="single" w:sz="8" w:space="0" w:color="FFFFFF"/>
              <w:right w:val="single" w:sz="8"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$8,366,170</w:t>
            </w:r>
          </w:p>
        </w:tc>
        <w:tc>
          <w:tcPr>
            <w:tcW w:w="1450" w:type="dxa"/>
            <w:tcBorders>
              <w:top w:val="nil"/>
              <w:left w:val="nil"/>
              <w:bottom w:val="single" w:sz="8" w:space="0" w:color="FFFFFF"/>
              <w:right w:val="single" w:sz="8" w:space="0" w:color="FFFFFF"/>
            </w:tcBorders>
            <w:shd w:val="clear" w:color="000000" w:fill="D9D9D9"/>
            <w:noWrap/>
            <w:vAlign w:val="bottom"/>
            <w:hideMark/>
          </w:tcPr>
          <w:p w:rsidR="00F83FA0" w:rsidRPr="00476F57" w:rsidRDefault="00F83FA0" w:rsidP="003B0845">
            <w:pPr>
              <w:spacing w:after="0" w:line="240" w:lineRule="auto"/>
              <w:jc w:val="both"/>
              <w:rPr>
                <w:rFonts w:ascii="Arial" w:eastAsia="Times New Roman" w:hAnsi="Arial" w:cs="Arial"/>
                <w:b/>
                <w:bCs/>
                <w:color w:val="000000"/>
                <w:sz w:val="18"/>
                <w:szCs w:val="18"/>
              </w:rPr>
            </w:pPr>
            <w:r w:rsidRPr="00476F57">
              <w:rPr>
                <w:rFonts w:ascii="Arial" w:eastAsia="Times New Roman" w:hAnsi="Arial" w:cs="Arial"/>
                <w:b/>
                <w:bCs/>
                <w:color w:val="000000"/>
                <w:sz w:val="18"/>
                <w:szCs w:val="18"/>
              </w:rPr>
              <w:t>-$19,783,851</w:t>
            </w:r>
          </w:p>
        </w:tc>
      </w:tr>
      <w:tr w:rsidR="00F83FA0" w:rsidRPr="00476F57" w:rsidTr="00913651">
        <w:trPr>
          <w:trHeight w:val="196"/>
          <w:jc w:val="center"/>
        </w:trPr>
        <w:tc>
          <w:tcPr>
            <w:tcW w:w="957" w:type="dxa"/>
            <w:tcBorders>
              <w:top w:val="nil"/>
              <w:left w:val="single" w:sz="8" w:space="0" w:color="FFFFFF"/>
              <w:bottom w:val="single" w:sz="8" w:space="0" w:color="FFFFFF"/>
              <w:right w:val="single" w:sz="8"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b/>
                <w:bCs/>
                <w:sz w:val="18"/>
                <w:szCs w:val="18"/>
              </w:rPr>
            </w:pPr>
            <w:r w:rsidRPr="00476F57">
              <w:rPr>
                <w:rFonts w:ascii="Arial" w:eastAsia="Times New Roman" w:hAnsi="Arial" w:cs="Arial"/>
                <w:b/>
                <w:bCs/>
                <w:sz w:val="18"/>
                <w:szCs w:val="18"/>
              </w:rPr>
              <w:t>45-49</w:t>
            </w:r>
          </w:p>
        </w:tc>
        <w:tc>
          <w:tcPr>
            <w:tcW w:w="1283" w:type="dxa"/>
            <w:tcBorders>
              <w:top w:val="nil"/>
              <w:left w:val="nil"/>
              <w:bottom w:val="single" w:sz="8" w:space="0" w:color="FFFFFF"/>
              <w:right w:val="single" w:sz="8"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sz w:val="18"/>
                <w:szCs w:val="18"/>
              </w:rPr>
            </w:pPr>
            <w:r w:rsidRPr="00476F57">
              <w:rPr>
                <w:rFonts w:ascii="Arial" w:eastAsia="Times New Roman" w:hAnsi="Arial" w:cs="Arial"/>
                <w:sz w:val="18"/>
                <w:szCs w:val="18"/>
              </w:rPr>
              <w:t>2229</w:t>
            </w:r>
          </w:p>
        </w:tc>
        <w:tc>
          <w:tcPr>
            <w:tcW w:w="900" w:type="dxa"/>
            <w:tcBorders>
              <w:top w:val="nil"/>
              <w:left w:val="nil"/>
              <w:bottom w:val="single" w:sz="8" w:space="0" w:color="FFFFFF"/>
              <w:right w:val="single" w:sz="8"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sz w:val="18"/>
                <w:szCs w:val="18"/>
              </w:rPr>
            </w:pPr>
            <w:r w:rsidRPr="00476F57">
              <w:rPr>
                <w:rFonts w:ascii="Arial" w:eastAsia="Times New Roman" w:hAnsi="Arial" w:cs="Arial"/>
                <w:sz w:val="18"/>
                <w:szCs w:val="18"/>
              </w:rPr>
              <w:t>662</w:t>
            </w:r>
          </w:p>
        </w:tc>
        <w:tc>
          <w:tcPr>
            <w:tcW w:w="1452" w:type="dxa"/>
            <w:tcBorders>
              <w:top w:val="nil"/>
              <w:left w:val="nil"/>
              <w:bottom w:val="single" w:sz="8" w:space="0" w:color="FFFFFF"/>
              <w:right w:val="single" w:sz="8"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$48,068,060</w:t>
            </w:r>
          </w:p>
        </w:tc>
        <w:tc>
          <w:tcPr>
            <w:tcW w:w="1318" w:type="dxa"/>
            <w:tcBorders>
              <w:top w:val="nil"/>
              <w:left w:val="nil"/>
              <w:bottom w:val="single" w:sz="8" w:space="0" w:color="FFFFFF"/>
              <w:right w:val="single" w:sz="8"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$14,022,430</w:t>
            </w:r>
          </w:p>
        </w:tc>
        <w:tc>
          <w:tcPr>
            <w:tcW w:w="1450" w:type="dxa"/>
            <w:tcBorders>
              <w:top w:val="nil"/>
              <w:left w:val="nil"/>
              <w:bottom w:val="single" w:sz="8" w:space="0" w:color="FFFFFF"/>
              <w:right w:val="single" w:sz="8" w:space="0" w:color="FFFFFF"/>
            </w:tcBorders>
            <w:shd w:val="clear" w:color="000000" w:fill="D9D9D9"/>
            <w:noWrap/>
            <w:vAlign w:val="bottom"/>
            <w:hideMark/>
          </w:tcPr>
          <w:p w:rsidR="00F83FA0" w:rsidRPr="00476F57" w:rsidRDefault="00F83FA0" w:rsidP="003B0845">
            <w:pPr>
              <w:spacing w:after="0" w:line="240" w:lineRule="auto"/>
              <w:jc w:val="both"/>
              <w:rPr>
                <w:rFonts w:ascii="Arial" w:eastAsia="Times New Roman" w:hAnsi="Arial" w:cs="Arial"/>
                <w:b/>
                <w:bCs/>
                <w:color w:val="000000"/>
                <w:sz w:val="18"/>
                <w:szCs w:val="18"/>
              </w:rPr>
            </w:pPr>
            <w:r w:rsidRPr="00476F57">
              <w:rPr>
                <w:rFonts w:ascii="Arial" w:eastAsia="Times New Roman" w:hAnsi="Arial" w:cs="Arial"/>
                <w:b/>
                <w:bCs/>
                <w:color w:val="000000"/>
                <w:sz w:val="18"/>
                <w:szCs w:val="18"/>
              </w:rPr>
              <w:t>-$34,045,630</w:t>
            </w:r>
          </w:p>
        </w:tc>
      </w:tr>
      <w:tr w:rsidR="00F83FA0" w:rsidRPr="00476F57" w:rsidTr="00913651">
        <w:trPr>
          <w:trHeight w:val="151"/>
          <w:jc w:val="center"/>
        </w:trPr>
        <w:tc>
          <w:tcPr>
            <w:tcW w:w="957" w:type="dxa"/>
            <w:tcBorders>
              <w:top w:val="nil"/>
              <w:left w:val="single" w:sz="8" w:space="0" w:color="FFFFFF"/>
              <w:bottom w:val="single" w:sz="8" w:space="0" w:color="FFFFFF"/>
              <w:right w:val="single" w:sz="8"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b/>
                <w:bCs/>
                <w:sz w:val="18"/>
                <w:szCs w:val="18"/>
              </w:rPr>
            </w:pPr>
            <w:r w:rsidRPr="00476F57">
              <w:rPr>
                <w:rFonts w:ascii="Arial" w:eastAsia="Times New Roman" w:hAnsi="Arial" w:cs="Arial"/>
                <w:b/>
                <w:bCs/>
                <w:sz w:val="18"/>
                <w:szCs w:val="18"/>
              </w:rPr>
              <w:t>50-54</w:t>
            </w:r>
          </w:p>
        </w:tc>
        <w:tc>
          <w:tcPr>
            <w:tcW w:w="1283" w:type="dxa"/>
            <w:tcBorders>
              <w:top w:val="nil"/>
              <w:left w:val="nil"/>
              <w:bottom w:val="single" w:sz="8" w:space="0" w:color="FFFFFF"/>
              <w:right w:val="single" w:sz="8"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sz w:val="18"/>
                <w:szCs w:val="18"/>
              </w:rPr>
            </w:pPr>
            <w:r w:rsidRPr="00476F57">
              <w:rPr>
                <w:rFonts w:ascii="Arial" w:eastAsia="Times New Roman" w:hAnsi="Arial" w:cs="Arial"/>
                <w:sz w:val="18"/>
                <w:szCs w:val="18"/>
              </w:rPr>
              <w:t>3890</w:t>
            </w:r>
          </w:p>
        </w:tc>
        <w:tc>
          <w:tcPr>
            <w:tcW w:w="900" w:type="dxa"/>
            <w:tcBorders>
              <w:top w:val="nil"/>
              <w:left w:val="nil"/>
              <w:bottom w:val="single" w:sz="8" w:space="0" w:color="FFFFFF"/>
              <w:right w:val="single" w:sz="8"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sz w:val="18"/>
                <w:szCs w:val="18"/>
              </w:rPr>
            </w:pPr>
            <w:r w:rsidRPr="00476F57">
              <w:rPr>
                <w:rFonts w:ascii="Arial" w:eastAsia="Times New Roman" w:hAnsi="Arial" w:cs="Arial"/>
                <w:sz w:val="18"/>
                <w:szCs w:val="18"/>
              </w:rPr>
              <w:t>1135</w:t>
            </w:r>
          </w:p>
        </w:tc>
        <w:tc>
          <w:tcPr>
            <w:tcW w:w="1452" w:type="dxa"/>
            <w:tcBorders>
              <w:top w:val="nil"/>
              <w:left w:val="nil"/>
              <w:bottom w:val="single" w:sz="8" w:space="0" w:color="FFFFFF"/>
              <w:right w:val="single" w:sz="8"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$78,786,741</w:t>
            </w:r>
          </w:p>
        </w:tc>
        <w:tc>
          <w:tcPr>
            <w:tcW w:w="1318" w:type="dxa"/>
            <w:tcBorders>
              <w:top w:val="nil"/>
              <w:left w:val="nil"/>
              <w:bottom w:val="single" w:sz="8" w:space="0" w:color="FFFFFF"/>
              <w:right w:val="single" w:sz="8"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$22,978,813</w:t>
            </w:r>
          </w:p>
        </w:tc>
        <w:tc>
          <w:tcPr>
            <w:tcW w:w="1450" w:type="dxa"/>
            <w:tcBorders>
              <w:top w:val="nil"/>
              <w:left w:val="nil"/>
              <w:bottom w:val="single" w:sz="8" w:space="0" w:color="FFFFFF"/>
              <w:right w:val="single" w:sz="8" w:space="0" w:color="FFFFFF"/>
            </w:tcBorders>
            <w:shd w:val="clear" w:color="000000" w:fill="D9D9D9"/>
            <w:noWrap/>
            <w:vAlign w:val="bottom"/>
            <w:hideMark/>
          </w:tcPr>
          <w:p w:rsidR="00F83FA0" w:rsidRPr="00476F57" w:rsidRDefault="00F83FA0" w:rsidP="003B0845">
            <w:pPr>
              <w:spacing w:after="0" w:line="240" w:lineRule="auto"/>
              <w:jc w:val="both"/>
              <w:rPr>
                <w:rFonts w:ascii="Arial" w:eastAsia="Times New Roman" w:hAnsi="Arial" w:cs="Arial"/>
                <w:b/>
                <w:bCs/>
                <w:color w:val="000000"/>
                <w:sz w:val="18"/>
                <w:szCs w:val="18"/>
              </w:rPr>
            </w:pPr>
            <w:r w:rsidRPr="00476F57">
              <w:rPr>
                <w:rFonts w:ascii="Arial" w:eastAsia="Times New Roman" w:hAnsi="Arial" w:cs="Arial"/>
                <w:b/>
                <w:bCs/>
                <w:color w:val="000000"/>
                <w:sz w:val="18"/>
                <w:szCs w:val="18"/>
              </w:rPr>
              <w:t>-$55,807,928</w:t>
            </w:r>
          </w:p>
        </w:tc>
      </w:tr>
      <w:tr w:rsidR="00F83FA0" w:rsidRPr="00476F57" w:rsidTr="00913651">
        <w:trPr>
          <w:trHeight w:val="196"/>
          <w:jc w:val="center"/>
        </w:trPr>
        <w:tc>
          <w:tcPr>
            <w:tcW w:w="957" w:type="dxa"/>
            <w:tcBorders>
              <w:top w:val="nil"/>
              <w:left w:val="single" w:sz="8" w:space="0" w:color="FFFFFF"/>
              <w:bottom w:val="single" w:sz="8" w:space="0" w:color="FFFFFF"/>
              <w:right w:val="single" w:sz="8"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b/>
                <w:bCs/>
                <w:sz w:val="18"/>
                <w:szCs w:val="18"/>
              </w:rPr>
            </w:pPr>
            <w:r w:rsidRPr="00476F57">
              <w:rPr>
                <w:rFonts w:ascii="Arial" w:eastAsia="Times New Roman" w:hAnsi="Arial" w:cs="Arial"/>
                <w:b/>
                <w:bCs/>
                <w:sz w:val="18"/>
                <w:szCs w:val="18"/>
              </w:rPr>
              <w:t>55-59</w:t>
            </w:r>
          </w:p>
        </w:tc>
        <w:tc>
          <w:tcPr>
            <w:tcW w:w="1283" w:type="dxa"/>
            <w:tcBorders>
              <w:top w:val="nil"/>
              <w:left w:val="nil"/>
              <w:bottom w:val="single" w:sz="8" w:space="0" w:color="FFFFFF"/>
              <w:right w:val="single" w:sz="8"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sz w:val="18"/>
                <w:szCs w:val="18"/>
              </w:rPr>
            </w:pPr>
            <w:r w:rsidRPr="00476F57">
              <w:rPr>
                <w:rFonts w:ascii="Arial" w:eastAsia="Times New Roman" w:hAnsi="Arial" w:cs="Arial"/>
                <w:sz w:val="18"/>
                <w:szCs w:val="18"/>
              </w:rPr>
              <w:t>6640</w:t>
            </w:r>
          </w:p>
        </w:tc>
        <w:tc>
          <w:tcPr>
            <w:tcW w:w="900" w:type="dxa"/>
            <w:tcBorders>
              <w:top w:val="nil"/>
              <w:left w:val="nil"/>
              <w:bottom w:val="single" w:sz="8" w:space="0" w:color="FFFFFF"/>
              <w:right w:val="single" w:sz="8"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sz w:val="18"/>
                <w:szCs w:val="18"/>
              </w:rPr>
            </w:pPr>
            <w:r w:rsidRPr="00476F57">
              <w:rPr>
                <w:rFonts w:ascii="Arial" w:eastAsia="Times New Roman" w:hAnsi="Arial" w:cs="Arial"/>
                <w:sz w:val="18"/>
                <w:szCs w:val="18"/>
              </w:rPr>
              <w:t>1937</w:t>
            </w:r>
          </w:p>
        </w:tc>
        <w:tc>
          <w:tcPr>
            <w:tcW w:w="1452" w:type="dxa"/>
            <w:tcBorders>
              <w:top w:val="nil"/>
              <w:left w:val="nil"/>
              <w:bottom w:val="single" w:sz="8" w:space="0" w:color="FFFFFF"/>
              <w:right w:val="single" w:sz="8"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$127,776,028</w:t>
            </w:r>
          </w:p>
        </w:tc>
        <w:tc>
          <w:tcPr>
            <w:tcW w:w="1318" w:type="dxa"/>
            <w:tcBorders>
              <w:top w:val="nil"/>
              <w:left w:val="nil"/>
              <w:bottom w:val="single" w:sz="8" w:space="0" w:color="FFFFFF"/>
              <w:right w:val="single" w:sz="8"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$34,511,012</w:t>
            </w:r>
          </w:p>
        </w:tc>
        <w:tc>
          <w:tcPr>
            <w:tcW w:w="1450" w:type="dxa"/>
            <w:tcBorders>
              <w:top w:val="nil"/>
              <w:left w:val="nil"/>
              <w:bottom w:val="single" w:sz="8" w:space="0" w:color="FFFFFF"/>
              <w:right w:val="single" w:sz="8" w:space="0" w:color="FFFFFF"/>
            </w:tcBorders>
            <w:shd w:val="clear" w:color="000000" w:fill="D9D9D9"/>
            <w:noWrap/>
            <w:vAlign w:val="bottom"/>
            <w:hideMark/>
          </w:tcPr>
          <w:p w:rsidR="00F83FA0" w:rsidRPr="00476F57" w:rsidRDefault="00F83FA0" w:rsidP="003B0845">
            <w:pPr>
              <w:spacing w:after="0" w:line="240" w:lineRule="auto"/>
              <w:jc w:val="both"/>
              <w:rPr>
                <w:rFonts w:ascii="Arial" w:eastAsia="Times New Roman" w:hAnsi="Arial" w:cs="Arial"/>
                <w:b/>
                <w:bCs/>
                <w:color w:val="000000"/>
                <w:sz w:val="18"/>
                <w:szCs w:val="18"/>
              </w:rPr>
            </w:pPr>
            <w:r w:rsidRPr="00476F57">
              <w:rPr>
                <w:rFonts w:ascii="Arial" w:eastAsia="Times New Roman" w:hAnsi="Arial" w:cs="Arial"/>
                <w:b/>
                <w:bCs/>
                <w:color w:val="000000"/>
                <w:sz w:val="18"/>
                <w:szCs w:val="18"/>
              </w:rPr>
              <w:t>-$93,265,016</w:t>
            </w:r>
          </w:p>
        </w:tc>
      </w:tr>
      <w:tr w:rsidR="00F83FA0" w:rsidRPr="00476F57" w:rsidTr="00913651">
        <w:trPr>
          <w:trHeight w:val="151"/>
          <w:jc w:val="center"/>
        </w:trPr>
        <w:tc>
          <w:tcPr>
            <w:tcW w:w="957" w:type="dxa"/>
            <w:tcBorders>
              <w:top w:val="nil"/>
              <w:left w:val="single" w:sz="8" w:space="0" w:color="FFFFFF"/>
              <w:bottom w:val="single" w:sz="8" w:space="0" w:color="FFFFFF"/>
              <w:right w:val="single" w:sz="8"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b/>
                <w:bCs/>
                <w:sz w:val="18"/>
                <w:szCs w:val="18"/>
              </w:rPr>
            </w:pPr>
            <w:r w:rsidRPr="00476F57">
              <w:rPr>
                <w:rFonts w:ascii="Arial" w:eastAsia="Times New Roman" w:hAnsi="Arial" w:cs="Arial"/>
                <w:b/>
                <w:bCs/>
                <w:sz w:val="18"/>
                <w:szCs w:val="18"/>
              </w:rPr>
              <w:t>60-64</w:t>
            </w:r>
          </w:p>
        </w:tc>
        <w:tc>
          <w:tcPr>
            <w:tcW w:w="1283" w:type="dxa"/>
            <w:tcBorders>
              <w:top w:val="nil"/>
              <w:left w:val="nil"/>
              <w:bottom w:val="single" w:sz="8" w:space="0" w:color="FFFFFF"/>
              <w:right w:val="single" w:sz="8"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sz w:val="18"/>
                <w:szCs w:val="18"/>
              </w:rPr>
            </w:pPr>
            <w:r w:rsidRPr="00476F57">
              <w:rPr>
                <w:rFonts w:ascii="Arial" w:eastAsia="Times New Roman" w:hAnsi="Arial" w:cs="Arial"/>
                <w:sz w:val="18"/>
                <w:szCs w:val="18"/>
              </w:rPr>
              <w:t>11556</w:t>
            </w:r>
          </w:p>
        </w:tc>
        <w:tc>
          <w:tcPr>
            <w:tcW w:w="900" w:type="dxa"/>
            <w:tcBorders>
              <w:top w:val="nil"/>
              <w:left w:val="nil"/>
              <w:bottom w:val="single" w:sz="8" w:space="0" w:color="FFFFFF"/>
              <w:right w:val="single" w:sz="8"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sz w:val="18"/>
                <w:szCs w:val="18"/>
              </w:rPr>
            </w:pPr>
            <w:r w:rsidRPr="00476F57">
              <w:rPr>
                <w:rFonts w:ascii="Arial" w:eastAsia="Times New Roman" w:hAnsi="Arial" w:cs="Arial"/>
                <w:sz w:val="18"/>
                <w:szCs w:val="18"/>
              </w:rPr>
              <w:t>3121</w:t>
            </w:r>
          </w:p>
        </w:tc>
        <w:tc>
          <w:tcPr>
            <w:tcW w:w="1452" w:type="dxa"/>
            <w:tcBorders>
              <w:top w:val="nil"/>
              <w:left w:val="nil"/>
              <w:bottom w:val="single" w:sz="8" w:space="0" w:color="FFFFFF"/>
              <w:right w:val="single" w:sz="8"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$171,974,611</w:t>
            </w:r>
          </w:p>
        </w:tc>
        <w:tc>
          <w:tcPr>
            <w:tcW w:w="1318" w:type="dxa"/>
            <w:tcBorders>
              <w:top w:val="nil"/>
              <w:left w:val="nil"/>
              <w:bottom w:val="single" w:sz="8" w:space="0" w:color="FFFFFF"/>
              <w:right w:val="single" w:sz="8"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$45,356,749</w:t>
            </w:r>
          </w:p>
        </w:tc>
        <w:tc>
          <w:tcPr>
            <w:tcW w:w="1450" w:type="dxa"/>
            <w:tcBorders>
              <w:top w:val="nil"/>
              <w:left w:val="nil"/>
              <w:bottom w:val="single" w:sz="8" w:space="0" w:color="FFFFFF"/>
              <w:right w:val="single" w:sz="8" w:space="0" w:color="FFFFFF"/>
            </w:tcBorders>
            <w:shd w:val="clear" w:color="000000" w:fill="D9D9D9"/>
            <w:noWrap/>
            <w:vAlign w:val="bottom"/>
            <w:hideMark/>
          </w:tcPr>
          <w:p w:rsidR="00F83FA0" w:rsidRPr="00476F57" w:rsidRDefault="00F83FA0" w:rsidP="003B0845">
            <w:pPr>
              <w:spacing w:after="0" w:line="240" w:lineRule="auto"/>
              <w:jc w:val="both"/>
              <w:rPr>
                <w:rFonts w:ascii="Arial" w:eastAsia="Times New Roman" w:hAnsi="Arial" w:cs="Arial"/>
                <w:b/>
                <w:bCs/>
                <w:color w:val="000000"/>
                <w:sz w:val="18"/>
                <w:szCs w:val="18"/>
              </w:rPr>
            </w:pPr>
            <w:r w:rsidRPr="00476F57">
              <w:rPr>
                <w:rFonts w:ascii="Arial" w:eastAsia="Times New Roman" w:hAnsi="Arial" w:cs="Arial"/>
                <w:b/>
                <w:bCs/>
                <w:color w:val="000000"/>
                <w:sz w:val="18"/>
                <w:szCs w:val="18"/>
              </w:rPr>
              <w:t>-$126,617,863</w:t>
            </w:r>
          </w:p>
        </w:tc>
      </w:tr>
      <w:tr w:rsidR="00F83FA0" w:rsidRPr="00476F57" w:rsidTr="00913651">
        <w:trPr>
          <w:trHeight w:val="88"/>
          <w:jc w:val="center"/>
        </w:trPr>
        <w:tc>
          <w:tcPr>
            <w:tcW w:w="957" w:type="dxa"/>
            <w:tcBorders>
              <w:top w:val="nil"/>
              <w:left w:val="single" w:sz="8" w:space="0" w:color="FFFFFF"/>
              <w:bottom w:val="single" w:sz="8" w:space="0" w:color="FFFFFF"/>
              <w:right w:val="single" w:sz="8"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b/>
                <w:bCs/>
                <w:sz w:val="18"/>
                <w:szCs w:val="18"/>
              </w:rPr>
            </w:pPr>
            <w:r w:rsidRPr="00476F57">
              <w:rPr>
                <w:rFonts w:ascii="Arial" w:eastAsia="Times New Roman" w:hAnsi="Arial" w:cs="Arial"/>
                <w:b/>
                <w:bCs/>
                <w:sz w:val="18"/>
                <w:szCs w:val="18"/>
              </w:rPr>
              <w:t>Total</w:t>
            </w:r>
          </w:p>
        </w:tc>
        <w:tc>
          <w:tcPr>
            <w:tcW w:w="1283" w:type="dxa"/>
            <w:tcBorders>
              <w:top w:val="nil"/>
              <w:left w:val="nil"/>
              <w:bottom w:val="single" w:sz="8" w:space="0" w:color="FFFFFF"/>
              <w:right w:val="single" w:sz="8"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sz w:val="18"/>
                <w:szCs w:val="18"/>
              </w:rPr>
            </w:pPr>
            <w:r w:rsidRPr="00476F57">
              <w:rPr>
                <w:rFonts w:ascii="Arial" w:eastAsia="Times New Roman" w:hAnsi="Arial" w:cs="Arial"/>
                <w:sz w:val="18"/>
                <w:szCs w:val="18"/>
              </w:rPr>
              <w:t>17436</w:t>
            </w:r>
          </w:p>
        </w:tc>
        <w:tc>
          <w:tcPr>
            <w:tcW w:w="900" w:type="dxa"/>
            <w:tcBorders>
              <w:top w:val="nil"/>
              <w:left w:val="nil"/>
              <w:bottom w:val="single" w:sz="8" w:space="0" w:color="FFFFFF"/>
              <w:right w:val="single" w:sz="8"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sz w:val="18"/>
                <w:szCs w:val="18"/>
              </w:rPr>
            </w:pPr>
            <w:r w:rsidRPr="00476F57">
              <w:rPr>
                <w:rFonts w:ascii="Arial" w:eastAsia="Times New Roman" w:hAnsi="Arial" w:cs="Arial"/>
                <w:sz w:val="18"/>
                <w:szCs w:val="18"/>
              </w:rPr>
              <w:t>4599</w:t>
            </w:r>
          </w:p>
        </w:tc>
        <w:tc>
          <w:tcPr>
            <w:tcW w:w="1452" w:type="dxa"/>
            <w:tcBorders>
              <w:top w:val="nil"/>
              <w:left w:val="nil"/>
              <w:bottom w:val="single" w:sz="8" w:space="0" w:color="FFFFFF"/>
              <w:right w:val="single" w:sz="8"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$481,609,579</w:t>
            </w:r>
          </w:p>
        </w:tc>
        <w:tc>
          <w:tcPr>
            <w:tcW w:w="1318" w:type="dxa"/>
            <w:tcBorders>
              <w:top w:val="nil"/>
              <w:left w:val="nil"/>
              <w:bottom w:val="single" w:sz="8" w:space="0" w:color="FFFFFF"/>
              <w:right w:val="single" w:sz="8"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$133,440,980</w:t>
            </w:r>
          </w:p>
        </w:tc>
        <w:tc>
          <w:tcPr>
            <w:tcW w:w="1450" w:type="dxa"/>
            <w:tcBorders>
              <w:top w:val="nil"/>
              <w:left w:val="nil"/>
              <w:bottom w:val="single" w:sz="8" w:space="0" w:color="FFFFFF"/>
              <w:right w:val="single" w:sz="8" w:space="0" w:color="FFFFFF"/>
            </w:tcBorders>
            <w:shd w:val="clear" w:color="000000" w:fill="D9D9D9"/>
            <w:noWrap/>
            <w:vAlign w:val="bottom"/>
            <w:hideMark/>
          </w:tcPr>
          <w:p w:rsidR="00F83FA0" w:rsidRPr="00476F57" w:rsidRDefault="00F83FA0" w:rsidP="003B0845">
            <w:pPr>
              <w:spacing w:after="0" w:line="240" w:lineRule="auto"/>
              <w:jc w:val="both"/>
              <w:rPr>
                <w:rFonts w:ascii="Arial" w:eastAsia="Times New Roman" w:hAnsi="Arial" w:cs="Arial"/>
                <w:b/>
                <w:bCs/>
                <w:color w:val="000000"/>
                <w:sz w:val="18"/>
                <w:szCs w:val="18"/>
              </w:rPr>
            </w:pPr>
            <w:r w:rsidRPr="00476F57">
              <w:rPr>
                <w:rFonts w:ascii="Arial" w:eastAsia="Times New Roman" w:hAnsi="Arial" w:cs="Arial"/>
                <w:b/>
                <w:bCs/>
                <w:color w:val="000000"/>
                <w:sz w:val="18"/>
                <w:szCs w:val="18"/>
              </w:rPr>
              <w:t>-$348,168,599</w:t>
            </w:r>
          </w:p>
        </w:tc>
      </w:tr>
      <w:tr w:rsidR="00F83FA0" w:rsidRPr="006A4ED8" w:rsidTr="00913651">
        <w:trPr>
          <w:trHeight w:val="300"/>
          <w:jc w:val="center"/>
        </w:trPr>
        <w:tc>
          <w:tcPr>
            <w:tcW w:w="7360" w:type="dxa"/>
            <w:gridSpan w:val="6"/>
            <w:tcBorders>
              <w:top w:val="single" w:sz="8" w:space="0" w:color="FFFFFF"/>
              <w:left w:val="single" w:sz="8" w:space="0" w:color="FFFFFF"/>
              <w:bottom w:val="nil"/>
              <w:right w:val="nil"/>
            </w:tcBorders>
            <w:shd w:val="clear" w:color="auto" w:fill="auto"/>
            <w:noWrap/>
            <w:vAlign w:val="bottom"/>
            <w:hideMark/>
          </w:tcPr>
          <w:p w:rsidR="00F83FA0" w:rsidRPr="00476F57" w:rsidRDefault="00F83FA0" w:rsidP="00913651">
            <w:pPr>
              <w:spacing w:after="0" w:line="240" w:lineRule="auto"/>
              <w:jc w:val="both"/>
              <w:rPr>
                <w:rFonts w:ascii="Arial" w:eastAsia="Times New Roman" w:hAnsi="Arial" w:cs="Arial"/>
                <w:sz w:val="18"/>
                <w:szCs w:val="18"/>
                <w:lang w:val="es-ES"/>
              </w:rPr>
            </w:pPr>
            <w:r w:rsidRPr="00476F57">
              <w:rPr>
                <w:rFonts w:ascii="Arial" w:eastAsia="Times New Roman" w:hAnsi="Arial" w:cs="Arial"/>
                <w:sz w:val="18"/>
                <w:szCs w:val="18"/>
                <w:lang w:val="es-ES"/>
              </w:rPr>
              <w:t>PPMP: Pérdida de productividad por muerte prematura</w:t>
            </w:r>
          </w:p>
        </w:tc>
      </w:tr>
    </w:tbl>
    <w:p w:rsidR="004B77D1" w:rsidRPr="00476F57" w:rsidRDefault="004B77D1" w:rsidP="00913651">
      <w:pPr>
        <w:spacing w:after="0" w:line="240" w:lineRule="auto"/>
        <w:jc w:val="both"/>
        <w:rPr>
          <w:rFonts w:ascii="Arial" w:hAnsi="Arial" w:cs="Arial"/>
          <w:b/>
          <w:lang w:val="es-ES"/>
        </w:rPr>
      </w:pPr>
    </w:p>
    <w:p w:rsidR="00F83FA0" w:rsidRPr="00476F57" w:rsidRDefault="00F83FA0" w:rsidP="003B0845">
      <w:pPr>
        <w:jc w:val="both"/>
        <w:rPr>
          <w:rFonts w:ascii="Arial" w:hAnsi="Arial" w:cs="Arial"/>
          <w:b/>
          <w:lang w:val="es-ES"/>
        </w:rPr>
      </w:pPr>
      <w:r w:rsidRPr="00476F57">
        <w:rPr>
          <w:rFonts w:ascii="Arial" w:hAnsi="Arial" w:cs="Arial"/>
          <w:b/>
          <w:lang w:val="es-ES"/>
        </w:rPr>
        <w:t>Retorno anual de la Inversión</w:t>
      </w:r>
    </w:p>
    <w:p w:rsidR="00F83FA0" w:rsidRPr="00476F57" w:rsidRDefault="00F83FA0" w:rsidP="003B0845">
      <w:pPr>
        <w:jc w:val="both"/>
        <w:rPr>
          <w:rFonts w:ascii="Arial" w:hAnsi="Arial" w:cs="Arial"/>
          <w:lang w:val="es-ES"/>
        </w:rPr>
      </w:pPr>
      <w:r w:rsidRPr="00476F57">
        <w:rPr>
          <w:rFonts w:ascii="Arial" w:hAnsi="Arial" w:cs="Arial"/>
          <w:lang w:val="es-ES"/>
        </w:rPr>
        <w:t>El costo total del programa para el año 2013 fue de $ $140.400.000</w:t>
      </w:r>
      <w:r w:rsidRPr="00476F57">
        <w:rPr>
          <w:rStyle w:val="FootnoteReference"/>
          <w:rFonts w:ascii="Arial" w:hAnsi="Arial" w:cs="Arial"/>
          <w:lang w:val="es-ES"/>
        </w:rPr>
        <w:footnoteReference w:id="4"/>
      </w:r>
      <w:r w:rsidRPr="00476F57">
        <w:rPr>
          <w:rFonts w:ascii="Arial" w:hAnsi="Arial" w:cs="Arial"/>
          <w:lang w:val="es-ES"/>
        </w:rPr>
        <w:t>, esto representa un costo de $97 por empadronado. Los costos por eventos evitados fuero de $ $</w:t>
      </w:r>
      <w:r w:rsidR="001B3B45" w:rsidRPr="00476F57">
        <w:rPr>
          <w:rFonts w:ascii="Arial" w:hAnsi="Arial" w:cs="Arial"/>
          <w:lang w:val="es-ES"/>
        </w:rPr>
        <w:t>1</w:t>
      </w:r>
      <w:r w:rsidRPr="00476F57">
        <w:rPr>
          <w:rFonts w:ascii="Arial" w:hAnsi="Arial" w:cs="Arial"/>
          <w:lang w:val="es-ES"/>
        </w:rPr>
        <w:t>.</w:t>
      </w:r>
      <w:r w:rsidR="001B3B45" w:rsidRPr="00476F57">
        <w:rPr>
          <w:rFonts w:ascii="Arial" w:hAnsi="Arial" w:cs="Arial"/>
          <w:lang w:val="es-ES"/>
        </w:rPr>
        <w:t xml:space="preserve">820.689 </w:t>
      </w:r>
      <w:r w:rsidRPr="00476F57">
        <w:rPr>
          <w:rFonts w:ascii="Arial" w:hAnsi="Arial" w:cs="Arial"/>
          <w:lang w:val="es-ES"/>
        </w:rPr>
        <w:t>y el ahorro potencial por vidas salvadas, i.e. por menores muertes prematuras, ascendió a $348.168.599. Es decir que los costos ahorrados por el programa durante el año 2013 fueron de $350.451.237. En base a esta información se estim</w:t>
      </w:r>
      <w:r w:rsidR="00E54E23" w:rsidRPr="00476F57">
        <w:rPr>
          <w:rFonts w:ascii="Arial" w:hAnsi="Arial" w:cs="Arial"/>
          <w:lang w:val="es-ES"/>
        </w:rPr>
        <w:t>ó</w:t>
      </w:r>
      <w:r w:rsidRPr="00476F57">
        <w:rPr>
          <w:rFonts w:ascii="Arial" w:hAnsi="Arial" w:cs="Arial"/>
          <w:lang w:val="es-ES"/>
        </w:rPr>
        <w:t xml:space="preserve"> </w:t>
      </w:r>
      <w:r w:rsidR="00E54E23" w:rsidRPr="00476F57">
        <w:rPr>
          <w:rFonts w:ascii="Arial" w:hAnsi="Arial" w:cs="Arial"/>
          <w:lang w:val="es-ES"/>
        </w:rPr>
        <w:t>una</w:t>
      </w:r>
      <w:r w:rsidR="00672E05">
        <w:rPr>
          <w:rFonts w:ascii="Arial" w:hAnsi="Arial" w:cs="Arial"/>
          <w:lang w:val="es-ES"/>
        </w:rPr>
        <w:t xml:space="preserve"> razón</w:t>
      </w:r>
      <w:r w:rsidRPr="00476F57">
        <w:rPr>
          <w:rFonts w:ascii="Arial" w:hAnsi="Arial" w:cs="Arial"/>
          <w:lang w:val="es-ES"/>
        </w:rPr>
        <w:t xml:space="preserve"> de Beneficio</w:t>
      </w:r>
      <w:r w:rsidR="00E54E23" w:rsidRPr="00476F57">
        <w:rPr>
          <w:rFonts w:ascii="Arial" w:hAnsi="Arial" w:cs="Arial"/>
          <w:lang w:val="es-ES"/>
        </w:rPr>
        <w:t>-Costo</w:t>
      </w:r>
      <w:r w:rsidRPr="00476F57">
        <w:rPr>
          <w:rFonts w:ascii="Arial" w:hAnsi="Arial" w:cs="Arial"/>
          <w:lang w:val="es-ES"/>
        </w:rPr>
        <w:t xml:space="preserve"> de 1.5 y 250% respectivamente.</w:t>
      </w:r>
      <w:r w:rsidRPr="00476F57">
        <w:rPr>
          <w:rFonts w:ascii="Arial" w:hAnsi="Arial" w:cs="Arial"/>
          <w:lang w:val="es-ES"/>
        </w:rPr>
        <w:fldChar w:fldCharType="begin"/>
      </w:r>
      <w:r w:rsidRPr="00476F57">
        <w:rPr>
          <w:rFonts w:ascii="Arial" w:hAnsi="Arial" w:cs="Arial"/>
          <w:lang w:val="es-ES"/>
        </w:rPr>
        <w:instrText xml:space="preserve"> ADDIN EN.CITE &lt;EndNote&gt;&lt;Cite&gt;&lt;Author&gt;Opperman&lt;/Author&gt;&lt;Year&gt;2016&lt;/Year&gt;&lt;RecNum&gt;41&lt;/RecNum&gt;&lt;DisplayText&gt;[13, 14]&lt;/DisplayText&gt;&lt;record&gt;&lt;rec-number&gt;41&lt;/rec-number&gt;&lt;foreign-keys&gt;&lt;key app="EN" db-id="s2fdxx5as0er0oe9vfk5px9xsxzeztas5t5e"&gt;41&lt;/key&gt;&lt;/foreign-keys&gt;&lt;ref-type name="Journal Article"&gt;17&lt;/ref-type&gt;&lt;contributors&gt;&lt;authors&gt;&lt;author&gt;Opperman, Cathleen&lt;/author&gt;&lt;author&gt;Liebig, Debra&lt;/author&gt;&lt;author&gt;Bowling, Judith&lt;/author&gt;&lt;author&gt;Johnson, Carol Susan&lt;/author&gt;&lt;author&gt;Harper, Mary&lt;/author&gt;&lt;/authors&gt;&lt;/contributors&gt;&lt;titles&gt;&lt;title&gt;Measuring Return on Investment for Professional Development Activities: Implications for Practice&lt;/title&gt;&lt;secondary-title&gt;Journal for Nurses in Professional Development&lt;/secondary-title&gt;&lt;/titles&gt;&lt;periodical&gt;&lt;full-title&gt;Journal for Nurses in Professional Development&lt;/full-title&gt;&lt;/periodical&gt;&lt;pages&gt;176-184&lt;/pages&gt;&lt;volume&gt;32&lt;/volume&gt;&lt;number&gt;4&lt;/number&gt;&lt;dates&gt;&lt;year&gt;2016&lt;/year&gt;&lt;/dates&gt;&lt;isbn&gt;2169-9798&lt;/isbn&gt;&lt;urls&gt;&lt;/urls&gt;&lt;/record&gt;&lt;/Cite&gt;&lt;Cite&gt;&lt;Author&gt;Oriol&lt;/Author&gt;&lt;Year&gt;2009&lt;/Year&gt;&lt;RecNum&gt;1&lt;/RecNum&gt;&lt;record&gt;&lt;rec-number&gt;1&lt;/rec-number&gt;&lt;foreign-keys&gt;&lt;key app="EN" db-id="s2fdxx5as0er0oe9vfk5px9xsxzeztas5t5e"&gt;1&lt;/key&gt;&lt;/foreign-keys&gt;&lt;ref-type name="Journal Article"&gt;17&lt;/ref-type&gt;&lt;contributors&gt;&lt;authors&gt;&lt;author&gt;Oriol, Nancy E.&lt;/author&gt;&lt;author&gt;Cote, Paul J.&lt;/author&gt;&lt;author&gt;Vavasis, Anthony P.&lt;/author&gt;&lt;author&gt;Bennet, Jennifer&lt;/author&gt;&lt;author&gt;DeLorenzo, Darien&lt;/author&gt;&lt;author&gt;Blanc, Philip&lt;/author&gt;&lt;author&gt;Kohane, Isaac&lt;/author&gt;&lt;/authors&gt;&lt;/contributors&gt;&lt;titles&gt;&lt;title&gt;Calculating the return on investment of mobile healthcare&lt;/title&gt;&lt;secondary-title&gt;BMC Medicine&lt;/secondary-title&gt;&lt;/titles&gt;&lt;periodical&gt;&lt;full-title&gt;BMC Medicine&lt;/full-title&gt;&lt;/periodical&gt;&lt;pages&gt;1-6&lt;/pages&gt;&lt;volume&gt;7&lt;/volume&gt;&lt;number&gt;1&lt;/number&gt;&lt;dates&gt;&lt;year&gt;2009&lt;/year&gt;&lt;/dates&gt;&lt;isbn&gt;1741-7015&lt;/isbn&gt;&lt;label&gt;Oriol2009&lt;/label&gt;&lt;work-type&gt;journal article&lt;/work-type&gt;&lt;urls&gt;&lt;related-urls&gt;&lt;url&gt;http://dx.doi.org/10.1186/1741-7015-7-27&lt;/url&gt;&lt;/related-urls&gt;&lt;/urls&gt;&lt;electronic-resource-num&gt;10.1186/1741-7015-7-27&lt;/electronic-resource-num&gt;&lt;/record&gt;&lt;/Cite&gt;&lt;/EndNote&gt;</w:instrText>
      </w:r>
      <w:r w:rsidRPr="00476F57">
        <w:rPr>
          <w:rFonts w:ascii="Arial" w:hAnsi="Arial" w:cs="Arial"/>
          <w:lang w:val="es-ES"/>
        </w:rPr>
        <w:fldChar w:fldCharType="separate"/>
      </w:r>
      <w:r w:rsidRPr="00476F57">
        <w:rPr>
          <w:rFonts w:ascii="Arial" w:hAnsi="Arial" w:cs="Arial"/>
          <w:noProof/>
        </w:rPr>
        <w:t>[</w:t>
      </w:r>
      <w:hyperlink w:anchor="_ENREF_13" w:tooltip="Opperman, 2016 #41" w:history="1">
        <w:r w:rsidRPr="00476F57">
          <w:rPr>
            <w:rFonts w:ascii="Arial" w:hAnsi="Arial" w:cs="Arial"/>
            <w:noProof/>
          </w:rPr>
          <w:t>13</w:t>
        </w:r>
      </w:hyperlink>
      <w:r w:rsidRPr="00476F57">
        <w:rPr>
          <w:rFonts w:ascii="Arial" w:hAnsi="Arial" w:cs="Arial"/>
          <w:noProof/>
        </w:rPr>
        <w:t xml:space="preserve">, </w:t>
      </w:r>
      <w:hyperlink w:anchor="_ENREF_14" w:tooltip="Oriol, 2009 #1" w:history="1">
        <w:r w:rsidRPr="00476F57">
          <w:rPr>
            <w:rFonts w:ascii="Arial" w:hAnsi="Arial" w:cs="Arial"/>
            <w:noProof/>
          </w:rPr>
          <w:t>14</w:t>
        </w:r>
      </w:hyperlink>
      <w:r w:rsidRPr="00476F57">
        <w:rPr>
          <w:rFonts w:ascii="Arial" w:hAnsi="Arial" w:cs="Arial"/>
          <w:noProof/>
        </w:rPr>
        <w:t>]</w:t>
      </w:r>
      <w:r w:rsidRPr="00476F57">
        <w:rPr>
          <w:rFonts w:ascii="Arial" w:hAnsi="Arial" w:cs="Arial"/>
          <w:lang w:val="es-ES"/>
        </w:rPr>
        <w:fldChar w:fldCharType="end"/>
      </w:r>
    </w:p>
    <w:tbl>
      <w:tblPr>
        <w:tblW w:w="6060" w:type="dxa"/>
        <w:jc w:val="center"/>
        <w:tblLook w:val="04A0" w:firstRow="1" w:lastRow="0" w:firstColumn="1" w:lastColumn="0" w:noHBand="0" w:noVBand="1"/>
      </w:tblPr>
      <w:tblGrid>
        <w:gridCol w:w="4625"/>
        <w:gridCol w:w="1435"/>
      </w:tblGrid>
      <w:tr w:rsidR="00F83FA0" w:rsidRPr="006A4ED8" w:rsidTr="00F83FA0">
        <w:trPr>
          <w:trHeight w:val="300"/>
          <w:jc w:val="center"/>
        </w:trPr>
        <w:tc>
          <w:tcPr>
            <w:tcW w:w="6060" w:type="dxa"/>
            <w:gridSpan w:val="2"/>
            <w:tcBorders>
              <w:top w:val="nil"/>
              <w:left w:val="nil"/>
              <w:bottom w:val="nil"/>
              <w:right w:val="nil"/>
            </w:tcBorders>
            <w:shd w:val="clear" w:color="auto" w:fill="auto"/>
            <w:noWrap/>
            <w:vAlign w:val="bottom"/>
            <w:hideMark/>
          </w:tcPr>
          <w:p w:rsidR="00F83FA0" w:rsidRPr="00476F57" w:rsidRDefault="00F83FA0" w:rsidP="006A4ED8">
            <w:pPr>
              <w:spacing w:after="0" w:line="240" w:lineRule="auto"/>
              <w:jc w:val="center"/>
              <w:rPr>
                <w:rFonts w:ascii="Arial" w:eastAsia="Times New Roman" w:hAnsi="Arial" w:cs="Arial"/>
                <w:b/>
                <w:bCs/>
                <w:color w:val="000000"/>
                <w:sz w:val="18"/>
                <w:szCs w:val="18"/>
                <w:lang w:val="es-ES"/>
              </w:rPr>
            </w:pPr>
            <w:r w:rsidRPr="00476F57">
              <w:rPr>
                <w:rFonts w:ascii="Arial" w:eastAsia="Times New Roman" w:hAnsi="Arial" w:cs="Arial"/>
                <w:b/>
                <w:bCs/>
                <w:color w:val="000000"/>
                <w:sz w:val="18"/>
                <w:szCs w:val="18"/>
                <w:lang w:val="es-ES"/>
              </w:rPr>
              <w:t>Tabla 7: Retorno de la inversión y costo-beneficio</w:t>
            </w:r>
          </w:p>
        </w:tc>
      </w:tr>
      <w:tr w:rsidR="00F83FA0" w:rsidRPr="00476F57" w:rsidTr="00F83FA0">
        <w:trPr>
          <w:trHeight w:val="300"/>
          <w:jc w:val="center"/>
        </w:trPr>
        <w:tc>
          <w:tcPr>
            <w:tcW w:w="4625" w:type="dxa"/>
            <w:tcBorders>
              <w:top w:val="nil"/>
              <w:left w:val="nil"/>
              <w:bottom w:val="nil"/>
              <w:right w:val="nil"/>
            </w:tcBorders>
            <w:shd w:val="clear" w:color="000000" w:fill="8DB4E2"/>
            <w:noWrap/>
            <w:vAlign w:val="bottom"/>
            <w:hideMark/>
          </w:tcPr>
          <w:p w:rsidR="00F83FA0" w:rsidRPr="00476F57" w:rsidRDefault="00F83FA0" w:rsidP="003B0845">
            <w:pPr>
              <w:spacing w:after="0" w:line="240" w:lineRule="auto"/>
              <w:jc w:val="both"/>
              <w:rPr>
                <w:rFonts w:ascii="Arial" w:eastAsia="Times New Roman" w:hAnsi="Arial" w:cs="Arial"/>
                <w:b/>
                <w:bCs/>
                <w:color w:val="FFFFFF"/>
                <w:sz w:val="18"/>
                <w:szCs w:val="18"/>
              </w:rPr>
            </w:pPr>
            <w:r w:rsidRPr="00476F57">
              <w:rPr>
                <w:rFonts w:ascii="Arial" w:eastAsia="Times New Roman" w:hAnsi="Arial" w:cs="Arial"/>
                <w:b/>
                <w:bCs/>
                <w:color w:val="FFFFFF"/>
                <w:sz w:val="18"/>
                <w:szCs w:val="18"/>
              </w:rPr>
              <w:t>Beneficios del programa Redes</w:t>
            </w:r>
          </w:p>
        </w:tc>
        <w:tc>
          <w:tcPr>
            <w:tcW w:w="1435" w:type="dxa"/>
            <w:tcBorders>
              <w:top w:val="nil"/>
              <w:left w:val="nil"/>
              <w:bottom w:val="nil"/>
              <w:right w:val="nil"/>
            </w:tcBorders>
            <w:shd w:val="clear" w:color="000000" w:fill="8DB4E2"/>
            <w:noWrap/>
            <w:vAlign w:val="bottom"/>
            <w:hideMark/>
          </w:tcPr>
          <w:p w:rsidR="00F83FA0" w:rsidRPr="00476F57" w:rsidRDefault="00F83FA0" w:rsidP="003B0845">
            <w:pPr>
              <w:spacing w:after="0" w:line="240" w:lineRule="auto"/>
              <w:jc w:val="both"/>
              <w:rPr>
                <w:rFonts w:ascii="Arial" w:eastAsia="Times New Roman" w:hAnsi="Arial" w:cs="Arial"/>
                <w:color w:val="FFFFFF"/>
                <w:sz w:val="18"/>
                <w:szCs w:val="18"/>
              </w:rPr>
            </w:pPr>
            <w:r w:rsidRPr="00476F57">
              <w:rPr>
                <w:rFonts w:ascii="Arial" w:eastAsia="Times New Roman" w:hAnsi="Arial" w:cs="Arial"/>
                <w:color w:val="FFFFFF"/>
                <w:sz w:val="18"/>
                <w:szCs w:val="18"/>
              </w:rPr>
              <w:t> </w:t>
            </w:r>
          </w:p>
        </w:tc>
      </w:tr>
      <w:tr w:rsidR="00F83FA0" w:rsidRPr="00476F57" w:rsidTr="00F83FA0">
        <w:trPr>
          <w:trHeight w:val="300"/>
          <w:jc w:val="center"/>
        </w:trPr>
        <w:tc>
          <w:tcPr>
            <w:tcW w:w="4625" w:type="dxa"/>
            <w:tcBorders>
              <w:top w:val="single" w:sz="4" w:space="0" w:color="FFFFFF"/>
              <w:left w:val="single" w:sz="4" w:space="0" w:color="FFFFFF"/>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lang w:val="es-ES"/>
              </w:rPr>
            </w:pPr>
            <w:r w:rsidRPr="00476F57">
              <w:rPr>
                <w:rFonts w:ascii="Arial" w:eastAsia="Times New Roman" w:hAnsi="Arial" w:cs="Arial"/>
                <w:color w:val="000000"/>
                <w:sz w:val="18"/>
                <w:szCs w:val="18"/>
                <w:lang w:val="es-ES"/>
              </w:rPr>
              <w:t>Ahorro por eventos potencialmente evitados</w:t>
            </w:r>
          </w:p>
        </w:tc>
        <w:tc>
          <w:tcPr>
            <w:tcW w:w="1435" w:type="dxa"/>
            <w:tcBorders>
              <w:top w:val="single" w:sz="4" w:space="0" w:color="FFFFFF"/>
              <w:left w:val="nil"/>
              <w:bottom w:val="single" w:sz="4" w:space="0" w:color="FFFFFF"/>
              <w:right w:val="single" w:sz="4" w:space="0" w:color="FFFFFF"/>
            </w:tcBorders>
            <w:shd w:val="clear" w:color="000000" w:fill="F2F2F2"/>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lang w:val="es-ES"/>
              </w:rPr>
            </w:pPr>
            <w:r w:rsidRPr="00476F57">
              <w:rPr>
                <w:rFonts w:ascii="Arial" w:eastAsia="Times New Roman" w:hAnsi="Arial" w:cs="Arial"/>
                <w:color w:val="000000"/>
                <w:sz w:val="18"/>
                <w:szCs w:val="18"/>
                <w:lang w:val="es-ES"/>
              </w:rPr>
              <w:t>$1,820,689</w:t>
            </w:r>
          </w:p>
        </w:tc>
      </w:tr>
      <w:tr w:rsidR="00F83FA0" w:rsidRPr="00476F57" w:rsidTr="00913651">
        <w:trPr>
          <w:trHeight w:val="188"/>
          <w:jc w:val="center"/>
        </w:trPr>
        <w:tc>
          <w:tcPr>
            <w:tcW w:w="4625" w:type="dxa"/>
            <w:tcBorders>
              <w:top w:val="nil"/>
              <w:left w:val="single" w:sz="4" w:space="0" w:color="FFFFFF"/>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lang w:val="es-ES"/>
              </w:rPr>
            </w:pPr>
            <w:r w:rsidRPr="00476F57">
              <w:rPr>
                <w:rFonts w:ascii="Arial" w:eastAsia="Times New Roman" w:hAnsi="Arial" w:cs="Arial"/>
                <w:color w:val="000000"/>
                <w:sz w:val="18"/>
                <w:szCs w:val="18"/>
                <w:lang w:val="es-ES"/>
              </w:rPr>
              <w:t>Ahorro potencial por vidas salvadas</w:t>
            </w:r>
          </w:p>
        </w:tc>
        <w:tc>
          <w:tcPr>
            <w:tcW w:w="1435" w:type="dxa"/>
            <w:tcBorders>
              <w:top w:val="nil"/>
              <w:left w:val="nil"/>
              <w:bottom w:val="single" w:sz="4" w:space="0" w:color="FFFFFF"/>
              <w:right w:val="single" w:sz="4" w:space="0" w:color="FFFFFF"/>
            </w:tcBorders>
            <w:shd w:val="clear" w:color="000000" w:fill="F2F2F2"/>
            <w:noWrap/>
            <w:vAlign w:val="center"/>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$348,168,599</w:t>
            </w:r>
          </w:p>
        </w:tc>
      </w:tr>
      <w:tr w:rsidR="00F83FA0" w:rsidRPr="00476F57" w:rsidTr="00913651">
        <w:trPr>
          <w:trHeight w:val="152"/>
          <w:jc w:val="center"/>
        </w:trPr>
        <w:tc>
          <w:tcPr>
            <w:tcW w:w="4625" w:type="dxa"/>
            <w:tcBorders>
              <w:top w:val="nil"/>
              <w:left w:val="nil"/>
              <w:bottom w:val="nil"/>
              <w:right w:val="nil"/>
            </w:tcBorders>
            <w:shd w:val="clear" w:color="auto" w:fill="auto"/>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p>
        </w:tc>
        <w:tc>
          <w:tcPr>
            <w:tcW w:w="1435" w:type="dxa"/>
            <w:tcBorders>
              <w:top w:val="nil"/>
              <w:left w:val="nil"/>
              <w:bottom w:val="nil"/>
              <w:right w:val="nil"/>
            </w:tcBorders>
            <w:shd w:val="clear" w:color="auto" w:fill="auto"/>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p>
        </w:tc>
      </w:tr>
      <w:tr w:rsidR="00F83FA0" w:rsidRPr="00476F57" w:rsidTr="00F83FA0">
        <w:trPr>
          <w:trHeight w:val="300"/>
          <w:jc w:val="center"/>
        </w:trPr>
        <w:tc>
          <w:tcPr>
            <w:tcW w:w="4625" w:type="dxa"/>
            <w:tcBorders>
              <w:top w:val="nil"/>
              <w:left w:val="nil"/>
              <w:bottom w:val="nil"/>
              <w:right w:val="nil"/>
            </w:tcBorders>
            <w:shd w:val="clear" w:color="000000" w:fill="8DB4E2"/>
            <w:noWrap/>
            <w:vAlign w:val="bottom"/>
            <w:hideMark/>
          </w:tcPr>
          <w:p w:rsidR="00F83FA0" w:rsidRPr="00476F57" w:rsidRDefault="00F83FA0" w:rsidP="003B0845">
            <w:pPr>
              <w:spacing w:after="0" w:line="240" w:lineRule="auto"/>
              <w:jc w:val="both"/>
              <w:rPr>
                <w:rFonts w:ascii="Arial" w:eastAsia="Times New Roman" w:hAnsi="Arial" w:cs="Arial"/>
                <w:b/>
                <w:bCs/>
                <w:color w:val="FFFFFF"/>
                <w:sz w:val="18"/>
                <w:szCs w:val="18"/>
              </w:rPr>
            </w:pPr>
            <w:r w:rsidRPr="00476F57">
              <w:rPr>
                <w:rFonts w:ascii="Arial" w:eastAsia="Times New Roman" w:hAnsi="Arial" w:cs="Arial"/>
                <w:b/>
                <w:bCs/>
                <w:color w:val="FFFFFF"/>
                <w:sz w:val="18"/>
                <w:szCs w:val="18"/>
              </w:rPr>
              <w:t>Escenario 1: Costo Total</w:t>
            </w:r>
          </w:p>
        </w:tc>
        <w:tc>
          <w:tcPr>
            <w:tcW w:w="1435" w:type="dxa"/>
            <w:tcBorders>
              <w:top w:val="nil"/>
              <w:left w:val="nil"/>
              <w:bottom w:val="nil"/>
              <w:right w:val="nil"/>
            </w:tcBorders>
            <w:shd w:val="clear" w:color="000000" w:fill="8DB4E2"/>
            <w:noWrap/>
            <w:vAlign w:val="bottom"/>
            <w:hideMark/>
          </w:tcPr>
          <w:p w:rsidR="00F83FA0" w:rsidRPr="00476F57" w:rsidRDefault="00F83FA0" w:rsidP="003B0845">
            <w:pPr>
              <w:spacing w:after="0" w:line="240" w:lineRule="auto"/>
              <w:jc w:val="both"/>
              <w:rPr>
                <w:rFonts w:ascii="Arial" w:eastAsia="Times New Roman" w:hAnsi="Arial" w:cs="Arial"/>
                <w:color w:val="FFFFFF"/>
                <w:sz w:val="18"/>
                <w:szCs w:val="18"/>
              </w:rPr>
            </w:pPr>
            <w:r w:rsidRPr="00476F57">
              <w:rPr>
                <w:rFonts w:ascii="Arial" w:eastAsia="Times New Roman" w:hAnsi="Arial" w:cs="Arial"/>
                <w:color w:val="FFFFFF"/>
                <w:sz w:val="18"/>
                <w:szCs w:val="18"/>
              </w:rPr>
              <w:t> </w:t>
            </w:r>
          </w:p>
        </w:tc>
      </w:tr>
      <w:tr w:rsidR="00F83FA0" w:rsidRPr="00476F57" w:rsidTr="00913651">
        <w:trPr>
          <w:trHeight w:val="89"/>
          <w:jc w:val="center"/>
        </w:trPr>
        <w:tc>
          <w:tcPr>
            <w:tcW w:w="4625" w:type="dxa"/>
            <w:tcBorders>
              <w:top w:val="single" w:sz="4" w:space="0" w:color="FFFFFF"/>
              <w:left w:val="single" w:sz="4" w:space="0" w:color="FFFFFF"/>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Costo total del programa</w:t>
            </w:r>
          </w:p>
        </w:tc>
        <w:tc>
          <w:tcPr>
            <w:tcW w:w="1435" w:type="dxa"/>
            <w:tcBorders>
              <w:top w:val="single" w:sz="4" w:space="0" w:color="FFFFFF"/>
              <w:left w:val="nil"/>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$140,400,000</w:t>
            </w:r>
          </w:p>
        </w:tc>
      </w:tr>
      <w:tr w:rsidR="00F83FA0" w:rsidRPr="00476F57" w:rsidTr="00913651">
        <w:trPr>
          <w:trHeight w:val="134"/>
          <w:jc w:val="center"/>
        </w:trPr>
        <w:tc>
          <w:tcPr>
            <w:tcW w:w="4625" w:type="dxa"/>
            <w:tcBorders>
              <w:top w:val="nil"/>
              <w:left w:val="single" w:sz="4" w:space="0" w:color="FFFFFF"/>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Total empadronados</w:t>
            </w:r>
          </w:p>
        </w:tc>
        <w:tc>
          <w:tcPr>
            <w:tcW w:w="1435" w:type="dxa"/>
            <w:tcBorders>
              <w:top w:val="nil"/>
              <w:left w:val="nil"/>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1,443,573</w:t>
            </w:r>
          </w:p>
        </w:tc>
      </w:tr>
      <w:tr w:rsidR="00F83FA0" w:rsidRPr="00476F57" w:rsidTr="00913651">
        <w:trPr>
          <w:trHeight w:val="98"/>
          <w:jc w:val="center"/>
        </w:trPr>
        <w:tc>
          <w:tcPr>
            <w:tcW w:w="4625" w:type="dxa"/>
            <w:tcBorders>
              <w:top w:val="nil"/>
              <w:left w:val="single" w:sz="4" w:space="0" w:color="FFFFFF"/>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Costo por empadronado</w:t>
            </w:r>
          </w:p>
        </w:tc>
        <w:tc>
          <w:tcPr>
            <w:tcW w:w="1435" w:type="dxa"/>
            <w:tcBorders>
              <w:top w:val="nil"/>
              <w:left w:val="nil"/>
              <w:bottom w:val="single" w:sz="4" w:space="0" w:color="FFFFFF"/>
              <w:right w:val="single" w:sz="4" w:space="0" w:color="FFFFFF"/>
            </w:tcBorders>
            <w:shd w:val="clear" w:color="000000" w:fill="F2F2F2"/>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r w:rsidRPr="00476F57">
              <w:rPr>
                <w:rFonts w:ascii="Arial" w:eastAsia="Times New Roman" w:hAnsi="Arial" w:cs="Arial"/>
                <w:color w:val="000000"/>
                <w:sz w:val="18"/>
                <w:szCs w:val="18"/>
              </w:rPr>
              <w:t>$97</w:t>
            </w:r>
          </w:p>
        </w:tc>
      </w:tr>
      <w:tr w:rsidR="00F83FA0" w:rsidRPr="00476F57" w:rsidTr="006A4ED8">
        <w:trPr>
          <w:trHeight w:val="60"/>
          <w:jc w:val="center"/>
        </w:trPr>
        <w:tc>
          <w:tcPr>
            <w:tcW w:w="4625" w:type="dxa"/>
            <w:tcBorders>
              <w:top w:val="nil"/>
              <w:left w:val="nil"/>
              <w:bottom w:val="nil"/>
              <w:right w:val="nil"/>
            </w:tcBorders>
            <w:shd w:val="clear" w:color="auto" w:fill="auto"/>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p>
        </w:tc>
        <w:tc>
          <w:tcPr>
            <w:tcW w:w="1435" w:type="dxa"/>
            <w:tcBorders>
              <w:top w:val="nil"/>
              <w:left w:val="nil"/>
              <w:bottom w:val="nil"/>
              <w:right w:val="nil"/>
            </w:tcBorders>
            <w:shd w:val="clear" w:color="auto" w:fill="auto"/>
            <w:noWrap/>
            <w:vAlign w:val="bottom"/>
            <w:hideMark/>
          </w:tcPr>
          <w:p w:rsidR="00F83FA0" w:rsidRPr="00476F57" w:rsidRDefault="00F83FA0" w:rsidP="003B0845">
            <w:pPr>
              <w:spacing w:after="0" w:line="240" w:lineRule="auto"/>
              <w:jc w:val="both"/>
              <w:rPr>
                <w:rFonts w:ascii="Arial" w:eastAsia="Times New Roman" w:hAnsi="Arial" w:cs="Arial"/>
                <w:color w:val="000000"/>
                <w:sz w:val="18"/>
                <w:szCs w:val="18"/>
              </w:rPr>
            </w:pPr>
          </w:p>
        </w:tc>
      </w:tr>
      <w:tr w:rsidR="00F83FA0" w:rsidRPr="00476F57" w:rsidTr="00F83FA0">
        <w:trPr>
          <w:trHeight w:val="300"/>
          <w:jc w:val="center"/>
        </w:trPr>
        <w:tc>
          <w:tcPr>
            <w:tcW w:w="4625" w:type="dxa"/>
            <w:tcBorders>
              <w:top w:val="single" w:sz="4" w:space="0" w:color="FFFFFF"/>
              <w:left w:val="single" w:sz="4" w:space="0" w:color="FFFFFF"/>
              <w:bottom w:val="single" w:sz="4" w:space="0" w:color="FFFFFF"/>
              <w:right w:val="single" w:sz="4" w:space="0" w:color="FFFFFF"/>
            </w:tcBorders>
            <w:shd w:val="clear" w:color="000000" w:fill="808080"/>
            <w:noWrap/>
            <w:vAlign w:val="bottom"/>
            <w:hideMark/>
          </w:tcPr>
          <w:p w:rsidR="00F83FA0" w:rsidRPr="00476F57" w:rsidRDefault="00F83FA0" w:rsidP="003B0845">
            <w:pPr>
              <w:spacing w:after="0" w:line="240" w:lineRule="auto"/>
              <w:jc w:val="both"/>
              <w:rPr>
                <w:rFonts w:ascii="Arial" w:eastAsia="Times New Roman" w:hAnsi="Arial" w:cs="Arial"/>
                <w:color w:val="FFFFFF"/>
                <w:sz w:val="18"/>
                <w:szCs w:val="18"/>
              </w:rPr>
            </w:pPr>
            <w:r w:rsidRPr="00476F57">
              <w:rPr>
                <w:rFonts w:ascii="Arial" w:eastAsia="Times New Roman" w:hAnsi="Arial" w:cs="Arial"/>
                <w:color w:val="FFFFFF"/>
                <w:sz w:val="18"/>
                <w:szCs w:val="18"/>
              </w:rPr>
              <w:t>Retorno de la inversión (%)</w:t>
            </w:r>
          </w:p>
        </w:tc>
        <w:tc>
          <w:tcPr>
            <w:tcW w:w="1435" w:type="dxa"/>
            <w:tcBorders>
              <w:top w:val="single" w:sz="4" w:space="0" w:color="FFFFFF"/>
              <w:left w:val="nil"/>
              <w:bottom w:val="single" w:sz="4" w:space="0" w:color="FFFFFF"/>
              <w:right w:val="single" w:sz="4" w:space="0" w:color="FFFFFF"/>
            </w:tcBorders>
            <w:shd w:val="clear" w:color="000000" w:fill="808080"/>
            <w:noWrap/>
            <w:vAlign w:val="bottom"/>
            <w:hideMark/>
          </w:tcPr>
          <w:p w:rsidR="00F83FA0" w:rsidRPr="00476F57" w:rsidRDefault="00F83FA0" w:rsidP="003B0845">
            <w:pPr>
              <w:spacing w:after="0" w:line="240" w:lineRule="auto"/>
              <w:jc w:val="both"/>
              <w:rPr>
                <w:rFonts w:ascii="Arial" w:eastAsia="Times New Roman" w:hAnsi="Arial" w:cs="Arial"/>
                <w:color w:val="FFFFFF"/>
                <w:sz w:val="18"/>
                <w:szCs w:val="18"/>
              </w:rPr>
            </w:pPr>
            <w:r w:rsidRPr="00476F57">
              <w:rPr>
                <w:rFonts w:ascii="Arial" w:eastAsia="Times New Roman" w:hAnsi="Arial" w:cs="Arial"/>
                <w:color w:val="FFFFFF"/>
                <w:sz w:val="18"/>
                <w:szCs w:val="18"/>
              </w:rPr>
              <w:t>249%</w:t>
            </w:r>
          </w:p>
        </w:tc>
      </w:tr>
      <w:tr w:rsidR="00F83FA0" w:rsidRPr="00476F57" w:rsidTr="00F83FA0">
        <w:trPr>
          <w:trHeight w:val="300"/>
          <w:jc w:val="center"/>
        </w:trPr>
        <w:tc>
          <w:tcPr>
            <w:tcW w:w="4625" w:type="dxa"/>
            <w:tcBorders>
              <w:top w:val="nil"/>
              <w:left w:val="single" w:sz="4" w:space="0" w:color="FFFFFF"/>
              <w:bottom w:val="single" w:sz="4" w:space="0" w:color="FFFFFF"/>
              <w:right w:val="single" w:sz="4" w:space="0" w:color="FFFFFF"/>
            </w:tcBorders>
            <w:shd w:val="clear" w:color="000000" w:fill="808080"/>
            <w:noWrap/>
            <w:vAlign w:val="bottom"/>
            <w:hideMark/>
          </w:tcPr>
          <w:p w:rsidR="00F83FA0" w:rsidRPr="00476F57" w:rsidRDefault="00F83FA0" w:rsidP="003B0845">
            <w:pPr>
              <w:spacing w:after="0" w:line="240" w:lineRule="auto"/>
              <w:jc w:val="both"/>
              <w:rPr>
                <w:rFonts w:ascii="Arial" w:eastAsia="Times New Roman" w:hAnsi="Arial" w:cs="Arial"/>
                <w:color w:val="FFFFFF"/>
                <w:sz w:val="18"/>
                <w:szCs w:val="18"/>
              </w:rPr>
            </w:pPr>
            <w:r w:rsidRPr="00476F57">
              <w:rPr>
                <w:rFonts w:ascii="Arial" w:eastAsia="Times New Roman" w:hAnsi="Arial" w:cs="Arial"/>
                <w:color w:val="FFFFFF"/>
                <w:sz w:val="18"/>
                <w:szCs w:val="18"/>
              </w:rPr>
              <w:t>Razón Costo-Beneficio</w:t>
            </w:r>
          </w:p>
        </w:tc>
        <w:tc>
          <w:tcPr>
            <w:tcW w:w="1435" w:type="dxa"/>
            <w:tcBorders>
              <w:top w:val="nil"/>
              <w:left w:val="nil"/>
              <w:bottom w:val="single" w:sz="4" w:space="0" w:color="FFFFFF"/>
              <w:right w:val="single" w:sz="4" w:space="0" w:color="FFFFFF"/>
            </w:tcBorders>
            <w:shd w:val="clear" w:color="000000" w:fill="808080"/>
            <w:noWrap/>
            <w:vAlign w:val="bottom"/>
            <w:hideMark/>
          </w:tcPr>
          <w:p w:rsidR="00F83FA0" w:rsidRPr="00476F57" w:rsidRDefault="00F83FA0" w:rsidP="003B0845">
            <w:pPr>
              <w:spacing w:after="0" w:line="240" w:lineRule="auto"/>
              <w:jc w:val="both"/>
              <w:rPr>
                <w:rFonts w:ascii="Arial" w:eastAsia="Times New Roman" w:hAnsi="Arial" w:cs="Arial"/>
                <w:color w:val="FFFFFF"/>
                <w:sz w:val="18"/>
                <w:szCs w:val="18"/>
              </w:rPr>
            </w:pPr>
            <w:r w:rsidRPr="00476F57">
              <w:rPr>
                <w:rFonts w:ascii="Arial" w:eastAsia="Times New Roman" w:hAnsi="Arial" w:cs="Arial"/>
                <w:color w:val="FFFFFF"/>
                <w:sz w:val="18"/>
                <w:szCs w:val="18"/>
              </w:rPr>
              <w:t>1.49</w:t>
            </w:r>
          </w:p>
        </w:tc>
      </w:tr>
    </w:tbl>
    <w:p w:rsidR="00F83FA0" w:rsidRPr="00476F57" w:rsidRDefault="00F83FA0" w:rsidP="00913651">
      <w:pPr>
        <w:spacing w:after="0" w:line="240" w:lineRule="auto"/>
        <w:jc w:val="both"/>
        <w:rPr>
          <w:rFonts w:ascii="Arial" w:hAnsi="Arial" w:cs="Arial"/>
        </w:rPr>
      </w:pPr>
    </w:p>
    <w:p w:rsidR="00F83FA0" w:rsidRDefault="00F83FA0" w:rsidP="001F47D1">
      <w:pPr>
        <w:pStyle w:val="ListParagraph"/>
        <w:numPr>
          <w:ilvl w:val="0"/>
          <w:numId w:val="18"/>
        </w:numPr>
        <w:jc w:val="both"/>
        <w:rPr>
          <w:rFonts w:ascii="Arial" w:hAnsi="Arial" w:cs="Arial"/>
          <w:lang w:val="es-AR"/>
        </w:rPr>
      </w:pPr>
      <w:r w:rsidRPr="00476F57">
        <w:rPr>
          <w:rFonts w:ascii="Arial" w:hAnsi="Arial" w:cs="Arial"/>
          <w:lang w:val="es-AR"/>
        </w:rPr>
        <w:t>Dado que existe gran variabilidad en la literatura s</w:t>
      </w:r>
      <w:r w:rsidRPr="00476F57">
        <w:rPr>
          <w:rFonts w:ascii="Arial" w:hAnsi="Arial" w:cs="Arial"/>
          <w:lang w:val="es-ES"/>
        </w:rPr>
        <w:t>e realiz</w:t>
      </w:r>
      <w:r w:rsidRPr="00476F57">
        <w:rPr>
          <w:rFonts w:ascii="Arial" w:hAnsi="Arial" w:cs="Arial"/>
          <w:lang w:val="es-AR"/>
        </w:rPr>
        <w:t>ó un análisis de sensibilidad univariado para los costos de los eventos. Para esto se variaron los costos de los eventos ±30%. No se observaron cambios en el ROI.</w:t>
      </w:r>
    </w:p>
    <w:p w:rsidR="00C95EBC" w:rsidRDefault="00C95EBC" w:rsidP="006A4ED8">
      <w:pPr>
        <w:pStyle w:val="ListParagraph"/>
        <w:spacing w:after="0" w:line="240" w:lineRule="auto"/>
        <w:jc w:val="both"/>
        <w:rPr>
          <w:rFonts w:ascii="Arial" w:hAnsi="Arial" w:cs="Arial"/>
          <w:lang w:val="es-AR"/>
        </w:rPr>
      </w:pPr>
    </w:p>
    <w:p w:rsidR="00C95EBC" w:rsidRDefault="00C95EBC" w:rsidP="001F47D1">
      <w:pPr>
        <w:pStyle w:val="ListParagraph"/>
        <w:numPr>
          <w:ilvl w:val="0"/>
          <w:numId w:val="18"/>
        </w:numPr>
        <w:jc w:val="both"/>
        <w:rPr>
          <w:rFonts w:ascii="Arial" w:hAnsi="Arial" w:cs="Arial"/>
          <w:lang w:val="es-AR"/>
        </w:rPr>
      </w:pPr>
      <w:r>
        <w:rPr>
          <w:rFonts w:ascii="Arial" w:hAnsi="Arial" w:cs="Arial"/>
          <w:lang w:val="es-AR"/>
        </w:rPr>
        <w:t>Asimismo, la estimación supone que 100% de la diferencia en mortalidad prematura entre localidades con REDES y sin REDES es atribuible al programa. Aunque este supuesto se justifica a partir de que las localidades REDES tenían peores indicadores pre-intervención, la siguiente tabla presenta un análisis de sensibilidad al grado de atribución de los resultados. Si 40% de la diferencia en mortalidad fuese asociada a REDES, el programa sería rentable.</w:t>
      </w:r>
      <w:bookmarkStart w:id="0" w:name="_GoBack"/>
      <w:bookmarkEnd w:id="0"/>
    </w:p>
    <w:p w:rsidR="00C95EBC" w:rsidRPr="00476F57" w:rsidRDefault="00C95EBC" w:rsidP="00180837">
      <w:pPr>
        <w:pStyle w:val="ListParagraph"/>
        <w:jc w:val="center"/>
        <w:rPr>
          <w:rFonts w:ascii="Arial" w:hAnsi="Arial" w:cs="Arial"/>
          <w:lang w:val="es-AR"/>
        </w:rPr>
      </w:pPr>
      <w:r>
        <w:rPr>
          <w:noProof/>
        </w:rPr>
        <w:lastRenderedPageBreak/>
        <w:drawing>
          <wp:inline distT="0" distB="0" distL="0" distR="0" wp14:anchorId="5B8AD975" wp14:editId="27919620">
            <wp:extent cx="4293704" cy="2902226"/>
            <wp:effectExtent l="0" t="0" r="12065"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32F4D" w:rsidRPr="00913651" w:rsidRDefault="00332F4D" w:rsidP="00332F4D">
      <w:pPr>
        <w:jc w:val="both"/>
        <w:rPr>
          <w:rFonts w:ascii="Arial" w:hAnsi="Arial" w:cs="Arial"/>
          <w:b/>
          <w:color w:val="4F81BD" w:themeColor="accent1"/>
          <w:sz w:val="24"/>
          <w:szCs w:val="24"/>
          <w:lang w:val="es-AR"/>
        </w:rPr>
      </w:pPr>
      <w:r w:rsidRPr="00913651">
        <w:rPr>
          <w:rFonts w:ascii="Arial" w:hAnsi="Arial" w:cs="Arial"/>
          <w:b/>
          <w:color w:val="4F81BD" w:themeColor="accent1"/>
          <w:sz w:val="24"/>
          <w:szCs w:val="24"/>
          <w:lang w:val="es-AR"/>
        </w:rPr>
        <w:t>EVALUACIÓN DE COSTO-EFECTIVIDAD DEL PRORAMA DE DETECCIÓN TEMPRANA DE CÁNCER COLORRECTAL</w:t>
      </w:r>
    </w:p>
    <w:p w:rsidR="001F47D1" w:rsidRPr="00913651" w:rsidRDefault="001F47D1" w:rsidP="00332F4D">
      <w:pPr>
        <w:jc w:val="both"/>
        <w:rPr>
          <w:rFonts w:ascii="Arial" w:hAnsi="Arial" w:cs="Arial"/>
          <w:b/>
          <w:color w:val="4F81BD" w:themeColor="accent1"/>
          <w:sz w:val="24"/>
          <w:szCs w:val="24"/>
          <w:lang w:val="es-AR"/>
        </w:rPr>
      </w:pPr>
      <w:r w:rsidRPr="00913651">
        <w:rPr>
          <w:rFonts w:ascii="Arial" w:hAnsi="Arial" w:cs="Arial"/>
          <w:b/>
          <w:color w:val="4F81BD" w:themeColor="accent1"/>
          <w:sz w:val="24"/>
          <w:szCs w:val="24"/>
          <w:lang w:val="es-AR"/>
        </w:rPr>
        <w:t>Metodología y supuestos</w:t>
      </w:r>
    </w:p>
    <w:p w:rsidR="00320819" w:rsidRPr="00476F57" w:rsidRDefault="001F47D1" w:rsidP="001F47D1">
      <w:pPr>
        <w:pStyle w:val="ListParagraph"/>
        <w:numPr>
          <w:ilvl w:val="0"/>
          <w:numId w:val="28"/>
        </w:numPr>
        <w:jc w:val="both"/>
        <w:rPr>
          <w:rFonts w:ascii="Arial" w:hAnsi="Arial" w:cs="Arial"/>
          <w:lang w:val="es-AR"/>
        </w:rPr>
      </w:pPr>
      <w:r w:rsidRPr="00476F57">
        <w:rPr>
          <w:rFonts w:ascii="Arial" w:hAnsi="Arial" w:cs="Arial"/>
          <w:lang w:val="es-AR"/>
        </w:rPr>
        <w:t>El subcomponente 2.1 financiará 3 intervenciones piloto para la detección de cánceres de mama, cervicouterino y colorrectal</w:t>
      </w:r>
      <w:r w:rsidR="000D7D8B" w:rsidRPr="00476F57">
        <w:rPr>
          <w:rFonts w:ascii="Arial" w:hAnsi="Arial" w:cs="Arial"/>
          <w:lang w:val="es-AR"/>
        </w:rPr>
        <w:t xml:space="preserve"> (CCR)</w:t>
      </w:r>
      <w:r w:rsidRPr="00476F57">
        <w:rPr>
          <w:rFonts w:ascii="Arial" w:hAnsi="Arial" w:cs="Arial"/>
          <w:lang w:val="es-AR"/>
        </w:rPr>
        <w:t xml:space="preserve"> desde el PNA. La primer</w:t>
      </w:r>
      <w:r w:rsidR="000D7D8B" w:rsidRPr="00476F57">
        <w:rPr>
          <w:rFonts w:ascii="Arial" w:hAnsi="Arial" w:cs="Arial"/>
          <w:lang w:val="es-AR"/>
        </w:rPr>
        <w:t>a</w:t>
      </w:r>
      <w:r w:rsidRPr="00476F57">
        <w:rPr>
          <w:rFonts w:ascii="Arial" w:hAnsi="Arial" w:cs="Arial"/>
          <w:lang w:val="es-AR"/>
        </w:rPr>
        <w:t xml:space="preserve"> operación del Programa financió la implementación de una primera fase del piloto de </w:t>
      </w:r>
      <w:r w:rsidR="000D7D8B" w:rsidRPr="00476F57">
        <w:rPr>
          <w:rFonts w:ascii="Arial" w:hAnsi="Arial" w:cs="Arial"/>
          <w:lang w:val="es-AR"/>
        </w:rPr>
        <w:t>CCR, utilizando como instrumento de tamizaje las pruebas de sangre oculta en heces basadas en test inmunoquímicos (SOMFi). El instrumento alternativo para la detección del CCR es la colonoscópica. A partir de la sensibilidad y especificidad</w:t>
      </w:r>
      <w:r w:rsidR="00320819" w:rsidRPr="00476F57">
        <w:rPr>
          <w:rFonts w:ascii="Arial" w:hAnsi="Arial" w:cs="Arial"/>
          <w:lang w:val="es-AR"/>
        </w:rPr>
        <w:t xml:space="preserve"> y</w:t>
      </w:r>
      <w:r w:rsidR="000D7D8B" w:rsidRPr="00476F57">
        <w:rPr>
          <w:rFonts w:ascii="Arial" w:hAnsi="Arial" w:cs="Arial"/>
          <w:lang w:val="es-AR"/>
        </w:rPr>
        <w:t xml:space="preserve"> de la </w:t>
      </w:r>
      <w:r w:rsidR="00320819" w:rsidRPr="00476F57">
        <w:rPr>
          <w:rFonts w:ascii="Arial" w:hAnsi="Arial" w:cs="Arial"/>
          <w:lang w:val="es-AR"/>
        </w:rPr>
        <w:t xml:space="preserve">tasa de </w:t>
      </w:r>
      <w:r w:rsidR="000D7D8B" w:rsidRPr="00476F57">
        <w:rPr>
          <w:rFonts w:ascii="Arial" w:hAnsi="Arial" w:cs="Arial"/>
          <w:lang w:val="es-AR"/>
        </w:rPr>
        <w:t>participación de la población en la estrategia de detección</w:t>
      </w:r>
      <w:r w:rsidR="00320819" w:rsidRPr="00476F57">
        <w:rPr>
          <w:rFonts w:ascii="Arial" w:hAnsi="Arial" w:cs="Arial"/>
          <w:lang w:val="es-AR"/>
        </w:rPr>
        <w:t xml:space="preserve"> para estas dos estrategias</w:t>
      </w:r>
      <w:r w:rsidR="000D7D8B" w:rsidRPr="00476F57">
        <w:rPr>
          <w:rFonts w:ascii="Arial" w:hAnsi="Arial" w:cs="Arial"/>
          <w:lang w:val="es-AR"/>
        </w:rPr>
        <w:t xml:space="preserve">, y </w:t>
      </w:r>
      <w:r w:rsidR="00320819" w:rsidRPr="00476F57">
        <w:rPr>
          <w:rFonts w:ascii="Arial" w:hAnsi="Arial" w:cs="Arial"/>
          <w:lang w:val="es-AR"/>
        </w:rPr>
        <w:t>a</w:t>
      </w:r>
      <w:r w:rsidR="000D7D8B" w:rsidRPr="00476F57">
        <w:rPr>
          <w:rFonts w:ascii="Arial" w:hAnsi="Arial" w:cs="Arial"/>
          <w:lang w:val="es-AR"/>
        </w:rPr>
        <w:t xml:space="preserve"> las probabilidades iniciales de pólipo o CCR</w:t>
      </w:r>
      <w:r w:rsidR="00320819" w:rsidRPr="00476F57">
        <w:rPr>
          <w:rFonts w:ascii="Arial" w:hAnsi="Arial" w:cs="Arial"/>
          <w:lang w:val="es-AR"/>
        </w:rPr>
        <w:t xml:space="preserve">. Se realizó un análisis costo-efectividad para la reducción de años de vida ajustados por calidad (AVAC) que muestra que la intervención con SOMFi es la estrategia más costo-efectiva, con una costo-efectividad incremental en relación a la no intervención (RCEI) de ARS $980 por AVAC de 2014, mientras que la intervención basada en la colonoscopía cada diez años presenta un RCEI de ARS $1,516.5. </w:t>
      </w:r>
    </w:p>
    <w:p w:rsidR="00320819" w:rsidRPr="00476F57" w:rsidRDefault="00320819" w:rsidP="00320819">
      <w:pPr>
        <w:pStyle w:val="ListParagraph"/>
        <w:jc w:val="both"/>
        <w:rPr>
          <w:rFonts w:ascii="Arial" w:hAnsi="Arial" w:cs="Arial"/>
          <w:lang w:val="es-AR"/>
        </w:rPr>
      </w:pPr>
    </w:p>
    <w:p w:rsidR="001F47D1" w:rsidRPr="00476F57" w:rsidRDefault="00320819" w:rsidP="00476F57">
      <w:pPr>
        <w:pStyle w:val="ListParagraph"/>
        <w:jc w:val="center"/>
        <w:rPr>
          <w:rFonts w:ascii="Arial" w:hAnsi="Arial" w:cs="Arial"/>
          <w:lang w:val="es-AR"/>
        </w:rPr>
      </w:pPr>
      <w:r w:rsidRPr="00476F57">
        <w:rPr>
          <w:rFonts w:ascii="Arial" w:hAnsi="Arial" w:cs="Arial"/>
          <w:noProof/>
        </w:rPr>
        <w:drawing>
          <wp:inline distT="0" distB="0" distL="0" distR="0" wp14:anchorId="76092929" wp14:editId="587D0227">
            <wp:extent cx="4953662" cy="1272766"/>
            <wp:effectExtent l="0" t="0" r="0" b="3810"/>
            <wp:docPr id="3" name="Picture 3" descr="C:\Users\mariosan\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mariosan\Desktop\Captu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5896" cy="1273340"/>
                    </a:xfrm>
                    <a:prstGeom prst="rect">
                      <a:avLst/>
                    </a:prstGeom>
                    <a:noFill/>
                    <a:ln>
                      <a:noFill/>
                    </a:ln>
                  </pic:spPr>
                </pic:pic>
              </a:graphicData>
            </a:graphic>
          </wp:inline>
        </w:drawing>
      </w:r>
    </w:p>
    <w:p w:rsidR="001F47D1" w:rsidRPr="00476F57" w:rsidRDefault="006C53BC" w:rsidP="001F47D1">
      <w:pPr>
        <w:pStyle w:val="ListParagraph"/>
        <w:numPr>
          <w:ilvl w:val="0"/>
          <w:numId w:val="28"/>
        </w:numPr>
        <w:jc w:val="both"/>
        <w:rPr>
          <w:rFonts w:ascii="Arial" w:hAnsi="Arial" w:cs="Arial"/>
          <w:lang w:val="es-AR"/>
        </w:rPr>
      </w:pPr>
      <w:r w:rsidRPr="00476F57">
        <w:rPr>
          <w:rFonts w:ascii="Arial" w:hAnsi="Arial" w:cs="Arial"/>
          <w:lang w:val="es-AR"/>
        </w:rPr>
        <w:lastRenderedPageBreak/>
        <w:t>La Organización Mundial de la Salud ha establecido lineamientos para considerar que en países en desarrollo una estrategia sanitaria es: (i) altamente costo-efectiva: si el costo por AVAC (C/E) es menor al PIB per cápita de cada país; (ii) sólo costo-efectiva si se encuentra comprendida entr</w:t>
      </w:r>
      <w:r w:rsidR="00180837">
        <w:rPr>
          <w:rFonts w:ascii="Arial" w:hAnsi="Arial" w:cs="Arial"/>
          <w:lang w:val="es-AR"/>
        </w:rPr>
        <w:t>e 1 y 3 veces el PIB per cápita;</w:t>
      </w:r>
      <w:r w:rsidRPr="00476F57">
        <w:rPr>
          <w:rFonts w:ascii="Arial" w:hAnsi="Arial" w:cs="Arial"/>
          <w:lang w:val="es-AR"/>
        </w:rPr>
        <w:t xml:space="preserve"> y (iii) no costo-efectiva si es mayor a </w:t>
      </w:r>
      <w:r w:rsidR="00A31D02">
        <w:rPr>
          <w:rFonts w:ascii="Arial" w:hAnsi="Arial" w:cs="Arial"/>
          <w:lang w:val="es-AR"/>
        </w:rPr>
        <w:t>tres</w:t>
      </w:r>
      <w:r w:rsidRPr="00476F57">
        <w:rPr>
          <w:rFonts w:ascii="Arial" w:hAnsi="Arial" w:cs="Arial"/>
          <w:lang w:val="es-AR"/>
        </w:rPr>
        <w:t xml:space="preserve"> veces el PIB per cápita. El PIB per cápita de Argentina para 2014 fue ARS$102,856, por lo que la estrategia SOMFi resulta ser altamente costo-efectiva para Argentina.</w:t>
      </w:r>
    </w:p>
    <w:p w:rsidR="00BB3248" w:rsidRPr="00476F57" w:rsidRDefault="00BB3248" w:rsidP="00BB3248">
      <w:pPr>
        <w:pStyle w:val="ListParagraph"/>
        <w:jc w:val="both"/>
        <w:rPr>
          <w:rFonts w:ascii="Arial" w:hAnsi="Arial" w:cs="Arial"/>
          <w:lang w:val="es-AR"/>
        </w:rPr>
      </w:pPr>
    </w:p>
    <w:p w:rsidR="00A31D02" w:rsidRDefault="006A4ED8" w:rsidP="00A31D02">
      <w:pPr>
        <w:pStyle w:val="ListParagraph"/>
        <w:numPr>
          <w:ilvl w:val="0"/>
          <w:numId w:val="28"/>
        </w:numPr>
        <w:jc w:val="both"/>
        <w:rPr>
          <w:rFonts w:ascii="Arial" w:hAnsi="Arial" w:cs="Arial"/>
          <w:lang w:val="es-AR"/>
        </w:rPr>
      </w:pPr>
      <w:r>
        <w:rPr>
          <w:rFonts w:ascii="Arial" w:hAnsi="Arial" w:cs="Arial"/>
          <w:lang w:val="es-AR"/>
        </w:rPr>
        <w:t>Ver</w:t>
      </w:r>
      <w:r w:rsidR="00BB3248" w:rsidRPr="00476F57">
        <w:rPr>
          <w:rFonts w:ascii="Arial" w:hAnsi="Arial" w:cs="Arial"/>
          <w:lang w:val="es-AR"/>
        </w:rPr>
        <w:t xml:space="preserve"> análisis de costo-efectividad disponible en los enlaces opcionales del POD.</w:t>
      </w:r>
    </w:p>
    <w:p w:rsidR="00A31D02" w:rsidRDefault="00A31D02">
      <w:pPr>
        <w:rPr>
          <w:rFonts w:ascii="Arial" w:hAnsi="Arial" w:cs="Arial"/>
          <w:lang w:val="es-AR"/>
        </w:rPr>
      </w:pPr>
      <w:r>
        <w:rPr>
          <w:rFonts w:ascii="Arial" w:hAnsi="Arial" w:cs="Arial"/>
          <w:lang w:val="es-AR"/>
        </w:rPr>
        <w:br w:type="page"/>
      </w:r>
    </w:p>
    <w:p w:rsidR="00F83FA0" w:rsidRPr="00C95EBC" w:rsidRDefault="00F83FA0" w:rsidP="003B0845">
      <w:pPr>
        <w:jc w:val="both"/>
        <w:rPr>
          <w:rFonts w:ascii="Arial" w:hAnsi="Arial" w:cs="Arial"/>
          <w:b/>
          <w:color w:val="4F81BD" w:themeColor="accent1"/>
          <w:sz w:val="28"/>
        </w:rPr>
      </w:pPr>
      <w:r w:rsidRPr="00C95EBC">
        <w:rPr>
          <w:rFonts w:ascii="Arial" w:hAnsi="Arial" w:cs="Arial"/>
          <w:b/>
          <w:color w:val="4F81BD" w:themeColor="accent1"/>
          <w:sz w:val="28"/>
        </w:rPr>
        <w:lastRenderedPageBreak/>
        <w:t>Referencias</w:t>
      </w:r>
    </w:p>
    <w:p w:rsidR="00F83FA0" w:rsidRPr="00476F57" w:rsidRDefault="00F83FA0" w:rsidP="003B0845">
      <w:pPr>
        <w:spacing w:after="0" w:line="240" w:lineRule="auto"/>
        <w:ind w:left="720" w:hanging="720"/>
        <w:jc w:val="both"/>
        <w:rPr>
          <w:rFonts w:ascii="Arial" w:hAnsi="Arial" w:cs="Arial"/>
          <w:noProof/>
        </w:rPr>
      </w:pPr>
      <w:r w:rsidRPr="00476F57">
        <w:rPr>
          <w:rFonts w:ascii="Arial" w:hAnsi="Arial" w:cs="Arial"/>
          <w:lang w:val="es-AR"/>
        </w:rPr>
        <w:fldChar w:fldCharType="begin"/>
      </w:r>
      <w:r w:rsidRPr="00476F57">
        <w:rPr>
          <w:rFonts w:ascii="Arial" w:hAnsi="Arial" w:cs="Arial"/>
        </w:rPr>
        <w:instrText xml:space="preserve"> ADDIN EN.REFLIST </w:instrText>
      </w:r>
      <w:r w:rsidRPr="00476F57">
        <w:rPr>
          <w:rFonts w:ascii="Arial" w:hAnsi="Arial" w:cs="Arial"/>
          <w:lang w:val="es-AR"/>
        </w:rPr>
        <w:fldChar w:fldCharType="separate"/>
      </w:r>
      <w:bookmarkStart w:id="1" w:name="_ENREF_1"/>
      <w:r w:rsidRPr="00476F57">
        <w:rPr>
          <w:rFonts w:ascii="Arial" w:hAnsi="Arial" w:cs="Arial"/>
          <w:noProof/>
        </w:rPr>
        <w:t>1.</w:t>
      </w:r>
      <w:r w:rsidRPr="00476F57">
        <w:rPr>
          <w:rFonts w:ascii="Arial" w:hAnsi="Arial" w:cs="Arial"/>
          <w:noProof/>
        </w:rPr>
        <w:tab/>
        <w:t xml:space="preserve">Wright JM, Musini VM: </w:t>
      </w:r>
      <w:r w:rsidRPr="00476F57">
        <w:rPr>
          <w:rFonts w:ascii="Arial" w:hAnsi="Arial" w:cs="Arial"/>
          <w:b/>
          <w:noProof/>
        </w:rPr>
        <w:t>First-line drugs for hypertension</w:t>
      </w:r>
      <w:r w:rsidRPr="00476F57">
        <w:rPr>
          <w:rFonts w:ascii="Arial" w:hAnsi="Arial" w:cs="Arial"/>
          <w:noProof/>
        </w:rPr>
        <w:t xml:space="preserve">. </w:t>
      </w:r>
      <w:r w:rsidRPr="00C95EBC">
        <w:rPr>
          <w:rFonts w:ascii="Arial" w:hAnsi="Arial" w:cs="Arial"/>
          <w:i/>
          <w:noProof/>
        </w:rPr>
        <w:t>The Cochrane databa</w:t>
      </w:r>
      <w:r w:rsidRPr="00476F57">
        <w:rPr>
          <w:rFonts w:ascii="Arial" w:hAnsi="Arial" w:cs="Arial"/>
          <w:i/>
          <w:noProof/>
        </w:rPr>
        <w:t xml:space="preserve">se of systematic reviews </w:t>
      </w:r>
      <w:r w:rsidRPr="00476F57">
        <w:rPr>
          <w:rFonts w:ascii="Arial" w:hAnsi="Arial" w:cs="Arial"/>
          <w:noProof/>
        </w:rPr>
        <w:t>2009(3):CD001841.</w:t>
      </w:r>
      <w:bookmarkEnd w:id="1"/>
    </w:p>
    <w:p w:rsidR="00F83FA0" w:rsidRPr="00476F57" w:rsidRDefault="00F83FA0" w:rsidP="003B0845">
      <w:pPr>
        <w:spacing w:after="0" w:line="240" w:lineRule="auto"/>
        <w:ind w:left="720" w:hanging="720"/>
        <w:jc w:val="both"/>
        <w:rPr>
          <w:rFonts w:ascii="Arial" w:hAnsi="Arial" w:cs="Arial"/>
          <w:noProof/>
          <w:lang w:val="es-ES"/>
        </w:rPr>
      </w:pPr>
      <w:bookmarkStart w:id="2" w:name="_ENREF_2"/>
      <w:r w:rsidRPr="00476F57">
        <w:rPr>
          <w:rFonts w:ascii="Arial" w:hAnsi="Arial" w:cs="Arial"/>
          <w:noProof/>
        </w:rPr>
        <w:t>2.</w:t>
      </w:r>
      <w:r w:rsidRPr="00476F57">
        <w:rPr>
          <w:rFonts w:ascii="Arial" w:hAnsi="Arial" w:cs="Arial"/>
          <w:noProof/>
        </w:rPr>
        <w:tab/>
        <w:t xml:space="preserve">Group UPDS: </w:t>
      </w:r>
      <w:r w:rsidRPr="00476F57">
        <w:rPr>
          <w:rFonts w:ascii="Arial" w:hAnsi="Arial" w:cs="Arial"/>
          <w:b/>
          <w:noProof/>
        </w:rPr>
        <w:t>Effect of intensive blood-glucose control with metformin on complications in overweight patients with type 2 diabetes (UKPDS 34)</w:t>
      </w:r>
      <w:r w:rsidRPr="00476F57">
        <w:rPr>
          <w:rFonts w:ascii="Arial" w:hAnsi="Arial" w:cs="Arial"/>
          <w:noProof/>
        </w:rPr>
        <w:t xml:space="preserve">. </w:t>
      </w:r>
      <w:r w:rsidRPr="00476F57">
        <w:rPr>
          <w:rFonts w:ascii="Arial" w:hAnsi="Arial" w:cs="Arial"/>
          <w:i/>
          <w:noProof/>
          <w:lang w:val="es-ES"/>
        </w:rPr>
        <w:t xml:space="preserve">The Lancet </w:t>
      </w:r>
      <w:r w:rsidRPr="00476F57">
        <w:rPr>
          <w:rFonts w:ascii="Arial" w:hAnsi="Arial" w:cs="Arial"/>
          <w:noProof/>
          <w:lang w:val="es-ES"/>
        </w:rPr>
        <w:t xml:space="preserve">1998, </w:t>
      </w:r>
      <w:r w:rsidRPr="00476F57">
        <w:rPr>
          <w:rFonts w:ascii="Arial" w:hAnsi="Arial" w:cs="Arial"/>
          <w:b/>
          <w:noProof/>
          <w:lang w:val="es-ES"/>
        </w:rPr>
        <w:t>352</w:t>
      </w:r>
      <w:r w:rsidRPr="00476F57">
        <w:rPr>
          <w:rFonts w:ascii="Arial" w:hAnsi="Arial" w:cs="Arial"/>
          <w:noProof/>
          <w:lang w:val="es-ES"/>
        </w:rPr>
        <w:t>(9131):854-865.</w:t>
      </w:r>
      <w:bookmarkEnd w:id="2"/>
    </w:p>
    <w:p w:rsidR="00F83FA0" w:rsidRPr="00476F57" w:rsidRDefault="00F83FA0" w:rsidP="003B0845">
      <w:pPr>
        <w:spacing w:after="0" w:line="240" w:lineRule="auto"/>
        <w:ind w:left="720" w:hanging="720"/>
        <w:jc w:val="both"/>
        <w:rPr>
          <w:rFonts w:ascii="Arial" w:hAnsi="Arial" w:cs="Arial"/>
          <w:noProof/>
          <w:lang w:val="es-ES"/>
        </w:rPr>
      </w:pPr>
      <w:bookmarkStart w:id="3" w:name="_ENREF_3"/>
      <w:r w:rsidRPr="00476F57">
        <w:rPr>
          <w:rFonts w:ascii="Arial" w:hAnsi="Arial" w:cs="Arial"/>
          <w:noProof/>
          <w:lang w:val="es-ES"/>
        </w:rPr>
        <w:t>3.</w:t>
      </w:r>
      <w:r w:rsidRPr="00476F57">
        <w:rPr>
          <w:rFonts w:ascii="Arial" w:hAnsi="Arial" w:cs="Arial"/>
          <w:noProof/>
          <w:lang w:val="es-ES"/>
        </w:rPr>
        <w:tab/>
        <w:t xml:space="preserve">Bruni JM: </w:t>
      </w:r>
      <w:r w:rsidRPr="00476F57">
        <w:rPr>
          <w:rFonts w:ascii="Arial" w:hAnsi="Arial" w:cs="Arial"/>
          <w:b/>
          <w:noProof/>
          <w:lang w:val="es-ES"/>
        </w:rPr>
        <w:t>Costos directos de la atención médica de las enfermedades atribuibles al consumo de tabaco en Argentina</w:t>
      </w:r>
      <w:r w:rsidRPr="00476F57">
        <w:rPr>
          <w:rFonts w:ascii="Arial" w:hAnsi="Arial" w:cs="Arial"/>
          <w:noProof/>
          <w:lang w:val="es-ES"/>
        </w:rPr>
        <w:t xml:space="preserve">. </w:t>
      </w:r>
      <w:r w:rsidRPr="00476F57">
        <w:rPr>
          <w:rFonts w:ascii="Arial" w:hAnsi="Arial" w:cs="Arial"/>
          <w:i/>
          <w:noProof/>
          <w:lang w:val="es-ES"/>
        </w:rPr>
        <w:t xml:space="preserve">Ministerio de Salud y Ambiente de la Nación Proyecto VIGIA Informe final </w:t>
      </w:r>
      <w:r w:rsidRPr="00476F57">
        <w:rPr>
          <w:rFonts w:ascii="Arial" w:hAnsi="Arial" w:cs="Arial"/>
          <w:noProof/>
          <w:lang w:val="es-ES"/>
        </w:rPr>
        <w:t>2004.</w:t>
      </w:r>
      <w:bookmarkEnd w:id="3"/>
    </w:p>
    <w:p w:rsidR="00F83FA0" w:rsidRPr="00476F57" w:rsidRDefault="00F83FA0" w:rsidP="003B0845">
      <w:pPr>
        <w:spacing w:after="0" w:line="240" w:lineRule="auto"/>
        <w:ind w:left="720" w:hanging="720"/>
        <w:jc w:val="both"/>
        <w:rPr>
          <w:rFonts w:ascii="Arial" w:hAnsi="Arial" w:cs="Arial"/>
          <w:noProof/>
          <w:lang w:val="es-ES"/>
        </w:rPr>
      </w:pPr>
      <w:bookmarkStart w:id="4" w:name="_ENREF_4"/>
      <w:r w:rsidRPr="00476F57">
        <w:rPr>
          <w:rFonts w:ascii="Arial" w:hAnsi="Arial" w:cs="Arial"/>
          <w:noProof/>
          <w:lang w:val="es-ES"/>
        </w:rPr>
        <w:t>4.</w:t>
      </w:r>
      <w:r w:rsidRPr="00476F57">
        <w:rPr>
          <w:rFonts w:ascii="Arial" w:hAnsi="Arial" w:cs="Arial"/>
          <w:noProof/>
          <w:lang w:val="es-ES"/>
        </w:rPr>
        <w:tab/>
        <w:t xml:space="preserve">Pichon-Riviere A, Alcaraz A, Bardach A, Augustovski F, Caporale J, Caccavo F: </w:t>
      </w:r>
      <w:r w:rsidRPr="00476F57">
        <w:rPr>
          <w:rFonts w:ascii="Arial" w:hAnsi="Arial" w:cs="Arial"/>
          <w:b/>
          <w:noProof/>
          <w:lang w:val="es-ES"/>
        </w:rPr>
        <w:t>Carga de enfermedad atribuible al tabaquismo en Argentina</w:t>
      </w:r>
      <w:r w:rsidRPr="00476F57">
        <w:rPr>
          <w:rFonts w:ascii="Arial" w:hAnsi="Arial" w:cs="Arial"/>
          <w:noProof/>
          <w:lang w:val="es-ES"/>
        </w:rPr>
        <w:t xml:space="preserve">. </w:t>
      </w:r>
      <w:r w:rsidRPr="00476F57">
        <w:rPr>
          <w:rFonts w:ascii="Arial" w:hAnsi="Arial" w:cs="Arial"/>
          <w:i/>
          <w:noProof/>
          <w:lang w:val="es-ES"/>
        </w:rPr>
        <w:t xml:space="preserve">Buenos Aires: Instituto de Efectividad Clínica y Sanitaria </w:t>
      </w:r>
      <w:r w:rsidRPr="00476F57">
        <w:rPr>
          <w:rFonts w:ascii="Arial" w:hAnsi="Arial" w:cs="Arial"/>
          <w:noProof/>
          <w:lang w:val="es-ES"/>
        </w:rPr>
        <w:t>2013.</w:t>
      </w:r>
      <w:bookmarkEnd w:id="4"/>
    </w:p>
    <w:p w:rsidR="00F83FA0" w:rsidRPr="00476F57" w:rsidRDefault="00F83FA0" w:rsidP="003B0845">
      <w:pPr>
        <w:spacing w:after="0" w:line="240" w:lineRule="auto"/>
        <w:ind w:left="720" w:hanging="720"/>
        <w:jc w:val="both"/>
        <w:rPr>
          <w:rFonts w:ascii="Arial" w:hAnsi="Arial" w:cs="Arial"/>
          <w:noProof/>
        </w:rPr>
      </w:pPr>
      <w:bookmarkStart w:id="5" w:name="_ENREF_5"/>
      <w:r w:rsidRPr="00476F57">
        <w:rPr>
          <w:rFonts w:ascii="Arial" w:hAnsi="Arial" w:cs="Arial"/>
          <w:noProof/>
          <w:lang w:val="es-ES"/>
        </w:rPr>
        <w:t>5.</w:t>
      </w:r>
      <w:r w:rsidRPr="00476F57">
        <w:rPr>
          <w:rFonts w:ascii="Arial" w:hAnsi="Arial" w:cs="Arial"/>
          <w:noProof/>
          <w:lang w:val="es-ES"/>
        </w:rPr>
        <w:tab/>
        <w:t xml:space="preserve">Botto F, HAUSMANN CV-S, Cúneo J, Herrera V, Ferrante D: </w:t>
      </w:r>
      <w:r w:rsidRPr="00476F57">
        <w:rPr>
          <w:rFonts w:ascii="Arial" w:hAnsi="Arial" w:cs="Arial"/>
          <w:b/>
          <w:noProof/>
          <w:lang w:val="es-ES"/>
        </w:rPr>
        <w:t>Costo-eficacia del uso de ramipril en pacientes de alto riesgo vascular en la Argentina</w:t>
      </w:r>
      <w:r w:rsidRPr="00476F57">
        <w:rPr>
          <w:rFonts w:ascii="Arial" w:hAnsi="Arial" w:cs="Arial"/>
          <w:noProof/>
          <w:lang w:val="es-ES"/>
        </w:rPr>
        <w:t xml:space="preserve">. </w:t>
      </w:r>
      <w:r w:rsidRPr="00476F57">
        <w:rPr>
          <w:rFonts w:ascii="Arial" w:hAnsi="Arial" w:cs="Arial"/>
          <w:i/>
          <w:noProof/>
        </w:rPr>
        <w:t xml:space="preserve">Rev Argent Cardiol </w:t>
      </w:r>
      <w:r w:rsidRPr="00476F57">
        <w:rPr>
          <w:rFonts w:ascii="Arial" w:hAnsi="Arial" w:cs="Arial"/>
          <w:noProof/>
        </w:rPr>
        <w:t xml:space="preserve">2003, </w:t>
      </w:r>
      <w:r w:rsidRPr="00476F57">
        <w:rPr>
          <w:rFonts w:ascii="Arial" w:hAnsi="Arial" w:cs="Arial"/>
          <w:b/>
          <w:noProof/>
        </w:rPr>
        <w:t>71</w:t>
      </w:r>
      <w:r w:rsidRPr="00476F57">
        <w:rPr>
          <w:rFonts w:ascii="Arial" w:hAnsi="Arial" w:cs="Arial"/>
          <w:noProof/>
        </w:rPr>
        <w:t>:16-22.</w:t>
      </w:r>
      <w:bookmarkEnd w:id="5"/>
    </w:p>
    <w:p w:rsidR="00F83FA0" w:rsidRPr="00476F57" w:rsidRDefault="00F83FA0" w:rsidP="003B0845">
      <w:pPr>
        <w:spacing w:after="0" w:line="240" w:lineRule="auto"/>
        <w:ind w:left="720" w:hanging="720"/>
        <w:jc w:val="both"/>
        <w:rPr>
          <w:rFonts w:ascii="Arial" w:hAnsi="Arial" w:cs="Arial"/>
          <w:noProof/>
        </w:rPr>
      </w:pPr>
      <w:bookmarkStart w:id="6" w:name="_ENREF_6"/>
      <w:r w:rsidRPr="00476F57">
        <w:rPr>
          <w:rFonts w:ascii="Arial" w:hAnsi="Arial" w:cs="Arial"/>
          <w:noProof/>
        </w:rPr>
        <w:t>6.</w:t>
      </w:r>
      <w:r w:rsidRPr="00476F57">
        <w:rPr>
          <w:rFonts w:ascii="Arial" w:hAnsi="Arial" w:cs="Arial"/>
          <w:noProof/>
        </w:rPr>
        <w:tab/>
        <w:t xml:space="preserve">Organization WH: </w:t>
      </w:r>
      <w:r w:rsidRPr="00476F57">
        <w:rPr>
          <w:rFonts w:ascii="Arial" w:hAnsi="Arial" w:cs="Arial"/>
          <w:b/>
          <w:noProof/>
        </w:rPr>
        <w:t>National burden of disease studies: a practical guide</w:t>
      </w:r>
      <w:r w:rsidRPr="00476F57">
        <w:rPr>
          <w:rFonts w:ascii="Arial" w:hAnsi="Arial" w:cs="Arial"/>
          <w:noProof/>
        </w:rPr>
        <w:t xml:space="preserve">. </w:t>
      </w:r>
      <w:r w:rsidRPr="00476F57">
        <w:rPr>
          <w:rFonts w:ascii="Arial" w:hAnsi="Arial" w:cs="Arial"/>
          <w:i/>
          <w:noProof/>
        </w:rPr>
        <w:t xml:space="preserve">Global Program on Evidence for Health Policy Geneva: World Health Organization </w:t>
      </w:r>
      <w:r w:rsidRPr="00476F57">
        <w:rPr>
          <w:rFonts w:ascii="Arial" w:hAnsi="Arial" w:cs="Arial"/>
          <w:noProof/>
        </w:rPr>
        <w:t>2001.</w:t>
      </w:r>
      <w:bookmarkEnd w:id="6"/>
    </w:p>
    <w:p w:rsidR="00F83FA0" w:rsidRPr="00476F57" w:rsidRDefault="00F83FA0" w:rsidP="003B0845">
      <w:pPr>
        <w:spacing w:after="0" w:line="240" w:lineRule="auto"/>
        <w:ind w:left="720" w:hanging="720"/>
        <w:jc w:val="both"/>
        <w:rPr>
          <w:rFonts w:ascii="Arial" w:hAnsi="Arial" w:cs="Arial"/>
          <w:noProof/>
        </w:rPr>
      </w:pPr>
      <w:bookmarkStart w:id="7" w:name="_ENREF_7"/>
      <w:r w:rsidRPr="00476F57">
        <w:rPr>
          <w:rFonts w:ascii="Arial" w:hAnsi="Arial" w:cs="Arial"/>
          <w:noProof/>
        </w:rPr>
        <w:t>7.</w:t>
      </w:r>
      <w:r w:rsidRPr="00476F57">
        <w:rPr>
          <w:rFonts w:ascii="Arial" w:hAnsi="Arial" w:cs="Arial"/>
          <w:noProof/>
        </w:rPr>
        <w:tab/>
        <w:t xml:space="preserve">Drummond MF, A. M: </w:t>
      </w:r>
      <w:r w:rsidRPr="00476F57">
        <w:rPr>
          <w:rFonts w:ascii="Arial" w:hAnsi="Arial" w:cs="Arial"/>
          <w:b/>
          <w:noProof/>
        </w:rPr>
        <w:t>Economic Evaluation in Health Care. Merging theory with practice</w:t>
      </w:r>
      <w:r w:rsidRPr="00476F57">
        <w:rPr>
          <w:rFonts w:ascii="Arial" w:hAnsi="Arial" w:cs="Arial"/>
          <w:noProof/>
        </w:rPr>
        <w:t>. 2001:Primera Edición. Oxford University Press.</w:t>
      </w:r>
      <w:bookmarkEnd w:id="7"/>
    </w:p>
    <w:p w:rsidR="00F83FA0" w:rsidRPr="00476F57" w:rsidRDefault="00F83FA0" w:rsidP="003B0845">
      <w:pPr>
        <w:spacing w:after="0" w:line="240" w:lineRule="auto"/>
        <w:ind w:left="720" w:hanging="720"/>
        <w:jc w:val="both"/>
        <w:rPr>
          <w:rFonts w:ascii="Arial" w:hAnsi="Arial" w:cs="Arial"/>
          <w:noProof/>
          <w:lang w:val="es-ES"/>
        </w:rPr>
      </w:pPr>
      <w:bookmarkStart w:id="8" w:name="_ENREF_8"/>
      <w:r w:rsidRPr="00476F57">
        <w:rPr>
          <w:rFonts w:ascii="Arial" w:hAnsi="Arial" w:cs="Arial"/>
          <w:noProof/>
        </w:rPr>
        <w:t>8.</w:t>
      </w:r>
      <w:r w:rsidRPr="00476F57">
        <w:rPr>
          <w:rFonts w:ascii="Arial" w:hAnsi="Arial" w:cs="Arial"/>
          <w:noProof/>
        </w:rPr>
        <w:tab/>
        <w:t xml:space="preserve">Drummond MF, O’Brien B, Stoddart GL, GW. T: </w:t>
      </w:r>
      <w:r w:rsidRPr="00476F57">
        <w:rPr>
          <w:rFonts w:ascii="Arial" w:hAnsi="Arial" w:cs="Arial"/>
          <w:b/>
          <w:noProof/>
        </w:rPr>
        <w:t>Methods for the Economic Evaluation of Health Care Programmes</w:t>
      </w:r>
      <w:r w:rsidRPr="00476F57">
        <w:rPr>
          <w:rFonts w:ascii="Arial" w:hAnsi="Arial" w:cs="Arial"/>
          <w:noProof/>
        </w:rPr>
        <w:t xml:space="preserve">. </w:t>
      </w:r>
      <w:r w:rsidRPr="00476F57">
        <w:rPr>
          <w:rFonts w:ascii="Arial" w:hAnsi="Arial" w:cs="Arial"/>
          <w:noProof/>
          <w:lang w:val="es-ES"/>
        </w:rPr>
        <w:t>2001:Segunda Edición. Oxford University Press.</w:t>
      </w:r>
      <w:bookmarkEnd w:id="8"/>
    </w:p>
    <w:p w:rsidR="00F83FA0" w:rsidRPr="00476F57" w:rsidRDefault="00F83FA0" w:rsidP="003B0845">
      <w:pPr>
        <w:spacing w:after="0" w:line="240" w:lineRule="auto"/>
        <w:ind w:left="720" w:hanging="720"/>
        <w:jc w:val="both"/>
        <w:rPr>
          <w:rFonts w:ascii="Arial" w:hAnsi="Arial" w:cs="Arial"/>
          <w:noProof/>
          <w:lang w:val="es-ES"/>
        </w:rPr>
      </w:pPr>
      <w:bookmarkStart w:id="9" w:name="_ENREF_9"/>
      <w:r w:rsidRPr="00476F57">
        <w:rPr>
          <w:rFonts w:ascii="Arial" w:hAnsi="Arial" w:cs="Arial"/>
          <w:noProof/>
          <w:lang w:val="es-ES"/>
        </w:rPr>
        <w:t>9.</w:t>
      </w:r>
      <w:r w:rsidRPr="00476F57">
        <w:rPr>
          <w:rFonts w:ascii="Arial" w:hAnsi="Arial" w:cs="Arial"/>
          <w:noProof/>
          <w:lang w:val="es-ES"/>
        </w:rPr>
        <w:tab/>
        <w:t xml:space="preserve">Conte Grand M, Perel P, Pitarque R, G. S: </w:t>
      </w:r>
      <w:r w:rsidRPr="00476F57">
        <w:rPr>
          <w:rFonts w:ascii="Arial" w:hAnsi="Arial" w:cs="Arial"/>
          <w:b/>
          <w:noProof/>
          <w:lang w:val="es-ES"/>
        </w:rPr>
        <w:t>Estimación del Costo Económico en Argentina de la Mortalidad atribuible al tabaco en adultos</w:t>
      </w:r>
      <w:r w:rsidRPr="00476F57">
        <w:rPr>
          <w:rFonts w:ascii="Arial" w:hAnsi="Arial" w:cs="Arial"/>
          <w:noProof/>
          <w:lang w:val="es-ES"/>
        </w:rPr>
        <w:t xml:space="preserve">.Disponible en: </w:t>
      </w:r>
      <w:hyperlink r:id="rId14" w:history="1">
        <w:r w:rsidRPr="00476F57">
          <w:rPr>
            <w:rStyle w:val="Hyperlink"/>
            <w:rFonts w:ascii="Arial" w:hAnsi="Arial" w:cs="Arial"/>
            <w:noProof/>
            <w:lang w:val="es-ES"/>
          </w:rPr>
          <w:t>http://ideas.repec.org/p/cem/doctra/253.html</w:t>
        </w:r>
      </w:hyperlink>
      <w:r w:rsidRPr="00476F57">
        <w:rPr>
          <w:rFonts w:ascii="Arial" w:hAnsi="Arial" w:cs="Arial"/>
          <w:noProof/>
          <w:lang w:val="es-ES"/>
        </w:rPr>
        <w:t>.</w:t>
      </w:r>
      <w:bookmarkEnd w:id="9"/>
    </w:p>
    <w:p w:rsidR="00F83FA0" w:rsidRPr="00476F57" w:rsidRDefault="00F83FA0" w:rsidP="003B0845">
      <w:pPr>
        <w:spacing w:after="0" w:line="240" w:lineRule="auto"/>
        <w:ind w:left="720" w:hanging="720"/>
        <w:jc w:val="both"/>
        <w:rPr>
          <w:rFonts w:ascii="Arial" w:hAnsi="Arial" w:cs="Arial"/>
          <w:noProof/>
        </w:rPr>
      </w:pPr>
      <w:bookmarkStart w:id="10" w:name="_ENREF_10"/>
      <w:r w:rsidRPr="00476F57">
        <w:rPr>
          <w:rFonts w:ascii="Arial" w:hAnsi="Arial" w:cs="Arial"/>
          <w:noProof/>
        </w:rPr>
        <w:t>10.</w:t>
      </w:r>
      <w:r w:rsidRPr="00476F57">
        <w:rPr>
          <w:rFonts w:ascii="Arial" w:hAnsi="Arial" w:cs="Arial"/>
          <w:noProof/>
        </w:rPr>
        <w:tab/>
        <w:t xml:space="preserve">Lemieux T: </w:t>
      </w:r>
      <w:r w:rsidRPr="00476F57">
        <w:rPr>
          <w:rFonts w:ascii="Arial" w:hAnsi="Arial" w:cs="Arial"/>
          <w:b/>
          <w:noProof/>
        </w:rPr>
        <w:t>The “Mincer equation” thirty years after schooling, experience, and earnings</w:t>
      </w:r>
      <w:r w:rsidRPr="00476F57">
        <w:rPr>
          <w:rFonts w:ascii="Arial" w:hAnsi="Arial" w:cs="Arial"/>
          <w:noProof/>
        </w:rPr>
        <w:t>: Springer; 2006.</w:t>
      </w:r>
      <w:bookmarkEnd w:id="10"/>
    </w:p>
    <w:p w:rsidR="00F83FA0" w:rsidRPr="00476F57" w:rsidRDefault="00F83FA0" w:rsidP="003B0845">
      <w:pPr>
        <w:spacing w:after="0" w:line="240" w:lineRule="auto"/>
        <w:ind w:left="720" w:hanging="720"/>
        <w:jc w:val="both"/>
        <w:rPr>
          <w:rFonts w:ascii="Arial" w:hAnsi="Arial" w:cs="Arial"/>
          <w:noProof/>
          <w:lang w:val="es-ES"/>
        </w:rPr>
      </w:pPr>
      <w:bookmarkStart w:id="11" w:name="_ENREF_11"/>
      <w:r w:rsidRPr="00476F57">
        <w:rPr>
          <w:rFonts w:ascii="Arial" w:hAnsi="Arial" w:cs="Arial"/>
          <w:noProof/>
        </w:rPr>
        <w:t>11.</w:t>
      </w:r>
      <w:r w:rsidRPr="00476F57">
        <w:rPr>
          <w:rFonts w:ascii="Arial" w:hAnsi="Arial" w:cs="Arial"/>
          <w:noProof/>
        </w:rPr>
        <w:tab/>
        <w:t xml:space="preserve">Harberger AC, Guillermo-Peón S: </w:t>
      </w:r>
      <w:r w:rsidRPr="00476F57">
        <w:rPr>
          <w:rFonts w:ascii="Arial" w:hAnsi="Arial" w:cs="Arial"/>
          <w:b/>
          <w:noProof/>
        </w:rPr>
        <w:t>Estimating private returns to education in Mexico</w:t>
      </w:r>
      <w:r w:rsidRPr="00476F57">
        <w:rPr>
          <w:rFonts w:ascii="Arial" w:hAnsi="Arial" w:cs="Arial"/>
          <w:noProof/>
        </w:rPr>
        <w:t xml:space="preserve">. </w:t>
      </w:r>
      <w:r w:rsidRPr="00476F57">
        <w:rPr>
          <w:rFonts w:ascii="Arial" w:hAnsi="Arial" w:cs="Arial"/>
          <w:i/>
          <w:noProof/>
          <w:lang w:val="es-ES"/>
        </w:rPr>
        <w:t xml:space="preserve">Latin american journal of economics </w:t>
      </w:r>
      <w:r w:rsidRPr="00476F57">
        <w:rPr>
          <w:rFonts w:ascii="Arial" w:hAnsi="Arial" w:cs="Arial"/>
          <w:noProof/>
          <w:lang w:val="es-ES"/>
        </w:rPr>
        <w:t xml:space="preserve">2012, </w:t>
      </w:r>
      <w:r w:rsidRPr="00476F57">
        <w:rPr>
          <w:rFonts w:ascii="Arial" w:hAnsi="Arial" w:cs="Arial"/>
          <w:b/>
          <w:noProof/>
          <w:lang w:val="es-ES"/>
        </w:rPr>
        <w:t>49</w:t>
      </w:r>
      <w:r w:rsidRPr="00476F57">
        <w:rPr>
          <w:rFonts w:ascii="Arial" w:hAnsi="Arial" w:cs="Arial"/>
          <w:noProof/>
          <w:lang w:val="es-ES"/>
        </w:rPr>
        <w:t>(1):1-35.</w:t>
      </w:r>
      <w:bookmarkEnd w:id="11"/>
    </w:p>
    <w:p w:rsidR="00F83FA0" w:rsidRPr="00476F57" w:rsidRDefault="00F83FA0" w:rsidP="003B0845">
      <w:pPr>
        <w:spacing w:after="0" w:line="240" w:lineRule="auto"/>
        <w:ind w:left="720" w:hanging="720"/>
        <w:jc w:val="both"/>
        <w:rPr>
          <w:rFonts w:ascii="Arial" w:hAnsi="Arial" w:cs="Arial"/>
          <w:noProof/>
        </w:rPr>
      </w:pPr>
      <w:bookmarkStart w:id="12" w:name="_ENREF_12"/>
      <w:r w:rsidRPr="00476F57">
        <w:rPr>
          <w:rFonts w:ascii="Arial" w:hAnsi="Arial" w:cs="Arial"/>
          <w:noProof/>
          <w:lang w:val="es-ES"/>
        </w:rPr>
        <w:t>12.</w:t>
      </w:r>
      <w:r w:rsidRPr="00476F57">
        <w:rPr>
          <w:rFonts w:ascii="Arial" w:hAnsi="Arial" w:cs="Arial"/>
          <w:noProof/>
          <w:lang w:val="es-ES"/>
        </w:rPr>
        <w:tab/>
        <w:t xml:space="preserve">Dirección de Estadísticas Poblacionales - Programa Análisis Demográfico: </w:t>
      </w:r>
      <w:r w:rsidRPr="00476F57">
        <w:rPr>
          <w:rFonts w:ascii="Arial" w:hAnsi="Arial" w:cs="Arial"/>
          <w:b/>
          <w:noProof/>
          <w:lang w:val="es-ES"/>
        </w:rPr>
        <w:t xml:space="preserve">Tablas abreviadas de mortalidad 2000-2001. </w:t>
      </w:r>
      <w:r w:rsidRPr="00476F57">
        <w:rPr>
          <w:rFonts w:ascii="Arial" w:hAnsi="Arial" w:cs="Arial"/>
          <w:b/>
          <w:noProof/>
        </w:rPr>
        <w:t>Total País y Provincias</w:t>
      </w:r>
      <w:r w:rsidRPr="00476F57">
        <w:rPr>
          <w:rFonts w:ascii="Arial" w:hAnsi="Arial" w:cs="Arial"/>
          <w:noProof/>
        </w:rPr>
        <w:t>. In</w:t>
      </w:r>
      <w:r w:rsidRPr="00476F57">
        <w:rPr>
          <w:rFonts w:ascii="Arial" w:hAnsi="Arial" w:cs="Arial"/>
          <w:i/>
          <w:noProof/>
        </w:rPr>
        <w:t>.</w:t>
      </w:r>
      <w:r w:rsidRPr="00476F57">
        <w:rPr>
          <w:rFonts w:ascii="Arial" w:hAnsi="Arial" w:cs="Arial"/>
          <w:noProof/>
        </w:rPr>
        <w:t xml:space="preserve"> Buenos Aires; 2005.</w:t>
      </w:r>
      <w:bookmarkEnd w:id="12"/>
    </w:p>
    <w:p w:rsidR="00F83FA0" w:rsidRPr="00476F57" w:rsidRDefault="00F83FA0" w:rsidP="003B0845">
      <w:pPr>
        <w:spacing w:after="0" w:line="240" w:lineRule="auto"/>
        <w:ind w:left="720" w:hanging="720"/>
        <w:jc w:val="both"/>
        <w:rPr>
          <w:rFonts w:ascii="Arial" w:hAnsi="Arial" w:cs="Arial"/>
          <w:noProof/>
        </w:rPr>
      </w:pPr>
      <w:bookmarkStart w:id="13" w:name="_ENREF_13"/>
      <w:r w:rsidRPr="00476F57">
        <w:rPr>
          <w:rFonts w:ascii="Arial" w:hAnsi="Arial" w:cs="Arial"/>
          <w:noProof/>
        </w:rPr>
        <w:t>13.</w:t>
      </w:r>
      <w:r w:rsidRPr="00476F57">
        <w:rPr>
          <w:rFonts w:ascii="Arial" w:hAnsi="Arial" w:cs="Arial"/>
          <w:noProof/>
        </w:rPr>
        <w:tab/>
        <w:t xml:space="preserve">Opperman C, Liebig D, Bowling J, Johnson CS, Harper M: </w:t>
      </w:r>
      <w:r w:rsidRPr="00476F57">
        <w:rPr>
          <w:rFonts w:ascii="Arial" w:hAnsi="Arial" w:cs="Arial"/>
          <w:b/>
          <w:noProof/>
        </w:rPr>
        <w:t>Measuring Return on Investment for Professional Development Activities: Implications for Practice</w:t>
      </w:r>
      <w:r w:rsidRPr="00476F57">
        <w:rPr>
          <w:rFonts w:ascii="Arial" w:hAnsi="Arial" w:cs="Arial"/>
          <w:noProof/>
        </w:rPr>
        <w:t xml:space="preserve">. </w:t>
      </w:r>
      <w:r w:rsidRPr="00476F57">
        <w:rPr>
          <w:rFonts w:ascii="Arial" w:hAnsi="Arial" w:cs="Arial"/>
          <w:i/>
          <w:noProof/>
        </w:rPr>
        <w:t xml:space="preserve">Journal for Nurses in Professional Development </w:t>
      </w:r>
      <w:r w:rsidRPr="00476F57">
        <w:rPr>
          <w:rFonts w:ascii="Arial" w:hAnsi="Arial" w:cs="Arial"/>
          <w:noProof/>
        </w:rPr>
        <w:t xml:space="preserve">2016, </w:t>
      </w:r>
      <w:r w:rsidRPr="00476F57">
        <w:rPr>
          <w:rFonts w:ascii="Arial" w:hAnsi="Arial" w:cs="Arial"/>
          <w:b/>
          <w:noProof/>
        </w:rPr>
        <w:t>32</w:t>
      </w:r>
      <w:r w:rsidRPr="00476F57">
        <w:rPr>
          <w:rFonts w:ascii="Arial" w:hAnsi="Arial" w:cs="Arial"/>
          <w:noProof/>
        </w:rPr>
        <w:t>(4):176-184.</w:t>
      </w:r>
      <w:bookmarkEnd w:id="13"/>
    </w:p>
    <w:p w:rsidR="00EC0296" w:rsidRPr="00476F57" w:rsidRDefault="00F83FA0" w:rsidP="00A31D02">
      <w:pPr>
        <w:spacing w:line="240" w:lineRule="auto"/>
        <w:ind w:left="720" w:hanging="720"/>
        <w:jc w:val="both"/>
        <w:rPr>
          <w:lang w:val="es-AR"/>
        </w:rPr>
      </w:pPr>
      <w:bookmarkStart w:id="14" w:name="_ENREF_14"/>
      <w:r w:rsidRPr="00476F57">
        <w:rPr>
          <w:rFonts w:ascii="Arial" w:hAnsi="Arial" w:cs="Arial"/>
          <w:noProof/>
        </w:rPr>
        <w:t>14.</w:t>
      </w:r>
      <w:r w:rsidRPr="00476F57">
        <w:rPr>
          <w:rFonts w:ascii="Arial" w:hAnsi="Arial" w:cs="Arial"/>
          <w:noProof/>
        </w:rPr>
        <w:tab/>
        <w:t xml:space="preserve">Oriol NE, Cote PJ, Vavasis AP, Bennet J, DeLorenzo D, Blanc P, Kohane I: </w:t>
      </w:r>
      <w:r w:rsidRPr="00476F57">
        <w:rPr>
          <w:rFonts w:ascii="Arial" w:hAnsi="Arial" w:cs="Arial"/>
          <w:b/>
          <w:noProof/>
        </w:rPr>
        <w:t>Calculating the return on investment of mobile healthcare</w:t>
      </w:r>
      <w:r w:rsidRPr="00476F57">
        <w:rPr>
          <w:rFonts w:ascii="Arial" w:hAnsi="Arial" w:cs="Arial"/>
          <w:noProof/>
        </w:rPr>
        <w:t xml:space="preserve">. </w:t>
      </w:r>
      <w:r w:rsidRPr="00476F57">
        <w:rPr>
          <w:rFonts w:ascii="Arial" w:hAnsi="Arial" w:cs="Arial"/>
          <w:i/>
          <w:noProof/>
        </w:rPr>
        <w:t xml:space="preserve">BMC Medicine </w:t>
      </w:r>
      <w:r w:rsidRPr="00476F57">
        <w:rPr>
          <w:rFonts w:ascii="Arial" w:hAnsi="Arial" w:cs="Arial"/>
          <w:noProof/>
        </w:rPr>
        <w:t xml:space="preserve">2009, </w:t>
      </w:r>
      <w:r w:rsidRPr="00476F57">
        <w:rPr>
          <w:rFonts w:ascii="Arial" w:hAnsi="Arial" w:cs="Arial"/>
          <w:b/>
          <w:noProof/>
        </w:rPr>
        <w:t>7</w:t>
      </w:r>
      <w:r w:rsidRPr="00476F57">
        <w:rPr>
          <w:rFonts w:ascii="Arial" w:hAnsi="Arial" w:cs="Arial"/>
          <w:noProof/>
        </w:rPr>
        <w:t>(1):1-6.</w:t>
      </w:r>
      <w:bookmarkEnd w:id="14"/>
      <w:r w:rsidR="00A31D02">
        <w:rPr>
          <w:rFonts w:ascii="Arial" w:hAnsi="Arial" w:cs="Arial"/>
          <w:noProof/>
        </w:rPr>
        <w:t xml:space="preserve"> </w:t>
      </w:r>
      <w:r w:rsidRPr="00476F57">
        <w:rPr>
          <w:rFonts w:ascii="Arial" w:hAnsi="Arial" w:cs="Arial"/>
          <w:lang w:val="es-AR"/>
        </w:rPr>
        <w:fldChar w:fldCharType="end"/>
      </w:r>
    </w:p>
    <w:sectPr w:rsidR="00EC0296" w:rsidRPr="00476F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2D3" w:rsidRDefault="00B512D3" w:rsidP="00F83FA0">
      <w:pPr>
        <w:spacing w:after="0" w:line="240" w:lineRule="auto"/>
      </w:pPr>
      <w:r>
        <w:separator/>
      </w:r>
    </w:p>
  </w:endnote>
  <w:endnote w:type="continuationSeparator" w:id="0">
    <w:p w:rsidR="00B512D3" w:rsidRDefault="00B512D3" w:rsidP="00F83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2D3" w:rsidRDefault="00B512D3" w:rsidP="00F83FA0">
      <w:pPr>
        <w:spacing w:after="0" w:line="240" w:lineRule="auto"/>
      </w:pPr>
      <w:r>
        <w:separator/>
      </w:r>
    </w:p>
  </w:footnote>
  <w:footnote w:type="continuationSeparator" w:id="0">
    <w:p w:rsidR="00B512D3" w:rsidRDefault="00B512D3" w:rsidP="00F83FA0">
      <w:pPr>
        <w:spacing w:after="0" w:line="240" w:lineRule="auto"/>
      </w:pPr>
      <w:r>
        <w:continuationSeparator/>
      </w:r>
    </w:p>
  </w:footnote>
  <w:footnote w:id="1">
    <w:p w:rsidR="00672E05" w:rsidRPr="00E6560F" w:rsidRDefault="00672E05" w:rsidP="00672E05">
      <w:pPr>
        <w:pStyle w:val="FootnoteText"/>
        <w:tabs>
          <w:tab w:val="left" w:pos="360"/>
        </w:tabs>
        <w:ind w:left="360" w:hanging="360"/>
        <w:jc w:val="both"/>
        <w:rPr>
          <w:rFonts w:ascii="Arial" w:hAnsi="Arial" w:cs="Arial"/>
          <w:sz w:val="18"/>
          <w:szCs w:val="18"/>
          <w:lang w:val="es-ES_tradnl"/>
        </w:rPr>
      </w:pPr>
      <w:r w:rsidRPr="00E6560F">
        <w:rPr>
          <w:rStyle w:val="FootnoteReference"/>
          <w:rFonts w:ascii="Arial" w:hAnsi="Arial" w:cs="Arial"/>
          <w:sz w:val="18"/>
          <w:szCs w:val="18"/>
        </w:rPr>
        <w:footnoteRef/>
      </w:r>
      <w:r w:rsidRPr="00E6560F">
        <w:rPr>
          <w:rFonts w:ascii="Arial" w:hAnsi="Arial" w:cs="Arial"/>
          <w:sz w:val="18"/>
          <w:szCs w:val="18"/>
          <w:lang w:val="es-ES_tradnl"/>
        </w:rPr>
        <w:t xml:space="preserve"> </w:t>
      </w:r>
      <w:r w:rsidRPr="00E6560F">
        <w:rPr>
          <w:rFonts w:ascii="Arial" w:hAnsi="Arial" w:cs="Arial"/>
          <w:sz w:val="18"/>
          <w:szCs w:val="18"/>
          <w:lang w:val="es-ES_tradnl"/>
        </w:rPr>
        <w:tab/>
        <w:t>Las localidades no REDES tenían valores de línea de base superiores a los de REDES para los indicadores de impacto, por lo que esta estimación corresponde razonablemente con un efecto mínimo. Adicionalmente, se realiza un análisis de sensibilidad, respecto al porcentaje de la diferencia en mortalidad que es atribuible a REDES.</w:t>
      </w:r>
    </w:p>
  </w:footnote>
  <w:footnote w:id="2">
    <w:p w:rsidR="00672E05" w:rsidRPr="00E6560F" w:rsidRDefault="00672E05" w:rsidP="00672E05">
      <w:pPr>
        <w:pStyle w:val="FootnoteText"/>
        <w:tabs>
          <w:tab w:val="left" w:pos="360"/>
        </w:tabs>
        <w:ind w:left="360" w:hanging="360"/>
        <w:jc w:val="both"/>
        <w:rPr>
          <w:rFonts w:ascii="Arial" w:hAnsi="Arial" w:cs="Arial"/>
          <w:spacing w:val="-2"/>
          <w:sz w:val="18"/>
          <w:szCs w:val="18"/>
          <w:lang w:val="es-ES_tradnl"/>
        </w:rPr>
      </w:pPr>
      <w:r w:rsidRPr="00E6560F">
        <w:rPr>
          <w:rStyle w:val="FootnoteReference"/>
          <w:rFonts w:ascii="Arial" w:hAnsi="Arial" w:cs="Arial"/>
          <w:sz w:val="18"/>
          <w:szCs w:val="18"/>
        </w:rPr>
        <w:footnoteRef/>
      </w:r>
      <w:r w:rsidRPr="00E6560F">
        <w:rPr>
          <w:rFonts w:ascii="Arial" w:hAnsi="Arial" w:cs="Arial"/>
          <w:sz w:val="18"/>
          <w:szCs w:val="18"/>
          <w:lang w:val="es-ES_tradnl"/>
        </w:rPr>
        <w:t xml:space="preserve"> </w:t>
      </w:r>
      <w:r w:rsidRPr="00E6560F">
        <w:rPr>
          <w:rFonts w:ascii="Arial" w:hAnsi="Arial" w:cs="Arial"/>
          <w:sz w:val="18"/>
          <w:szCs w:val="18"/>
          <w:lang w:val="es-ES_tradnl"/>
        </w:rPr>
        <w:tab/>
      </w:r>
      <w:r w:rsidRPr="00E6560F">
        <w:rPr>
          <w:rFonts w:ascii="Arial" w:hAnsi="Arial" w:cs="Arial"/>
          <w:spacing w:val="-2"/>
          <w:sz w:val="18"/>
          <w:szCs w:val="18"/>
          <w:lang w:val="es-ES_tradnl"/>
        </w:rPr>
        <w:t xml:space="preserve">RR: compara la frecuencia con que ocurre el daño entre los que tienen el factor de riesgo y los que no lo tienen. </w:t>
      </w:r>
      <w:r w:rsidRPr="00E6560F">
        <w:rPr>
          <w:rFonts w:ascii="Arial" w:hAnsi="Arial" w:cs="Arial"/>
          <w:spacing w:val="-2"/>
          <w:sz w:val="18"/>
          <w:szCs w:val="18"/>
          <w:lang w:val="es-AR"/>
        </w:rPr>
        <w:t xml:space="preserve">Para mayor información sobre la fórmula empleada referirse al Cochrane Handbook: </w:t>
      </w:r>
      <w:hyperlink r:id="rId1" w:history="1">
        <w:r w:rsidRPr="00E6560F">
          <w:rPr>
            <w:rStyle w:val="Hyperlink"/>
            <w:rFonts w:ascii="Arial" w:hAnsi="Arial" w:cs="Arial"/>
            <w:spacing w:val="-2"/>
            <w:sz w:val="18"/>
            <w:szCs w:val="18"/>
            <w:lang w:val="es-AR"/>
          </w:rPr>
          <w:t>http://handbook.cochrane.org/chapter_12/12_5_4_2_computing_absolute_risk_reduction_or_nnt_from_a_risk.htm</w:t>
        </w:r>
      </w:hyperlink>
    </w:p>
  </w:footnote>
  <w:footnote w:id="3">
    <w:p w:rsidR="00672E05" w:rsidRPr="00E6560F" w:rsidRDefault="00672E05" w:rsidP="00E6560F">
      <w:pPr>
        <w:pStyle w:val="FootnoteText"/>
        <w:tabs>
          <w:tab w:val="left" w:pos="360"/>
        </w:tabs>
        <w:ind w:left="360" w:hanging="360"/>
        <w:jc w:val="both"/>
        <w:rPr>
          <w:rFonts w:ascii="Arial" w:hAnsi="Arial" w:cs="Arial"/>
          <w:sz w:val="18"/>
          <w:szCs w:val="18"/>
          <w:lang w:val="es-AR"/>
        </w:rPr>
      </w:pPr>
      <w:r w:rsidRPr="00E6560F">
        <w:rPr>
          <w:rStyle w:val="FootnoteReference"/>
          <w:rFonts w:ascii="Arial" w:hAnsi="Arial" w:cs="Arial"/>
          <w:sz w:val="18"/>
          <w:szCs w:val="18"/>
        </w:rPr>
        <w:footnoteRef/>
      </w:r>
      <w:r w:rsidRPr="00E6560F">
        <w:rPr>
          <w:rFonts w:ascii="Arial" w:hAnsi="Arial" w:cs="Arial"/>
          <w:sz w:val="18"/>
          <w:szCs w:val="18"/>
          <w:lang w:val="es-ES"/>
        </w:rPr>
        <w:t xml:space="preserve"> </w:t>
      </w:r>
      <w:r w:rsidR="00E6560F">
        <w:rPr>
          <w:rFonts w:ascii="Arial" w:hAnsi="Arial" w:cs="Arial"/>
          <w:sz w:val="18"/>
          <w:szCs w:val="18"/>
          <w:lang w:val="es-ES"/>
        </w:rPr>
        <w:tab/>
      </w:r>
      <w:r w:rsidRPr="00E6560F">
        <w:rPr>
          <w:rFonts w:ascii="Arial" w:hAnsi="Arial" w:cs="Arial"/>
          <w:sz w:val="18"/>
          <w:szCs w:val="18"/>
          <w:lang w:val="es-AR"/>
        </w:rPr>
        <w:t>El total no suma 100% ya que aproximadamente un 14% del total reportó ser hipertenso y diabético.</w:t>
      </w:r>
    </w:p>
  </w:footnote>
  <w:footnote w:id="4">
    <w:p w:rsidR="00672E05" w:rsidRPr="00476F57" w:rsidRDefault="00672E05" w:rsidP="00E6560F">
      <w:pPr>
        <w:pStyle w:val="FootnoteText"/>
        <w:tabs>
          <w:tab w:val="left" w:pos="360"/>
        </w:tabs>
        <w:ind w:left="360" w:hanging="360"/>
        <w:jc w:val="both"/>
        <w:rPr>
          <w:sz w:val="18"/>
          <w:szCs w:val="18"/>
          <w:lang w:val="es-AR"/>
        </w:rPr>
      </w:pPr>
      <w:r w:rsidRPr="00E6560F">
        <w:rPr>
          <w:rStyle w:val="FootnoteReference"/>
          <w:rFonts w:ascii="Arial" w:hAnsi="Arial" w:cs="Arial"/>
          <w:sz w:val="18"/>
          <w:szCs w:val="18"/>
        </w:rPr>
        <w:footnoteRef/>
      </w:r>
      <w:r w:rsidRPr="00E6560F">
        <w:rPr>
          <w:rFonts w:ascii="Arial" w:hAnsi="Arial" w:cs="Arial"/>
          <w:sz w:val="18"/>
          <w:szCs w:val="18"/>
          <w:lang w:val="es-ES"/>
        </w:rPr>
        <w:t xml:space="preserve"> </w:t>
      </w:r>
      <w:r w:rsidRPr="00E6560F">
        <w:rPr>
          <w:rFonts w:ascii="Arial" w:hAnsi="Arial" w:cs="Arial"/>
          <w:sz w:val="18"/>
          <w:szCs w:val="18"/>
          <w:lang w:val="es-ES"/>
        </w:rPr>
        <w:tab/>
      </w:r>
      <w:r w:rsidRPr="00E6560F">
        <w:rPr>
          <w:rFonts w:ascii="Arial" w:hAnsi="Arial" w:cs="Arial"/>
          <w:sz w:val="18"/>
          <w:szCs w:val="18"/>
          <w:lang w:val="es-AR"/>
        </w:rPr>
        <w:t>El costo total del programa para el año 2013 f</w:t>
      </w:r>
      <w:r w:rsidR="00E6560F">
        <w:rPr>
          <w:rFonts w:ascii="Arial" w:hAnsi="Arial" w:cs="Arial"/>
          <w:sz w:val="18"/>
          <w:szCs w:val="18"/>
          <w:lang w:val="es-AR"/>
        </w:rPr>
        <w:t>ue de USD</w:t>
      </w:r>
      <w:r w:rsidRPr="00E6560F">
        <w:rPr>
          <w:rFonts w:ascii="Arial" w:hAnsi="Arial" w:cs="Arial"/>
          <w:sz w:val="18"/>
          <w:szCs w:val="18"/>
          <w:lang w:val="es-AR"/>
        </w:rPr>
        <w:t>21.600.000, se lo convirtió a pesos al tipo de cambio vigente del 31/12/2013, $/USD=6.5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48EF"/>
    <w:multiLevelType w:val="hybridMultilevel"/>
    <w:tmpl w:val="FDEAA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D2C17"/>
    <w:multiLevelType w:val="hybridMultilevel"/>
    <w:tmpl w:val="67A47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E064D"/>
    <w:multiLevelType w:val="hybridMultilevel"/>
    <w:tmpl w:val="49140D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755C8"/>
    <w:multiLevelType w:val="hybridMultilevel"/>
    <w:tmpl w:val="3C9A5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E05B54"/>
    <w:multiLevelType w:val="hybridMultilevel"/>
    <w:tmpl w:val="BFD254B8"/>
    <w:lvl w:ilvl="0" w:tplc="21C4D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A17BB"/>
    <w:multiLevelType w:val="hybridMultilevel"/>
    <w:tmpl w:val="3C0AC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D832B4"/>
    <w:multiLevelType w:val="hybridMultilevel"/>
    <w:tmpl w:val="CEE25EB6"/>
    <w:lvl w:ilvl="0" w:tplc="21C4D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950296"/>
    <w:multiLevelType w:val="hybridMultilevel"/>
    <w:tmpl w:val="EB5E3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BA27FE"/>
    <w:multiLevelType w:val="hybridMultilevel"/>
    <w:tmpl w:val="2070E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F9647E"/>
    <w:multiLevelType w:val="hybridMultilevel"/>
    <w:tmpl w:val="28F49006"/>
    <w:lvl w:ilvl="0" w:tplc="21C4D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0C2EA6"/>
    <w:multiLevelType w:val="hybridMultilevel"/>
    <w:tmpl w:val="7DD4A480"/>
    <w:lvl w:ilvl="0" w:tplc="7D360A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842FDA"/>
    <w:multiLevelType w:val="hybridMultilevel"/>
    <w:tmpl w:val="28F49006"/>
    <w:lvl w:ilvl="0" w:tplc="21C4D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223234"/>
    <w:multiLevelType w:val="hybridMultilevel"/>
    <w:tmpl w:val="E988B16A"/>
    <w:lvl w:ilvl="0" w:tplc="04090001">
      <w:start w:val="1"/>
      <w:numFmt w:val="bullet"/>
      <w:lvlText w:val=""/>
      <w:lvlJc w:val="left"/>
      <w:pPr>
        <w:ind w:left="720" w:hanging="360"/>
      </w:pPr>
      <w:rPr>
        <w:rFonts w:ascii="Symbol" w:hAnsi="Symbol" w:hint="default"/>
      </w:rPr>
    </w:lvl>
    <w:lvl w:ilvl="1" w:tplc="000B04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3529C6"/>
    <w:multiLevelType w:val="hybridMultilevel"/>
    <w:tmpl w:val="2AE62D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5915DF"/>
    <w:multiLevelType w:val="multilevel"/>
    <w:tmpl w:val="BD28436A"/>
    <w:lvl w:ilvl="0">
      <w:start w:val="1"/>
      <w:numFmt w:val="upperRoman"/>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5">
    <w:nsid w:val="53FD5C37"/>
    <w:multiLevelType w:val="hybridMultilevel"/>
    <w:tmpl w:val="C804B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B94C31"/>
    <w:multiLevelType w:val="hybridMultilevel"/>
    <w:tmpl w:val="8A72D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53538A"/>
    <w:multiLevelType w:val="hybridMultilevel"/>
    <w:tmpl w:val="2FDA207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2AF1BD7"/>
    <w:multiLevelType w:val="hybridMultilevel"/>
    <w:tmpl w:val="642E9902"/>
    <w:lvl w:ilvl="0" w:tplc="21C4D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80413B"/>
    <w:multiLevelType w:val="multilevel"/>
    <w:tmpl w:val="147662F4"/>
    <w:lvl w:ilvl="0">
      <w:start w:val="7"/>
      <w:numFmt w:val="upperRoman"/>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0">
    <w:nsid w:val="6DDB48C0"/>
    <w:multiLevelType w:val="hybridMultilevel"/>
    <w:tmpl w:val="5386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7748E0"/>
    <w:multiLevelType w:val="hybridMultilevel"/>
    <w:tmpl w:val="E3F82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092C04"/>
    <w:multiLevelType w:val="hybridMultilevel"/>
    <w:tmpl w:val="022C9D52"/>
    <w:lvl w:ilvl="0" w:tplc="21C4DDE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D96521"/>
    <w:multiLevelType w:val="hybridMultilevel"/>
    <w:tmpl w:val="FA88B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FC48F4"/>
    <w:multiLevelType w:val="hybridMultilevel"/>
    <w:tmpl w:val="B73E57EE"/>
    <w:lvl w:ilvl="0" w:tplc="21C4DDE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CE2DA3"/>
    <w:multiLevelType w:val="hybridMultilevel"/>
    <w:tmpl w:val="00C62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E303E1"/>
    <w:multiLevelType w:val="hybridMultilevel"/>
    <w:tmpl w:val="ED1CDE9C"/>
    <w:lvl w:ilvl="0" w:tplc="04090013">
      <w:start w:val="1"/>
      <w:numFmt w:val="upperRoman"/>
      <w:lvlText w:val="%1."/>
      <w:lvlJc w:val="right"/>
      <w:pPr>
        <w:ind w:left="720" w:hanging="360"/>
      </w:pPr>
      <w:rPr>
        <w:rFonts w:hint="default"/>
      </w:rPr>
    </w:lvl>
    <w:lvl w:ilvl="1" w:tplc="04090013">
      <w:start w:val="1"/>
      <w:numFmt w:val="upperRoman"/>
      <w:lvlText w:val="%2."/>
      <w:lvlJc w:val="right"/>
      <w:pPr>
        <w:ind w:left="1350" w:hanging="360"/>
      </w:pPr>
    </w:lvl>
    <w:lvl w:ilvl="2" w:tplc="00010409">
      <w:start w:val="1"/>
      <w:numFmt w:val="bullet"/>
      <w:lvlText w:val=""/>
      <w:lvlJc w:val="left"/>
      <w:pPr>
        <w:tabs>
          <w:tab w:val="num" w:pos="80"/>
        </w:tabs>
        <w:ind w:left="8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391755"/>
    <w:multiLevelType w:val="hybridMultilevel"/>
    <w:tmpl w:val="98208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20"/>
  </w:num>
  <w:num w:numId="4">
    <w:abstractNumId w:val="25"/>
  </w:num>
  <w:num w:numId="5">
    <w:abstractNumId w:val="19"/>
  </w:num>
  <w:num w:numId="6">
    <w:abstractNumId w:val="17"/>
  </w:num>
  <w:num w:numId="7">
    <w:abstractNumId w:val="26"/>
  </w:num>
  <w:num w:numId="8">
    <w:abstractNumId w:val="27"/>
  </w:num>
  <w:num w:numId="9">
    <w:abstractNumId w:val="10"/>
  </w:num>
  <w:num w:numId="10">
    <w:abstractNumId w:val="22"/>
  </w:num>
  <w:num w:numId="11">
    <w:abstractNumId w:val="13"/>
  </w:num>
  <w:num w:numId="12">
    <w:abstractNumId w:val="24"/>
  </w:num>
  <w:num w:numId="13">
    <w:abstractNumId w:val="1"/>
  </w:num>
  <w:num w:numId="14">
    <w:abstractNumId w:val="2"/>
  </w:num>
  <w:num w:numId="15">
    <w:abstractNumId w:val="21"/>
  </w:num>
  <w:num w:numId="16">
    <w:abstractNumId w:val="8"/>
  </w:num>
  <w:num w:numId="17">
    <w:abstractNumId w:val="7"/>
  </w:num>
  <w:num w:numId="18">
    <w:abstractNumId w:val="9"/>
  </w:num>
  <w:num w:numId="19">
    <w:abstractNumId w:val="16"/>
  </w:num>
  <w:num w:numId="20">
    <w:abstractNumId w:val="15"/>
  </w:num>
  <w:num w:numId="21">
    <w:abstractNumId w:val="3"/>
  </w:num>
  <w:num w:numId="22">
    <w:abstractNumId w:val="23"/>
  </w:num>
  <w:num w:numId="23">
    <w:abstractNumId w:val="5"/>
  </w:num>
  <w:num w:numId="24">
    <w:abstractNumId w:val="0"/>
  </w:num>
  <w:num w:numId="25">
    <w:abstractNumId w:val="4"/>
  </w:num>
  <w:num w:numId="26">
    <w:abstractNumId w:val="6"/>
  </w:num>
  <w:num w:numId="27">
    <w:abstractNumId w:val="18"/>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F61"/>
    <w:rsid w:val="00000454"/>
    <w:rsid w:val="000D7D8B"/>
    <w:rsid w:val="00180837"/>
    <w:rsid w:val="00194188"/>
    <w:rsid w:val="001B35B8"/>
    <w:rsid w:val="001B3B45"/>
    <w:rsid w:val="001F47D1"/>
    <w:rsid w:val="00203415"/>
    <w:rsid w:val="00294FC6"/>
    <w:rsid w:val="00320819"/>
    <w:rsid w:val="00324E36"/>
    <w:rsid w:val="00332F4D"/>
    <w:rsid w:val="003B0845"/>
    <w:rsid w:val="003B24D4"/>
    <w:rsid w:val="00476F57"/>
    <w:rsid w:val="00490080"/>
    <w:rsid w:val="004B77D1"/>
    <w:rsid w:val="004E4FFE"/>
    <w:rsid w:val="00544F02"/>
    <w:rsid w:val="005A3483"/>
    <w:rsid w:val="00672E05"/>
    <w:rsid w:val="006A4ED8"/>
    <w:rsid w:val="006C53BC"/>
    <w:rsid w:val="00913651"/>
    <w:rsid w:val="00941F61"/>
    <w:rsid w:val="00A31D02"/>
    <w:rsid w:val="00B512D3"/>
    <w:rsid w:val="00B60C5F"/>
    <w:rsid w:val="00B66897"/>
    <w:rsid w:val="00BB3248"/>
    <w:rsid w:val="00C76F5F"/>
    <w:rsid w:val="00C95EBC"/>
    <w:rsid w:val="00D04E60"/>
    <w:rsid w:val="00DB1E26"/>
    <w:rsid w:val="00E54E23"/>
    <w:rsid w:val="00E6560F"/>
    <w:rsid w:val="00EC0296"/>
    <w:rsid w:val="00F01FCD"/>
    <w:rsid w:val="00F83FA0"/>
    <w:rsid w:val="00FF3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F61"/>
    <w:pPr>
      <w:ind w:left="720"/>
      <w:contextualSpacing/>
    </w:pPr>
  </w:style>
  <w:style w:type="paragraph" w:styleId="BodyText">
    <w:name w:val="Body Text"/>
    <w:basedOn w:val="Normal"/>
    <w:link w:val="BodyTextChar"/>
    <w:uiPriority w:val="99"/>
    <w:semiHidden/>
    <w:unhideWhenUsed/>
    <w:rsid w:val="00941F61"/>
    <w:pPr>
      <w:spacing w:after="120" w:line="240" w:lineRule="auto"/>
    </w:pPr>
    <w:rPr>
      <w:rFonts w:ascii="Cambria" w:eastAsia="MS Mincho" w:hAnsi="Cambria" w:cs="Times New Roman"/>
      <w:sz w:val="24"/>
      <w:szCs w:val="24"/>
      <w:lang w:eastAsia="ja-JP"/>
    </w:rPr>
  </w:style>
  <w:style w:type="character" w:customStyle="1" w:styleId="BodyTextChar">
    <w:name w:val="Body Text Char"/>
    <w:basedOn w:val="DefaultParagraphFont"/>
    <w:link w:val="BodyText"/>
    <w:uiPriority w:val="99"/>
    <w:semiHidden/>
    <w:rsid w:val="00941F61"/>
    <w:rPr>
      <w:rFonts w:ascii="Cambria" w:eastAsia="MS Mincho" w:hAnsi="Cambria" w:cs="Times New Roman"/>
      <w:sz w:val="24"/>
      <w:szCs w:val="24"/>
      <w:lang w:eastAsia="ja-JP"/>
    </w:rPr>
  </w:style>
  <w:style w:type="paragraph" w:styleId="Title">
    <w:name w:val="Title"/>
    <w:basedOn w:val="Normal"/>
    <w:link w:val="TitleChar"/>
    <w:qFormat/>
    <w:rsid w:val="00941F61"/>
    <w:pPr>
      <w:tabs>
        <w:tab w:val="left" w:pos="1440"/>
        <w:tab w:val="left" w:pos="3060"/>
      </w:tabs>
      <w:spacing w:after="0" w:line="240" w:lineRule="auto"/>
      <w:jc w:val="center"/>
      <w:outlineLvl w:val="0"/>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941F61"/>
    <w:rPr>
      <w:rFonts w:ascii="Times New Roman" w:eastAsia="Times New Roman" w:hAnsi="Times New Roman" w:cs="Times New Roman"/>
      <w:sz w:val="24"/>
      <w:szCs w:val="20"/>
    </w:rPr>
  </w:style>
  <w:style w:type="paragraph" w:customStyle="1" w:styleId="Newpage">
    <w:name w:val="Newpage"/>
    <w:basedOn w:val="Normal"/>
    <w:rsid w:val="00941F61"/>
    <w:pPr>
      <w:tabs>
        <w:tab w:val="left" w:pos="1440"/>
        <w:tab w:val="left" w:pos="3060"/>
      </w:tabs>
      <w:spacing w:after="0" w:line="240" w:lineRule="auto"/>
      <w:jc w:val="center"/>
    </w:pPr>
    <w:rPr>
      <w:rFonts w:ascii="Times New Roman" w:eastAsia="Times New Roman" w:hAnsi="Times New Roman" w:cs="Arial"/>
      <w:b/>
      <w:smallCaps/>
      <w:sz w:val="24"/>
      <w:szCs w:val="20"/>
    </w:rPr>
  </w:style>
  <w:style w:type="character" w:styleId="Hyperlink">
    <w:name w:val="Hyperlink"/>
    <w:basedOn w:val="DefaultParagraphFont"/>
    <w:uiPriority w:val="99"/>
    <w:unhideWhenUsed/>
    <w:rsid w:val="00F83FA0"/>
    <w:rPr>
      <w:color w:val="0000FF" w:themeColor="hyperlink"/>
      <w:u w:val="single"/>
    </w:rPr>
  </w:style>
  <w:style w:type="paragraph" w:styleId="FootnoteText">
    <w:name w:val="footnote text"/>
    <w:basedOn w:val="Normal"/>
    <w:link w:val="FootnoteTextChar"/>
    <w:uiPriority w:val="99"/>
    <w:semiHidden/>
    <w:unhideWhenUsed/>
    <w:rsid w:val="00F83F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3FA0"/>
    <w:rPr>
      <w:sz w:val="20"/>
      <w:szCs w:val="20"/>
    </w:rPr>
  </w:style>
  <w:style w:type="character" w:styleId="FootnoteReference">
    <w:name w:val="footnote reference"/>
    <w:basedOn w:val="DefaultParagraphFont"/>
    <w:uiPriority w:val="99"/>
    <w:semiHidden/>
    <w:unhideWhenUsed/>
    <w:rsid w:val="00F83FA0"/>
    <w:rPr>
      <w:vertAlign w:val="superscript"/>
    </w:rPr>
  </w:style>
  <w:style w:type="paragraph" w:styleId="BalloonText">
    <w:name w:val="Balloon Text"/>
    <w:basedOn w:val="Normal"/>
    <w:link w:val="BalloonTextChar"/>
    <w:uiPriority w:val="99"/>
    <w:semiHidden/>
    <w:unhideWhenUsed/>
    <w:rsid w:val="00F83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FA0"/>
    <w:rPr>
      <w:rFonts w:ascii="Tahoma" w:hAnsi="Tahoma" w:cs="Tahoma"/>
      <w:sz w:val="16"/>
      <w:szCs w:val="16"/>
    </w:rPr>
  </w:style>
  <w:style w:type="paragraph" w:styleId="CommentText">
    <w:name w:val="annotation text"/>
    <w:basedOn w:val="Normal"/>
    <w:link w:val="CommentTextChar"/>
    <w:uiPriority w:val="99"/>
    <w:semiHidden/>
    <w:unhideWhenUsed/>
    <w:rsid w:val="00F83FA0"/>
    <w:pPr>
      <w:spacing w:line="240" w:lineRule="auto"/>
    </w:pPr>
    <w:rPr>
      <w:sz w:val="24"/>
      <w:szCs w:val="24"/>
    </w:rPr>
  </w:style>
  <w:style w:type="character" w:customStyle="1" w:styleId="CommentTextChar">
    <w:name w:val="Comment Text Char"/>
    <w:basedOn w:val="DefaultParagraphFont"/>
    <w:link w:val="CommentText"/>
    <w:uiPriority w:val="99"/>
    <w:semiHidden/>
    <w:rsid w:val="00F83FA0"/>
    <w:rPr>
      <w:sz w:val="24"/>
      <w:szCs w:val="24"/>
    </w:rPr>
  </w:style>
  <w:style w:type="paragraph" w:styleId="CommentSubject">
    <w:name w:val="annotation subject"/>
    <w:basedOn w:val="CommentText"/>
    <w:next w:val="CommentText"/>
    <w:link w:val="CommentSubjectChar"/>
    <w:uiPriority w:val="99"/>
    <w:semiHidden/>
    <w:unhideWhenUsed/>
    <w:rsid w:val="00F83FA0"/>
    <w:rPr>
      <w:b/>
      <w:bCs/>
      <w:sz w:val="20"/>
      <w:szCs w:val="20"/>
    </w:rPr>
  </w:style>
  <w:style w:type="character" w:customStyle="1" w:styleId="CommentSubjectChar">
    <w:name w:val="Comment Subject Char"/>
    <w:basedOn w:val="CommentTextChar"/>
    <w:link w:val="CommentSubject"/>
    <w:uiPriority w:val="99"/>
    <w:semiHidden/>
    <w:rsid w:val="00F83FA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F61"/>
    <w:pPr>
      <w:ind w:left="720"/>
      <w:contextualSpacing/>
    </w:pPr>
  </w:style>
  <w:style w:type="paragraph" w:styleId="BodyText">
    <w:name w:val="Body Text"/>
    <w:basedOn w:val="Normal"/>
    <w:link w:val="BodyTextChar"/>
    <w:uiPriority w:val="99"/>
    <w:semiHidden/>
    <w:unhideWhenUsed/>
    <w:rsid w:val="00941F61"/>
    <w:pPr>
      <w:spacing w:after="120" w:line="240" w:lineRule="auto"/>
    </w:pPr>
    <w:rPr>
      <w:rFonts w:ascii="Cambria" w:eastAsia="MS Mincho" w:hAnsi="Cambria" w:cs="Times New Roman"/>
      <w:sz w:val="24"/>
      <w:szCs w:val="24"/>
      <w:lang w:eastAsia="ja-JP"/>
    </w:rPr>
  </w:style>
  <w:style w:type="character" w:customStyle="1" w:styleId="BodyTextChar">
    <w:name w:val="Body Text Char"/>
    <w:basedOn w:val="DefaultParagraphFont"/>
    <w:link w:val="BodyText"/>
    <w:uiPriority w:val="99"/>
    <w:semiHidden/>
    <w:rsid w:val="00941F61"/>
    <w:rPr>
      <w:rFonts w:ascii="Cambria" w:eastAsia="MS Mincho" w:hAnsi="Cambria" w:cs="Times New Roman"/>
      <w:sz w:val="24"/>
      <w:szCs w:val="24"/>
      <w:lang w:eastAsia="ja-JP"/>
    </w:rPr>
  </w:style>
  <w:style w:type="paragraph" w:styleId="Title">
    <w:name w:val="Title"/>
    <w:basedOn w:val="Normal"/>
    <w:link w:val="TitleChar"/>
    <w:qFormat/>
    <w:rsid w:val="00941F61"/>
    <w:pPr>
      <w:tabs>
        <w:tab w:val="left" w:pos="1440"/>
        <w:tab w:val="left" w:pos="3060"/>
      </w:tabs>
      <w:spacing w:after="0" w:line="240" w:lineRule="auto"/>
      <w:jc w:val="center"/>
      <w:outlineLvl w:val="0"/>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941F61"/>
    <w:rPr>
      <w:rFonts w:ascii="Times New Roman" w:eastAsia="Times New Roman" w:hAnsi="Times New Roman" w:cs="Times New Roman"/>
      <w:sz w:val="24"/>
      <w:szCs w:val="20"/>
    </w:rPr>
  </w:style>
  <w:style w:type="paragraph" w:customStyle="1" w:styleId="Newpage">
    <w:name w:val="Newpage"/>
    <w:basedOn w:val="Normal"/>
    <w:rsid w:val="00941F61"/>
    <w:pPr>
      <w:tabs>
        <w:tab w:val="left" w:pos="1440"/>
        <w:tab w:val="left" w:pos="3060"/>
      </w:tabs>
      <w:spacing w:after="0" w:line="240" w:lineRule="auto"/>
      <w:jc w:val="center"/>
    </w:pPr>
    <w:rPr>
      <w:rFonts w:ascii="Times New Roman" w:eastAsia="Times New Roman" w:hAnsi="Times New Roman" w:cs="Arial"/>
      <w:b/>
      <w:smallCaps/>
      <w:sz w:val="24"/>
      <w:szCs w:val="20"/>
    </w:rPr>
  </w:style>
  <w:style w:type="character" w:styleId="Hyperlink">
    <w:name w:val="Hyperlink"/>
    <w:basedOn w:val="DefaultParagraphFont"/>
    <w:uiPriority w:val="99"/>
    <w:unhideWhenUsed/>
    <w:rsid w:val="00F83FA0"/>
    <w:rPr>
      <w:color w:val="0000FF" w:themeColor="hyperlink"/>
      <w:u w:val="single"/>
    </w:rPr>
  </w:style>
  <w:style w:type="paragraph" w:styleId="FootnoteText">
    <w:name w:val="footnote text"/>
    <w:basedOn w:val="Normal"/>
    <w:link w:val="FootnoteTextChar"/>
    <w:uiPriority w:val="99"/>
    <w:semiHidden/>
    <w:unhideWhenUsed/>
    <w:rsid w:val="00F83F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3FA0"/>
    <w:rPr>
      <w:sz w:val="20"/>
      <w:szCs w:val="20"/>
    </w:rPr>
  </w:style>
  <w:style w:type="character" w:styleId="FootnoteReference">
    <w:name w:val="footnote reference"/>
    <w:basedOn w:val="DefaultParagraphFont"/>
    <w:uiPriority w:val="99"/>
    <w:semiHidden/>
    <w:unhideWhenUsed/>
    <w:rsid w:val="00F83FA0"/>
    <w:rPr>
      <w:vertAlign w:val="superscript"/>
    </w:rPr>
  </w:style>
  <w:style w:type="paragraph" w:styleId="BalloonText">
    <w:name w:val="Balloon Text"/>
    <w:basedOn w:val="Normal"/>
    <w:link w:val="BalloonTextChar"/>
    <w:uiPriority w:val="99"/>
    <w:semiHidden/>
    <w:unhideWhenUsed/>
    <w:rsid w:val="00F83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FA0"/>
    <w:rPr>
      <w:rFonts w:ascii="Tahoma" w:hAnsi="Tahoma" w:cs="Tahoma"/>
      <w:sz w:val="16"/>
      <w:szCs w:val="16"/>
    </w:rPr>
  </w:style>
  <w:style w:type="paragraph" w:styleId="CommentText">
    <w:name w:val="annotation text"/>
    <w:basedOn w:val="Normal"/>
    <w:link w:val="CommentTextChar"/>
    <w:uiPriority w:val="99"/>
    <w:semiHidden/>
    <w:unhideWhenUsed/>
    <w:rsid w:val="00F83FA0"/>
    <w:pPr>
      <w:spacing w:line="240" w:lineRule="auto"/>
    </w:pPr>
    <w:rPr>
      <w:sz w:val="24"/>
      <w:szCs w:val="24"/>
    </w:rPr>
  </w:style>
  <w:style w:type="character" w:customStyle="1" w:styleId="CommentTextChar">
    <w:name w:val="Comment Text Char"/>
    <w:basedOn w:val="DefaultParagraphFont"/>
    <w:link w:val="CommentText"/>
    <w:uiPriority w:val="99"/>
    <w:semiHidden/>
    <w:rsid w:val="00F83FA0"/>
    <w:rPr>
      <w:sz w:val="24"/>
      <w:szCs w:val="24"/>
    </w:rPr>
  </w:style>
  <w:style w:type="paragraph" w:styleId="CommentSubject">
    <w:name w:val="annotation subject"/>
    <w:basedOn w:val="CommentText"/>
    <w:next w:val="CommentText"/>
    <w:link w:val="CommentSubjectChar"/>
    <w:uiPriority w:val="99"/>
    <w:semiHidden/>
    <w:unhideWhenUsed/>
    <w:rsid w:val="00F83FA0"/>
    <w:rPr>
      <w:b/>
      <w:bCs/>
      <w:sz w:val="20"/>
      <w:szCs w:val="20"/>
    </w:rPr>
  </w:style>
  <w:style w:type="character" w:customStyle="1" w:styleId="CommentSubjectChar">
    <w:name w:val="Comment Subject Char"/>
    <w:basedOn w:val="CommentTextChar"/>
    <w:link w:val="CommentSubject"/>
    <w:uiPriority w:val="99"/>
    <w:semiHidden/>
    <w:rsid w:val="00F83F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ideas.repec.org/p/cem/doctra/253.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handbook.cochrane.org/chapter_12/12_5_4_2_computing_absolute_risk_reduction_or_nnt_from_a_risk.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riosan\AppData\Local\Microsoft\Windows\Temporary%20Internet%20Files\Content.Outlook\O8CJA4TJ\AS_M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210028058593099"/>
          <c:y val="4.1529721162803915E-2"/>
          <c:w val="0.55666208310557397"/>
          <c:h val="0.68454890108433419"/>
        </c:manualLayout>
      </c:layout>
      <c:scatterChart>
        <c:scatterStyle val="smoothMarker"/>
        <c:varyColors val="0"/>
        <c:ser>
          <c:idx val="1"/>
          <c:order val="0"/>
          <c:tx>
            <c:strRef>
              <c:f>[AS_MP.xlsx]AS_muertes!$C$2</c:f>
              <c:strCache>
                <c:ptCount val="1"/>
                <c:pt idx="0">
                  <c:v>ROI</c:v>
                </c:pt>
              </c:strCache>
            </c:strRef>
          </c:tx>
          <c:spPr>
            <a:ln>
              <a:solidFill>
                <a:schemeClr val="accent1"/>
              </a:solidFill>
            </a:ln>
          </c:spPr>
          <c:marker>
            <c:symbol val="circle"/>
            <c:size val="5"/>
            <c:spPr>
              <a:solidFill>
                <a:schemeClr val="accent1"/>
              </a:solidFill>
              <a:ln>
                <a:solidFill>
                  <a:schemeClr val="accent1"/>
                </a:solidFill>
              </a:ln>
            </c:spPr>
          </c:marker>
          <c:xVal>
            <c:numRef>
              <c:f>[AS_MP.xlsx]AS_muertes!$C$3:$C$23</c:f>
              <c:numCache>
                <c:formatCode>0.00</c:formatCode>
                <c:ptCount val="21"/>
                <c:pt idx="0">
                  <c:v>2.4928011981622622</c:v>
                </c:pt>
                <c:pt idx="1">
                  <c:v>2.3688095317826869</c:v>
                </c:pt>
                <c:pt idx="2">
                  <c:v>2.2448178654031112</c:v>
                </c:pt>
                <c:pt idx="3">
                  <c:v>2.120826199023536</c:v>
                </c:pt>
                <c:pt idx="4">
                  <c:v>1.9968345326439603</c:v>
                </c:pt>
                <c:pt idx="5">
                  <c:v>1.872842866264385</c:v>
                </c:pt>
                <c:pt idx="6">
                  <c:v>1.7488511998848095</c:v>
                </c:pt>
                <c:pt idx="7">
                  <c:v>1.624859533505234</c:v>
                </c:pt>
                <c:pt idx="8">
                  <c:v>1.5008678671256586</c:v>
                </c:pt>
                <c:pt idx="9">
                  <c:v>1.3768762007460835</c:v>
                </c:pt>
                <c:pt idx="10">
                  <c:v>1.252884534366508</c:v>
                </c:pt>
                <c:pt idx="11">
                  <c:v>1.1288928679869328</c:v>
                </c:pt>
                <c:pt idx="12">
                  <c:v>1.0049012016073575</c:v>
                </c:pt>
                <c:pt idx="13">
                  <c:v>0.88090953522778237</c:v>
                </c:pt>
                <c:pt idx="14">
                  <c:v>0.75691786884820722</c:v>
                </c:pt>
                <c:pt idx="15">
                  <c:v>0.63292620246863185</c:v>
                </c:pt>
                <c:pt idx="16">
                  <c:v>0.5089345360890567</c:v>
                </c:pt>
                <c:pt idx="17">
                  <c:v>0.38494286970948144</c:v>
                </c:pt>
                <c:pt idx="18">
                  <c:v>0.26095120332990618</c:v>
                </c:pt>
                <c:pt idx="19">
                  <c:v>0.13695953695033092</c:v>
                </c:pt>
                <c:pt idx="20">
                  <c:v>1.2967870570755611E-2</c:v>
                </c:pt>
              </c:numCache>
            </c:numRef>
          </c:xVal>
          <c:yVal>
            <c:numRef>
              <c:f>[AS_MP.xlsx]AS_muertes!$A$3:$A$23</c:f>
              <c:numCache>
                <c:formatCode>0.00%</c:formatCode>
                <c:ptCount val="21"/>
                <c:pt idx="0" formatCode="0%">
                  <c:v>1</c:v>
                </c:pt>
                <c:pt idx="1">
                  <c:v>0.95</c:v>
                </c:pt>
                <c:pt idx="2">
                  <c:v>0.89999999999999991</c:v>
                </c:pt>
                <c:pt idx="3">
                  <c:v>0.84999999999999987</c:v>
                </c:pt>
                <c:pt idx="4">
                  <c:v>0.79999999999999982</c:v>
                </c:pt>
                <c:pt idx="5">
                  <c:v>0.74999999999999978</c:v>
                </c:pt>
                <c:pt idx="6">
                  <c:v>0.69999999999999973</c:v>
                </c:pt>
                <c:pt idx="7">
                  <c:v>0.64999999999999969</c:v>
                </c:pt>
                <c:pt idx="8">
                  <c:v>0.59999999999999964</c:v>
                </c:pt>
                <c:pt idx="9">
                  <c:v>0.5499999999999996</c:v>
                </c:pt>
                <c:pt idx="10">
                  <c:v>0.49999999999999961</c:v>
                </c:pt>
                <c:pt idx="11">
                  <c:v>0.44999999999999962</c:v>
                </c:pt>
                <c:pt idx="12">
                  <c:v>0.39999999999999963</c:v>
                </c:pt>
                <c:pt idx="13">
                  <c:v>0.34999999999999964</c:v>
                </c:pt>
                <c:pt idx="14">
                  <c:v>0.29999999999999966</c:v>
                </c:pt>
                <c:pt idx="15">
                  <c:v>0.24999999999999967</c:v>
                </c:pt>
                <c:pt idx="16">
                  <c:v>0.19999999999999968</c:v>
                </c:pt>
                <c:pt idx="17">
                  <c:v>0.14999999999999969</c:v>
                </c:pt>
                <c:pt idx="18">
                  <c:v>9.9999999999999686E-2</c:v>
                </c:pt>
                <c:pt idx="19">
                  <c:v>4.9999999999999684E-2</c:v>
                </c:pt>
                <c:pt idx="20">
                  <c:v>-3.1918911957973251E-16</c:v>
                </c:pt>
              </c:numCache>
            </c:numRef>
          </c:yVal>
          <c:smooth val="1"/>
        </c:ser>
        <c:dLbls>
          <c:showLegendKey val="0"/>
          <c:showVal val="0"/>
          <c:showCatName val="0"/>
          <c:showSerName val="0"/>
          <c:showPercent val="0"/>
          <c:showBubbleSize val="0"/>
        </c:dLbls>
        <c:axId val="256635264"/>
        <c:axId val="256697856"/>
      </c:scatterChart>
      <c:valAx>
        <c:axId val="256635264"/>
        <c:scaling>
          <c:orientation val="minMax"/>
          <c:min val="0"/>
        </c:scaling>
        <c:delete val="0"/>
        <c:axPos val="b"/>
        <c:title>
          <c:tx>
            <c:rich>
              <a:bodyPr/>
              <a:lstStyle/>
              <a:p>
                <a:pPr>
                  <a:defRPr/>
                </a:pPr>
                <a:r>
                  <a:rPr lang="en-US"/>
                  <a:t>Retorno de la inversión</a:t>
                </a:r>
              </a:p>
            </c:rich>
          </c:tx>
          <c:layout/>
          <c:overlay val="0"/>
        </c:title>
        <c:numFmt formatCode="0.00" sourceLinked="1"/>
        <c:majorTickMark val="none"/>
        <c:minorTickMark val="none"/>
        <c:tickLblPos val="low"/>
        <c:crossAx val="256697856"/>
        <c:crosses val="autoZero"/>
        <c:crossBetween val="midCat"/>
      </c:valAx>
      <c:valAx>
        <c:axId val="256697856"/>
        <c:scaling>
          <c:orientation val="minMax"/>
          <c:min val="0"/>
        </c:scaling>
        <c:delete val="0"/>
        <c:axPos val="l"/>
        <c:majorGridlines>
          <c:spPr>
            <a:ln>
              <a:prstDash val="sysDash"/>
            </a:ln>
          </c:spPr>
        </c:majorGridlines>
        <c:title>
          <c:tx>
            <c:rich>
              <a:bodyPr/>
              <a:lstStyle/>
              <a:p>
                <a:pPr>
                  <a:defRPr/>
                </a:pPr>
                <a:r>
                  <a:rPr lang="en-US"/>
                  <a:t>% del ahorro por muertes prematuras atribuible a Redes</a:t>
                </a:r>
              </a:p>
            </c:rich>
          </c:tx>
          <c:layout/>
          <c:overlay val="0"/>
        </c:title>
        <c:numFmt formatCode="0%" sourceLinked="1"/>
        <c:majorTickMark val="none"/>
        <c:minorTickMark val="none"/>
        <c:tickLblPos val="low"/>
        <c:spPr>
          <a:ln w="19050"/>
        </c:spPr>
        <c:crossAx val="256635264"/>
        <c:crossesAt val="1"/>
        <c:crossBetween val="midCat"/>
        <c:majorUnit val="0.1"/>
        <c:minorUnit val="1.0000000000000002E-2"/>
      </c:valAx>
      <c:spPr>
        <a:noFill/>
        <a:ln w="25400">
          <a:noFill/>
        </a:ln>
      </c:spPr>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08906EEB8136F74FA146255C7A556015" ma:contentTypeVersion="0" ma:contentTypeDescription="A content type to manage public (operations) IDB documents" ma:contentTypeScope="" ma:versionID="6d5525b9b9db585d191aeea75534aed2">
  <xsd:schema xmlns:xsd="http://www.w3.org/2001/XMLSchema" xmlns:xs="http://www.w3.org/2001/XMLSchema" xmlns:p="http://schemas.microsoft.com/office/2006/metadata/properties" xmlns:ns2="9c571b2f-e523-4ab2-ba2e-09e151a03ef4" targetNamespace="http://schemas.microsoft.com/office/2006/metadata/properties" ma:root="true" ma:fieldsID="6bfe46e4c83422ab72b735076e7988d3"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7e3e8b7-b0c0-4a85-90a4-39ae7e6b1e0c}" ma:internalName="TaxCatchAll" ma:showField="CatchAllData" ma:web="1920e0c9-23ea-4319-93c5-bce2be32d0d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7e3e8b7-b0c0-4a85-90a4-39ae7e6b1e0c}" ma:internalName="TaxCatchAllLabel" ma:readOnly="true" ma:showField="CatchAllDataLabel" ma:web="1920e0c9-23ea-4319-93c5-bce2be32d0d4">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f0be0ad-272c-4e7f-a157-3f0abda6cde5" ContentTypeId="0x01010046CF21643EE8D14686A648AA6DAD0892" PreviousValue="false"/>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j8b96605ee2f4c4e988849e658583fee xmlns="9c571b2f-e523-4ab2-ba2e-09e151a03ef4">
      <Terms xmlns="http://schemas.microsoft.com/office/infopath/2007/PartnerControls"/>
    </j8b96605ee2f4c4e988849e658583fee>
    <Disclosure_x0020_Activity xmlns="9c571b2f-e523-4ab2-ba2e-09e151a03ef4">Loan Proposal</Disclosure_x0020_Activity>
    <Key_x0020_Document xmlns="9c571b2f-e523-4ab2-ba2e-09e151a03ef4">false</Key_x0020_Document>
    <Division_x0020_or_x0020_Unit xmlns="9c571b2f-e523-4ab2-ba2e-09e151a03ef4">SCL/SPH</Division_x0020_or_x0020_Unit>
    <Other_x0020_Author xmlns="9c571b2f-e523-4ab2-ba2e-09e151a03ef4" xsi:nil="true"/>
    <Region xmlns="9c571b2f-e523-4ab2-ba2e-09e151a03ef4" xsi:nil="true"/>
    <IDBDocs_x0020_Number xmlns="9c571b2f-e523-4ab2-ba2e-09e151a03ef4">40427553</IDBDocs_x0020_Number>
    <Document_x0020_Author xmlns="9c571b2f-e523-4ab2-ba2e-09e151a03ef4">Sanchez, Mario Alberto</Document_x0020_Author>
    <Publication_x0020_Type xmlns="9c571b2f-e523-4ab2-ba2e-09e151a03ef4" xsi:nil="true"/>
    <Operation_x0020_Type xmlns="9c571b2f-e523-4ab2-ba2e-09e151a03ef4" xsi:nil="true"/>
    <TaxCatchAll xmlns="9c571b2f-e523-4ab2-ba2e-09e151a03ef4">
      <Value>2</Value>
      <Value>4</Value>
    </TaxCatchAll>
    <Fiscal_x0020_Year_x0020_IDB xmlns="9c571b2f-e523-4ab2-ba2e-09e151a03ef4">2016</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AR-L1196</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Proposal&lt;/USER_STAGE&gt;&lt;PD_OBJ_TYPE&gt;0&lt;/PD_OBJ_TYPE&gt;&lt;DTAPPROVAL&gt;Oct 19 2016 12:00AM&lt;/DTAPPROVAL&gt;&lt;MAKERECORD&gt;N&lt;/MAKERECORD&gt;&lt;/Data&gt;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IS-INS</Webtopic>
    <Identifier xmlns="9c571b2f-e523-4ab2-ba2e-09e151a03ef4">PR-4426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documentManagement>
</p:properties>
</file>

<file path=customXml/itemProps1.xml><?xml version="1.0" encoding="utf-8"?>
<ds:datastoreItem xmlns:ds="http://schemas.openxmlformats.org/officeDocument/2006/customXml" ds:itemID="{8A251B5D-5B23-4905-9F2A-731D75BB8832}"/>
</file>

<file path=customXml/itemProps2.xml><?xml version="1.0" encoding="utf-8"?>
<ds:datastoreItem xmlns:ds="http://schemas.openxmlformats.org/officeDocument/2006/customXml" ds:itemID="{8ED5ED7C-44B1-474B-A375-4AE619E6D8EE}"/>
</file>

<file path=customXml/itemProps3.xml><?xml version="1.0" encoding="utf-8"?>
<ds:datastoreItem xmlns:ds="http://schemas.openxmlformats.org/officeDocument/2006/customXml" ds:itemID="{FFCA5703-C163-42DA-B851-9C98BA22E94C}"/>
</file>

<file path=customXml/itemProps4.xml><?xml version="1.0" encoding="utf-8"?>
<ds:datastoreItem xmlns:ds="http://schemas.openxmlformats.org/officeDocument/2006/customXml" ds:itemID="{1D64B4A3-9FB4-4F7F-AA6F-64982F04B2F7}"/>
</file>

<file path=customXml/itemProps5.xml><?xml version="1.0" encoding="utf-8"?>
<ds:datastoreItem xmlns:ds="http://schemas.openxmlformats.org/officeDocument/2006/customXml" ds:itemID="{9CCF1917-90B0-410D-996E-82DA3ED31990}"/>
</file>

<file path=customXml/itemProps6.xml><?xml version="1.0" encoding="utf-8"?>
<ds:datastoreItem xmlns:ds="http://schemas.openxmlformats.org/officeDocument/2006/customXml" ds:itemID="{4633D9CC-6F4D-4C6B-8BF1-EE4B591E0BEE}"/>
</file>

<file path=docProps/app.xml><?xml version="1.0" encoding="utf-8"?>
<Properties xmlns="http://schemas.openxmlformats.org/officeDocument/2006/extended-properties" xmlns:vt="http://schemas.openxmlformats.org/officeDocument/2006/docPropsVTypes">
  <Template>Normal.dotm</Template>
  <TotalTime>9</TotalTime>
  <Pages>15</Pages>
  <Words>7295</Words>
  <Characters>41588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48786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Enlace opc_ - Análisis Económico</dc:title>
  <dc:creator>Test</dc:creator>
  <cp:lastModifiedBy>Inter-American Development Bank</cp:lastModifiedBy>
  <cp:revision>5</cp:revision>
  <dcterms:created xsi:type="dcterms:W3CDTF">2016-08-03T19:30:00Z</dcterms:created>
  <dcterms:modified xsi:type="dcterms:W3CDTF">2016-08-03T20:01:00Z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0x01010046CF21643EE8D14686A648AA6DAD08920008906EEB8136F74FA146255C7A556015</vt:lpwstr>
  </property>
  <property fmtid="{D5CDD505-2E9C-101B-9397-08002B2CF9AE}" pid="5" name="TaxKeywordTaxHTField">
    <vt:lpwstr/>
  </property>
  <property fmtid="{D5CDD505-2E9C-101B-9397-08002B2CF9AE}" pid="6" name="Series Operations IDB">
    <vt:lpwstr>2;#Unclassified|a6dff32e-d477-44cd-a56b-85efe9e0a56c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2;#Unclassified|a6dff32e-d477-44cd-a56b-85efe9e0a56c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4;#IDBDocs|cca77002-e150-4b2d-ab1f-1d7a7cdcae16</vt:lpwstr>
  </property>
</Properties>
</file>