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81" w:rsidRPr="00CD6AE6" w:rsidRDefault="00EF6681" w:rsidP="00EF6681">
      <w:pPr>
        <w:jc w:val="center"/>
        <w:rPr>
          <w:rFonts w:cs="Arial"/>
          <w:b/>
          <w:bCs/>
          <w:szCs w:val="20"/>
          <w:lang w:val="es-UY"/>
        </w:rPr>
      </w:pPr>
      <w:bookmarkStart w:id="0" w:name="_GoBack"/>
      <w:bookmarkEnd w:id="0"/>
    </w:p>
    <w:p w:rsidR="00EF6681" w:rsidRPr="00CD6AE6" w:rsidRDefault="00EF6681" w:rsidP="00EF6681">
      <w:pPr>
        <w:jc w:val="center"/>
        <w:rPr>
          <w:rFonts w:cs="Arial"/>
          <w:b/>
          <w:bCs/>
          <w:szCs w:val="20"/>
          <w:lang w:val="es-UY"/>
        </w:rPr>
      </w:pPr>
    </w:p>
    <w:p w:rsidR="00EF6681" w:rsidRPr="00CD6AE6" w:rsidRDefault="00EF6681" w:rsidP="00EF6681">
      <w:pPr>
        <w:jc w:val="center"/>
        <w:rPr>
          <w:rFonts w:cs="Arial"/>
          <w:b/>
          <w:bCs/>
          <w:szCs w:val="20"/>
          <w:lang w:val="es-UY"/>
        </w:rPr>
      </w:pPr>
    </w:p>
    <w:p w:rsidR="00EF6681" w:rsidRPr="00CD6AE6" w:rsidRDefault="00EF6681" w:rsidP="00EF6681">
      <w:pPr>
        <w:jc w:val="center"/>
        <w:rPr>
          <w:rFonts w:cs="Arial"/>
          <w:b/>
          <w:bCs/>
          <w:szCs w:val="20"/>
          <w:lang w:val="es-UY"/>
        </w:rPr>
      </w:pPr>
    </w:p>
    <w:p w:rsidR="00EF6681" w:rsidRPr="00CD6AE6" w:rsidRDefault="00EF6681" w:rsidP="00EF6681">
      <w:pPr>
        <w:jc w:val="center"/>
        <w:rPr>
          <w:rFonts w:cs="Arial"/>
          <w:b/>
          <w:bCs/>
          <w:szCs w:val="20"/>
          <w:lang w:val="es-UY"/>
        </w:rPr>
      </w:pPr>
      <w:r w:rsidRPr="00CD6AE6">
        <w:rPr>
          <w:rFonts w:cs="Arial"/>
          <w:b/>
          <w:bCs/>
          <w:szCs w:val="20"/>
          <w:lang w:val="es-UY"/>
        </w:rPr>
        <w:t>URUGUAY</w:t>
      </w:r>
    </w:p>
    <w:p w:rsidR="00EF6681" w:rsidRPr="00CD6AE6" w:rsidRDefault="00EF6681" w:rsidP="00EF6681">
      <w:pPr>
        <w:jc w:val="center"/>
        <w:rPr>
          <w:rFonts w:cs="Arial"/>
          <w:b/>
          <w:bCs/>
          <w:szCs w:val="20"/>
          <w:lang w:val="es-UY"/>
        </w:rPr>
      </w:pPr>
    </w:p>
    <w:p w:rsidR="00EF6681" w:rsidRPr="00CD6AE6" w:rsidRDefault="00EF6681" w:rsidP="00EF6681">
      <w:pPr>
        <w:pBdr>
          <w:top w:val="single" w:sz="4" w:space="1" w:color="auto"/>
          <w:bottom w:val="single" w:sz="4" w:space="1" w:color="auto"/>
        </w:pBdr>
        <w:spacing w:before="100" w:after="100"/>
        <w:jc w:val="center"/>
        <w:rPr>
          <w:rFonts w:cs="Arial"/>
          <w:b/>
          <w:bCs/>
          <w:szCs w:val="20"/>
          <w:lang w:val="es-UY"/>
        </w:rPr>
      </w:pPr>
    </w:p>
    <w:p w:rsidR="00EF6681" w:rsidRPr="00CD6AE6" w:rsidRDefault="00EF6681" w:rsidP="00EF6681">
      <w:pPr>
        <w:pBdr>
          <w:top w:val="single" w:sz="4" w:space="1" w:color="auto"/>
          <w:bottom w:val="single" w:sz="4" w:space="1" w:color="auto"/>
        </w:pBdr>
        <w:spacing w:before="100" w:after="100"/>
        <w:jc w:val="center"/>
        <w:rPr>
          <w:rFonts w:cs="Arial"/>
          <w:b/>
          <w:bCs/>
          <w:szCs w:val="20"/>
          <w:lang w:val="es-UY"/>
        </w:rPr>
      </w:pPr>
      <w:r w:rsidRPr="00CD6AE6">
        <w:rPr>
          <w:rFonts w:cs="Arial"/>
          <w:b/>
          <w:bCs/>
          <w:szCs w:val="20"/>
          <w:lang w:val="es-UY"/>
        </w:rPr>
        <w:t>PROGRAMA DE APOYO A LA EDUCACIÓN MEDIA Y TÉCNICA Y A LA FORMACIÓN EN EDUCACIÓN</w:t>
      </w:r>
      <w:r w:rsidR="009801E5" w:rsidRPr="00CD6AE6">
        <w:rPr>
          <w:rFonts w:cs="Arial"/>
          <w:b/>
          <w:bCs/>
          <w:szCs w:val="20"/>
          <w:lang w:val="es-UY"/>
        </w:rPr>
        <w:t>: HACIA TRAYECTORIAS EDUCATIVAS CONTINUAS Y COMPLETAS.</w:t>
      </w:r>
    </w:p>
    <w:p w:rsidR="00EF6681" w:rsidRPr="00CD6AE6" w:rsidRDefault="00EF6681" w:rsidP="00EF6681">
      <w:pPr>
        <w:pBdr>
          <w:top w:val="single" w:sz="4" w:space="1" w:color="auto"/>
          <w:bottom w:val="single" w:sz="4" w:space="1" w:color="auto"/>
        </w:pBdr>
        <w:spacing w:before="100" w:after="100"/>
        <w:jc w:val="center"/>
        <w:rPr>
          <w:rFonts w:cs="Arial"/>
          <w:b/>
          <w:bCs/>
          <w:szCs w:val="20"/>
          <w:lang w:val="es-UY"/>
        </w:rPr>
      </w:pPr>
    </w:p>
    <w:p w:rsidR="00EF6681" w:rsidRPr="00CD6AE6" w:rsidRDefault="00EF6681" w:rsidP="00EF6681">
      <w:pPr>
        <w:pBdr>
          <w:top w:val="single" w:sz="4" w:space="1" w:color="auto"/>
          <w:bottom w:val="single" w:sz="4" w:space="1" w:color="auto"/>
        </w:pBdr>
        <w:spacing w:before="100" w:after="100"/>
        <w:jc w:val="center"/>
        <w:rPr>
          <w:rFonts w:cs="Arial"/>
          <w:b/>
          <w:bCs/>
          <w:szCs w:val="20"/>
          <w:lang w:val="es-UY"/>
        </w:rPr>
      </w:pPr>
      <w:r w:rsidRPr="00CD6AE6">
        <w:rPr>
          <w:rFonts w:cs="Arial"/>
          <w:b/>
          <w:bCs/>
          <w:szCs w:val="20"/>
          <w:lang w:val="es-UY"/>
        </w:rPr>
        <w:t>UR-L1</w:t>
      </w:r>
      <w:r w:rsidR="005B2A0F" w:rsidRPr="00CD6AE6">
        <w:rPr>
          <w:rFonts w:cs="Arial"/>
          <w:b/>
          <w:bCs/>
          <w:szCs w:val="20"/>
          <w:lang w:val="es-UY"/>
        </w:rPr>
        <w:t>116</w:t>
      </w:r>
    </w:p>
    <w:p w:rsidR="00EF6681" w:rsidRPr="00CD6AE6" w:rsidRDefault="00EF6681" w:rsidP="00EF6681">
      <w:pPr>
        <w:pBdr>
          <w:top w:val="single" w:sz="4" w:space="1" w:color="auto"/>
          <w:bottom w:val="single" w:sz="4" w:space="1" w:color="auto"/>
        </w:pBdr>
        <w:spacing w:before="100" w:after="100"/>
        <w:jc w:val="center"/>
        <w:rPr>
          <w:rFonts w:cs="Arial"/>
          <w:b/>
          <w:bCs/>
          <w:szCs w:val="20"/>
          <w:lang w:val="es-UY"/>
        </w:rPr>
      </w:pPr>
    </w:p>
    <w:p w:rsidR="00EF6681" w:rsidRPr="00CD6AE6" w:rsidRDefault="00EF6681" w:rsidP="00EF6681">
      <w:pPr>
        <w:pBdr>
          <w:top w:val="single" w:sz="4" w:space="1" w:color="auto"/>
          <w:bottom w:val="single" w:sz="4" w:space="1" w:color="auto"/>
        </w:pBdr>
        <w:spacing w:before="100" w:after="100"/>
        <w:jc w:val="center"/>
        <w:rPr>
          <w:rFonts w:cs="Arial"/>
          <w:b/>
          <w:bCs/>
          <w:szCs w:val="20"/>
          <w:lang w:val="es-UY"/>
        </w:rPr>
      </w:pPr>
      <w:r w:rsidRPr="00CD6AE6">
        <w:rPr>
          <w:rFonts w:cs="Arial"/>
          <w:b/>
          <w:bCs/>
          <w:szCs w:val="20"/>
          <w:lang w:val="es-UY"/>
        </w:rPr>
        <w:t>REGLAMENTO OPERATIVO</w:t>
      </w:r>
    </w:p>
    <w:p w:rsidR="00EF6681" w:rsidRPr="00CD6AE6" w:rsidRDefault="00EF6681" w:rsidP="00EF6681">
      <w:pPr>
        <w:pBdr>
          <w:top w:val="single" w:sz="4" w:space="1" w:color="auto"/>
          <w:bottom w:val="single" w:sz="4" w:space="1" w:color="auto"/>
        </w:pBdr>
        <w:spacing w:before="100" w:after="100"/>
        <w:jc w:val="center"/>
        <w:rPr>
          <w:rFonts w:cs="Arial"/>
          <w:b/>
          <w:bCs/>
          <w:szCs w:val="20"/>
          <w:lang w:val="es-UY"/>
        </w:rPr>
      </w:pPr>
    </w:p>
    <w:p w:rsidR="00EF6681" w:rsidRPr="00CD6AE6" w:rsidRDefault="00EF6681" w:rsidP="00EF6681">
      <w:pPr>
        <w:pBdr>
          <w:top w:val="single" w:sz="4" w:space="1" w:color="auto"/>
          <w:bottom w:val="single" w:sz="4" w:space="1" w:color="auto"/>
        </w:pBdr>
        <w:spacing w:before="100" w:after="100"/>
        <w:jc w:val="center"/>
        <w:rPr>
          <w:rFonts w:cs="Arial"/>
          <w:i/>
          <w:iCs/>
          <w:szCs w:val="20"/>
          <w:lang w:val="es-UY"/>
        </w:rPr>
      </w:pPr>
    </w:p>
    <w:p w:rsidR="00EF6681" w:rsidRPr="00CD6AE6" w:rsidRDefault="00EF6681" w:rsidP="00EF6681">
      <w:pPr>
        <w:pBdr>
          <w:top w:val="single" w:sz="4" w:space="1" w:color="auto"/>
          <w:bottom w:val="single" w:sz="4" w:space="1" w:color="auto"/>
        </w:pBdr>
        <w:tabs>
          <w:tab w:val="left" w:pos="1910"/>
        </w:tabs>
        <w:spacing w:before="100" w:after="100"/>
        <w:rPr>
          <w:rFonts w:cs="Arial"/>
          <w:b/>
          <w:bCs/>
          <w:szCs w:val="20"/>
          <w:lang w:val="es-UY"/>
        </w:rPr>
      </w:pPr>
    </w:p>
    <w:p w:rsidR="00EF6681" w:rsidRPr="00CD6AE6" w:rsidRDefault="00EF6681" w:rsidP="00EF6681">
      <w:pPr>
        <w:tabs>
          <w:tab w:val="left" w:pos="1910"/>
        </w:tabs>
        <w:spacing w:before="100" w:after="100"/>
        <w:rPr>
          <w:rFonts w:cs="Arial"/>
          <w:b/>
          <w:bCs/>
          <w:szCs w:val="20"/>
          <w:lang w:val="es-UY"/>
        </w:rPr>
      </w:pPr>
    </w:p>
    <w:p w:rsidR="00EF6681" w:rsidRPr="00CD6AE6" w:rsidRDefault="00EF6681" w:rsidP="00EF6681">
      <w:pPr>
        <w:tabs>
          <w:tab w:val="left" w:pos="1910"/>
        </w:tabs>
        <w:spacing w:before="100" w:after="100"/>
        <w:rPr>
          <w:rFonts w:cs="Arial"/>
          <w:b/>
          <w:bCs/>
          <w:szCs w:val="20"/>
          <w:lang w:val="es-UY"/>
        </w:rPr>
      </w:pPr>
    </w:p>
    <w:p w:rsidR="00EF6681" w:rsidRPr="00CD6AE6" w:rsidRDefault="00EF6681" w:rsidP="00EF6681">
      <w:pPr>
        <w:tabs>
          <w:tab w:val="left" w:pos="1910"/>
        </w:tabs>
        <w:spacing w:before="100" w:after="100"/>
        <w:rPr>
          <w:rFonts w:cs="Arial"/>
          <w:b/>
          <w:bCs/>
          <w:szCs w:val="20"/>
          <w:lang w:val="es-UY"/>
        </w:rPr>
      </w:pPr>
    </w:p>
    <w:p w:rsidR="00EF6681" w:rsidRPr="00CD6AE6" w:rsidRDefault="00EF6681" w:rsidP="00EF6681">
      <w:pPr>
        <w:tabs>
          <w:tab w:val="left" w:pos="1910"/>
        </w:tabs>
        <w:spacing w:before="100" w:after="100"/>
        <w:rPr>
          <w:rFonts w:cs="Arial"/>
          <w:b/>
          <w:bCs/>
          <w:szCs w:val="20"/>
          <w:lang w:val="es-UY"/>
        </w:rPr>
        <w:sectPr w:rsidR="00EF6681" w:rsidRPr="00CD6AE6" w:rsidSect="00651E28">
          <w:footerReference w:type="default" r:id="rId9"/>
          <w:pgSz w:w="12240" w:h="15840" w:code="1"/>
          <w:pgMar w:top="1417" w:right="1701" w:bottom="1417" w:left="1701" w:header="680" w:footer="680" w:gutter="0"/>
          <w:cols w:space="720"/>
        </w:sectPr>
      </w:pPr>
    </w:p>
    <w:p w:rsidR="00EF6681" w:rsidRPr="00CD6AE6" w:rsidRDefault="00EF6681" w:rsidP="00EF6681">
      <w:pPr>
        <w:pStyle w:val="Title"/>
        <w:rPr>
          <w:rFonts w:ascii="Arial" w:hAnsi="Arial" w:cs="Arial"/>
          <w:sz w:val="20"/>
          <w:szCs w:val="20"/>
          <w:lang w:val="es-UY"/>
        </w:rPr>
      </w:pPr>
      <w:r w:rsidRPr="00CD6AE6">
        <w:rPr>
          <w:rFonts w:ascii="Arial" w:hAnsi="Arial" w:cs="Arial"/>
          <w:sz w:val="20"/>
          <w:szCs w:val="20"/>
          <w:lang w:val="es-UY"/>
        </w:rPr>
        <w:lastRenderedPageBreak/>
        <w:t>ÍNDICE</w:t>
      </w:r>
    </w:p>
    <w:p w:rsidR="00EF6681" w:rsidRPr="00CD6AE6" w:rsidRDefault="00EF6681" w:rsidP="00EF6681">
      <w:pPr>
        <w:rPr>
          <w:rFonts w:cs="Arial"/>
          <w:szCs w:val="20"/>
          <w:lang w:val="es-UY"/>
        </w:rPr>
      </w:pPr>
    </w:p>
    <w:p w:rsidR="00651E28" w:rsidRDefault="00D62774">
      <w:pPr>
        <w:pStyle w:val="TOC1"/>
        <w:rPr>
          <w:rFonts w:asciiTheme="minorHAnsi" w:eastAsiaTheme="minorEastAsia" w:hAnsiTheme="minorHAnsi" w:cstheme="minorBidi"/>
          <w:noProof/>
          <w:sz w:val="22"/>
          <w:lang w:val="es-UY" w:eastAsia="es-UY"/>
        </w:rPr>
      </w:pPr>
      <w:r w:rsidRPr="00CD6AE6">
        <w:rPr>
          <w:rFonts w:cs="Arial"/>
          <w:szCs w:val="20"/>
          <w:lang w:val="es-UY"/>
        </w:rPr>
        <w:fldChar w:fldCharType="begin"/>
      </w:r>
      <w:r w:rsidRPr="00CD6AE6">
        <w:rPr>
          <w:rFonts w:cs="Arial"/>
          <w:szCs w:val="20"/>
          <w:lang w:val="es-UY"/>
        </w:rPr>
        <w:instrText xml:space="preserve"> TOC \o "1-1" \h \z \t "Título 2,2,Título 3,3" </w:instrText>
      </w:r>
      <w:r w:rsidRPr="00CD6AE6">
        <w:rPr>
          <w:rFonts w:cs="Arial"/>
          <w:szCs w:val="20"/>
          <w:lang w:val="es-UY"/>
        </w:rPr>
        <w:fldChar w:fldCharType="separate"/>
      </w:r>
      <w:hyperlink w:anchor="_Toc461731178" w:history="1">
        <w:r w:rsidR="00651E28" w:rsidRPr="0056698D">
          <w:rPr>
            <w:rStyle w:val="Hyperlink"/>
            <w:noProof/>
            <w:lang w:val="es-UY"/>
          </w:rPr>
          <w:t>I</w:t>
        </w:r>
        <w:r w:rsidR="00651E28">
          <w:rPr>
            <w:rFonts w:asciiTheme="minorHAnsi" w:eastAsiaTheme="minorEastAsia" w:hAnsiTheme="minorHAnsi" w:cstheme="minorBidi"/>
            <w:noProof/>
            <w:sz w:val="22"/>
            <w:lang w:val="es-UY" w:eastAsia="es-UY"/>
          </w:rPr>
          <w:tab/>
        </w:r>
        <w:r w:rsidR="00651E28" w:rsidRPr="0056698D">
          <w:rPr>
            <w:rStyle w:val="Hyperlink"/>
            <w:noProof/>
            <w:lang w:val="es-UY"/>
          </w:rPr>
          <w:t>INTRODUCCIÓN Y DEFINICIONES</w:t>
        </w:r>
        <w:r w:rsidR="00651E28">
          <w:rPr>
            <w:noProof/>
            <w:webHidden/>
          </w:rPr>
          <w:tab/>
        </w:r>
        <w:r w:rsidR="00651E28">
          <w:rPr>
            <w:noProof/>
            <w:webHidden/>
          </w:rPr>
          <w:fldChar w:fldCharType="begin"/>
        </w:r>
        <w:r w:rsidR="00651E28">
          <w:rPr>
            <w:noProof/>
            <w:webHidden/>
          </w:rPr>
          <w:instrText xml:space="preserve"> PAGEREF _Toc461731178 \h </w:instrText>
        </w:r>
        <w:r w:rsidR="00651E28">
          <w:rPr>
            <w:noProof/>
            <w:webHidden/>
          </w:rPr>
        </w:r>
        <w:r w:rsidR="00651E28">
          <w:rPr>
            <w:noProof/>
            <w:webHidden/>
          </w:rPr>
          <w:fldChar w:fldCharType="separate"/>
        </w:r>
        <w:r w:rsidR="00651E28">
          <w:rPr>
            <w:noProof/>
            <w:webHidden/>
          </w:rPr>
          <w:t>3</w:t>
        </w:r>
        <w:r w:rsidR="00651E28">
          <w:rPr>
            <w:noProof/>
            <w:webHidden/>
          </w:rPr>
          <w:fldChar w:fldCharType="end"/>
        </w:r>
      </w:hyperlink>
    </w:p>
    <w:p w:rsidR="00651E28" w:rsidRDefault="00BA3FCD">
      <w:pPr>
        <w:pStyle w:val="TOC1"/>
        <w:rPr>
          <w:rFonts w:asciiTheme="minorHAnsi" w:eastAsiaTheme="minorEastAsia" w:hAnsiTheme="minorHAnsi" w:cstheme="minorBidi"/>
          <w:noProof/>
          <w:sz w:val="22"/>
          <w:lang w:val="es-UY" w:eastAsia="es-UY"/>
        </w:rPr>
      </w:pPr>
      <w:hyperlink w:anchor="_Toc461731179" w:history="1">
        <w:r w:rsidR="00651E28" w:rsidRPr="0056698D">
          <w:rPr>
            <w:rStyle w:val="Hyperlink"/>
            <w:noProof/>
            <w:lang w:val="es-UY"/>
          </w:rPr>
          <w:t>II</w:t>
        </w:r>
        <w:r w:rsidR="00651E28">
          <w:rPr>
            <w:rFonts w:asciiTheme="minorHAnsi" w:eastAsiaTheme="minorEastAsia" w:hAnsiTheme="minorHAnsi" w:cstheme="minorBidi"/>
            <w:noProof/>
            <w:sz w:val="22"/>
            <w:lang w:val="es-UY" w:eastAsia="es-UY"/>
          </w:rPr>
          <w:tab/>
        </w:r>
        <w:r w:rsidR="00651E28" w:rsidRPr="0056698D">
          <w:rPr>
            <w:rStyle w:val="Hyperlink"/>
            <w:noProof/>
            <w:lang w:val="es-UY"/>
          </w:rPr>
          <w:t>DESCRIPCION DEL PROGRAMA</w:t>
        </w:r>
        <w:r w:rsidR="00651E28">
          <w:rPr>
            <w:noProof/>
            <w:webHidden/>
          </w:rPr>
          <w:tab/>
        </w:r>
        <w:r w:rsidR="00651E28">
          <w:rPr>
            <w:noProof/>
            <w:webHidden/>
          </w:rPr>
          <w:fldChar w:fldCharType="begin"/>
        </w:r>
        <w:r w:rsidR="00651E28">
          <w:rPr>
            <w:noProof/>
            <w:webHidden/>
          </w:rPr>
          <w:instrText xml:space="preserve"> PAGEREF _Toc461731179 \h </w:instrText>
        </w:r>
        <w:r w:rsidR="00651E28">
          <w:rPr>
            <w:noProof/>
            <w:webHidden/>
          </w:rPr>
        </w:r>
        <w:r w:rsidR="00651E28">
          <w:rPr>
            <w:noProof/>
            <w:webHidden/>
          </w:rPr>
          <w:fldChar w:fldCharType="separate"/>
        </w:r>
        <w:r w:rsidR="00651E28">
          <w:rPr>
            <w:noProof/>
            <w:webHidden/>
          </w:rPr>
          <w:t>3</w:t>
        </w:r>
        <w:r w:rsidR="00651E28">
          <w:rPr>
            <w:noProof/>
            <w:webHidden/>
          </w:rPr>
          <w:fldChar w:fldCharType="end"/>
        </w:r>
      </w:hyperlink>
    </w:p>
    <w:p w:rsidR="00651E28" w:rsidRDefault="00BA3FCD">
      <w:pPr>
        <w:pStyle w:val="TOC1"/>
        <w:rPr>
          <w:rFonts w:asciiTheme="minorHAnsi" w:eastAsiaTheme="minorEastAsia" w:hAnsiTheme="minorHAnsi" w:cstheme="minorBidi"/>
          <w:noProof/>
          <w:sz w:val="22"/>
          <w:lang w:val="es-UY" w:eastAsia="es-UY"/>
        </w:rPr>
      </w:pPr>
      <w:hyperlink w:anchor="_Toc461731180" w:history="1">
        <w:r w:rsidR="00651E28" w:rsidRPr="0056698D">
          <w:rPr>
            <w:rStyle w:val="Hyperlink"/>
            <w:noProof/>
            <w:lang w:val="es-UY"/>
          </w:rPr>
          <w:t>III</w:t>
        </w:r>
        <w:r w:rsidR="00651E28">
          <w:rPr>
            <w:rFonts w:asciiTheme="minorHAnsi" w:eastAsiaTheme="minorEastAsia" w:hAnsiTheme="minorHAnsi" w:cstheme="minorBidi"/>
            <w:noProof/>
            <w:sz w:val="22"/>
            <w:lang w:val="es-UY" w:eastAsia="es-UY"/>
          </w:rPr>
          <w:tab/>
        </w:r>
        <w:r w:rsidR="00651E28" w:rsidRPr="0056698D">
          <w:rPr>
            <w:rStyle w:val="Hyperlink"/>
            <w:noProof/>
            <w:lang w:val="es-UY"/>
          </w:rPr>
          <w:t>EJECUCIÓN DEL PROGRAMA</w:t>
        </w:r>
        <w:r w:rsidR="00651E28">
          <w:rPr>
            <w:noProof/>
            <w:webHidden/>
          </w:rPr>
          <w:tab/>
        </w:r>
        <w:r w:rsidR="00651E28">
          <w:rPr>
            <w:noProof/>
            <w:webHidden/>
          </w:rPr>
          <w:fldChar w:fldCharType="begin"/>
        </w:r>
        <w:r w:rsidR="00651E28">
          <w:rPr>
            <w:noProof/>
            <w:webHidden/>
          </w:rPr>
          <w:instrText xml:space="preserve"> PAGEREF _Toc461731180 \h </w:instrText>
        </w:r>
        <w:r w:rsidR="00651E28">
          <w:rPr>
            <w:noProof/>
            <w:webHidden/>
          </w:rPr>
        </w:r>
        <w:r w:rsidR="00651E28">
          <w:rPr>
            <w:noProof/>
            <w:webHidden/>
          </w:rPr>
          <w:fldChar w:fldCharType="separate"/>
        </w:r>
        <w:r w:rsidR="00651E28">
          <w:rPr>
            <w:noProof/>
            <w:webHidden/>
          </w:rPr>
          <w:t>7</w:t>
        </w:r>
        <w:r w:rsidR="00651E28">
          <w:rPr>
            <w:noProof/>
            <w:webHidden/>
          </w:rPr>
          <w:fldChar w:fldCharType="end"/>
        </w:r>
      </w:hyperlink>
    </w:p>
    <w:p w:rsidR="00651E28" w:rsidRDefault="00BA3FCD">
      <w:pPr>
        <w:pStyle w:val="TOC1"/>
        <w:rPr>
          <w:rFonts w:asciiTheme="minorHAnsi" w:eastAsiaTheme="minorEastAsia" w:hAnsiTheme="minorHAnsi" w:cstheme="minorBidi"/>
          <w:noProof/>
          <w:sz w:val="22"/>
          <w:lang w:val="es-UY" w:eastAsia="es-UY"/>
        </w:rPr>
      </w:pPr>
      <w:hyperlink w:anchor="_Toc461731181" w:history="1">
        <w:r w:rsidR="00651E28" w:rsidRPr="0056698D">
          <w:rPr>
            <w:rStyle w:val="Hyperlink"/>
            <w:noProof/>
            <w:lang w:val="es-UY"/>
          </w:rPr>
          <w:t>IV</w:t>
        </w:r>
        <w:r w:rsidR="00651E28">
          <w:rPr>
            <w:rFonts w:asciiTheme="minorHAnsi" w:eastAsiaTheme="minorEastAsia" w:hAnsiTheme="minorHAnsi" w:cstheme="minorBidi"/>
            <w:noProof/>
            <w:sz w:val="22"/>
            <w:lang w:val="es-UY" w:eastAsia="es-UY"/>
          </w:rPr>
          <w:tab/>
        </w:r>
        <w:r w:rsidR="00651E28" w:rsidRPr="0056698D">
          <w:rPr>
            <w:rStyle w:val="Hyperlink"/>
            <w:noProof/>
            <w:lang w:val="es-UY"/>
          </w:rPr>
          <w:t>MARCO INSTITUCIONAL Y ORGANIZACIÓN DEL PROGRAMA</w:t>
        </w:r>
        <w:r w:rsidR="00651E28">
          <w:rPr>
            <w:noProof/>
            <w:webHidden/>
          </w:rPr>
          <w:tab/>
        </w:r>
        <w:r w:rsidR="00651E28">
          <w:rPr>
            <w:noProof/>
            <w:webHidden/>
          </w:rPr>
          <w:fldChar w:fldCharType="begin"/>
        </w:r>
        <w:r w:rsidR="00651E28">
          <w:rPr>
            <w:noProof/>
            <w:webHidden/>
          </w:rPr>
          <w:instrText xml:space="preserve"> PAGEREF _Toc461731181 \h </w:instrText>
        </w:r>
        <w:r w:rsidR="00651E28">
          <w:rPr>
            <w:noProof/>
            <w:webHidden/>
          </w:rPr>
        </w:r>
        <w:r w:rsidR="00651E28">
          <w:rPr>
            <w:noProof/>
            <w:webHidden/>
          </w:rPr>
          <w:fldChar w:fldCharType="separate"/>
        </w:r>
        <w:r w:rsidR="00651E28">
          <w:rPr>
            <w:noProof/>
            <w:webHidden/>
          </w:rPr>
          <w:t>13</w:t>
        </w:r>
        <w:r w:rsidR="00651E28">
          <w:rPr>
            <w:noProof/>
            <w:webHidden/>
          </w:rPr>
          <w:fldChar w:fldCharType="end"/>
        </w:r>
      </w:hyperlink>
    </w:p>
    <w:p w:rsidR="00651E28" w:rsidRDefault="00BA3FCD">
      <w:pPr>
        <w:pStyle w:val="TOC1"/>
        <w:rPr>
          <w:rFonts w:asciiTheme="minorHAnsi" w:eastAsiaTheme="minorEastAsia" w:hAnsiTheme="minorHAnsi" w:cstheme="minorBidi"/>
          <w:noProof/>
          <w:sz w:val="22"/>
          <w:lang w:val="es-UY" w:eastAsia="es-UY"/>
        </w:rPr>
      </w:pPr>
      <w:hyperlink w:anchor="_Toc461731182" w:history="1">
        <w:r w:rsidR="00651E28" w:rsidRPr="0056698D">
          <w:rPr>
            <w:rStyle w:val="Hyperlink"/>
            <w:noProof/>
            <w:lang w:val="es-UY"/>
          </w:rPr>
          <w:t>V</w:t>
        </w:r>
        <w:r w:rsidR="00651E28">
          <w:rPr>
            <w:rFonts w:asciiTheme="minorHAnsi" w:eastAsiaTheme="minorEastAsia" w:hAnsiTheme="minorHAnsi" w:cstheme="minorBidi"/>
            <w:noProof/>
            <w:sz w:val="22"/>
            <w:lang w:val="es-UY" w:eastAsia="es-UY"/>
          </w:rPr>
          <w:tab/>
        </w:r>
        <w:r w:rsidR="00651E28" w:rsidRPr="0056698D">
          <w:rPr>
            <w:rStyle w:val="Hyperlink"/>
            <w:noProof/>
            <w:lang w:val="es-UY"/>
          </w:rPr>
          <w:t>PROGRAMACIÓN</w:t>
        </w:r>
        <w:r w:rsidR="00651E28">
          <w:rPr>
            <w:noProof/>
            <w:webHidden/>
          </w:rPr>
          <w:tab/>
        </w:r>
        <w:r w:rsidR="00651E28">
          <w:rPr>
            <w:noProof/>
            <w:webHidden/>
          </w:rPr>
          <w:fldChar w:fldCharType="begin"/>
        </w:r>
        <w:r w:rsidR="00651E28">
          <w:rPr>
            <w:noProof/>
            <w:webHidden/>
          </w:rPr>
          <w:instrText xml:space="preserve"> PAGEREF _Toc461731182 \h </w:instrText>
        </w:r>
        <w:r w:rsidR="00651E28">
          <w:rPr>
            <w:noProof/>
            <w:webHidden/>
          </w:rPr>
        </w:r>
        <w:r w:rsidR="00651E28">
          <w:rPr>
            <w:noProof/>
            <w:webHidden/>
          </w:rPr>
          <w:fldChar w:fldCharType="separate"/>
        </w:r>
        <w:r w:rsidR="00651E28">
          <w:rPr>
            <w:noProof/>
            <w:webHidden/>
          </w:rPr>
          <w:t>14</w:t>
        </w:r>
        <w:r w:rsidR="00651E28">
          <w:rPr>
            <w:noProof/>
            <w:webHidden/>
          </w:rPr>
          <w:fldChar w:fldCharType="end"/>
        </w:r>
      </w:hyperlink>
    </w:p>
    <w:p w:rsidR="00651E28" w:rsidRDefault="00BA3FCD">
      <w:pPr>
        <w:pStyle w:val="TOC1"/>
        <w:rPr>
          <w:rFonts w:asciiTheme="minorHAnsi" w:eastAsiaTheme="minorEastAsia" w:hAnsiTheme="minorHAnsi" w:cstheme="minorBidi"/>
          <w:noProof/>
          <w:sz w:val="22"/>
          <w:lang w:val="es-UY" w:eastAsia="es-UY"/>
        </w:rPr>
      </w:pPr>
      <w:hyperlink w:anchor="_Toc461731183" w:history="1">
        <w:r w:rsidR="00651E28" w:rsidRPr="0056698D">
          <w:rPr>
            <w:rStyle w:val="Hyperlink"/>
            <w:noProof/>
            <w:lang w:val="es-UY"/>
          </w:rPr>
          <w:t>VI</w:t>
        </w:r>
        <w:r w:rsidR="00651E28">
          <w:rPr>
            <w:rFonts w:asciiTheme="minorHAnsi" w:eastAsiaTheme="minorEastAsia" w:hAnsiTheme="minorHAnsi" w:cstheme="minorBidi"/>
            <w:noProof/>
            <w:sz w:val="22"/>
            <w:lang w:val="es-UY" w:eastAsia="es-UY"/>
          </w:rPr>
          <w:tab/>
        </w:r>
        <w:r w:rsidR="00651E28" w:rsidRPr="0056698D">
          <w:rPr>
            <w:rStyle w:val="Hyperlink"/>
            <w:noProof/>
            <w:lang w:val="es-UY"/>
          </w:rPr>
          <w:t>MONITOREO</w:t>
        </w:r>
        <w:r w:rsidR="00651E28">
          <w:rPr>
            <w:noProof/>
            <w:webHidden/>
          </w:rPr>
          <w:tab/>
        </w:r>
        <w:r w:rsidR="00651E28">
          <w:rPr>
            <w:noProof/>
            <w:webHidden/>
          </w:rPr>
          <w:fldChar w:fldCharType="begin"/>
        </w:r>
        <w:r w:rsidR="00651E28">
          <w:rPr>
            <w:noProof/>
            <w:webHidden/>
          </w:rPr>
          <w:instrText xml:space="preserve"> PAGEREF _Toc461731183 \h </w:instrText>
        </w:r>
        <w:r w:rsidR="00651E28">
          <w:rPr>
            <w:noProof/>
            <w:webHidden/>
          </w:rPr>
        </w:r>
        <w:r w:rsidR="00651E28">
          <w:rPr>
            <w:noProof/>
            <w:webHidden/>
          </w:rPr>
          <w:fldChar w:fldCharType="separate"/>
        </w:r>
        <w:r w:rsidR="00651E28">
          <w:rPr>
            <w:noProof/>
            <w:webHidden/>
          </w:rPr>
          <w:t>15</w:t>
        </w:r>
        <w:r w:rsidR="00651E28">
          <w:rPr>
            <w:noProof/>
            <w:webHidden/>
          </w:rPr>
          <w:fldChar w:fldCharType="end"/>
        </w:r>
      </w:hyperlink>
    </w:p>
    <w:p w:rsidR="00651E28" w:rsidRDefault="00BA3FCD">
      <w:pPr>
        <w:pStyle w:val="TOC1"/>
        <w:rPr>
          <w:rFonts w:asciiTheme="minorHAnsi" w:eastAsiaTheme="minorEastAsia" w:hAnsiTheme="minorHAnsi" w:cstheme="minorBidi"/>
          <w:noProof/>
          <w:sz w:val="22"/>
          <w:lang w:val="es-UY" w:eastAsia="es-UY"/>
        </w:rPr>
      </w:pPr>
      <w:hyperlink w:anchor="_Toc461731184" w:history="1">
        <w:r w:rsidR="00651E28" w:rsidRPr="0056698D">
          <w:rPr>
            <w:rStyle w:val="Hyperlink"/>
            <w:noProof/>
            <w:lang w:val="es-UY"/>
          </w:rPr>
          <w:t>VII</w:t>
        </w:r>
        <w:r w:rsidR="00651E28">
          <w:rPr>
            <w:rFonts w:asciiTheme="minorHAnsi" w:eastAsiaTheme="minorEastAsia" w:hAnsiTheme="minorHAnsi" w:cstheme="minorBidi"/>
            <w:noProof/>
            <w:sz w:val="22"/>
            <w:lang w:val="es-UY" w:eastAsia="es-UY"/>
          </w:rPr>
          <w:tab/>
        </w:r>
        <w:r w:rsidR="00651E28" w:rsidRPr="0056698D">
          <w:rPr>
            <w:rStyle w:val="Hyperlink"/>
            <w:noProof/>
            <w:lang w:val="es-UY"/>
          </w:rPr>
          <w:t>EVALUACIONES</w:t>
        </w:r>
        <w:r w:rsidR="00651E28">
          <w:rPr>
            <w:noProof/>
            <w:webHidden/>
          </w:rPr>
          <w:tab/>
        </w:r>
        <w:r w:rsidR="00651E28">
          <w:rPr>
            <w:noProof/>
            <w:webHidden/>
          </w:rPr>
          <w:fldChar w:fldCharType="begin"/>
        </w:r>
        <w:r w:rsidR="00651E28">
          <w:rPr>
            <w:noProof/>
            <w:webHidden/>
          </w:rPr>
          <w:instrText xml:space="preserve"> PAGEREF _Toc461731184 \h </w:instrText>
        </w:r>
        <w:r w:rsidR="00651E28">
          <w:rPr>
            <w:noProof/>
            <w:webHidden/>
          </w:rPr>
        </w:r>
        <w:r w:rsidR="00651E28">
          <w:rPr>
            <w:noProof/>
            <w:webHidden/>
          </w:rPr>
          <w:fldChar w:fldCharType="separate"/>
        </w:r>
        <w:r w:rsidR="00651E28">
          <w:rPr>
            <w:noProof/>
            <w:webHidden/>
          </w:rPr>
          <w:t>18</w:t>
        </w:r>
        <w:r w:rsidR="00651E28">
          <w:rPr>
            <w:noProof/>
            <w:webHidden/>
          </w:rPr>
          <w:fldChar w:fldCharType="end"/>
        </w:r>
      </w:hyperlink>
    </w:p>
    <w:p w:rsidR="00651E28" w:rsidRDefault="00BA3FCD">
      <w:pPr>
        <w:pStyle w:val="TOC1"/>
        <w:rPr>
          <w:rFonts w:asciiTheme="minorHAnsi" w:eastAsiaTheme="minorEastAsia" w:hAnsiTheme="minorHAnsi" w:cstheme="minorBidi"/>
          <w:noProof/>
          <w:sz w:val="22"/>
          <w:lang w:val="es-UY" w:eastAsia="es-UY"/>
        </w:rPr>
      </w:pPr>
      <w:hyperlink w:anchor="_Toc461731185" w:history="1">
        <w:r w:rsidR="00651E28" w:rsidRPr="0056698D">
          <w:rPr>
            <w:rStyle w:val="Hyperlink"/>
            <w:noProof/>
            <w:lang w:val="es-UY"/>
          </w:rPr>
          <w:t>VIII</w:t>
        </w:r>
        <w:r w:rsidR="00651E28">
          <w:rPr>
            <w:rFonts w:asciiTheme="minorHAnsi" w:eastAsiaTheme="minorEastAsia" w:hAnsiTheme="minorHAnsi" w:cstheme="minorBidi"/>
            <w:noProof/>
            <w:sz w:val="22"/>
            <w:lang w:val="es-UY" w:eastAsia="es-UY"/>
          </w:rPr>
          <w:tab/>
        </w:r>
        <w:r w:rsidR="00651E28" w:rsidRPr="0056698D">
          <w:rPr>
            <w:rStyle w:val="Hyperlink"/>
            <w:noProof/>
            <w:lang w:val="es-UY"/>
          </w:rPr>
          <w:t>ADMINISTRACIÓN FINANCIERA</w:t>
        </w:r>
        <w:r w:rsidR="00651E28">
          <w:rPr>
            <w:noProof/>
            <w:webHidden/>
          </w:rPr>
          <w:tab/>
        </w:r>
        <w:r w:rsidR="00651E28">
          <w:rPr>
            <w:noProof/>
            <w:webHidden/>
          </w:rPr>
          <w:fldChar w:fldCharType="begin"/>
        </w:r>
        <w:r w:rsidR="00651E28">
          <w:rPr>
            <w:noProof/>
            <w:webHidden/>
          </w:rPr>
          <w:instrText xml:space="preserve"> PAGEREF _Toc461731185 \h </w:instrText>
        </w:r>
        <w:r w:rsidR="00651E28">
          <w:rPr>
            <w:noProof/>
            <w:webHidden/>
          </w:rPr>
        </w:r>
        <w:r w:rsidR="00651E28">
          <w:rPr>
            <w:noProof/>
            <w:webHidden/>
          </w:rPr>
          <w:fldChar w:fldCharType="separate"/>
        </w:r>
        <w:r w:rsidR="00651E28">
          <w:rPr>
            <w:noProof/>
            <w:webHidden/>
          </w:rPr>
          <w:t>19</w:t>
        </w:r>
        <w:r w:rsidR="00651E28">
          <w:rPr>
            <w:noProof/>
            <w:webHidden/>
          </w:rPr>
          <w:fldChar w:fldCharType="end"/>
        </w:r>
      </w:hyperlink>
    </w:p>
    <w:p w:rsidR="00651E28" w:rsidRDefault="00BA3FCD">
      <w:pPr>
        <w:pStyle w:val="TOC1"/>
        <w:rPr>
          <w:rFonts w:asciiTheme="minorHAnsi" w:eastAsiaTheme="minorEastAsia" w:hAnsiTheme="minorHAnsi" w:cstheme="minorBidi"/>
          <w:noProof/>
          <w:sz w:val="22"/>
          <w:lang w:val="es-UY" w:eastAsia="es-UY"/>
        </w:rPr>
      </w:pPr>
      <w:hyperlink w:anchor="_Toc461731186" w:history="1">
        <w:r w:rsidR="00651E28" w:rsidRPr="0056698D">
          <w:rPr>
            <w:rStyle w:val="Hyperlink"/>
            <w:noProof/>
            <w:lang w:val="es-UY"/>
          </w:rPr>
          <w:t>IX</w:t>
        </w:r>
        <w:r w:rsidR="00651E28">
          <w:rPr>
            <w:rFonts w:asciiTheme="minorHAnsi" w:eastAsiaTheme="minorEastAsia" w:hAnsiTheme="minorHAnsi" w:cstheme="minorBidi"/>
            <w:noProof/>
            <w:sz w:val="22"/>
            <w:lang w:val="es-UY" w:eastAsia="es-UY"/>
          </w:rPr>
          <w:tab/>
        </w:r>
        <w:r w:rsidR="00651E28" w:rsidRPr="0056698D">
          <w:rPr>
            <w:rStyle w:val="Hyperlink"/>
            <w:noProof/>
            <w:lang w:val="es-UY"/>
          </w:rPr>
          <w:t>TRANSPARENCIA Y DIFUSION</w:t>
        </w:r>
        <w:r w:rsidR="00651E28">
          <w:rPr>
            <w:noProof/>
            <w:webHidden/>
          </w:rPr>
          <w:tab/>
        </w:r>
        <w:r w:rsidR="00651E28">
          <w:rPr>
            <w:noProof/>
            <w:webHidden/>
          </w:rPr>
          <w:fldChar w:fldCharType="begin"/>
        </w:r>
        <w:r w:rsidR="00651E28">
          <w:rPr>
            <w:noProof/>
            <w:webHidden/>
          </w:rPr>
          <w:instrText xml:space="preserve"> PAGEREF _Toc461731186 \h </w:instrText>
        </w:r>
        <w:r w:rsidR="00651E28">
          <w:rPr>
            <w:noProof/>
            <w:webHidden/>
          </w:rPr>
        </w:r>
        <w:r w:rsidR="00651E28">
          <w:rPr>
            <w:noProof/>
            <w:webHidden/>
          </w:rPr>
          <w:fldChar w:fldCharType="separate"/>
        </w:r>
        <w:r w:rsidR="00651E28">
          <w:rPr>
            <w:noProof/>
            <w:webHidden/>
          </w:rPr>
          <w:t>20</w:t>
        </w:r>
        <w:r w:rsidR="00651E28">
          <w:rPr>
            <w:noProof/>
            <w:webHidden/>
          </w:rPr>
          <w:fldChar w:fldCharType="end"/>
        </w:r>
      </w:hyperlink>
    </w:p>
    <w:p w:rsidR="00651E28" w:rsidRDefault="00BA3FCD">
      <w:pPr>
        <w:pStyle w:val="TOC1"/>
        <w:rPr>
          <w:rFonts w:asciiTheme="minorHAnsi" w:eastAsiaTheme="minorEastAsia" w:hAnsiTheme="minorHAnsi" w:cstheme="minorBidi"/>
          <w:noProof/>
          <w:sz w:val="22"/>
          <w:lang w:val="es-UY" w:eastAsia="es-UY"/>
        </w:rPr>
      </w:pPr>
      <w:hyperlink w:anchor="_Toc461731187" w:history="1">
        <w:r w:rsidR="00651E28" w:rsidRPr="0056698D">
          <w:rPr>
            <w:rStyle w:val="Hyperlink"/>
            <w:noProof/>
            <w:lang w:val="es-UY"/>
          </w:rPr>
          <w:t>X</w:t>
        </w:r>
        <w:r w:rsidR="00651E28">
          <w:rPr>
            <w:rFonts w:asciiTheme="minorHAnsi" w:eastAsiaTheme="minorEastAsia" w:hAnsiTheme="minorHAnsi" w:cstheme="minorBidi"/>
            <w:noProof/>
            <w:sz w:val="22"/>
            <w:lang w:val="es-UY" w:eastAsia="es-UY"/>
          </w:rPr>
          <w:tab/>
        </w:r>
        <w:r w:rsidR="00651E28" w:rsidRPr="0056698D">
          <w:rPr>
            <w:rStyle w:val="Hyperlink"/>
            <w:noProof/>
            <w:lang w:val="es-UY"/>
          </w:rPr>
          <w:t>MODIFICACIONES AL REGLAMENTO OPERATIVO</w:t>
        </w:r>
        <w:r w:rsidR="00651E28">
          <w:rPr>
            <w:noProof/>
            <w:webHidden/>
          </w:rPr>
          <w:tab/>
        </w:r>
        <w:r w:rsidR="00651E28">
          <w:rPr>
            <w:noProof/>
            <w:webHidden/>
          </w:rPr>
          <w:fldChar w:fldCharType="begin"/>
        </w:r>
        <w:r w:rsidR="00651E28">
          <w:rPr>
            <w:noProof/>
            <w:webHidden/>
          </w:rPr>
          <w:instrText xml:space="preserve"> PAGEREF _Toc461731187 \h </w:instrText>
        </w:r>
        <w:r w:rsidR="00651E28">
          <w:rPr>
            <w:noProof/>
            <w:webHidden/>
          </w:rPr>
        </w:r>
        <w:r w:rsidR="00651E28">
          <w:rPr>
            <w:noProof/>
            <w:webHidden/>
          </w:rPr>
          <w:fldChar w:fldCharType="separate"/>
        </w:r>
        <w:r w:rsidR="00651E28">
          <w:rPr>
            <w:noProof/>
            <w:webHidden/>
          </w:rPr>
          <w:t>20</w:t>
        </w:r>
        <w:r w:rsidR="00651E28">
          <w:rPr>
            <w:noProof/>
            <w:webHidden/>
          </w:rPr>
          <w:fldChar w:fldCharType="end"/>
        </w:r>
      </w:hyperlink>
    </w:p>
    <w:p w:rsidR="00651E28" w:rsidRDefault="00BA3FCD">
      <w:pPr>
        <w:pStyle w:val="TOC1"/>
        <w:rPr>
          <w:rFonts w:asciiTheme="minorHAnsi" w:eastAsiaTheme="minorEastAsia" w:hAnsiTheme="minorHAnsi" w:cstheme="minorBidi"/>
          <w:noProof/>
          <w:sz w:val="22"/>
          <w:lang w:val="es-UY" w:eastAsia="es-UY"/>
        </w:rPr>
      </w:pPr>
      <w:hyperlink w:anchor="_Toc461731188" w:history="1">
        <w:r w:rsidR="00651E28" w:rsidRPr="0056698D">
          <w:rPr>
            <w:rStyle w:val="Hyperlink"/>
            <w:noProof/>
            <w:lang w:val="es-UY"/>
          </w:rPr>
          <w:t>XI</w:t>
        </w:r>
        <w:r w:rsidR="00651E28">
          <w:rPr>
            <w:rFonts w:asciiTheme="minorHAnsi" w:eastAsiaTheme="minorEastAsia" w:hAnsiTheme="minorHAnsi" w:cstheme="minorBidi"/>
            <w:noProof/>
            <w:sz w:val="22"/>
            <w:lang w:val="es-UY" w:eastAsia="es-UY"/>
          </w:rPr>
          <w:tab/>
        </w:r>
        <w:r w:rsidR="00651E28" w:rsidRPr="0056698D">
          <w:rPr>
            <w:rStyle w:val="Hyperlink"/>
            <w:noProof/>
            <w:lang w:val="es-UY"/>
          </w:rPr>
          <w:t>Anexos</w:t>
        </w:r>
        <w:r w:rsidR="00651E28">
          <w:rPr>
            <w:noProof/>
            <w:webHidden/>
          </w:rPr>
          <w:tab/>
        </w:r>
        <w:r w:rsidR="00651E28">
          <w:rPr>
            <w:noProof/>
            <w:webHidden/>
          </w:rPr>
          <w:fldChar w:fldCharType="begin"/>
        </w:r>
        <w:r w:rsidR="00651E28">
          <w:rPr>
            <w:noProof/>
            <w:webHidden/>
          </w:rPr>
          <w:instrText xml:space="preserve"> PAGEREF _Toc461731188 \h </w:instrText>
        </w:r>
        <w:r w:rsidR="00651E28">
          <w:rPr>
            <w:noProof/>
            <w:webHidden/>
          </w:rPr>
        </w:r>
        <w:r w:rsidR="00651E28">
          <w:rPr>
            <w:noProof/>
            <w:webHidden/>
          </w:rPr>
          <w:fldChar w:fldCharType="separate"/>
        </w:r>
        <w:r w:rsidR="00651E28">
          <w:rPr>
            <w:noProof/>
            <w:webHidden/>
          </w:rPr>
          <w:t>21</w:t>
        </w:r>
        <w:r w:rsidR="00651E28">
          <w:rPr>
            <w:noProof/>
            <w:webHidden/>
          </w:rPr>
          <w:fldChar w:fldCharType="end"/>
        </w:r>
      </w:hyperlink>
    </w:p>
    <w:p w:rsidR="00EF6681" w:rsidRPr="00CD6AE6" w:rsidRDefault="00D62774" w:rsidP="00D62AD6">
      <w:pPr>
        <w:tabs>
          <w:tab w:val="left" w:pos="720"/>
        </w:tabs>
        <w:rPr>
          <w:rFonts w:cs="Arial"/>
          <w:szCs w:val="20"/>
          <w:lang w:val="es-UY"/>
        </w:rPr>
      </w:pPr>
      <w:r w:rsidRPr="00CD6AE6">
        <w:rPr>
          <w:rFonts w:cs="Arial"/>
          <w:szCs w:val="20"/>
          <w:lang w:val="es-UY"/>
        </w:rPr>
        <w:fldChar w:fldCharType="end"/>
      </w:r>
    </w:p>
    <w:p w:rsidR="00EF6681" w:rsidRPr="00CD6AE6" w:rsidRDefault="00EF6681" w:rsidP="00EF6681">
      <w:pPr>
        <w:rPr>
          <w:rFonts w:cs="Arial"/>
          <w:szCs w:val="20"/>
          <w:lang w:val="es-UY"/>
        </w:rPr>
      </w:pPr>
    </w:p>
    <w:p w:rsidR="00EF6681" w:rsidRPr="00AB2BBC" w:rsidRDefault="00EF6681" w:rsidP="00EF6681">
      <w:pPr>
        <w:pStyle w:val="Title"/>
        <w:jc w:val="left"/>
        <w:rPr>
          <w:rFonts w:ascii="Arial" w:hAnsi="Arial" w:cs="Arial"/>
          <w:caps/>
          <w:sz w:val="20"/>
          <w:szCs w:val="20"/>
          <w:u w:val="single"/>
          <w:lang w:val="pt-BR"/>
        </w:rPr>
      </w:pPr>
      <w:r w:rsidRPr="00AB2BBC">
        <w:rPr>
          <w:rFonts w:ascii="Arial" w:hAnsi="Arial" w:cs="Arial"/>
          <w:caps/>
          <w:sz w:val="20"/>
          <w:szCs w:val="20"/>
          <w:u w:val="single"/>
          <w:lang w:val="pt-BR"/>
        </w:rPr>
        <w:t>anexos</w:t>
      </w:r>
    </w:p>
    <w:p w:rsidR="00EF6681" w:rsidRPr="00AB2BBC" w:rsidRDefault="00EF6681" w:rsidP="00EF6681">
      <w:pPr>
        <w:rPr>
          <w:rFonts w:cs="Arial"/>
          <w:szCs w:val="20"/>
          <w:lang w:val="pt-BR"/>
        </w:rPr>
      </w:pPr>
    </w:p>
    <w:p w:rsidR="00EF6681" w:rsidRPr="00AB2BBC" w:rsidRDefault="00EF6681" w:rsidP="00EF6681">
      <w:pPr>
        <w:tabs>
          <w:tab w:val="left" w:pos="1276"/>
        </w:tabs>
        <w:ind w:left="1276" w:hanging="1276"/>
        <w:rPr>
          <w:rFonts w:cs="Arial"/>
          <w:szCs w:val="20"/>
          <w:lang w:val="pt-BR"/>
        </w:rPr>
      </w:pPr>
      <w:r w:rsidRPr="00AB2BBC">
        <w:rPr>
          <w:rFonts w:cs="Arial"/>
          <w:szCs w:val="20"/>
          <w:lang w:val="pt-BR"/>
        </w:rPr>
        <w:t>Anexo I:</w:t>
      </w:r>
      <w:r w:rsidR="00843C90" w:rsidRPr="00AB2BBC">
        <w:rPr>
          <w:rFonts w:cs="Arial"/>
          <w:szCs w:val="20"/>
          <w:lang w:val="pt-BR"/>
        </w:rPr>
        <w:tab/>
      </w:r>
      <w:r w:rsidR="00843C90" w:rsidRPr="00AB2BBC">
        <w:rPr>
          <w:rFonts w:cs="Arial"/>
          <w:szCs w:val="20"/>
          <w:lang w:val="pt-BR"/>
        </w:rPr>
        <w:tab/>
      </w:r>
      <w:r w:rsidRPr="00AB2BBC">
        <w:rPr>
          <w:rFonts w:cs="Arial"/>
          <w:szCs w:val="20"/>
          <w:lang w:val="pt-BR"/>
        </w:rPr>
        <w:t>Matriz de Resultados</w:t>
      </w:r>
    </w:p>
    <w:p w:rsidR="00EF6681" w:rsidRPr="00CD6AE6" w:rsidRDefault="00EF6681" w:rsidP="00EF6681">
      <w:pPr>
        <w:tabs>
          <w:tab w:val="left" w:pos="1276"/>
        </w:tabs>
        <w:ind w:left="1276" w:hanging="1276"/>
        <w:rPr>
          <w:rFonts w:cs="Arial"/>
          <w:szCs w:val="20"/>
          <w:lang w:val="es-UY"/>
        </w:rPr>
      </w:pPr>
      <w:r w:rsidRPr="00CD6AE6">
        <w:rPr>
          <w:rFonts w:cs="Arial"/>
          <w:szCs w:val="20"/>
          <w:lang w:val="es-UY"/>
        </w:rPr>
        <w:t>Anexo II:</w:t>
      </w:r>
      <w:r w:rsidR="00843C90">
        <w:rPr>
          <w:rFonts w:cs="Arial"/>
          <w:szCs w:val="20"/>
          <w:lang w:val="es-UY"/>
        </w:rPr>
        <w:tab/>
      </w:r>
      <w:r w:rsidRPr="00CD6AE6">
        <w:rPr>
          <w:rFonts w:cs="Arial"/>
          <w:szCs w:val="20"/>
          <w:lang w:val="es-UY"/>
        </w:rPr>
        <w:tab/>
        <w:t>Inversiones Elegibles</w:t>
      </w:r>
    </w:p>
    <w:p w:rsidR="00EF6681" w:rsidRDefault="00EF6681" w:rsidP="00EF6681">
      <w:pPr>
        <w:tabs>
          <w:tab w:val="left" w:pos="1276"/>
        </w:tabs>
        <w:ind w:left="1276" w:hanging="1276"/>
        <w:rPr>
          <w:rFonts w:cs="Arial"/>
          <w:szCs w:val="20"/>
          <w:lang w:val="es-UY"/>
        </w:rPr>
      </w:pPr>
      <w:r w:rsidRPr="00CD6AE6">
        <w:rPr>
          <w:rFonts w:cs="Arial"/>
          <w:szCs w:val="20"/>
          <w:lang w:val="es-UY"/>
        </w:rPr>
        <w:t>Anexo III:</w:t>
      </w:r>
      <w:r w:rsidR="00843C90">
        <w:rPr>
          <w:rFonts w:cs="Arial"/>
          <w:szCs w:val="20"/>
          <w:lang w:val="es-UY"/>
        </w:rPr>
        <w:tab/>
      </w:r>
      <w:r w:rsidR="00843C90">
        <w:rPr>
          <w:rFonts w:cs="Arial"/>
          <w:szCs w:val="20"/>
          <w:lang w:val="es-UY"/>
        </w:rPr>
        <w:tab/>
      </w:r>
      <w:r w:rsidRPr="00CD6AE6">
        <w:rPr>
          <w:rFonts w:cs="Arial"/>
          <w:szCs w:val="20"/>
          <w:lang w:val="es-UY"/>
        </w:rPr>
        <w:t>Matriz de Riesgos</w:t>
      </w:r>
    </w:p>
    <w:p w:rsidR="00843C90" w:rsidRPr="00843C90" w:rsidRDefault="00843C90" w:rsidP="00843C90">
      <w:pPr>
        <w:rPr>
          <w:lang w:val="es-UY"/>
        </w:rPr>
      </w:pPr>
      <w:r>
        <w:rPr>
          <w:rFonts w:cs="Arial"/>
          <w:szCs w:val="20"/>
          <w:lang w:val="es-UY"/>
        </w:rPr>
        <w:t xml:space="preserve">Anexo IV:   </w:t>
      </w:r>
      <w:r>
        <w:rPr>
          <w:rFonts w:cs="Arial"/>
          <w:szCs w:val="20"/>
          <w:lang w:val="es-UY"/>
        </w:rPr>
        <w:tab/>
      </w:r>
      <w:r w:rsidRPr="00CD6AE6">
        <w:rPr>
          <w:lang w:val="es-UY"/>
        </w:rPr>
        <w:t>Plan de Monitoreo y Evaluación</w:t>
      </w:r>
      <w:r>
        <w:rPr>
          <w:lang w:val="es-UY"/>
        </w:rPr>
        <w:t xml:space="preserve"> </w:t>
      </w:r>
      <w:r w:rsidRPr="00843C90">
        <w:rPr>
          <w:lang w:val="es-UY"/>
        </w:rPr>
        <w:t>(Anexo III POD)</w:t>
      </w:r>
    </w:p>
    <w:p w:rsidR="00843C90" w:rsidRDefault="00843C90" w:rsidP="00843C90">
      <w:pPr>
        <w:rPr>
          <w:lang w:val="es-UY"/>
        </w:rPr>
      </w:pPr>
      <w:r>
        <w:rPr>
          <w:lang w:val="es-UY"/>
        </w:rPr>
        <w:t>Anexo V:</w:t>
      </w:r>
      <w:r>
        <w:rPr>
          <w:lang w:val="es-UY"/>
        </w:rPr>
        <w:tab/>
        <w:t xml:space="preserve">Informe </w:t>
      </w:r>
      <w:r w:rsidRPr="00CD6AE6">
        <w:rPr>
          <w:lang w:val="es-UY"/>
        </w:rPr>
        <w:t>de Gestión Ambiental y Social</w:t>
      </w:r>
    </w:p>
    <w:p w:rsidR="00EF6681" w:rsidRPr="00CD6AE6" w:rsidRDefault="00EF6681" w:rsidP="00EF6681">
      <w:pPr>
        <w:tabs>
          <w:tab w:val="left" w:pos="1276"/>
        </w:tabs>
        <w:rPr>
          <w:rFonts w:cs="Arial"/>
          <w:szCs w:val="20"/>
          <w:lang w:val="es-UY"/>
        </w:rPr>
      </w:pPr>
    </w:p>
    <w:p w:rsidR="00EF6681" w:rsidRPr="00CD6AE6" w:rsidRDefault="00EF6681" w:rsidP="00EF6681">
      <w:pPr>
        <w:tabs>
          <w:tab w:val="left" w:pos="1276"/>
        </w:tabs>
        <w:rPr>
          <w:rFonts w:cs="Arial"/>
          <w:szCs w:val="20"/>
          <w:lang w:val="es-UY"/>
        </w:rPr>
      </w:pPr>
    </w:p>
    <w:p w:rsidR="00EF6681" w:rsidRPr="00CD6AE6" w:rsidRDefault="00EF6681" w:rsidP="00EF6681">
      <w:pPr>
        <w:tabs>
          <w:tab w:val="left" w:pos="1276"/>
        </w:tabs>
        <w:rPr>
          <w:rFonts w:cs="Arial"/>
          <w:szCs w:val="20"/>
          <w:lang w:val="es-UY"/>
        </w:rPr>
      </w:pPr>
    </w:p>
    <w:p w:rsidR="00EF6681" w:rsidRPr="00CD6AE6" w:rsidRDefault="00EF6681" w:rsidP="00EF6681">
      <w:pPr>
        <w:tabs>
          <w:tab w:val="left" w:pos="1276"/>
        </w:tabs>
        <w:rPr>
          <w:rFonts w:cs="Arial"/>
          <w:szCs w:val="20"/>
          <w:lang w:val="es-UY"/>
        </w:rPr>
      </w:pPr>
    </w:p>
    <w:p w:rsidR="0051312E" w:rsidRPr="00CD6AE6" w:rsidRDefault="00EF6681" w:rsidP="00872A3D">
      <w:pPr>
        <w:pStyle w:val="Heading1"/>
      </w:pPr>
      <w:r w:rsidRPr="00CD6AE6">
        <w:br w:type="page"/>
      </w:r>
      <w:bookmarkStart w:id="1" w:name="_Toc461731178"/>
      <w:r w:rsidR="0051312E" w:rsidRPr="00CD6AE6">
        <w:lastRenderedPageBreak/>
        <w:t>INTRODUCCIÓN Y DEFINICIONES</w:t>
      </w:r>
      <w:bookmarkEnd w:id="1"/>
    </w:p>
    <w:p w:rsidR="0051312E" w:rsidRPr="00CD6AE6" w:rsidRDefault="0051312E" w:rsidP="00BE1150">
      <w:pPr>
        <w:pStyle w:val="Heading2"/>
      </w:pPr>
      <w:bookmarkStart w:id="2" w:name="_Toc48461676"/>
      <w:bookmarkStart w:id="3" w:name="_Toc106996750"/>
      <w:bookmarkStart w:id="4" w:name="_Toc106996886"/>
      <w:bookmarkStart w:id="5" w:name="_Toc108506418"/>
      <w:bookmarkStart w:id="6" w:name="_Toc110493043"/>
      <w:bookmarkStart w:id="7" w:name="_Toc134589614"/>
      <w:bookmarkStart w:id="8" w:name="_Toc202247752"/>
      <w:r w:rsidRPr="00CD6AE6">
        <w:t>Introducción</w:t>
      </w:r>
      <w:bookmarkEnd w:id="2"/>
      <w:bookmarkEnd w:id="3"/>
      <w:bookmarkEnd w:id="4"/>
      <w:bookmarkEnd w:id="5"/>
      <w:bookmarkEnd w:id="6"/>
      <w:bookmarkEnd w:id="7"/>
      <w:bookmarkEnd w:id="8"/>
    </w:p>
    <w:p w:rsidR="0051312E" w:rsidRPr="00CD6AE6" w:rsidRDefault="0051312E" w:rsidP="00D4226A">
      <w:pPr>
        <w:pStyle w:val="Paragraph"/>
      </w:pPr>
      <w:r w:rsidRPr="00CD6AE6">
        <w:t>El presente Reglamento Operativo (RO) y sus Anexos establecen los procedimientos, mecanismos y reglas aplicables al Programa de Apoyo a la Educación Media y Técnica y a la Formación en Educación</w:t>
      </w:r>
      <w:r w:rsidR="009801E5" w:rsidRPr="00CD6AE6">
        <w:t>: Hacia trayectorias educativas continuas y completas</w:t>
      </w:r>
      <w:r w:rsidRPr="00CD6AE6">
        <w:t>, en adelante “PAEMFE</w:t>
      </w:r>
      <w:r w:rsidR="00164AC7" w:rsidRPr="00CD6AE6">
        <w:t>”</w:t>
      </w:r>
      <w:r w:rsidRPr="00CD6AE6">
        <w:t xml:space="preserve"> o </w:t>
      </w:r>
      <w:r w:rsidR="00164AC7" w:rsidRPr="00CD6AE6">
        <w:t>“</w:t>
      </w:r>
      <w:r w:rsidRPr="00CD6AE6">
        <w:t xml:space="preserve">el Programa”. </w:t>
      </w:r>
    </w:p>
    <w:p w:rsidR="0051312E" w:rsidRPr="00CD6AE6" w:rsidRDefault="0051312E" w:rsidP="00D4226A">
      <w:pPr>
        <w:pStyle w:val="Paragraph"/>
      </w:pPr>
      <w:r w:rsidRPr="00CD6AE6">
        <w:t xml:space="preserve">El Programa se financia con el Préstamo </w:t>
      </w:r>
      <w:r w:rsidR="001D2F91" w:rsidRPr="00CD6AE6">
        <w:t>UR-L11</w:t>
      </w:r>
      <w:r w:rsidR="009801E5" w:rsidRPr="00CD6AE6">
        <w:t>1</w:t>
      </w:r>
      <w:r w:rsidR="001D2F91" w:rsidRPr="00CD6AE6">
        <w:t xml:space="preserve">6 </w:t>
      </w:r>
      <w:r w:rsidRPr="00CD6AE6">
        <w:t>y recursos de aporte local.</w:t>
      </w:r>
    </w:p>
    <w:p w:rsidR="0051312E" w:rsidRPr="00CD6AE6" w:rsidRDefault="0051312E" w:rsidP="00BE1150">
      <w:pPr>
        <w:pStyle w:val="Heading2"/>
      </w:pPr>
      <w:bookmarkStart w:id="9" w:name="_Toc48461677"/>
      <w:bookmarkStart w:id="10" w:name="_Toc106996751"/>
      <w:bookmarkStart w:id="11" w:name="_Toc106996887"/>
      <w:bookmarkStart w:id="12" w:name="_Toc108506419"/>
      <w:bookmarkStart w:id="13" w:name="_Toc110493044"/>
      <w:bookmarkStart w:id="14" w:name="_Toc134589615"/>
      <w:bookmarkStart w:id="15" w:name="_Toc202247753"/>
      <w:r w:rsidRPr="00CD6AE6">
        <w:t>Definiciones</w:t>
      </w:r>
      <w:bookmarkEnd w:id="9"/>
      <w:bookmarkEnd w:id="10"/>
      <w:bookmarkEnd w:id="11"/>
      <w:bookmarkEnd w:id="12"/>
      <w:bookmarkEnd w:id="13"/>
      <w:bookmarkEnd w:id="14"/>
      <w:bookmarkEnd w:id="15"/>
    </w:p>
    <w:p w:rsidR="0051312E" w:rsidRPr="00CD6AE6" w:rsidRDefault="0051312E" w:rsidP="00D4226A">
      <w:pPr>
        <w:pStyle w:val="Paragraph"/>
      </w:pPr>
      <w:r w:rsidRPr="00CD6AE6">
        <w:t xml:space="preserve">A </w:t>
      </w:r>
      <w:r w:rsidR="00A37D39" w:rsidRPr="00CD6AE6">
        <w:t>continuación,</w:t>
      </w:r>
      <w:r w:rsidRPr="00CD6AE6">
        <w:t xml:space="preserve"> se incluye el significado de las siglas utilizadas en este Reglamento: </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7342"/>
      </w:tblGrid>
      <w:tr w:rsidR="0051312E" w:rsidRPr="00CD6AE6" w:rsidTr="00D62AD6">
        <w:trPr>
          <w:trHeight w:val="284"/>
          <w:tblHeader/>
          <w:jc w:val="center"/>
        </w:trPr>
        <w:tc>
          <w:tcPr>
            <w:tcW w:w="820" w:type="pct"/>
            <w:shd w:val="clear" w:color="auto" w:fill="E0E0E0"/>
            <w:vAlign w:val="center"/>
          </w:tcPr>
          <w:p w:rsidR="0051312E" w:rsidRPr="00CD6AE6" w:rsidRDefault="00B36E21" w:rsidP="00B36E21">
            <w:pPr>
              <w:spacing w:before="120"/>
              <w:rPr>
                <w:rFonts w:cs="Arial"/>
                <w:b/>
                <w:szCs w:val="20"/>
                <w:lang w:val="es-UY"/>
              </w:rPr>
            </w:pPr>
            <w:r w:rsidRPr="00CD6AE6">
              <w:rPr>
                <w:rFonts w:cs="Arial"/>
                <w:b/>
                <w:szCs w:val="20"/>
                <w:lang w:val="es-UY"/>
              </w:rPr>
              <w:t>SIGLA</w:t>
            </w:r>
          </w:p>
        </w:tc>
        <w:tc>
          <w:tcPr>
            <w:tcW w:w="4180" w:type="pct"/>
            <w:shd w:val="clear" w:color="auto" w:fill="E0E0E0"/>
            <w:vAlign w:val="center"/>
          </w:tcPr>
          <w:p w:rsidR="00B36E21" w:rsidRPr="00CD6AE6" w:rsidRDefault="00B36E21" w:rsidP="00B36E21">
            <w:pPr>
              <w:spacing w:before="120"/>
              <w:rPr>
                <w:rFonts w:cs="Arial"/>
                <w:b/>
                <w:szCs w:val="20"/>
                <w:lang w:val="es-UY"/>
              </w:rPr>
            </w:pPr>
            <w:r w:rsidRPr="00CD6AE6">
              <w:rPr>
                <w:rFonts w:cs="Arial"/>
                <w:b/>
                <w:szCs w:val="20"/>
                <w:lang w:val="es-UY"/>
              </w:rPr>
              <w:t>SIGNIFICADO</w:t>
            </w:r>
          </w:p>
        </w:tc>
      </w:tr>
      <w:tr w:rsidR="0051312E" w:rsidRPr="00CD6AE6" w:rsidTr="00D62AD6">
        <w:trPr>
          <w:jc w:val="center"/>
        </w:trPr>
        <w:tc>
          <w:tcPr>
            <w:tcW w:w="820" w:type="pct"/>
            <w:vAlign w:val="center"/>
          </w:tcPr>
          <w:p w:rsidR="0051312E" w:rsidRPr="00CD6AE6" w:rsidRDefault="0051312E" w:rsidP="0051312E">
            <w:pPr>
              <w:rPr>
                <w:rFonts w:cs="Arial"/>
                <w:szCs w:val="20"/>
                <w:lang w:val="es-UY"/>
              </w:rPr>
            </w:pPr>
            <w:r w:rsidRPr="00CD6AE6">
              <w:rPr>
                <w:rFonts w:cs="Arial"/>
                <w:szCs w:val="20"/>
                <w:lang w:val="es-UY"/>
              </w:rPr>
              <w:t>ANEP</w:t>
            </w:r>
          </w:p>
        </w:tc>
        <w:tc>
          <w:tcPr>
            <w:tcW w:w="4180" w:type="pct"/>
            <w:vAlign w:val="center"/>
          </w:tcPr>
          <w:p w:rsidR="0051312E" w:rsidRPr="00CD6AE6" w:rsidRDefault="0051312E" w:rsidP="0051312E">
            <w:pPr>
              <w:rPr>
                <w:rFonts w:cs="Arial"/>
                <w:szCs w:val="20"/>
                <w:lang w:val="es-UY"/>
              </w:rPr>
            </w:pPr>
            <w:r w:rsidRPr="00CD6AE6">
              <w:rPr>
                <w:rFonts w:cs="Arial"/>
                <w:szCs w:val="20"/>
                <w:lang w:val="es-UY"/>
              </w:rPr>
              <w:t>Administración Nacional de Educación Pública</w:t>
            </w:r>
          </w:p>
        </w:tc>
      </w:tr>
      <w:tr w:rsidR="0051312E" w:rsidRPr="00CD6AE6" w:rsidTr="00D62AD6">
        <w:trPr>
          <w:jc w:val="center"/>
        </w:trPr>
        <w:tc>
          <w:tcPr>
            <w:tcW w:w="820" w:type="pct"/>
            <w:vAlign w:val="center"/>
          </w:tcPr>
          <w:p w:rsidR="0051312E" w:rsidRPr="00CD6AE6" w:rsidRDefault="0051312E" w:rsidP="0051312E">
            <w:pPr>
              <w:rPr>
                <w:rFonts w:cs="Arial"/>
                <w:szCs w:val="20"/>
                <w:lang w:val="es-UY"/>
              </w:rPr>
            </w:pPr>
            <w:r w:rsidRPr="00CD6AE6">
              <w:rPr>
                <w:rFonts w:cs="Arial"/>
                <w:szCs w:val="20"/>
                <w:lang w:val="es-UY"/>
              </w:rPr>
              <w:t>BID / Banco</w:t>
            </w:r>
          </w:p>
        </w:tc>
        <w:tc>
          <w:tcPr>
            <w:tcW w:w="4180" w:type="pct"/>
            <w:vAlign w:val="center"/>
          </w:tcPr>
          <w:p w:rsidR="0051312E" w:rsidRPr="00CD6AE6" w:rsidRDefault="0051312E" w:rsidP="0051312E">
            <w:pPr>
              <w:rPr>
                <w:rFonts w:cs="Arial"/>
                <w:szCs w:val="20"/>
                <w:lang w:val="es-UY"/>
              </w:rPr>
            </w:pPr>
            <w:r w:rsidRPr="00CD6AE6">
              <w:rPr>
                <w:rFonts w:cs="Arial"/>
                <w:szCs w:val="20"/>
                <w:lang w:val="es-UY"/>
              </w:rPr>
              <w:t>Banco Interamericano de Desarrollo</w:t>
            </w:r>
          </w:p>
        </w:tc>
      </w:tr>
      <w:tr w:rsidR="0051312E" w:rsidRPr="00CD6AE6" w:rsidTr="00D62AD6">
        <w:trPr>
          <w:jc w:val="center"/>
        </w:trPr>
        <w:tc>
          <w:tcPr>
            <w:tcW w:w="820" w:type="pct"/>
            <w:vAlign w:val="center"/>
          </w:tcPr>
          <w:p w:rsidR="0051312E" w:rsidRPr="00CD6AE6" w:rsidRDefault="0051312E" w:rsidP="0051312E">
            <w:pPr>
              <w:rPr>
                <w:rFonts w:cs="Arial"/>
                <w:szCs w:val="20"/>
                <w:lang w:val="es-UY"/>
              </w:rPr>
            </w:pPr>
            <w:r w:rsidRPr="00CD6AE6">
              <w:rPr>
                <w:rFonts w:cs="Arial"/>
                <w:szCs w:val="20"/>
                <w:lang w:val="es-UY"/>
              </w:rPr>
              <w:t>CODICEN</w:t>
            </w:r>
          </w:p>
        </w:tc>
        <w:tc>
          <w:tcPr>
            <w:tcW w:w="4180" w:type="pct"/>
            <w:vAlign w:val="center"/>
          </w:tcPr>
          <w:p w:rsidR="0051312E" w:rsidRPr="00CD6AE6" w:rsidRDefault="0051312E" w:rsidP="0051312E">
            <w:pPr>
              <w:rPr>
                <w:rFonts w:cs="Arial"/>
                <w:szCs w:val="20"/>
                <w:lang w:val="es-UY"/>
              </w:rPr>
            </w:pPr>
            <w:r w:rsidRPr="00CD6AE6">
              <w:rPr>
                <w:rFonts w:cs="Arial"/>
                <w:szCs w:val="20"/>
                <w:lang w:val="es-UY"/>
              </w:rPr>
              <w:t>Consejo Directivo Central</w:t>
            </w:r>
          </w:p>
        </w:tc>
      </w:tr>
      <w:tr w:rsidR="0051312E" w:rsidRPr="00CD6AE6" w:rsidTr="00D62AD6">
        <w:trPr>
          <w:jc w:val="center"/>
        </w:trPr>
        <w:tc>
          <w:tcPr>
            <w:tcW w:w="820" w:type="pct"/>
            <w:vAlign w:val="center"/>
          </w:tcPr>
          <w:p w:rsidR="0051312E" w:rsidRPr="00CD6AE6" w:rsidRDefault="0051312E" w:rsidP="0051312E">
            <w:pPr>
              <w:rPr>
                <w:rFonts w:cs="Arial"/>
                <w:szCs w:val="20"/>
                <w:lang w:val="es-UY"/>
              </w:rPr>
            </w:pPr>
            <w:r w:rsidRPr="00CD6AE6">
              <w:rPr>
                <w:rFonts w:cs="Arial"/>
                <w:szCs w:val="20"/>
                <w:lang w:val="es-UY"/>
              </w:rPr>
              <w:t>EFAs</w:t>
            </w:r>
          </w:p>
        </w:tc>
        <w:tc>
          <w:tcPr>
            <w:tcW w:w="4180" w:type="pct"/>
            <w:vAlign w:val="center"/>
          </w:tcPr>
          <w:p w:rsidR="0051312E" w:rsidRPr="00CD6AE6" w:rsidRDefault="0051312E" w:rsidP="0051312E">
            <w:pPr>
              <w:rPr>
                <w:rFonts w:cs="Arial"/>
                <w:szCs w:val="20"/>
                <w:lang w:val="es-UY"/>
              </w:rPr>
            </w:pPr>
            <w:r w:rsidRPr="00CD6AE6">
              <w:rPr>
                <w:rFonts w:cs="Arial"/>
                <w:szCs w:val="20"/>
                <w:lang w:val="es-UY"/>
              </w:rPr>
              <w:t>Estados Financieros Auditados</w:t>
            </w:r>
          </w:p>
        </w:tc>
      </w:tr>
      <w:tr w:rsidR="0051312E" w:rsidRPr="00CD6AE6" w:rsidTr="00D62AD6">
        <w:trPr>
          <w:jc w:val="center"/>
        </w:trPr>
        <w:tc>
          <w:tcPr>
            <w:tcW w:w="820" w:type="pct"/>
            <w:vAlign w:val="center"/>
          </w:tcPr>
          <w:p w:rsidR="0051312E" w:rsidRPr="00CD6AE6" w:rsidRDefault="0051312E" w:rsidP="0051312E">
            <w:pPr>
              <w:rPr>
                <w:rFonts w:cs="Arial"/>
                <w:szCs w:val="20"/>
                <w:lang w:val="es-UY"/>
              </w:rPr>
            </w:pPr>
            <w:r w:rsidRPr="00CD6AE6">
              <w:rPr>
                <w:rFonts w:cs="Arial"/>
                <w:szCs w:val="20"/>
                <w:lang w:val="es-UY"/>
              </w:rPr>
              <w:t>FC</w:t>
            </w:r>
          </w:p>
        </w:tc>
        <w:tc>
          <w:tcPr>
            <w:tcW w:w="4180" w:type="pct"/>
            <w:vAlign w:val="center"/>
          </w:tcPr>
          <w:p w:rsidR="0051312E" w:rsidRPr="00CD6AE6" w:rsidRDefault="0051312E" w:rsidP="0051312E">
            <w:pPr>
              <w:rPr>
                <w:rFonts w:cs="Arial"/>
                <w:szCs w:val="20"/>
                <w:lang w:val="es-UY"/>
              </w:rPr>
            </w:pPr>
            <w:r w:rsidRPr="00CD6AE6">
              <w:rPr>
                <w:rFonts w:cs="Arial"/>
                <w:szCs w:val="20"/>
                <w:lang w:val="es-UY"/>
              </w:rPr>
              <w:t>Firma consultora</w:t>
            </w:r>
          </w:p>
        </w:tc>
      </w:tr>
      <w:tr w:rsidR="0051312E" w:rsidRPr="00CD6AE6" w:rsidTr="00D62AD6">
        <w:trPr>
          <w:jc w:val="center"/>
        </w:trPr>
        <w:tc>
          <w:tcPr>
            <w:tcW w:w="820" w:type="pct"/>
            <w:vAlign w:val="center"/>
          </w:tcPr>
          <w:p w:rsidR="0051312E" w:rsidRPr="00CD6AE6" w:rsidRDefault="0051312E" w:rsidP="0051312E">
            <w:pPr>
              <w:rPr>
                <w:rFonts w:cs="Arial"/>
                <w:szCs w:val="20"/>
                <w:lang w:val="es-UY"/>
              </w:rPr>
            </w:pPr>
            <w:r w:rsidRPr="00CD6AE6">
              <w:rPr>
                <w:rFonts w:cs="Arial"/>
                <w:szCs w:val="20"/>
                <w:lang w:val="es-UY"/>
              </w:rPr>
              <w:t>LPI</w:t>
            </w:r>
          </w:p>
        </w:tc>
        <w:tc>
          <w:tcPr>
            <w:tcW w:w="4180" w:type="pct"/>
            <w:vAlign w:val="center"/>
          </w:tcPr>
          <w:p w:rsidR="0051312E" w:rsidRPr="00CD6AE6" w:rsidRDefault="0051312E" w:rsidP="0051312E">
            <w:pPr>
              <w:rPr>
                <w:rFonts w:cs="Arial"/>
                <w:szCs w:val="20"/>
                <w:lang w:val="es-UY"/>
              </w:rPr>
            </w:pPr>
            <w:r w:rsidRPr="00CD6AE6">
              <w:rPr>
                <w:rFonts w:cs="Arial"/>
                <w:szCs w:val="20"/>
                <w:lang w:val="es-UY"/>
              </w:rPr>
              <w:t>Licitación Pública Internacional</w:t>
            </w:r>
          </w:p>
        </w:tc>
      </w:tr>
      <w:tr w:rsidR="0051312E" w:rsidRPr="00CD6AE6" w:rsidTr="00D62AD6">
        <w:trPr>
          <w:jc w:val="center"/>
        </w:trPr>
        <w:tc>
          <w:tcPr>
            <w:tcW w:w="820" w:type="pct"/>
            <w:vAlign w:val="center"/>
          </w:tcPr>
          <w:p w:rsidR="0051312E" w:rsidRPr="00CD6AE6" w:rsidRDefault="0051312E" w:rsidP="0051312E">
            <w:pPr>
              <w:rPr>
                <w:rFonts w:cs="Arial"/>
                <w:szCs w:val="20"/>
                <w:lang w:val="es-UY"/>
              </w:rPr>
            </w:pPr>
            <w:r w:rsidRPr="00CD6AE6">
              <w:rPr>
                <w:rFonts w:cs="Arial"/>
                <w:szCs w:val="20"/>
                <w:lang w:val="es-UY"/>
              </w:rPr>
              <w:t>LPN</w:t>
            </w:r>
          </w:p>
        </w:tc>
        <w:tc>
          <w:tcPr>
            <w:tcW w:w="4180" w:type="pct"/>
            <w:vAlign w:val="center"/>
          </w:tcPr>
          <w:p w:rsidR="0051312E" w:rsidRPr="00CD6AE6" w:rsidRDefault="0051312E" w:rsidP="0051312E">
            <w:pPr>
              <w:rPr>
                <w:rFonts w:cs="Arial"/>
                <w:szCs w:val="20"/>
                <w:lang w:val="es-UY"/>
              </w:rPr>
            </w:pPr>
            <w:r w:rsidRPr="00CD6AE6">
              <w:rPr>
                <w:rFonts w:cs="Arial"/>
                <w:szCs w:val="20"/>
                <w:lang w:val="es-UY"/>
              </w:rPr>
              <w:t>Licitación Pública Nacional</w:t>
            </w:r>
          </w:p>
        </w:tc>
      </w:tr>
      <w:tr w:rsidR="006C49DC" w:rsidRPr="00CD6AE6" w:rsidTr="00D62AD6">
        <w:trPr>
          <w:jc w:val="center"/>
        </w:trPr>
        <w:tc>
          <w:tcPr>
            <w:tcW w:w="820" w:type="pct"/>
            <w:vAlign w:val="center"/>
          </w:tcPr>
          <w:p w:rsidR="006C49DC" w:rsidRPr="00CD6AE6" w:rsidRDefault="006C49DC" w:rsidP="0051312E">
            <w:pPr>
              <w:rPr>
                <w:rFonts w:cs="Arial"/>
                <w:szCs w:val="20"/>
                <w:lang w:val="es-UY"/>
              </w:rPr>
            </w:pPr>
            <w:r w:rsidRPr="00CD6AE6">
              <w:rPr>
                <w:rFonts w:cs="Arial"/>
                <w:szCs w:val="20"/>
                <w:lang w:val="es-UY"/>
              </w:rPr>
              <w:t>MEMFOD</w:t>
            </w:r>
          </w:p>
        </w:tc>
        <w:tc>
          <w:tcPr>
            <w:tcW w:w="4180" w:type="pct"/>
            <w:vAlign w:val="center"/>
          </w:tcPr>
          <w:p w:rsidR="006C49DC" w:rsidRPr="00CD6AE6" w:rsidRDefault="006C49DC" w:rsidP="0051312E">
            <w:pPr>
              <w:rPr>
                <w:rFonts w:cs="Arial"/>
                <w:szCs w:val="20"/>
                <w:lang w:val="es-UY"/>
              </w:rPr>
            </w:pPr>
            <w:r w:rsidRPr="00CD6AE6">
              <w:rPr>
                <w:rFonts w:cs="Arial"/>
                <w:szCs w:val="20"/>
                <w:lang w:val="es-UY"/>
              </w:rPr>
              <w:t>Programa de Mejoramiento de la Educación Media y la Formación Docente (UR0132; 1361/OC-AR)</w:t>
            </w:r>
          </w:p>
        </w:tc>
      </w:tr>
      <w:tr w:rsidR="0051312E" w:rsidRPr="00CD6AE6" w:rsidTr="00D62AD6">
        <w:trPr>
          <w:jc w:val="center"/>
        </w:trPr>
        <w:tc>
          <w:tcPr>
            <w:tcW w:w="820" w:type="pct"/>
            <w:vAlign w:val="center"/>
          </w:tcPr>
          <w:p w:rsidR="0051312E" w:rsidRPr="00CD6AE6" w:rsidRDefault="003376E4" w:rsidP="0051312E">
            <w:pPr>
              <w:rPr>
                <w:rFonts w:cs="Arial"/>
                <w:szCs w:val="20"/>
                <w:lang w:val="es-UY"/>
              </w:rPr>
            </w:pPr>
            <w:r w:rsidRPr="00CD6AE6">
              <w:rPr>
                <w:rFonts w:cs="Arial"/>
                <w:szCs w:val="20"/>
                <w:lang w:val="es-UY"/>
              </w:rPr>
              <w:t>MR</w:t>
            </w:r>
          </w:p>
        </w:tc>
        <w:tc>
          <w:tcPr>
            <w:tcW w:w="4180" w:type="pct"/>
            <w:vAlign w:val="center"/>
          </w:tcPr>
          <w:p w:rsidR="0051312E" w:rsidRPr="00CD6AE6" w:rsidRDefault="0051312E" w:rsidP="0051312E">
            <w:pPr>
              <w:rPr>
                <w:rFonts w:cs="Arial"/>
                <w:szCs w:val="20"/>
                <w:lang w:val="es-UY"/>
              </w:rPr>
            </w:pPr>
            <w:r w:rsidRPr="00CD6AE6">
              <w:rPr>
                <w:rFonts w:cs="Arial"/>
                <w:szCs w:val="20"/>
                <w:lang w:val="es-UY"/>
              </w:rPr>
              <w:t>Matriz de Mitigación de Riesgos</w:t>
            </w:r>
          </w:p>
        </w:tc>
      </w:tr>
      <w:tr w:rsidR="0051312E" w:rsidRPr="00CD6AE6" w:rsidTr="00D62AD6">
        <w:trPr>
          <w:trHeight w:val="129"/>
          <w:jc w:val="center"/>
        </w:trPr>
        <w:tc>
          <w:tcPr>
            <w:tcW w:w="820" w:type="pct"/>
            <w:vAlign w:val="center"/>
          </w:tcPr>
          <w:p w:rsidR="0051312E" w:rsidRPr="00CD6AE6" w:rsidRDefault="0051312E" w:rsidP="0051312E">
            <w:pPr>
              <w:rPr>
                <w:rFonts w:cs="Arial"/>
                <w:szCs w:val="20"/>
                <w:lang w:val="es-UY"/>
              </w:rPr>
            </w:pPr>
            <w:r w:rsidRPr="00CD6AE6">
              <w:rPr>
                <w:rFonts w:cs="Arial"/>
                <w:szCs w:val="20"/>
                <w:lang w:val="es-UY"/>
              </w:rPr>
              <w:t>MR</w:t>
            </w:r>
          </w:p>
        </w:tc>
        <w:tc>
          <w:tcPr>
            <w:tcW w:w="4180" w:type="pct"/>
            <w:vAlign w:val="center"/>
          </w:tcPr>
          <w:p w:rsidR="0051312E" w:rsidRPr="00CD6AE6" w:rsidRDefault="0051312E" w:rsidP="0051312E">
            <w:pPr>
              <w:rPr>
                <w:rFonts w:cs="Arial"/>
                <w:szCs w:val="20"/>
                <w:lang w:val="es-UY"/>
              </w:rPr>
            </w:pPr>
            <w:r w:rsidRPr="00CD6AE6">
              <w:rPr>
                <w:rFonts w:cs="Arial"/>
                <w:szCs w:val="20"/>
                <w:lang w:val="es-UY"/>
              </w:rPr>
              <w:t>Matriz de Resultados del Programa</w:t>
            </w:r>
          </w:p>
        </w:tc>
      </w:tr>
      <w:tr w:rsidR="0051312E" w:rsidRPr="00CD6AE6" w:rsidTr="00D62AD6">
        <w:trPr>
          <w:jc w:val="center"/>
        </w:trPr>
        <w:tc>
          <w:tcPr>
            <w:tcW w:w="820" w:type="pct"/>
            <w:vAlign w:val="center"/>
          </w:tcPr>
          <w:p w:rsidR="0051312E" w:rsidRPr="00CD6AE6" w:rsidRDefault="0051312E" w:rsidP="0051312E">
            <w:pPr>
              <w:rPr>
                <w:rFonts w:cs="Arial"/>
                <w:szCs w:val="20"/>
                <w:lang w:val="es-UY"/>
              </w:rPr>
            </w:pPr>
            <w:r w:rsidRPr="00CD6AE6">
              <w:rPr>
                <w:rFonts w:cs="Arial"/>
                <w:szCs w:val="20"/>
                <w:lang w:val="es-UY"/>
              </w:rPr>
              <w:t>OC</w:t>
            </w:r>
          </w:p>
        </w:tc>
        <w:tc>
          <w:tcPr>
            <w:tcW w:w="4180" w:type="pct"/>
            <w:vAlign w:val="center"/>
          </w:tcPr>
          <w:p w:rsidR="0051312E" w:rsidRPr="00CD6AE6" w:rsidRDefault="0051312E" w:rsidP="0051312E">
            <w:pPr>
              <w:rPr>
                <w:rFonts w:cs="Arial"/>
                <w:szCs w:val="20"/>
                <w:lang w:val="es-UY"/>
              </w:rPr>
            </w:pPr>
            <w:r w:rsidRPr="00CD6AE6">
              <w:rPr>
                <w:rFonts w:cs="Arial"/>
                <w:szCs w:val="20"/>
                <w:lang w:val="es-UY"/>
              </w:rPr>
              <w:t>Fondo de Capital Ordinario</w:t>
            </w:r>
          </w:p>
        </w:tc>
      </w:tr>
      <w:tr w:rsidR="0051312E" w:rsidRPr="00CD6AE6" w:rsidTr="00D62AD6">
        <w:trPr>
          <w:jc w:val="center"/>
        </w:trPr>
        <w:tc>
          <w:tcPr>
            <w:tcW w:w="820" w:type="pct"/>
            <w:vAlign w:val="center"/>
          </w:tcPr>
          <w:p w:rsidR="0051312E" w:rsidRPr="00CD6AE6" w:rsidRDefault="0051312E" w:rsidP="0051312E">
            <w:pPr>
              <w:rPr>
                <w:rFonts w:cs="Arial"/>
                <w:szCs w:val="20"/>
                <w:lang w:val="es-UY"/>
              </w:rPr>
            </w:pPr>
            <w:r w:rsidRPr="00CD6AE6">
              <w:rPr>
                <w:rFonts w:cs="Arial"/>
                <w:szCs w:val="20"/>
                <w:lang w:val="es-UY"/>
              </w:rPr>
              <w:t>PEP</w:t>
            </w:r>
          </w:p>
        </w:tc>
        <w:tc>
          <w:tcPr>
            <w:tcW w:w="4180" w:type="pct"/>
            <w:vAlign w:val="center"/>
          </w:tcPr>
          <w:p w:rsidR="0051312E" w:rsidRPr="00CD6AE6" w:rsidRDefault="0051312E" w:rsidP="0051312E">
            <w:pPr>
              <w:rPr>
                <w:rFonts w:cs="Arial"/>
                <w:szCs w:val="20"/>
                <w:lang w:val="es-UY"/>
              </w:rPr>
            </w:pPr>
            <w:r w:rsidRPr="00CD6AE6">
              <w:rPr>
                <w:rFonts w:cs="Arial"/>
                <w:szCs w:val="20"/>
                <w:lang w:val="es-UY"/>
              </w:rPr>
              <w:t>Plan de Ejecución Plurianual del Programa</w:t>
            </w:r>
          </w:p>
        </w:tc>
      </w:tr>
      <w:tr w:rsidR="0051312E" w:rsidRPr="00CD6AE6" w:rsidTr="00D62AD6">
        <w:trPr>
          <w:jc w:val="center"/>
        </w:trPr>
        <w:tc>
          <w:tcPr>
            <w:tcW w:w="820" w:type="pct"/>
            <w:vAlign w:val="center"/>
          </w:tcPr>
          <w:p w:rsidR="0051312E" w:rsidRPr="00CD6AE6" w:rsidRDefault="0051312E" w:rsidP="0051312E">
            <w:pPr>
              <w:rPr>
                <w:rFonts w:cs="Arial"/>
                <w:szCs w:val="20"/>
                <w:lang w:val="es-UY"/>
              </w:rPr>
            </w:pPr>
            <w:r w:rsidRPr="00CD6AE6">
              <w:rPr>
                <w:rFonts w:cs="Arial"/>
                <w:szCs w:val="20"/>
                <w:lang w:val="es-UY"/>
              </w:rPr>
              <w:t>POA</w:t>
            </w:r>
          </w:p>
        </w:tc>
        <w:tc>
          <w:tcPr>
            <w:tcW w:w="4180" w:type="pct"/>
            <w:vAlign w:val="center"/>
          </w:tcPr>
          <w:p w:rsidR="0051312E" w:rsidRPr="00CD6AE6" w:rsidRDefault="0051312E" w:rsidP="0051312E">
            <w:pPr>
              <w:rPr>
                <w:rFonts w:cs="Arial"/>
                <w:szCs w:val="20"/>
                <w:lang w:val="es-UY"/>
              </w:rPr>
            </w:pPr>
            <w:r w:rsidRPr="00CD6AE6">
              <w:rPr>
                <w:rFonts w:cs="Arial"/>
                <w:szCs w:val="20"/>
                <w:lang w:val="es-UY"/>
              </w:rPr>
              <w:t>Plan Operativo Anual</w:t>
            </w:r>
          </w:p>
        </w:tc>
      </w:tr>
      <w:tr w:rsidR="0051312E" w:rsidRPr="00CD6AE6" w:rsidTr="00D62AD6">
        <w:trPr>
          <w:jc w:val="center"/>
        </w:trPr>
        <w:tc>
          <w:tcPr>
            <w:tcW w:w="820" w:type="pct"/>
            <w:vAlign w:val="center"/>
          </w:tcPr>
          <w:p w:rsidR="0051312E" w:rsidRPr="00CD6AE6" w:rsidRDefault="0051312E" w:rsidP="0051312E">
            <w:pPr>
              <w:rPr>
                <w:rFonts w:cs="Arial"/>
                <w:szCs w:val="20"/>
                <w:lang w:val="es-UY"/>
              </w:rPr>
            </w:pPr>
            <w:r w:rsidRPr="00CD6AE6">
              <w:rPr>
                <w:rFonts w:cs="Arial"/>
                <w:szCs w:val="20"/>
                <w:lang w:val="es-UY"/>
              </w:rPr>
              <w:t>Préstamo</w:t>
            </w:r>
          </w:p>
        </w:tc>
        <w:tc>
          <w:tcPr>
            <w:tcW w:w="4180" w:type="pct"/>
            <w:vAlign w:val="center"/>
          </w:tcPr>
          <w:p w:rsidR="0051312E" w:rsidRPr="00CD6AE6" w:rsidRDefault="0051312E" w:rsidP="00FC3D18">
            <w:pPr>
              <w:rPr>
                <w:rFonts w:cs="Arial"/>
                <w:szCs w:val="20"/>
                <w:lang w:val="es-UY"/>
              </w:rPr>
            </w:pPr>
            <w:r w:rsidRPr="00CD6AE6">
              <w:rPr>
                <w:rFonts w:cs="Arial"/>
                <w:szCs w:val="20"/>
                <w:lang w:val="es-UY"/>
              </w:rPr>
              <w:t xml:space="preserve">Es el préstamo </w:t>
            </w:r>
            <w:r w:rsidR="00FC3D18" w:rsidRPr="00CD6AE6">
              <w:rPr>
                <w:rFonts w:cs="Arial"/>
                <w:szCs w:val="20"/>
                <w:lang w:val="es-UY"/>
              </w:rPr>
              <w:t>xxxx</w:t>
            </w:r>
            <w:r w:rsidRPr="00CD6AE6">
              <w:rPr>
                <w:rFonts w:cs="Arial"/>
                <w:szCs w:val="20"/>
                <w:lang w:val="es-UY"/>
              </w:rPr>
              <w:t>/OC-</w:t>
            </w:r>
            <w:r w:rsidR="00FC3D18" w:rsidRPr="00CD6AE6">
              <w:rPr>
                <w:rFonts w:cs="Arial"/>
                <w:szCs w:val="20"/>
                <w:lang w:val="es-UY"/>
              </w:rPr>
              <w:t>UR</w:t>
            </w:r>
          </w:p>
        </w:tc>
      </w:tr>
      <w:tr w:rsidR="0051312E" w:rsidRPr="00CD6AE6" w:rsidTr="00D62AD6">
        <w:trPr>
          <w:jc w:val="center"/>
        </w:trPr>
        <w:tc>
          <w:tcPr>
            <w:tcW w:w="820" w:type="pct"/>
            <w:vAlign w:val="center"/>
          </w:tcPr>
          <w:p w:rsidR="0051312E" w:rsidRPr="00CD6AE6" w:rsidRDefault="0051312E" w:rsidP="0051312E">
            <w:pPr>
              <w:rPr>
                <w:rFonts w:cs="Arial"/>
                <w:szCs w:val="20"/>
                <w:lang w:val="es-UY"/>
              </w:rPr>
            </w:pPr>
            <w:r w:rsidRPr="00CD6AE6">
              <w:rPr>
                <w:rFonts w:cs="Arial"/>
                <w:szCs w:val="20"/>
                <w:lang w:val="es-UY"/>
              </w:rPr>
              <w:t xml:space="preserve">Programa </w:t>
            </w:r>
          </w:p>
        </w:tc>
        <w:tc>
          <w:tcPr>
            <w:tcW w:w="4180" w:type="pct"/>
            <w:vAlign w:val="center"/>
          </w:tcPr>
          <w:p w:rsidR="0051312E" w:rsidRPr="00CD6AE6" w:rsidRDefault="0051312E" w:rsidP="0051312E">
            <w:pPr>
              <w:rPr>
                <w:rFonts w:cs="Arial"/>
                <w:szCs w:val="20"/>
                <w:lang w:val="es-UY"/>
              </w:rPr>
            </w:pPr>
            <w:r w:rsidRPr="00CD6AE6">
              <w:rPr>
                <w:rFonts w:cs="Arial"/>
                <w:szCs w:val="20"/>
                <w:lang w:val="es-UY"/>
              </w:rPr>
              <w:t>Programa objeto de este Reglamento Operativo</w:t>
            </w:r>
          </w:p>
        </w:tc>
      </w:tr>
      <w:tr w:rsidR="0051312E" w:rsidRPr="00CD6AE6" w:rsidTr="00D62AD6">
        <w:trPr>
          <w:jc w:val="center"/>
        </w:trPr>
        <w:tc>
          <w:tcPr>
            <w:tcW w:w="820" w:type="pct"/>
            <w:vAlign w:val="center"/>
          </w:tcPr>
          <w:p w:rsidR="0051312E" w:rsidRPr="00CD6AE6" w:rsidRDefault="0051312E" w:rsidP="0051312E">
            <w:pPr>
              <w:rPr>
                <w:rFonts w:cs="Arial"/>
                <w:szCs w:val="20"/>
                <w:lang w:val="es-UY"/>
              </w:rPr>
            </w:pPr>
            <w:r w:rsidRPr="00CD6AE6">
              <w:rPr>
                <w:rFonts w:cs="Arial"/>
                <w:szCs w:val="20"/>
                <w:lang w:val="es-UY"/>
              </w:rPr>
              <w:t>RO</w:t>
            </w:r>
          </w:p>
        </w:tc>
        <w:tc>
          <w:tcPr>
            <w:tcW w:w="4180" w:type="pct"/>
            <w:vAlign w:val="center"/>
          </w:tcPr>
          <w:p w:rsidR="0051312E" w:rsidRPr="00CD6AE6" w:rsidRDefault="0051312E" w:rsidP="0051312E">
            <w:pPr>
              <w:rPr>
                <w:rFonts w:cs="Arial"/>
                <w:szCs w:val="20"/>
                <w:lang w:val="es-UY"/>
              </w:rPr>
            </w:pPr>
            <w:r w:rsidRPr="00CD6AE6">
              <w:rPr>
                <w:rFonts w:cs="Arial"/>
                <w:szCs w:val="20"/>
                <w:lang w:val="es-UY"/>
              </w:rPr>
              <w:t>Este Reglamento Operativo</w:t>
            </w:r>
          </w:p>
        </w:tc>
      </w:tr>
      <w:tr w:rsidR="0051312E" w:rsidRPr="00CD6AE6" w:rsidTr="00D62AD6">
        <w:trPr>
          <w:jc w:val="center"/>
        </w:trPr>
        <w:tc>
          <w:tcPr>
            <w:tcW w:w="820" w:type="pct"/>
            <w:vAlign w:val="center"/>
          </w:tcPr>
          <w:p w:rsidR="0051312E" w:rsidRPr="00CD6AE6" w:rsidRDefault="0051312E" w:rsidP="0051312E">
            <w:pPr>
              <w:rPr>
                <w:rFonts w:cs="Arial"/>
                <w:szCs w:val="20"/>
                <w:lang w:val="es-UY"/>
              </w:rPr>
            </w:pPr>
            <w:r w:rsidRPr="00CD6AE6">
              <w:rPr>
                <w:rFonts w:cs="Arial"/>
                <w:szCs w:val="20"/>
                <w:lang w:val="es-UY"/>
              </w:rPr>
              <w:t>SIIF</w:t>
            </w:r>
          </w:p>
        </w:tc>
        <w:tc>
          <w:tcPr>
            <w:tcW w:w="4180" w:type="pct"/>
            <w:vAlign w:val="center"/>
          </w:tcPr>
          <w:p w:rsidR="0051312E" w:rsidRPr="00CD6AE6" w:rsidRDefault="0051312E" w:rsidP="0051312E">
            <w:pPr>
              <w:rPr>
                <w:rFonts w:cs="Arial"/>
                <w:szCs w:val="20"/>
                <w:lang w:val="es-UY"/>
              </w:rPr>
            </w:pPr>
            <w:r w:rsidRPr="00CD6AE6">
              <w:rPr>
                <w:rFonts w:cs="Arial"/>
                <w:szCs w:val="20"/>
                <w:lang w:val="es-UY"/>
              </w:rPr>
              <w:t>Sistema Integrado de Intermediación Financiera</w:t>
            </w:r>
          </w:p>
        </w:tc>
      </w:tr>
      <w:tr w:rsidR="0051312E" w:rsidRPr="00CD6AE6" w:rsidTr="00D62AD6">
        <w:trPr>
          <w:jc w:val="center"/>
        </w:trPr>
        <w:tc>
          <w:tcPr>
            <w:tcW w:w="820" w:type="pct"/>
            <w:vAlign w:val="center"/>
          </w:tcPr>
          <w:p w:rsidR="0051312E" w:rsidRPr="00CD6AE6" w:rsidRDefault="0051312E" w:rsidP="0051312E">
            <w:pPr>
              <w:rPr>
                <w:rFonts w:cs="Arial"/>
                <w:szCs w:val="20"/>
                <w:lang w:val="es-UY"/>
              </w:rPr>
            </w:pPr>
            <w:r w:rsidRPr="00CD6AE6">
              <w:rPr>
                <w:rFonts w:cs="Arial"/>
                <w:szCs w:val="20"/>
                <w:lang w:val="es-UY"/>
              </w:rPr>
              <w:t>TDR</w:t>
            </w:r>
          </w:p>
        </w:tc>
        <w:tc>
          <w:tcPr>
            <w:tcW w:w="4180" w:type="pct"/>
            <w:vAlign w:val="center"/>
          </w:tcPr>
          <w:p w:rsidR="0051312E" w:rsidRPr="00CD6AE6" w:rsidRDefault="0051312E" w:rsidP="0051312E">
            <w:pPr>
              <w:rPr>
                <w:rFonts w:cs="Arial"/>
                <w:szCs w:val="20"/>
                <w:lang w:val="es-UY"/>
              </w:rPr>
            </w:pPr>
            <w:r w:rsidRPr="00CD6AE6">
              <w:rPr>
                <w:rFonts w:cs="Arial"/>
                <w:szCs w:val="20"/>
                <w:lang w:val="es-UY"/>
              </w:rPr>
              <w:t>Términos de Referencia</w:t>
            </w:r>
          </w:p>
        </w:tc>
      </w:tr>
      <w:tr w:rsidR="0051312E" w:rsidRPr="00CD6AE6" w:rsidTr="00D62AD6">
        <w:trPr>
          <w:jc w:val="center"/>
        </w:trPr>
        <w:tc>
          <w:tcPr>
            <w:tcW w:w="820" w:type="pct"/>
            <w:vAlign w:val="center"/>
          </w:tcPr>
          <w:p w:rsidR="0051312E" w:rsidRPr="00CD6AE6" w:rsidRDefault="00C20AE9" w:rsidP="00B36E21">
            <w:pPr>
              <w:rPr>
                <w:rFonts w:cs="Arial"/>
                <w:szCs w:val="20"/>
                <w:lang w:val="es-UY"/>
              </w:rPr>
            </w:pPr>
            <w:r w:rsidRPr="00CD6AE6">
              <w:rPr>
                <w:rFonts w:cs="Arial"/>
                <w:szCs w:val="20"/>
                <w:lang w:val="es-UY"/>
              </w:rPr>
              <w:t>UE</w:t>
            </w:r>
          </w:p>
        </w:tc>
        <w:tc>
          <w:tcPr>
            <w:tcW w:w="4180" w:type="pct"/>
            <w:vAlign w:val="center"/>
          </w:tcPr>
          <w:p w:rsidR="0051312E" w:rsidRPr="00CD6AE6" w:rsidRDefault="0051312E" w:rsidP="00B36E21">
            <w:pPr>
              <w:rPr>
                <w:rFonts w:cs="Arial"/>
                <w:szCs w:val="20"/>
                <w:lang w:val="es-UY"/>
              </w:rPr>
            </w:pPr>
            <w:r w:rsidRPr="00CD6AE6">
              <w:rPr>
                <w:rFonts w:cs="Arial"/>
                <w:szCs w:val="20"/>
                <w:lang w:val="es-UY"/>
              </w:rPr>
              <w:t xml:space="preserve">Unidad </w:t>
            </w:r>
            <w:r w:rsidR="00B36E21" w:rsidRPr="00CD6AE6">
              <w:rPr>
                <w:rFonts w:cs="Arial"/>
                <w:szCs w:val="20"/>
                <w:lang w:val="es-UY"/>
              </w:rPr>
              <w:t>Coordinadora</w:t>
            </w:r>
            <w:r w:rsidRPr="00CD6AE6">
              <w:rPr>
                <w:rFonts w:cs="Arial"/>
                <w:szCs w:val="20"/>
                <w:lang w:val="es-UY"/>
              </w:rPr>
              <w:t xml:space="preserve"> del Programa</w:t>
            </w:r>
          </w:p>
        </w:tc>
      </w:tr>
    </w:tbl>
    <w:p w:rsidR="00B36E21" w:rsidRPr="00CD6AE6" w:rsidRDefault="00B36E21" w:rsidP="0051312E">
      <w:pPr>
        <w:rPr>
          <w:rFonts w:cs="Arial"/>
          <w:szCs w:val="20"/>
          <w:lang w:val="es-UY"/>
        </w:rPr>
      </w:pPr>
    </w:p>
    <w:p w:rsidR="0051312E" w:rsidRPr="00CD6AE6" w:rsidRDefault="00A30A02" w:rsidP="00872A3D">
      <w:pPr>
        <w:pStyle w:val="Heading1"/>
      </w:pPr>
      <w:bookmarkStart w:id="16" w:name="_Toc461731179"/>
      <w:r w:rsidRPr="00CD6AE6">
        <w:t>DESCRIPCION D</w:t>
      </w:r>
      <w:r w:rsidR="0051312E" w:rsidRPr="00CD6AE6">
        <w:t>EL PROGRAMA</w:t>
      </w:r>
      <w:bookmarkEnd w:id="16"/>
    </w:p>
    <w:p w:rsidR="0051312E" w:rsidRPr="00CD6AE6" w:rsidRDefault="0051312E" w:rsidP="00BE1150">
      <w:pPr>
        <w:pStyle w:val="Heading2"/>
        <w:numPr>
          <w:ilvl w:val="1"/>
          <w:numId w:val="5"/>
        </w:numPr>
      </w:pPr>
      <w:bookmarkStart w:id="17" w:name="_Toc48461679"/>
      <w:bookmarkStart w:id="18" w:name="_Toc106996752"/>
      <w:bookmarkStart w:id="19" w:name="_Toc106996889"/>
      <w:bookmarkStart w:id="20" w:name="_Toc108506421"/>
      <w:bookmarkStart w:id="21" w:name="_Toc110493046"/>
      <w:bookmarkStart w:id="22" w:name="_Toc134589617"/>
      <w:bookmarkStart w:id="23" w:name="_Toc202247755"/>
      <w:r w:rsidRPr="00CD6AE6">
        <w:t>Objetivo</w:t>
      </w:r>
      <w:bookmarkEnd w:id="17"/>
      <w:bookmarkEnd w:id="18"/>
      <w:bookmarkEnd w:id="19"/>
      <w:bookmarkEnd w:id="20"/>
      <w:bookmarkEnd w:id="21"/>
      <w:bookmarkEnd w:id="22"/>
      <w:bookmarkEnd w:id="23"/>
      <w:r w:rsidRPr="00CD6AE6">
        <w:t xml:space="preserve">  </w:t>
      </w:r>
    </w:p>
    <w:p w:rsidR="0051312E" w:rsidRPr="00CD6AE6" w:rsidRDefault="0051312E" w:rsidP="003031FD">
      <w:pPr>
        <w:pStyle w:val="Paragraph"/>
      </w:pPr>
      <w:r w:rsidRPr="00CD6AE6">
        <w:t xml:space="preserve">El objetivo del Programa es </w:t>
      </w:r>
      <w:r w:rsidR="003031FD" w:rsidRPr="00CD6AE6">
        <w:t>mejorar el acceso y la calidad de la educación media en Uruguay, a fin de lograr trayectorias educativas continuas y completas</w:t>
      </w:r>
      <w:r w:rsidR="00D62AD6" w:rsidRPr="00CD6AE6">
        <w:t>.</w:t>
      </w:r>
      <w:r w:rsidRPr="00CD6AE6">
        <w:t xml:space="preserve"> </w:t>
      </w:r>
    </w:p>
    <w:p w:rsidR="009801E5" w:rsidRPr="00CD6AE6" w:rsidRDefault="0051312E" w:rsidP="00D4226A">
      <w:pPr>
        <w:pStyle w:val="Paragraph"/>
      </w:pPr>
      <w:r w:rsidRPr="00CD6AE6">
        <w:lastRenderedPageBreak/>
        <w:t xml:space="preserve">El Programa se organiza en función de </w:t>
      </w:r>
      <w:r w:rsidR="009A7C6C" w:rsidRPr="00CD6AE6">
        <w:t>cuatro</w:t>
      </w:r>
      <w:r w:rsidRPr="00CD6AE6">
        <w:t xml:space="preserve"> componentes orientados a contribuir a los siguientes objetivos:</w:t>
      </w:r>
    </w:p>
    <w:p w:rsidR="009801E5" w:rsidRPr="00CD6AE6" w:rsidRDefault="0051312E" w:rsidP="00C467FF">
      <w:pPr>
        <w:ind w:left="270"/>
        <w:rPr>
          <w:lang w:val="es-UY"/>
        </w:rPr>
      </w:pPr>
      <w:r w:rsidRPr="00CD6AE6">
        <w:rPr>
          <w:lang w:val="es-UY"/>
        </w:rPr>
        <w:t xml:space="preserve">(i) </w:t>
      </w:r>
      <w:r w:rsidR="009801E5" w:rsidRPr="00CD6AE6">
        <w:rPr>
          <w:lang w:val="es-UY"/>
        </w:rPr>
        <w:t>mejorar los resultados educativos de los alumnos de EM</w:t>
      </w:r>
      <w:r w:rsidRPr="00CD6AE6">
        <w:rPr>
          <w:lang w:val="es-UY"/>
        </w:rPr>
        <w:t xml:space="preserve">; </w:t>
      </w:r>
    </w:p>
    <w:p w:rsidR="009801E5" w:rsidRPr="00CD6AE6" w:rsidRDefault="0051312E" w:rsidP="00C467FF">
      <w:pPr>
        <w:ind w:left="270"/>
        <w:rPr>
          <w:lang w:val="es-UY"/>
        </w:rPr>
      </w:pPr>
      <w:r w:rsidRPr="00CD6AE6">
        <w:rPr>
          <w:lang w:val="es-UY"/>
        </w:rPr>
        <w:t xml:space="preserve">(ii) </w:t>
      </w:r>
      <w:r w:rsidR="009801E5" w:rsidRPr="00CD6AE6">
        <w:rPr>
          <w:lang w:val="es-UY"/>
        </w:rPr>
        <w:t>fortalecer la FI y el desarrollo profesional docente en EM</w:t>
      </w:r>
      <w:r w:rsidRPr="00CD6AE6">
        <w:rPr>
          <w:lang w:val="es-UY"/>
        </w:rPr>
        <w:t xml:space="preserve">; </w:t>
      </w:r>
    </w:p>
    <w:p w:rsidR="009801E5" w:rsidRPr="00CD6AE6" w:rsidRDefault="0051312E" w:rsidP="00C467FF">
      <w:pPr>
        <w:ind w:left="270"/>
        <w:rPr>
          <w:lang w:val="es-UY"/>
        </w:rPr>
      </w:pPr>
      <w:r w:rsidRPr="00CD6AE6">
        <w:rPr>
          <w:lang w:val="es-UY"/>
        </w:rPr>
        <w:t xml:space="preserve">(iii) </w:t>
      </w:r>
      <w:r w:rsidR="009801E5" w:rsidRPr="00CD6AE6">
        <w:rPr>
          <w:lang w:val="es-UY"/>
        </w:rPr>
        <w:t>fortalecer las capacidades de ANEP y sus instancias locales, el CES y el CETP y los CE para gestionar y garantizar una educación pública de calidad</w:t>
      </w:r>
      <w:r w:rsidRPr="00CD6AE6">
        <w:rPr>
          <w:lang w:val="es-UY"/>
        </w:rPr>
        <w:t>;</w:t>
      </w:r>
      <w:r w:rsidR="009801E5" w:rsidRPr="00CD6AE6">
        <w:rPr>
          <w:lang w:val="es-UY"/>
        </w:rPr>
        <w:t xml:space="preserve"> y</w:t>
      </w:r>
    </w:p>
    <w:p w:rsidR="009801E5" w:rsidRPr="00853AAB" w:rsidRDefault="0051312E" w:rsidP="00C467FF">
      <w:pPr>
        <w:ind w:left="270"/>
        <w:rPr>
          <w:lang w:val="pt-BR"/>
        </w:rPr>
      </w:pPr>
      <w:r w:rsidRPr="00853AAB">
        <w:rPr>
          <w:lang w:val="pt-BR"/>
        </w:rPr>
        <w:t xml:space="preserve">(iv) </w:t>
      </w:r>
      <w:r w:rsidR="009801E5" w:rsidRPr="00853AAB">
        <w:rPr>
          <w:lang w:val="pt-BR"/>
        </w:rPr>
        <w:t>aumentar la cobertura de</w:t>
      </w:r>
      <w:r w:rsidR="00CB6746" w:rsidRPr="00853AAB">
        <w:rPr>
          <w:lang w:val="pt-BR"/>
        </w:rPr>
        <w:t xml:space="preserve"> EM y de EM de jornada ampliada</w:t>
      </w:r>
      <w:r w:rsidRPr="00853AAB">
        <w:rPr>
          <w:lang w:val="pt-BR"/>
        </w:rPr>
        <w:t>.</w:t>
      </w:r>
    </w:p>
    <w:p w:rsidR="0051312E" w:rsidRPr="00CD6AE6" w:rsidRDefault="0051312E" w:rsidP="00BE1150">
      <w:pPr>
        <w:pStyle w:val="Heading2"/>
        <w:numPr>
          <w:ilvl w:val="1"/>
          <w:numId w:val="5"/>
        </w:numPr>
      </w:pPr>
      <w:r w:rsidRPr="00CD6AE6">
        <w:t>Componentes y Subcomponentes</w:t>
      </w:r>
    </w:p>
    <w:p w:rsidR="0051312E" w:rsidRPr="00CD6AE6" w:rsidRDefault="0051312E" w:rsidP="00D4226A">
      <w:pPr>
        <w:pStyle w:val="Paragraph"/>
      </w:pPr>
      <w:r w:rsidRPr="00CD6AE6">
        <w:t>La organización del Programa según componentes y subcomponentes responde a los objetivos estratégicos que se detalla:</w:t>
      </w:r>
    </w:p>
    <w:p w:rsidR="0051312E" w:rsidRPr="00CD6AE6" w:rsidRDefault="0051312E" w:rsidP="006570F7">
      <w:pPr>
        <w:jc w:val="center"/>
        <w:rPr>
          <w:b/>
          <w:lang w:val="es-UY"/>
        </w:rPr>
      </w:pPr>
      <w:r w:rsidRPr="00CD6AE6">
        <w:rPr>
          <w:b/>
          <w:lang w:val="es-UY"/>
        </w:rPr>
        <w:t>Cuadro II-1 Objetivos Principales</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795"/>
        <w:gridCol w:w="6120"/>
        <w:gridCol w:w="1260"/>
      </w:tblGrid>
      <w:tr w:rsidR="00C94DA8" w:rsidRPr="00CD6AE6" w:rsidTr="006F161A">
        <w:trPr>
          <w:jc w:val="center"/>
        </w:trPr>
        <w:tc>
          <w:tcPr>
            <w:tcW w:w="1795" w:type="dxa"/>
            <w:shd w:val="clear" w:color="auto" w:fill="D9D9D9"/>
            <w:vAlign w:val="center"/>
          </w:tcPr>
          <w:p w:rsidR="0051312E" w:rsidRPr="00CD6AE6" w:rsidRDefault="006A0E15">
            <w:pPr>
              <w:jc w:val="center"/>
              <w:rPr>
                <w:rFonts w:cs="Arial"/>
                <w:b/>
                <w:szCs w:val="20"/>
                <w:lang w:val="es-UY"/>
              </w:rPr>
            </w:pPr>
            <w:r w:rsidRPr="00CD6AE6">
              <w:rPr>
                <w:rFonts w:cs="Arial"/>
                <w:b/>
                <w:szCs w:val="20"/>
                <w:lang w:val="es-UY"/>
              </w:rPr>
              <w:t>Áreas</w:t>
            </w:r>
            <w:r w:rsidR="0051312E" w:rsidRPr="00CD6AE6">
              <w:rPr>
                <w:rFonts w:cs="Arial"/>
                <w:b/>
                <w:szCs w:val="20"/>
                <w:lang w:val="es-UY"/>
              </w:rPr>
              <w:t xml:space="preserve"> del Programa</w:t>
            </w:r>
          </w:p>
        </w:tc>
        <w:tc>
          <w:tcPr>
            <w:tcW w:w="6120" w:type="dxa"/>
            <w:shd w:val="clear" w:color="auto" w:fill="D9D9D9"/>
            <w:vAlign w:val="center"/>
          </w:tcPr>
          <w:p w:rsidR="0051312E" w:rsidRPr="00CD6AE6" w:rsidRDefault="0051312E">
            <w:pPr>
              <w:jc w:val="center"/>
              <w:rPr>
                <w:rFonts w:cs="Arial"/>
                <w:b/>
                <w:szCs w:val="20"/>
                <w:lang w:val="es-UY"/>
              </w:rPr>
            </w:pPr>
            <w:r w:rsidRPr="00CD6AE6">
              <w:rPr>
                <w:rFonts w:cs="Arial"/>
                <w:b/>
                <w:szCs w:val="20"/>
                <w:lang w:val="es-UY"/>
              </w:rPr>
              <w:t>Acciones</w:t>
            </w:r>
          </w:p>
        </w:tc>
        <w:tc>
          <w:tcPr>
            <w:tcW w:w="1260" w:type="dxa"/>
            <w:shd w:val="clear" w:color="auto" w:fill="D9D9D9"/>
            <w:vAlign w:val="center"/>
          </w:tcPr>
          <w:p w:rsidR="0051312E" w:rsidRPr="00CD6AE6" w:rsidRDefault="0051312E">
            <w:pPr>
              <w:jc w:val="center"/>
              <w:rPr>
                <w:rFonts w:cs="Arial"/>
                <w:b/>
                <w:szCs w:val="20"/>
                <w:lang w:val="es-UY"/>
              </w:rPr>
            </w:pPr>
            <w:r w:rsidRPr="00CD6AE6">
              <w:rPr>
                <w:rFonts w:cs="Arial"/>
                <w:b/>
                <w:szCs w:val="20"/>
                <w:lang w:val="es-UY"/>
              </w:rPr>
              <w:t>Objetivo Principal</w:t>
            </w:r>
          </w:p>
        </w:tc>
      </w:tr>
      <w:tr w:rsidR="00C94DA8" w:rsidRPr="00CD6AE6" w:rsidTr="006F161A">
        <w:trPr>
          <w:jc w:val="center"/>
        </w:trPr>
        <w:tc>
          <w:tcPr>
            <w:tcW w:w="1795" w:type="dxa"/>
            <w:vMerge w:val="restart"/>
            <w:vAlign w:val="center"/>
          </w:tcPr>
          <w:p w:rsidR="004C1D20" w:rsidRPr="00CD6AE6" w:rsidRDefault="004C1D20" w:rsidP="009A7C6C">
            <w:pPr>
              <w:pStyle w:val="NoSpacing"/>
            </w:pPr>
            <w:r w:rsidRPr="00CD6AE6">
              <w:t>Mejora de la calidad educativa</w:t>
            </w:r>
          </w:p>
        </w:tc>
        <w:tc>
          <w:tcPr>
            <w:tcW w:w="6120" w:type="dxa"/>
            <w:vAlign w:val="center"/>
          </w:tcPr>
          <w:p w:rsidR="004C1D20" w:rsidRPr="00CD6AE6" w:rsidRDefault="004C1D20" w:rsidP="006F161A">
            <w:pPr>
              <w:pStyle w:val="NoSpacing"/>
            </w:pPr>
            <w:r w:rsidRPr="00CD6AE6">
              <w:t>Perfiles de egreso y progresión de aprendizajes para EM.</w:t>
            </w:r>
          </w:p>
        </w:tc>
        <w:tc>
          <w:tcPr>
            <w:tcW w:w="1260" w:type="dxa"/>
            <w:shd w:val="clear" w:color="auto" w:fill="auto"/>
            <w:vAlign w:val="center"/>
          </w:tcPr>
          <w:p w:rsidR="004C1D20" w:rsidRPr="00CD6AE6" w:rsidRDefault="00A37D39" w:rsidP="006F161A">
            <w:pPr>
              <w:pStyle w:val="NoSpacing"/>
            </w:pPr>
            <w:r w:rsidRPr="00CD6AE6">
              <w:t>Calidad</w:t>
            </w:r>
          </w:p>
        </w:tc>
      </w:tr>
      <w:tr w:rsidR="00C94DA8" w:rsidRPr="00CD6AE6" w:rsidTr="006F161A">
        <w:trPr>
          <w:jc w:val="center"/>
        </w:trPr>
        <w:tc>
          <w:tcPr>
            <w:tcW w:w="1795" w:type="dxa"/>
            <w:vMerge/>
            <w:vAlign w:val="center"/>
          </w:tcPr>
          <w:p w:rsidR="004C1D20" w:rsidRPr="00CD6AE6" w:rsidRDefault="004C1D20" w:rsidP="006F161A">
            <w:pPr>
              <w:pStyle w:val="NoSpacing"/>
            </w:pPr>
          </w:p>
        </w:tc>
        <w:tc>
          <w:tcPr>
            <w:tcW w:w="6120" w:type="dxa"/>
            <w:vAlign w:val="center"/>
          </w:tcPr>
          <w:p w:rsidR="004C1D20" w:rsidRPr="00853AAB" w:rsidRDefault="004C1D20" w:rsidP="006F161A">
            <w:pPr>
              <w:pStyle w:val="NoSpacing"/>
              <w:rPr>
                <w:lang w:val="pt-BR"/>
              </w:rPr>
            </w:pPr>
            <w:r w:rsidRPr="00853AAB">
              <w:rPr>
                <w:lang w:val="pt-BR"/>
              </w:rPr>
              <w:t>E</w:t>
            </w:r>
            <w:r w:rsidR="00CD6AE6" w:rsidRPr="00853AAB">
              <w:rPr>
                <w:lang w:val="pt-BR"/>
              </w:rPr>
              <w:t>strategia de e</w:t>
            </w:r>
            <w:r w:rsidRPr="00853AAB">
              <w:rPr>
                <w:lang w:val="pt-BR"/>
              </w:rPr>
              <w:t xml:space="preserve">xpansión de jornada </w:t>
            </w:r>
            <w:r w:rsidR="00CD6AE6" w:rsidRPr="00853AAB">
              <w:rPr>
                <w:lang w:val="pt-BR"/>
              </w:rPr>
              <w:t xml:space="preserve">escolar em </w:t>
            </w:r>
            <w:r w:rsidRPr="00853AAB">
              <w:rPr>
                <w:lang w:val="pt-BR"/>
              </w:rPr>
              <w:t>EM.</w:t>
            </w:r>
          </w:p>
        </w:tc>
        <w:tc>
          <w:tcPr>
            <w:tcW w:w="1260" w:type="dxa"/>
            <w:shd w:val="clear" w:color="auto" w:fill="auto"/>
            <w:vAlign w:val="center"/>
          </w:tcPr>
          <w:p w:rsidR="004C1D20" w:rsidRPr="00CD6AE6" w:rsidRDefault="004C1D20" w:rsidP="006F161A">
            <w:pPr>
              <w:pStyle w:val="NoSpacing"/>
            </w:pPr>
            <w:r w:rsidRPr="00CD6AE6">
              <w:t>Calidad</w:t>
            </w:r>
          </w:p>
        </w:tc>
      </w:tr>
      <w:tr w:rsidR="00C94DA8" w:rsidRPr="00CD6AE6" w:rsidTr="006F161A">
        <w:trPr>
          <w:jc w:val="center"/>
        </w:trPr>
        <w:tc>
          <w:tcPr>
            <w:tcW w:w="1795" w:type="dxa"/>
            <w:vMerge/>
            <w:vAlign w:val="center"/>
          </w:tcPr>
          <w:p w:rsidR="004C1D20" w:rsidRPr="00CD6AE6" w:rsidRDefault="004C1D20" w:rsidP="006F161A">
            <w:pPr>
              <w:pStyle w:val="NoSpacing"/>
            </w:pPr>
          </w:p>
        </w:tc>
        <w:tc>
          <w:tcPr>
            <w:tcW w:w="6120" w:type="dxa"/>
            <w:vAlign w:val="center"/>
          </w:tcPr>
          <w:p w:rsidR="004C1D20" w:rsidRPr="00CD6AE6" w:rsidRDefault="004C1D20" w:rsidP="006F161A">
            <w:pPr>
              <w:pStyle w:val="NoSpacing"/>
            </w:pPr>
            <w:r w:rsidRPr="00CD6AE6">
              <w:t>Aulas digitales</w:t>
            </w:r>
          </w:p>
        </w:tc>
        <w:tc>
          <w:tcPr>
            <w:tcW w:w="1260" w:type="dxa"/>
            <w:shd w:val="clear" w:color="auto" w:fill="auto"/>
            <w:vAlign w:val="center"/>
          </w:tcPr>
          <w:p w:rsidR="004C1D20" w:rsidRPr="00CD6AE6" w:rsidRDefault="00A37D39" w:rsidP="006F161A">
            <w:pPr>
              <w:pStyle w:val="NoSpacing"/>
            </w:pPr>
            <w:r w:rsidRPr="00CD6AE6">
              <w:t>Calidad</w:t>
            </w:r>
          </w:p>
        </w:tc>
      </w:tr>
      <w:tr w:rsidR="00C94DA8" w:rsidRPr="00CD6AE6" w:rsidTr="006F161A">
        <w:trPr>
          <w:jc w:val="center"/>
        </w:trPr>
        <w:tc>
          <w:tcPr>
            <w:tcW w:w="1795" w:type="dxa"/>
            <w:vMerge w:val="restart"/>
            <w:vAlign w:val="center"/>
          </w:tcPr>
          <w:p w:rsidR="006A0E15" w:rsidRPr="00CD6AE6" w:rsidRDefault="006A0E15" w:rsidP="006F161A">
            <w:pPr>
              <w:pStyle w:val="NoSpacing"/>
            </w:pPr>
            <w:r w:rsidRPr="00CD6AE6">
              <w:t>Formación en educación</w:t>
            </w:r>
          </w:p>
        </w:tc>
        <w:tc>
          <w:tcPr>
            <w:tcW w:w="6120" w:type="dxa"/>
            <w:vAlign w:val="center"/>
          </w:tcPr>
          <w:p w:rsidR="006A0E15" w:rsidRPr="00CD6AE6" w:rsidRDefault="006A0E15" w:rsidP="006F161A">
            <w:pPr>
              <w:pStyle w:val="NoSpacing"/>
            </w:pPr>
            <w:r w:rsidRPr="00CD6AE6">
              <w:t>Nuevo plan de estudios para FI</w:t>
            </w:r>
          </w:p>
        </w:tc>
        <w:tc>
          <w:tcPr>
            <w:tcW w:w="1260" w:type="dxa"/>
            <w:shd w:val="clear" w:color="auto" w:fill="auto"/>
            <w:vAlign w:val="center"/>
          </w:tcPr>
          <w:p w:rsidR="006A0E15" w:rsidRPr="00CD6AE6" w:rsidRDefault="006A0E15" w:rsidP="006F161A">
            <w:pPr>
              <w:pStyle w:val="NoSpacing"/>
            </w:pPr>
            <w:r w:rsidRPr="00CD6AE6">
              <w:t>Calidad</w:t>
            </w:r>
          </w:p>
        </w:tc>
      </w:tr>
      <w:tr w:rsidR="00C94DA8" w:rsidRPr="00CD6AE6" w:rsidTr="006F161A">
        <w:trPr>
          <w:jc w:val="center"/>
        </w:trPr>
        <w:tc>
          <w:tcPr>
            <w:tcW w:w="1795" w:type="dxa"/>
            <w:vMerge/>
            <w:vAlign w:val="center"/>
          </w:tcPr>
          <w:p w:rsidR="006A0E15" w:rsidRPr="00CD6AE6" w:rsidDel="004C1D20" w:rsidRDefault="006A0E15" w:rsidP="006F161A">
            <w:pPr>
              <w:pStyle w:val="NoSpacing"/>
            </w:pPr>
          </w:p>
        </w:tc>
        <w:tc>
          <w:tcPr>
            <w:tcW w:w="6120" w:type="dxa"/>
            <w:vAlign w:val="center"/>
          </w:tcPr>
          <w:p w:rsidR="006A0E15" w:rsidRPr="00CD6AE6" w:rsidDel="006A0E15" w:rsidRDefault="006A0E15" w:rsidP="006F161A">
            <w:pPr>
              <w:pStyle w:val="NoSpacing"/>
            </w:pPr>
            <w:r w:rsidRPr="00CD6AE6">
              <w:t>Nueva estructura de cargos y grados</w:t>
            </w:r>
          </w:p>
        </w:tc>
        <w:tc>
          <w:tcPr>
            <w:tcW w:w="1260" w:type="dxa"/>
            <w:shd w:val="clear" w:color="auto" w:fill="auto"/>
            <w:vAlign w:val="center"/>
          </w:tcPr>
          <w:p w:rsidR="006A0E15" w:rsidRPr="00CD6AE6" w:rsidRDefault="00A37D39" w:rsidP="006F161A">
            <w:pPr>
              <w:pStyle w:val="NoSpacing"/>
            </w:pPr>
            <w:r w:rsidRPr="00CD6AE6">
              <w:t>Eficiencia</w:t>
            </w:r>
          </w:p>
        </w:tc>
      </w:tr>
      <w:tr w:rsidR="00C94DA8" w:rsidRPr="00CD6AE6" w:rsidTr="006F161A">
        <w:trPr>
          <w:jc w:val="center"/>
        </w:trPr>
        <w:tc>
          <w:tcPr>
            <w:tcW w:w="1795" w:type="dxa"/>
            <w:vMerge/>
            <w:vAlign w:val="center"/>
          </w:tcPr>
          <w:p w:rsidR="006A0E15" w:rsidRPr="00CD6AE6" w:rsidDel="004C1D20" w:rsidRDefault="006A0E15" w:rsidP="006F161A">
            <w:pPr>
              <w:pStyle w:val="NoSpacing"/>
            </w:pPr>
          </w:p>
        </w:tc>
        <w:tc>
          <w:tcPr>
            <w:tcW w:w="6120" w:type="dxa"/>
            <w:vAlign w:val="center"/>
          </w:tcPr>
          <w:p w:rsidR="006A0E15" w:rsidRPr="00CD6AE6" w:rsidDel="006A0E15" w:rsidRDefault="00CD6AE6" w:rsidP="006F161A">
            <w:pPr>
              <w:pStyle w:val="NoSpacing"/>
            </w:pPr>
            <w:r>
              <w:t>Inducción, a</w:t>
            </w:r>
            <w:r w:rsidR="006A0E15" w:rsidRPr="00CD6AE6">
              <w:t xml:space="preserve">compañamiento </w:t>
            </w:r>
            <w:r>
              <w:t xml:space="preserve">y desarrollo profesional </w:t>
            </w:r>
            <w:r w:rsidR="006A0E15" w:rsidRPr="00CD6AE6">
              <w:t xml:space="preserve">a docentes </w:t>
            </w:r>
            <w:r>
              <w:t xml:space="preserve">de </w:t>
            </w:r>
            <w:r w:rsidR="006A0E15" w:rsidRPr="00CD6AE6">
              <w:t>EM</w:t>
            </w:r>
            <w:r>
              <w:t xml:space="preserve"> en sus primeros años de experiencia profesional</w:t>
            </w:r>
          </w:p>
        </w:tc>
        <w:tc>
          <w:tcPr>
            <w:tcW w:w="1260" w:type="dxa"/>
            <w:shd w:val="clear" w:color="auto" w:fill="auto"/>
            <w:vAlign w:val="center"/>
          </w:tcPr>
          <w:p w:rsidR="006A0E15" w:rsidRPr="00CD6AE6" w:rsidRDefault="00A37D39" w:rsidP="006F161A">
            <w:pPr>
              <w:pStyle w:val="NoSpacing"/>
            </w:pPr>
            <w:r w:rsidRPr="00CD6AE6">
              <w:t>Calidad</w:t>
            </w:r>
          </w:p>
        </w:tc>
      </w:tr>
      <w:tr w:rsidR="00C94DA8" w:rsidRPr="00CD6AE6" w:rsidTr="006F161A">
        <w:trPr>
          <w:jc w:val="center"/>
        </w:trPr>
        <w:tc>
          <w:tcPr>
            <w:tcW w:w="1795" w:type="dxa"/>
            <w:vMerge w:val="restart"/>
            <w:vAlign w:val="center"/>
          </w:tcPr>
          <w:p w:rsidR="00C94DA8" w:rsidRPr="00CD6AE6" w:rsidRDefault="00C94DA8" w:rsidP="006F161A">
            <w:pPr>
              <w:pStyle w:val="NoSpacing"/>
            </w:pPr>
            <w:r w:rsidRPr="00CD6AE6">
              <w:t xml:space="preserve">Integración </w:t>
            </w:r>
            <w:r w:rsidR="009A7C6C" w:rsidRPr="00CD6AE6">
              <w:t xml:space="preserve">territorial </w:t>
            </w:r>
            <w:r w:rsidRPr="00CD6AE6">
              <w:t>y gestión para la mejora educativa</w:t>
            </w:r>
          </w:p>
        </w:tc>
        <w:tc>
          <w:tcPr>
            <w:tcW w:w="6120" w:type="dxa"/>
            <w:vAlign w:val="center"/>
          </w:tcPr>
          <w:p w:rsidR="00C94DA8" w:rsidRPr="00CD6AE6" w:rsidRDefault="00C94DA8" w:rsidP="006F161A">
            <w:pPr>
              <w:pStyle w:val="NoSpacing"/>
            </w:pPr>
            <w:r w:rsidRPr="00CD6AE6">
              <w:t>Sistema de aseguramiento de la calidad</w:t>
            </w:r>
            <w:r w:rsidR="00CD6AE6">
              <w:t xml:space="preserve"> de la EM</w:t>
            </w:r>
          </w:p>
        </w:tc>
        <w:tc>
          <w:tcPr>
            <w:tcW w:w="1260" w:type="dxa"/>
            <w:shd w:val="clear" w:color="auto" w:fill="auto"/>
            <w:vAlign w:val="center"/>
          </w:tcPr>
          <w:p w:rsidR="00C94DA8" w:rsidRPr="00CD6AE6" w:rsidRDefault="00C94DA8" w:rsidP="006F161A">
            <w:pPr>
              <w:pStyle w:val="NoSpacing"/>
            </w:pPr>
            <w:r w:rsidRPr="00CD6AE6">
              <w:t>Calidad</w:t>
            </w:r>
          </w:p>
        </w:tc>
      </w:tr>
      <w:tr w:rsidR="00C94DA8" w:rsidRPr="00CD6AE6" w:rsidTr="006F161A">
        <w:trPr>
          <w:jc w:val="center"/>
        </w:trPr>
        <w:tc>
          <w:tcPr>
            <w:tcW w:w="1795" w:type="dxa"/>
            <w:vMerge/>
            <w:vAlign w:val="center"/>
          </w:tcPr>
          <w:p w:rsidR="00C94DA8" w:rsidRPr="00CD6AE6" w:rsidDel="006A0E15" w:rsidRDefault="00C94DA8" w:rsidP="006F161A">
            <w:pPr>
              <w:pStyle w:val="NoSpacing"/>
            </w:pPr>
          </w:p>
        </w:tc>
        <w:tc>
          <w:tcPr>
            <w:tcW w:w="6120" w:type="dxa"/>
            <w:vAlign w:val="center"/>
          </w:tcPr>
          <w:p w:rsidR="00C94DA8" w:rsidRPr="00CD6AE6" w:rsidRDefault="00C94DA8" w:rsidP="006F161A">
            <w:pPr>
              <w:pStyle w:val="NoSpacing"/>
            </w:pPr>
            <w:r w:rsidRPr="00CD6AE6">
              <w:t>Sistema de protección de trayectorias</w:t>
            </w:r>
            <w:r w:rsidR="00CD6AE6">
              <w:t xml:space="preserve"> educativas de los estudiantes, incluyendo el fortalecimiento de las CD y UCDIES</w:t>
            </w:r>
          </w:p>
        </w:tc>
        <w:tc>
          <w:tcPr>
            <w:tcW w:w="1260" w:type="dxa"/>
            <w:shd w:val="clear" w:color="auto" w:fill="auto"/>
            <w:vAlign w:val="center"/>
          </w:tcPr>
          <w:p w:rsidR="00C94DA8" w:rsidRPr="00CD6AE6" w:rsidRDefault="00A37D39" w:rsidP="006F161A">
            <w:pPr>
              <w:pStyle w:val="NoSpacing"/>
            </w:pPr>
            <w:r w:rsidRPr="00CD6AE6">
              <w:t>Calidad</w:t>
            </w:r>
          </w:p>
        </w:tc>
      </w:tr>
      <w:tr w:rsidR="00C94DA8" w:rsidRPr="00CD6AE6" w:rsidTr="006F161A">
        <w:trPr>
          <w:jc w:val="center"/>
        </w:trPr>
        <w:tc>
          <w:tcPr>
            <w:tcW w:w="1795" w:type="dxa"/>
            <w:vMerge/>
            <w:vAlign w:val="center"/>
          </w:tcPr>
          <w:p w:rsidR="00C94DA8" w:rsidRPr="00CD6AE6" w:rsidDel="006A0E15" w:rsidRDefault="00C94DA8" w:rsidP="006F161A">
            <w:pPr>
              <w:pStyle w:val="NoSpacing"/>
            </w:pPr>
          </w:p>
        </w:tc>
        <w:tc>
          <w:tcPr>
            <w:tcW w:w="6120" w:type="dxa"/>
            <w:vAlign w:val="center"/>
          </w:tcPr>
          <w:p w:rsidR="00C94DA8" w:rsidRPr="00CD6AE6" w:rsidRDefault="00C94DA8" w:rsidP="006F161A">
            <w:pPr>
              <w:pStyle w:val="NoSpacing"/>
            </w:pPr>
            <w:r w:rsidRPr="00CD6AE6">
              <w:t>Fortalecimiento de los sistemas de gestión</w:t>
            </w:r>
          </w:p>
        </w:tc>
        <w:tc>
          <w:tcPr>
            <w:tcW w:w="1260" w:type="dxa"/>
            <w:shd w:val="clear" w:color="auto" w:fill="auto"/>
            <w:vAlign w:val="center"/>
          </w:tcPr>
          <w:p w:rsidR="00C94DA8" w:rsidRPr="00CD6AE6" w:rsidRDefault="00A37D39" w:rsidP="006F161A">
            <w:pPr>
              <w:pStyle w:val="NoSpacing"/>
            </w:pPr>
            <w:r w:rsidRPr="00CD6AE6">
              <w:t>Eficiencia</w:t>
            </w:r>
          </w:p>
        </w:tc>
      </w:tr>
      <w:tr w:rsidR="00C94DA8" w:rsidRPr="00CD6AE6" w:rsidTr="006F161A">
        <w:trPr>
          <w:jc w:val="center"/>
        </w:trPr>
        <w:tc>
          <w:tcPr>
            <w:tcW w:w="1795" w:type="dxa"/>
            <w:vMerge w:val="restart"/>
            <w:vAlign w:val="center"/>
          </w:tcPr>
          <w:p w:rsidR="00C94DA8" w:rsidRPr="00CD6AE6" w:rsidRDefault="00C94DA8" w:rsidP="006F161A">
            <w:pPr>
              <w:pStyle w:val="NoSpacing"/>
            </w:pPr>
            <w:r w:rsidRPr="00CD6AE6">
              <w:t>Infraestructura para la mejora educativa</w:t>
            </w:r>
          </w:p>
        </w:tc>
        <w:tc>
          <w:tcPr>
            <w:tcW w:w="6120" w:type="dxa"/>
            <w:vAlign w:val="center"/>
          </w:tcPr>
          <w:p w:rsidR="00C94DA8" w:rsidRPr="00CD6AE6" w:rsidRDefault="00C94DA8" w:rsidP="006F161A">
            <w:pPr>
              <w:pStyle w:val="NoSpacing"/>
            </w:pPr>
            <w:r w:rsidRPr="00CD6AE6">
              <w:t xml:space="preserve">Nuevos centros educativos de EM </w:t>
            </w:r>
          </w:p>
        </w:tc>
        <w:tc>
          <w:tcPr>
            <w:tcW w:w="1260" w:type="dxa"/>
            <w:vAlign w:val="center"/>
          </w:tcPr>
          <w:p w:rsidR="00C94DA8" w:rsidRPr="00CD6AE6" w:rsidRDefault="00CB6746" w:rsidP="006F161A">
            <w:pPr>
              <w:pStyle w:val="NoSpacing"/>
            </w:pPr>
            <w:r w:rsidRPr="00CD6AE6">
              <w:t>Acceso</w:t>
            </w:r>
          </w:p>
        </w:tc>
      </w:tr>
      <w:tr w:rsidR="00C94DA8" w:rsidRPr="00CD6AE6" w:rsidTr="006F161A">
        <w:trPr>
          <w:jc w:val="center"/>
        </w:trPr>
        <w:tc>
          <w:tcPr>
            <w:tcW w:w="1795" w:type="dxa"/>
            <w:vMerge/>
            <w:vAlign w:val="center"/>
          </w:tcPr>
          <w:p w:rsidR="00C94DA8" w:rsidRPr="00CD6AE6" w:rsidRDefault="00C94DA8" w:rsidP="006F161A">
            <w:pPr>
              <w:pStyle w:val="NoSpacing"/>
            </w:pPr>
          </w:p>
        </w:tc>
        <w:tc>
          <w:tcPr>
            <w:tcW w:w="6120" w:type="dxa"/>
            <w:vAlign w:val="center"/>
          </w:tcPr>
          <w:p w:rsidR="00C94DA8" w:rsidRPr="00CD6AE6" w:rsidRDefault="00C94DA8" w:rsidP="006F161A">
            <w:pPr>
              <w:pStyle w:val="NoSpacing"/>
            </w:pPr>
            <w:r w:rsidRPr="00CD6AE6">
              <w:t>Ampliación de centros de educación de EM</w:t>
            </w:r>
          </w:p>
        </w:tc>
        <w:tc>
          <w:tcPr>
            <w:tcW w:w="1260" w:type="dxa"/>
            <w:vAlign w:val="center"/>
          </w:tcPr>
          <w:p w:rsidR="00C94DA8" w:rsidRPr="00CD6AE6" w:rsidRDefault="00CB6746" w:rsidP="006F161A">
            <w:pPr>
              <w:pStyle w:val="NoSpacing"/>
            </w:pPr>
            <w:r w:rsidRPr="00CD6AE6">
              <w:t>Acceso</w:t>
            </w:r>
          </w:p>
        </w:tc>
      </w:tr>
      <w:tr w:rsidR="00C94DA8" w:rsidRPr="00CD6AE6" w:rsidTr="006F161A">
        <w:trPr>
          <w:jc w:val="center"/>
        </w:trPr>
        <w:tc>
          <w:tcPr>
            <w:tcW w:w="1795" w:type="dxa"/>
            <w:vMerge/>
            <w:vAlign w:val="center"/>
          </w:tcPr>
          <w:p w:rsidR="00C94DA8" w:rsidRPr="00CD6AE6" w:rsidRDefault="00C94DA8" w:rsidP="006F161A">
            <w:pPr>
              <w:pStyle w:val="NoSpacing"/>
            </w:pPr>
          </w:p>
        </w:tc>
        <w:tc>
          <w:tcPr>
            <w:tcW w:w="6120" w:type="dxa"/>
            <w:vAlign w:val="center"/>
          </w:tcPr>
          <w:p w:rsidR="00C94DA8" w:rsidRPr="00CD6AE6" w:rsidRDefault="00C94DA8" w:rsidP="006F161A">
            <w:pPr>
              <w:pStyle w:val="NoSpacing"/>
            </w:pPr>
            <w:r w:rsidRPr="00CD6AE6">
              <w:t>Ampliación y equipamiento de centros de formación inicial</w:t>
            </w:r>
          </w:p>
        </w:tc>
        <w:tc>
          <w:tcPr>
            <w:tcW w:w="1260" w:type="dxa"/>
            <w:vAlign w:val="center"/>
          </w:tcPr>
          <w:p w:rsidR="00C94DA8" w:rsidRPr="00CD6AE6" w:rsidRDefault="00CB6746" w:rsidP="006F161A">
            <w:pPr>
              <w:pStyle w:val="NoSpacing"/>
            </w:pPr>
            <w:r w:rsidRPr="00CD6AE6">
              <w:t>Acceso</w:t>
            </w:r>
          </w:p>
        </w:tc>
      </w:tr>
      <w:tr w:rsidR="00C94DA8" w:rsidRPr="00CD6AE6" w:rsidTr="006F161A">
        <w:trPr>
          <w:jc w:val="center"/>
        </w:trPr>
        <w:tc>
          <w:tcPr>
            <w:tcW w:w="1795" w:type="dxa"/>
            <w:vMerge/>
            <w:vAlign w:val="center"/>
          </w:tcPr>
          <w:p w:rsidR="00C94DA8" w:rsidRPr="00CD6AE6" w:rsidRDefault="00C94DA8" w:rsidP="006F161A">
            <w:pPr>
              <w:pStyle w:val="NoSpacing"/>
            </w:pPr>
          </w:p>
        </w:tc>
        <w:tc>
          <w:tcPr>
            <w:tcW w:w="6120" w:type="dxa"/>
            <w:vAlign w:val="center"/>
          </w:tcPr>
          <w:p w:rsidR="00C94DA8" w:rsidRPr="00CD6AE6" w:rsidRDefault="00C94DA8" w:rsidP="006F161A">
            <w:pPr>
              <w:pStyle w:val="NoSpacing"/>
            </w:pPr>
            <w:r w:rsidRPr="00CD6AE6">
              <w:t>Apoyo a gestión de APP</w:t>
            </w:r>
          </w:p>
        </w:tc>
        <w:tc>
          <w:tcPr>
            <w:tcW w:w="1260" w:type="dxa"/>
            <w:vAlign w:val="center"/>
          </w:tcPr>
          <w:p w:rsidR="00C94DA8" w:rsidRPr="00CD6AE6" w:rsidRDefault="00C94DA8" w:rsidP="006F161A">
            <w:pPr>
              <w:pStyle w:val="NoSpacing"/>
            </w:pPr>
            <w:r w:rsidRPr="00CD6AE6">
              <w:t>Eficiencia</w:t>
            </w:r>
          </w:p>
        </w:tc>
      </w:tr>
    </w:tbl>
    <w:p w:rsidR="0051312E" w:rsidRPr="00CD6AE6" w:rsidRDefault="0051312E" w:rsidP="006570F7">
      <w:pPr>
        <w:pStyle w:val="Heading4"/>
        <w:rPr>
          <w:lang w:val="es-UY"/>
        </w:rPr>
      </w:pPr>
      <w:r w:rsidRPr="00CD6AE6">
        <w:rPr>
          <w:lang w:val="es-UY"/>
        </w:rPr>
        <w:t xml:space="preserve">Componente 1. </w:t>
      </w:r>
      <w:r w:rsidR="00F41A2D" w:rsidRPr="00CD6AE6">
        <w:rPr>
          <w:lang w:val="es-UY"/>
        </w:rPr>
        <w:t xml:space="preserve"> Mejora de la calidad educativa (US$</w:t>
      </w:r>
      <w:r w:rsidR="007B2A80" w:rsidRPr="00CD6AE6">
        <w:rPr>
          <w:lang w:val="es-UY"/>
        </w:rPr>
        <w:t>3</w:t>
      </w:r>
      <w:r w:rsidR="00F41A2D" w:rsidRPr="00CD6AE6">
        <w:rPr>
          <w:lang w:val="es-UY"/>
        </w:rPr>
        <w:t>,</w:t>
      </w:r>
      <w:r w:rsidR="007B2A80" w:rsidRPr="00CD6AE6">
        <w:rPr>
          <w:lang w:val="es-UY"/>
        </w:rPr>
        <w:t>5</w:t>
      </w:r>
      <w:r w:rsidR="00F41A2D" w:rsidRPr="00CD6AE6">
        <w:rPr>
          <w:lang w:val="es-UY"/>
        </w:rPr>
        <w:t>0 millones).</w:t>
      </w:r>
    </w:p>
    <w:p w:rsidR="00CB6746" w:rsidRPr="00CD6AE6" w:rsidRDefault="00CB6746" w:rsidP="00D4226A">
      <w:pPr>
        <w:pStyle w:val="Paragraph"/>
      </w:pPr>
      <w:r w:rsidRPr="00CD6AE6">
        <w:t>Con el fin de mejorar los resultados educativos de los alumnos de EM este componente financiará:</w:t>
      </w:r>
    </w:p>
    <w:p w:rsidR="00CB6746" w:rsidRPr="00CD6AE6" w:rsidRDefault="00CB6746" w:rsidP="00D4226A">
      <w:pPr>
        <w:pStyle w:val="Paragraph"/>
        <w:numPr>
          <w:ilvl w:val="1"/>
          <w:numId w:val="30"/>
        </w:numPr>
      </w:pPr>
      <w:r w:rsidRPr="00CD6AE6">
        <w:t>la definición de perfiles de egreso y de progresión de aprendizajes para toda la EM, considerando la trayectoria completa del estudiante y el desarrollo e implementación de un nuevo marco curricular de referencia nacional;</w:t>
      </w:r>
    </w:p>
    <w:p w:rsidR="00CB6746" w:rsidRPr="00CD6AE6" w:rsidRDefault="00CB6746" w:rsidP="00D4226A">
      <w:pPr>
        <w:pStyle w:val="Paragraph"/>
        <w:numPr>
          <w:ilvl w:val="1"/>
          <w:numId w:val="30"/>
        </w:numPr>
      </w:pPr>
      <w:r w:rsidRPr="00CD6AE6">
        <w:t xml:space="preserve">el diseño, implementación, monitoreo y evaluación de una estrategia de expansión de la jornada escolar en EM, con el objetivo de mejorar los aprendizajes y la equidad educativa, y </w:t>
      </w:r>
    </w:p>
    <w:p w:rsidR="00CB6746" w:rsidRPr="00CD6AE6" w:rsidRDefault="00CB6746" w:rsidP="00D4226A">
      <w:pPr>
        <w:pStyle w:val="Paragraph"/>
        <w:numPr>
          <w:ilvl w:val="1"/>
          <w:numId w:val="30"/>
        </w:numPr>
      </w:pPr>
      <w:r w:rsidRPr="00CD6AE6">
        <w:t>la implementación de propuestas de enseñanza a través de aulas digitales, especialmente para disciplinas con escasez de profesores.</w:t>
      </w:r>
    </w:p>
    <w:p w:rsidR="00CB6746" w:rsidRPr="00CD6AE6" w:rsidRDefault="00CB6746" w:rsidP="00D4226A">
      <w:pPr>
        <w:pStyle w:val="Paragraph"/>
      </w:pPr>
      <w:r w:rsidRPr="00CD6AE6">
        <w:t xml:space="preserve">La expansión de la jornada se plantea con dos modalidades: </w:t>
      </w:r>
      <w:r w:rsidR="006B0C18">
        <w:t>centros educativos</w:t>
      </w:r>
      <w:r w:rsidRPr="00CD6AE6">
        <w:t xml:space="preserve"> de tiempo completo (</w:t>
      </w:r>
      <w:r w:rsidR="006B0C18">
        <w:t>C</w:t>
      </w:r>
      <w:r w:rsidRPr="00CD6AE6">
        <w:t xml:space="preserve">TC) y </w:t>
      </w:r>
      <w:r w:rsidR="006B0C18">
        <w:t>centros educativos</w:t>
      </w:r>
      <w:r w:rsidRPr="00CD6AE6">
        <w:t xml:space="preserve"> de tiempo extendido (</w:t>
      </w:r>
      <w:r w:rsidR="006B0C18">
        <w:t>C</w:t>
      </w:r>
      <w:r w:rsidRPr="00CD6AE6">
        <w:t xml:space="preserve">TE). En los </w:t>
      </w:r>
      <w:r w:rsidR="006B0C18">
        <w:t>C</w:t>
      </w:r>
      <w:r w:rsidRPr="00CD6AE6">
        <w:t xml:space="preserve">TC se propone una renovación de la propuesta educativa con una estructura curricular más flexible y diversas metodologías de enseñanza y prácticas pedagógicas (con trabajo interdisciplinario y colaborativo entre los docentes), recursos pedagógicos y contenidos educativos. Los estudiantes de los </w:t>
      </w:r>
      <w:r w:rsidR="006B0C18">
        <w:t>C</w:t>
      </w:r>
      <w:r w:rsidRPr="00CD6AE6">
        <w:t xml:space="preserve">TC </w:t>
      </w:r>
      <w:r w:rsidRPr="00CD6AE6">
        <w:lastRenderedPageBreak/>
        <w:t xml:space="preserve">permanecerán en el centro durante 8 horas diarias, y accederán a tutorías, espacios pedagógicos, talleres artísticos-culturales, espacios de trabajo con las familias, y servicios de alimentación. </w:t>
      </w:r>
    </w:p>
    <w:p w:rsidR="00F25A66" w:rsidRPr="00CD6AE6" w:rsidRDefault="00CB6746" w:rsidP="00D4226A">
      <w:pPr>
        <w:pStyle w:val="Paragraph"/>
      </w:pPr>
      <w:r w:rsidRPr="00CD6AE6">
        <w:t xml:space="preserve">En los </w:t>
      </w:r>
      <w:r w:rsidR="006B0C18">
        <w:t>C</w:t>
      </w:r>
      <w:r w:rsidRPr="00CD6AE6">
        <w:t xml:space="preserve">TE se ofrecerán alternativas de extensión de la jornada escolar, con una jornada con horario para las clases curriculares y espacios para reforzar aprendizajes curriculares a través de tutorías, actividades personalizadas y organización de talleres; </w:t>
      </w:r>
    </w:p>
    <w:p w:rsidR="0051312E" w:rsidRPr="00CD6AE6" w:rsidRDefault="0051312E" w:rsidP="000B7A0F">
      <w:pPr>
        <w:pStyle w:val="Heading4"/>
        <w:rPr>
          <w:lang w:val="es-UY"/>
        </w:rPr>
      </w:pPr>
      <w:r w:rsidRPr="00CD6AE6">
        <w:rPr>
          <w:lang w:val="es-UY"/>
        </w:rPr>
        <w:t xml:space="preserve">Componente 2. </w:t>
      </w:r>
      <w:r w:rsidR="00F41A2D" w:rsidRPr="00CD6AE6">
        <w:rPr>
          <w:lang w:val="es-UY"/>
        </w:rPr>
        <w:t xml:space="preserve"> Formación en educación (US$0,</w:t>
      </w:r>
      <w:r w:rsidR="007B2A80" w:rsidRPr="00CD6AE6">
        <w:rPr>
          <w:lang w:val="es-UY"/>
        </w:rPr>
        <w:t>74</w:t>
      </w:r>
      <w:r w:rsidR="00F41A2D" w:rsidRPr="00CD6AE6">
        <w:rPr>
          <w:lang w:val="es-UY"/>
        </w:rPr>
        <w:t xml:space="preserve"> millones).</w:t>
      </w:r>
    </w:p>
    <w:p w:rsidR="00F25A66" w:rsidRPr="00CD6AE6" w:rsidRDefault="00F25A66" w:rsidP="00D4226A">
      <w:pPr>
        <w:pStyle w:val="Paragraph"/>
      </w:pPr>
      <w:r w:rsidRPr="00CD6AE6">
        <w:t xml:space="preserve">Con el objetivo de fortalecer la FI y el desarrollo profesional docente en EM, este componente financiará: </w:t>
      </w:r>
    </w:p>
    <w:p w:rsidR="00F25A66" w:rsidRPr="00CD6AE6" w:rsidRDefault="00F25A66" w:rsidP="00D4226A">
      <w:pPr>
        <w:pStyle w:val="Paragraph"/>
        <w:numPr>
          <w:ilvl w:val="1"/>
          <w:numId w:val="31"/>
        </w:numPr>
      </w:pPr>
      <w:r w:rsidRPr="00CD6AE6">
        <w:t xml:space="preserve">el desarrollo, implementación y evaluación de un nuevo plan de estudios para la FI que fortalezca la relación entre la teoría y la práctica pedagógica; defina perfiles de egreso; tenga una estructura horaria y de reconocimiento de créditos más flexible; e incorpore transversalmente los desafíos que representan las nuevas tecnologías y su uso pedagógico en el aula; </w:t>
      </w:r>
    </w:p>
    <w:p w:rsidR="00F25A66" w:rsidRPr="00CD6AE6" w:rsidRDefault="00F25A66" w:rsidP="00D4226A">
      <w:pPr>
        <w:pStyle w:val="Paragraph"/>
        <w:numPr>
          <w:ilvl w:val="1"/>
          <w:numId w:val="31"/>
        </w:numPr>
      </w:pPr>
      <w:r w:rsidRPr="00CD6AE6">
        <w:t xml:space="preserve">la implementación de una nueva estructura de cargos y grados de los profesores de la carrera de FI que incorpore funciones universitarias como la enseñanza, investigación y extensión en formación de grado, educación permanente y postgrado; y </w:t>
      </w:r>
    </w:p>
    <w:p w:rsidR="0051312E" w:rsidRPr="00CD6AE6" w:rsidRDefault="00F25A66" w:rsidP="00D4226A">
      <w:pPr>
        <w:pStyle w:val="Paragraph"/>
        <w:numPr>
          <w:ilvl w:val="1"/>
          <w:numId w:val="31"/>
        </w:numPr>
      </w:pPr>
      <w:r w:rsidRPr="00CD6AE6">
        <w:t>el diseño e implementación de un programa de inducción, acompañamiento y desarrollo profesional a docentes de EM en sus primeros años de experiencia profesional</w:t>
      </w:r>
      <w:r w:rsidR="00F41A2D" w:rsidRPr="00CD6AE6">
        <w:t>.</w:t>
      </w:r>
    </w:p>
    <w:p w:rsidR="0051312E" w:rsidRPr="00CD6AE6" w:rsidRDefault="0051312E" w:rsidP="006570F7">
      <w:pPr>
        <w:pStyle w:val="Heading4"/>
        <w:rPr>
          <w:lang w:val="es-UY"/>
        </w:rPr>
      </w:pPr>
      <w:r w:rsidRPr="00CD6AE6">
        <w:rPr>
          <w:lang w:val="es-UY"/>
        </w:rPr>
        <w:t xml:space="preserve">Componente 3. </w:t>
      </w:r>
      <w:r w:rsidR="00F41A2D" w:rsidRPr="00CD6AE6">
        <w:rPr>
          <w:lang w:val="es-UY"/>
        </w:rPr>
        <w:t xml:space="preserve"> Integración </w:t>
      </w:r>
      <w:r w:rsidR="00F25A66" w:rsidRPr="00CD6AE6">
        <w:rPr>
          <w:lang w:val="es-UY"/>
        </w:rPr>
        <w:t xml:space="preserve">territorial </w:t>
      </w:r>
      <w:r w:rsidR="00F41A2D" w:rsidRPr="00CD6AE6">
        <w:rPr>
          <w:lang w:val="es-UY"/>
        </w:rPr>
        <w:t>y gestión para la mejora educativa (US$8,15 millones)</w:t>
      </w:r>
    </w:p>
    <w:p w:rsidR="006F161A" w:rsidRPr="00CD6AE6" w:rsidRDefault="00F41A2D" w:rsidP="00D4226A">
      <w:pPr>
        <w:pStyle w:val="Paragraph"/>
      </w:pPr>
      <w:r w:rsidRPr="00CD6AE6">
        <w:t xml:space="preserve">Su objetivo es fortalecer las capacidades de ANEP y sus instancias locales, el CES y el CETP y los CE para gestionar y garantizar una educación pública de calidad. Este componente financiará: </w:t>
      </w:r>
    </w:p>
    <w:p w:rsidR="006F161A" w:rsidRPr="00CD6AE6" w:rsidRDefault="00F41A2D" w:rsidP="00C467FF">
      <w:pPr>
        <w:pStyle w:val="ListParagraph"/>
        <w:rPr>
          <w:lang w:val="es-UY"/>
        </w:rPr>
      </w:pPr>
      <w:r w:rsidRPr="00CD6AE6">
        <w:rPr>
          <w:lang w:val="es-UY"/>
        </w:rPr>
        <w:t>la implementación y evaluación de un sistema de aseguramiento de la calidad de la EM, que incluye:</w:t>
      </w:r>
    </w:p>
    <w:p w:rsidR="006F161A" w:rsidRPr="00CD6AE6" w:rsidRDefault="00F41A2D" w:rsidP="00C467FF">
      <w:pPr>
        <w:pStyle w:val="ListParagraph"/>
        <w:numPr>
          <w:ilvl w:val="1"/>
          <w:numId w:val="26"/>
        </w:numPr>
        <w:rPr>
          <w:lang w:val="es-UY"/>
        </w:rPr>
      </w:pPr>
      <w:r w:rsidRPr="00CD6AE6">
        <w:rPr>
          <w:lang w:val="es-UY"/>
        </w:rPr>
        <w:t xml:space="preserve">la identificación de actores educativos y sus funciones; </w:t>
      </w:r>
    </w:p>
    <w:p w:rsidR="006F161A" w:rsidRPr="00CD6AE6" w:rsidRDefault="00F41A2D" w:rsidP="00911BA4">
      <w:pPr>
        <w:pStyle w:val="ListParagraph"/>
        <w:numPr>
          <w:ilvl w:val="1"/>
          <w:numId w:val="26"/>
        </w:numPr>
        <w:rPr>
          <w:lang w:val="es-UY"/>
        </w:rPr>
      </w:pPr>
      <w:r w:rsidRPr="00CD6AE6">
        <w:rPr>
          <w:lang w:val="es-UY"/>
        </w:rPr>
        <w:t>el fortalecimiento de las prácticas de entrega regular de información de indicadores de eficiencia interna y resultados educativos a los actores para fomentar el mejoramiento continuo, incluyendo la capacitación en la interpretación y uso de la información</w:t>
      </w:r>
      <w:r w:rsidR="00911BA4" w:rsidRPr="00CD6AE6">
        <w:rPr>
          <w:rStyle w:val="FootnoteReference"/>
          <w:lang w:val="es-UY"/>
        </w:rPr>
        <w:footnoteReference w:id="1"/>
      </w:r>
      <w:r w:rsidRPr="00CD6AE6">
        <w:rPr>
          <w:lang w:val="es-UY"/>
        </w:rPr>
        <w:t xml:space="preserve">; y </w:t>
      </w:r>
    </w:p>
    <w:p w:rsidR="006F161A" w:rsidRPr="00CD6AE6" w:rsidRDefault="00F41A2D" w:rsidP="00C467FF">
      <w:pPr>
        <w:pStyle w:val="ListParagraph"/>
        <w:numPr>
          <w:ilvl w:val="1"/>
          <w:numId w:val="26"/>
        </w:numPr>
        <w:rPr>
          <w:lang w:val="es-UY"/>
        </w:rPr>
      </w:pPr>
      <w:r w:rsidRPr="00CD6AE6">
        <w:rPr>
          <w:lang w:val="es-UY"/>
        </w:rPr>
        <w:t>el diseño de indicadores sintéticos por centro educativo y territorio, vinculado</w:t>
      </w:r>
      <w:r w:rsidR="000B7A0F">
        <w:rPr>
          <w:lang w:val="es-UY"/>
        </w:rPr>
        <w:t>s</w:t>
      </w:r>
      <w:r w:rsidRPr="00CD6AE6">
        <w:rPr>
          <w:lang w:val="es-UY"/>
        </w:rPr>
        <w:t xml:space="preserve"> a metas; </w:t>
      </w:r>
    </w:p>
    <w:p w:rsidR="006F161A" w:rsidRPr="00CD6AE6" w:rsidRDefault="00F41A2D" w:rsidP="00C467FF">
      <w:pPr>
        <w:pStyle w:val="ListParagraph"/>
        <w:rPr>
          <w:lang w:val="es-UY"/>
        </w:rPr>
      </w:pPr>
      <w:r w:rsidRPr="00CD6AE6">
        <w:rPr>
          <w:lang w:val="es-UY"/>
        </w:rPr>
        <w:t xml:space="preserve">apoyo al diseño e implementación de un sistema protección de trayectorias educativas que incluye el fortalecimiento de las Comisiones Departamentales y las UCDIES mediante el financiamiento de actividades relacionadas con la protección de las trayectorias educativas, la implementación de acciones que acompañen y protejan las trayectorias a partir de los factores de riesgos educativos detectados </w:t>
      </w:r>
      <w:r w:rsidR="00911BA4" w:rsidRPr="00CD6AE6">
        <w:rPr>
          <w:lang w:val="es-UY"/>
        </w:rPr>
        <w:t xml:space="preserve">(por ejemplo rendimiento y asistencia insuficiente, repetición de año, sobre-edad y no matriculación, con especial atención a los momentos de transición entre ciclos escolares), </w:t>
      </w:r>
      <w:r w:rsidRPr="00CD6AE6">
        <w:rPr>
          <w:lang w:val="es-UY"/>
        </w:rPr>
        <w:t xml:space="preserve">y la incorporación de mecanismos periódicos de monitoreo a nivel local; y </w:t>
      </w:r>
    </w:p>
    <w:p w:rsidR="0051312E" w:rsidRPr="00CD6AE6" w:rsidRDefault="00F41A2D" w:rsidP="00C467FF">
      <w:pPr>
        <w:pStyle w:val="ListParagraph"/>
        <w:rPr>
          <w:lang w:val="es-UY"/>
        </w:rPr>
      </w:pPr>
      <w:r w:rsidRPr="00CD6AE6">
        <w:rPr>
          <w:lang w:val="es-UY"/>
        </w:rPr>
        <w:lastRenderedPageBreak/>
        <w:t>el fortalecimiento de los sistemas de gestión financiera-administrativa-recursos humanos y de la función directriz del CODICEN en relación a los mismos.</w:t>
      </w:r>
    </w:p>
    <w:p w:rsidR="0051312E" w:rsidRPr="00CD6AE6" w:rsidRDefault="0051312E" w:rsidP="006570F7">
      <w:pPr>
        <w:pStyle w:val="Heading4"/>
        <w:rPr>
          <w:lang w:val="es-UY"/>
        </w:rPr>
      </w:pPr>
      <w:r w:rsidRPr="00CD6AE6">
        <w:rPr>
          <w:lang w:val="es-UY"/>
        </w:rPr>
        <w:t xml:space="preserve">Componente 4. </w:t>
      </w:r>
      <w:r w:rsidR="00F41A2D" w:rsidRPr="00CD6AE6">
        <w:rPr>
          <w:lang w:val="es-UY"/>
        </w:rPr>
        <w:t xml:space="preserve"> Infraestructura para la mejora educativa (US$36,4</w:t>
      </w:r>
      <w:r w:rsidR="007B2A80" w:rsidRPr="00CD6AE6">
        <w:rPr>
          <w:lang w:val="es-UY"/>
        </w:rPr>
        <w:t>7</w:t>
      </w:r>
      <w:r w:rsidR="00F41A2D" w:rsidRPr="00CD6AE6">
        <w:rPr>
          <w:lang w:val="es-UY"/>
        </w:rPr>
        <w:t xml:space="preserve"> millones).</w:t>
      </w:r>
    </w:p>
    <w:p w:rsidR="00F25A66" w:rsidRPr="00CD6AE6" w:rsidRDefault="00F41A2D" w:rsidP="00D4226A">
      <w:pPr>
        <w:pStyle w:val="Paragraph"/>
      </w:pPr>
      <w:r w:rsidRPr="00CD6AE6">
        <w:t xml:space="preserve">Con el objetivo de aumentar la cobertura de EM y de EM de jornada ampliada, este componente financiará: </w:t>
      </w:r>
    </w:p>
    <w:p w:rsidR="00F25A66" w:rsidRPr="00CD6AE6" w:rsidRDefault="00F41A2D" w:rsidP="00C467FF">
      <w:pPr>
        <w:pStyle w:val="ListParagraph"/>
        <w:numPr>
          <w:ilvl w:val="0"/>
          <w:numId w:val="27"/>
        </w:numPr>
        <w:rPr>
          <w:lang w:val="es-UY"/>
        </w:rPr>
      </w:pPr>
      <w:r w:rsidRPr="00CD6AE6">
        <w:rPr>
          <w:lang w:val="es-UY"/>
        </w:rPr>
        <w:t>el diseño, construcción y equipamiento de 14 nuevos CE de EM lo que permitirá aumentar la oferta de EM en 2.525 vacantes y la oferta de EM en jornada ampliada en 1.925 vacantes;</w:t>
      </w:r>
    </w:p>
    <w:p w:rsidR="00F25A66" w:rsidRPr="00CD6AE6" w:rsidRDefault="00F41A2D" w:rsidP="00C467FF">
      <w:pPr>
        <w:pStyle w:val="ListParagraph"/>
        <w:numPr>
          <w:ilvl w:val="0"/>
          <w:numId w:val="27"/>
        </w:numPr>
        <w:rPr>
          <w:lang w:val="es-UY"/>
        </w:rPr>
      </w:pPr>
      <w:r w:rsidRPr="00CD6AE6">
        <w:rPr>
          <w:lang w:val="es-UY"/>
        </w:rPr>
        <w:t xml:space="preserve">la ampliación y equipamiento de 14 CE de EM que beneficiará a 1.850 estudiantes; </w:t>
      </w:r>
    </w:p>
    <w:p w:rsidR="00F25A66" w:rsidRPr="00CD6AE6" w:rsidRDefault="00F41A2D" w:rsidP="00C467FF">
      <w:pPr>
        <w:pStyle w:val="ListParagraph"/>
        <w:numPr>
          <w:ilvl w:val="0"/>
          <w:numId w:val="27"/>
        </w:numPr>
        <w:rPr>
          <w:lang w:val="es-UY"/>
        </w:rPr>
      </w:pPr>
      <w:r w:rsidRPr="00CD6AE6">
        <w:rPr>
          <w:lang w:val="es-UY"/>
        </w:rPr>
        <w:t xml:space="preserve">la ampliación y equipamiento de 13 centros de FI lo que permitirá aumentar la oferta de FE en 525 vacantes; y </w:t>
      </w:r>
    </w:p>
    <w:p w:rsidR="00F25E49" w:rsidRPr="00CD6AE6" w:rsidRDefault="00F25A66" w:rsidP="00C467FF">
      <w:pPr>
        <w:pStyle w:val="ListParagraph"/>
        <w:numPr>
          <w:ilvl w:val="0"/>
          <w:numId w:val="27"/>
        </w:numPr>
        <w:rPr>
          <w:lang w:val="es-UY"/>
        </w:rPr>
      </w:pPr>
      <w:r w:rsidRPr="00CD6AE6">
        <w:rPr>
          <w:lang w:val="es-UY"/>
        </w:rPr>
        <w:t xml:space="preserve">el </w:t>
      </w:r>
      <w:r w:rsidR="00F41A2D" w:rsidRPr="00CD6AE6">
        <w:rPr>
          <w:lang w:val="es-UY"/>
        </w:rPr>
        <w:t>apoyo para el fortalecimiento de ANEP para gestionar Alianzas Público-Privadas en infraestructura escolar</w:t>
      </w:r>
      <w:r w:rsidR="00F25E49" w:rsidRPr="00CD6AE6">
        <w:rPr>
          <w:lang w:val="es-UY"/>
        </w:rPr>
        <w:t>.</w:t>
      </w:r>
    </w:p>
    <w:p w:rsidR="0051312E" w:rsidRPr="00CD6AE6" w:rsidRDefault="0051312E" w:rsidP="00D4226A">
      <w:pPr>
        <w:pStyle w:val="Paragraph"/>
      </w:pPr>
      <w:r w:rsidRPr="00CD6AE6">
        <w:t>Los costos del programa incluirán el financiamiento de gasto de administración y</w:t>
      </w:r>
      <w:r w:rsidR="002C3255" w:rsidRPr="00CD6AE6">
        <w:t xml:space="preserve"> </w:t>
      </w:r>
      <w:r w:rsidRPr="00CD6AE6">
        <w:t>supervisión</w:t>
      </w:r>
      <w:r w:rsidR="00554525" w:rsidRPr="00CD6AE6">
        <w:t>, incluyendo los costos de auditoría</w:t>
      </w:r>
      <w:r w:rsidRPr="00CD6AE6">
        <w:t xml:space="preserve"> (US$</w:t>
      </w:r>
      <w:r w:rsidR="00F41A2D" w:rsidRPr="00CD6AE6">
        <w:t xml:space="preserve"> 1,</w:t>
      </w:r>
      <w:r w:rsidR="000B7A0F">
        <w:t>14</w:t>
      </w:r>
      <w:r w:rsidR="00F41A2D" w:rsidRPr="00CD6AE6">
        <w:t xml:space="preserve"> </w:t>
      </w:r>
      <w:r w:rsidRPr="00CD6AE6">
        <w:t>millones).</w:t>
      </w:r>
    </w:p>
    <w:p w:rsidR="0051312E" w:rsidRPr="00CD6AE6" w:rsidRDefault="0051312E" w:rsidP="00D4226A">
      <w:pPr>
        <w:pStyle w:val="Paragraph"/>
      </w:pPr>
      <w:r w:rsidRPr="00CD6AE6">
        <w:t xml:space="preserve">El esquema conceptual del Programa, expresado mediante su Matriz de Resultados (MR) se incluye </w:t>
      </w:r>
      <w:r w:rsidRPr="00CD6AE6">
        <w:rPr>
          <w:highlight w:val="yellow"/>
        </w:rPr>
        <w:t>en el Anexo I.</w:t>
      </w:r>
    </w:p>
    <w:p w:rsidR="002C3255" w:rsidRPr="00CD6AE6" w:rsidRDefault="002C3255" w:rsidP="00BE1150">
      <w:pPr>
        <w:pStyle w:val="Heading2"/>
        <w:numPr>
          <w:ilvl w:val="1"/>
          <w:numId w:val="5"/>
        </w:numPr>
      </w:pPr>
      <w:bookmarkStart w:id="24" w:name="_Toc202247759"/>
      <w:r w:rsidRPr="00CD6AE6">
        <w:t>Costo y financiamiento</w:t>
      </w:r>
      <w:bookmarkEnd w:id="24"/>
    </w:p>
    <w:p w:rsidR="00A37D39" w:rsidRPr="00CD6AE6" w:rsidRDefault="00A37D39" w:rsidP="00D4226A">
      <w:pPr>
        <w:pStyle w:val="Paragraph"/>
      </w:pPr>
      <w:bookmarkStart w:id="25" w:name="_Ref450282761"/>
      <w:bookmarkStart w:id="26" w:name="_Toc44486404"/>
      <w:bookmarkStart w:id="27" w:name="_Toc48461683"/>
      <w:bookmarkStart w:id="28" w:name="_Toc106996893"/>
      <w:bookmarkStart w:id="29" w:name="_Toc108506425"/>
      <w:bookmarkStart w:id="30" w:name="_Toc110493050"/>
      <w:bookmarkStart w:id="31" w:name="_Ref134299259"/>
      <w:bookmarkStart w:id="32" w:name="_Toc134589621"/>
      <w:bookmarkStart w:id="33" w:name="_Ref145252673"/>
      <w:r w:rsidRPr="00CD6AE6">
        <w:t>El costo total del primer programa alcanza los US$74,7 millones, siendo US$50 millones (67%) financiados con los recursos del Capital Ordinario del Banco y US$24,7 millones (33%) con recursos financieros de contrapartida local</w:t>
      </w:r>
      <w:r w:rsidR="002C3255" w:rsidRPr="00CD6AE6">
        <w:t xml:space="preserve"> (cuadro II-2).</w:t>
      </w:r>
    </w:p>
    <w:p w:rsidR="002C3255" w:rsidRDefault="002C3255" w:rsidP="006570F7">
      <w:pPr>
        <w:jc w:val="center"/>
        <w:rPr>
          <w:b/>
          <w:lang w:val="es-UY"/>
        </w:rPr>
      </w:pPr>
      <w:r w:rsidRPr="00CD6AE6">
        <w:rPr>
          <w:b/>
          <w:lang w:val="es-UY"/>
        </w:rPr>
        <w:t xml:space="preserve">Cuadro II-2: Costos </w:t>
      </w:r>
      <w:r w:rsidR="00A37D39" w:rsidRPr="00CD6AE6">
        <w:rPr>
          <w:b/>
          <w:lang w:val="es-UY"/>
        </w:rPr>
        <w:t>resumidos</w:t>
      </w:r>
      <w:r w:rsidRPr="00CD6AE6">
        <w:rPr>
          <w:b/>
          <w:lang w:val="es-UY"/>
        </w:rPr>
        <w:t xml:space="preserve"> en US$ millones</w:t>
      </w:r>
    </w:p>
    <w:tbl>
      <w:tblPr>
        <w:tblW w:w="10162" w:type="dxa"/>
        <w:jc w:val="center"/>
        <w:tblCellMar>
          <w:left w:w="70" w:type="dxa"/>
          <w:right w:w="70" w:type="dxa"/>
        </w:tblCellMar>
        <w:tblLook w:val="04A0" w:firstRow="1" w:lastRow="0" w:firstColumn="1" w:lastColumn="0" w:noHBand="0" w:noVBand="1"/>
      </w:tblPr>
      <w:tblGrid>
        <w:gridCol w:w="721"/>
        <w:gridCol w:w="5482"/>
        <w:gridCol w:w="990"/>
        <w:gridCol w:w="1170"/>
        <w:gridCol w:w="1080"/>
        <w:gridCol w:w="720"/>
      </w:tblGrid>
      <w:tr w:rsidR="00535FFA" w:rsidRPr="009E5E00" w:rsidTr="00987491">
        <w:trPr>
          <w:trHeight w:val="240"/>
          <w:jc w:val="center"/>
        </w:trPr>
        <w:tc>
          <w:tcPr>
            <w:tcW w:w="720" w:type="dxa"/>
            <w:tcBorders>
              <w:top w:val="nil"/>
              <w:left w:val="single" w:sz="4" w:space="0" w:color="auto"/>
              <w:bottom w:val="single" w:sz="4" w:space="0" w:color="auto"/>
              <w:right w:val="single" w:sz="4" w:space="0" w:color="auto"/>
            </w:tcBorders>
            <w:shd w:val="clear" w:color="000000" w:fill="AEAAAA"/>
            <w:noWrap/>
            <w:vAlign w:val="center"/>
            <w:hideMark/>
          </w:tcPr>
          <w:p w:rsidR="00535FFA" w:rsidRPr="009E5E00" w:rsidRDefault="00535FFA" w:rsidP="00987491">
            <w:pPr>
              <w:spacing w:after="0"/>
              <w:jc w:val="center"/>
              <w:rPr>
                <w:rFonts w:cs="Arial"/>
                <w:sz w:val="18"/>
                <w:szCs w:val="18"/>
                <w:lang w:eastAsia="es-UY"/>
              </w:rPr>
            </w:pPr>
          </w:p>
        </w:tc>
        <w:tc>
          <w:tcPr>
            <w:tcW w:w="5482" w:type="dxa"/>
            <w:tcBorders>
              <w:top w:val="nil"/>
              <w:left w:val="nil"/>
              <w:bottom w:val="single" w:sz="4" w:space="0" w:color="auto"/>
              <w:right w:val="single" w:sz="4" w:space="0" w:color="auto"/>
            </w:tcBorders>
            <w:shd w:val="clear" w:color="000000" w:fill="AEAAAA"/>
            <w:noWrap/>
            <w:vAlign w:val="center"/>
            <w:hideMark/>
          </w:tcPr>
          <w:p w:rsidR="00535FFA" w:rsidRPr="009E5E00" w:rsidRDefault="00535FFA" w:rsidP="00987491">
            <w:pPr>
              <w:spacing w:after="0"/>
              <w:jc w:val="center"/>
              <w:rPr>
                <w:rFonts w:cs="Arial"/>
                <w:sz w:val="18"/>
                <w:szCs w:val="18"/>
                <w:lang w:eastAsia="es-UY"/>
              </w:rPr>
            </w:pPr>
          </w:p>
        </w:tc>
        <w:tc>
          <w:tcPr>
            <w:tcW w:w="990" w:type="dxa"/>
            <w:tcBorders>
              <w:top w:val="single" w:sz="4" w:space="0" w:color="auto"/>
              <w:left w:val="nil"/>
              <w:bottom w:val="single" w:sz="4" w:space="0" w:color="auto"/>
              <w:right w:val="single" w:sz="4" w:space="0" w:color="auto"/>
            </w:tcBorders>
            <w:shd w:val="clear" w:color="000000" w:fill="AEAAAA"/>
            <w:noWrap/>
            <w:vAlign w:val="center"/>
            <w:hideMark/>
          </w:tcPr>
          <w:p w:rsidR="00535FFA" w:rsidRPr="009E5E00" w:rsidRDefault="00535FFA" w:rsidP="00987491">
            <w:pPr>
              <w:spacing w:after="0"/>
              <w:jc w:val="center"/>
              <w:rPr>
                <w:rFonts w:cs="Arial"/>
                <w:sz w:val="18"/>
                <w:szCs w:val="18"/>
                <w:lang w:eastAsia="es-UY"/>
              </w:rPr>
            </w:pPr>
            <w:r>
              <w:rPr>
                <w:rFonts w:cs="Arial"/>
                <w:sz w:val="18"/>
                <w:szCs w:val="18"/>
                <w:lang w:eastAsia="es-UY"/>
              </w:rPr>
              <w:t>BID</w:t>
            </w:r>
          </w:p>
        </w:tc>
        <w:tc>
          <w:tcPr>
            <w:tcW w:w="1170" w:type="dxa"/>
            <w:tcBorders>
              <w:top w:val="single" w:sz="4" w:space="0" w:color="auto"/>
              <w:left w:val="nil"/>
              <w:bottom w:val="single" w:sz="4" w:space="0" w:color="auto"/>
              <w:right w:val="single" w:sz="4" w:space="0" w:color="auto"/>
            </w:tcBorders>
            <w:shd w:val="clear" w:color="000000" w:fill="AEAAAA"/>
            <w:noWrap/>
            <w:vAlign w:val="center"/>
            <w:hideMark/>
          </w:tcPr>
          <w:p w:rsidR="00535FFA" w:rsidRPr="009E5E00" w:rsidRDefault="00535FFA" w:rsidP="00987491">
            <w:pPr>
              <w:spacing w:after="0"/>
              <w:jc w:val="center"/>
              <w:rPr>
                <w:rFonts w:cs="Arial"/>
                <w:sz w:val="18"/>
                <w:szCs w:val="18"/>
                <w:lang w:eastAsia="es-UY"/>
              </w:rPr>
            </w:pPr>
            <w:r>
              <w:rPr>
                <w:rFonts w:cs="Arial"/>
                <w:sz w:val="18"/>
                <w:szCs w:val="18"/>
                <w:lang w:eastAsia="es-UY"/>
              </w:rPr>
              <w:t>Local</w:t>
            </w:r>
          </w:p>
        </w:tc>
        <w:tc>
          <w:tcPr>
            <w:tcW w:w="1080" w:type="dxa"/>
            <w:tcBorders>
              <w:top w:val="single" w:sz="4" w:space="0" w:color="auto"/>
              <w:left w:val="nil"/>
              <w:bottom w:val="single" w:sz="4" w:space="0" w:color="auto"/>
              <w:right w:val="single" w:sz="4" w:space="0" w:color="auto"/>
            </w:tcBorders>
            <w:shd w:val="clear" w:color="000000" w:fill="AEAAAA"/>
            <w:noWrap/>
            <w:vAlign w:val="center"/>
            <w:hideMark/>
          </w:tcPr>
          <w:p w:rsidR="00535FFA" w:rsidRPr="009E5E00" w:rsidRDefault="00535FFA" w:rsidP="00987491">
            <w:pPr>
              <w:spacing w:after="0"/>
              <w:jc w:val="center"/>
              <w:rPr>
                <w:rFonts w:cs="Arial"/>
                <w:sz w:val="18"/>
                <w:szCs w:val="18"/>
                <w:lang w:eastAsia="es-UY"/>
              </w:rPr>
            </w:pPr>
            <w:r>
              <w:rPr>
                <w:rFonts w:cs="Arial"/>
                <w:sz w:val="18"/>
                <w:szCs w:val="18"/>
                <w:lang w:eastAsia="es-UY"/>
              </w:rPr>
              <w:t>Total</w:t>
            </w:r>
          </w:p>
        </w:tc>
        <w:tc>
          <w:tcPr>
            <w:tcW w:w="720" w:type="dxa"/>
            <w:tcBorders>
              <w:top w:val="single" w:sz="4" w:space="0" w:color="auto"/>
              <w:left w:val="nil"/>
              <w:bottom w:val="single" w:sz="4" w:space="0" w:color="auto"/>
              <w:right w:val="single" w:sz="4" w:space="0" w:color="auto"/>
            </w:tcBorders>
            <w:shd w:val="clear" w:color="000000" w:fill="AEAAAA"/>
            <w:noWrap/>
            <w:vAlign w:val="center"/>
            <w:hideMark/>
          </w:tcPr>
          <w:p w:rsidR="00535FFA" w:rsidRPr="009E5E00" w:rsidRDefault="00535FFA" w:rsidP="00987491">
            <w:pPr>
              <w:spacing w:after="0"/>
              <w:jc w:val="center"/>
              <w:rPr>
                <w:rFonts w:cs="Arial"/>
                <w:sz w:val="18"/>
                <w:szCs w:val="18"/>
                <w:lang w:eastAsia="es-UY"/>
              </w:rPr>
            </w:pPr>
          </w:p>
        </w:tc>
      </w:tr>
      <w:tr w:rsidR="00535FFA" w:rsidRPr="009E5E00" w:rsidTr="00987491">
        <w:trPr>
          <w:trHeight w:val="240"/>
          <w:jc w:val="center"/>
        </w:trPr>
        <w:tc>
          <w:tcPr>
            <w:tcW w:w="6202" w:type="dxa"/>
            <w:gridSpan w:val="2"/>
            <w:tcBorders>
              <w:top w:val="nil"/>
              <w:left w:val="single" w:sz="4" w:space="0" w:color="auto"/>
              <w:bottom w:val="single" w:sz="4" w:space="0" w:color="auto"/>
              <w:right w:val="single" w:sz="4" w:space="0" w:color="auto"/>
            </w:tcBorders>
            <w:shd w:val="clear" w:color="000000" w:fill="B4C6E7"/>
            <w:noWrap/>
            <w:vAlign w:val="center"/>
            <w:hideMark/>
          </w:tcPr>
          <w:p w:rsidR="00535FFA" w:rsidRPr="009E5E00" w:rsidRDefault="00535FFA" w:rsidP="00987491">
            <w:pPr>
              <w:spacing w:after="0"/>
              <w:rPr>
                <w:rFonts w:cs="Arial"/>
                <w:b/>
                <w:bCs/>
                <w:sz w:val="18"/>
                <w:szCs w:val="18"/>
                <w:lang w:eastAsia="es-UY"/>
              </w:rPr>
            </w:pPr>
            <w:r w:rsidRPr="009E5E00">
              <w:rPr>
                <w:rFonts w:cs="Arial"/>
                <w:b/>
                <w:bCs/>
                <w:sz w:val="18"/>
                <w:szCs w:val="18"/>
                <w:lang w:eastAsia="es-UY"/>
              </w:rPr>
              <w:t>Componente 1: Mejora de la calidad educativa.</w:t>
            </w:r>
          </w:p>
        </w:tc>
        <w:tc>
          <w:tcPr>
            <w:tcW w:w="99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3.50 </w:t>
            </w:r>
          </w:p>
        </w:tc>
        <w:tc>
          <w:tcPr>
            <w:tcW w:w="117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0.96 </w:t>
            </w:r>
          </w:p>
        </w:tc>
        <w:tc>
          <w:tcPr>
            <w:tcW w:w="108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4.46 </w:t>
            </w:r>
          </w:p>
        </w:tc>
        <w:tc>
          <w:tcPr>
            <w:tcW w:w="72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center"/>
              <w:rPr>
                <w:rFonts w:cs="Arial"/>
                <w:b/>
                <w:bCs/>
                <w:sz w:val="18"/>
                <w:szCs w:val="18"/>
                <w:lang w:eastAsia="es-UY"/>
              </w:rPr>
            </w:pPr>
            <w:r w:rsidRPr="009E5E00">
              <w:rPr>
                <w:rFonts w:cs="Arial"/>
                <w:b/>
                <w:bCs/>
                <w:sz w:val="18"/>
                <w:szCs w:val="18"/>
                <w:lang w:eastAsia="es-UY"/>
              </w:rPr>
              <w:t>6.0%</w:t>
            </w:r>
          </w:p>
        </w:tc>
      </w:tr>
      <w:tr w:rsidR="00535FFA" w:rsidRPr="009E5E00" w:rsidTr="00987491">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987491">
            <w:pPr>
              <w:spacing w:after="0"/>
              <w:jc w:val="center"/>
              <w:rPr>
                <w:rFonts w:cs="Arial"/>
                <w:sz w:val="18"/>
                <w:szCs w:val="18"/>
                <w:lang w:eastAsia="es-UY"/>
              </w:rPr>
            </w:pPr>
            <w:r w:rsidRPr="009E5E00">
              <w:rPr>
                <w:rFonts w:cs="Arial"/>
                <w:sz w:val="18"/>
                <w:szCs w:val="18"/>
                <w:lang w:eastAsia="es-UY"/>
              </w:rPr>
              <w:t>1.1</w:t>
            </w:r>
          </w:p>
        </w:tc>
        <w:tc>
          <w:tcPr>
            <w:tcW w:w="5482"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sz w:val="18"/>
                <w:szCs w:val="18"/>
                <w:lang w:eastAsia="es-UY"/>
              </w:rPr>
            </w:pPr>
            <w:r w:rsidRPr="009E5E00">
              <w:rPr>
                <w:rFonts w:cs="Arial"/>
                <w:sz w:val="18"/>
                <w:szCs w:val="18"/>
                <w:lang w:eastAsia="es-UY"/>
              </w:rPr>
              <w:t>i) Definición de perfiles de egreso y progresión de aprendizajes para toda la EM, considerando la trayectoria completa del estudiante, y el desarrollo e implementación de un marco curricular de referencia nacional.</w:t>
            </w:r>
          </w:p>
        </w:tc>
        <w:tc>
          <w:tcPr>
            <w:tcW w:w="99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0.91 </w:t>
            </w:r>
          </w:p>
        </w:tc>
        <w:tc>
          <w:tcPr>
            <w:tcW w:w="117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0.18 </w:t>
            </w:r>
          </w:p>
        </w:tc>
        <w:tc>
          <w:tcPr>
            <w:tcW w:w="108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1.09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i/>
                <w:iCs/>
                <w:sz w:val="18"/>
                <w:szCs w:val="18"/>
                <w:lang w:eastAsia="es-UY"/>
              </w:rPr>
            </w:pPr>
            <w:r w:rsidRPr="009E5E00">
              <w:rPr>
                <w:rFonts w:cs="Arial"/>
                <w:i/>
                <w:iCs/>
                <w:sz w:val="18"/>
                <w:szCs w:val="18"/>
                <w:lang w:eastAsia="es-UY"/>
              </w:rPr>
              <w:t> </w:t>
            </w:r>
          </w:p>
        </w:tc>
      </w:tr>
      <w:tr w:rsidR="00535FFA" w:rsidRPr="009E5E00" w:rsidTr="00987491">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987491">
            <w:pPr>
              <w:spacing w:after="0"/>
              <w:jc w:val="center"/>
              <w:rPr>
                <w:rFonts w:cs="Arial"/>
                <w:sz w:val="18"/>
                <w:szCs w:val="18"/>
                <w:lang w:eastAsia="es-UY"/>
              </w:rPr>
            </w:pPr>
            <w:r w:rsidRPr="009E5E00">
              <w:rPr>
                <w:rFonts w:cs="Arial"/>
                <w:sz w:val="18"/>
                <w:szCs w:val="18"/>
                <w:lang w:eastAsia="es-UY"/>
              </w:rPr>
              <w:t>1.2</w:t>
            </w:r>
          </w:p>
        </w:tc>
        <w:tc>
          <w:tcPr>
            <w:tcW w:w="5482"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sz w:val="18"/>
                <w:szCs w:val="18"/>
                <w:lang w:eastAsia="es-UY"/>
              </w:rPr>
            </w:pPr>
            <w:r w:rsidRPr="009E5E00">
              <w:rPr>
                <w:rFonts w:cs="Arial"/>
                <w:sz w:val="18"/>
                <w:szCs w:val="18"/>
                <w:lang w:eastAsia="es-UY"/>
              </w:rPr>
              <w:t>ii) Apoyo al diseño, implementación y evaluación de acciones de expansión del tiempo y espacio escolar en la educación media.</w:t>
            </w:r>
          </w:p>
        </w:tc>
        <w:tc>
          <w:tcPr>
            <w:tcW w:w="99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1.77 </w:t>
            </w:r>
          </w:p>
        </w:tc>
        <w:tc>
          <w:tcPr>
            <w:tcW w:w="117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0.47 </w:t>
            </w:r>
          </w:p>
        </w:tc>
        <w:tc>
          <w:tcPr>
            <w:tcW w:w="108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2.24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i/>
                <w:iCs/>
                <w:sz w:val="18"/>
                <w:szCs w:val="18"/>
                <w:lang w:eastAsia="es-UY"/>
              </w:rPr>
            </w:pPr>
            <w:r w:rsidRPr="009E5E00">
              <w:rPr>
                <w:rFonts w:cs="Arial"/>
                <w:i/>
                <w:iCs/>
                <w:sz w:val="18"/>
                <w:szCs w:val="18"/>
                <w:lang w:eastAsia="es-UY"/>
              </w:rPr>
              <w:t> </w:t>
            </w:r>
          </w:p>
        </w:tc>
      </w:tr>
      <w:tr w:rsidR="00535FFA" w:rsidRPr="009E5E00" w:rsidTr="00987491">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987491">
            <w:pPr>
              <w:spacing w:after="0"/>
              <w:jc w:val="center"/>
              <w:rPr>
                <w:rFonts w:cs="Arial"/>
                <w:sz w:val="18"/>
                <w:szCs w:val="18"/>
                <w:lang w:eastAsia="es-UY"/>
              </w:rPr>
            </w:pPr>
            <w:r w:rsidRPr="009E5E00">
              <w:rPr>
                <w:rFonts w:cs="Arial"/>
                <w:sz w:val="18"/>
                <w:szCs w:val="18"/>
                <w:lang w:eastAsia="es-UY"/>
              </w:rPr>
              <w:t>1.3</w:t>
            </w:r>
          </w:p>
        </w:tc>
        <w:tc>
          <w:tcPr>
            <w:tcW w:w="5482"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sz w:val="18"/>
                <w:szCs w:val="18"/>
                <w:lang w:eastAsia="es-UY"/>
              </w:rPr>
            </w:pPr>
            <w:r w:rsidRPr="009E5E00">
              <w:rPr>
                <w:rFonts w:cs="Arial"/>
                <w:sz w:val="18"/>
                <w:szCs w:val="18"/>
                <w:lang w:eastAsia="es-UY"/>
              </w:rPr>
              <w:t>iii) Implementación de propuestas de enseñanza a través de aulas digitales, especialmente para disciplinas con escasez de profesores.</w:t>
            </w:r>
          </w:p>
        </w:tc>
        <w:tc>
          <w:tcPr>
            <w:tcW w:w="99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0.82 </w:t>
            </w:r>
          </w:p>
        </w:tc>
        <w:tc>
          <w:tcPr>
            <w:tcW w:w="117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0.31 </w:t>
            </w:r>
          </w:p>
        </w:tc>
        <w:tc>
          <w:tcPr>
            <w:tcW w:w="108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1.13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i/>
                <w:iCs/>
                <w:sz w:val="18"/>
                <w:szCs w:val="18"/>
                <w:lang w:eastAsia="es-UY"/>
              </w:rPr>
            </w:pPr>
            <w:r w:rsidRPr="009E5E00">
              <w:rPr>
                <w:rFonts w:cs="Arial"/>
                <w:i/>
                <w:iCs/>
                <w:sz w:val="18"/>
                <w:szCs w:val="18"/>
                <w:lang w:eastAsia="es-UY"/>
              </w:rPr>
              <w:t> </w:t>
            </w:r>
          </w:p>
        </w:tc>
      </w:tr>
      <w:tr w:rsidR="00535FFA" w:rsidRPr="009E5E00" w:rsidTr="00987491">
        <w:trPr>
          <w:trHeight w:val="240"/>
          <w:jc w:val="center"/>
        </w:trPr>
        <w:tc>
          <w:tcPr>
            <w:tcW w:w="6202" w:type="dxa"/>
            <w:gridSpan w:val="2"/>
            <w:tcBorders>
              <w:top w:val="nil"/>
              <w:left w:val="single" w:sz="4" w:space="0" w:color="auto"/>
              <w:bottom w:val="single" w:sz="4" w:space="0" w:color="auto"/>
              <w:right w:val="single" w:sz="4" w:space="0" w:color="auto"/>
            </w:tcBorders>
            <w:shd w:val="clear" w:color="000000" w:fill="B4C6E7"/>
            <w:noWrap/>
            <w:vAlign w:val="center"/>
            <w:hideMark/>
          </w:tcPr>
          <w:p w:rsidR="00535FFA" w:rsidRPr="009E5E00" w:rsidRDefault="00535FFA" w:rsidP="00987491">
            <w:pPr>
              <w:spacing w:after="0"/>
              <w:rPr>
                <w:rFonts w:cs="Arial"/>
                <w:b/>
                <w:bCs/>
                <w:sz w:val="18"/>
                <w:szCs w:val="18"/>
                <w:lang w:eastAsia="es-UY"/>
              </w:rPr>
            </w:pPr>
            <w:r w:rsidRPr="009E5E00">
              <w:rPr>
                <w:rFonts w:cs="Arial"/>
                <w:b/>
                <w:bCs/>
                <w:sz w:val="18"/>
                <w:szCs w:val="18"/>
                <w:lang w:eastAsia="es-UY"/>
              </w:rPr>
              <w:t>Componente 2: Formación en educación.</w:t>
            </w:r>
          </w:p>
        </w:tc>
        <w:tc>
          <w:tcPr>
            <w:tcW w:w="99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0.74 </w:t>
            </w:r>
          </w:p>
        </w:tc>
        <w:tc>
          <w:tcPr>
            <w:tcW w:w="117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2.60 </w:t>
            </w:r>
          </w:p>
        </w:tc>
        <w:tc>
          <w:tcPr>
            <w:tcW w:w="108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3.34 </w:t>
            </w:r>
          </w:p>
        </w:tc>
        <w:tc>
          <w:tcPr>
            <w:tcW w:w="72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center"/>
              <w:rPr>
                <w:rFonts w:cs="Arial"/>
                <w:b/>
                <w:bCs/>
                <w:sz w:val="18"/>
                <w:szCs w:val="18"/>
                <w:lang w:eastAsia="es-UY"/>
              </w:rPr>
            </w:pPr>
            <w:r w:rsidRPr="009E5E00">
              <w:rPr>
                <w:rFonts w:cs="Arial"/>
                <w:b/>
                <w:bCs/>
                <w:sz w:val="18"/>
                <w:szCs w:val="18"/>
                <w:lang w:eastAsia="es-UY"/>
              </w:rPr>
              <w:t>4.5%</w:t>
            </w:r>
          </w:p>
        </w:tc>
      </w:tr>
      <w:tr w:rsidR="00535FFA" w:rsidRPr="009E5E00" w:rsidTr="00987491">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987491">
            <w:pPr>
              <w:spacing w:after="0"/>
              <w:jc w:val="center"/>
              <w:rPr>
                <w:rFonts w:cs="Arial"/>
                <w:sz w:val="18"/>
                <w:szCs w:val="18"/>
                <w:lang w:eastAsia="es-UY"/>
              </w:rPr>
            </w:pPr>
            <w:r w:rsidRPr="009E5E00">
              <w:rPr>
                <w:rFonts w:cs="Arial"/>
                <w:sz w:val="18"/>
                <w:szCs w:val="18"/>
                <w:lang w:eastAsia="es-UY"/>
              </w:rPr>
              <w:t>2.1</w:t>
            </w:r>
          </w:p>
        </w:tc>
        <w:tc>
          <w:tcPr>
            <w:tcW w:w="5482"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sz w:val="18"/>
                <w:szCs w:val="18"/>
                <w:lang w:eastAsia="es-UY"/>
              </w:rPr>
            </w:pPr>
            <w:r w:rsidRPr="009E5E00">
              <w:rPr>
                <w:rFonts w:cs="Arial"/>
                <w:sz w:val="18"/>
                <w:szCs w:val="18"/>
                <w:lang w:eastAsia="es-UY"/>
              </w:rPr>
              <w:t>i) Desarrollo e implementación de un nuevo plan de estudios para la FI, que incremente la flexibilidad y navegabilidad entre instituciones de formación terciaria y contemple también las especificidades de la modalidad semi-presencial; y un estudio de seguimiento de cohortes y procesos de implementación del nuevo plan;</w:t>
            </w:r>
          </w:p>
        </w:tc>
        <w:tc>
          <w:tcPr>
            <w:tcW w:w="99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0.70 </w:t>
            </w:r>
          </w:p>
        </w:tc>
        <w:tc>
          <w:tcPr>
            <w:tcW w:w="117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0.60 </w:t>
            </w:r>
          </w:p>
        </w:tc>
        <w:tc>
          <w:tcPr>
            <w:tcW w:w="108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1.30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i/>
                <w:iCs/>
                <w:sz w:val="18"/>
                <w:szCs w:val="18"/>
                <w:lang w:eastAsia="es-UY"/>
              </w:rPr>
            </w:pPr>
            <w:r w:rsidRPr="009E5E00">
              <w:rPr>
                <w:rFonts w:cs="Arial"/>
                <w:i/>
                <w:iCs/>
                <w:sz w:val="18"/>
                <w:szCs w:val="18"/>
                <w:lang w:eastAsia="es-UY"/>
              </w:rPr>
              <w:t> </w:t>
            </w:r>
          </w:p>
        </w:tc>
      </w:tr>
      <w:tr w:rsidR="00535FFA" w:rsidRPr="009E5E00" w:rsidTr="00987491">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987491">
            <w:pPr>
              <w:spacing w:after="0"/>
              <w:jc w:val="center"/>
              <w:rPr>
                <w:rFonts w:cs="Arial"/>
                <w:sz w:val="18"/>
                <w:szCs w:val="18"/>
                <w:lang w:eastAsia="es-UY"/>
              </w:rPr>
            </w:pPr>
            <w:r w:rsidRPr="009E5E00">
              <w:rPr>
                <w:rFonts w:cs="Arial"/>
                <w:sz w:val="18"/>
                <w:szCs w:val="18"/>
                <w:lang w:eastAsia="es-UY"/>
              </w:rPr>
              <w:t>2.2</w:t>
            </w:r>
          </w:p>
        </w:tc>
        <w:tc>
          <w:tcPr>
            <w:tcW w:w="5482"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sz w:val="18"/>
                <w:szCs w:val="18"/>
                <w:lang w:eastAsia="es-UY"/>
              </w:rPr>
            </w:pPr>
            <w:r w:rsidRPr="009E5E00">
              <w:rPr>
                <w:rFonts w:cs="Arial"/>
                <w:sz w:val="18"/>
                <w:szCs w:val="18"/>
                <w:lang w:eastAsia="es-UY"/>
              </w:rPr>
              <w:t xml:space="preserve">ii) Diseño e implementación de una nueva estructura académica y funcional de la carrera para los formadores de formadores; </w:t>
            </w:r>
          </w:p>
        </w:tc>
        <w:tc>
          <w:tcPr>
            <w:tcW w:w="99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0.04 </w:t>
            </w:r>
          </w:p>
        </w:tc>
        <w:tc>
          <w:tcPr>
            <w:tcW w:w="117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0.48 </w:t>
            </w:r>
          </w:p>
        </w:tc>
        <w:tc>
          <w:tcPr>
            <w:tcW w:w="108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0.52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i/>
                <w:iCs/>
                <w:sz w:val="18"/>
                <w:szCs w:val="18"/>
                <w:lang w:eastAsia="es-UY"/>
              </w:rPr>
            </w:pPr>
            <w:r w:rsidRPr="009E5E00">
              <w:rPr>
                <w:rFonts w:cs="Arial"/>
                <w:i/>
                <w:iCs/>
                <w:sz w:val="18"/>
                <w:szCs w:val="18"/>
                <w:lang w:eastAsia="es-UY"/>
              </w:rPr>
              <w:t> </w:t>
            </w:r>
          </w:p>
        </w:tc>
      </w:tr>
      <w:tr w:rsidR="00535FFA" w:rsidRPr="009E5E00" w:rsidTr="00987491">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987491">
            <w:pPr>
              <w:spacing w:after="0"/>
              <w:jc w:val="center"/>
              <w:rPr>
                <w:rFonts w:cs="Arial"/>
                <w:sz w:val="18"/>
                <w:szCs w:val="18"/>
                <w:lang w:eastAsia="es-UY"/>
              </w:rPr>
            </w:pPr>
            <w:r w:rsidRPr="009E5E00">
              <w:rPr>
                <w:rFonts w:cs="Arial"/>
                <w:sz w:val="18"/>
                <w:szCs w:val="18"/>
                <w:lang w:eastAsia="es-UY"/>
              </w:rPr>
              <w:t>2.3</w:t>
            </w:r>
          </w:p>
        </w:tc>
        <w:tc>
          <w:tcPr>
            <w:tcW w:w="5482"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sz w:val="18"/>
                <w:szCs w:val="18"/>
                <w:lang w:eastAsia="es-UY"/>
              </w:rPr>
            </w:pPr>
            <w:r w:rsidRPr="009E5E00">
              <w:rPr>
                <w:rFonts w:cs="Arial"/>
                <w:sz w:val="18"/>
                <w:szCs w:val="18"/>
                <w:lang w:eastAsia="es-UY"/>
              </w:rPr>
              <w:t>iii) Diseño e implementación de un programa de inducción, acompañamiento y desarrollo profesional a docentes de EM en sus primeros años de experiencia;</w:t>
            </w:r>
          </w:p>
        </w:tc>
        <w:tc>
          <w:tcPr>
            <w:tcW w:w="99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 </w:t>
            </w:r>
          </w:p>
        </w:tc>
        <w:tc>
          <w:tcPr>
            <w:tcW w:w="117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1.52 </w:t>
            </w:r>
          </w:p>
        </w:tc>
        <w:tc>
          <w:tcPr>
            <w:tcW w:w="108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1.52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i/>
                <w:iCs/>
                <w:sz w:val="18"/>
                <w:szCs w:val="18"/>
                <w:lang w:eastAsia="es-UY"/>
              </w:rPr>
            </w:pPr>
            <w:r w:rsidRPr="009E5E00">
              <w:rPr>
                <w:rFonts w:cs="Arial"/>
                <w:i/>
                <w:iCs/>
                <w:sz w:val="18"/>
                <w:szCs w:val="18"/>
                <w:lang w:eastAsia="es-UY"/>
              </w:rPr>
              <w:t> </w:t>
            </w:r>
          </w:p>
        </w:tc>
      </w:tr>
      <w:tr w:rsidR="00535FFA" w:rsidRPr="009E5E00" w:rsidTr="00987491">
        <w:trPr>
          <w:trHeight w:val="240"/>
          <w:jc w:val="center"/>
        </w:trPr>
        <w:tc>
          <w:tcPr>
            <w:tcW w:w="6202" w:type="dxa"/>
            <w:gridSpan w:val="2"/>
            <w:tcBorders>
              <w:top w:val="nil"/>
              <w:left w:val="single" w:sz="4" w:space="0" w:color="auto"/>
              <w:bottom w:val="single" w:sz="4" w:space="0" w:color="auto"/>
              <w:right w:val="single" w:sz="4" w:space="0" w:color="auto"/>
            </w:tcBorders>
            <w:shd w:val="clear" w:color="000000" w:fill="B4C6E7"/>
            <w:noWrap/>
            <w:vAlign w:val="center"/>
            <w:hideMark/>
          </w:tcPr>
          <w:p w:rsidR="00535FFA" w:rsidRPr="009E5E00" w:rsidRDefault="00535FFA" w:rsidP="00987491">
            <w:pPr>
              <w:spacing w:after="0"/>
              <w:rPr>
                <w:rFonts w:cs="Arial"/>
                <w:b/>
                <w:bCs/>
                <w:sz w:val="18"/>
                <w:szCs w:val="18"/>
                <w:lang w:eastAsia="es-UY"/>
              </w:rPr>
            </w:pPr>
            <w:r w:rsidRPr="009E5E00">
              <w:rPr>
                <w:rFonts w:cs="Arial"/>
                <w:b/>
                <w:bCs/>
                <w:sz w:val="18"/>
                <w:szCs w:val="18"/>
                <w:lang w:eastAsia="es-UY"/>
              </w:rPr>
              <w:t>Componente 3: Integración territorial y gestión para la mejora educativa.</w:t>
            </w:r>
          </w:p>
        </w:tc>
        <w:tc>
          <w:tcPr>
            <w:tcW w:w="99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8.15 </w:t>
            </w:r>
          </w:p>
        </w:tc>
        <w:tc>
          <w:tcPr>
            <w:tcW w:w="117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4.50 </w:t>
            </w:r>
          </w:p>
        </w:tc>
        <w:tc>
          <w:tcPr>
            <w:tcW w:w="108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12.65 </w:t>
            </w:r>
          </w:p>
        </w:tc>
        <w:tc>
          <w:tcPr>
            <w:tcW w:w="72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center"/>
              <w:rPr>
                <w:rFonts w:cs="Arial"/>
                <w:b/>
                <w:bCs/>
                <w:sz w:val="18"/>
                <w:szCs w:val="18"/>
                <w:lang w:eastAsia="es-UY"/>
              </w:rPr>
            </w:pPr>
            <w:r w:rsidRPr="009E5E00">
              <w:rPr>
                <w:rFonts w:cs="Arial"/>
                <w:b/>
                <w:bCs/>
                <w:sz w:val="18"/>
                <w:szCs w:val="18"/>
                <w:lang w:eastAsia="es-UY"/>
              </w:rPr>
              <w:t>16.9%</w:t>
            </w:r>
          </w:p>
        </w:tc>
      </w:tr>
      <w:tr w:rsidR="00535FFA" w:rsidRPr="009E5E00" w:rsidTr="00987491">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987491">
            <w:pPr>
              <w:spacing w:after="0"/>
              <w:jc w:val="center"/>
              <w:rPr>
                <w:rFonts w:cs="Arial"/>
                <w:sz w:val="18"/>
                <w:szCs w:val="18"/>
                <w:lang w:eastAsia="es-UY"/>
              </w:rPr>
            </w:pPr>
            <w:r w:rsidRPr="009E5E00">
              <w:rPr>
                <w:rFonts w:cs="Arial"/>
                <w:sz w:val="18"/>
                <w:szCs w:val="18"/>
                <w:lang w:eastAsia="es-UY"/>
              </w:rPr>
              <w:t>3.1</w:t>
            </w:r>
          </w:p>
        </w:tc>
        <w:tc>
          <w:tcPr>
            <w:tcW w:w="5482"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sz w:val="18"/>
                <w:szCs w:val="18"/>
                <w:lang w:eastAsia="es-UY"/>
              </w:rPr>
            </w:pPr>
            <w:r w:rsidRPr="009E5E00">
              <w:rPr>
                <w:rFonts w:cs="Arial"/>
                <w:sz w:val="18"/>
                <w:szCs w:val="18"/>
                <w:lang w:eastAsia="es-UY"/>
              </w:rPr>
              <w:t>i) Diseño e implementación de un sistema de aseguramiento de la calidad de la EM</w:t>
            </w:r>
          </w:p>
        </w:tc>
        <w:tc>
          <w:tcPr>
            <w:tcW w:w="99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2.86 </w:t>
            </w:r>
          </w:p>
        </w:tc>
        <w:tc>
          <w:tcPr>
            <w:tcW w:w="117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1.11 </w:t>
            </w:r>
          </w:p>
        </w:tc>
        <w:tc>
          <w:tcPr>
            <w:tcW w:w="108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3.97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i/>
                <w:iCs/>
                <w:sz w:val="18"/>
                <w:szCs w:val="18"/>
                <w:lang w:eastAsia="es-UY"/>
              </w:rPr>
            </w:pPr>
            <w:r w:rsidRPr="009E5E00">
              <w:rPr>
                <w:rFonts w:cs="Arial"/>
                <w:i/>
                <w:iCs/>
                <w:sz w:val="18"/>
                <w:szCs w:val="18"/>
                <w:lang w:eastAsia="es-UY"/>
              </w:rPr>
              <w:t> </w:t>
            </w:r>
          </w:p>
        </w:tc>
      </w:tr>
      <w:tr w:rsidR="00535FFA" w:rsidRPr="009E5E00" w:rsidTr="00987491">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987491">
            <w:pPr>
              <w:spacing w:after="0"/>
              <w:jc w:val="center"/>
              <w:rPr>
                <w:rFonts w:cs="Arial"/>
                <w:sz w:val="18"/>
                <w:szCs w:val="18"/>
                <w:lang w:eastAsia="es-UY"/>
              </w:rPr>
            </w:pPr>
            <w:r w:rsidRPr="009E5E00">
              <w:rPr>
                <w:rFonts w:cs="Arial"/>
                <w:sz w:val="18"/>
                <w:szCs w:val="18"/>
                <w:lang w:eastAsia="es-UY"/>
              </w:rPr>
              <w:lastRenderedPageBreak/>
              <w:t>3.2</w:t>
            </w:r>
          </w:p>
        </w:tc>
        <w:tc>
          <w:tcPr>
            <w:tcW w:w="5482"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sz w:val="18"/>
                <w:szCs w:val="18"/>
                <w:lang w:eastAsia="es-UY"/>
              </w:rPr>
            </w:pPr>
            <w:r w:rsidRPr="009E5E00">
              <w:rPr>
                <w:rFonts w:cs="Arial"/>
                <w:sz w:val="18"/>
                <w:szCs w:val="18"/>
                <w:lang w:eastAsia="es-UY"/>
              </w:rPr>
              <w:t>ii) Diseño e implementación de un sistema protección de trayectorias educativas;</w:t>
            </w:r>
          </w:p>
        </w:tc>
        <w:tc>
          <w:tcPr>
            <w:tcW w:w="99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2.46 </w:t>
            </w:r>
          </w:p>
        </w:tc>
        <w:tc>
          <w:tcPr>
            <w:tcW w:w="117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0.71 </w:t>
            </w:r>
          </w:p>
        </w:tc>
        <w:tc>
          <w:tcPr>
            <w:tcW w:w="108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3.17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i/>
                <w:iCs/>
                <w:sz w:val="18"/>
                <w:szCs w:val="18"/>
                <w:lang w:eastAsia="es-UY"/>
              </w:rPr>
            </w:pPr>
            <w:r w:rsidRPr="009E5E00">
              <w:rPr>
                <w:rFonts w:cs="Arial"/>
                <w:i/>
                <w:iCs/>
                <w:sz w:val="18"/>
                <w:szCs w:val="18"/>
                <w:lang w:eastAsia="es-UY"/>
              </w:rPr>
              <w:t> </w:t>
            </w:r>
          </w:p>
        </w:tc>
      </w:tr>
      <w:tr w:rsidR="00535FFA" w:rsidRPr="009E5E00" w:rsidTr="00987491">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987491">
            <w:pPr>
              <w:spacing w:after="0"/>
              <w:jc w:val="center"/>
              <w:rPr>
                <w:rFonts w:cs="Arial"/>
                <w:sz w:val="18"/>
                <w:szCs w:val="18"/>
                <w:lang w:eastAsia="es-UY"/>
              </w:rPr>
            </w:pPr>
            <w:r w:rsidRPr="009E5E00">
              <w:rPr>
                <w:rFonts w:cs="Arial"/>
                <w:sz w:val="18"/>
                <w:szCs w:val="18"/>
                <w:lang w:eastAsia="es-UY"/>
              </w:rPr>
              <w:t>3.3</w:t>
            </w:r>
          </w:p>
        </w:tc>
        <w:tc>
          <w:tcPr>
            <w:tcW w:w="5482"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sz w:val="18"/>
                <w:szCs w:val="18"/>
                <w:lang w:eastAsia="es-UY"/>
              </w:rPr>
            </w:pPr>
            <w:r w:rsidRPr="009E5E00">
              <w:rPr>
                <w:rFonts w:cs="Arial"/>
                <w:sz w:val="18"/>
                <w:szCs w:val="18"/>
                <w:lang w:eastAsia="es-UY"/>
              </w:rPr>
              <w:t>iii) Fortalecimiento de los sistemas de gestión financiera-administrativa-recursos humanos y de la función directriz del CODICEN en relación a los mismos, que incluye;</w:t>
            </w:r>
          </w:p>
        </w:tc>
        <w:tc>
          <w:tcPr>
            <w:tcW w:w="99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2.83 </w:t>
            </w:r>
          </w:p>
        </w:tc>
        <w:tc>
          <w:tcPr>
            <w:tcW w:w="117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2.68 </w:t>
            </w:r>
          </w:p>
        </w:tc>
        <w:tc>
          <w:tcPr>
            <w:tcW w:w="108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5.51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i/>
                <w:iCs/>
                <w:sz w:val="18"/>
                <w:szCs w:val="18"/>
                <w:lang w:eastAsia="es-UY"/>
              </w:rPr>
            </w:pPr>
            <w:r w:rsidRPr="009E5E00">
              <w:rPr>
                <w:rFonts w:cs="Arial"/>
                <w:i/>
                <w:iCs/>
                <w:sz w:val="18"/>
                <w:szCs w:val="18"/>
                <w:lang w:eastAsia="es-UY"/>
              </w:rPr>
              <w:t> </w:t>
            </w:r>
          </w:p>
        </w:tc>
      </w:tr>
      <w:tr w:rsidR="00535FFA" w:rsidRPr="009E5E00" w:rsidTr="00987491">
        <w:trPr>
          <w:trHeight w:val="240"/>
          <w:jc w:val="center"/>
        </w:trPr>
        <w:tc>
          <w:tcPr>
            <w:tcW w:w="6202" w:type="dxa"/>
            <w:gridSpan w:val="2"/>
            <w:tcBorders>
              <w:top w:val="nil"/>
              <w:left w:val="single" w:sz="4" w:space="0" w:color="auto"/>
              <w:bottom w:val="single" w:sz="4" w:space="0" w:color="auto"/>
              <w:right w:val="single" w:sz="4" w:space="0" w:color="auto"/>
            </w:tcBorders>
            <w:shd w:val="clear" w:color="000000" w:fill="B4C6E7"/>
            <w:noWrap/>
            <w:vAlign w:val="center"/>
            <w:hideMark/>
          </w:tcPr>
          <w:p w:rsidR="00535FFA" w:rsidRPr="009E5E00" w:rsidRDefault="00535FFA" w:rsidP="00987491">
            <w:pPr>
              <w:spacing w:after="0"/>
              <w:rPr>
                <w:rFonts w:cs="Arial"/>
                <w:b/>
                <w:bCs/>
                <w:sz w:val="18"/>
                <w:szCs w:val="18"/>
                <w:lang w:eastAsia="es-UY"/>
              </w:rPr>
            </w:pPr>
            <w:r w:rsidRPr="009E5E00">
              <w:rPr>
                <w:rFonts w:cs="Arial"/>
                <w:b/>
                <w:bCs/>
                <w:sz w:val="18"/>
                <w:szCs w:val="18"/>
                <w:lang w:eastAsia="es-UY"/>
              </w:rPr>
              <w:t xml:space="preserve">Componente 4: Infraestructura para la mejora educativa. </w:t>
            </w:r>
          </w:p>
        </w:tc>
        <w:tc>
          <w:tcPr>
            <w:tcW w:w="99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36.47 </w:t>
            </w:r>
          </w:p>
        </w:tc>
        <w:tc>
          <w:tcPr>
            <w:tcW w:w="117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12.82 </w:t>
            </w:r>
          </w:p>
        </w:tc>
        <w:tc>
          <w:tcPr>
            <w:tcW w:w="108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49.29 </w:t>
            </w:r>
          </w:p>
        </w:tc>
        <w:tc>
          <w:tcPr>
            <w:tcW w:w="72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center"/>
              <w:rPr>
                <w:rFonts w:cs="Arial"/>
                <w:b/>
                <w:bCs/>
                <w:sz w:val="18"/>
                <w:szCs w:val="18"/>
                <w:lang w:eastAsia="es-UY"/>
              </w:rPr>
            </w:pPr>
            <w:r w:rsidRPr="009E5E00">
              <w:rPr>
                <w:rFonts w:cs="Arial"/>
                <w:b/>
                <w:bCs/>
                <w:sz w:val="18"/>
                <w:szCs w:val="18"/>
                <w:lang w:eastAsia="es-UY"/>
              </w:rPr>
              <w:t>66.0%</w:t>
            </w:r>
          </w:p>
        </w:tc>
      </w:tr>
      <w:tr w:rsidR="00535FFA" w:rsidRPr="009E5E00" w:rsidTr="00987491">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987491">
            <w:pPr>
              <w:spacing w:after="0"/>
              <w:jc w:val="center"/>
              <w:rPr>
                <w:rFonts w:cs="Arial"/>
                <w:sz w:val="18"/>
                <w:szCs w:val="18"/>
                <w:lang w:eastAsia="es-UY"/>
              </w:rPr>
            </w:pPr>
            <w:r w:rsidRPr="009E5E00">
              <w:rPr>
                <w:rFonts w:cs="Arial"/>
                <w:sz w:val="18"/>
                <w:szCs w:val="18"/>
                <w:lang w:eastAsia="es-UY"/>
              </w:rPr>
              <w:t>4.1</w:t>
            </w:r>
          </w:p>
        </w:tc>
        <w:tc>
          <w:tcPr>
            <w:tcW w:w="5482"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sz w:val="18"/>
                <w:szCs w:val="18"/>
                <w:lang w:eastAsia="es-UY"/>
              </w:rPr>
            </w:pPr>
            <w:r w:rsidRPr="009E5E00">
              <w:rPr>
                <w:rFonts w:cs="Arial"/>
                <w:sz w:val="18"/>
                <w:szCs w:val="18"/>
                <w:lang w:eastAsia="es-UY"/>
              </w:rPr>
              <w:t>i) Diseño, construcción y equipamiento de nuevos centros educativos de enseñanza media</w:t>
            </w:r>
          </w:p>
        </w:tc>
        <w:tc>
          <w:tcPr>
            <w:tcW w:w="99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22.66 </w:t>
            </w:r>
          </w:p>
        </w:tc>
        <w:tc>
          <w:tcPr>
            <w:tcW w:w="117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9.76 </w:t>
            </w:r>
          </w:p>
        </w:tc>
        <w:tc>
          <w:tcPr>
            <w:tcW w:w="108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32.42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i/>
                <w:iCs/>
                <w:sz w:val="18"/>
                <w:szCs w:val="18"/>
                <w:lang w:eastAsia="es-UY"/>
              </w:rPr>
            </w:pPr>
            <w:r w:rsidRPr="009E5E00">
              <w:rPr>
                <w:rFonts w:cs="Arial"/>
                <w:i/>
                <w:iCs/>
                <w:sz w:val="18"/>
                <w:szCs w:val="18"/>
                <w:lang w:eastAsia="es-UY"/>
              </w:rPr>
              <w:t> </w:t>
            </w:r>
          </w:p>
        </w:tc>
      </w:tr>
      <w:tr w:rsidR="00535FFA" w:rsidRPr="009E5E00" w:rsidTr="00987491">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987491">
            <w:pPr>
              <w:spacing w:after="0"/>
              <w:jc w:val="center"/>
              <w:rPr>
                <w:rFonts w:cs="Arial"/>
                <w:sz w:val="18"/>
                <w:szCs w:val="18"/>
                <w:lang w:eastAsia="es-UY"/>
              </w:rPr>
            </w:pPr>
            <w:r w:rsidRPr="009E5E00">
              <w:rPr>
                <w:rFonts w:cs="Arial"/>
                <w:sz w:val="18"/>
                <w:szCs w:val="18"/>
                <w:lang w:eastAsia="es-UY"/>
              </w:rPr>
              <w:t>4.2</w:t>
            </w:r>
          </w:p>
        </w:tc>
        <w:tc>
          <w:tcPr>
            <w:tcW w:w="5482"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sz w:val="18"/>
                <w:szCs w:val="18"/>
                <w:lang w:eastAsia="es-UY"/>
              </w:rPr>
            </w:pPr>
            <w:r w:rsidRPr="009E5E00">
              <w:rPr>
                <w:rFonts w:cs="Arial"/>
                <w:sz w:val="18"/>
                <w:szCs w:val="18"/>
                <w:lang w:eastAsia="es-UY"/>
              </w:rPr>
              <w:t>ii) Ampliación y equipamiento de centros educativo de enseñanza media</w:t>
            </w:r>
          </w:p>
        </w:tc>
        <w:tc>
          <w:tcPr>
            <w:tcW w:w="99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6.76 </w:t>
            </w:r>
          </w:p>
        </w:tc>
        <w:tc>
          <w:tcPr>
            <w:tcW w:w="117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1.88 </w:t>
            </w:r>
          </w:p>
        </w:tc>
        <w:tc>
          <w:tcPr>
            <w:tcW w:w="108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8.64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i/>
                <w:iCs/>
                <w:sz w:val="18"/>
                <w:szCs w:val="18"/>
                <w:lang w:eastAsia="es-UY"/>
              </w:rPr>
            </w:pPr>
            <w:r w:rsidRPr="009E5E00">
              <w:rPr>
                <w:rFonts w:cs="Arial"/>
                <w:i/>
                <w:iCs/>
                <w:sz w:val="18"/>
                <w:szCs w:val="18"/>
                <w:lang w:eastAsia="es-UY"/>
              </w:rPr>
              <w:t> </w:t>
            </w:r>
          </w:p>
        </w:tc>
      </w:tr>
      <w:tr w:rsidR="00535FFA" w:rsidRPr="009E5E00" w:rsidTr="00987491">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987491">
            <w:pPr>
              <w:spacing w:after="0"/>
              <w:jc w:val="center"/>
              <w:rPr>
                <w:rFonts w:cs="Arial"/>
                <w:sz w:val="18"/>
                <w:szCs w:val="18"/>
                <w:lang w:eastAsia="es-UY"/>
              </w:rPr>
            </w:pPr>
            <w:r w:rsidRPr="009E5E00">
              <w:rPr>
                <w:rFonts w:cs="Arial"/>
                <w:sz w:val="18"/>
                <w:szCs w:val="18"/>
                <w:lang w:eastAsia="es-UY"/>
              </w:rPr>
              <w:t>4.3</w:t>
            </w:r>
          </w:p>
        </w:tc>
        <w:tc>
          <w:tcPr>
            <w:tcW w:w="5482"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sz w:val="18"/>
                <w:szCs w:val="18"/>
                <w:lang w:eastAsia="es-UY"/>
              </w:rPr>
            </w:pPr>
            <w:r w:rsidRPr="009E5E00">
              <w:rPr>
                <w:rFonts w:cs="Arial"/>
                <w:sz w:val="18"/>
                <w:szCs w:val="18"/>
                <w:lang w:eastAsia="es-UY"/>
              </w:rPr>
              <w:t>iii) Ampliación y equipamiento de centros de formación inicial en educación</w:t>
            </w:r>
          </w:p>
        </w:tc>
        <w:tc>
          <w:tcPr>
            <w:tcW w:w="99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6.86 </w:t>
            </w:r>
          </w:p>
        </w:tc>
        <w:tc>
          <w:tcPr>
            <w:tcW w:w="117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1.13 </w:t>
            </w:r>
          </w:p>
        </w:tc>
        <w:tc>
          <w:tcPr>
            <w:tcW w:w="108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7.99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i/>
                <w:iCs/>
                <w:sz w:val="18"/>
                <w:szCs w:val="18"/>
                <w:lang w:eastAsia="es-UY"/>
              </w:rPr>
            </w:pPr>
            <w:r w:rsidRPr="009E5E00">
              <w:rPr>
                <w:rFonts w:cs="Arial"/>
                <w:i/>
                <w:iCs/>
                <w:sz w:val="18"/>
                <w:szCs w:val="18"/>
                <w:lang w:eastAsia="es-UY"/>
              </w:rPr>
              <w:t> </w:t>
            </w:r>
          </w:p>
        </w:tc>
      </w:tr>
      <w:tr w:rsidR="00535FFA" w:rsidRPr="009E5E00" w:rsidTr="00987491">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987491">
            <w:pPr>
              <w:spacing w:after="0"/>
              <w:jc w:val="center"/>
              <w:rPr>
                <w:rFonts w:cs="Arial"/>
                <w:sz w:val="18"/>
                <w:szCs w:val="18"/>
                <w:lang w:eastAsia="es-UY"/>
              </w:rPr>
            </w:pPr>
            <w:r w:rsidRPr="009E5E00">
              <w:rPr>
                <w:rFonts w:cs="Arial"/>
                <w:sz w:val="18"/>
                <w:szCs w:val="18"/>
                <w:lang w:eastAsia="es-UY"/>
              </w:rPr>
              <w:t>4.4</w:t>
            </w:r>
          </w:p>
        </w:tc>
        <w:tc>
          <w:tcPr>
            <w:tcW w:w="5482"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sz w:val="18"/>
                <w:szCs w:val="18"/>
                <w:lang w:eastAsia="es-UY"/>
              </w:rPr>
            </w:pPr>
            <w:r w:rsidRPr="009E5E00">
              <w:rPr>
                <w:rFonts w:cs="Arial"/>
                <w:sz w:val="18"/>
                <w:szCs w:val="18"/>
                <w:lang w:eastAsia="es-UY"/>
              </w:rPr>
              <w:t>iv) Apoyo para el fortalecimiento de ANEP para gestionar Alianzas Público-Privadas en infraestructura escolar;</w:t>
            </w:r>
          </w:p>
        </w:tc>
        <w:tc>
          <w:tcPr>
            <w:tcW w:w="99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0.19 </w:t>
            </w:r>
          </w:p>
        </w:tc>
        <w:tc>
          <w:tcPr>
            <w:tcW w:w="117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0.05 </w:t>
            </w:r>
          </w:p>
        </w:tc>
        <w:tc>
          <w:tcPr>
            <w:tcW w:w="108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0.24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i/>
                <w:iCs/>
                <w:sz w:val="18"/>
                <w:szCs w:val="18"/>
                <w:lang w:eastAsia="es-UY"/>
              </w:rPr>
            </w:pPr>
            <w:r w:rsidRPr="009E5E00">
              <w:rPr>
                <w:rFonts w:cs="Arial"/>
                <w:i/>
                <w:iCs/>
                <w:sz w:val="18"/>
                <w:szCs w:val="18"/>
                <w:lang w:eastAsia="es-UY"/>
              </w:rPr>
              <w:t> </w:t>
            </w:r>
          </w:p>
        </w:tc>
      </w:tr>
      <w:tr w:rsidR="00535FFA" w:rsidRPr="009E5E00" w:rsidTr="00987491">
        <w:trPr>
          <w:trHeight w:val="240"/>
          <w:jc w:val="center"/>
        </w:trPr>
        <w:tc>
          <w:tcPr>
            <w:tcW w:w="6202" w:type="dxa"/>
            <w:gridSpan w:val="2"/>
            <w:tcBorders>
              <w:top w:val="nil"/>
              <w:left w:val="single" w:sz="4" w:space="0" w:color="auto"/>
              <w:bottom w:val="single" w:sz="4" w:space="0" w:color="auto"/>
              <w:right w:val="single" w:sz="4" w:space="0" w:color="auto"/>
            </w:tcBorders>
            <w:shd w:val="clear" w:color="000000" w:fill="B4C6E7"/>
            <w:noWrap/>
            <w:vAlign w:val="center"/>
            <w:hideMark/>
          </w:tcPr>
          <w:p w:rsidR="00535FFA" w:rsidRPr="009E5E00" w:rsidRDefault="00535FFA" w:rsidP="00987491">
            <w:pPr>
              <w:spacing w:after="0"/>
              <w:rPr>
                <w:rFonts w:cs="Arial"/>
                <w:b/>
                <w:bCs/>
                <w:sz w:val="18"/>
                <w:szCs w:val="18"/>
                <w:lang w:eastAsia="es-UY"/>
              </w:rPr>
            </w:pPr>
            <w:r w:rsidRPr="009E5E00">
              <w:rPr>
                <w:rFonts w:cs="Arial"/>
                <w:b/>
                <w:bCs/>
                <w:sz w:val="18"/>
                <w:szCs w:val="18"/>
                <w:lang w:eastAsia="es-UY"/>
              </w:rPr>
              <w:t>Administración del Programa</w:t>
            </w:r>
          </w:p>
        </w:tc>
        <w:tc>
          <w:tcPr>
            <w:tcW w:w="99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1.14 </w:t>
            </w:r>
          </w:p>
        </w:tc>
        <w:tc>
          <w:tcPr>
            <w:tcW w:w="117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3.82 </w:t>
            </w:r>
          </w:p>
        </w:tc>
        <w:tc>
          <w:tcPr>
            <w:tcW w:w="108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4.96 </w:t>
            </w:r>
          </w:p>
        </w:tc>
        <w:tc>
          <w:tcPr>
            <w:tcW w:w="72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center"/>
              <w:rPr>
                <w:rFonts w:cs="Arial"/>
                <w:b/>
                <w:bCs/>
                <w:sz w:val="18"/>
                <w:szCs w:val="18"/>
                <w:lang w:eastAsia="es-UY"/>
              </w:rPr>
            </w:pPr>
            <w:r w:rsidRPr="009E5E00">
              <w:rPr>
                <w:rFonts w:cs="Arial"/>
                <w:b/>
                <w:bCs/>
                <w:sz w:val="18"/>
                <w:szCs w:val="18"/>
                <w:lang w:eastAsia="es-UY"/>
              </w:rPr>
              <w:t>6.6%</w:t>
            </w:r>
          </w:p>
        </w:tc>
      </w:tr>
      <w:tr w:rsidR="00535FFA" w:rsidRPr="009E5E00" w:rsidTr="00987491">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987491">
            <w:pPr>
              <w:spacing w:after="0"/>
              <w:jc w:val="center"/>
              <w:rPr>
                <w:rFonts w:cs="Arial"/>
                <w:sz w:val="18"/>
                <w:szCs w:val="18"/>
                <w:lang w:eastAsia="es-UY"/>
              </w:rPr>
            </w:pPr>
            <w:r w:rsidRPr="009E5E00">
              <w:rPr>
                <w:rFonts w:cs="Arial"/>
                <w:sz w:val="18"/>
                <w:szCs w:val="18"/>
                <w:lang w:eastAsia="es-UY"/>
              </w:rPr>
              <w:t>5.1</w:t>
            </w:r>
          </w:p>
        </w:tc>
        <w:tc>
          <w:tcPr>
            <w:tcW w:w="5482"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sz w:val="18"/>
                <w:szCs w:val="18"/>
                <w:lang w:eastAsia="es-UY"/>
              </w:rPr>
            </w:pPr>
            <w:r w:rsidRPr="009E5E00">
              <w:rPr>
                <w:rFonts w:cs="Arial"/>
                <w:sz w:val="18"/>
                <w:szCs w:val="18"/>
                <w:lang w:eastAsia="es-UY"/>
              </w:rPr>
              <w:t>i) UCP.</w:t>
            </w:r>
          </w:p>
        </w:tc>
        <w:tc>
          <w:tcPr>
            <w:tcW w:w="99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1.02 </w:t>
            </w:r>
          </w:p>
        </w:tc>
        <w:tc>
          <w:tcPr>
            <w:tcW w:w="117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3.13 </w:t>
            </w:r>
          </w:p>
        </w:tc>
        <w:tc>
          <w:tcPr>
            <w:tcW w:w="108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4.15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i/>
                <w:iCs/>
                <w:sz w:val="18"/>
                <w:szCs w:val="18"/>
                <w:lang w:eastAsia="es-UY"/>
              </w:rPr>
            </w:pPr>
            <w:r w:rsidRPr="009E5E00">
              <w:rPr>
                <w:rFonts w:cs="Arial"/>
                <w:i/>
                <w:iCs/>
                <w:sz w:val="18"/>
                <w:szCs w:val="18"/>
                <w:lang w:eastAsia="es-UY"/>
              </w:rPr>
              <w:t> </w:t>
            </w:r>
          </w:p>
        </w:tc>
      </w:tr>
      <w:tr w:rsidR="00535FFA" w:rsidRPr="009E5E00" w:rsidTr="00987491">
        <w:trPr>
          <w:trHeight w:val="24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987491">
            <w:pPr>
              <w:spacing w:after="0"/>
              <w:jc w:val="center"/>
              <w:rPr>
                <w:rFonts w:cs="Arial"/>
                <w:sz w:val="18"/>
                <w:szCs w:val="18"/>
                <w:lang w:eastAsia="es-UY"/>
              </w:rPr>
            </w:pPr>
            <w:r w:rsidRPr="009E5E00">
              <w:rPr>
                <w:rFonts w:cs="Arial"/>
                <w:sz w:val="18"/>
                <w:szCs w:val="18"/>
                <w:lang w:eastAsia="es-UY"/>
              </w:rPr>
              <w:t>5.2</w:t>
            </w:r>
          </w:p>
        </w:tc>
        <w:tc>
          <w:tcPr>
            <w:tcW w:w="5482"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sz w:val="18"/>
                <w:szCs w:val="18"/>
                <w:lang w:eastAsia="es-UY"/>
              </w:rPr>
            </w:pPr>
            <w:r w:rsidRPr="009E5E00">
              <w:rPr>
                <w:rFonts w:cs="Arial"/>
                <w:sz w:val="18"/>
                <w:szCs w:val="18"/>
                <w:lang w:eastAsia="es-UY"/>
              </w:rPr>
              <w:t>ii) Gastos de administración, auditoría y evaluación</w:t>
            </w:r>
          </w:p>
        </w:tc>
        <w:tc>
          <w:tcPr>
            <w:tcW w:w="99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0.12 </w:t>
            </w:r>
          </w:p>
        </w:tc>
        <w:tc>
          <w:tcPr>
            <w:tcW w:w="117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0.69 </w:t>
            </w:r>
          </w:p>
        </w:tc>
        <w:tc>
          <w:tcPr>
            <w:tcW w:w="108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0.81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i/>
                <w:iCs/>
                <w:sz w:val="18"/>
                <w:szCs w:val="18"/>
                <w:lang w:eastAsia="es-UY"/>
              </w:rPr>
            </w:pPr>
            <w:r w:rsidRPr="009E5E00">
              <w:rPr>
                <w:rFonts w:cs="Arial"/>
                <w:i/>
                <w:iCs/>
                <w:sz w:val="18"/>
                <w:szCs w:val="18"/>
                <w:lang w:eastAsia="es-UY"/>
              </w:rPr>
              <w:t> </w:t>
            </w:r>
          </w:p>
        </w:tc>
      </w:tr>
      <w:tr w:rsidR="00535FFA" w:rsidRPr="009E5E00" w:rsidTr="00987491">
        <w:trPr>
          <w:trHeight w:val="24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rsidR="00535FFA" w:rsidRPr="009E5E00" w:rsidRDefault="00535FFA" w:rsidP="00987491">
            <w:pPr>
              <w:spacing w:after="0"/>
              <w:rPr>
                <w:rFonts w:cs="Arial"/>
                <w:sz w:val="18"/>
                <w:szCs w:val="18"/>
                <w:lang w:eastAsia="es-UY"/>
              </w:rPr>
            </w:pPr>
            <w:r w:rsidRPr="009E5E00">
              <w:rPr>
                <w:rFonts w:cs="Arial"/>
                <w:sz w:val="18"/>
                <w:szCs w:val="18"/>
                <w:lang w:eastAsia="es-UY"/>
              </w:rPr>
              <w:t>TOTAL</w:t>
            </w:r>
          </w:p>
        </w:tc>
        <w:tc>
          <w:tcPr>
            <w:tcW w:w="5482" w:type="dxa"/>
            <w:tcBorders>
              <w:top w:val="nil"/>
              <w:left w:val="nil"/>
              <w:bottom w:val="single" w:sz="4" w:space="0" w:color="auto"/>
              <w:right w:val="single" w:sz="4" w:space="0" w:color="auto"/>
            </w:tcBorders>
            <w:shd w:val="clear" w:color="000000" w:fill="BFBFBF"/>
            <w:noWrap/>
            <w:vAlign w:val="center"/>
            <w:hideMark/>
          </w:tcPr>
          <w:p w:rsidR="00535FFA" w:rsidRPr="009E5E00" w:rsidRDefault="00535FFA" w:rsidP="00987491">
            <w:pPr>
              <w:spacing w:after="0"/>
              <w:rPr>
                <w:rFonts w:cs="Arial"/>
                <w:sz w:val="18"/>
                <w:szCs w:val="18"/>
                <w:lang w:eastAsia="es-UY"/>
              </w:rPr>
            </w:pPr>
            <w:r w:rsidRPr="009E5E00">
              <w:rPr>
                <w:rFonts w:cs="Arial"/>
                <w:sz w:val="18"/>
                <w:szCs w:val="18"/>
                <w:lang w:eastAsia="es-UY"/>
              </w:rPr>
              <w:t> </w:t>
            </w:r>
          </w:p>
        </w:tc>
        <w:tc>
          <w:tcPr>
            <w:tcW w:w="990" w:type="dxa"/>
            <w:tcBorders>
              <w:top w:val="nil"/>
              <w:left w:val="nil"/>
              <w:bottom w:val="single" w:sz="4" w:space="0" w:color="auto"/>
              <w:right w:val="single" w:sz="4" w:space="0" w:color="auto"/>
            </w:tcBorders>
            <w:shd w:val="clear" w:color="000000" w:fill="BFBFBF"/>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50.00 </w:t>
            </w:r>
          </w:p>
        </w:tc>
        <w:tc>
          <w:tcPr>
            <w:tcW w:w="1170" w:type="dxa"/>
            <w:tcBorders>
              <w:top w:val="nil"/>
              <w:left w:val="nil"/>
              <w:bottom w:val="single" w:sz="4" w:space="0" w:color="auto"/>
              <w:right w:val="single" w:sz="4" w:space="0" w:color="auto"/>
            </w:tcBorders>
            <w:shd w:val="clear" w:color="000000" w:fill="BFBFBF"/>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24.70 </w:t>
            </w:r>
          </w:p>
        </w:tc>
        <w:tc>
          <w:tcPr>
            <w:tcW w:w="1080" w:type="dxa"/>
            <w:tcBorders>
              <w:top w:val="nil"/>
              <w:left w:val="nil"/>
              <w:bottom w:val="single" w:sz="4" w:space="0" w:color="auto"/>
              <w:right w:val="single" w:sz="4" w:space="0" w:color="auto"/>
            </w:tcBorders>
            <w:shd w:val="clear" w:color="000000" w:fill="BFBFBF"/>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74.70 </w:t>
            </w:r>
          </w:p>
        </w:tc>
        <w:tc>
          <w:tcPr>
            <w:tcW w:w="720" w:type="dxa"/>
            <w:tcBorders>
              <w:top w:val="nil"/>
              <w:left w:val="nil"/>
              <w:bottom w:val="single" w:sz="4" w:space="0" w:color="auto"/>
              <w:right w:val="single" w:sz="4" w:space="0" w:color="auto"/>
            </w:tcBorders>
            <w:shd w:val="clear" w:color="000000" w:fill="BFBFBF"/>
            <w:noWrap/>
            <w:vAlign w:val="center"/>
            <w:hideMark/>
          </w:tcPr>
          <w:p w:rsidR="00535FFA" w:rsidRPr="009E5E00" w:rsidRDefault="00535FFA" w:rsidP="00987491">
            <w:pPr>
              <w:spacing w:after="0"/>
              <w:jc w:val="center"/>
              <w:rPr>
                <w:rFonts w:cs="Arial"/>
                <w:sz w:val="18"/>
                <w:szCs w:val="18"/>
                <w:lang w:eastAsia="es-UY"/>
              </w:rPr>
            </w:pPr>
            <w:r w:rsidRPr="009E5E00">
              <w:rPr>
                <w:rFonts w:cs="Arial"/>
                <w:sz w:val="18"/>
                <w:szCs w:val="18"/>
                <w:lang w:eastAsia="es-UY"/>
              </w:rPr>
              <w:t>100%</w:t>
            </w:r>
          </w:p>
        </w:tc>
      </w:tr>
    </w:tbl>
    <w:p w:rsidR="00535FFA" w:rsidRPr="00CD6AE6" w:rsidRDefault="00535FFA" w:rsidP="006570F7">
      <w:pPr>
        <w:jc w:val="center"/>
        <w:rPr>
          <w:b/>
          <w:lang w:val="es-UY"/>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85"/>
        <w:gridCol w:w="787"/>
        <w:gridCol w:w="788"/>
        <w:gridCol w:w="787"/>
        <w:gridCol w:w="788"/>
      </w:tblGrid>
      <w:tr w:rsidR="00A37D39" w:rsidRPr="00CD6AE6" w:rsidTr="00BA3FCD">
        <w:trPr>
          <w:jc w:val="center"/>
        </w:trPr>
        <w:tc>
          <w:tcPr>
            <w:tcW w:w="5485" w:type="dxa"/>
            <w:shd w:val="clear" w:color="auto" w:fill="BDD6EE" w:themeFill="accent1" w:themeFillTint="66"/>
            <w:vAlign w:val="center"/>
          </w:tcPr>
          <w:p w:rsidR="00A37D39" w:rsidRPr="00CD6AE6" w:rsidRDefault="00A37D39" w:rsidP="00981691">
            <w:pPr>
              <w:jc w:val="center"/>
              <w:rPr>
                <w:rFonts w:eastAsia="Arial Unicode MS" w:cs="Arial"/>
                <w:b/>
                <w:bCs/>
                <w:szCs w:val="20"/>
                <w:lang w:val="es-UY" w:eastAsia="es-UY"/>
              </w:rPr>
            </w:pPr>
          </w:p>
        </w:tc>
        <w:tc>
          <w:tcPr>
            <w:tcW w:w="787" w:type="dxa"/>
            <w:shd w:val="clear" w:color="auto" w:fill="BDD6EE" w:themeFill="accent1" w:themeFillTint="66"/>
            <w:noWrap/>
            <w:vAlign w:val="center"/>
          </w:tcPr>
          <w:p w:rsidR="00A37D39" w:rsidRPr="00CD6AE6" w:rsidRDefault="00A37D39" w:rsidP="00981691">
            <w:pPr>
              <w:jc w:val="center"/>
              <w:rPr>
                <w:rFonts w:eastAsia="Arial Unicode MS" w:cs="Arial"/>
                <w:b/>
                <w:bCs/>
                <w:szCs w:val="20"/>
                <w:lang w:val="es-UY" w:eastAsia="es-UY"/>
              </w:rPr>
            </w:pPr>
          </w:p>
        </w:tc>
        <w:tc>
          <w:tcPr>
            <w:tcW w:w="788" w:type="dxa"/>
            <w:shd w:val="clear" w:color="auto" w:fill="BDD6EE" w:themeFill="accent1" w:themeFillTint="66"/>
            <w:noWrap/>
            <w:vAlign w:val="center"/>
          </w:tcPr>
          <w:p w:rsidR="00A37D39" w:rsidRPr="00CD6AE6" w:rsidRDefault="00A37D39" w:rsidP="00981691">
            <w:pPr>
              <w:jc w:val="center"/>
              <w:rPr>
                <w:rFonts w:eastAsia="Arial Unicode MS" w:cs="Arial"/>
                <w:b/>
                <w:bCs/>
                <w:szCs w:val="20"/>
                <w:lang w:val="es-UY" w:eastAsia="es-UY"/>
              </w:rPr>
            </w:pPr>
          </w:p>
        </w:tc>
        <w:tc>
          <w:tcPr>
            <w:tcW w:w="787" w:type="dxa"/>
            <w:shd w:val="clear" w:color="auto" w:fill="BDD6EE" w:themeFill="accent1" w:themeFillTint="66"/>
            <w:noWrap/>
            <w:vAlign w:val="center"/>
          </w:tcPr>
          <w:p w:rsidR="00A37D39" w:rsidRPr="00CD6AE6" w:rsidRDefault="00A37D39" w:rsidP="00981691">
            <w:pPr>
              <w:jc w:val="center"/>
              <w:rPr>
                <w:rFonts w:eastAsia="Arial Unicode MS" w:cs="Arial"/>
                <w:b/>
                <w:bCs/>
                <w:szCs w:val="20"/>
                <w:lang w:val="es-UY" w:eastAsia="es-UY"/>
              </w:rPr>
            </w:pPr>
          </w:p>
        </w:tc>
        <w:tc>
          <w:tcPr>
            <w:tcW w:w="788" w:type="dxa"/>
            <w:shd w:val="clear" w:color="auto" w:fill="BDD6EE" w:themeFill="accent1" w:themeFillTint="66"/>
            <w:noWrap/>
            <w:vAlign w:val="center"/>
          </w:tcPr>
          <w:p w:rsidR="00A37D39" w:rsidRPr="00CD6AE6" w:rsidRDefault="00A37D39" w:rsidP="00D62AD6">
            <w:pPr>
              <w:jc w:val="center"/>
              <w:rPr>
                <w:rFonts w:eastAsia="Arial Unicode MS" w:cs="Arial"/>
                <w:b/>
                <w:bCs/>
                <w:szCs w:val="20"/>
                <w:lang w:val="es-UY" w:eastAsia="es-UY"/>
              </w:rPr>
            </w:pPr>
          </w:p>
        </w:tc>
      </w:tr>
      <w:tr w:rsidR="00A37D39" w:rsidRPr="00CD6AE6" w:rsidTr="00BA3FCD">
        <w:trPr>
          <w:jc w:val="center"/>
        </w:trPr>
        <w:tc>
          <w:tcPr>
            <w:tcW w:w="5485" w:type="dxa"/>
            <w:shd w:val="clear" w:color="auto" w:fill="auto"/>
            <w:vAlign w:val="center"/>
          </w:tcPr>
          <w:p w:rsidR="00A37D39" w:rsidRPr="00CD6AE6" w:rsidRDefault="00A37D39" w:rsidP="00F25A66">
            <w:pPr>
              <w:rPr>
                <w:rFonts w:eastAsia="Arial Unicode MS" w:cs="Arial"/>
                <w:bCs/>
                <w:szCs w:val="20"/>
                <w:lang w:val="es-UY" w:eastAsia="es-UY"/>
              </w:rPr>
            </w:pPr>
          </w:p>
        </w:tc>
        <w:tc>
          <w:tcPr>
            <w:tcW w:w="787" w:type="dxa"/>
            <w:shd w:val="clear" w:color="auto" w:fill="auto"/>
            <w:noWrap/>
            <w:vAlign w:val="center"/>
          </w:tcPr>
          <w:p w:rsidR="00A37D39" w:rsidRPr="00CD6AE6" w:rsidRDefault="00A37D39" w:rsidP="00981691">
            <w:pPr>
              <w:jc w:val="right"/>
              <w:rPr>
                <w:rFonts w:eastAsia="Arial Unicode MS" w:cs="Arial"/>
                <w:bCs/>
                <w:szCs w:val="20"/>
                <w:lang w:val="es-UY" w:eastAsia="es-UY"/>
              </w:rPr>
            </w:pPr>
          </w:p>
        </w:tc>
        <w:tc>
          <w:tcPr>
            <w:tcW w:w="788" w:type="dxa"/>
            <w:shd w:val="clear" w:color="auto" w:fill="auto"/>
            <w:noWrap/>
            <w:vAlign w:val="center"/>
          </w:tcPr>
          <w:p w:rsidR="00A37D39" w:rsidRPr="00CD6AE6" w:rsidRDefault="00A37D39" w:rsidP="00981691">
            <w:pPr>
              <w:jc w:val="right"/>
              <w:rPr>
                <w:rFonts w:eastAsia="Arial Unicode MS" w:cs="Arial"/>
                <w:bCs/>
                <w:szCs w:val="20"/>
                <w:lang w:val="es-UY" w:eastAsia="es-UY"/>
              </w:rPr>
            </w:pPr>
          </w:p>
        </w:tc>
        <w:tc>
          <w:tcPr>
            <w:tcW w:w="787" w:type="dxa"/>
            <w:shd w:val="clear" w:color="auto" w:fill="auto"/>
            <w:noWrap/>
            <w:vAlign w:val="center"/>
          </w:tcPr>
          <w:p w:rsidR="00A37D39" w:rsidRPr="00CD6AE6" w:rsidRDefault="00A37D39" w:rsidP="00981691">
            <w:pPr>
              <w:jc w:val="right"/>
              <w:rPr>
                <w:rFonts w:eastAsia="Arial Unicode MS" w:cs="Arial"/>
                <w:bCs/>
                <w:szCs w:val="20"/>
                <w:lang w:val="es-UY" w:eastAsia="es-UY"/>
              </w:rPr>
            </w:pPr>
          </w:p>
        </w:tc>
        <w:tc>
          <w:tcPr>
            <w:tcW w:w="788" w:type="dxa"/>
            <w:shd w:val="clear" w:color="auto" w:fill="auto"/>
            <w:noWrap/>
            <w:vAlign w:val="center"/>
          </w:tcPr>
          <w:p w:rsidR="00A37D39" w:rsidRPr="00CD6AE6" w:rsidRDefault="00A37D39" w:rsidP="00D62AD6">
            <w:pPr>
              <w:jc w:val="center"/>
              <w:rPr>
                <w:rFonts w:eastAsia="Arial Unicode MS" w:cs="Arial"/>
                <w:bCs/>
                <w:szCs w:val="20"/>
                <w:lang w:val="es-UY" w:eastAsia="es-UY"/>
              </w:rPr>
            </w:pPr>
          </w:p>
        </w:tc>
      </w:tr>
      <w:tr w:rsidR="00A37D39" w:rsidRPr="00CD6AE6" w:rsidTr="00BA3FCD">
        <w:trPr>
          <w:jc w:val="center"/>
        </w:trPr>
        <w:tc>
          <w:tcPr>
            <w:tcW w:w="5485" w:type="dxa"/>
            <w:shd w:val="clear" w:color="auto" w:fill="auto"/>
            <w:vAlign w:val="center"/>
          </w:tcPr>
          <w:p w:rsidR="00A37D39" w:rsidRPr="00CD6AE6" w:rsidRDefault="00A37D39" w:rsidP="00981691">
            <w:pPr>
              <w:rPr>
                <w:rFonts w:eastAsia="Arial Unicode MS" w:cs="Arial"/>
                <w:bCs/>
                <w:szCs w:val="20"/>
                <w:lang w:val="es-UY" w:eastAsia="es-UY"/>
              </w:rPr>
            </w:pPr>
          </w:p>
        </w:tc>
        <w:tc>
          <w:tcPr>
            <w:tcW w:w="787" w:type="dxa"/>
            <w:shd w:val="clear" w:color="auto" w:fill="auto"/>
            <w:noWrap/>
            <w:vAlign w:val="center"/>
          </w:tcPr>
          <w:p w:rsidR="00A37D39" w:rsidRPr="00CD6AE6" w:rsidRDefault="00A37D39" w:rsidP="00981691">
            <w:pPr>
              <w:jc w:val="right"/>
              <w:rPr>
                <w:rFonts w:eastAsia="Arial Unicode MS" w:cs="Arial"/>
                <w:bCs/>
                <w:szCs w:val="20"/>
                <w:lang w:val="es-UY" w:eastAsia="es-UY"/>
              </w:rPr>
            </w:pPr>
          </w:p>
        </w:tc>
        <w:tc>
          <w:tcPr>
            <w:tcW w:w="788" w:type="dxa"/>
            <w:shd w:val="clear" w:color="auto" w:fill="auto"/>
            <w:noWrap/>
            <w:vAlign w:val="center"/>
          </w:tcPr>
          <w:p w:rsidR="00A37D39" w:rsidRPr="00CD6AE6" w:rsidRDefault="00A37D39" w:rsidP="00981691">
            <w:pPr>
              <w:jc w:val="right"/>
              <w:rPr>
                <w:rFonts w:eastAsia="Arial Unicode MS" w:cs="Arial"/>
                <w:bCs/>
                <w:szCs w:val="20"/>
                <w:lang w:val="es-UY" w:eastAsia="es-UY"/>
              </w:rPr>
            </w:pPr>
          </w:p>
        </w:tc>
        <w:tc>
          <w:tcPr>
            <w:tcW w:w="787" w:type="dxa"/>
            <w:shd w:val="clear" w:color="auto" w:fill="auto"/>
            <w:noWrap/>
            <w:vAlign w:val="center"/>
          </w:tcPr>
          <w:p w:rsidR="00A37D39" w:rsidRPr="00CD6AE6" w:rsidRDefault="00A37D39" w:rsidP="00981691">
            <w:pPr>
              <w:jc w:val="right"/>
              <w:rPr>
                <w:rFonts w:eastAsia="Arial Unicode MS" w:cs="Arial"/>
                <w:bCs/>
                <w:szCs w:val="20"/>
                <w:lang w:val="es-UY" w:eastAsia="es-UY"/>
              </w:rPr>
            </w:pPr>
          </w:p>
        </w:tc>
        <w:tc>
          <w:tcPr>
            <w:tcW w:w="788" w:type="dxa"/>
            <w:shd w:val="clear" w:color="auto" w:fill="auto"/>
            <w:noWrap/>
            <w:vAlign w:val="center"/>
          </w:tcPr>
          <w:p w:rsidR="00A37D39" w:rsidRPr="00CD6AE6" w:rsidRDefault="00A37D39" w:rsidP="00D62AD6">
            <w:pPr>
              <w:jc w:val="center"/>
              <w:rPr>
                <w:rFonts w:eastAsia="Arial Unicode MS" w:cs="Arial"/>
                <w:bCs/>
                <w:szCs w:val="20"/>
                <w:lang w:val="es-UY" w:eastAsia="es-UY"/>
              </w:rPr>
            </w:pPr>
          </w:p>
        </w:tc>
      </w:tr>
      <w:tr w:rsidR="00A37D39" w:rsidRPr="00CD6AE6" w:rsidTr="00BA3FCD">
        <w:trPr>
          <w:jc w:val="center"/>
        </w:trPr>
        <w:tc>
          <w:tcPr>
            <w:tcW w:w="5485" w:type="dxa"/>
            <w:shd w:val="clear" w:color="auto" w:fill="auto"/>
            <w:vAlign w:val="center"/>
          </w:tcPr>
          <w:p w:rsidR="00A37D39" w:rsidRPr="00CD6AE6" w:rsidRDefault="00A37D39" w:rsidP="00981691">
            <w:pPr>
              <w:rPr>
                <w:rFonts w:eastAsia="Arial Unicode MS" w:cs="Arial"/>
                <w:bCs/>
                <w:szCs w:val="20"/>
                <w:lang w:val="es-UY" w:eastAsia="es-UY"/>
              </w:rPr>
            </w:pPr>
          </w:p>
        </w:tc>
        <w:tc>
          <w:tcPr>
            <w:tcW w:w="787" w:type="dxa"/>
            <w:shd w:val="clear" w:color="auto" w:fill="auto"/>
            <w:noWrap/>
            <w:vAlign w:val="center"/>
          </w:tcPr>
          <w:p w:rsidR="00A37D39" w:rsidRPr="00CD6AE6" w:rsidRDefault="00A37D39" w:rsidP="00981691">
            <w:pPr>
              <w:jc w:val="right"/>
              <w:rPr>
                <w:rFonts w:eastAsia="Arial Unicode MS" w:cs="Arial"/>
                <w:bCs/>
                <w:szCs w:val="20"/>
                <w:lang w:val="es-UY" w:eastAsia="es-UY"/>
              </w:rPr>
            </w:pPr>
          </w:p>
        </w:tc>
        <w:tc>
          <w:tcPr>
            <w:tcW w:w="788" w:type="dxa"/>
            <w:shd w:val="clear" w:color="auto" w:fill="auto"/>
            <w:noWrap/>
            <w:vAlign w:val="center"/>
          </w:tcPr>
          <w:p w:rsidR="00A37D39" w:rsidRPr="00CD6AE6" w:rsidRDefault="00A37D39" w:rsidP="00981691">
            <w:pPr>
              <w:jc w:val="right"/>
              <w:rPr>
                <w:rFonts w:eastAsia="Arial Unicode MS" w:cs="Arial"/>
                <w:bCs/>
                <w:szCs w:val="20"/>
                <w:lang w:val="es-UY" w:eastAsia="es-UY"/>
              </w:rPr>
            </w:pPr>
          </w:p>
        </w:tc>
        <w:tc>
          <w:tcPr>
            <w:tcW w:w="787" w:type="dxa"/>
            <w:shd w:val="clear" w:color="auto" w:fill="auto"/>
            <w:noWrap/>
            <w:vAlign w:val="center"/>
          </w:tcPr>
          <w:p w:rsidR="00A37D39" w:rsidRPr="00CD6AE6" w:rsidRDefault="00A37D39" w:rsidP="00981691">
            <w:pPr>
              <w:jc w:val="right"/>
              <w:rPr>
                <w:rFonts w:eastAsia="Arial Unicode MS" w:cs="Arial"/>
                <w:bCs/>
                <w:szCs w:val="20"/>
                <w:lang w:val="es-UY" w:eastAsia="es-UY"/>
              </w:rPr>
            </w:pPr>
          </w:p>
        </w:tc>
        <w:tc>
          <w:tcPr>
            <w:tcW w:w="788" w:type="dxa"/>
            <w:shd w:val="clear" w:color="auto" w:fill="auto"/>
            <w:noWrap/>
            <w:vAlign w:val="center"/>
          </w:tcPr>
          <w:p w:rsidR="00A37D39" w:rsidRPr="00CD6AE6" w:rsidRDefault="00A37D39" w:rsidP="00D62AD6">
            <w:pPr>
              <w:jc w:val="center"/>
              <w:rPr>
                <w:rFonts w:eastAsia="Arial Unicode MS" w:cs="Arial"/>
                <w:bCs/>
                <w:szCs w:val="20"/>
                <w:lang w:val="es-UY" w:eastAsia="es-UY"/>
              </w:rPr>
            </w:pPr>
          </w:p>
        </w:tc>
      </w:tr>
      <w:tr w:rsidR="00A37D39" w:rsidRPr="00CD6AE6" w:rsidTr="00BA3FCD">
        <w:trPr>
          <w:jc w:val="center"/>
        </w:trPr>
        <w:tc>
          <w:tcPr>
            <w:tcW w:w="5485" w:type="dxa"/>
            <w:shd w:val="clear" w:color="auto" w:fill="auto"/>
            <w:vAlign w:val="center"/>
          </w:tcPr>
          <w:p w:rsidR="00A37D39" w:rsidRPr="00CD6AE6" w:rsidRDefault="00A37D39" w:rsidP="00981691">
            <w:pPr>
              <w:rPr>
                <w:rFonts w:eastAsia="Arial Unicode MS" w:cs="Arial"/>
                <w:bCs/>
                <w:szCs w:val="20"/>
                <w:lang w:val="es-UY" w:eastAsia="es-UY"/>
              </w:rPr>
            </w:pPr>
          </w:p>
        </w:tc>
        <w:tc>
          <w:tcPr>
            <w:tcW w:w="787" w:type="dxa"/>
            <w:shd w:val="clear" w:color="auto" w:fill="auto"/>
            <w:noWrap/>
            <w:vAlign w:val="center"/>
          </w:tcPr>
          <w:p w:rsidR="00A37D39" w:rsidRPr="00CD6AE6" w:rsidRDefault="00A37D39" w:rsidP="007B2A80">
            <w:pPr>
              <w:jc w:val="right"/>
              <w:rPr>
                <w:rFonts w:eastAsia="Arial Unicode MS" w:cs="Arial"/>
                <w:bCs/>
                <w:szCs w:val="20"/>
                <w:lang w:val="es-UY" w:eastAsia="es-UY"/>
              </w:rPr>
            </w:pPr>
          </w:p>
        </w:tc>
        <w:tc>
          <w:tcPr>
            <w:tcW w:w="788" w:type="dxa"/>
            <w:shd w:val="clear" w:color="auto" w:fill="auto"/>
            <w:noWrap/>
            <w:vAlign w:val="center"/>
          </w:tcPr>
          <w:p w:rsidR="00A37D39" w:rsidRPr="00CD6AE6" w:rsidRDefault="00A37D39" w:rsidP="00D62AD6">
            <w:pPr>
              <w:jc w:val="right"/>
              <w:rPr>
                <w:rFonts w:eastAsia="Arial Unicode MS" w:cs="Arial"/>
                <w:bCs/>
                <w:szCs w:val="20"/>
                <w:lang w:val="es-UY" w:eastAsia="es-UY"/>
              </w:rPr>
            </w:pPr>
          </w:p>
        </w:tc>
        <w:tc>
          <w:tcPr>
            <w:tcW w:w="787" w:type="dxa"/>
            <w:shd w:val="clear" w:color="auto" w:fill="auto"/>
            <w:noWrap/>
            <w:vAlign w:val="center"/>
          </w:tcPr>
          <w:p w:rsidR="00A37D39" w:rsidRPr="00CD6AE6" w:rsidRDefault="00A37D39" w:rsidP="00D62AD6">
            <w:pPr>
              <w:jc w:val="right"/>
              <w:rPr>
                <w:rFonts w:eastAsia="Arial Unicode MS" w:cs="Arial"/>
                <w:bCs/>
                <w:szCs w:val="20"/>
                <w:lang w:val="es-UY" w:eastAsia="es-UY"/>
              </w:rPr>
            </w:pPr>
          </w:p>
        </w:tc>
        <w:tc>
          <w:tcPr>
            <w:tcW w:w="788" w:type="dxa"/>
            <w:shd w:val="clear" w:color="auto" w:fill="auto"/>
            <w:noWrap/>
            <w:vAlign w:val="center"/>
          </w:tcPr>
          <w:p w:rsidR="00A37D39" w:rsidRPr="00CD6AE6" w:rsidRDefault="00A37D39" w:rsidP="00D62AD6">
            <w:pPr>
              <w:jc w:val="center"/>
              <w:rPr>
                <w:rFonts w:eastAsia="Arial Unicode MS" w:cs="Arial"/>
                <w:bCs/>
                <w:szCs w:val="20"/>
                <w:lang w:val="es-UY" w:eastAsia="es-UY"/>
              </w:rPr>
            </w:pPr>
          </w:p>
        </w:tc>
      </w:tr>
      <w:tr w:rsidR="00A37D39" w:rsidRPr="00CD6AE6" w:rsidTr="00BA3FCD">
        <w:trPr>
          <w:jc w:val="center"/>
        </w:trPr>
        <w:tc>
          <w:tcPr>
            <w:tcW w:w="5485" w:type="dxa"/>
            <w:shd w:val="clear" w:color="auto" w:fill="auto"/>
            <w:vAlign w:val="center"/>
          </w:tcPr>
          <w:p w:rsidR="00A37D39" w:rsidRPr="00CD6AE6" w:rsidRDefault="00A37D39" w:rsidP="00981691">
            <w:pPr>
              <w:rPr>
                <w:rFonts w:eastAsia="Arial Unicode MS" w:cs="Arial"/>
                <w:bCs/>
                <w:szCs w:val="20"/>
                <w:lang w:val="es-UY" w:eastAsia="es-UY"/>
              </w:rPr>
            </w:pPr>
          </w:p>
        </w:tc>
        <w:tc>
          <w:tcPr>
            <w:tcW w:w="787" w:type="dxa"/>
            <w:shd w:val="clear" w:color="auto" w:fill="auto"/>
            <w:noWrap/>
            <w:vAlign w:val="center"/>
          </w:tcPr>
          <w:p w:rsidR="00A37D39" w:rsidRPr="00CD6AE6" w:rsidRDefault="00A37D39" w:rsidP="00D62AD6">
            <w:pPr>
              <w:jc w:val="right"/>
              <w:rPr>
                <w:rFonts w:eastAsia="Arial Unicode MS" w:cs="Arial"/>
                <w:bCs/>
                <w:szCs w:val="20"/>
                <w:lang w:val="es-UY" w:eastAsia="es-UY"/>
              </w:rPr>
            </w:pPr>
          </w:p>
        </w:tc>
        <w:tc>
          <w:tcPr>
            <w:tcW w:w="788" w:type="dxa"/>
            <w:shd w:val="clear" w:color="auto" w:fill="auto"/>
            <w:noWrap/>
            <w:vAlign w:val="center"/>
          </w:tcPr>
          <w:p w:rsidR="00A37D39" w:rsidRPr="00CD6AE6" w:rsidRDefault="00A37D39" w:rsidP="00D62AD6">
            <w:pPr>
              <w:jc w:val="right"/>
              <w:rPr>
                <w:rFonts w:eastAsia="Arial Unicode MS" w:cs="Arial"/>
                <w:bCs/>
                <w:szCs w:val="20"/>
                <w:lang w:val="es-UY" w:eastAsia="es-UY"/>
              </w:rPr>
            </w:pPr>
          </w:p>
        </w:tc>
        <w:tc>
          <w:tcPr>
            <w:tcW w:w="787" w:type="dxa"/>
            <w:shd w:val="clear" w:color="auto" w:fill="auto"/>
            <w:noWrap/>
            <w:vAlign w:val="center"/>
          </w:tcPr>
          <w:p w:rsidR="00A37D39" w:rsidRPr="00CD6AE6" w:rsidRDefault="00A37D39" w:rsidP="00D62AD6">
            <w:pPr>
              <w:jc w:val="right"/>
              <w:rPr>
                <w:rFonts w:eastAsia="Arial Unicode MS" w:cs="Arial"/>
                <w:bCs/>
                <w:szCs w:val="20"/>
                <w:lang w:val="es-UY" w:eastAsia="es-UY"/>
              </w:rPr>
            </w:pPr>
          </w:p>
        </w:tc>
        <w:tc>
          <w:tcPr>
            <w:tcW w:w="788" w:type="dxa"/>
            <w:shd w:val="clear" w:color="auto" w:fill="auto"/>
            <w:noWrap/>
            <w:vAlign w:val="center"/>
          </w:tcPr>
          <w:p w:rsidR="00A37D39" w:rsidRPr="00CD6AE6" w:rsidRDefault="00A37D39" w:rsidP="00D62AD6">
            <w:pPr>
              <w:jc w:val="center"/>
              <w:rPr>
                <w:rFonts w:eastAsia="Arial Unicode MS" w:cs="Arial"/>
                <w:bCs/>
                <w:szCs w:val="20"/>
                <w:lang w:val="es-UY" w:eastAsia="es-UY"/>
              </w:rPr>
            </w:pPr>
          </w:p>
        </w:tc>
      </w:tr>
      <w:tr w:rsidR="00A37D39" w:rsidRPr="00CD6AE6" w:rsidTr="00BA3FCD">
        <w:trPr>
          <w:jc w:val="center"/>
        </w:trPr>
        <w:tc>
          <w:tcPr>
            <w:tcW w:w="5485" w:type="dxa"/>
            <w:shd w:val="clear" w:color="auto" w:fill="auto"/>
            <w:vAlign w:val="center"/>
          </w:tcPr>
          <w:p w:rsidR="00A37D39" w:rsidRPr="00CD6AE6" w:rsidRDefault="00A37D39" w:rsidP="00981691">
            <w:pPr>
              <w:rPr>
                <w:rFonts w:eastAsia="Arial Unicode MS" w:cs="Arial"/>
                <w:b/>
                <w:bCs/>
                <w:szCs w:val="20"/>
                <w:lang w:val="es-UY" w:eastAsia="es-UY"/>
              </w:rPr>
            </w:pPr>
          </w:p>
        </w:tc>
        <w:tc>
          <w:tcPr>
            <w:tcW w:w="787" w:type="dxa"/>
            <w:shd w:val="clear" w:color="auto" w:fill="auto"/>
            <w:noWrap/>
            <w:vAlign w:val="center"/>
          </w:tcPr>
          <w:p w:rsidR="00A37D39" w:rsidRPr="00CD6AE6" w:rsidRDefault="00A37D39" w:rsidP="00981691">
            <w:pPr>
              <w:jc w:val="right"/>
              <w:rPr>
                <w:rFonts w:eastAsia="Arial Unicode MS" w:cs="Arial"/>
                <w:b/>
                <w:bCs/>
                <w:szCs w:val="20"/>
                <w:u w:val="single"/>
                <w:lang w:val="es-UY" w:eastAsia="es-UY"/>
              </w:rPr>
            </w:pPr>
          </w:p>
        </w:tc>
        <w:tc>
          <w:tcPr>
            <w:tcW w:w="788" w:type="dxa"/>
            <w:shd w:val="clear" w:color="auto" w:fill="auto"/>
            <w:noWrap/>
            <w:vAlign w:val="center"/>
          </w:tcPr>
          <w:p w:rsidR="00A37D39" w:rsidRPr="00CD6AE6" w:rsidRDefault="00A37D39" w:rsidP="00981691">
            <w:pPr>
              <w:jc w:val="right"/>
              <w:rPr>
                <w:rFonts w:eastAsia="Arial Unicode MS" w:cs="Arial"/>
                <w:b/>
                <w:bCs/>
                <w:szCs w:val="20"/>
                <w:u w:val="single"/>
                <w:lang w:val="es-UY" w:eastAsia="es-UY"/>
              </w:rPr>
            </w:pPr>
          </w:p>
        </w:tc>
        <w:tc>
          <w:tcPr>
            <w:tcW w:w="787" w:type="dxa"/>
            <w:shd w:val="clear" w:color="auto" w:fill="auto"/>
            <w:noWrap/>
            <w:vAlign w:val="center"/>
          </w:tcPr>
          <w:p w:rsidR="00A37D39" w:rsidRPr="00CD6AE6" w:rsidRDefault="00A37D39" w:rsidP="00981691">
            <w:pPr>
              <w:jc w:val="right"/>
              <w:rPr>
                <w:rFonts w:eastAsia="Arial Unicode MS" w:cs="Arial"/>
                <w:b/>
                <w:bCs/>
                <w:szCs w:val="20"/>
                <w:u w:val="single"/>
                <w:lang w:val="es-UY" w:eastAsia="es-UY"/>
              </w:rPr>
            </w:pPr>
          </w:p>
        </w:tc>
        <w:tc>
          <w:tcPr>
            <w:tcW w:w="788" w:type="dxa"/>
            <w:shd w:val="clear" w:color="auto" w:fill="auto"/>
            <w:noWrap/>
            <w:vAlign w:val="center"/>
          </w:tcPr>
          <w:p w:rsidR="00A37D39" w:rsidRPr="00CD6AE6" w:rsidRDefault="00A37D39" w:rsidP="00D62AD6">
            <w:pPr>
              <w:jc w:val="center"/>
              <w:rPr>
                <w:rFonts w:eastAsia="Arial Unicode MS" w:cs="Arial"/>
                <w:b/>
                <w:bCs/>
                <w:szCs w:val="20"/>
                <w:u w:val="single"/>
                <w:lang w:val="es-UY" w:eastAsia="es-UY"/>
              </w:rPr>
            </w:pPr>
          </w:p>
        </w:tc>
      </w:tr>
    </w:tbl>
    <w:p w:rsidR="006F161A" w:rsidRPr="00CD6AE6" w:rsidRDefault="006F161A" w:rsidP="006F161A">
      <w:pPr>
        <w:rPr>
          <w:lang w:val="es-UY"/>
        </w:rPr>
      </w:pPr>
    </w:p>
    <w:p w:rsidR="00535FFA" w:rsidRDefault="00535FFA" w:rsidP="00D4226A">
      <w:pPr>
        <w:pStyle w:val="Paragraph"/>
      </w:pPr>
      <w:r>
        <w:t>Se prevé que dichos costos sean distribuidos en el tiempo de acuerdo al siguiente detalle (Cuadro II-3)</w:t>
      </w:r>
    </w:p>
    <w:tbl>
      <w:tblPr>
        <w:tblW w:w="8668" w:type="dxa"/>
        <w:jc w:val="center"/>
        <w:tblLayout w:type="fixed"/>
        <w:tblCellMar>
          <w:left w:w="70" w:type="dxa"/>
          <w:right w:w="70" w:type="dxa"/>
        </w:tblCellMar>
        <w:tblLook w:val="04A0" w:firstRow="1" w:lastRow="0" w:firstColumn="1" w:lastColumn="0" w:noHBand="0" w:noVBand="1"/>
      </w:tblPr>
      <w:tblGrid>
        <w:gridCol w:w="3490"/>
        <w:gridCol w:w="750"/>
        <w:gridCol w:w="60"/>
        <w:gridCol w:w="690"/>
        <w:gridCol w:w="30"/>
        <w:gridCol w:w="720"/>
        <w:gridCol w:w="720"/>
        <w:gridCol w:w="30"/>
        <w:gridCol w:w="690"/>
        <w:gridCol w:w="60"/>
        <w:gridCol w:w="751"/>
        <w:gridCol w:w="677"/>
      </w:tblGrid>
      <w:tr w:rsidR="00535FFA" w:rsidRPr="009E5E00" w:rsidTr="00535FFA">
        <w:trPr>
          <w:trHeight w:val="240"/>
          <w:jc w:val="center"/>
        </w:trPr>
        <w:tc>
          <w:tcPr>
            <w:tcW w:w="3490" w:type="dxa"/>
            <w:tcBorders>
              <w:top w:val="nil"/>
              <w:left w:val="single" w:sz="4" w:space="0" w:color="auto"/>
              <w:bottom w:val="single" w:sz="4" w:space="0" w:color="auto"/>
              <w:right w:val="single" w:sz="4" w:space="0" w:color="auto"/>
            </w:tcBorders>
            <w:shd w:val="clear" w:color="000000" w:fill="AEAAAA"/>
            <w:noWrap/>
            <w:vAlign w:val="center"/>
            <w:hideMark/>
          </w:tcPr>
          <w:p w:rsidR="00535FFA" w:rsidRPr="009E5E00" w:rsidRDefault="00535FFA" w:rsidP="00535FFA">
            <w:pPr>
              <w:spacing w:after="0"/>
              <w:jc w:val="left"/>
              <w:rPr>
                <w:rFonts w:cs="Arial"/>
                <w:sz w:val="18"/>
                <w:szCs w:val="18"/>
                <w:lang w:eastAsia="es-UY"/>
              </w:rPr>
            </w:pPr>
          </w:p>
        </w:tc>
        <w:tc>
          <w:tcPr>
            <w:tcW w:w="750" w:type="dxa"/>
            <w:tcBorders>
              <w:top w:val="single" w:sz="4" w:space="0" w:color="auto"/>
              <w:left w:val="nil"/>
              <w:bottom w:val="single" w:sz="4" w:space="0" w:color="auto"/>
              <w:right w:val="single" w:sz="4" w:space="0" w:color="auto"/>
            </w:tcBorders>
            <w:shd w:val="clear" w:color="000000" w:fill="AEAAAA"/>
            <w:noWrap/>
            <w:vAlign w:val="center"/>
            <w:hideMark/>
          </w:tcPr>
          <w:p w:rsidR="00535FFA" w:rsidRPr="009E5E00" w:rsidRDefault="00535FFA" w:rsidP="00535FFA">
            <w:pPr>
              <w:spacing w:after="0"/>
              <w:jc w:val="center"/>
              <w:rPr>
                <w:rFonts w:cs="Arial"/>
                <w:sz w:val="18"/>
                <w:szCs w:val="18"/>
                <w:lang w:eastAsia="es-UY"/>
              </w:rPr>
            </w:pPr>
            <w:r w:rsidRPr="009E5E00">
              <w:rPr>
                <w:rFonts w:cs="Arial"/>
                <w:sz w:val="18"/>
                <w:szCs w:val="18"/>
                <w:lang w:eastAsia="es-UY"/>
              </w:rPr>
              <w:t>2017</w:t>
            </w:r>
          </w:p>
        </w:tc>
        <w:tc>
          <w:tcPr>
            <w:tcW w:w="750" w:type="dxa"/>
            <w:gridSpan w:val="2"/>
            <w:tcBorders>
              <w:top w:val="single" w:sz="4" w:space="0" w:color="auto"/>
              <w:left w:val="nil"/>
              <w:bottom w:val="single" w:sz="4" w:space="0" w:color="auto"/>
              <w:right w:val="single" w:sz="4" w:space="0" w:color="auto"/>
            </w:tcBorders>
            <w:shd w:val="clear" w:color="000000" w:fill="AEAAAA"/>
            <w:noWrap/>
            <w:vAlign w:val="center"/>
            <w:hideMark/>
          </w:tcPr>
          <w:p w:rsidR="00535FFA" w:rsidRPr="009E5E00" w:rsidRDefault="00535FFA" w:rsidP="00535FFA">
            <w:pPr>
              <w:spacing w:after="0"/>
              <w:jc w:val="center"/>
              <w:rPr>
                <w:rFonts w:cs="Arial"/>
                <w:sz w:val="18"/>
                <w:szCs w:val="18"/>
                <w:lang w:eastAsia="es-UY"/>
              </w:rPr>
            </w:pPr>
            <w:r w:rsidRPr="009E5E00">
              <w:rPr>
                <w:rFonts w:cs="Arial"/>
                <w:sz w:val="18"/>
                <w:szCs w:val="18"/>
                <w:lang w:eastAsia="es-UY"/>
              </w:rPr>
              <w:t>2018</w:t>
            </w:r>
          </w:p>
        </w:tc>
        <w:tc>
          <w:tcPr>
            <w:tcW w:w="750" w:type="dxa"/>
            <w:gridSpan w:val="2"/>
            <w:tcBorders>
              <w:top w:val="single" w:sz="4" w:space="0" w:color="auto"/>
              <w:left w:val="nil"/>
              <w:bottom w:val="single" w:sz="4" w:space="0" w:color="auto"/>
              <w:right w:val="single" w:sz="4" w:space="0" w:color="auto"/>
            </w:tcBorders>
            <w:shd w:val="clear" w:color="000000" w:fill="AEAAAA"/>
            <w:noWrap/>
            <w:vAlign w:val="center"/>
            <w:hideMark/>
          </w:tcPr>
          <w:p w:rsidR="00535FFA" w:rsidRPr="009E5E00" w:rsidRDefault="00535FFA" w:rsidP="00535FFA">
            <w:pPr>
              <w:spacing w:after="0"/>
              <w:jc w:val="center"/>
              <w:rPr>
                <w:rFonts w:cs="Arial"/>
                <w:sz w:val="18"/>
                <w:szCs w:val="18"/>
                <w:lang w:eastAsia="es-UY"/>
              </w:rPr>
            </w:pPr>
            <w:r w:rsidRPr="009E5E00">
              <w:rPr>
                <w:rFonts w:cs="Arial"/>
                <w:sz w:val="18"/>
                <w:szCs w:val="18"/>
                <w:lang w:eastAsia="es-UY"/>
              </w:rPr>
              <w:t>2019</w:t>
            </w:r>
          </w:p>
        </w:tc>
        <w:tc>
          <w:tcPr>
            <w:tcW w:w="750" w:type="dxa"/>
            <w:gridSpan w:val="2"/>
            <w:tcBorders>
              <w:top w:val="single" w:sz="4" w:space="0" w:color="auto"/>
              <w:left w:val="nil"/>
              <w:bottom w:val="single" w:sz="4" w:space="0" w:color="auto"/>
              <w:right w:val="single" w:sz="4" w:space="0" w:color="auto"/>
            </w:tcBorders>
            <w:shd w:val="clear" w:color="000000" w:fill="AEAAAA"/>
            <w:noWrap/>
            <w:vAlign w:val="center"/>
            <w:hideMark/>
          </w:tcPr>
          <w:p w:rsidR="00535FFA" w:rsidRPr="009E5E00" w:rsidRDefault="00535FFA" w:rsidP="00535FFA">
            <w:pPr>
              <w:spacing w:after="0"/>
              <w:jc w:val="center"/>
              <w:rPr>
                <w:rFonts w:cs="Arial"/>
                <w:sz w:val="18"/>
                <w:szCs w:val="18"/>
                <w:lang w:eastAsia="es-UY"/>
              </w:rPr>
            </w:pPr>
            <w:r w:rsidRPr="009E5E00">
              <w:rPr>
                <w:rFonts w:cs="Arial"/>
                <w:sz w:val="18"/>
                <w:szCs w:val="18"/>
                <w:lang w:eastAsia="es-UY"/>
              </w:rPr>
              <w:t>2020</w:t>
            </w:r>
          </w:p>
        </w:tc>
        <w:tc>
          <w:tcPr>
            <w:tcW w:w="750" w:type="dxa"/>
            <w:gridSpan w:val="2"/>
            <w:tcBorders>
              <w:top w:val="single" w:sz="4" w:space="0" w:color="auto"/>
              <w:left w:val="nil"/>
              <w:bottom w:val="single" w:sz="4" w:space="0" w:color="auto"/>
              <w:right w:val="single" w:sz="4" w:space="0" w:color="auto"/>
            </w:tcBorders>
            <w:shd w:val="clear" w:color="000000" w:fill="AEAAAA"/>
            <w:noWrap/>
            <w:vAlign w:val="center"/>
            <w:hideMark/>
          </w:tcPr>
          <w:p w:rsidR="00535FFA" w:rsidRPr="009E5E00" w:rsidRDefault="00535FFA" w:rsidP="00535FFA">
            <w:pPr>
              <w:spacing w:after="0"/>
              <w:jc w:val="center"/>
              <w:rPr>
                <w:rFonts w:cs="Arial"/>
                <w:sz w:val="18"/>
                <w:szCs w:val="18"/>
                <w:lang w:eastAsia="es-UY"/>
              </w:rPr>
            </w:pPr>
            <w:r w:rsidRPr="009E5E00">
              <w:rPr>
                <w:rFonts w:cs="Arial"/>
                <w:sz w:val="18"/>
                <w:szCs w:val="18"/>
                <w:lang w:eastAsia="es-UY"/>
              </w:rPr>
              <w:t>2021</w:t>
            </w:r>
          </w:p>
        </w:tc>
        <w:tc>
          <w:tcPr>
            <w:tcW w:w="751" w:type="dxa"/>
            <w:tcBorders>
              <w:top w:val="single" w:sz="4" w:space="0" w:color="auto"/>
              <w:left w:val="nil"/>
              <w:bottom w:val="single" w:sz="4" w:space="0" w:color="auto"/>
              <w:right w:val="single" w:sz="4" w:space="0" w:color="auto"/>
            </w:tcBorders>
            <w:shd w:val="clear" w:color="000000" w:fill="AEAAAA"/>
            <w:noWrap/>
            <w:vAlign w:val="center"/>
            <w:hideMark/>
          </w:tcPr>
          <w:p w:rsidR="00535FFA" w:rsidRPr="009E5E00" w:rsidRDefault="00535FFA" w:rsidP="00535FFA">
            <w:pPr>
              <w:spacing w:after="0"/>
              <w:jc w:val="center"/>
              <w:rPr>
                <w:rFonts w:cs="Arial"/>
                <w:sz w:val="18"/>
                <w:szCs w:val="18"/>
                <w:lang w:eastAsia="es-UY"/>
              </w:rPr>
            </w:pPr>
            <w:r w:rsidRPr="009E5E00">
              <w:rPr>
                <w:rFonts w:cs="Arial"/>
                <w:sz w:val="18"/>
                <w:szCs w:val="18"/>
                <w:lang w:eastAsia="es-UY"/>
              </w:rPr>
              <w:t>Total</w:t>
            </w:r>
          </w:p>
        </w:tc>
        <w:tc>
          <w:tcPr>
            <w:tcW w:w="677" w:type="dxa"/>
            <w:tcBorders>
              <w:top w:val="single" w:sz="4" w:space="0" w:color="auto"/>
              <w:left w:val="nil"/>
              <w:bottom w:val="single" w:sz="4" w:space="0" w:color="auto"/>
              <w:right w:val="single" w:sz="4" w:space="0" w:color="auto"/>
            </w:tcBorders>
            <w:shd w:val="clear" w:color="000000" w:fill="AEAAAA"/>
            <w:noWrap/>
            <w:vAlign w:val="center"/>
            <w:hideMark/>
          </w:tcPr>
          <w:p w:rsidR="00535FFA" w:rsidRPr="009E5E00" w:rsidRDefault="00535FFA" w:rsidP="00535FFA">
            <w:pPr>
              <w:spacing w:after="0"/>
              <w:jc w:val="center"/>
              <w:rPr>
                <w:rFonts w:cs="Arial"/>
                <w:sz w:val="18"/>
                <w:szCs w:val="18"/>
                <w:lang w:eastAsia="es-UY"/>
              </w:rPr>
            </w:pPr>
            <w:r w:rsidRPr="009E5E00">
              <w:rPr>
                <w:rFonts w:cs="Arial"/>
                <w:sz w:val="18"/>
                <w:szCs w:val="18"/>
                <w:lang w:eastAsia="es-UY"/>
              </w:rPr>
              <w:t>%</w:t>
            </w:r>
          </w:p>
        </w:tc>
      </w:tr>
      <w:tr w:rsidR="00535FFA" w:rsidRPr="009E5E00" w:rsidTr="00535FFA">
        <w:trPr>
          <w:trHeight w:val="240"/>
          <w:jc w:val="center"/>
        </w:trPr>
        <w:tc>
          <w:tcPr>
            <w:tcW w:w="3490" w:type="dxa"/>
            <w:tcBorders>
              <w:top w:val="nil"/>
              <w:left w:val="single" w:sz="4" w:space="0" w:color="auto"/>
              <w:bottom w:val="single" w:sz="4" w:space="0" w:color="auto"/>
              <w:right w:val="single" w:sz="4" w:space="0" w:color="auto"/>
            </w:tcBorders>
            <w:shd w:val="clear" w:color="000000" w:fill="B4C6E7"/>
            <w:noWrap/>
            <w:vAlign w:val="center"/>
            <w:hideMark/>
          </w:tcPr>
          <w:p w:rsidR="00535FFA" w:rsidRPr="009E5E00" w:rsidRDefault="00535FFA" w:rsidP="00535FFA">
            <w:pPr>
              <w:spacing w:after="0"/>
              <w:jc w:val="left"/>
              <w:rPr>
                <w:rFonts w:cs="Arial"/>
                <w:b/>
                <w:bCs/>
                <w:sz w:val="18"/>
                <w:szCs w:val="18"/>
                <w:lang w:eastAsia="es-UY"/>
              </w:rPr>
            </w:pPr>
            <w:r w:rsidRPr="009E5E00">
              <w:rPr>
                <w:rFonts w:cs="Arial"/>
                <w:b/>
                <w:bCs/>
                <w:sz w:val="18"/>
                <w:szCs w:val="18"/>
                <w:lang w:eastAsia="es-UY"/>
              </w:rPr>
              <w:t>Componente 1: Mejora de la calidad educativa.</w:t>
            </w:r>
          </w:p>
        </w:tc>
        <w:tc>
          <w:tcPr>
            <w:tcW w:w="75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0.93 </w:t>
            </w:r>
          </w:p>
        </w:tc>
        <w:tc>
          <w:tcPr>
            <w:tcW w:w="750" w:type="dxa"/>
            <w:gridSpan w:val="2"/>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1.09 </w:t>
            </w:r>
          </w:p>
        </w:tc>
        <w:tc>
          <w:tcPr>
            <w:tcW w:w="750" w:type="dxa"/>
            <w:gridSpan w:val="2"/>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0.85 </w:t>
            </w:r>
          </w:p>
        </w:tc>
        <w:tc>
          <w:tcPr>
            <w:tcW w:w="750" w:type="dxa"/>
            <w:gridSpan w:val="2"/>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0.77 </w:t>
            </w:r>
          </w:p>
        </w:tc>
        <w:tc>
          <w:tcPr>
            <w:tcW w:w="750" w:type="dxa"/>
            <w:gridSpan w:val="2"/>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0.83 </w:t>
            </w:r>
          </w:p>
        </w:tc>
        <w:tc>
          <w:tcPr>
            <w:tcW w:w="751"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4.46 </w:t>
            </w:r>
          </w:p>
        </w:tc>
        <w:tc>
          <w:tcPr>
            <w:tcW w:w="677"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535FFA">
            <w:pPr>
              <w:spacing w:after="0"/>
              <w:jc w:val="center"/>
              <w:rPr>
                <w:rFonts w:cs="Arial"/>
                <w:b/>
                <w:bCs/>
                <w:sz w:val="18"/>
                <w:szCs w:val="18"/>
                <w:lang w:eastAsia="es-UY"/>
              </w:rPr>
            </w:pPr>
            <w:r w:rsidRPr="009E5E00">
              <w:rPr>
                <w:rFonts w:cs="Arial"/>
                <w:b/>
                <w:bCs/>
                <w:sz w:val="18"/>
                <w:szCs w:val="18"/>
                <w:lang w:eastAsia="es-UY"/>
              </w:rPr>
              <w:t>6.0%</w:t>
            </w:r>
          </w:p>
        </w:tc>
      </w:tr>
      <w:tr w:rsidR="00535FFA" w:rsidRPr="009E5E00" w:rsidTr="00535FFA">
        <w:trPr>
          <w:trHeight w:val="240"/>
          <w:jc w:val="center"/>
        </w:trPr>
        <w:tc>
          <w:tcPr>
            <w:tcW w:w="349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535FFA">
            <w:pPr>
              <w:spacing w:after="0"/>
              <w:jc w:val="left"/>
              <w:rPr>
                <w:rFonts w:cs="Arial"/>
                <w:sz w:val="18"/>
                <w:szCs w:val="18"/>
                <w:lang w:eastAsia="es-UY"/>
              </w:rPr>
            </w:pPr>
            <w:r w:rsidRPr="009E5E00">
              <w:rPr>
                <w:rFonts w:cs="Arial"/>
                <w:sz w:val="18"/>
                <w:szCs w:val="18"/>
                <w:lang w:eastAsia="es-UY"/>
              </w:rPr>
              <w:t>1.1</w:t>
            </w:r>
          </w:p>
        </w:tc>
        <w:tc>
          <w:tcPr>
            <w:tcW w:w="75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0.46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0.51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0.12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 </w:t>
            </w:r>
          </w:p>
        </w:tc>
        <w:tc>
          <w:tcPr>
            <w:tcW w:w="751"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1.10 </w:t>
            </w:r>
          </w:p>
        </w:tc>
        <w:tc>
          <w:tcPr>
            <w:tcW w:w="677"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535FFA">
            <w:pPr>
              <w:spacing w:after="0"/>
              <w:jc w:val="center"/>
              <w:rPr>
                <w:rFonts w:cs="Arial"/>
                <w:i/>
                <w:iCs/>
                <w:sz w:val="18"/>
                <w:szCs w:val="18"/>
                <w:lang w:eastAsia="es-UY"/>
              </w:rPr>
            </w:pPr>
          </w:p>
        </w:tc>
      </w:tr>
      <w:tr w:rsidR="00535FFA" w:rsidRPr="009E5E00" w:rsidTr="00535FFA">
        <w:trPr>
          <w:trHeight w:val="240"/>
          <w:jc w:val="center"/>
        </w:trPr>
        <w:tc>
          <w:tcPr>
            <w:tcW w:w="349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535FFA">
            <w:pPr>
              <w:spacing w:after="0"/>
              <w:jc w:val="left"/>
              <w:rPr>
                <w:rFonts w:cs="Arial"/>
                <w:sz w:val="18"/>
                <w:szCs w:val="18"/>
                <w:lang w:eastAsia="es-UY"/>
              </w:rPr>
            </w:pPr>
            <w:r w:rsidRPr="009E5E00">
              <w:rPr>
                <w:rFonts w:cs="Arial"/>
                <w:sz w:val="18"/>
                <w:szCs w:val="18"/>
                <w:lang w:eastAsia="es-UY"/>
              </w:rPr>
              <w:t>1.2</w:t>
            </w:r>
          </w:p>
        </w:tc>
        <w:tc>
          <w:tcPr>
            <w:tcW w:w="75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0.37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0.44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0.51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0.48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0.45 </w:t>
            </w:r>
          </w:p>
        </w:tc>
        <w:tc>
          <w:tcPr>
            <w:tcW w:w="751"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2.24 </w:t>
            </w:r>
          </w:p>
        </w:tc>
        <w:tc>
          <w:tcPr>
            <w:tcW w:w="677"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535FFA">
            <w:pPr>
              <w:spacing w:after="0"/>
              <w:jc w:val="center"/>
              <w:rPr>
                <w:rFonts w:cs="Arial"/>
                <w:i/>
                <w:iCs/>
                <w:sz w:val="18"/>
                <w:szCs w:val="18"/>
                <w:lang w:eastAsia="es-UY"/>
              </w:rPr>
            </w:pPr>
          </w:p>
        </w:tc>
      </w:tr>
      <w:tr w:rsidR="00535FFA" w:rsidRPr="009E5E00" w:rsidTr="00535FFA">
        <w:trPr>
          <w:trHeight w:val="240"/>
          <w:jc w:val="center"/>
        </w:trPr>
        <w:tc>
          <w:tcPr>
            <w:tcW w:w="349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535FFA">
            <w:pPr>
              <w:spacing w:after="0"/>
              <w:jc w:val="left"/>
              <w:rPr>
                <w:rFonts w:cs="Arial"/>
                <w:sz w:val="18"/>
                <w:szCs w:val="18"/>
                <w:lang w:eastAsia="es-UY"/>
              </w:rPr>
            </w:pPr>
            <w:r w:rsidRPr="009E5E00">
              <w:rPr>
                <w:rFonts w:cs="Arial"/>
                <w:sz w:val="18"/>
                <w:szCs w:val="18"/>
                <w:lang w:eastAsia="es-UY"/>
              </w:rPr>
              <w:t>1.3</w:t>
            </w:r>
          </w:p>
        </w:tc>
        <w:tc>
          <w:tcPr>
            <w:tcW w:w="75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0.09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0.14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0.22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0.29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0.38 </w:t>
            </w:r>
          </w:p>
        </w:tc>
        <w:tc>
          <w:tcPr>
            <w:tcW w:w="751"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1.12 </w:t>
            </w:r>
          </w:p>
        </w:tc>
        <w:tc>
          <w:tcPr>
            <w:tcW w:w="677"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535FFA">
            <w:pPr>
              <w:spacing w:after="0"/>
              <w:jc w:val="center"/>
              <w:rPr>
                <w:rFonts w:cs="Arial"/>
                <w:i/>
                <w:iCs/>
                <w:sz w:val="18"/>
                <w:szCs w:val="18"/>
                <w:lang w:eastAsia="es-UY"/>
              </w:rPr>
            </w:pPr>
          </w:p>
        </w:tc>
      </w:tr>
      <w:tr w:rsidR="00535FFA" w:rsidRPr="009E5E00" w:rsidTr="00535FFA">
        <w:trPr>
          <w:trHeight w:val="240"/>
          <w:jc w:val="center"/>
        </w:trPr>
        <w:tc>
          <w:tcPr>
            <w:tcW w:w="3490" w:type="dxa"/>
            <w:tcBorders>
              <w:top w:val="nil"/>
              <w:left w:val="single" w:sz="4" w:space="0" w:color="auto"/>
              <w:bottom w:val="single" w:sz="4" w:space="0" w:color="auto"/>
              <w:right w:val="single" w:sz="4" w:space="0" w:color="auto"/>
            </w:tcBorders>
            <w:shd w:val="clear" w:color="000000" w:fill="B4C6E7"/>
            <w:noWrap/>
            <w:vAlign w:val="center"/>
            <w:hideMark/>
          </w:tcPr>
          <w:p w:rsidR="00535FFA" w:rsidRPr="009E5E00" w:rsidRDefault="00535FFA" w:rsidP="00535FFA">
            <w:pPr>
              <w:spacing w:after="0"/>
              <w:jc w:val="left"/>
              <w:rPr>
                <w:rFonts w:cs="Arial"/>
                <w:b/>
                <w:bCs/>
                <w:sz w:val="18"/>
                <w:szCs w:val="18"/>
                <w:lang w:eastAsia="es-UY"/>
              </w:rPr>
            </w:pPr>
            <w:r w:rsidRPr="009E5E00">
              <w:rPr>
                <w:rFonts w:cs="Arial"/>
                <w:b/>
                <w:bCs/>
                <w:sz w:val="18"/>
                <w:szCs w:val="18"/>
                <w:lang w:eastAsia="es-UY"/>
              </w:rPr>
              <w:t>Componente 2: Formación en educación.</w:t>
            </w:r>
          </w:p>
        </w:tc>
        <w:tc>
          <w:tcPr>
            <w:tcW w:w="75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0.51 </w:t>
            </w:r>
          </w:p>
        </w:tc>
        <w:tc>
          <w:tcPr>
            <w:tcW w:w="750" w:type="dxa"/>
            <w:gridSpan w:val="2"/>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0.55 </w:t>
            </w:r>
          </w:p>
        </w:tc>
        <w:tc>
          <w:tcPr>
            <w:tcW w:w="750" w:type="dxa"/>
            <w:gridSpan w:val="2"/>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0.61 </w:t>
            </w:r>
          </w:p>
        </w:tc>
        <w:tc>
          <w:tcPr>
            <w:tcW w:w="750" w:type="dxa"/>
            <w:gridSpan w:val="2"/>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0.79 </w:t>
            </w:r>
          </w:p>
        </w:tc>
        <w:tc>
          <w:tcPr>
            <w:tcW w:w="750" w:type="dxa"/>
            <w:gridSpan w:val="2"/>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0.89 </w:t>
            </w:r>
          </w:p>
        </w:tc>
        <w:tc>
          <w:tcPr>
            <w:tcW w:w="751"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3.33 </w:t>
            </w:r>
          </w:p>
        </w:tc>
        <w:tc>
          <w:tcPr>
            <w:tcW w:w="677"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535FFA">
            <w:pPr>
              <w:spacing w:after="0"/>
              <w:jc w:val="center"/>
              <w:rPr>
                <w:rFonts w:cs="Arial"/>
                <w:b/>
                <w:bCs/>
                <w:sz w:val="18"/>
                <w:szCs w:val="18"/>
                <w:lang w:eastAsia="es-UY"/>
              </w:rPr>
            </w:pPr>
            <w:r w:rsidRPr="009E5E00">
              <w:rPr>
                <w:rFonts w:cs="Arial"/>
                <w:b/>
                <w:bCs/>
                <w:sz w:val="18"/>
                <w:szCs w:val="18"/>
                <w:lang w:eastAsia="es-UY"/>
              </w:rPr>
              <w:t>4.5%</w:t>
            </w:r>
          </w:p>
        </w:tc>
      </w:tr>
      <w:tr w:rsidR="00535FFA" w:rsidRPr="009E5E00" w:rsidTr="00535FFA">
        <w:trPr>
          <w:trHeight w:val="240"/>
          <w:jc w:val="center"/>
        </w:trPr>
        <w:tc>
          <w:tcPr>
            <w:tcW w:w="349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535FFA">
            <w:pPr>
              <w:spacing w:after="0"/>
              <w:jc w:val="left"/>
              <w:rPr>
                <w:rFonts w:cs="Arial"/>
                <w:sz w:val="18"/>
                <w:szCs w:val="18"/>
                <w:lang w:eastAsia="es-UY"/>
              </w:rPr>
            </w:pPr>
            <w:r w:rsidRPr="009E5E00">
              <w:rPr>
                <w:rFonts w:cs="Arial"/>
                <w:sz w:val="18"/>
                <w:szCs w:val="18"/>
                <w:lang w:eastAsia="es-UY"/>
              </w:rPr>
              <w:t>2.1</w:t>
            </w:r>
          </w:p>
        </w:tc>
        <w:tc>
          <w:tcPr>
            <w:tcW w:w="75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0.32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0.21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0.24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0.23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0.29 </w:t>
            </w:r>
          </w:p>
        </w:tc>
        <w:tc>
          <w:tcPr>
            <w:tcW w:w="751"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1.29 </w:t>
            </w:r>
          </w:p>
        </w:tc>
        <w:tc>
          <w:tcPr>
            <w:tcW w:w="677"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535FFA">
            <w:pPr>
              <w:spacing w:after="0"/>
              <w:jc w:val="center"/>
              <w:rPr>
                <w:rFonts w:cs="Arial"/>
                <w:i/>
                <w:iCs/>
                <w:sz w:val="18"/>
                <w:szCs w:val="18"/>
                <w:lang w:eastAsia="es-UY"/>
              </w:rPr>
            </w:pPr>
          </w:p>
        </w:tc>
      </w:tr>
      <w:tr w:rsidR="00535FFA" w:rsidRPr="009E5E00" w:rsidTr="00535FFA">
        <w:trPr>
          <w:trHeight w:val="240"/>
          <w:jc w:val="center"/>
        </w:trPr>
        <w:tc>
          <w:tcPr>
            <w:tcW w:w="349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535FFA">
            <w:pPr>
              <w:spacing w:after="0"/>
              <w:jc w:val="left"/>
              <w:rPr>
                <w:rFonts w:cs="Arial"/>
                <w:sz w:val="18"/>
                <w:szCs w:val="18"/>
                <w:lang w:eastAsia="es-UY"/>
              </w:rPr>
            </w:pPr>
            <w:r w:rsidRPr="009E5E00">
              <w:rPr>
                <w:rFonts w:cs="Arial"/>
                <w:sz w:val="18"/>
                <w:szCs w:val="18"/>
                <w:lang w:eastAsia="es-UY"/>
              </w:rPr>
              <w:t>2.2</w:t>
            </w:r>
          </w:p>
        </w:tc>
        <w:tc>
          <w:tcPr>
            <w:tcW w:w="75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0.16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0.11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0.09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0.07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0.08 </w:t>
            </w:r>
          </w:p>
        </w:tc>
        <w:tc>
          <w:tcPr>
            <w:tcW w:w="751"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0.51 </w:t>
            </w:r>
          </w:p>
        </w:tc>
        <w:tc>
          <w:tcPr>
            <w:tcW w:w="677"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535FFA">
            <w:pPr>
              <w:spacing w:after="0"/>
              <w:jc w:val="center"/>
              <w:rPr>
                <w:rFonts w:cs="Arial"/>
                <w:i/>
                <w:iCs/>
                <w:sz w:val="18"/>
                <w:szCs w:val="18"/>
                <w:lang w:eastAsia="es-UY"/>
              </w:rPr>
            </w:pPr>
          </w:p>
        </w:tc>
      </w:tr>
      <w:tr w:rsidR="00535FFA" w:rsidRPr="009E5E00" w:rsidTr="00535FFA">
        <w:trPr>
          <w:trHeight w:val="240"/>
          <w:jc w:val="center"/>
        </w:trPr>
        <w:tc>
          <w:tcPr>
            <w:tcW w:w="349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535FFA">
            <w:pPr>
              <w:spacing w:after="0"/>
              <w:jc w:val="left"/>
              <w:rPr>
                <w:rFonts w:cs="Arial"/>
                <w:sz w:val="18"/>
                <w:szCs w:val="18"/>
                <w:lang w:eastAsia="es-UY"/>
              </w:rPr>
            </w:pPr>
            <w:r w:rsidRPr="009E5E00">
              <w:rPr>
                <w:rFonts w:cs="Arial"/>
                <w:sz w:val="18"/>
                <w:szCs w:val="18"/>
                <w:lang w:eastAsia="es-UY"/>
              </w:rPr>
              <w:t>2.3</w:t>
            </w:r>
          </w:p>
        </w:tc>
        <w:tc>
          <w:tcPr>
            <w:tcW w:w="75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0.03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0.23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0.27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0.48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0.52 </w:t>
            </w:r>
          </w:p>
        </w:tc>
        <w:tc>
          <w:tcPr>
            <w:tcW w:w="751"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1.52 </w:t>
            </w:r>
          </w:p>
        </w:tc>
        <w:tc>
          <w:tcPr>
            <w:tcW w:w="677"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535FFA">
            <w:pPr>
              <w:spacing w:after="0"/>
              <w:jc w:val="center"/>
              <w:rPr>
                <w:rFonts w:cs="Arial"/>
                <w:i/>
                <w:iCs/>
                <w:sz w:val="18"/>
                <w:szCs w:val="18"/>
                <w:lang w:eastAsia="es-UY"/>
              </w:rPr>
            </w:pPr>
          </w:p>
        </w:tc>
      </w:tr>
      <w:tr w:rsidR="00535FFA" w:rsidRPr="009E5E00" w:rsidTr="00535FFA">
        <w:trPr>
          <w:trHeight w:val="240"/>
          <w:jc w:val="center"/>
        </w:trPr>
        <w:tc>
          <w:tcPr>
            <w:tcW w:w="3490" w:type="dxa"/>
            <w:tcBorders>
              <w:top w:val="nil"/>
              <w:left w:val="single" w:sz="4" w:space="0" w:color="auto"/>
              <w:bottom w:val="single" w:sz="4" w:space="0" w:color="auto"/>
              <w:right w:val="single" w:sz="4" w:space="0" w:color="auto"/>
            </w:tcBorders>
            <w:shd w:val="clear" w:color="000000" w:fill="B4C6E7"/>
            <w:noWrap/>
            <w:vAlign w:val="center"/>
            <w:hideMark/>
          </w:tcPr>
          <w:p w:rsidR="00535FFA" w:rsidRPr="009E5E00" w:rsidRDefault="00535FFA" w:rsidP="00535FFA">
            <w:pPr>
              <w:spacing w:after="0"/>
              <w:jc w:val="left"/>
              <w:rPr>
                <w:rFonts w:cs="Arial"/>
                <w:b/>
                <w:bCs/>
                <w:sz w:val="18"/>
                <w:szCs w:val="18"/>
                <w:lang w:eastAsia="es-UY"/>
              </w:rPr>
            </w:pPr>
            <w:r w:rsidRPr="009E5E00">
              <w:rPr>
                <w:rFonts w:cs="Arial"/>
                <w:b/>
                <w:bCs/>
                <w:sz w:val="18"/>
                <w:szCs w:val="18"/>
                <w:lang w:eastAsia="es-UY"/>
              </w:rPr>
              <w:t>Componente 3: Integración territorial y gestión para la mejora educativa.</w:t>
            </w:r>
          </w:p>
        </w:tc>
        <w:tc>
          <w:tcPr>
            <w:tcW w:w="75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2.64 </w:t>
            </w:r>
          </w:p>
        </w:tc>
        <w:tc>
          <w:tcPr>
            <w:tcW w:w="750" w:type="dxa"/>
            <w:gridSpan w:val="2"/>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2.80 </w:t>
            </w:r>
          </w:p>
        </w:tc>
        <w:tc>
          <w:tcPr>
            <w:tcW w:w="750" w:type="dxa"/>
            <w:gridSpan w:val="2"/>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2.43 </w:t>
            </w:r>
          </w:p>
        </w:tc>
        <w:tc>
          <w:tcPr>
            <w:tcW w:w="750" w:type="dxa"/>
            <w:gridSpan w:val="2"/>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2.35 </w:t>
            </w:r>
          </w:p>
        </w:tc>
        <w:tc>
          <w:tcPr>
            <w:tcW w:w="750" w:type="dxa"/>
            <w:gridSpan w:val="2"/>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2.43 </w:t>
            </w:r>
          </w:p>
        </w:tc>
        <w:tc>
          <w:tcPr>
            <w:tcW w:w="751"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12.65 </w:t>
            </w:r>
          </w:p>
        </w:tc>
        <w:tc>
          <w:tcPr>
            <w:tcW w:w="677"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535FFA">
            <w:pPr>
              <w:spacing w:after="0"/>
              <w:jc w:val="center"/>
              <w:rPr>
                <w:rFonts w:cs="Arial"/>
                <w:b/>
                <w:bCs/>
                <w:sz w:val="18"/>
                <w:szCs w:val="18"/>
                <w:lang w:eastAsia="es-UY"/>
              </w:rPr>
            </w:pPr>
            <w:r w:rsidRPr="009E5E00">
              <w:rPr>
                <w:rFonts w:cs="Arial"/>
                <w:b/>
                <w:bCs/>
                <w:sz w:val="18"/>
                <w:szCs w:val="18"/>
                <w:lang w:eastAsia="es-UY"/>
              </w:rPr>
              <w:t>16.9%</w:t>
            </w:r>
          </w:p>
        </w:tc>
      </w:tr>
      <w:tr w:rsidR="00535FFA" w:rsidRPr="009E5E00" w:rsidTr="00535FFA">
        <w:trPr>
          <w:trHeight w:val="240"/>
          <w:jc w:val="center"/>
        </w:trPr>
        <w:tc>
          <w:tcPr>
            <w:tcW w:w="349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535FFA">
            <w:pPr>
              <w:spacing w:after="0"/>
              <w:jc w:val="left"/>
              <w:rPr>
                <w:rFonts w:cs="Arial"/>
                <w:sz w:val="18"/>
                <w:szCs w:val="18"/>
                <w:lang w:eastAsia="es-UY"/>
              </w:rPr>
            </w:pPr>
            <w:r w:rsidRPr="009E5E00">
              <w:rPr>
                <w:rFonts w:cs="Arial"/>
                <w:sz w:val="18"/>
                <w:szCs w:val="18"/>
                <w:lang w:eastAsia="es-UY"/>
              </w:rPr>
              <w:t>3.1</w:t>
            </w:r>
          </w:p>
        </w:tc>
        <w:tc>
          <w:tcPr>
            <w:tcW w:w="75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1.09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0.65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0.70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0.74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0.79 </w:t>
            </w:r>
          </w:p>
        </w:tc>
        <w:tc>
          <w:tcPr>
            <w:tcW w:w="751"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3.97 </w:t>
            </w:r>
          </w:p>
        </w:tc>
        <w:tc>
          <w:tcPr>
            <w:tcW w:w="677"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535FFA">
            <w:pPr>
              <w:spacing w:after="0"/>
              <w:jc w:val="center"/>
              <w:rPr>
                <w:rFonts w:cs="Arial"/>
                <w:i/>
                <w:iCs/>
                <w:sz w:val="18"/>
                <w:szCs w:val="18"/>
                <w:lang w:eastAsia="es-UY"/>
              </w:rPr>
            </w:pPr>
          </w:p>
        </w:tc>
      </w:tr>
      <w:tr w:rsidR="00535FFA" w:rsidRPr="009E5E00" w:rsidTr="00535FFA">
        <w:trPr>
          <w:trHeight w:val="240"/>
          <w:jc w:val="center"/>
        </w:trPr>
        <w:tc>
          <w:tcPr>
            <w:tcW w:w="349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535FFA">
            <w:pPr>
              <w:spacing w:after="0"/>
              <w:jc w:val="left"/>
              <w:rPr>
                <w:rFonts w:cs="Arial"/>
                <w:sz w:val="18"/>
                <w:szCs w:val="18"/>
                <w:lang w:eastAsia="es-UY"/>
              </w:rPr>
            </w:pPr>
            <w:r w:rsidRPr="009E5E00">
              <w:rPr>
                <w:rFonts w:cs="Arial"/>
                <w:sz w:val="18"/>
                <w:szCs w:val="18"/>
                <w:lang w:eastAsia="es-UY"/>
              </w:rPr>
              <w:t>3.2</w:t>
            </w:r>
          </w:p>
        </w:tc>
        <w:tc>
          <w:tcPr>
            <w:tcW w:w="75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0.46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0.69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0.65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0.68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0.69 </w:t>
            </w:r>
          </w:p>
        </w:tc>
        <w:tc>
          <w:tcPr>
            <w:tcW w:w="751"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3.17 </w:t>
            </w:r>
          </w:p>
        </w:tc>
        <w:tc>
          <w:tcPr>
            <w:tcW w:w="677"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535FFA">
            <w:pPr>
              <w:spacing w:after="0"/>
              <w:jc w:val="center"/>
              <w:rPr>
                <w:rFonts w:cs="Arial"/>
                <w:i/>
                <w:iCs/>
                <w:sz w:val="18"/>
                <w:szCs w:val="18"/>
                <w:lang w:eastAsia="es-UY"/>
              </w:rPr>
            </w:pPr>
          </w:p>
        </w:tc>
      </w:tr>
      <w:tr w:rsidR="00535FFA" w:rsidRPr="009E5E00" w:rsidTr="00535FFA">
        <w:trPr>
          <w:trHeight w:val="240"/>
          <w:jc w:val="center"/>
        </w:trPr>
        <w:tc>
          <w:tcPr>
            <w:tcW w:w="349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535FFA">
            <w:pPr>
              <w:spacing w:after="0"/>
              <w:jc w:val="left"/>
              <w:rPr>
                <w:rFonts w:cs="Arial"/>
                <w:sz w:val="18"/>
                <w:szCs w:val="18"/>
                <w:lang w:eastAsia="es-UY"/>
              </w:rPr>
            </w:pPr>
            <w:r w:rsidRPr="009E5E00">
              <w:rPr>
                <w:rFonts w:cs="Arial"/>
                <w:sz w:val="18"/>
                <w:szCs w:val="18"/>
                <w:lang w:eastAsia="es-UY"/>
              </w:rPr>
              <w:t>3.3</w:t>
            </w:r>
          </w:p>
        </w:tc>
        <w:tc>
          <w:tcPr>
            <w:tcW w:w="75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1.09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1.45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1.08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0.93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0.96 </w:t>
            </w:r>
          </w:p>
        </w:tc>
        <w:tc>
          <w:tcPr>
            <w:tcW w:w="751"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5.51 </w:t>
            </w:r>
          </w:p>
        </w:tc>
        <w:tc>
          <w:tcPr>
            <w:tcW w:w="677"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535FFA">
            <w:pPr>
              <w:spacing w:after="0"/>
              <w:jc w:val="center"/>
              <w:rPr>
                <w:rFonts w:cs="Arial"/>
                <w:i/>
                <w:iCs/>
                <w:sz w:val="18"/>
                <w:szCs w:val="18"/>
                <w:lang w:eastAsia="es-UY"/>
              </w:rPr>
            </w:pPr>
          </w:p>
        </w:tc>
      </w:tr>
      <w:tr w:rsidR="00535FFA" w:rsidRPr="009E5E00" w:rsidTr="00535FFA">
        <w:trPr>
          <w:trHeight w:val="240"/>
          <w:jc w:val="center"/>
        </w:trPr>
        <w:tc>
          <w:tcPr>
            <w:tcW w:w="3490" w:type="dxa"/>
            <w:tcBorders>
              <w:top w:val="nil"/>
              <w:left w:val="single" w:sz="4" w:space="0" w:color="auto"/>
              <w:bottom w:val="single" w:sz="4" w:space="0" w:color="auto"/>
              <w:right w:val="single" w:sz="4" w:space="0" w:color="auto"/>
            </w:tcBorders>
            <w:shd w:val="clear" w:color="000000" w:fill="B4C6E7"/>
            <w:noWrap/>
            <w:vAlign w:val="center"/>
            <w:hideMark/>
          </w:tcPr>
          <w:p w:rsidR="00535FFA" w:rsidRPr="009E5E00" w:rsidRDefault="00535FFA" w:rsidP="00535FFA">
            <w:pPr>
              <w:spacing w:after="0"/>
              <w:jc w:val="left"/>
              <w:rPr>
                <w:rFonts w:cs="Arial"/>
                <w:b/>
                <w:bCs/>
                <w:sz w:val="18"/>
                <w:szCs w:val="18"/>
                <w:lang w:eastAsia="es-UY"/>
              </w:rPr>
            </w:pPr>
            <w:r w:rsidRPr="009E5E00">
              <w:rPr>
                <w:rFonts w:cs="Arial"/>
                <w:b/>
                <w:bCs/>
                <w:sz w:val="18"/>
                <w:szCs w:val="18"/>
                <w:lang w:eastAsia="es-UY"/>
              </w:rPr>
              <w:t xml:space="preserve">Componente 4: Infraestructura para la mejora educativa. </w:t>
            </w:r>
          </w:p>
        </w:tc>
        <w:tc>
          <w:tcPr>
            <w:tcW w:w="75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11.57 </w:t>
            </w:r>
          </w:p>
        </w:tc>
        <w:tc>
          <w:tcPr>
            <w:tcW w:w="750" w:type="dxa"/>
            <w:gridSpan w:val="2"/>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6.51 </w:t>
            </w:r>
          </w:p>
        </w:tc>
        <w:tc>
          <w:tcPr>
            <w:tcW w:w="750" w:type="dxa"/>
            <w:gridSpan w:val="2"/>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10.90 </w:t>
            </w:r>
          </w:p>
        </w:tc>
        <w:tc>
          <w:tcPr>
            <w:tcW w:w="750" w:type="dxa"/>
            <w:gridSpan w:val="2"/>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10.17 </w:t>
            </w:r>
          </w:p>
        </w:tc>
        <w:tc>
          <w:tcPr>
            <w:tcW w:w="750" w:type="dxa"/>
            <w:gridSpan w:val="2"/>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10.15 </w:t>
            </w:r>
          </w:p>
        </w:tc>
        <w:tc>
          <w:tcPr>
            <w:tcW w:w="751"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49.29 </w:t>
            </w:r>
          </w:p>
        </w:tc>
        <w:tc>
          <w:tcPr>
            <w:tcW w:w="677"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535FFA">
            <w:pPr>
              <w:spacing w:after="0"/>
              <w:jc w:val="center"/>
              <w:rPr>
                <w:rFonts w:cs="Arial"/>
                <w:b/>
                <w:bCs/>
                <w:sz w:val="18"/>
                <w:szCs w:val="18"/>
                <w:lang w:eastAsia="es-UY"/>
              </w:rPr>
            </w:pPr>
            <w:r w:rsidRPr="009E5E00">
              <w:rPr>
                <w:rFonts w:cs="Arial"/>
                <w:b/>
                <w:bCs/>
                <w:sz w:val="18"/>
                <w:szCs w:val="18"/>
                <w:lang w:eastAsia="es-UY"/>
              </w:rPr>
              <w:t>66.0%</w:t>
            </w:r>
          </w:p>
        </w:tc>
      </w:tr>
      <w:tr w:rsidR="00535FFA" w:rsidRPr="009E5E00" w:rsidTr="00535FFA">
        <w:trPr>
          <w:trHeight w:val="240"/>
          <w:jc w:val="center"/>
        </w:trPr>
        <w:tc>
          <w:tcPr>
            <w:tcW w:w="349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535FFA">
            <w:pPr>
              <w:spacing w:after="0"/>
              <w:jc w:val="left"/>
              <w:rPr>
                <w:rFonts w:cs="Arial"/>
                <w:sz w:val="18"/>
                <w:szCs w:val="18"/>
                <w:lang w:eastAsia="es-UY"/>
              </w:rPr>
            </w:pPr>
            <w:r w:rsidRPr="009E5E00">
              <w:rPr>
                <w:rFonts w:cs="Arial"/>
                <w:sz w:val="18"/>
                <w:szCs w:val="18"/>
                <w:lang w:eastAsia="es-UY"/>
              </w:rPr>
              <w:t>4.1</w:t>
            </w:r>
          </w:p>
        </w:tc>
        <w:tc>
          <w:tcPr>
            <w:tcW w:w="75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7.74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5.16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7.50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5.85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6.17 </w:t>
            </w:r>
          </w:p>
        </w:tc>
        <w:tc>
          <w:tcPr>
            <w:tcW w:w="751"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32.43 </w:t>
            </w:r>
          </w:p>
        </w:tc>
        <w:tc>
          <w:tcPr>
            <w:tcW w:w="677"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535FFA">
            <w:pPr>
              <w:spacing w:after="0"/>
              <w:jc w:val="center"/>
              <w:rPr>
                <w:rFonts w:cs="Arial"/>
                <w:i/>
                <w:iCs/>
                <w:sz w:val="18"/>
                <w:szCs w:val="18"/>
                <w:lang w:eastAsia="es-UY"/>
              </w:rPr>
            </w:pPr>
          </w:p>
        </w:tc>
      </w:tr>
      <w:tr w:rsidR="00535FFA" w:rsidRPr="009E5E00" w:rsidTr="00535FFA">
        <w:trPr>
          <w:trHeight w:val="240"/>
          <w:jc w:val="center"/>
        </w:trPr>
        <w:tc>
          <w:tcPr>
            <w:tcW w:w="349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535FFA">
            <w:pPr>
              <w:spacing w:after="0"/>
              <w:jc w:val="left"/>
              <w:rPr>
                <w:rFonts w:cs="Arial"/>
                <w:sz w:val="18"/>
                <w:szCs w:val="18"/>
                <w:lang w:eastAsia="es-UY"/>
              </w:rPr>
            </w:pPr>
            <w:r w:rsidRPr="009E5E00">
              <w:rPr>
                <w:rFonts w:cs="Arial"/>
                <w:sz w:val="18"/>
                <w:szCs w:val="18"/>
                <w:lang w:eastAsia="es-UY"/>
              </w:rPr>
              <w:t>4.2</w:t>
            </w:r>
          </w:p>
        </w:tc>
        <w:tc>
          <w:tcPr>
            <w:tcW w:w="75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3.77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0.61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2.34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1.22 </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0.70 </w:t>
            </w:r>
          </w:p>
        </w:tc>
        <w:tc>
          <w:tcPr>
            <w:tcW w:w="751"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8.64 </w:t>
            </w:r>
          </w:p>
        </w:tc>
        <w:tc>
          <w:tcPr>
            <w:tcW w:w="677"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535FFA">
            <w:pPr>
              <w:spacing w:after="0"/>
              <w:jc w:val="center"/>
              <w:rPr>
                <w:rFonts w:cs="Arial"/>
                <w:i/>
                <w:iCs/>
                <w:sz w:val="18"/>
                <w:szCs w:val="18"/>
                <w:lang w:eastAsia="es-UY"/>
              </w:rPr>
            </w:pPr>
          </w:p>
        </w:tc>
      </w:tr>
      <w:tr w:rsidR="00535FFA" w:rsidRPr="009E5E00" w:rsidTr="00535FFA">
        <w:trPr>
          <w:trHeight w:val="240"/>
          <w:jc w:val="center"/>
        </w:trPr>
        <w:tc>
          <w:tcPr>
            <w:tcW w:w="349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535FFA">
            <w:pPr>
              <w:spacing w:after="0"/>
              <w:jc w:val="left"/>
              <w:rPr>
                <w:rFonts w:cs="Arial"/>
                <w:sz w:val="18"/>
                <w:szCs w:val="18"/>
                <w:lang w:eastAsia="es-UY"/>
              </w:rPr>
            </w:pPr>
            <w:r w:rsidRPr="009E5E00">
              <w:rPr>
                <w:rFonts w:cs="Arial"/>
                <w:sz w:val="18"/>
                <w:szCs w:val="18"/>
                <w:lang w:eastAsia="es-UY"/>
              </w:rPr>
              <w:lastRenderedPageBreak/>
              <w:t>4.3</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 </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0.71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1.01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3.05 </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3.23 </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8.00 </w:t>
            </w:r>
          </w:p>
        </w:tc>
        <w:tc>
          <w:tcPr>
            <w:tcW w:w="677"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i/>
                <w:iCs/>
                <w:sz w:val="18"/>
                <w:szCs w:val="18"/>
                <w:lang w:eastAsia="es-UY"/>
              </w:rPr>
            </w:pPr>
            <w:r w:rsidRPr="009E5E00">
              <w:rPr>
                <w:rFonts w:cs="Arial"/>
                <w:i/>
                <w:iCs/>
                <w:sz w:val="18"/>
                <w:szCs w:val="18"/>
                <w:lang w:eastAsia="es-UY"/>
              </w:rPr>
              <w:t> </w:t>
            </w:r>
          </w:p>
        </w:tc>
      </w:tr>
      <w:tr w:rsidR="00535FFA" w:rsidRPr="009E5E00" w:rsidTr="00535FFA">
        <w:trPr>
          <w:trHeight w:val="240"/>
          <w:jc w:val="center"/>
        </w:trPr>
        <w:tc>
          <w:tcPr>
            <w:tcW w:w="349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535FFA">
            <w:pPr>
              <w:spacing w:after="0"/>
              <w:jc w:val="left"/>
              <w:rPr>
                <w:rFonts w:cs="Arial"/>
                <w:sz w:val="18"/>
                <w:szCs w:val="18"/>
                <w:lang w:eastAsia="es-UY"/>
              </w:rPr>
            </w:pPr>
            <w:r w:rsidRPr="009E5E00">
              <w:rPr>
                <w:rFonts w:cs="Arial"/>
                <w:sz w:val="18"/>
                <w:szCs w:val="18"/>
                <w:lang w:eastAsia="es-UY"/>
              </w:rPr>
              <w:t>4.4</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0.05 </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0.04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0.04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0.05 </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0.05 </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0.23 </w:t>
            </w:r>
          </w:p>
        </w:tc>
        <w:tc>
          <w:tcPr>
            <w:tcW w:w="677"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i/>
                <w:iCs/>
                <w:sz w:val="18"/>
                <w:szCs w:val="18"/>
                <w:lang w:eastAsia="es-UY"/>
              </w:rPr>
            </w:pPr>
            <w:r w:rsidRPr="009E5E00">
              <w:rPr>
                <w:rFonts w:cs="Arial"/>
                <w:i/>
                <w:iCs/>
                <w:sz w:val="18"/>
                <w:szCs w:val="18"/>
                <w:lang w:eastAsia="es-UY"/>
              </w:rPr>
              <w:t> </w:t>
            </w:r>
          </w:p>
        </w:tc>
      </w:tr>
      <w:tr w:rsidR="00535FFA" w:rsidRPr="009E5E00" w:rsidTr="00535FFA">
        <w:trPr>
          <w:trHeight w:val="240"/>
          <w:jc w:val="center"/>
        </w:trPr>
        <w:tc>
          <w:tcPr>
            <w:tcW w:w="3490" w:type="dxa"/>
            <w:tcBorders>
              <w:top w:val="nil"/>
              <w:left w:val="single" w:sz="4" w:space="0" w:color="auto"/>
              <w:bottom w:val="single" w:sz="4" w:space="0" w:color="auto"/>
              <w:right w:val="single" w:sz="4" w:space="0" w:color="auto"/>
            </w:tcBorders>
            <w:shd w:val="clear" w:color="000000" w:fill="B4C6E7"/>
            <w:noWrap/>
            <w:vAlign w:val="center"/>
            <w:hideMark/>
          </w:tcPr>
          <w:p w:rsidR="00535FFA" w:rsidRPr="009E5E00" w:rsidRDefault="00535FFA" w:rsidP="00535FFA">
            <w:pPr>
              <w:spacing w:after="0"/>
              <w:jc w:val="left"/>
              <w:rPr>
                <w:rFonts w:cs="Arial"/>
                <w:b/>
                <w:bCs/>
                <w:sz w:val="18"/>
                <w:szCs w:val="18"/>
                <w:lang w:eastAsia="es-UY"/>
              </w:rPr>
            </w:pPr>
            <w:r w:rsidRPr="009E5E00">
              <w:rPr>
                <w:rFonts w:cs="Arial"/>
                <w:b/>
                <w:bCs/>
                <w:sz w:val="18"/>
                <w:szCs w:val="18"/>
                <w:lang w:eastAsia="es-UY"/>
              </w:rPr>
              <w:t>Administración del Programa</w:t>
            </w:r>
          </w:p>
        </w:tc>
        <w:tc>
          <w:tcPr>
            <w:tcW w:w="810" w:type="dxa"/>
            <w:gridSpan w:val="2"/>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0.81 </w:t>
            </w:r>
          </w:p>
        </w:tc>
        <w:tc>
          <w:tcPr>
            <w:tcW w:w="720" w:type="dxa"/>
            <w:gridSpan w:val="2"/>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0.88 </w:t>
            </w:r>
          </w:p>
        </w:tc>
        <w:tc>
          <w:tcPr>
            <w:tcW w:w="72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1.01 </w:t>
            </w:r>
          </w:p>
        </w:tc>
        <w:tc>
          <w:tcPr>
            <w:tcW w:w="720"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1.06 </w:t>
            </w:r>
          </w:p>
        </w:tc>
        <w:tc>
          <w:tcPr>
            <w:tcW w:w="720" w:type="dxa"/>
            <w:gridSpan w:val="2"/>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1.21 </w:t>
            </w:r>
          </w:p>
        </w:tc>
        <w:tc>
          <w:tcPr>
            <w:tcW w:w="811" w:type="dxa"/>
            <w:gridSpan w:val="2"/>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right"/>
              <w:rPr>
                <w:rFonts w:cs="Arial"/>
                <w:b/>
                <w:bCs/>
                <w:sz w:val="18"/>
                <w:szCs w:val="18"/>
                <w:lang w:eastAsia="es-UY"/>
              </w:rPr>
            </w:pPr>
            <w:r w:rsidRPr="009E5E00">
              <w:rPr>
                <w:rFonts w:cs="Arial"/>
                <w:b/>
                <w:bCs/>
                <w:sz w:val="18"/>
                <w:szCs w:val="18"/>
                <w:lang w:eastAsia="es-UY"/>
              </w:rPr>
              <w:t xml:space="preserve"> 4.97 </w:t>
            </w:r>
          </w:p>
        </w:tc>
        <w:tc>
          <w:tcPr>
            <w:tcW w:w="677"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center"/>
              <w:rPr>
                <w:rFonts w:cs="Arial"/>
                <w:b/>
                <w:bCs/>
                <w:sz w:val="18"/>
                <w:szCs w:val="18"/>
                <w:lang w:eastAsia="es-UY"/>
              </w:rPr>
            </w:pPr>
            <w:r w:rsidRPr="009E5E00">
              <w:rPr>
                <w:rFonts w:cs="Arial"/>
                <w:b/>
                <w:bCs/>
                <w:sz w:val="18"/>
                <w:szCs w:val="18"/>
                <w:lang w:eastAsia="es-UY"/>
              </w:rPr>
              <w:t>6.6%</w:t>
            </w:r>
          </w:p>
        </w:tc>
      </w:tr>
      <w:tr w:rsidR="00535FFA" w:rsidRPr="009E5E00" w:rsidTr="00535FFA">
        <w:trPr>
          <w:trHeight w:val="240"/>
          <w:jc w:val="center"/>
        </w:trPr>
        <w:tc>
          <w:tcPr>
            <w:tcW w:w="349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535FFA">
            <w:pPr>
              <w:spacing w:after="0"/>
              <w:jc w:val="left"/>
              <w:rPr>
                <w:rFonts w:cs="Arial"/>
                <w:sz w:val="18"/>
                <w:szCs w:val="18"/>
                <w:lang w:eastAsia="es-UY"/>
              </w:rPr>
            </w:pPr>
            <w:r w:rsidRPr="009E5E00">
              <w:rPr>
                <w:rFonts w:cs="Arial"/>
                <w:sz w:val="18"/>
                <w:szCs w:val="18"/>
                <w:lang w:eastAsia="es-UY"/>
              </w:rPr>
              <w:t>5.1</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0.68 </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0.75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0.82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0.91 </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1.00 </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4.16 </w:t>
            </w:r>
          </w:p>
        </w:tc>
        <w:tc>
          <w:tcPr>
            <w:tcW w:w="677"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i/>
                <w:iCs/>
                <w:sz w:val="18"/>
                <w:szCs w:val="18"/>
                <w:lang w:eastAsia="es-UY"/>
              </w:rPr>
            </w:pPr>
            <w:r w:rsidRPr="009E5E00">
              <w:rPr>
                <w:rFonts w:cs="Arial"/>
                <w:i/>
                <w:iCs/>
                <w:sz w:val="18"/>
                <w:szCs w:val="18"/>
                <w:lang w:eastAsia="es-UY"/>
              </w:rPr>
              <w:t> </w:t>
            </w:r>
          </w:p>
        </w:tc>
      </w:tr>
      <w:tr w:rsidR="00535FFA" w:rsidRPr="009E5E00" w:rsidTr="00535FFA">
        <w:trPr>
          <w:trHeight w:val="240"/>
          <w:jc w:val="center"/>
        </w:trPr>
        <w:tc>
          <w:tcPr>
            <w:tcW w:w="3490" w:type="dxa"/>
            <w:tcBorders>
              <w:top w:val="nil"/>
              <w:left w:val="single" w:sz="4" w:space="0" w:color="auto"/>
              <w:bottom w:val="single" w:sz="4" w:space="0" w:color="auto"/>
              <w:right w:val="single" w:sz="4" w:space="0" w:color="auto"/>
            </w:tcBorders>
            <w:shd w:val="clear" w:color="auto" w:fill="auto"/>
            <w:noWrap/>
            <w:vAlign w:val="center"/>
            <w:hideMark/>
          </w:tcPr>
          <w:p w:rsidR="00535FFA" w:rsidRPr="009E5E00" w:rsidRDefault="00535FFA" w:rsidP="00535FFA">
            <w:pPr>
              <w:spacing w:after="0"/>
              <w:jc w:val="left"/>
              <w:rPr>
                <w:rFonts w:cs="Arial"/>
                <w:sz w:val="18"/>
                <w:szCs w:val="18"/>
                <w:lang w:eastAsia="es-UY"/>
              </w:rPr>
            </w:pPr>
            <w:r w:rsidRPr="009E5E00">
              <w:rPr>
                <w:rFonts w:cs="Arial"/>
                <w:sz w:val="18"/>
                <w:szCs w:val="18"/>
                <w:lang w:eastAsia="es-UY"/>
              </w:rPr>
              <w:t>5.2</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0.12 </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0.13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0.19 </w:t>
            </w:r>
          </w:p>
        </w:tc>
        <w:tc>
          <w:tcPr>
            <w:tcW w:w="720"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0.15 </w:t>
            </w:r>
          </w:p>
        </w:tc>
        <w:tc>
          <w:tcPr>
            <w:tcW w:w="720"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0.22 </w:t>
            </w:r>
          </w:p>
        </w:tc>
        <w:tc>
          <w:tcPr>
            <w:tcW w:w="811" w:type="dxa"/>
            <w:gridSpan w:val="2"/>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 0.81 </w:t>
            </w:r>
          </w:p>
        </w:tc>
        <w:tc>
          <w:tcPr>
            <w:tcW w:w="677" w:type="dxa"/>
            <w:tcBorders>
              <w:top w:val="nil"/>
              <w:left w:val="nil"/>
              <w:bottom w:val="single" w:sz="4" w:space="0" w:color="auto"/>
              <w:right w:val="single" w:sz="4" w:space="0" w:color="auto"/>
            </w:tcBorders>
            <w:shd w:val="clear" w:color="auto" w:fill="auto"/>
            <w:noWrap/>
            <w:vAlign w:val="center"/>
            <w:hideMark/>
          </w:tcPr>
          <w:p w:rsidR="00535FFA" w:rsidRPr="009E5E00" w:rsidRDefault="00535FFA" w:rsidP="00987491">
            <w:pPr>
              <w:spacing w:after="0"/>
              <w:rPr>
                <w:rFonts w:cs="Arial"/>
                <w:i/>
                <w:iCs/>
                <w:sz w:val="18"/>
                <w:szCs w:val="18"/>
                <w:lang w:eastAsia="es-UY"/>
              </w:rPr>
            </w:pPr>
            <w:r w:rsidRPr="009E5E00">
              <w:rPr>
                <w:rFonts w:cs="Arial"/>
                <w:i/>
                <w:iCs/>
                <w:sz w:val="18"/>
                <w:szCs w:val="18"/>
                <w:lang w:eastAsia="es-UY"/>
              </w:rPr>
              <w:t> </w:t>
            </w:r>
          </w:p>
        </w:tc>
      </w:tr>
      <w:tr w:rsidR="00535FFA" w:rsidRPr="009E5E00" w:rsidTr="00535FFA">
        <w:trPr>
          <w:trHeight w:val="240"/>
          <w:jc w:val="center"/>
        </w:trPr>
        <w:tc>
          <w:tcPr>
            <w:tcW w:w="3490" w:type="dxa"/>
            <w:tcBorders>
              <w:top w:val="nil"/>
              <w:left w:val="single" w:sz="4" w:space="0" w:color="auto"/>
              <w:bottom w:val="single" w:sz="4" w:space="0" w:color="auto"/>
              <w:right w:val="single" w:sz="4" w:space="0" w:color="auto"/>
            </w:tcBorders>
            <w:shd w:val="clear" w:color="000000" w:fill="BFBFBF"/>
            <w:noWrap/>
            <w:vAlign w:val="center"/>
            <w:hideMark/>
          </w:tcPr>
          <w:p w:rsidR="00535FFA" w:rsidRPr="009E5E00" w:rsidRDefault="00535FFA" w:rsidP="00535FFA">
            <w:pPr>
              <w:spacing w:after="0"/>
              <w:jc w:val="left"/>
              <w:rPr>
                <w:rFonts w:cs="Arial"/>
                <w:sz w:val="18"/>
                <w:szCs w:val="18"/>
                <w:lang w:eastAsia="es-UY"/>
              </w:rPr>
            </w:pPr>
            <w:r w:rsidRPr="009E5E00">
              <w:rPr>
                <w:rFonts w:cs="Arial"/>
                <w:sz w:val="18"/>
                <w:szCs w:val="18"/>
                <w:lang w:eastAsia="es-UY"/>
              </w:rPr>
              <w:t>Total</w:t>
            </w:r>
          </w:p>
        </w:tc>
        <w:tc>
          <w:tcPr>
            <w:tcW w:w="810" w:type="dxa"/>
            <w:gridSpan w:val="2"/>
            <w:tcBorders>
              <w:top w:val="nil"/>
              <w:left w:val="nil"/>
              <w:bottom w:val="single" w:sz="4" w:space="0" w:color="auto"/>
              <w:right w:val="single" w:sz="4" w:space="0" w:color="auto"/>
            </w:tcBorders>
            <w:shd w:val="clear" w:color="000000" w:fill="BFBFBF"/>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16.44 </w:t>
            </w:r>
          </w:p>
        </w:tc>
        <w:tc>
          <w:tcPr>
            <w:tcW w:w="720" w:type="dxa"/>
            <w:gridSpan w:val="2"/>
            <w:tcBorders>
              <w:top w:val="nil"/>
              <w:left w:val="nil"/>
              <w:bottom w:val="single" w:sz="4" w:space="0" w:color="auto"/>
              <w:right w:val="single" w:sz="4" w:space="0" w:color="auto"/>
            </w:tcBorders>
            <w:shd w:val="clear" w:color="000000" w:fill="BFBFBF"/>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11.82 </w:t>
            </w:r>
          </w:p>
        </w:tc>
        <w:tc>
          <w:tcPr>
            <w:tcW w:w="720" w:type="dxa"/>
            <w:tcBorders>
              <w:top w:val="nil"/>
              <w:left w:val="nil"/>
              <w:bottom w:val="single" w:sz="4" w:space="0" w:color="auto"/>
              <w:right w:val="single" w:sz="4" w:space="0" w:color="auto"/>
            </w:tcBorders>
            <w:shd w:val="clear" w:color="000000" w:fill="BFBFBF"/>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15.80 </w:t>
            </w:r>
          </w:p>
        </w:tc>
        <w:tc>
          <w:tcPr>
            <w:tcW w:w="720" w:type="dxa"/>
            <w:tcBorders>
              <w:top w:val="nil"/>
              <w:left w:val="nil"/>
              <w:bottom w:val="single" w:sz="4" w:space="0" w:color="auto"/>
              <w:right w:val="single" w:sz="4" w:space="0" w:color="auto"/>
            </w:tcBorders>
            <w:shd w:val="clear" w:color="000000" w:fill="BFBFBF"/>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15.13 </w:t>
            </w:r>
          </w:p>
        </w:tc>
        <w:tc>
          <w:tcPr>
            <w:tcW w:w="720" w:type="dxa"/>
            <w:gridSpan w:val="2"/>
            <w:tcBorders>
              <w:top w:val="nil"/>
              <w:left w:val="nil"/>
              <w:bottom w:val="single" w:sz="4" w:space="0" w:color="auto"/>
              <w:right w:val="single" w:sz="4" w:space="0" w:color="auto"/>
            </w:tcBorders>
            <w:shd w:val="clear" w:color="000000" w:fill="BFBFBF"/>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15.51 </w:t>
            </w:r>
          </w:p>
        </w:tc>
        <w:tc>
          <w:tcPr>
            <w:tcW w:w="811" w:type="dxa"/>
            <w:gridSpan w:val="2"/>
            <w:tcBorders>
              <w:top w:val="nil"/>
              <w:left w:val="nil"/>
              <w:bottom w:val="single" w:sz="4" w:space="0" w:color="auto"/>
              <w:right w:val="single" w:sz="4" w:space="0" w:color="auto"/>
            </w:tcBorders>
            <w:shd w:val="clear" w:color="000000" w:fill="BFBFBF"/>
            <w:noWrap/>
            <w:vAlign w:val="center"/>
            <w:hideMark/>
          </w:tcPr>
          <w:p w:rsidR="00535FFA" w:rsidRPr="009E5E00" w:rsidRDefault="00535FFA" w:rsidP="00987491">
            <w:pPr>
              <w:spacing w:after="0"/>
              <w:jc w:val="right"/>
              <w:rPr>
                <w:rFonts w:cs="Arial"/>
                <w:sz w:val="18"/>
                <w:szCs w:val="18"/>
                <w:lang w:eastAsia="es-UY"/>
              </w:rPr>
            </w:pPr>
            <w:r w:rsidRPr="009E5E00">
              <w:rPr>
                <w:rFonts w:cs="Arial"/>
                <w:sz w:val="18"/>
                <w:szCs w:val="18"/>
                <w:lang w:eastAsia="es-UY"/>
              </w:rPr>
              <w:t xml:space="preserve">74.70 </w:t>
            </w:r>
          </w:p>
        </w:tc>
        <w:tc>
          <w:tcPr>
            <w:tcW w:w="677" w:type="dxa"/>
            <w:tcBorders>
              <w:top w:val="nil"/>
              <w:left w:val="nil"/>
              <w:bottom w:val="single" w:sz="4" w:space="0" w:color="auto"/>
              <w:right w:val="single" w:sz="4" w:space="0" w:color="auto"/>
            </w:tcBorders>
            <w:shd w:val="clear" w:color="000000" w:fill="B4C6E7"/>
            <w:noWrap/>
            <w:vAlign w:val="center"/>
            <w:hideMark/>
          </w:tcPr>
          <w:p w:rsidR="00535FFA" w:rsidRPr="009E5E00" w:rsidRDefault="00535FFA" w:rsidP="00987491">
            <w:pPr>
              <w:spacing w:after="0"/>
              <w:jc w:val="center"/>
              <w:rPr>
                <w:rFonts w:cs="Arial"/>
                <w:b/>
                <w:bCs/>
                <w:sz w:val="18"/>
                <w:szCs w:val="18"/>
                <w:lang w:eastAsia="es-UY"/>
              </w:rPr>
            </w:pPr>
            <w:r w:rsidRPr="009E5E00">
              <w:rPr>
                <w:rFonts w:cs="Arial"/>
                <w:b/>
                <w:bCs/>
                <w:sz w:val="18"/>
                <w:szCs w:val="18"/>
                <w:lang w:eastAsia="es-UY"/>
              </w:rPr>
              <w:t>100%</w:t>
            </w:r>
          </w:p>
        </w:tc>
      </w:tr>
    </w:tbl>
    <w:p w:rsidR="00535FFA" w:rsidRDefault="00535FFA" w:rsidP="00535FFA">
      <w:pPr>
        <w:rPr>
          <w:lang w:val="es-UY"/>
        </w:rPr>
      </w:pPr>
    </w:p>
    <w:p w:rsidR="002C3255" w:rsidRPr="00CD6AE6" w:rsidRDefault="002C3255" w:rsidP="00D4226A">
      <w:pPr>
        <w:pStyle w:val="Paragraph"/>
      </w:pPr>
      <w:r w:rsidRPr="00CD6AE6">
        <w:t>El cronograma de desembolsos del Programa se detalla en el Cuadro II-3.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0"/>
        <w:gridCol w:w="1075"/>
        <w:gridCol w:w="1170"/>
        <w:gridCol w:w="1170"/>
        <w:gridCol w:w="1080"/>
        <w:gridCol w:w="990"/>
        <w:gridCol w:w="810"/>
        <w:gridCol w:w="815"/>
      </w:tblGrid>
      <w:tr w:rsidR="00A37D39" w:rsidRPr="00CD6AE6" w:rsidTr="00981691">
        <w:trPr>
          <w:jc w:val="center"/>
        </w:trPr>
        <w:tc>
          <w:tcPr>
            <w:tcW w:w="8640" w:type="dxa"/>
            <w:gridSpan w:val="8"/>
            <w:tcBorders>
              <w:top w:val="nil"/>
              <w:left w:val="nil"/>
              <w:bottom w:val="single" w:sz="4" w:space="0" w:color="auto"/>
              <w:right w:val="nil"/>
            </w:tcBorders>
          </w:tcPr>
          <w:p w:rsidR="00A37D39" w:rsidRPr="00CD6AE6" w:rsidRDefault="00A37D39" w:rsidP="006570F7">
            <w:pPr>
              <w:jc w:val="center"/>
              <w:rPr>
                <w:b/>
                <w:lang w:val="es-UY" w:eastAsia="es-AR"/>
              </w:rPr>
            </w:pPr>
            <w:r w:rsidRPr="00CD6AE6">
              <w:rPr>
                <w:b/>
                <w:lang w:val="es-UY"/>
              </w:rPr>
              <w:t>Cuadro II-3: Cronograma tentativo de desembolsos (en US$ millones)</w:t>
            </w:r>
          </w:p>
        </w:tc>
      </w:tr>
      <w:tr w:rsidR="00A37D39" w:rsidRPr="00CD6AE6" w:rsidTr="00D62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0"/>
          <w:jc w:val="center"/>
        </w:trPr>
        <w:tc>
          <w:tcPr>
            <w:tcW w:w="1530" w:type="dxa"/>
            <w:shd w:val="clear" w:color="auto" w:fill="BDD6EE" w:themeFill="accent1" w:themeFillTint="66"/>
            <w:noWrap/>
            <w:vAlign w:val="center"/>
            <w:hideMark/>
          </w:tcPr>
          <w:p w:rsidR="00A37D39" w:rsidRPr="00CD6AE6" w:rsidRDefault="00A37D39" w:rsidP="006F161A">
            <w:pPr>
              <w:pStyle w:val="NoSpacing"/>
              <w:rPr>
                <w:b/>
                <w:bCs/>
                <w:color w:val="000000"/>
                <w:lang w:eastAsia="es-UY"/>
              </w:rPr>
            </w:pPr>
            <w:bookmarkStart w:id="34" w:name="_Ref180520105"/>
            <w:bookmarkStart w:id="35" w:name="_Toc202247760"/>
            <w:r w:rsidRPr="00CD6AE6">
              <w:rPr>
                <w:b/>
                <w:bCs/>
                <w:color w:val="000000"/>
                <w:lang w:eastAsia="es-UY"/>
              </w:rPr>
              <w:t> </w:t>
            </w:r>
          </w:p>
        </w:tc>
        <w:tc>
          <w:tcPr>
            <w:tcW w:w="1075" w:type="dxa"/>
            <w:shd w:val="clear" w:color="auto" w:fill="BDD6EE" w:themeFill="accent1" w:themeFillTint="66"/>
            <w:noWrap/>
            <w:vAlign w:val="center"/>
            <w:hideMark/>
          </w:tcPr>
          <w:p w:rsidR="00A37D39" w:rsidRPr="00CD6AE6" w:rsidRDefault="00A37D39" w:rsidP="006F161A">
            <w:pPr>
              <w:pStyle w:val="NoSpacing"/>
              <w:rPr>
                <w:b/>
                <w:bCs/>
                <w:color w:val="000000"/>
                <w:lang w:eastAsia="es-UY"/>
              </w:rPr>
            </w:pPr>
            <w:r w:rsidRPr="00CD6AE6">
              <w:rPr>
                <w:b/>
                <w:bCs/>
                <w:color w:val="000000"/>
                <w:lang w:eastAsia="es-UY"/>
              </w:rPr>
              <w:t>Año I</w:t>
            </w:r>
          </w:p>
        </w:tc>
        <w:tc>
          <w:tcPr>
            <w:tcW w:w="1170" w:type="dxa"/>
            <w:shd w:val="clear" w:color="auto" w:fill="BDD6EE" w:themeFill="accent1" w:themeFillTint="66"/>
            <w:noWrap/>
            <w:vAlign w:val="center"/>
            <w:hideMark/>
          </w:tcPr>
          <w:p w:rsidR="00A37D39" w:rsidRPr="00CD6AE6" w:rsidRDefault="00A37D39" w:rsidP="006F161A">
            <w:pPr>
              <w:pStyle w:val="NoSpacing"/>
              <w:rPr>
                <w:b/>
                <w:bCs/>
                <w:color w:val="000000"/>
                <w:lang w:eastAsia="es-UY"/>
              </w:rPr>
            </w:pPr>
            <w:r w:rsidRPr="00CD6AE6">
              <w:rPr>
                <w:b/>
                <w:bCs/>
                <w:color w:val="000000"/>
                <w:lang w:eastAsia="es-UY"/>
              </w:rPr>
              <w:t>Año II</w:t>
            </w:r>
          </w:p>
        </w:tc>
        <w:tc>
          <w:tcPr>
            <w:tcW w:w="1170" w:type="dxa"/>
            <w:shd w:val="clear" w:color="auto" w:fill="BDD6EE" w:themeFill="accent1" w:themeFillTint="66"/>
            <w:noWrap/>
            <w:vAlign w:val="center"/>
            <w:hideMark/>
          </w:tcPr>
          <w:p w:rsidR="00A37D39" w:rsidRPr="00CD6AE6" w:rsidRDefault="00A37D39" w:rsidP="006F161A">
            <w:pPr>
              <w:pStyle w:val="NoSpacing"/>
              <w:rPr>
                <w:b/>
                <w:bCs/>
                <w:color w:val="000000"/>
                <w:lang w:eastAsia="es-UY"/>
              </w:rPr>
            </w:pPr>
            <w:r w:rsidRPr="00CD6AE6">
              <w:rPr>
                <w:b/>
                <w:bCs/>
                <w:color w:val="000000"/>
                <w:lang w:eastAsia="es-UY"/>
              </w:rPr>
              <w:t>Año III</w:t>
            </w:r>
          </w:p>
        </w:tc>
        <w:tc>
          <w:tcPr>
            <w:tcW w:w="1080" w:type="dxa"/>
            <w:shd w:val="clear" w:color="auto" w:fill="BDD6EE" w:themeFill="accent1" w:themeFillTint="66"/>
            <w:noWrap/>
            <w:vAlign w:val="center"/>
            <w:hideMark/>
          </w:tcPr>
          <w:p w:rsidR="00A37D39" w:rsidRPr="00CD6AE6" w:rsidRDefault="00A37D39" w:rsidP="006F161A">
            <w:pPr>
              <w:pStyle w:val="NoSpacing"/>
              <w:rPr>
                <w:b/>
                <w:bCs/>
                <w:color w:val="000000"/>
                <w:lang w:eastAsia="es-UY"/>
              </w:rPr>
            </w:pPr>
            <w:r w:rsidRPr="00CD6AE6">
              <w:rPr>
                <w:b/>
                <w:bCs/>
                <w:color w:val="000000"/>
                <w:lang w:eastAsia="es-UY"/>
              </w:rPr>
              <w:t>Año IV</w:t>
            </w:r>
          </w:p>
        </w:tc>
        <w:tc>
          <w:tcPr>
            <w:tcW w:w="990" w:type="dxa"/>
            <w:shd w:val="clear" w:color="auto" w:fill="BDD6EE" w:themeFill="accent1" w:themeFillTint="66"/>
            <w:noWrap/>
            <w:vAlign w:val="center"/>
            <w:hideMark/>
          </w:tcPr>
          <w:p w:rsidR="00A37D39" w:rsidRPr="00CD6AE6" w:rsidRDefault="00A37D39" w:rsidP="006F161A">
            <w:pPr>
              <w:pStyle w:val="NoSpacing"/>
              <w:rPr>
                <w:b/>
                <w:bCs/>
                <w:color w:val="000000"/>
                <w:lang w:eastAsia="es-UY"/>
              </w:rPr>
            </w:pPr>
            <w:r w:rsidRPr="00CD6AE6">
              <w:rPr>
                <w:b/>
                <w:bCs/>
                <w:color w:val="000000"/>
                <w:lang w:eastAsia="es-UY"/>
              </w:rPr>
              <w:t>Año V</w:t>
            </w:r>
          </w:p>
        </w:tc>
        <w:tc>
          <w:tcPr>
            <w:tcW w:w="810" w:type="dxa"/>
            <w:shd w:val="clear" w:color="auto" w:fill="BDD6EE" w:themeFill="accent1" w:themeFillTint="66"/>
            <w:noWrap/>
            <w:vAlign w:val="center"/>
            <w:hideMark/>
          </w:tcPr>
          <w:p w:rsidR="00A37D39" w:rsidRPr="00CD6AE6" w:rsidRDefault="00A37D39" w:rsidP="006F161A">
            <w:pPr>
              <w:pStyle w:val="NoSpacing"/>
              <w:rPr>
                <w:b/>
                <w:bCs/>
                <w:color w:val="000000"/>
                <w:lang w:eastAsia="es-UY"/>
              </w:rPr>
            </w:pPr>
            <w:r w:rsidRPr="00CD6AE6">
              <w:rPr>
                <w:b/>
                <w:bCs/>
                <w:color w:val="000000"/>
                <w:lang w:eastAsia="es-UY"/>
              </w:rPr>
              <w:t>Total</w:t>
            </w:r>
          </w:p>
        </w:tc>
        <w:tc>
          <w:tcPr>
            <w:tcW w:w="815" w:type="dxa"/>
            <w:shd w:val="clear" w:color="auto" w:fill="BDD6EE" w:themeFill="accent1" w:themeFillTint="66"/>
            <w:noWrap/>
            <w:vAlign w:val="center"/>
            <w:hideMark/>
          </w:tcPr>
          <w:p w:rsidR="00A37D39" w:rsidRPr="00CD6AE6" w:rsidRDefault="00A37D39" w:rsidP="000B7A0F">
            <w:pPr>
              <w:pStyle w:val="NoSpacing"/>
              <w:jc w:val="center"/>
              <w:rPr>
                <w:b/>
                <w:bCs/>
                <w:color w:val="000000"/>
                <w:lang w:eastAsia="es-UY"/>
              </w:rPr>
            </w:pPr>
            <w:r w:rsidRPr="00CD6AE6">
              <w:rPr>
                <w:b/>
                <w:bCs/>
                <w:color w:val="000000"/>
                <w:lang w:eastAsia="es-UY"/>
              </w:rPr>
              <w:t>%</w:t>
            </w:r>
          </w:p>
        </w:tc>
      </w:tr>
      <w:tr w:rsidR="00A37D39" w:rsidRPr="00CD6AE6" w:rsidTr="00D62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33"/>
          <w:jc w:val="center"/>
        </w:trPr>
        <w:tc>
          <w:tcPr>
            <w:tcW w:w="1530" w:type="dxa"/>
            <w:shd w:val="clear" w:color="auto" w:fill="auto"/>
            <w:vAlign w:val="center"/>
            <w:hideMark/>
          </w:tcPr>
          <w:p w:rsidR="00A37D39" w:rsidRPr="00CD6AE6" w:rsidRDefault="00A37D39" w:rsidP="006F161A">
            <w:pPr>
              <w:pStyle w:val="NoSpacing"/>
              <w:rPr>
                <w:b/>
                <w:bCs/>
                <w:color w:val="000000"/>
                <w:lang w:eastAsia="es-UY"/>
              </w:rPr>
            </w:pPr>
            <w:r w:rsidRPr="00CD6AE6">
              <w:rPr>
                <w:b/>
                <w:bCs/>
                <w:color w:val="000000"/>
                <w:lang w:eastAsia="es-UY"/>
              </w:rPr>
              <w:t>BID</w:t>
            </w:r>
          </w:p>
        </w:tc>
        <w:tc>
          <w:tcPr>
            <w:tcW w:w="1075" w:type="dxa"/>
            <w:shd w:val="clear" w:color="auto" w:fill="auto"/>
            <w:noWrap/>
            <w:vAlign w:val="center"/>
            <w:hideMark/>
          </w:tcPr>
          <w:p w:rsidR="00A37D39" w:rsidRPr="00CD6AE6" w:rsidRDefault="00A37D39" w:rsidP="000B7A0F">
            <w:pPr>
              <w:pStyle w:val="NoSpacing"/>
              <w:jc w:val="right"/>
              <w:rPr>
                <w:color w:val="000000"/>
                <w:lang w:eastAsia="es-UY"/>
              </w:rPr>
            </w:pPr>
            <w:r w:rsidRPr="00CD6AE6">
              <w:rPr>
                <w:color w:val="000000"/>
                <w:lang w:eastAsia="es-UY"/>
              </w:rPr>
              <w:t xml:space="preserve">10.08 </w:t>
            </w:r>
          </w:p>
        </w:tc>
        <w:tc>
          <w:tcPr>
            <w:tcW w:w="1170" w:type="dxa"/>
            <w:shd w:val="clear" w:color="auto" w:fill="auto"/>
            <w:noWrap/>
            <w:vAlign w:val="center"/>
            <w:hideMark/>
          </w:tcPr>
          <w:p w:rsidR="00A37D39" w:rsidRPr="00CD6AE6" w:rsidRDefault="00A37D39" w:rsidP="000B7A0F">
            <w:pPr>
              <w:pStyle w:val="NoSpacing"/>
              <w:jc w:val="right"/>
              <w:rPr>
                <w:color w:val="000000"/>
                <w:lang w:eastAsia="es-UY"/>
              </w:rPr>
            </w:pPr>
            <w:r w:rsidRPr="00CD6AE6">
              <w:rPr>
                <w:color w:val="000000"/>
                <w:lang w:eastAsia="es-UY"/>
              </w:rPr>
              <w:t xml:space="preserve">7.89 </w:t>
            </w:r>
          </w:p>
        </w:tc>
        <w:tc>
          <w:tcPr>
            <w:tcW w:w="1170" w:type="dxa"/>
            <w:shd w:val="clear" w:color="auto" w:fill="auto"/>
            <w:noWrap/>
            <w:vAlign w:val="center"/>
            <w:hideMark/>
          </w:tcPr>
          <w:p w:rsidR="00A37D39" w:rsidRPr="00CD6AE6" w:rsidRDefault="00A37D39" w:rsidP="000B7A0F">
            <w:pPr>
              <w:pStyle w:val="NoSpacing"/>
              <w:jc w:val="right"/>
              <w:rPr>
                <w:color w:val="000000"/>
                <w:lang w:eastAsia="es-UY"/>
              </w:rPr>
            </w:pPr>
            <w:r w:rsidRPr="00CD6AE6">
              <w:rPr>
                <w:color w:val="000000"/>
                <w:lang w:eastAsia="es-UY"/>
              </w:rPr>
              <w:t xml:space="preserve">11.25 </w:t>
            </w:r>
          </w:p>
        </w:tc>
        <w:tc>
          <w:tcPr>
            <w:tcW w:w="1080" w:type="dxa"/>
            <w:shd w:val="clear" w:color="auto" w:fill="auto"/>
            <w:noWrap/>
            <w:vAlign w:val="center"/>
            <w:hideMark/>
          </w:tcPr>
          <w:p w:rsidR="00A37D39" w:rsidRPr="00CD6AE6" w:rsidRDefault="00A37D39" w:rsidP="000B7A0F">
            <w:pPr>
              <w:pStyle w:val="NoSpacing"/>
              <w:jc w:val="right"/>
              <w:rPr>
                <w:color w:val="000000"/>
                <w:lang w:eastAsia="es-UY"/>
              </w:rPr>
            </w:pPr>
            <w:r w:rsidRPr="00CD6AE6">
              <w:rPr>
                <w:color w:val="000000"/>
                <w:lang w:eastAsia="es-UY"/>
              </w:rPr>
              <w:t xml:space="preserve">10.35 </w:t>
            </w:r>
          </w:p>
        </w:tc>
        <w:tc>
          <w:tcPr>
            <w:tcW w:w="990" w:type="dxa"/>
            <w:shd w:val="clear" w:color="auto" w:fill="auto"/>
            <w:noWrap/>
            <w:vAlign w:val="center"/>
            <w:hideMark/>
          </w:tcPr>
          <w:p w:rsidR="00A37D39" w:rsidRPr="00CD6AE6" w:rsidRDefault="00A37D39" w:rsidP="000B7A0F">
            <w:pPr>
              <w:pStyle w:val="NoSpacing"/>
              <w:jc w:val="right"/>
              <w:rPr>
                <w:color w:val="000000"/>
                <w:lang w:eastAsia="es-UY"/>
              </w:rPr>
            </w:pPr>
            <w:r w:rsidRPr="00CD6AE6">
              <w:rPr>
                <w:color w:val="000000"/>
                <w:lang w:eastAsia="es-UY"/>
              </w:rPr>
              <w:t xml:space="preserve">10.43 </w:t>
            </w:r>
          </w:p>
        </w:tc>
        <w:tc>
          <w:tcPr>
            <w:tcW w:w="810" w:type="dxa"/>
            <w:shd w:val="clear" w:color="auto" w:fill="auto"/>
            <w:noWrap/>
            <w:vAlign w:val="center"/>
            <w:hideMark/>
          </w:tcPr>
          <w:p w:rsidR="00A37D39" w:rsidRPr="00CD6AE6" w:rsidRDefault="00A37D39" w:rsidP="000B7A0F">
            <w:pPr>
              <w:pStyle w:val="NoSpacing"/>
              <w:jc w:val="right"/>
              <w:rPr>
                <w:color w:val="000000"/>
                <w:lang w:eastAsia="es-UY"/>
              </w:rPr>
            </w:pPr>
            <w:r w:rsidRPr="00CD6AE6">
              <w:rPr>
                <w:color w:val="000000"/>
                <w:lang w:eastAsia="es-UY"/>
              </w:rPr>
              <w:t>50.00</w:t>
            </w:r>
          </w:p>
        </w:tc>
        <w:tc>
          <w:tcPr>
            <w:tcW w:w="815" w:type="dxa"/>
            <w:shd w:val="clear" w:color="auto" w:fill="auto"/>
            <w:noWrap/>
            <w:vAlign w:val="center"/>
            <w:hideMark/>
          </w:tcPr>
          <w:p w:rsidR="00A37D39" w:rsidRPr="00CD6AE6" w:rsidRDefault="00A37D39" w:rsidP="000B7A0F">
            <w:pPr>
              <w:pStyle w:val="NoSpacing"/>
              <w:jc w:val="center"/>
              <w:rPr>
                <w:color w:val="000000"/>
                <w:lang w:eastAsia="es-UY"/>
              </w:rPr>
            </w:pPr>
            <w:r w:rsidRPr="00CD6AE6">
              <w:rPr>
                <w:color w:val="000000"/>
                <w:lang w:eastAsia="es-UY"/>
              </w:rPr>
              <w:t>67%</w:t>
            </w:r>
          </w:p>
        </w:tc>
      </w:tr>
      <w:tr w:rsidR="00A37D39" w:rsidRPr="00CD6AE6" w:rsidTr="00D62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0"/>
          <w:jc w:val="center"/>
        </w:trPr>
        <w:tc>
          <w:tcPr>
            <w:tcW w:w="1530" w:type="dxa"/>
            <w:shd w:val="clear" w:color="auto" w:fill="auto"/>
            <w:noWrap/>
            <w:vAlign w:val="center"/>
            <w:hideMark/>
          </w:tcPr>
          <w:p w:rsidR="00A37D39" w:rsidRPr="00CD6AE6" w:rsidRDefault="00A37D39" w:rsidP="006F161A">
            <w:pPr>
              <w:pStyle w:val="NoSpacing"/>
              <w:rPr>
                <w:b/>
                <w:bCs/>
                <w:color w:val="000000"/>
                <w:lang w:eastAsia="es-UY"/>
              </w:rPr>
            </w:pPr>
            <w:r w:rsidRPr="00CD6AE6">
              <w:rPr>
                <w:b/>
                <w:bCs/>
                <w:color w:val="000000"/>
                <w:lang w:eastAsia="es-UY"/>
              </w:rPr>
              <w:t>Local</w:t>
            </w:r>
          </w:p>
        </w:tc>
        <w:tc>
          <w:tcPr>
            <w:tcW w:w="1075" w:type="dxa"/>
            <w:shd w:val="clear" w:color="auto" w:fill="auto"/>
            <w:noWrap/>
            <w:vAlign w:val="center"/>
            <w:hideMark/>
          </w:tcPr>
          <w:p w:rsidR="00A37D39" w:rsidRPr="00CD6AE6" w:rsidRDefault="00A37D39" w:rsidP="000B7A0F">
            <w:pPr>
              <w:pStyle w:val="NoSpacing"/>
              <w:jc w:val="right"/>
              <w:rPr>
                <w:color w:val="000000"/>
                <w:lang w:eastAsia="es-UY"/>
              </w:rPr>
            </w:pPr>
            <w:r w:rsidRPr="00CD6AE6">
              <w:rPr>
                <w:color w:val="000000"/>
                <w:lang w:eastAsia="es-UY"/>
              </w:rPr>
              <w:t xml:space="preserve">6.37 </w:t>
            </w:r>
          </w:p>
        </w:tc>
        <w:tc>
          <w:tcPr>
            <w:tcW w:w="1170" w:type="dxa"/>
            <w:shd w:val="clear" w:color="auto" w:fill="auto"/>
            <w:noWrap/>
            <w:vAlign w:val="center"/>
            <w:hideMark/>
          </w:tcPr>
          <w:p w:rsidR="00A37D39" w:rsidRPr="00CD6AE6" w:rsidRDefault="00A37D39" w:rsidP="000B7A0F">
            <w:pPr>
              <w:pStyle w:val="NoSpacing"/>
              <w:jc w:val="right"/>
              <w:rPr>
                <w:color w:val="000000"/>
                <w:lang w:eastAsia="es-UY"/>
              </w:rPr>
            </w:pPr>
            <w:r w:rsidRPr="00CD6AE6">
              <w:rPr>
                <w:color w:val="000000"/>
                <w:lang w:eastAsia="es-UY"/>
              </w:rPr>
              <w:t xml:space="preserve">3.93 </w:t>
            </w:r>
          </w:p>
        </w:tc>
        <w:tc>
          <w:tcPr>
            <w:tcW w:w="1170" w:type="dxa"/>
            <w:shd w:val="clear" w:color="auto" w:fill="auto"/>
            <w:noWrap/>
            <w:vAlign w:val="center"/>
            <w:hideMark/>
          </w:tcPr>
          <w:p w:rsidR="00A37D39" w:rsidRPr="00CD6AE6" w:rsidRDefault="00A37D39" w:rsidP="000B7A0F">
            <w:pPr>
              <w:pStyle w:val="NoSpacing"/>
              <w:jc w:val="right"/>
              <w:rPr>
                <w:color w:val="000000"/>
                <w:lang w:eastAsia="es-UY"/>
              </w:rPr>
            </w:pPr>
            <w:r w:rsidRPr="00CD6AE6">
              <w:rPr>
                <w:color w:val="000000"/>
                <w:lang w:eastAsia="es-UY"/>
              </w:rPr>
              <w:t xml:space="preserve">4.55 </w:t>
            </w:r>
          </w:p>
        </w:tc>
        <w:tc>
          <w:tcPr>
            <w:tcW w:w="1080" w:type="dxa"/>
            <w:shd w:val="clear" w:color="auto" w:fill="auto"/>
            <w:noWrap/>
            <w:vAlign w:val="center"/>
            <w:hideMark/>
          </w:tcPr>
          <w:p w:rsidR="00A37D39" w:rsidRPr="00CD6AE6" w:rsidRDefault="00A37D39" w:rsidP="000B7A0F">
            <w:pPr>
              <w:pStyle w:val="NoSpacing"/>
              <w:jc w:val="right"/>
              <w:rPr>
                <w:color w:val="000000"/>
                <w:lang w:eastAsia="es-UY"/>
              </w:rPr>
            </w:pPr>
            <w:r w:rsidRPr="00CD6AE6">
              <w:rPr>
                <w:color w:val="000000"/>
                <w:lang w:eastAsia="es-UY"/>
              </w:rPr>
              <w:t xml:space="preserve">4.77 </w:t>
            </w:r>
          </w:p>
        </w:tc>
        <w:tc>
          <w:tcPr>
            <w:tcW w:w="990" w:type="dxa"/>
            <w:shd w:val="clear" w:color="auto" w:fill="auto"/>
            <w:noWrap/>
            <w:vAlign w:val="center"/>
            <w:hideMark/>
          </w:tcPr>
          <w:p w:rsidR="00A37D39" w:rsidRPr="00CD6AE6" w:rsidRDefault="00A37D39" w:rsidP="000B7A0F">
            <w:pPr>
              <w:pStyle w:val="NoSpacing"/>
              <w:jc w:val="right"/>
              <w:rPr>
                <w:color w:val="000000"/>
                <w:lang w:eastAsia="es-UY"/>
              </w:rPr>
            </w:pPr>
            <w:r w:rsidRPr="00CD6AE6">
              <w:rPr>
                <w:color w:val="000000"/>
                <w:lang w:eastAsia="es-UY"/>
              </w:rPr>
              <w:t xml:space="preserve">5.08 </w:t>
            </w:r>
          </w:p>
        </w:tc>
        <w:tc>
          <w:tcPr>
            <w:tcW w:w="810" w:type="dxa"/>
            <w:shd w:val="clear" w:color="auto" w:fill="auto"/>
            <w:noWrap/>
            <w:vAlign w:val="center"/>
            <w:hideMark/>
          </w:tcPr>
          <w:p w:rsidR="00A37D39" w:rsidRPr="00CD6AE6" w:rsidRDefault="00A37D39" w:rsidP="000B7A0F">
            <w:pPr>
              <w:pStyle w:val="NoSpacing"/>
              <w:jc w:val="right"/>
              <w:rPr>
                <w:color w:val="000000"/>
                <w:lang w:eastAsia="es-UY"/>
              </w:rPr>
            </w:pPr>
            <w:r w:rsidRPr="00CD6AE6">
              <w:rPr>
                <w:color w:val="000000"/>
                <w:lang w:eastAsia="es-UY"/>
              </w:rPr>
              <w:t>24.70</w:t>
            </w:r>
          </w:p>
        </w:tc>
        <w:tc>
          <w:tcPr>
            <w:tcW w:w="815" w:type="dxa"/>
            <w:shd w:val="clear" w:color="auto" w:fill="auto"/>
            <w:noWrap/>
            <w:vAlign w:val="center"/>
            <w:hideMark/>
          </w:tcPr>
          <w:p w:rsidR="00A37D39" w:rsidRPr="00CD6AE6" w:rsidRDefault="00A37D39" w:rsidP="000B7A0F">
            <w:pPr>
              <w:pStyle w:val="NoSpacing"/>
              <w:jc w:val="center"/>
              <w:rPr>
                <w:color w:val="000000"/>
                <w:lang w:eastAsia="es-UY"/>
              </w:rPr>
            </w:pPr>
            <w:r w:rsidRPr="00CD6AE6">
              <w:rPr>
                <w:color w:val="000000"/>
                <w:lang w:eastAsia="es-UY"/>
              </w:rPr>
              <w:t>33%</w:t>
            </w:r>
          </w:p>
        </w:tc>
      </w:tr>
      <w:tr w:rsidR="00A37D39" w:rsidRPr="00CD6AE6" w:rsidTr="00D62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188"/>
          <w:jc w:val="center"/>
        </w:trPr>
        <w:tc>
          <w:tcPr>
            <w:tcW w:w="1530" w:type="dxa"/>
            <w:shd w:val="clear" w:color="auto" w:fill="auto"/>
            <w:noWrap/>
            <w:vAlign w:val="center"/>
            <w:hideMark/>
          </w:tcPr>
          <w:p w:rsidR="00A37D39" w:rsidRPr="00CD6AE6" w:rsidRDefault="00A37D39" w:rsidP="006F161A">
            <w:pPr>
              <w:pStyle w:val="NoSpacing"/>
              <w:rPr>
                <w:b/>
                <w:bCs/>
                <w:color w:val="000000"/>
                <w:u w:val="single"/>
                <w:lang w:eastAsia="es-UY"/>
              </w:rPr>
            </w:pPr>
            <w:r w:rsidRPr="00CD6AE6">
              <w:rPr>
                <w:b/>
                <w:bCs/>
                <w:color w:val="000000"/>
                <w:u w:val="single"/>
                <w:lang w:eastAsia="es-UY"/>
              </w:rPr>
              <w:t>TOTAL</w:t>
            </w:r>
          </w:p>
        </w:tc>
        <w:tc>
          <w:tcPr>
            <w:tcW w:w="1075" w:type="dxa"/>
            <w:shd w:val="clear" w:color="auto" w:fill="auto"/>
            <w:noWrap/>
            <w:vAlign w:val="center"/>
            <w:hideMark/>
          </w:tcPr>
          <w:p w:rsidR="00A37D39" w:rsidRPr="00CD6AE6" w:rsidRDefault="00A37D39" w:rsidP="000B7A0F">
            <w:pPr>
              <w:pStyle w:val="NoSpacing"/>
              <w:jc w:val="right"/>
              <w:rPr>
                <w:b/>
                <w:bCs/>
                <w:color w:val="000000"/>
                <w:u w:val="single"/>
                <w:lang w:eastAsia="es-UY"/>
              </w:rPr>
            </w:pPr>
            <w:r w:rsidRPr="00CD6AE6">
              <w:rPr>
                <w:b/>
                <w:bCs/>
                <w:color w:val="000000"/>
                <w:u w:val="single"/>
                <w:lang w:eastAsia="es-UY"/>
              </w:rPr>
              <w:t xml:space="preserve">16.44 </w:t>
            </w:r>
          </w:p>
        </w:tc>
        <w:tc>
          <w:tcPr>
            <w:tcW w:w="1170" w:type="dxa"/>
            <w:shd w:val="clear" w:color="auto" w:fill="auto"/>
            <w:noWrap/>
            <w:vAlign w:val="center"/>
            <w:hideMark/>
          </w:tcPr>
          <w:p w:rsidR="00A37D39" w:rsidRPr="00CD6AE6" w:rsidRDefault="00A37D39" w:rsidP="000B7A0F">
            <w:pPr>
              <w:pStyle w:val="NoSpacing"/>
              <w:jc w:val="right"/>
              <w:rPr>
                <w:b/>
                <w:bCs/>
                <w:color w:val="000000"/>
                <w:u w:val="single"/>
                <w:lang w:eastAsia="es-UY"/>
              </w:rPr>
            </w:pPr>
            <w:r w:rsidRPr="00CD6AE6">
              <w:rPr>
                <w:b/>
                <w:bCs/>
                <w:color w:val="000000"/>
                <w:u w:val="single"/>
                <w:lang w:eastAsia="es-UY"/>
              </w:rPr>
              <w:t xml:space="preserve">11.82 </w:t>
            </w:r>
          </w:p>
        </w:tc>
        <w:tc>
          <w:tcPr>
            <w:tcW w:w="1170" w:type="dxa"/>
            <w:shd w:val="clear" w:color="auto" w:fill="auto"/>
            <w:noWrap/>
            <w:vAlign w:val="center"/>
            <w:hideMark/>
          </w:tcPr>
          <w:p w:rsidR="00A37D39" w:rsidRPr="00CD6AE6" w:rsidRDefault="00A37D39" w:rsidP="000B7A0F">
            <w:pPr>
              <w:pStyle w:val="NoSpacing"/>
              <w:jc w:val="right"/>
              <w:rPr>
                <w:b/>
                <w:bCs/>
                <w:color w:val="000000"/>
                <w:u w:val="single"/>
                <w:lang w:eastAsia="es-UY"/>
              </w:rPr>
            </w:pPr>
            <w:r w:rsidRPr="00CD6AE6">
              <w:rPr>
                <w:b/>
                <w:bCs/>
                <w:color w:val="000000"/>
                <w:u w:val="single"/>
                <w:lang w:eastAsia="es-UY"/>
              </w:rPr>
              <w:t xml:space="preserve">15.80 </w:t>
            </w:r>
          </w:p>
        </w:tc>
        <w:tc>
          <w:tcPr>
            <w:tcW w:w="1080" w:type="dxa"/>
            <w:shd w:val="clear" w:color="auto" w:fill="auto"/>
            <w:noWrap/>
            <w:vAlign w:val="center"/>
            <w:hideMark/>
          </w:tcPr>
          <w:p w:rsidR="00A37D39" w:rsidRPr="00CD6AE6" w:rsidRDefault="00A37D39" w:rsidP="000B7A0F">
            <w:pPr>
              <w:pStyle w:val="NoSpacing"/>
              <w:jc w:val="right"/>
              <w:rPr>
                <w:b/>
                <w:bCs/>
                <w:color w:val="000000"/>
                <w:u w:val="single"/>
                <w:lang w:eastAsia="es-UY"/>
              </w:rPr>
            </w:pPr>
            <w:r w:rsidRPr="00CD6AE6">
              <w:rPr>
                <w:b/>
                <w:bCs/>
                <w:color w:val="000000"/>
                <w:u w:val="single"/>
                <w:lang w:eastAsia="es-UY"/>
              </w:rPr>
              <w:t xml:space="preserve">15.13 </w:t>
            </w:r>
          </w:p>
        </w:tc>
        <w:tc>
          <w:tcPr>
            <w:tcW w:w="990" w:type="dxa"/>
            <w:shd w:val="clear" w:color="auto" w:fill="auto"/>
            <w:noWrap/>
            <w:vAlign w:val="center"/>
            <w:hideMark/>
          </w:tcPr>
          <w:p w:rsidR="00A37D39" w:rsidRPr="00CD6AE6" w:rsidRDefault="00A37D39" w:rsidP="000B7A0F">
            <w:pPr>
              <w:pStyle w:val="NoSpacing"/>
              <w:jc w:val="right"/>
              <w:rPr>
                <w:b/>
                <w:bCs/>
                <w:color w:val="000000"/>
                <w:u w:val="single"/>
                <w:lang w:eastAsia="es-UY"/>
              </w:rPr>
            </w:pPr>
            <w:r w:rsidRPr="00CD6AE6">
              <w:rPr>
                <w:b/>
                <w:bCs/>
                <w:color w:val="000000"/>
                <w:u w:val="single"/>
                <w:lang w:eastAsia="es-UY"/>
              </w:rPr>
              <w:t xml:space="preserve">15.51 </w:t>
            </w:r>
          </w:p>
        </w:tc>
        <w:tc>
          <w:tcPr>
            <w:tcW w:w="810" w:type="dxa"/>
            <w:shd w:val="clear" w:color="auto" w:fill="auto"/>
            <w:noWrap/>
            <w:vAlign w:val="center"/>
            <w:hideMark/>
          </w:tcPr>
          <w:p w:rsidR="00A37D39" w:rsidRPr="00CD6AE6" w:rsidRDefault="00A37D39" w:rsidP="000B7A0F">
            <w:pPr>
              <w:pStyle w:val="NoSpacing"/>
              <w:jc w:val="right"/>
              <w:rPr>
                <w:b/>
                <w:bCs/>
                <w:color w:val="000000"/>
                <w:u w:val="single"/>
                <w:lang w:eastAsia="es-UY"/>
              </w:rPr>
            </w:pPr>
            <w:r w:rsidRPr="00CD6AE6">
              <w:rPr>
                <w:b/>
                <w:bCs/>
                <w:color w:val="000000"/>
                <w:u w:val="single"/>
                <w:lang w:eastAsia="es-UY"/>
              </w:rPr>
              <w:t>74.70</w:t>
            </w:r>
          </w:p>
        </w:tc>
        <w:tc>
          <w:tcPr>
            <w:tcW w:w="815" w:type="dxa"/>
            <w:shd w:val="clear" w:color="auto" w:fill="auto"/>
            <w:noWrap/>
            <w:vAlign w:val="center"/>
            <w:hideMark/>
          </w:tcPr>
          <w:p w:rsidR="00A37D39" w:rsidRPr="00CD6AE6" w:rsidRDefault="00A37D39" w:rsidP="000B7A0F">
            <w:pPr>
              <w:pStyle w:val="NoSpacing"/>
              <w:jc w:val="center"/>
              <w:rPr>
                <w:color w:val="000000"/>
                <w:lang w:eastAsia="es-UY"/>
              </w:rPr>
            </w:pPr>
            <w:r w:rsidRPr="00CD6AE6">
              <w:rPr>
                <w:color w:val="000000"/>
                <w:lang w:eastAsia="es-UY"/>
              </w:rPr>
              <w:t>100%</w:t>
            </w:r>
          </w:p>
        </w:tc>
      </w:tr>
      <w:tr w:rsidR="00A37D39" w:rsidRPr="00CD6AE6" w:rsidTr="00D62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40"/>
          <w:jc w:val="center"/>
        </w:trPr>
        <w:tc>
          <w:tcPr>
            <w:tcW w:w="1530" w:type="dxa"/>
            <w:shd w:val="clear" w:color="auto" w:fill="auto"/>
            <w:noWrap/>
            <w:vAlign w:val="center"/>
            <w:hideMark/>
          </w:tcPr>
          <w:p w:rsidR="00A37D39" w:rsidRPr="00CD6AE6" w:rsidRDefault="00A37D39" w:rsidP="006F161A">
            <w:pPr>
              <w:pStyle w:val="NoSpacing"/>
              <w:rPr>
                <w:color w:val="000000"/>
                <w:lang w:eastAsia="es-UY"/>
              </w:rPr>
            </w:pPr>
            <w:r w:rsidRPr="00CD6AE6">
              <w:rPr>
                <w:color w:val="000000"/>
                <w:lang w:eastAsia="es-UY"/>
              </w:rPr>
              <w:t>%</w:t>
            </w:r>
          </w:p>
        </w:tc>
        <w:tc>
          <w:tcPr>
            <w:tcW w:w="1075" w:type="dxa"/>
            <w:shd w:val="clear" w:color="auto" w:fill="auto"/>
            <w:noWrap/>
            <w:vAlign w:val="center"/>
            <w:hideMark/>
          </w:tcPr>
          <w:p w:rsidR="00A37D39" w:rsidRPr="00CD6AE6" w:rsidRDefault="00A37D39" w:rsidP="000B7A0F">
            <w:pPr>
              <w:pStyle w:val="NoSpacing"/>
              <w:jc w:val="right"/>
              <w:rPr>
                <w:color w:val="000000"/>
                <w:lang w:eastAsia="es-UY"/>
              </w:rPr>
            </w:pPr>
            <w:r w:rsidRPr="00CD6AE6">
              <w:rPr>
                <w:color w:val="000000"/>
                <w:lang w:eastAsia="es-UY"/>
              </w:rPr>
              <w:t>22.0%</w:t>
            </w:r>
          </w:p>
        </w:tc>
        <w:tc>
          <w:tcPr>
            <w:tcW w:w="1170" w:type="dxa"/>
            <w:shd w:val="clear" w:color="auto" w:fill="auto"/>
            <w:noWrap/>
            <w:vAlign w:val="center"/>
            <w:hideMark/>
          </w:tcPr>
          <w:p w:rsidR="00A37D39" w:rsidRPr="00CD6AE6" w:rsidRDefault="00A37D39" w:rsidP="000B7A0F">
            <w:pPr>
              <w:pStyle w:val="NoSpacing"/>
              <w:jc w:val="right"/>
              <w:rPr>
                <w:color w:val="000000"/>
                <w:lang w:eastAsia="es-UY"/>
              </w:rPr>
            </w:pPr>
            <w:r w:rsidRPr="00CD6AE6">
              <w:rPr>
                <w:color w:val="000000"/>
                <w:lang w:eastAsia="es-UY"/>
              </w:rPr>
              <w:t>15.8%</w:t>
            </w:r>
          </w:p>
        </w:tc>
        <w:tc>
          <w:tcPr>
            <w:tcW w:w="1170" w:type="dxa"/>
            <w:shd w:val="clear" w:color="auto" w:fill="auto"/>
            <w:noWrap/>
            <w:vAlign w:val="center"/>
            <w:hideMark/>
          </w:tcPr>
          <w:p w:rsidR="00A37D39" w:rsidRPr="00CD6AE6" w:rsidRDefault="00A37D39" w:rsidP="000B7A0F">
            <w:pPr>
              <w:pStyle w:val="NoSpacing"/>
              <w:jc w:val="right"/>
              <w:rPr>
                <w:color w:val="000000"/>
                <w:lang w:eastAsia="es-UY"/>
              </w:rPr>
            </w:pPr>
            <w:r w:rsidRPr="00CD6AE6">
              <w:rPr>
                <w:color w:val="000000"/>
                <w:lang w:eastAsia="es-UY"/>
              </w:rPr>
              <w:t>21.1%</w:t>
            </w:r>
          </w:p>
        </w:tc>
        <w:tc>
          <w:tcPr>
            <w:tcW w:w="1080" w:type="dxa"/>
            <w:shd w:val="clear" w:color="auto" w:fill="auto"/>
            <w:noWrap/>
            <w:vAlign w:val="center"/>
            <w:hideMark/>
          </w:tcPr>
          <w:p w:rsidR="00A37D39" w:rsidRPr="00CD6AE6" w:rsidRDefault="00A37D39" w:rsidP="000B7A0F">
            <w:pPr>
              <w:pStyle w:val="NoSpacing"/>
              <w:jc w:val="right"/>
              <w:rPr>
                <w:color w:val="000000"/>
                <w:lang w:eastAsia="es-UY"/>
              </w:rPr>
            </w:pPr>
            <w:r w:rsidRPr="00CD6AE6">
              <w:rPr>
                <w:color w:val="000000"/>
                <w:lang w:eastAsia="es-UY"/>
              </w:rPr>
              <w:t>20.3%</w:t>
            </w:r>
          </w:p>
        </w:tc>
        <w:tc>
          <w:tcPr>
            <w:tcW w:w="990" w:type="dxa"/>
            <w:shd w:val="clear" w:color="auto" w:fill="auto"/>
            <w:noWrap/>
            <w:vAlign w:val="center"/>
            <w:hideMark/>
          </w:tcPr>
          <w:p w:rsidR="00A37D39" w:rsidRPr="00CD6AE6" w:rsidRDefault="00A37D39" w:rsidP="000B7A0F">
            <w:pPr>
              <w:pStyle w:val="NoSpacing"/>
              <w:jc w:val="right"/>
              <w:rPr>
                <w:color w:val="000000"/>
                <w:lang w:eastAsia="es-UY"/>
              </w:rPr>
            </w:pPr>
            <w:r w:rsidRPr="00CD6AE6">
              <w:rPr>
                <w:color w:val="000000"/>
                <w:lang w:eastAsia="es-UY"/>
              </w:rPr>
              <w:t>20.8%</w:t>
            </w:r>
          </w:p>
        </w:tc>
        <w:tc>
          <w:tcPr>
            <w:tcW w:w="810" w:type="dxa"/>
            <w:shd w:val="clear" w:color="auto" w:fill="auto"/>
            <w:noWrap/>
            <w:vAlign w:val="center"/>
            <w:hideMark/>
          </w:tcPr>
          <w:p w:rsidR="00A37D39" w:rsidRPr="00CD6AE6" w:rsidRDefault="00A37D39" w:rsidP="000B7A0F">
            <w:pPr>
              <w:pStyle w:val="NoSpacing"/>
              <w:jc w:val="right"/>
              <w:rPr>
                <w:color w:val="000000"/>
                <w:lang w:eastAsia="es-UY"/>
              </w:rPr>
            </w:pPr>
            <w:r w:rsidRPr="00CD6AE6">
              <w:rPr>
                <w:color w:val="000000"/>
                <w:lang w:eastAsia="es-UY"/>
              </w:rPr>
              <w:t>100%</w:t>
            </w:r>
          </w:p>
        </w:tc>
        <w:tc>
          <w:tcPr>
            <w:tcW w:w="815" w:type="dxa"/>
            <w:shd w:val="clear" w:color="auto" w:fill="auto"/>
            <w:noWrap/>
            <w:vAlign w:val="center"/>
            <w:hideMark/>
          </w:tcPr>
          <w:p w:rsidR="00A37D39" w:rsidRPr="00CD6AE6" w:rsidRDefault="00A37D39" w:rsidP="000B7A0F">
            <w:pPr>
              <w:pStyle w:val="NoSpacing"/>
              <w:jc w:val="center"/>
              <w:rPr>
                <w:color w:val="000000"/>
                <w:lang w:eastAsia="es-UY"/>
              </w:rPr>
            </w:pPr>
          </w:p>
        </w:tc>
      </w:tr>
    </w:tbl>
    <w:p w:rsidR="00A37D39" w:rsidRPr="00CD6AE6" w:rsidRDefault="00A37D39" w:rsidP="00234D6D">
      <w:pPr>
        <w:rPr>
          <w:rFonts w:cs="Arial"/>
          <w:szCs w:val="20"/>
          <w:lang w:val="es-UY"/>
        </w:rPr>
      </w:pPr>
    </w:p>
    <w:p w:rsidR="002C3255" w:rsidRPr="00CD6AE6" w:rsidRDefault="002C3255" w:rsidP="00872A3D">
      <w:pPr>
        <w:pStyle w:val="Heading1"/>
      </w:pPr>
      <w:bookmarkStart w:id="36" w:name="_Toc461731180"/>
      <w:r w:rsidRPr="00CD6AE6">
        <w:t xml:space="preserve">EJECUCIÓN DEL </w:t>
      </w:r>
      <w:bookmarkEnd w:id="25"/>
      <w:bookmarkEnd w:id="26"/>
      <w:bookmarkEnd w:id="27"/>
      <w:bookmarkEnd w:id="28"/>
      <w:bookmarkEnd w:id="29"/>
      <w:r w:rsidRPr="00CD6AE6">
        <w:t>PROGRAMA</w:t>
      </w:r>
      <w:bookmarkEnd w:id="30"/>
      <w:bookmarkEnd w:id="31"/>
      <w:bookmarkEnd w:id="32"/>
      <w:bookmarkEnd w:id="33"/>
      <w:bookmarkEnd w:id="34"/>
      <w:bookmarkEnd w:id="35"/>
      <w:bookmarkEnd w:id="36"/>
    </w:p>
    <w:p w:rsidR="002C3255" w:rsidRPr="00CD6AE6" w:rsidRDefault="002C3255" w:rsidP="00BE1150">
      <w:pPr>
        <w:pStyle w:val="Heading2"/>
        <w:numPr>
          <w:ilvl w:val="1"/>
          <w:numId w:val="8"/>
        </w:numPr>
      </w:pPr>
      <w:bookmarkStart w:id="37" w:name="_Toc202247761"/>
      <w:bookmarkStart w:id="38" w:name="_Toc48461684"/>
      <w:bookmarkStart w:id="39" w:name="_Toc106996756"/>
      <w:bookmarkStart w:id="40" w:name="_Toc106996894"/>
      <w:bookmarkStart w:id="41" w:name="_Toc108506427"/>
      <w:bookmarkStart w:id="42" w:name="_Toc110493052"/>
      <w:bookmarkStart w:id="43" w:name="_Toc134589622"/>
      <w:r w:rsidRPr="00CD6AE6">
        <w:t>Organización para la ejecución</w:t>
      </w:r>
      <w:bookmarkEnd w:id="37"/>
    </w:p>
    <w:p w:rsidR="002C3255" w:rsidRPr="00CD6AE6" w:rsidRDefault="002C3255" w:rsidP="00D4226A">
      <w:pPr>
        <w:pStyle w:val="Paragraph"/>
      </w:pPr>
      <w:bookmarkStart w:id="44" w:name="_Ref450294414"/>
      <w:bookmarkStart w:id="45" w:name="_Ref450282869"/>
      <w:bookmarkStart w:id="46" w:name="_Toc116452337"/>
      <w:bookmarkStart w:id="47" w:name="_Toc116452758"/>
      <w:bookmarkStart w:id="48" w:name="_Toc110493055"/>
      <w:bookmarkEnd w:id="38"/>
      <w:bookmarkEnd w:id="39"/>
      <w:bookmarkEnd w:id="40"/>
      <w:bookmarkEnd w:id="41"/>
      <w:bookmarkEnd w:id="42"/>
      <w:bookmarkEnd w:id="43"/>
      <w:r w:rsidRPr="00CD6AE6">
        <w:rPr>
          <w:u w:val="single"/>
        </w:rPr>
        <w:t>Prestatario del financiamiento</w:t>
      </w:r>
      <w:r w:rsidRPr="00CD6AE6">
        <w:t xml:space="preserve">: República Oriental del Uruguay. </w:t>
      </w:r>
    </w:p>
    <w:p w:rsidR="002C3255" w:rsidRPr="00CD6AE6" w:rsidRDefault="002C3255" w:rsidP="00D4226A">
      <w:pPr>
        <w:pStyle w:val="Paragraph"/>
      </w:pPr>
      <w:r w:rsidRPr="00CD6AE6">
        <w:rPr>
          <w:u w:val="single"/>
        </w:rPr>
        <w:t>Organismo ejecutor</w:t>
      </w:r>
      <w:r w:rsidRPr="00CD6AE6">
        <w:t xml:space="preserve">: Administración Nacional de Educación Pública (ANEP). </w:t>
      </w:r>
    </w:p>
    <w:p w:rsidR="002C3255" w:rsidRPr="00CD6AE6" w:rsidRDefault="002C3255" w:rsidP="00A83DF4">
      <w:pPr>
        <w:pStyle w:val="Heading3"/>
        <w:rPr>
          <w:lang w:val="es-UY"/>
        </w:rPr>
      </w:pPr>
      <w:r w:rsidRPr="00CD6AE6">
        <w:rPr>
          <w:lang w:val="es-UY"/>
        </w:rPr>
        <w:t>Esquema de ejecución</w:t>
      </w:r>
    </w:p>
    <w:p w:rsidR="00B47A4B" w:rsidRPr="00B47A4B" w:rsidRDefault="00B47A4B" w:rsidP="00B47A4B">
      <w:pPr>
        <w:pStyle w:val="Paragraph"/>
      </w:pPr>
      <w:bookmarkStart w:id="49" w:name="_Ref180514884"/>
      <w:r w:rsidRPr="00B47A4B">
        <w:t xml:space="preserve">El organismo ejecutor del programa será la ANEP y la Unidad Ejecutora (UE) del Programa PAEMFE desarrollará la coordinación operativa. En relación a los aspectos estratégicos las coordinaciones se realizarán entre las autoridades de los Consejos, las de CODICEN y PAEMFE. </w:t>
      </w:r>
    </w:p>
    <w:p w:rsidR="00B47A4B" w:rsidRPr="00B47A4B" w:rsidRDefault="00B47A4B" w:rsidP="00B47A4B">
      <w:pPr>
        <w:pStyle w:val="Paragraph"/>
      </w:pPr>
      <w:r w:rsidRPr="00B47A4B">
        <w:t xml:space="preserve">La UCP funcionará de acuerdo con los procedimientos y manuales aplicados en el Programa MEMFOD (UR0132; 1361/OC-UR) y PAEMFE (2480/OC-UR), con las </w:t>
      </w:r>
      <w:r>
        <w:t xml:space="preserve">revisiones y </w:t>
      </w:r>
      <w:r w:rsidRPr="00B47A4B">
        <w:t>actualizaciones que sean necesarias durante la ejecución</w:t>
      </w:r>
      <w:r>
        <w:t>, y acordadas con el Banco</w:t>
      </w:r>
      <w:r w:rsidRPr="00B47A4B">
        <w:t>.</w:t>
      </w:r>
    </w:p>
    <w:p w:rsidR="00B47A4B" w:rsidRPr="00B47A4B" w:rsidRDefault="00B47A4B" w:rsidP="00B47A4B">
      <w:pPr>
        <w:pStyle w:val="Paragraph"/>
      </w:pPr>
      <w:r w:rsidRPr="00B47A4B">
        <w:t xml:space="preserve">La UE será la responsable de, entre otras, las siguientes tareas: (i) gestionar y acompañar las contrataciones y adquisiciones de obras, bienes y servicios; (ii) tramitar ante el Banco los desembolsos del préstamo; (iii) contratar las evaluaciones; (iv) realizar las gestiones relativas a la auditoría externa; (v) preparar y presentar al Banco de los planes operativos (incluyendo el plan Financiero, el plan de adquisiciones y el plan anual operativo, entre otros); (vi) presentar al Banco los informes (incluyendo, auditoría, progreso, evaluaciones) y otros documentos del programa; y (vii) acompañar la supervisión y fiscalización de obras y contratos de servicios. </w:t>
      </w:r>
    </w:p>
    <w:p w:rsidR="002C3255" w:rsidRPr="00CD6AE6" w:rsidRDefault="002C3255" w:rsidP="00493F88">
      <w:pPr>
        <w:pStyle w:val="Paragraph"/>
        <w:numPr>
          <w:ilvl w:val="2"/>
          <w:numId w:val="32"/>
        </w:numPr>
      </w:pPr>
    </w:p>
    <w:p w:rsidR="00B47A4B" w:rsidRDefault="002C3255" w:rsidP="00D4226A">
      <w:pPr>
        <w:pStyle w:val="Paragraph"/>
      </w:pPr>
      <w:r w:rsidRPr="00CD6AE6">
        <w:t xml:space="preserve"> </w:t>
      </w:r>
    </w:p>
    <w:p w:rsidR="002C3255" w:rsidRPr="00CD6AE6" w:rsidRDefault="00B47A4B" w:rsidP="00B47A4B">
      <w:pPr>
        <w:pStyle w:val="Paragraph"/>
      </w:pPr>
      <w:r w:rsidRPr="00B47A4B">
        <w:t>Ámbitos de Coordinación: La UE articulará las decisiones técnicas relativas al proyecto con los Consejos involucrados en cada componente</w:t>
      </w:r>
      <w:r>
        <w:t>. Para ello, c</w:t>
      </w:r>
      <w:r w:rsidR="002C3255" w:rsidRPr="00CD6AE6">
        <w:t xml:space="preserve">ada Consejo designará su referente técnico para coordinar los temas que le corresponden en el Programa. </w:t>
      </w:r>
      <w:bookmarkStart w:id="50" w:name="_Ref181513903"/>
      <w:r w:rsidR="002C3255" w:rsidRPr="00CD6AE6">
        <w:t xml:space="preserve">Asimismo, se prevé la organización de comisiones de trabajo por línea de acción con integrantes de los Consejos Desconcentrados participantes.  </w:t>
      </w:r>
      <w:bookmarkEnd w:id="50"/>
      <w:r w:rsidR="002C3255" w:rsidRPr="00CD6AE6">
        <w:t xml:space="preserve">A nivel gerencial, la coordinación se realizará entre el cuerpo directivo de cada Consejo y los integrantes del CODICEN, siguiendo los procedimientos habituales de la ANEP.  </w:t>
      </w:r>
      <w:bookmarkEnd w:id="49"/>
      <w:r w:rsidR="002C3255" w:rsidRPr="00CD6AE6">
        <w:t xml:space="preserve">La responsabilidad de cada Consejo en el desarrollo de las acciones del Programa se detalla en el Cuadro III-1. </w:t>
      </w:r>
    </w:p>
    <w:p w:rsidR="002C3255" w:rsidRPr="00CD6AE6" w:rsidRDefault="002C3255" w:rsidP="006570F7">
      <w:pPr>
        <w:jc w:val="center"/>
        <w:rPr>
          <w:b/>
          <w:lang w:val="es-UY"/>
        </w:rPr>
      </w:pPr>
      <w:r w:rsidRPr="00CD6AE6">
        <w:rPr>
          <w:b/>
          <w:lang w:val="es-UY"/>
        </w:rPr>
        <w:t>Cuadro III-1: Áreas Técnicas</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065"/>
        <w:gridCol w:w="5310"/>
        <w:gridCol w:w="1530"/>
      </w:tblGrid>
      <w:tr w:rsidR="00E37D89" w:rsidRPr="00CD6AE6" w:rsidTr="00D62AD6">
        <w:trPr>
          <w:jc w:val="center"/>
        </w:trPr>
        <w:tc>
          <w:tcPr>
            <w:tcW w:w="2065" w:type="dxa"/>
            <w:shd w:val="clear" w:color="auto" w:fill="D9D9D9"/>
            <w:vAlign w:val="center"/>
          </w:tcPr>
          <w:p w:rsidR="00E37D89" w:rsidRPr="00CD6AE6" w:rsidRDefault="00E37D89" w:rsidP="006F161A">
            <w:pPr>
              <w:pStyle w:val="NoSpacing"/>
            </w:pPr>
            <w:r w:rsidRPr="00CD6AE6">
              <w:t>Componente</w:t>
            </w:r>
          </w:p>
        </w:tc>
        <w:tc>
          <w:tcPr>
            <w:tcW w:w="5310" w:type="dxa"/>
            <w:shd w:val="clear" w:color="auto" w:fill="D9D9D9"/>
            <w:vAlign w:val="center"/>
          </w:tcPr>
          <w:p w:rsidR="00E37D89" w:rsidRPr="00CD6AE6" w:rsidRDefault="00E37D89" w:rsidP="006F161A">
            <w:pPr>
              <w:pStyle w:val="NoSpacing"/>
            </w:pPr>
            <w:r w:rsidRPr="00CD6AE6">
              <w:t>Actividad</w:t>
            </w:r>
          </w:p>
        </w:tc>
        <w:tc>
          <w:tcPr>
            <w:tcW w:w="1530" w:type="dxa"/>
            <w:shd w:val="clear" w:color="auto" w:fill="D9D9D9"/>
            <w:vAlign w:val="center"/>
          </w:tcPr>
          <w:p w:rsidR="00E37D89" w:rsidRPr="00CD6AE6" w:rsidRDefault="00E37D89" w:rsidP="006F161A">
            <w:pPr>
              <w:pStyle w:val="NoSpacing"/>
            </w:pPr>
            <w:r w:rsidRPr="00CD6AE6">
              <w:t>Consejos involucrados</w:t>
            </w:r>
          </w:p>
        </w:tc>
      </w:tr>
      <w:tr w:rsidR="00E37D89" w:rsidRPr="00CD6AE6" w:rsidTr="00D62AD6">
        <w:trPr>
          <w:jc w:val="center"/>
        </w:trPr>
        <w:tc>
          <w:tcPr>
            <w:tcW w:w="2065" w:type="dxa"/>
            <w:vMerge w:val="restart"/>
            <w:vAlign w:val="center"/>
          </w:tcPr>
          <w:p w:rsidR="00E37D89" w:rsidRPr="00CD6AE6" w:rsidRDefault="00E37D89" w:rsidP="009A7C6C">
            <w:pPr>
              <w:pStyle w:val="NoSpacing"/>
            </w:pPr>
            <w:r w:rsidRPr="00CD6AE6">
              <w:t>Mejora de la calidad educativa</w:t>
            </w:r>
          </w:p>
        </w:tc>
        <w:tc>
          <w:tcPr>
            <w:tcW w:w="5310" w:type="dxa"/>
            <w:vAlign w:val="center"/>
          </w:tcPr>
          <w:p w:rsidR="00E37D89" w:rsidRPr="00CD6AE6" w:rsidRDefault="00E37D89" w:rsidP="006F161A">
            <w:pPr>
              <w:pStyle w:val="NoSpacing"/>
            </w:pPr>
            <w:r w:rsidRPr="00CD6AE6">
              <w:t>Perfiles de egreso y progresión de aprendizajes para EM</w:t>
            </w:r>
          </w:p>
        </w:tc>
        <w:tc>
          <w:tcPr>
            <w:tcW w:w="1530" w:type="dxa"/>
            <w:shd w:val="clear" w:color="auto" w:fill="auto"/>
            <w:vAlign w:val="center"/>
          </w:tcPr>
          <w:p w:rsidR="00E37D89" w:rsidRPr="00CD6AE6" w:rsidRDefault="00E37D89" w:rsidP="006F161A">
            <w:pPr>
              <w:pStyle w:val="NoSpacing"/>
            </w:pPr>
            <w:r w:rsidRPr="00CD6AE6">
              <w:t>CODICEN – CES - CETP</w:t>
            </w:r>
          </w:p>
        </w:tc>
      </w:tr>
      <w:tr w:rsidR="00E37D89" w:rsidRPr="00CD6AE6" w:rsidTr="00D62AD6">
        <w:trPr>
          <w:jc w:val="center"/>
        </w:trPr>
        <w:tc>
          <w:tcPr>
            <w:tcW w:w="2065" w:type="dxa"/>
            <w:vMerge/>
            <w:vAlign w:val="center"/>
          </w:tcPr>
          <w:p w:rsidR="00E37D89" w:rsidRPr="00CD6AE6" w:rsidRDefault="00E37D89" w:rsidP="006F161A">
            <w:pPr>
              <w:pStyle w:val="NoSpacing"/>
            </w:pPr>
          </w:p>
        </w:tc>
        <w:tc>
          <w:tcPr>
            <w:tcW w:w="5310" w:type="dxa"/>
            <w:vAlign w:val="center"/>
          </w:tcPr>
          <w:p w:rsidR="00E37D89" w:rsidRPr="00853AAB" w:rsidRDefault="00E37D89" w:rsidP="006F161A">
            <w:pPr>
              <w:pStyle w:val="NoSpacing"/>
              <w:rPr>
                <w:lang w:val="pt-BR"/>
              </w:rPr>
            </w:pPr>
            <w:r w:rsidRPr="00853AAB">
              <w:rPr>
                <w:lang w:val="pt-BR"/>
              </w:rPr>
              <w:t>Expansión de jornada de EM</w:t>
            </w:r>
          </w:p>
        </w:tc>
        <w:tc>
          <w:tcPr>
            <w:tcW w:w="1530" w:type="dxa"/>
            <w:shd w:val="clear" w:color="auto" w:fill="auto"/>
            <w:vAlign w:val="center"/>
          </w:tcPr>
          <w:p w:rsidR="00E37D89" w:rsidRPr="00CD6AE6" w:rsidRDefault="00E37D89" w:rsidP="006F161A">
            <w:pPr>
              <w:pStyle w:val="NoSpacing"/>
            </w:pPr>
            <w:r w:rsidRPr="00CD6AE6">
              <w:t>CES</w:t>
            </w:r>
          </w:p>
        </w:tc>
      </w:tr>
      <w:tr w:rsidR="00E37D89" w:rsidRPr="00CD6AE6" w:rsidTr="00D62AD6">
        <w:trPr>
          <w:jc w:val="center"/>
        </w:trPr>
        <w:tc>
          <w:tcPr>
            <w:tcW w:w="2065" w:type="dxa"/>
            <w:vMerge/>
            <w:vAlign w:val="center"/>
          </w:tcPr>
          <w:p w:rsidR="00E37D89" w:rsidRPr="00CD6AE6" w:rsidRDefault="00E37D89" w:rsidP="006F161A">
            <w:pPr>
              <w:pStyle w:val="NoSpacing"/>
            </w:pPr>
          </w:p>
        </w:tc>
        <w:tc>
          <w:tcPr>
            <w:tcW w:w="5310" w:type="dxa"/>
            <w:vAlign w:val="center"/>
          </w:tcPr>
          <w:p w:rsidR="00E37D89" w:rsidRPr="00CD6AE6" w:rsidRDefault="00E37D89" w:rsidP="006F161A">
            <w:pPr>
              <w:pStyle w:val="NoSpacing"/>
            </w:pPr>
            <w:r w:rsidRPr="00CD6AE6">
              <w:t>Aulas digitales</w:t>
            </w:r>
          </w:p>
        </w:tc>
        <w:tc>
          <w:tcPr>
            <w:tcW w:w="1530" w:type="dxa"/>
            <w:shd w:val="clear" w:color="auto" w:fill="auto"/>
            <w:vAlign w:val="center"/>
          </w:tcPr>
          <w:p w:rsidR="00E37D89" w:rsidRPr="00CD6AE6" w:rsidRDefault="00E37D89" w:rsidP="006F161A">
            <w:pPr>
              <w:pStyle w:val="NoSpacing"/>
            </w:pPr>
            <w:r w:rsidRPr="00CD6AE6">
              <w:t>CETP</w:t>
            </w:r>
          </w:p>
        </w:tc>
      </w:tr>
      <w:tr w:rsidR="00E37D89" w:rsidRPr="00CD6AE6" w:rsidTr="00D62AD6">
        <w:trPr>
          <w:jc w:val="center"/>
        </w:trPr>
        <w:tc>
          <w:tcPr>
            <w:tcW w:w="2065" w:type="dxa"/>
            <w:vMerge w:val="restart"/>
            <w:vAlign w:val="center"/>
          </w:tcPr>
          <w:p w:rsidR="00E37D89" w:rsidRPr="00CD6AE6" w:rsidRDefault="00E37D89" w:rsidP="006F161A">
            <w:pPr>
              <w:pStyle w:val="NoSpacing"/>
            </w:pPr>
            <w:r w:rsidRPr="00CD6AE6">
              <w:t>Formación en educación</w:t>
            </w:r>
          </w:p>
        </w:tc>
        <w:tc>
          <w:tcPr>
            <w:tcW w:w="5310" w:type="dxa"/>
            <w:vAlign w:val="center"/>
          </w:tcPr>
          <w:p w:rsidR="00E37D89" w:rsidRPr="00CD6AE6" w:rsidRDefault="00E37D89" w:rsidP="006F161A">
            <w:pPr>
              <w:pStyle w:val="NoSpacing"/>
            </w:pPr>
            <w:r w:rsidRPr="00CD6AE6">
              <w:t>Nuevo plan de estudios para FI</w:t>
            </w:r>
          </w:p>
        </w:tc>
        <w:tc>
          <w:tcPr>
            <w:tcW w:w="1530" w:type="dxa"/>
            <w:shd w:val="clear" w:color="auto" w:fill="auto"/>
            <w:vAlign w:val="center"/>
          </w:tcPr>
          <w:p w:rsidR="00E37D89" w:rsidRPr="00CD6AE6" w:rsidRDefault="00E37D89" w:rsidP="006F161A">
            <w:pPr>
              <w:pStyle w:val="NoSpacing"/>
            </w:pPr>
            <w:r w:rsidRPr="00CD6AE6">
              <w:t>CFE</w:t>
            </w:r>
          </w:p>
        </w:tc>
      </w:tr>
      <w:tr w:rsidR="00E37D89" w:rsidRPr="00CD6AE6" w:rsidTr="00D62AD6">
        <w:trPr>
          <w:jc w:val="center"/>
        </w:trPr>
        <w:tc>
          <w:tcPr>
            <w:tcW w:w="2065" w:type="dxa"/>
            <w:vMerge/>
            <w:vAlign w:val="center"/>
          </w:tcPr>
          <w:p w:rsidR="00E37D89" w:rsidRPr="00CD6AE6" w:rsidDel="004C1D20" w:rsidRDefault="00E37D89" w:rsidP="006F161A">
            <w:pPr>
              <w:pStyle w:val="NoSpacing"/>
            </w:pPr>
          </w:p>
        </w:tc>
        <w:tc>
          <w:tcPr>
            <w:tcW w:w="5310" w:type="dxa"/>
            <w:vAlign w:val="center"/>
          </w:tcPr>
          <w:p w:rsidR="00E37D89" w:rsidRPr="00CD6AE6" w:rsidDel="006A0E15" w:rsidRDefault="00E37D89" w:rsidP="006F161A">
            <w:pPr>
              <w:pStyle w:val="NoSpacing"/>
            </w:pPr>
            <w:r w:rsidRPr="00CD6AE6">
              <w:t>Nueva estructura de cargos y grados</w:t>
            </w:r>
          </w:p>
        </w:tc>
        <w:tc>
          <w:tcPr>
            <w:tcW w:w="1530" w:type="dxa"/>
            <w:shd w:val="clear" w:color="auto" w:fill="auto"/>
            <w:vAlign w:val="center"/>
          </w:tcPr>
          <w:p w:rsidR="00E37D89" w:rsidRPr="00CD6AE6" w:rsidRDefault="00E37D89" w:rsidP="006F161A">
            <w:pPr>
              <w:pStyle w:val="NoSpacing"/>
            </w:pPr>
            <w:r w:rsidRPr="00CD6AE6">
              <w:t>CFE</w:t>
            </w:r>
          </w:p>
        </w:tc>
      </w:tr>
      <w:tr w:rsidR="00E37D89" w:rsidRPr="00CD6AE6" w:rsidTr="00D62AD6">
        <w:trPr>
          <w:jc w:val="center"/>
        </w:trPr>
        <w:tc>
          <w:tcPr>
            <w:tcW w:w="2065" w:type="dxa"/>
            <w:vMerge/>
            <w:vAlign w:val="center"/>
          </w:tcPr>
          <w:p w:rsidR="00E37D89" w:rsidRPr="00CD6AE6" w:rsidDel="004C1D20" w:rsidRDefault="00E37D89" w:rsidP="006F161A">
            <w:pPr>
              <w:pStyle w:val="NoSpacing"/>
            </w:pPr>
          </w:p>
        </w:tc>
        <w:tc>
          <w:tcPr>
            <w:tcW w:w="5310" w:type="dxa"/>
            <w:vAlign w:val="center"/>
          </w:tcPr>
          <w:p w:rsidR="00E37D89" w:rsidRPr="00CD6AE6" w:rsidDel="006A0E15" w:rsidRDefault="00E37D89" w:rsidP="006F161A">
            <w:pPr>
              <w:pStyle w:val="NoSpacing"/>
            </w:pPr>
            <w:r w:rsidRPr="00CD6AE6">
              <w:t>Acompañamiento a docentes noveles en EM</w:t>
            </w:r>
          </w:p>
        </w:tc>
        <w:tc>
          <w:tcPr>
            <w:tcW w:w="1530" w:type="dxa"/>
            <w:shd w:val="clear" w:color="auto" w:fill="auto"/>
            <w:vAlign w:val="center"/>
          </w:tcPr>
          <w:p w:rsidR="00E37D89" w:rsidRPr="00CD6AE6" w:rsidRDefault="00E37D89" w:rsidP="006F161A">
            <w:pPr>
              <w:pStyle w:val="NoSpacing"/>
            </w:pPr>
            <w:r w:rsidRPr="00CD6AE6">
              <w:t>CFE-CES-CETP</w:t>
            </w:r>
          </w:p>
        </w:tc>
      </w:tr>
      <w:tr w:rsidR="00E37D89" w:rsidRPr="00CD6AE6" w:rsidTr="00981691">
        <w:trPr>
          <w:jc w:val="center"/>
        </w:trPr>
        <w:tc>
          <w:tcPr>
            <w:tcW w:w="2065" w:type="dxa"/>
            <w:vMerge w:val="restart"/>
            <w:vAlign w:val="center"/>
          </w:tcPr>
          <w:p w:rsidR="00E37D89" w:rsidRPr="00CD6AE6" w:rsidRDefault="00E37D89" w:rsidP="006F161A">
            <w:pPr>
              <w:pStyle w:val="NoSpacing"/>
            </w:pPr>
            <w:r w:rsidRPr="00CD6AE6">
              <w:t>Integración</w:t>
            </w:r>
            <w:r w:rsidR="00FA29C4" w:rsidRPr="00CD6AE6">
              <w:t xml:space="preserve"> terri</w:t>
            </w:r>
            <w:r w:rsidR="009A7C6C" w:rsidRPr="00CD6AE6">
              <w:t>torial</w:t>
            </w:r>
            <w:r w:rsidRPr="00CD6AE6">
              <w:t xml:space="preserve"> y gestión para la mejora educativa</w:t>
            </w:r>
          </w:p>
        </w:tc>
        <w:tc>
          <w:tcPr>
            <w:tcW w:w="5310" w:type="dxa"/>
            <w:vAlign w:val="center"/>
          </w:tcPr>
          <w:p w:rsidR="00E37D89" w:rsidRPr="00CD6AE6" w:rsidRDefault="00E37D89" w:rsidP="006F161A">
            <w:pPr>
              <w:pStyle w:val="NoSpacing"/>
            </w:pPr>
            <w:r w:rsidRPr="00CD6AE6">
              <w:t>Sistema de aseguramiento de la calidad</w:t>
            </w:r>
          </w:p>
        </w:tc>
        <w:tc>
          <w:tcPr>
            <w:tcW w:w="1530" w:type="dxa"/>
            <w:vMerge w:val="restart"/>
            <w:shd w:val="clear" w:color="auto" w:fill="auto"/>
            <w:vAlign w:val="center"/>
          </w:tcPr>
          <w:p w:rsidR="00E37D89" w:rsidRPr="00CD6AE6" w:rsidRDefault="00E37D89" w:rsidP="006F161A">
            <w:pPr>
              <w:pStyle w:val="NoSpacing"/>
            </w:pPr>
            <w:r w:rsidRPr="00CD6AE6">
              <w:t>CODICEN – CES - CETP</w:t>
            </w:r>
          </w:p>
          <w:p w:rsidR="00E37D89" w:rsidRPr="00CD6AE6" w:rsidRDefault="00E37D89" w:rsidP="006F161A">
            <w:pPr>
              <w:pStyle w:val="NoSpacing"/>
            </w:pPr>
            <w:r w:rsidRPr="00CD6AE6">
              <w:t>CODICEN</w:t>
            </w:r>
          </w:p>
        </w:tc>
      </w:tr>
      <w:tr w:rsidR="00E37D89" w:rsidRPr="00CD6AE6" w:rsidTr="00981691">
        <w:trPr>
          <w:jc w:val="center"/>
        </w:trPr>
        <w:tc>
          <w:tcPr>
            <w:tcW w:w="2065" w:type="dxa"/>
            <w:vMerge/>
            <w:vAlign w:val="center"/>
          </w:tcPr>
          <w:p w:rsidR="00E37D89" w:rsidRPr="00CD6AE6" w:rsidDel="006A0E15" w:rsidRDefault="00E37D89" w:rsidP="006F161A">
            <w:pPr>
              <w:pStyle w:val="NoSpacing"/>
            </w:pPr>
          </w:p>
        </w:tc>
        <w:tc>
          <w:tcPr>
            <w:tcW w:w="5310" w:type="dxa"/>
            <w:vAlign w:val="center"/>
          </w:tcPr>
          <w:p w:rsidR="00E37D89" w:rsidRPr="00CD6AE6" w:rsidRDefault="00E37D89" w:rsidP="006F161A">
            <w:pPr>
              <w:pStyle w:val="NoSpacing"/>
            </w:pPr>
            <w:r w:rsidRPr="00CD6AE6">
              <w:t>Sistema de protección de trayectorias</w:t>
            </w:r>
          </w:p>
        </w:tc>
        <w:tc>
          <w:tcPr>
            <w:tcW w:w="1530" w:type="dxa"/>
            <w:vMerge/>
            <w:shd w:val="clear" w:color="auto" w:fill="auto"/>
            <w:vAlign w:val="center"/>
          </w:tcPr>
          <w:p w:rsidR="00E37D89" w:rsidRPr="00CD6AE6" w:rsidRDefault="00E37D89" w:rsidP="006F161A">
            <w:pPr>
              <w:pStyle w:val="NoSpacing"/>
            </w:pPr>
          </w:p>
        </w:tc>
      </w:tr>
      <w:tr w:rsidR="00E37D89" w:rsidRPr="00CD6AE6" w:rsidTr="00981691">
        <w:trPr>
          <w:jc w:val="center"/>
        </w:trPr>
        <w:tc>
          <w:tcPr>
            <w:tcW w:w="2065" w:type="dxa"/>
            <w:vMerge/>
            <w:vAlign w:val="center"/>
          </w:tcPr>
          <w:p w:rsidR="00E37D89" w:rsidRPr="00CD6AE6" w:rsidDel="006A0E15" w:rsidRDefault="00E37D89" w:rsidP="006F161A">
            <w:pPr>
              <w:pStyle w:val="NoSpacing"/>
            </w:pPr>
          </w:p>
        </w:tc>
        <w:tc>
          <w:tcPr>
            <w:tcW w:w="5310" w:type="dxa"/>
            <w:vAlign w:val="center"/>
          </w:tcPr>
          <w:p w:rsidR="00E37D89" w:rsidRPr="00CD6AE6" w:rsidRDefault="00E37D89" w:rsidP="006F161A">
            <w:pPr>
              <w:pStyle w:val="NoSpacing"/>
            </w:pPr>
            <w:r w:rsidRPr="00CD6AE6">
              <w:t>Fortalecimiento de las Comisiones Descentralizadas y las UCDIEs</w:t>
            </w:r>
          </w:p>
        </w:tc>
        <w:tc>
          <w:tcPr>
            <w:tcW w:w="1530" w:type="dxa"/>
            <w:vMerge/>
            <w:shd w:val="clear" w:color="auto" w:fill="auto"/>
            <w:vAlign w:val="center"/>
          </w:tcPr>
          <w:p w:rsidR="00E37D89" w:rsidRPr="00CD6AE6" w:rsidRDefault="00E37D89" w:rsidP="006F161A">
            <w:pPr>
              <w:pStyle w:val="NoSpacing"/>
            </w:pPr>
          </w:p>
        </w:tc>
      </w:tr>
      <w:tr w:rsidR="00E37D89" w:rsidRPr="00CD6AE6" w:rsidTr="00D62AD6">
        <w:trPr>
          <w:jc w:val="center"/>
        </w:trPr>
        <w:tc>
          <w:tcPr>
            <w:tcW w:w="2065" w:type="dxa"/>
            <w:vMerge/>
            <w:vAlign w:val="center"/>
          </w:tcPr>
          <w:p w:rsidR="00E37D89" w:rsidRPr="00CD6AE6" w:rsidDel="006A0E15" w:rsidRDefault="00E37D89" w:rsidP="006F161A">
            <w:pPr>
              <w:pStyle w:val="NoSpacing"/>
            </w:pPr>
          </w:p>
        </w:tc>
        <w:tc>
          <w:tcPr>
            <w:tcW w:w="5310" w:type="dxa"/>
            <w:vAlign w:val="center"/>
          </w:tcPr>
          <w:p w:rsidR="00E37D89" w:rsidRPr="00CD6AE6" w:rsidRDefault="00E37D89" w:rsidP="006F161A">
            <w:pPr>
              <w:pStyle w:val="NoSpacing"/>
            </w:pPr>
            <w:r w:rsidRPr="00CD6AE6">
              <w:t>Fortalecimiento de los sistemas de gestión</w:t>
            </w:r>
          </w:p>
        </w:tc>
        <w:tc>
          <w:tcPr>
            <w:tcW w:w="1530" w:type="dxa"/>
            <w:shd w:val="clear" w:color="auto" w:fill="auto"/>
            <w:vAlign w:val="center"/>
          </w:tcPr>
          <w:p w:rsidR="00E37D89" w:rsidRPr="00CD6AE6" w:rsidRDefault="00E37D89" w:rsidP="006F161A">
            <w:pPr>
              <w:pStyle w:val="NoSpacing"/>
            </w:pPr>
            <w:r w:rsidRPr="00CD6AE6">
              <w:t>CODICEN – CES – CFE - CETP</w:t>
            </w:r>
          </w:p>
        </w:tc>
      </w:tr>
      <w:tr w:rsidR="00E37D89" w:rsidRPr="00CD6AE6" w:rsidTr="00D62AD6">
        <w:trPr>
          <w:jc w:val="center"/>
        </w:trPr>
        <w:tc>
          <w:tcPr>
            <w:tcW w:w="2065" w:type="dxa"/>
            <w:vMerge w:val="restart"/>
            <w:vAlign w:val="center"/>
          </w:tcPr>
          <w:p w:rsidR="00E37D89" w:rsidRPr="00CD6AE6" w:rsidRDefault="00E37D89" w:rsidP="006F161A">
            <w:pPr>
              <w:pStyle w:val="NoSpacing"/>
            </w:pPr>
            <w:r w:rsidRPr="00CD6AE6">
              <w:t>Infraestructura para la mejora educativa</w:t>
            </w:r>
          </w:p>
        </w:tc>
        <w:tc>
          <w:tcPr>
            <w:tcW w:w="5310" w:type="dxa"/>
            <w:vAlign w:val="center"/>
          </w:tcPr>
          <w:p w:rsidR="00E37D89" w:rsidRPr="00CD6AE6" w:rsidRDefault="00E37D89" w:rsidP="006F161A">
            <w:pPr>
              <w:pStyle w:val="NoSpacing"/>
            </w:pPr>
            <w:r w:rsidRPr="00CD6AE6">
              <w:t xml:space="preserve">Nuevos centros educativos de EM </w:t>
            </w:r>
          </w:p>
        </w:tc>
        <w:tc>
          <w:tcPr>
            <w:tcW w:w="1530" w:type="dxa"/>
            <w:shd w:val="clear" w:color="auto" w:fill="auto"/>
            <w:vAlign w:val="center"/>
          </w:tcPr>
          <w:p w:rsidR="00E37D89" w:rsidRPr="00CD6AE6" w:rsidRDefault="00E37D89" w:rsidP="006F161A">
            <w:pPr>
              <w:pStyle w:val="NoSpacing"/>
            </w:pPr>
            <w:r w:rsidRPr="00CD6AE6">
              <w:t>CES – CETP</w:t>
            </w:r>
          </w:p>
        </w:tc>
      </w:tr>
      <w:tr w:rsidR="00E37D89" w:rsidRPr="00CD6AE6" w:rsidTr="00D62AD6">
        <w:trPr>
          <w:jc w:val="center"/>
        </w:trPr>
        <w:tc>
          <w:tcPr>
            <w:tcW w:w="2065" w:type="dxa"/>
            <w:vMerge/>
            <w:vAlign w:val="center"/>
          </w:tcPr>
          <w:p w:rsidR="00E37D89" w:rsidRPr="00CD6AE6" w:rsidRDefault="00E37D89" w:rsidP="006F161A">
            <w:pPr>
              <w:pStyle w:val="NoSpacing"/>
            </w:pPr>
          </w:p>
        </w:tc>
        <w:tc>
          <w:tcPr>
            <w:tcW w:w="5310" w:type="dxa"/>
            <w:vAlign w:val="center"/>
          </w:tcPr>
          <w:p w:rsidR="00E37D89" w:rsidRPr="00CD6AE6" w:rsidRDefault="00E37D89" w:rsidP="006F161A">
            <w:pPr>
              <w:pStyle w:val="NoSpacing"/>
            </w:pPr>
            <w:r w:rsidRPr="00CD6AE6">
              <w:t>Ampliación de centros de educación de EM</w:t>
            </w:r>
          </w:p>
        </w:tc>
        <w:tc>
          <w:tcPr>
            <w:tcW w:w="1530" w:type="dxa"/>
            <w:shd w:val="clear" w:color="auto" w:fill="auto"/>
            <w:vAlign w:val="center"/>
          </w:tcPr>
          <w:p w:rsidR="00E37D89" w:rsidRPr="00CD6AE6" w:rsidRDefault="00E37D89" w:rsidP="006F161A">
            <w:pPr>
              <w:pStyle w:val="NoSpacing"/>
            </w:pPr>
            <w:r w:rsidRPr="00CD6AE6">
              <w:t>CES – CETP</w:t>
            </w:r>
          </w:p>
        </w:tc>
      </w:tr>
      <w:tr w:rsidR="00E37D89" w:rsidRPr="00CD6AE6" w:rsidTr="00D62AD6">
        <w:trPr>
          <w:jc w:val="center"/>
        </w:trPr>
        <w:tc>
          <w:tcPr>
            <w:tcW w:w="2065" w:type="dxa"/>
            <w:vMerge/>
            <w:vAlign w:val="center"/>
          </w:tcPr>
          <w:p w:rsidR="00E37D89" w:rsidRPr="00CD6AE6" w:rsidRDefault="00E37D89" w:rsidP="006F161A">
            <w:pPr>
              <w:pStyle w:val="NoSpacing"/>
            </w:pPr>
          </w:p>
        </w:tc>
        <w:tc>
          <w:tcPr>
            <w:tcW w:w="5310" w:type="dxa"/>
            <w:vAlign w:val="center"/>
          </w:tcPr>
          <w:p w:rsidR="00E37D89" w:rsidRPr="00CD6AE6" w:rsidRDefault="00E37D89" w:rsidP="006F161A">
            <w:pPr>
              <w:pStyle w:val="NoSpacing"/>
            </w:pPr>
            <w:r w:rsidRPr="00CD6AE6">
              <w:t>Ampliación de centros de formación inicial</w:t>
            </w:r>
          </w:p>
        </w:tc>
        <w:tc>
          <w:tcPr>
            <w:tcW w:w="1530" w:type="dxa"/>
            <w:shd w:val="clear" w:color="auto" w:fill="auto"/>
            <w:vAlign w:val="center"/>
          </w:tcPr>
          <w:p w:rsidR="00E37D89" w:rsidRPr="00CD6AE6" w:rsidRDefault="00E37D89" w:rsidP="006F161A">
            <w:pPr>
              <w:pStyle w:val="NoSpacing"/>
            </w:pPr>
            <w:r w:rsidRPr="00CD6AE6">
              <w:t>CFE</w:t>
            </w:r>
          </w:p>
        </w:tc>
      </w:tr>
      <w:tr w:rsidR="00E37D89" w:rsidRPr="00CD6AE6" w:rsidTr="00D62AD6">
        <w:trPr>
          <w:jc w:val="center"/>
        </w:trPr>
        <w:tc>
          <w:tcPr>
            <w:tcW w:w="2065" w:type="dxa"/>
            <w:vMerge/>
            <w:vAlign w:val="center"/>
          </w:tcPr>
          <w:p w:rsidR="00E37D89" w:rsidRPr="00CD6AE6" w:rsidRDefault="00E37D89" w:rsidP="006F161A">
            <w:pPr>
              <w:pStyle w:val="NoSpacing"/>
            </w:pPr>
          </w:p>
        </w:tc>
        <w:tc>
          <w:tcPr>
            <w:tcW w:w="5310" w:type="dxa"/>
            <w:vAlign w:val="center"/>
          </w:tcPr>
          <w:p w:rsidR="00E37D89" w:rsidRPr="00CD6AE6" w:rsidRDefault="00E37D89" w:rsidP="006F161A">
            <w:pPr>
              <w:pStyle w:val="NoSpacing"/>
            </w:pPr>
            <w:r w:rsidRPr="00CD6AE6">
              <w:t>Apoyo a gestión de APP</w:t>
            </w:r>
          </w:p>
        </w:tc>
        <w:tc>
          <w:tcPr>
            <w:tcW w:w="1530" w:type="dxa"/>
            <w:shd w:val="clear" w:color="auto" w:fill="auto"/>
            <w:vAlign w:val="center"/>
          </w:tcPr>
          <w:p w:rsidR="00E37D89" w:rsidRPr="00CD6AE6" w:rsidRDefault="00E37D89" w:rsidP="006F161A">
            <w:pPr>
              <w:pStyle w:val="NoSpacing"/>
            </w:pPr>
            <w:r w:rsidRPr="00CD6AE6">
              <w:t>CODICEN</w:t>
            </w:r>
          </w:p>
        </w:tc>
      </w:tr>
      <w:tr w:rsidR="00B47A4B" w:rsidRPr="00CD6AE6" w:rsidTr="00D62AD6">
        <w:trPr>
          <w:jc w:val="center"/>
        </w:trPr>
        <w:tc>
          <w:tcPr>
            <w:tcW w:w="2065" w:type="dxa"/>
            <w:vMerge w:val="restart"/>
            <w:vAlign w:val="center"/>
          </w:tcPr>
          <w:p w:rsidR="00B47A4B" w:rsidRPr="00CD6AE6" w:rsidRDefault="00B47A4B" w:rsidP="006F161A">
            <w:pPr>
              <w:pStyle w:val="NoSpacing"/>
            </w:pPr>
            <w:r>
              <w:t>Administración del Programa</w:t>
            </w:r>
          </w:p>
        </w:tc>
        <w:tc>
          <w:tcPr>
            <w:tcW w:w="5310" w:type="dxa"/>
            <w:vAlign w:val="center"/>
          </w:tcPr>
          <w:p w:rsidR="00B47A4B" w:rsidRPr="00CD6AE6" w:rsidRDefault="00B47A4B" w:rsidP="006F161A">
            <w:pPr>
              <w:pStyle w:val="NoSpacing"/>
            </w:pPr>
            <w:r>
              <w:t>Gestión administrativa</w:t>
            </w:r>
          </w:p>
        </w:tc>
        <w:tc>
          <w:tcPr>
            <w:tcW w:w="1530" w:type="dxa"/>
            <w:shd w:val="clear" w:color="auto" w:fill="auto"/>
            <w:vAlign w:val="center"/>
          </w:tcPr>
          <w:p w:rsidR="00B47A4B" w:rsidRPr="00CD6AE6" w:rsidRDefault="00B47A4B" w:rsidP="006F161A">
            <w:pPr>
              <w:pStyle w:val="NoSpacing"/>
            </w:pPr>
            <w:r>
              <w:t>UP PAEMFE</w:t>
            </w:r>
          </w:p>
        </w:tc>
      </w:tr>
      <w:tr w:rsidR="00B47A4B" w:rsidRPr="00CD6AE6" w:rsidTr="00D62AD6">
        <w:trPr>
          <w:jc w:val="center"/>
        </w:trPr>
        <w:tc>
          <w:tcPr>
            <w:tcW w:w="2065" w:type="dxa"/>
            <w:vMerge/>
            <w:vAlign w:val="center"/>
          </w:tcPr>
          <w:p w:rsidR="00B47A4B" w:rsidRDefault="00B47A4B" w:rsidP="006F161A">
            <w:pPr>
              <w:pStyle w:val="NoSpacing"/>
            </w:pPr>
          </w:p>
        </w:tc>
        <w:tc>
          <w:tcPr>
            <w:tcW w:w="5310" w:type="dxa"/>
            <w:vAlign w:val="center"/>
          </w:tcPr>
          <w:p w:rsidR="00B47A4B" w:rsidRDefault="00B47A4B" w:rsidP="006F161A">
            <w:pPr>
              <w:pStyle w:val="NoSpacing"/>
            </w:pPr>
            <w:r>
              <w:t>Actividades de evaluación</w:t>
            </w:r>
          </w:p>
        </w:tc>
        <w:tc>
          <w:tcPr>
            <w:tcW w:w="1530" w:type="dxa"/>
            <w:shd w:val="clear" w:color="auto" w:fill="auto"/>
            <w:vAlign w:val="center"/>
          </w:tcPr>
          <w:p w:rsidR="00B47A4B" w:rsidRDefault="00B47A4B" w:rsidP="006F161A">
            <w:pPr>
              <w:pStyle w:val="NoSpacing"/>
            </w:pPr>
            <w:r>
              <w:t>DIEE</w:t>
            </w:r>
          </w:p>
        </w:tc>
      </w:tr>
    </w:tbl>
    <w:p w:rsidR="00F25E49" w:rsidRPr="00CD6AE6" w:rsidRDefault="00F25E49" w:rsidP="00D62AD6">
      <w:pPr>
        <w:rPr>
          <w:rFonts w:cs="Arial"/>
          <w:szCs w:val="20"/>
          <w:lang w:val="es-UY"/>
        </w:rPr>
      </w:pPr>
    </w:p>
    <w:p w:rsidR="002C3255" w:rsidRPr="00CD6AE6" w:rsidRDefault="00AB501A" w:rsidP="00D4226A">
      <w:pPr>
        <w:pStyle w:val="Paragraph"/>
      </w:pPr>
      <w:r w:rsidRPr="00CD6AE6">
        <w:rPr>
          <w:noProof/>
          <w:lang w:val="en-US"/>
        </w:rPr>
        <mc:AlternateContent>
          <mc:Choice Requires="wps">
            <w:drawing>
              <wp:anchor distT="0" distB="0" distL="114300" distR="114300" simplePos="0" relativeHeight="251670528" behindDoc="0" locked="0" layoutInCell="1" allowOverlap="1" wp14:anchorId="27B9D8CB" wp14:editId="1FBEB798">
                <wp:simplePos x="0" y="0"/>
                <wp:positionH relativeFrom="column">
                  <wp:posOffset>5486400</wp:posOffset>
                </wp:positionH>
                <wp:positionV relativeFrom="paragraph">
                  <wp:posOffset>116840</wp:posOffset>
                </wp:positionV>
                <wp:extent cx="0" cy="212090"/>
                <wp:effectExtent l="381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333399"/>
                              </a:solidFill>
                              <a:prstDash val="dash"/>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76A24A4" id="Line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2pt" to="6in,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" stroked="f" strokecolor="#339" strokeweight="1pt">
                <v:stroke dashstyle="dash"/>
              </v:line>
            </w:pict>
          </mc:Fallback>
        </mc:AlternateContent>
      </w:r>
      <w:bookmarkStart w:id="51" w:name="_Ref181513897"/>
      <w:r w:rsidR="002C3255" w:rsidRPr="00CD6AE6">
        <w:t>La U</w:t>
      </w:r>
      <w:r w:rsidR="00C20AE9" w:rsidRPr="00CD6AE6">
        <w:t>E</w:t>
      </w:r>
      <w:r w:rsidR="002C3255" w:rsidRPr="00CD6AE6">
        <w:t xml:space="preserve"> funcionará de acuerdo con los procedimientos y manuales aplicados en el Programa </w:t>
      </w:r>
      <w:r w:rsidR="00C20AE9" w:rsidRPr="00CD6AE6">
        <w:t xml:space="preserve">PAEMFE </w:t>
      </w:r>
      <w:r w:rsidR="002C3255" w:rsidRPr="00CD6AE6">
        <w:t>(UR</w:t>
      </w:r>
      <w:r w:rsidR="00C20AE9" w:rsidRPr="00CD6AE6">
        <w:t>-L1050</w:t>
      </w:r>
      <w:r w:rsidR="00B36E21" w:rsidRPr="00CD6AE6">
        <w:t xml:space="preserve">; </w:t>
      </w:r>
      <w:r w:rsidR="00C20AE9" w:rsidRPr="00CD6AE6">
        <w:t>2480</w:t>
      </w:r>
      <w:r w:rsidR="00B36E21" w:rsidRPr="00CD6AE6">
        <w:t>/OC-UR)</w:t>
      </w:r>
      <w:r w:rsidR="002C3255" w:rsidRPr="00CD6AE6">
        <w:t>, con las actualizaciones que sean necesarias durante la ejecución.</w:t>
      </w:r>
      <w:bookmarkEnd w:id="44"/>
      <w:bookmarkEnd w:id="45"/>
      <w:bookmarkEnd w:id="46"/>
      <w:bookmarkEnd w:id="47"/>
      <w:bookmarkEnd w:id="48"/>
      <w:bookmarkEnd w:id="51"/>
    </w:p>
    <w:p w:rsidR="00C20AE9" w:rsidRPr="00CD6AE6" w:rsidRDefault="00C20AE9" w:rsidP="00D4226A">
      <w:pPr>
        <w:pStyle w:val="Paragraph"/>
      </w:pPr>
      <w:r w:rsidRPr="00CD6AE6">
        <w:t>La responsabilidad por la operación y mantenimiento de la infraestructura será de la ANEP</w:t>
      </w:r>
    </w:p>
    <w:p w:rsidR="002C3255" w:rsidRPr="00CD6AE6" w:rsidRDefault="002C3255" w:rsidP="00A83DF4">
      <w:pPr>
        <w:pStyle w:val="Heading3"/>
        <w:rPr>
          <w:lang w:val="es-UY"/>
        </w:rPr>
      </w:pPr>
      <w:bookmarkStart w:id="52" w:name="_Ref173043867"/>
      <w:r w:rsidRPr="00CD6AE6">
        <w:rPr>
          <w:lang w:val="es-UY"/>
        </w:rPr>
        <w:lastRenderedPageBreak/>
        <w:t>Criterios de elegibilidad de las inversiones</w:t>
      </w:r>
      <w:bookmarkEnd w:id="52"/>
      <w:r w:rsidRPr="00CD6AE6">
        <w:rPr>
          <w:lang w:val="es-UY"/>
        </w:rPr>
        <w:t xml:space="preserve"> </w:t>
      </w:r>
    </w:p>
    <w:p w:rsidR="002C3255" w:rsidRPr="00CD6AE6" w:rsidRDefault="002C3255" w:rsidP="00D4226A">
      <w:pPr>
        <w:pStyle w:val="Paragraph"/>
      </w:pPr>
      <w:r w:rsidRPr="00CD6AE6">
        <w:t xml:space="preserve">Toda inversión que cumpla con los criterios específicos señalados en el Anexo II y esté incluida en el Plan Operativo Anual y en el Plan de Adquisiciones del Programa, será elegible para su financiamiento. </w:t>
      </w:r>
      <w:bookmarkStart w:id="53" w:name="_Ref521138619"/>
      <w:r w:rsidRPr="00CD6AE6">
        <w:t xml:space="preserve">La elegibilidad de los gastos del Programa se otorgará a través de su inclusión en el Plan de Adquisiciones y sus correspondientes actualizaciones aprobadas por el Banco. Si el Banco verificara que algún gasto no fuese elegible para su financiamiento con el préstamo o con el aporte local, podrá excluirlo en forma unilateral. No </w:t>
      </w:r>
      <w:r w:rsidR="00C20AE9" w:rsidRPr="00CD6AE6">
        <w:t>obstante,</w:t>
      </w:r>
      <w:r w:rsidRPr="00CD6AE6">
        <w:t xml:space="preserve"> lo anterior,</w:t>
      </w:r>
      <w:r w:rsidR="00B36E21" w:rsidRPr="00CD6AE6">
        <w:t xml:space="preserve"> </w:t>
      </w:r>
      <w:r w:rsidRPr="00CD6AE6">
        <w:t xml:space="preserve">se requerirá adicionalmente la presentación en forma ex ante de: (i) las especificaciones técnicas, matrícula a ser atendida, relación alumno/docente, número de turnos y nivel educativo, para el caso de obras nuevas; y (ii) términos de referencia para la contratación de firmas consultoras o consultorías individuales para evaluaciones específicas del Programa, estudios o investigaciones.  </w:t>
      </w:r>
    </w:p>
    <w:p w:rsidR="002C3255" w:rsidRPr="00CD6AE6" w:rsidRDefault="002C3255" w:rsidP="00BE1150">
      <w:pPr>
        <w:pStyle w:val="Heading2"/>
        <w:numPr>
          <w:ilvl w:val="1"/>
          <w:numId w:val="8"/>
        </w:numPr>
      </w:pPr>
      <w:bookmarkStart w:id="54" w:name="_Toc110493057"/>
      <w:bookmarkStart w:id="55" w:name="_Ref134586373"/>
      <w:bookmarkStart w:id="56" w:name="_Toc134589627"/>
      <w:bookmarkStart w:id="57" w:name="_Ref142075096"/>
      <w:bookmarkStart w:id="58" w:name="_Ref142869420"/>
      <w:bookmarkStart w:id="59" w:name="_Ref144233184"/>
      <w:bookmarkStart w:id="60" w:name="_Ref145252768"/>
      <w:bookmarkStart w:id="61" w:name="_Ref145274208"/>
      <w:bookmarkStart w:id="62" w:name="_Ref180520115"/>
      <w:bookmarkStart w:id="63" w:name="_Ref181296931"/>
      <w:bookmarkStart w:id="64" w:name="_Toc202247763"/>
      <w:bookmarkEnd w:id="53"/>
      <w:r w:rsidRPr="00CD6AE6">
        <w:t>Procedimientos de Adquisiciones</w:t>
      </w:r>
      <w:bookmarkEnd w:id="54"/>
      <w:bookmarkEnd w:id="55"/>
      <w:bookmarkEnd w:id="56"/>
      <w:bookmarkEnd w:id="57"/>
      <w:bookmarkEnd w:id="58"/>
      <w:bookmarkEnd w:id="59"/>
      <w:bookmarkEnd w:id="60"/>
      <w:bookmarkEnd w:id="61"/>
      <w:bookmarkEnd w:id="62"/>
      <w:bookmarkEnd w:id="63"/>
      <w:bookmarkEnd w:id="64"/>
      <w:r w:rsidRPr="00CD6AE6">
        <w:t xml:space="preserve"> </w:t>
      </w:r>
    </w:p>
    <w:p w:rsidR="002C3255" w:rsidRPr="00CD6AE6" w:rsidRDefault="002C3255" w:rsidP="00D4226A">
      <w:pPr>
        <w:pStyle w:val="Paragraph"/>
      </w:pPr>
      <w:r w:rsidRPr="00CD6AE6">
        <w:t>Las normas y procedimientos que se seguirán para las contrataciones del Programa durante su ejecución se deberán ajustar en un todo a lo previsto en el Contrato, en las políticas del BID y en las disposiciones complementarias a las que refiera el mismo.</w:t>
      </w:r>
    </w:p>
    <w:p w:rsidR="002C3255" w:rsidRPr="00CD6AE6" w:rsidRDefault="002C3255" w:rsidP="00D4226A">
      <w:pPr>
        <w:pStyle w:val="Paragraph"/>
      </w:pPr>
      <w:r w:rsidRPr="00CD6AE6">
        <w:t xml:space="preserve">En todos los casos, la aplicación de los principios de la Política de Adquisiciones del BID tendrá prioridad sobre la legislación local. </w:t>
      </w:r>
    </w:p>
    <w:p w:rsidR="002C3255" w:rsidRPr="00CD6AE6" w:rsidRDefault="002C3255" w:rsidP="00D4226A">
      <w:pPr>
        <w:pStyle w:val="Paragraph"/>
      </w:pPr>
      <w:r w:rsidRPr="00CD6AE6">
        <w:t xml:space="preserve">En las adquisiciones financiadas con recursos de contraparte rigen los procedimientos </w:t>
      </w:r>
      <w:r w:rsidR="00186C3C" w:rsidRPr="00CD6AE6">
        <w:t xml:space="preserve">acordes a estándares </w:t>
      </w:r>
      <w:r w:rsidR="00C20AE9" w:rsidRPr="00CD6AE6">
        <w:t>internacionales que</w:t>
      </w:r>
      <w:r w:rsidRPr="00CD6AE6">
        <w:t xml:space="preserve"> no violen los principios de economía, eficiencia y transparencia u otros aspectos dispuestos en las políticas del Banco. En estos casos, la ANEP verificará: (i) el estricto cumplimiento de la legislación local aplicable; (ii) el cumplimiento de los objetivos y requisitos técnicos del programa; (iii) que los precios sean de mercado; (iv) que la calidad sea satisfactoria; (v) que las entregas sean oportunas; y (vi) que se observen los más altos estándares éticos. </w:t>
      </w:r>
    </w:p>
    <w:p w:rsidR="002C3255" w:rsidRPr="00CD6AE6" w:rsidRDefault="002C3255" w:rsidP="00D4226A">
      <w:pPr>
        <w:pStyle w:val="Paragraph"/>
      </w:pPr>
      <w:r w:rsidRPr="00CD6AE6">
        <w:t>En las Licitaciones Públicas Internacionales (LPI), la ANEP utilizará los Documentos Estándar de Licitación (DEL) emitidos por el Banco, para la contratación de obras, bienes y servicios diferentes a consultoría y la Solicitud de Propuesta (SP) para contratar servicios de consultoría. En las Licitaciones Públicas Nacionales (LPN) y previo a la primera licitación de cada modalidad (obras, bienes y servicios diferentes a consultoría y consultorías), la ANEP acordará con el Banco el modelo de Pliego de Licitación a ser utilizado por el Programa. Durante la ejecución del Programa, la ANEP también solicitará la no objeción previa del Banco para los ajustes que se propongan a los mismos.</w:t>
      </w:r>
    </w:p>
    <w:p w:rsidR="002C3255" w:rsidRPr="00CD6AE6" w:rsidRDefault="002C3255" w:rsidP="00D4226A">
      <w:pPr>
        <w:pStyle w:val="Paragraph"/>
      </w:pPr>
      <w:r w:rsidRPr="00CD6AE6">
        <w:t>Los fondos del préstamo financiarán la ejecución de obras y adquisición de bienes, servicios diferentes a consultoría y servicios de consultoría realizados por individuos o firmas originarios de países miembros del BID, conforme se establece en las Políticas de Adquisiciones del BID.</w:t>
      </w:r>
    </w:p>
    <w:p w:rsidR="002C3255" w:rsidRPr="00CD6AE6" w:rsidRDefault="002C3255" w:rsidP="00D4226A">
      <w:pPr>
        <w:pStyle w:val="Paragraph"/>
      </w:pPr>
      <w:r w:rsidRPr="00CD6AE6">
        <w:t xml:space="preserve">La ANEP enviará al BID copia de todos los contratos que se financien total o parcialmente con los recursos del Préstamo, solicitando su registro y asignación de un número “PRISM”. El otorgamiento de dicho número no implica la conformidad del BID para la contratación, la que será validada o rechazada cuando el BID finalice la revisión del correspondiente lote en la que esté incluida. El BID no reconocerá gastos por concepto de contratos no incorporados a sus registros. </w:t>
      </w:r>
    </w:p>
    <w:p w:rsidR="002C3255" w:rsidRPr="00CD6AE6" w:rsidRDefault="002C3255" w:rsidP="00A83DF4">
      <w:pPr>
        <w:pStyle w:val="Heading3"/>
        <w:rPr>
          <w:lang w:val="es-UY"/>
        </w:rPr>
      </w:pPr>
      <w:bookmarkStart w:id="65" w:name="_Ref144233189"/>
      <w:r w:rsidRPr="00CD6AE6">
        <w:rPr>
          <w:lang w:val="es-UY"/>
        </w:rPr>
        <w:t>Plan de Adquisiciones</w:t>
      </w:r>
      <w:bookmarkEnd w:id="65"/>
    </w:p>
    <w:p w:rsidR="006C49DC" w:rsidRPr="00CD6AE6" w:rsidRDefault="002C3255" w:rsidP="00D4226A">
      <w:pPr>
        <w:pStyle w:val="Paragraph"/>
      </w:pPr>
      <w:r w:rsidRPr="00CD6AE6">
        <w:t>El Plan de Adquisiciones incluirá el detalle de todas las contrataciones</w:t>
      </w:r>
      <w:r w:rsidR="00DD4CCB" w:rsidRPr="00CD6AE6">
        <w:t xml:space="preserve"> individuales</w:t>
      </w:r>
      <w:r w:rsidRPr="00CD6AE6">
        <w:t xml:space="preserve"> de obras, bienes, servicios diferentes de consultorías y servicios de consultoría, requeridas para llevar a cabo el Programa. En particular, incluirá: número de referencia, descripción de la obra, bienes o servicios requeridos, método de adquisición, costo estimado y fuente de financiamiento, tiempos estimados de publicación del aviso y de terminación del contrato, procedimiento aplicable para el examen del BID (ex-ante, ex-post) y comentarios adicionales.</w:t>
      </w:r>
      <w:r w:rsidR="006C49DC" w:rsidRPr="00CD6AE6">
        <w:t xml:space="preserve"> </w:t>
      </w:r>
      <w:r w:rsidRPr="00CD6AE6">
        <w:t xml:space="preserve">Complementariamente, en el POA se incluirá el detalle de los plazos previstos para </w:t>
      </w:r>
      <w:r w:rsidR="00DD4CCB" w:rsidRPr="00CD6AE6">
        <w:t xml:space="preserve">las fases requeridas en cada proceso de adquisición: </w:t>
      </w:r>
      <w:r w:rsidRPr="00CD6AE6">
        <w:lastRenderedPageBreak/>
        <w:t>preparación de los diseños (pliegos</w:t>
      </w:r>
      <w:r w:rsidR="00DD4CCB" w:rsidRPr="00CD6AE6">
        <w:t xml:space="preserve"> </w:t>
      </w:r>
      <w:r w:rsidRPr="00CD6AE6">
        <w:t xml:space="preserve">y TDR), </w:t>
      </w:r>
      <w:r w:rsidR="00DD4CCB" w:rsidRPr="00CD6AE6">
        <w:t>convocatoria</w:t>
      </w:r>
      <w:r w:rsidRPr="00CD6AE6">
        <w:t xml:space="preserve">, evaluación, adjudicación, contratación y ejecución. </w:t>
      </w:r>
    </w:p>
    <w:p w:rsidR="00DD4CCB" w:rsidRPr="00CD6AE6" w:rsidRDefault="002C3255" w:rsidP="00D4226A">
      <w:pPr>
        <w:pStyle w:val="Paragraph"/>
      </w:pPr>
      <w:r w:rsidRPr="00CD6AE6">
        <w:t xml:space="preserve">La </w:t>
      </w:r>
      <w:r w:rsidR="00DD4CCB" w:rsidRPr="00CD6AE6">
        <w:t>g</w:t>
      </w:r>
      <w:r w:rsidRPr="00CD6AE6">
        <w:t>estión del Plan de Adquisiciones será a través del sistema electrónico online denominado “Sistema de Ejecución de Planes de Adquisición (SEPA)”.</w:t>
      </w:r>
      <w:r w:rsidR="00DD4CCB" w:rsidRPr="00CD6AE6">
        <w:t xml:space="preserve"> Antes de dar inicio a las adquisiciones de Programa, el Plan de Adquisiciones para los primeros 18 meses deberá ser dado de alta en</w:t>
      </w:r>
      <w:r w:rsidR="008359EA" w:rsidRPr="00CD6AE6">
        <w:t xml:space="preserve"> dicho sistema</w:t>
      </w:r>
      <w:r w:rsidR="00DD4CCB" w:rsidRPr="00CD6AE6">
        <w:t>. La Unidad Ejecutora mantendrá constantemente actualizada la información contenida en el SEPA aprobado por el Banco para el Programa.</w:t>
      </w:r>
    </w:p>
    <w:p w:rsidR="002C3255" w:rsidRPr="00CD6AE6" w:rsidRDefault="002C3255" w:rsidP="00D4226A">
      <w:pPr>
        <w:pStyle w:val="Paragraph"/>
      </w:pPr>
      <w:bookmarkStart w:id="66" w:name="_Ref181519312"/>
      <w:r w:rsidRPr="00CD6AE6">
        <w:t xml:space="preserve">En los llamados a licitación, se tendrá en consideración los </w:t>
      </w:r>
      <w:bookmarkEnd w:id="66"/>
      <w:r w:rsidRPr="00CD6AE6">
        <w:t xml:space="preserve">plazos administrativos correspondientes y se dará amplia difusión, a fin de favorecer precios más competitivos. </w:t>
      </w:r>
    </w:p>
    <w:p w:rsidR="002C3255" w:rsidRPr="00CD6AE6" w:rsidRDefault="002C3255" w:rsidP="00A83DF4">
      <w:pPr>
        <w:pStyle w:val="Heading3"/>
        <w:rPr>
          <w:lang w:val="es-UY"/>
        </w:rPr>
      </w:pPr>
      <w:r w:rsidRPr="00CD6AE6">
        <w:rPr>
          <w:lang w:val="es-UY"/>
        </w:rPr>
        <w:t>Adquisiciones de Obras, Bienes y Servicios diferentes a las consultorías – Aspectos Específicos</w:t>
      </w:r>
    </w:p>
    <w:p w:rsidR="002C3255" w:rsidRPr="00CD6AE6" w:rsidRDefault="002C3255" w:rsidP="00D4226A">
      <w:pPr>
        <w:pStyle w:val="Paragraph"/>
      </w:pPr>
      <w:bookmarkStart w:id="67" w:name="_Ref172503097"/>
      <w:r w:rsidRPr="00CD6AE6">
        <w:t>En los procedimientos competitivos de contratación de obras, bienes y servicios diferentes a los de consultoría, se examinarán todas las ofertas presentadas, primeramente en cuanto al cumplimiento de los requisitos técnicos, financieros, legales y otros de tipo formal, que figuren en los documentos de licitación o del concurso, resultando de esa forma las ofertas calificadas, entre las que deberá determinarse</w:t>
      </w:r>
      <w:r w:rsidR="008359EA" w:rsidRPr="00CD6AE6">
        <w:t xml:space="preserve"> cuál</w:t>
      </w:r>
      <w:r w:rsidRPr="00CD6AE6">
        <w:t xml:space="preserve"> es la oferta evaluada como la más baja, a la que corresponderá adjudicar el respectivo contrato.</w:t>
      </w:r>
      <w:bookmarkEnd w:id="67"/>
    </w:p>
    <w:p w:rsidR="002C3255" w:rsidRPr="00CD6AE6" w:rsidRDefault="002C3255" w:rsidP="00D4226A">
      <w:pPr>
        <w:pStyle w:val="Paragraph"/>
      </w:pPr>
      <w:bookmarkStart w:id="68" w:name="_Ref172503102"/>
      <w:r w:rsidRPr="00CD6AE6">
        <w:t>Sin perjuicio de ello, en las licitaciones públicas para la ejecución de obras se podrá utilizar también el sistema de post-calificación, según el cual se examinan los requisitos técnicos, financieros, legales y otros que figuren en los documentos de licitación sólo para la oferta de menor precio y si cumple con ellos se le adjudica la licitación. Si no cumple, se rechaza la oferta y se examinan los requisitos del oferente cuyo precio ocupe el segundo lugar, y así sucesivamente hasta que pueda adjudicarse la obra.</w:t>
      </w:r>
      <w:bookmarkEnd w:id="68"/>
      <w:r w:rsidRPr="00CD6AE6">
        <w:t xml:space="preserve"> </w:t>
      </w:r>
    </w:p>
    <w:p w:rsidR="002C3255" w:rsidRPr="00CD6AE6" w:rsidRDefault="002C3255" w:rsidP="00D4226A">
      <w:pPr>
        <w:pStyle w:val="Paragraph"/>
      </w:pPr>
      <w:r w:rsidRPr="00CD6AE6">
        <w:t>Con la finalidad de contar con presupuestos oficiales de obras que se ajusten a la realidad de los costos, se solicitará presupuesto al día previo a la publicación de las licitaciones.</w:t>
      </w:r>
    </w:p>
    <w:p w:rsidR="002F613E" w:rsidRPr="00872A3D" w:rsidRDefault="002F613E" w:rsidP="00D4226A">
      <w:pPr>
        <w:pStyle w:val="Paragraph"/>
      </w:pPr>
      <w:r>
        <w:t>A</w:t>
      </w:r>
      <w:r w:rsidRPr="003F0AF0">
        <w:t>ntes de la adjudicación del contrato correspondiente a cada una de las obras del programa, deberá presentarse al Banco evidencia de que ANEP cuenta con la propiedad, posesión o el derecho de uso en calidad de comodatario del inmueble donde se ejecutará la respectiva obra, las servidumbres u otros derechos necesarios para</w:t>
      </w:r>
      <w:r>
        <w:t xml:space="preserve"> su construcción y utilización.</w:t>
      </w:r>
    </w:p>
    <w:p w:rsidR="002C3255" w:rsidRPr="00CD6AE6" w:rsidRDefault="002C3255" w:rsidP="00D4226A">
      <w:pPr>
        <w:pStyle w:val="Paragraph"/>
      </w:pPr>
      <w:r w:rsidRPr="00CD6AE6">
        <w:t xml:space="preserve">Los gastos asociados a las capacitaciones son considerados como Bienes y Servicios distintos de consultoría y se realizarán en </w:t>
      </w:r>
      <w:r w:rsidR="008359EA" w:rsidRPr="00CD6AE6">
        <w:t>c</w:t>
      </w:r>
      <w:r w:rsidRPr="00CD6AE6">
        <w:t xml:space="preserve">ontratación directa, </w:t>
      </w:r>
      <w:r w:rsidR="008359EA" w:rsidRPr="00CD6AE6">
        <w:t>debidamente previstas en el PA del Programa y con las</w:t>
      </w:r>
      <w:r w:rsidRPr="00CD6AE6">
        <w:t xml:space="preserve"> oportunas justificaciones. Cuando sean de menor valor, además de la pertinencia del gasto otorgada en el Plan de Adquisiciones, se podrán contratar con modalidad de revisión ex-post. Cuando el valor individual de cada adquisición sea mayor de US$ 2,500 la compra se realizará por Comparación de </w:t>
      </w:r>
      <w:r w:rsidR="008359EA" w:rsidRPr="00CD6AE6">
        <w:t>P</w:t>
      </w:r>
      <w:r w:rsidRPr="00CD6AE6">
        <w:t xml:space="preserve">recios. Para efecto de confección del Plan de Adquisiciones con la herramienta SEPA, </w:t>
      </w:r>
      <w:r w:rsidR="00C20AE9" w:rsidRPr="00CD6AE6">
        <w:t>éstos serán</w:t>
      </w:r>
      <w:r w:rsidRPr="00CD6AE6">
        <w:t xml:space="preserve"> consolidados en la categoría “Capacitación”.</w:t>
      </w:r>
    </w:p>
    <w:p w:rsidR="002C3255" w:rsidRPr="00CD6AE6" w:rsidRDefault="002C3255" w:rsidP="00A83DF4">
      <w:pPr>
        <w:pStyle w:val="Heading3"/>
        <w:rPr>
          <w:lang w:val="es-UY"/>
        </w:rPr>
      </w:pPr>
      <w:r w:rsidRPr="00CD6AE6">
        <w:rPr>
          <w:lang w:val="es-UY"/>
        </w:rPr>
        <w:t>Selección y Contratación de Consultores – Aspectos Específicos</w:t>
      </w:r>
    </w:p>
    <w:p w:rsidR="002C3255" w:rsidRPr="00CD6AE6" w:rsidRDefault="002C3255" w:rsidP="006570F7">
      <w:pPr>
        <w:pStyle w:val="Heading5"/>
        <w:rPr>
          <w:lang w:val="es-UY"/>
        </w:rPr>
      </w:pPr>
      <w:r w:rsidRPr="00CD6AE6">
        <w:rPr>
          <w:lang w:val="es-UY"/>
        </w:rPr>
        <w:tab/>
        <w:t>Firmas consultoras:</w:t>
      </w:r>
    </w:p>
    <w:p w:rsidR="002C3255" w:rsidRPr="00CD6AE6" w:rsidRDefault="002C3255" w:rsidP="00D4226A">
      <w:pPr>
        <w:pStyle w:val="Paragraph"/>
      </w:pPr>
      <w:r w:rsidRPr="00CD6AE6">
        <w:t>En los procedimientos de contratación de servicios de consultoría se examinarán todas las ofertas presentadas, considerando los criterios de evaluación que figuren en los documentos de licitación o del concurso, conforme el procedimiento correspondiente al tipo de proceso de selección indicado en las Solicitudes de Propuestas y de acuerdo con lo establecido en las estipulaciones especiales del Contrato de Préstamo y en el Plan de Adquisiciones aprobado.</w:t>
      </w:r>
    </w:p>
    <w:p w:rsidR="002C3255" w:rsidRPr="00CD6AE6" w:rsidRDefault="002C3255" w:rsidP="00D4226A">
      <w:pPr>
        <w:pStyle w:val="Paragraph"/>
      </w:pPr>
      <w:r w:rsidRPr="00CD6AE6">
        <w:t>La firma contratada deberá asegurar absoluta confidencialidad acerca del uso de la información a la cual tienen acceso. Cualquier aplicación de la misma diferente de la prevista en las funciones asignadas deberá ser consultada previamente con el BID y con la ANEP.</w:t>
      </w:r>
    </w:p>
    <w:p w:rsidR="002C3255" w:rsidRPr="00CD6AE6" w:rsidRDefault="002C3255" w:rsidP="006570F7">
      <w:pPr>
        <w:pStyle w:val="Heading5"/>
        <w:rPr>
          <w:lang w:val="es-UY"/>
        </w:rPr>
      </w:pPr>
      <w:r w:rsidRPr="00CD6AE6">
        <w:rPr>
          <w:lang w:val="es-UY"/>
        </w:rPr>
        <w:lastRenderedPageBreak/>
        <w:tab/>
        <w:t xml:space="preserve">Consultores Individuales: </w:t>
      </w:r>
    </w:p>
    <w:p w:rsidR="002C3255" w:rsidRPr="00CD6AE6" w:rsidRDefault="00872F2E" w:rsidP="00D4226A">
      <w:pPr>
        <w:pStyle w:val="Paragraph"/>
      </w:pPr>
      <w:r w:rsidRPr="00CD6AE6">
        <w:t xml:space="preserve">La </w:t>
      </w:r>
      <w:r w:rsidR="002C3255" w:rsidRPr="00CD6AE6">
        <w:t>selección</w:t>
      </w:r>
      <w:r w:rsidRPr="00CD6AE6">
        <w:t xml:space="preserve"> de consultores individuales se hará teniendo en cuenta sus calificaciones para realizar el trabajo sobre la base de comparación de los antecedentes de, por lo menos tres (3) candidatos que hayan expresado su interés a participar a la selección, a través de</w:t>
      </w:r>
      <w:r w:rsidR="002C3255" w:rsidRPr="00CD6AE6">
        <w:t xml:space="preserve"> una comunicación escrita de su conformidad a participar en ese proceso de selección debidamente identificado. Finalizada la selección se comunicará por escrito a cada participante, en forma simultánea, el resultado de la misma.</w:t>
      </w:r>
    </w:p>
    <w:p w:rsidR="00732BDE" w:rsidRPr="00CD6AE6" w:rsidRDefault="00732BDE" w:rsidP="00D4226A">
      <w:pPr>
        <w:pStyle w:val="Paragraph"/>
      </w:pPr>
      <w:r w:rsidRPr="00CD6AE6">
        <w:t xml:space="preserve">Para la formalización de los contratos de consultores individuales se utilizará preferentemente el “contrato estándar para Consultor individual" en uso en la Representación del Banco en Uruguay. En la eventualidad que, </w:t>
      </w:r>
      <w:r w:rsidRPr="00CD6AE6">
        <w:rPr>
          <w:color w:val="000000"/>
        </w:rPr>
        <w:t xml:space="preserve">por praxis consolidada u otros motivos, la </w:t>
      </w:r>
      <w:r w:rsidR="00C20AE9" w:rsidRPr="00CD6AE6">
        <w:rPr>
          <w:color w:val="000000"/>
        </w:rPr>
        <w:t>UE</w:t>
      </w:r>
      <w:r w:rsidRPr="00CD6AE6">
        <w:rPr>
          <w:color w:val="000000"/>
        </w:rPr>
        <w:t xml:space="preserve"> opte por utilizar su propio contrato estándar u otro modelo de contrato que acostumbre utilizar, podrá </w:t>
      </w:r>
      <w:r w:rsidR="00C20AE9" w:rsidRPr="00CD6AE6">
        <w:rPr>
          <w:color w:val="000000"/>
        </w:rPr>
        <w:t>hacerlo,</w:t>
      </w:r>
      <w:r w:rsidRPr="00CD6AE6">
        <w:rPr>
          <w:color w:val="000000"/>
        </w:rPr>
        <w:t xml:space="preserve"> pero obligatoriamente éste contrato deberá tener un Anexo - que se proporcionará durante el taller de arranque - en el cual se resumen todas las cláusulas que deben ser de conocimiento del consultor a la firma de su contrato. Finalmente, en el contrato se deberá mencionar dicho Anexo como parte integrante del mismo, a todos los efectos del contrato firmado, no requiriéndose otro certificado de elegibilidad del consultor. </w:t>
      </w:r>
    </w:p>
    <w:p w:rsidR="002C3255" w:rsidRPr="00CD6AE6" w:rsidRDefault="002C3255" w:rsidP="00D4226A">
      <w:pPr>
        <w:pStyle w:val="Paragraph"/>
      </w:pPr>
      <w:r w:rsidRPr="00CD6AE6">
        <w:t xml:space="preserve">Los consultores contratados bajo la modalidad de locación de obra presentarán sus informes en forma individual, reflejando en ellos los productos aportados por el consultor y sus recomendaciones. </w:t>
      </w:r>
    </w:p>
    <w:p w:rsidR="002C3255" w:rsidRPr="00CD6AE6" w:rsidRDefault="002C3255" w:rsidP="00D4226A">
      <w:pPr>
        <w:pStyle w:val="Paragraph"/>
      </w:pPr>
      <w:r w:rsidRPr="00CD6AE6">
        <w:t xml:space="preserve">Los contratos de consultoría de locación de obra contemplarán una retención de, </w:t>
      </w:r>
      <w:r w:rsidR="00C20AE9" w:rsidRPr="00CD6AE6">
        <w:t>al menos</w:t>
      </w:r>
      <w:r w:rsidR="008359EA" w:rsidRPr="00CD6AE6">
        <w:t>,</w:t>
      </w:r>
      <w:r w:rsidRPr="00CD6AE6">
        <w:t xml:space="preserve"> el 10% de los honorarios que será reintegrada con la aprobación por parte de la ANEP de la evaluación de desempeño y del informe final.</w:t>
      </w:r>
    </w:p>
    <w:p w:rsidR="002C3255" w:rsidRPr="00CD6AE6" w:rsidRDefault="002C3255" w:rsidP="00D4226A">
      <w:pPr>
        <w:pStyle w:val="Paragraph"/>
      </w:pPr>
      <w:r w:rsidRPr="00CD6AE6">
        <w:t>En los casos de locación de servicio, los consultores presentarán a la ANEP</w:t>
      </w:r>
      <w:r w:rsidR="008359EA" w:rsidRPr="00CD6AE6">
        <w:t>,</w:t>
      </w:r>
      <w:r w:rsidRPr="00CD6AE6">
        <w:t xml:space="preserve"> sus informes de actividades cumplidas.  Para la renovación de los contratos</w:t>
      </w:r>
      <w:r w:rsidR="008359EA" w:rsidRPr="00CD6AE6">
        <w:t>,</w:t>
      </w:r>
      <w:r w:rsidRPr="00CD6AE6">
        <w:t xml:space="preserve"> será suficiente la aprobación de la evaluación de desempeño, como mínimo satisfactoria, por la autoridad competente. La evaluación se realizará anualmente y de una única vez de modo de facilitar su aprobación por parte de la ANEP.</w:t>
      </w:r>
    </w:p>
    <w:p w:rsidR="002C3255" w:rsidRPr="00CD6AE6" w:rsidRDefault="002C3255" w:rsidP="00D4226A">
      <w:pPr>
        <w:pStyle w:val="Paragraph"/>
      </w:pPr>
      <w:r w:rsidRPr="00CD6AE6">
        <w:t xml:space="preserve">Los informes finales de consultoría y las respectivas evaluaciones de desempeño se conservarán en los registros de la ANEP para su consulta por el Banco o por la auditoría del Programa, cuando así lo soliciten. Previo a una visita de inspección, la ANEP presentará al Banco una planilla que incluya los consultores contratados con financiamiento del préstamo, especificando el monto del contrato, plazo, monto pendiente de pago, fecha de evaluaciones de desempeño y fecha de aprobación de informes finales, cuando corresponda. </w:t>
      </w:r>
    </w:p>
    <w:p w:rsidR="002C3255" w:rsidRPr="00CD6AE6" w:rsidRDefault="002C3255" w:rsidP="00D4226A">
      <w:pPr>
        <w:pStyle w:val="Paragraph"/>
      </w:pPr>
      <w:r w:rsidRPr="00CD6AE6">
        <w:t>El personal de la ANEP afectado al programa y los consultores contratados para el mismo deberán asegurar absoluta confidencialidad acerca del uso de la información a la cual tienen acceso. Cualquier aplicación de la misma diferente de la prevista en las funciones asignadas a dicho personal o consultor</w:t>
      </w:r>
      <w:r w:rsidR="002D0378" w:rsidRPr="00CD6AE6">
        <w:t>,</w:t>
      </w:r>
      <w:r w:rsidRPr="00CD6AE6">
        <w:t xml:space="preserve"> deberá ser consultada previamente con el BID y con la ANEP.</w:t>
      </w:r>
    </w:p>
    <w:p w:rsidR="002C3255" w:rsidRPr="00CD6AE6" w:rsidRDefault="002C3255" w:rsidP="00D4226A">
      <w:pPr>
        <w:pStyle w:val="Paragraph"/>
      </w:pPr>
      <w:r w:rsidRPr="00CD6AE6">
        <w:t xml:space="preserve">Para la contratación del equipo técnico de la UEP o de la ANEP que ya se desempeñaba en el Programa </w:t>
      </w:r>
      <w:r w:rsidR="00C20AE9" w:rsidRPr="00CD6AE6">
        <w:t xml:space="preserve">PAEMFE </w:t>
      </w:r>
      <w:r w:rsidRPr="00CD6AE6">
        <w:t>y continuará actuando en e</w:t>
      </w:r>
      <w:r w:rsidR="004C191A">
        <w:t>ste</w:t>
      </w:r>
      <w:r w:rsidRPr="00CD6AE6">
        <w:t xml:space="preserve"> </w:t>
      </w:r>
      <w:r w:rsidR="00C20AE9" w:rsidRPr="00CD6AE6">
        <w:t>PAEMFE</w:t>
      </w:r>
      <w:r w:rsidRPr="00CD6AE6">
        <w:t>, se podrá aplicar el procedimiento de selección directa, de conformidad a lo previsto en la Sección V punto 5.4 de las Políticas para la Selección y Contratación de Consultores Financiados por el Banco Interamericano de Desarrollo (GN-2350-7).</w:t>
      </w:r>
    </w:p>
    <w:p w:rsidR="002D0378" w:rsidRPr="00CD6AE6" w:rsidRDefault="002D0378" w:rsidP="00D4226A">
      <w:pPr>
        <w:pStyle w:val="Paragraph"/>
      </w:pPr>
      <w:r w:rsidRPr="00CD6AE6">
        <w:t xml:space="preserve">El Programa podrá pagar, con recursos de contrapartida local, las compensaciones a personal dependiente de la ANEP afectado al mismo. </w:t>
      </w:r>
    </w:p>
    <w:p w:rsidR="002C3255" w:rsidRPr="00CD6AE6" w:rsidRDefault="002C3255" w:rsidP="00A83DF4">
      <w:pPr>
        <w:pStyle w:val="Heading3"/>
        <w:rPr>
          <w:lang w:val="es-UY"/>
        </w:rPr>
      </w:pPr>
      <w:bookmarkStart w:id="69" w:name="_Ref145252781"/>
      <w:r w:rsidRPr="00CD6AE6">
        <w:rPr>
          <w:lang w:val="es-UY"/>
        </w:rPr>
        <w:lastRenderedPageBreak/>
        <w:t>Montos límites para determinar los procedimientos de adquisición y límites de autonomía</w:t>
      </w:r>
      <w:bookmarkEnd w:id="69"/>
    </w:p>
    <w:p w:rsidR="002C3255" w:rsidRPr="00CD6AE6" w:rsidRDefault="002C3255" w:rsidP="00D4226A">
      <w:pPr>
        <w:pStyle w:val="Paragraph"/>
      </w:pPr>
      <w:bookmarkStart w:id="70" w:name="_Ref179287408"/>
      <w:r w:rsidRPr="00CD6AE6">
        <w:t>En el cuadro III-2 se indican los procedimientos de licitación a seguir en cada tipo de adquisición conforme los montos involucrados, así como la modalidad de revisión (ex-ante/ex-post) por parte del Banco de dichos procedimientos</w:t>
      </w:r>
      <w:bookmarkStart w:id="71" w:name="_Ref523030446"/>
      <w:bookmarkEnd w:id="70"/>
      <w:r w:rsidRPr="00CD6AE6">
        <w:footnoteReference w:id="2"/>
      </w:r>
      <w:bookmarkEnd w:id="71"/>
      <w:r w:rsidRPr="00CD6AE6">
        <w:t>. Los montos límites establecidos para revisión ex-post se aplican en función de la capacidad fiduciaria de ejecución de la ANEP y pueden ser modificados por el Banco en la medida que tal capacidad varíe.</w:t>
      </w:r>
    </w:p>
    <w:p w:rsidR="002C3255" w:rsidRPr="00CD6AE6" w:rsidRDefault="002C3255" w:rsidP="006570F7">
      <w:pPr>
        <w:jc w:val="center"/>
        <w:rPr>
          <w:b/>
          <w:lang w:val="es-UY"/>
        </w:rPr>
      </w:pPr>
      <w:r w:rsidRPr="00CD6AE6">
        <w:rPr>
          <w:b/>
          <w:lang w:val="es-UY"/>
        </w:rPr>
        <w:t>Cuadro III-2: Procedimientos de adquisiciones a aplicar según monto límite</w:t>
      </w:r>
    </w:p>
    <w:tbl>
      <w:tblPr>
        <w:tblW w:w="4940"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351"/>
        <w:gridCol w:w="988"/>
        <w:gridCol w:w="88"/>
        <w:gridCol w:w="903"/>
        <w:gridCol w:w="1261"/>
        <w:gridCol w:w="830"/>
        <w:gridCol w:w="159"/>
        <w:gridCol w:w="902"/>
        <w:gridCol w:w="1259"/>
        <w:gridCol w:w="1204"/>
      </w:tblGrid>
      <w:tr w:rsidR="002C3255" w:rsidRPr="00853AAB" w:rsidTr="00D90A01">
        <w:trPr>
          <w:trHeight w:val="400"/>
        </w:trPr>
        <w:tc>
          <w:tcPr>
            <w:tcW w:w="1861" w:type="pct"/>
            <w:gridSpan w:val="4"/>
            <w:vAlign w:val="center"/>
          </w:tcPr>
          <w:p w:rsidR="002C3255" w:rsidRPr="00853AAB" w:rsidRDefault="002C3255" w:rsidP="00C467FF">
            <w:pPr>
              <w:autoSpaceDE w:val="0"/>
              <w:autoSpaceDN w:val="0"/>
              <w:adjustRightInd w:val="0"/>
              <w:spacing w:after="0"/>
              <w:jc w:val="center"/>
              <w:rPr>
                <w:rFonts w:cs="Arial"/>
                <w:b/>
                <w:sz w:val="16"/>
                <w:szCs w:val="16"/>
                <w:lang w:val="es-UY"/>
              </w:rPr>
            </w:pPr>
            <w:r w:rsidRPr="00853AAB">
              <w:rPr>
                <w:rFonts w:cs="Arial"/>
                <w:b/>
                <w:sz w:val="16"/>
                <w:szCs w:val="16"/>
                <w:lang w:val="es-UY"/>
              </w:rPr>
              <w:t>Obras</w:t>
            </w:r>
          </w:p>
        </w:tc>
        <w:tc>
          <w:tcPr>
            <w:tcW w:w="1762" w:type="pct"/>
            <w:gridSpan w:val="4"/>
            <w:vAlign w:val="center"/>
          </w:tcPr>
          <w:p w:rsidR="002C3255" w:rsidRPr="00853AAB" w:rsidRDefault="002C3255" w:rsidP="00C467FF">
            <w:pPr>
              <w:autoSpaceDE w:val="0"/>
              <w:autoSpaceDN w:val="0"/>
              <w:adjustRightInd w:val="0"/>
              <w:spacing w:after="0"/>
              <w:jc w:val="center"/>
              <w:rPr>
                <w:rFonts w:cs="Arial"/>
                <w:b/>
                <w:sz w:val="16"/>
                <w:szCs w:val="16"/>
                <w:lang w:val="es-UY"/>
              </w:rPr>
            </w:pPr>
            <w:r w:rsidRPr="00853AAB">
              <w:rPr>
                <w:rFonts w:cs="Arial"/>
                <w:b/>
                <w:sz w:val="16"/>
                <w:szCs w:val="16"/>
                <w:lang w:val="es-UY"/>
              </w:rPr>
              <w:t>Bienes</w:t>
            </w:r>
            <w:r w:rsidRPr="00853AAB">
              <w:rPr>
                <w:rStyle w:val="FootnoteReference"/>
                <w:rFonts w:cs="Arial"/>
                <w:b/>
                <w:sz w:val="16"/>
                <w:szCs w:val="16"/>
                <w:lang w:val="es-UY"/>
              </w:rPr>
              <w:footnoteReference w:id="3"/>
            </w:r>
          </w:p>
        </w:tc>
        <w:tc>
          <w:tcPr>
            <w:tcW w:w="1377" w:type="pct"/>
            <w:gridSpan w:val="2"/>
            <w:vAlign w:val="center"/>
          </w:tcPr>
          <w:p w:rsidR="002C3255" w:rsidRPr="00853AAB" w:rsidRDefault="002C3255" w:rsidP="00C467FF">
            <w:pPr>
              <w:autoSpaceDE w:val="0"/>
              <w:autoSpaceDN w:val="0"/>
              <w:adjustRightInd w:val="0"/>
              <w:spacing w:after="0"/>
              <w:jc w:val="center"/>
              <w:rPr>
                <w:rFonts w:cs="Arial"/>
                <w:b/>
                <w:sz w:val="16"/>
                <w:szCs w:val="16"/>
                <w:lang w:val="es-UY"/>
              </w:rPr>
            </w:pPr>
            <w:r w:rsidRPr="00853AAB">
              <w:rPr>
                <w:rFonts w:cs="Arial"/>
                <w:b/>
                <w:sz w:val="16"/>
                <w:szCs w:val="16"/>
                <w:lang w:val="es-UY"/>
              </w:rPr>
              <w:t>Consultoría</w:t>
            </w:r>
          </w:p>
        </w:tc>
      </w:tr>
      <w:tr w:rsidR="002C3255" w:rsidRPr="00853AAB" w:rsidTr="00C467FF">
        <w:tc>
          <w:tcPr>
            <w:tcW w:w="755" w:type="pct"/>
            <w:vAlign w:val="center"/>
          </w:tcPr>
          <w:p w:rsidR="002C3255" w:rsidRPr="00853AAB" w:rsidRDefault="002C3255" w:rsidP="00C467FF">
            <w:pPr>
              <w:autoSpaceDE w:val="0"/>
              <w:autoSpaceDN w:val="0"/>
              <w:adjustRightInd w:val="0"/>
              <w:spacing w:after="0"/>
              <w:jc w:val="center"/>
              <w:rPr>
                <w:rFonts w:cs="Arial"/>
                <w:b/>
                <w:sz w:val="16"/>
                <w:szCs w:val="16"/>
                <w:lang w:val="es-UY"/>
              </w:rPr>
            </w:pPr>
            <w:r w:rsidRPr="00853AAB">
              <w:rPr>
                <w:rFonts w:cs="Arial"/>
                <w:b/>
                <w:sz w:val="16"/>
                <w:szCs w:val="16"/>
                <w:lang w:val="es-UY"/>
              </w:rPr>
              <w:t xml:space="preserve">Licitación Pública Internacional </w:t>
            </w:r>
          </w:p>
        </w:tc>
        <w:tc>
          <w:tcPr>
            <w:tcW w:w="552" w:type="pct"/>
            <w:vAlign w:val="center"/>
          </w:tcPr>
          <w:p w:rsidR="002C3255" w:rsidRPr="00853AAB" w:rsidRDefault="002C3255" w:rsidP="00C467FF">
            <w:pPr>
              <w:autoSpaceDE w:val="0"/>
              <w:autoSpaceDN w:val="0"/>
              <w:adjustRightInd w:val="0"/>
              <w:spacing w:after="0"/>
              <w:jc w:val="center"/>
              <w:rPr>
                <w:rFonts w:cs="Arial"/>
                <w:b/>
                <w:sz w:val="16"/>
                <w:szCs w:val="16"/>
                <w:lang w:val="es-UY"/>
              </w:rPr>
            </w:pPr>
            <w:r w:rsidRPr="00853AAB">
              <w:rPr>
                <w:rFonts w:cs="Arial"/>
                <w:b/>
                <w:sz w:val="16"/>
                <w:szCs w:val="16"/>
                <w:lang w:val="es-UY"/>
              </w:rPr>
              <w:t>Licitación Pública Nacional</w:t>
            </w:r>
          </w:p>
        </w:tc>
        <w:tc>
          <w:tcPr>
            <w:tcW w:w="554" w:type="pct"/>
            <w:gridSpan w:val="2"/>
            <w:vAlign w:val="center"/>
          </w:tcPr>
          <w:p w:rsidR="002C3255" w:rsidRPr="00853AAB" w:rsidRDefault="002C3255" w:rsidP="00C467FF">
            <w:pPr>
              <w:autoSpaceDE w:val="0"/>
              <w:autoSpaceDN w:val="0"/>
              <w:adjustRightInd w:val="0"/>
              <w:spacing w:after="0"/>
              <w:jc w:val="center"/>
              <w:rPr>
                <w:rFonts w:cs="Arial"/>
                <w:b/>
                <w:sz w:val="16"/>
                <w:szCs w:val="16"/>
                <w:lang w:val="es-UY"/>
              </w:rPr>
            </w:pPr>
            <w:r w:rsidRPr="00853AAB">
              <w:rPr>
                <w:rFonts w:cs="Arial"/>
                <w:b/>
                <w:sz w:val="16"/>
                <w:szCs w:val="16"/>
                <w:lang w:val="es-UY"/>
              </w:rPr>
              <w:t xml:space="preserve">Compa-ración de Precios </w:t>
            </w:r>
          </w:p>
        </w:tc>
        <w:tc>
          <w:tcPr>
            <w:tcW w:w="705" w:type="pct"/>
            <w:vAlign w:val="center"/>
          </w:tcPr>
          <w:p w:rsidR="002C3255" w:rsidRPr="00853AAB" w:rsidRDefault="002C3255" w:rsidP="00C467FF">
            <w:pPr>
              <w:autoSpaceDE w:val="0"/>
              <w:autoSpaceDN w:val="0"/>
              <w:adjustRightInd w:val="0"/>
              <w:spacing w:after="0"/>
              <w:jc w:val="center"/>
              <w:rPr>
                <w:rFonts w:cs="Arial"/>
                <w:b/>
                <w:sz w:val="16"/>
                <w:szCs w:val="16"/>
                <w:lang w:val="es-UY"/>
              </w:rPr>
            </w:pPr>
            <w:r w:rsidRPr="00853AAB">
              <w:rPr>
                <w:rFonts w:cs="Arial"/>
                <w:b/>
                <w:sz w:val="16"/>
                <w:szCs w:val="16"/>
                <w:lang w:val="es-UY"/>
              </w:rPr>
              <w:t xml:space="preserve">Licitación Pública Internacional </w:t>
            </w:r>
          </w:p>
        </w:tc>
        <w:tc>
          <w:tcPr>
            <w:tcW w:w="553" w:type="pct"/>
            <w:gridSpan w:val="2"/>
            <w:vAlign w:val="center"/>
          </w:tcPr>
          <w:p w:rsidR="002C3255" w:rsidRPr="00853AAB" w:rsidRDefault="002C3255" w:rsidP="00C467FF">
            <w:pPr>
              <w:autoSpaceDE w:val="0"/>
              <w:autoSpaceDN w:val="0"/>
              <w:adjustRightInd w:val="0"/>
              <w:spacing w:after="0"/>
              <w:jc w:val="center"/>
              <w:rPr>
                <w:rFonts w:cs="Arial"/>
                <w:b/>
                <w:sz w:val="16"/>
                <w:szCs w:val="16"/>
                <w:lang w:val="es-UY"/>
              </w:rPr>
            </w:pPr>
            <w:r w:rsidRPr="00853AAB">
              <w:rPr>
                <w:rFonts w:cs="Arial"/>
                <w:b/>
                <w:sz w:val="16"/>
                <w:szCs w:val="16"/>
                <w:lang w:val="es-UY"/>
              </w:rPr>
              <w:t>Licitación Pública Nacional</w:t>
            </w:r>
          </w:p>
        </w:tc>
        <w:tc>
          <w:tcPr>
            <w:tcW w:w="504" w:type="pct"/>
            <w:vAlign w:val="center"/>
          </w:tcPr>
          <w:p w:rsidR="002C3255" w:rsidRPr="00853AAB" w:rsidRDefault="002C3255" w:rsidP="00C467FF">
            <w:pPr>
              <w:autoSpaceDE w:val="0"/>
              <w:autoSpaceDN w:val="0"/>
              <w:adjustRightInd w:val="0"/>
              <w:spacing w:after="0"/>
              <w:jc w:val="center"/>
              <w:rPr>
                <w:rFonts w:cs="Arial"/>
                <w:b/>
                <w:sz w:val="16"/>
                <w:szCs w:val="16"/>
                <w:lang w:val="es-UY"/>
              </w:rPr>
            </w:pPr>
            <w:r w:rsidRPr="00853AAB">
              <w:rPr>
                <w:rFonts w:cs="Arial"/>
                <w:b/>
                <w:sz w:val="16"/>
                <w:szCs w:val="16"/>
                <w:lang w:val="es-UY"/>
              </w:rPr>
              <w:t xml:space="preserve">Compa-ración de Precios </w:t>
            </w:r>
          </w:p>
        </w:tc>
        <w:tc>
          <w:tcPr>
            <w:tcW w:w="704" w:type="pct"/>
            <w:vAlign w:val="center"/>
          </w:tcPr>
          <w:p w:rsidR="002C3255" w:rsidRPr="00853AAB" w:rsidRDefault="002C3255" w:rsidP="00C467FF">
            <w:pPr>
              <w:autoSpaceDE w:val="0"/>
              <w:autoSpaceDN w:val="0"/>
              <w:adjustRightInd w:val="0"/>
              <w:spacing w:after="0"/>
              <w:jc w:val="center"/>
              <w:rPr>
                <w:rFonts w:cs="Arial"/>
                <w:b/>
                <w:sz w:val="16"/>
                <w:szCs w:val="16"/>
                <w:lang w:val="es-UY"/>
              </w:rPr>
            </w:pPr>
            <w:r w:rsidRPr="00853AAB">
              <w:rPr>
                <w:rFonts w:cs="Arial"/>
                <w:b/>
                <w:sz w:val="16"/>
                <w:szCs w:val="16"/>
                <w:lang w:val="es-UY"/>
              </w:rPr>
              <w:t>Publicidad Internacional</w:t>
            </w:r>
            <w:r w:rsidR="00C467FF" w:rsidRPr="00853AAB">
              <w:rPr>
                <w:rFonts w:cs="Arial"/>
                <w:b/>
                <w:sz w:val="16"/>
                <w:szCs w:val="16"/>
                <w:lang w:val="es-UY"/>
              </w:rPr>
              <w:t xml:space="preserve"> </w:t>
            </w:r>
            <w:r w:rsidRPr="00853AAB">
              <w:rPr>
                <w:rFonts w:cs="Arial"/>
                <w:b/>
                <w:sz w:val="16"/>
                <w:szCs w:val="16"/>
                <w:lang w:val="es-UY"/>
              </w:rPr>
              <w:t>Consultoría</w:t>
            </w:r>
          </w:p>
        </w:tc>
        <w:tc>
          <w:tcPr>
            <w:tcW w:w="674" w:type="pct"/>
            <w:vAlign w:val="center"/>
          </w:tcPr>
          <w:p w:rsidR="002C3255" w:rsidRPr="00853AAB" w:rsidRDefault="002C3255" w:rsidP="00C467FF">
            <w:pPr>
              <w:autoSpaceDE w:val="0"/>
              <w:autoSpaceDN w:val="0"/>
              <w:adjustRightInd w:val="0"/>
              <w:spacing w:after="0"/>
              <w:jc w:val="center"/>
              <w:rPr>
                <w:rFonts w:cs="Arial"/>
                <w:b/>
                <w:sz w:val="16"/>
                <w:szCs w:val="16"/>
                <w:lang w:val="es-UY"/>
              </w:rPr>
            </w:pPr>
            <w:r w:rsidRPr="00853AAB">
              <w:rPr>
                <w:rFonts w:cs="Arial"/>
                <w:b/>
                <w:sz w:val="16"/>
                <w:szCs w:val="16"/>
                <w:lang w:val="es-UY"/>
              </w:rPr>
              <w:t>Lista Corta 100%</w:t>
            </w:r>
          </w:p>
          <w:p w:rsidR="002C3255" w:rsidRPr="00853AAB" w:rsidRDefault="002C3255" w:rsidP="00C467FF">
            <w:pPr>
              <w:autoSpaceDE w:val="0"/>
              <w:autoSpaceDN w:val="0"/>
              <w:adjustRightInd w:val="0"/>
              <w:spacing w:after="0"/>
              <w:jc w:val="center"/>
              <w:rPr>
                <w:rFonts w:cs="Arial"/>
                <w:b/>
                <w:sz w:val="16"/>
                <w:szCs w:val="16"/>
                <w:lang w:val="es-UY"/>
              </w:rPr>
            </w:pPr>
            <w:r w:rsidRPr="00853AAB">
              <w:rPr>
                <w:rFonts w:cs="Arial"/>
                <w:b/>
                <w:sz w:val="16"/>
                <w:szCs w:val="16"/>
                <w:lang w:val="es-UY"/>
              </w:rPr>
              <w:t>Nacional</w:t>
            </w:r>
          </w:p>
        </w:tc>
      </w:tr>
      <w:tr w:rsidR="002C3255" w:rsidRPr="00853AAB" w:rsidTr="00C467FF">
        <w:trPr>
          <w:trHeight w:val="350"/>
        </w:trPr>
        <w:tc>
          <w:tcPr>
            <w:tcW w:w="755" w:type="pct"/>
            <w:vMerge w:val="restart"/>
            <w:vAlign w:val="center"/>
          </w:tcPr>
          <w:p w:rsidR="002C3255" w:rsidRPr="00853AAB" w:rsidRDefault="002C3255" w:rsidP="00C467FF">
            <w:pPr>
              <w:autoSpaceDE w:val="0"/>
              <w:autoSpaceDN w:val="0"/>
              <w:adjustRightInd w:val="0"/>
              <w:spacing w:after="0"/>
              <w:jc w:val="center"/>
              <w:rPr>
                <w:rFonts w:cs="Arial"/>
                <w:sz w:val="16"/>
                <w:szCs w:val="16"/>
                <w:lang w:val="es-UY"/>
              </w:rPr>
            </w:pPr>
            <w:r w:rsidRPr="00853AAB">
              <w:rPr>
                <w:rFonts w:cs="Arial"/>
                <w:sz w:val="16"/>
                <w:szCs w:val="16"/>
                <w:lang w:val="es-UY"/>
              </w:rPr>
              <w:t>≥ 3.000</w:t>
            </w:r>
          </w:p>
        </w:tc>
        <w:tc>
          <w:tcPr>
            <w:tcW w:w="552" w:type="pct"/>
            <w:vMerge w:val="restart"/>
            <w:vAlign w:val="center"/>
          </w:tcPr>
          <w:p w:rsidR="002C3255" w:rsidRPr="00853AAB" w:rsidRDefault="002C3255" w:rsidP="00C467FF">
            <w:pPr>
              <w:autoSpaceDE w:val="0"/>
              <w:autoSpaceDN w:val="0"/>
              <w:adjustRightInd w:val="0"/>
              <w:spacing w:after="0"/>
              <w:jc w:val="center"/>
              <w:rPr>
                <w:rFonts w:cs="Arial"/>
                <w:sz w:val="16"/>
                <w:szCs w:val="16"/>
                <w:lang w:val="es-UY"/>
              </w:rPr>
            </w:pPr>
            <w:r w:rsidRPr="00853AAB">
              <w:rPr>
                <w:rFonts w:cs="Arial"/>
                <w:sz w:val="16"/>
                <w:szCs w:val="16"/>
                <w:lang w:val="es-UY"/>
              </w:rPr>
              <w:t>250-3.000</w:t>
            </w:r>
          </w:p>
        </w:tc>
        <w:tc>
          <w:tcPr>
            <w:tcW w:w="554" w:type="pct"/>
            <w:gridSpan w:val="2"/>
            <w:vMerge w:val="restart"/>
            <w:vAlign w:val="center"/>
          </w:tcPr>
          <w:p w:rsidR="002C3255" w:rsidRPr="00853AAB" w:rsidRDefault="002C3255" w:rsidP="00C467FF">
            <w:pPr>
              <w:autoSpaceDE w:val="0"/>
              <w:autoSpaceDN w:val="0"/>
              <w:adjustRightInd w:val="0"/>
              <w:spacing w:after="0"/>
              <w:jc w:val="center"/>
              <w:rPr>
                <w:rFonts w:cs="Arial"/>
                <w:sz w:val="16"/>
                <w:szCs w:val="16"/>
                <w:lang w:val="es-UY"/>
              </w:rPr>
            </w:pPr>
            <w:r w:rsidRPr="00853AAB">
              <w:rPr>
                <w:rFonts w:cs="Arial"/>
                <w:sz w:val="16"/>
                <w:szCs w:val="16"/>
                <w:lang w:val="es-UY"/>
              </w:rPr>
              <w:t>≤ 250</w:t>
            </w:r>
          </w:p>
        </w:tc>
        <w:tc>
          <w:tcPr>
            <w:tcW w:w="705" w:type="pct"/>
            <w:vMerge w:val="restart"/>
            <w:vAlign w:val="center"/>
          </w:tcPr>
          <w:p w:rsidR="002C3255" w:rsidRPr="00853AAB" w:rsidRDefault="002C3255" w:rsidP="00C467FF">
            <w:pPr>
              <w:spacing w:after="0"/>
              <w:jc w:val="center"/>
              <w:rPr>
                <w:rFonts w:cs="Arial"/>
                <w:sz w:val="16"/>
                <w:szCs w:val="16"/>
                <w:lang w:val="es-UY"/>
              </w:rPr>
            </w:pPr>
            <w:r w:rsidRPr="00853AAB">
              <w:rPr>
                <w:rFonts w:cs="Arial"/>
                <w:sz w:val="16"/>
                <w:szCs w:val="16"/>
                <w:lang w:val="es-UY"/>
              </w:rPr>
              <w:t>≥250</w:t>
            </w:r>
          </w:p>
        </w:tc>
        <w:tc>
          <w:tcPr>
            <w:tcW w:w="553" w:type="pct"/>
            <w:gridSpan w:val="2"/>
            <w:vMerge w:val="restart"/>
            <w:vAlign w:val="center"/>
          </w:tcPr>
          <w:p w:rsidR="002C3255" w:rsidRPr="00853AAB" w:rsidRDefault="002C3255" w:rsidP="00C467FF">
            <w:pPr>
              <w:spacing w:after="0"/>
              <w:jc w:val="center"/>
              <w:rPr>
                <w:rFonts w:cs="Arial"/>
                <w:sz w:val="16"/>
                <w:szCs w:val="16"/>
                <w:lang w:val="es-UY"/>
              </w:rPr>
            </w:pPr>
            <w:r w:rsidRPr="00853AAB">
              <w:rPr>
                <w:rFonts w:cs="Arial"/>
                <w:sz w:val="16"/>
                <w:szCs w:val="16"/>
                <w:lang w:val="es-UY"/>
              </w:rPr>
              <w:t>50-250</w:t>
            </w:r>
          </w:p>
        </w:tc>
        <w:tc>
          <w:tcPr>
            <w:tcW w:w="504" w:type="pct"/>
            <w:vMerge w:val="restart"/>
            <w:vAlign w:val="center"/>
          </w:tcPr>
          <w:p w:rsidR="002C3255" w:rsidRPr="00853AAB" w:rsidRDefault="002C3255" w:rsidP="00C467FF">
            <w:pPr>
              <w:spacing w:after="0"/>
              <w:jc w:val="center"/>
              <w:rPr>
                <w:rFonts w:cs="Arial"/>
                <w:sz w:val="16"/>
                <w:szCs w:val="16"/>
                <w:lang w:val="es-UY"/>
              </w:rPr>
            </w:pPr>
            <w:r w:rsidRPr="00853AAB">
              <w:rPr>
                <w:rFonts w:cs="Arial"/>
                <w:sz w:val="16"/>
                <w:szCs w:val="16"/>
                <w:lang w:val="es-UY"/>
              </w:rPr>
              <w:t>≤ 50</w:t>
            </w:r>
          </w:p>
        </w:tc>
        <w:tc>
          <w:tcPr>
            <w:tcW w:w="704" w:type="pct"/>
            <w:vMerge w:val="restart"/>
            <w:vAlign w:val="center"/>
          </w:tcPr>
          <w:p w:rsidR="002C3255" w:rsidRPr="00853AAB" w:rsidRDefault="002C3255" w:rsidP="00C467FF">
            <w:pPr>
              <w:autoSpaceDE w:val="0"/>
              <w:autoSpaceDN w:val="0"/>
              <w:adjustRightInd w:val="0"/>
              <w:spacing w:after="0"/>
              <w:jc w:val="center"/>
              <w:rPr>
                <w:rFonts w:cs="Arial"/>
                <w:sz w:val="16"/>
                <w:szCs w:val="16"/>
                <w:lang w:val="es-UY"/>
              </w:rPr>
            </w:pPr>
            <w:r w:rsidRPr="00853AAB">
              <w:rPr>
                <w:rFonts w:cs="Arial"/>
                <w:sz w:val="16"/>
                <w:szCs w:val="16"/>
                <w:lang w:val="es-UY"/>
              </w:rPr>
              <w:t>&gt; 200</w:t>
            </w:r>
          </w:p>
        </w:tc>
        <w:tc>
          <w:tcPr>
            <w:tcW w:w="674" w:type="pct"/>
            <w:vMerge w:val="restart"/>
            <w:vAlign w:val="center"/>
          </w:tcPr>
          <w:p w:rsidR="002C3255" w:rsidRPr="00853AAB" w:rsidRDefault="002C3255" w:rsidP="00C467FF">
            <w:pPr>
              <w:autoSpaceDE w:val="0"/>
              <w:autoSpaceDN w:val="0"/>
              <w:adjustRightInd w:val="0"/>
              <w:spacing w:after="0"/>
              <w:jc w:val="center"/>
              <w:rPr>
                <w:rFonts w:cs="Arial"/>
                <w:sz w:val="16"/>
                <w:szCs w:val="16"/>
                <w:lang w:val="es-UY"/>
              </w:rPr>
            </w:pPr>
            <w:r w:rsidRPr="00853AAB">
              <w:rPr>
                <w:rFonts w:cs="Arial"/>
                <w:sz w:val="16"/>
                <w:szCs w:val="16"/>
                <w:lang w:val="es-UY"/>
              </w:rPr>
              <w:t>≤ 200</w:t>
            </w:r>
          </w:p>
        </w:tc>
      </w:tr>
      <w:tr w:rsidR="002C3255" w:rsidRPr="00853AAB" w:rsidTr="00C467FF">
        <w:trPr>
          <w:trHeight w:val="350"/>
        </w:trPr>
        <w:tc>
          <w:tcPr>
            <w:tcW w:w="755" w:type="pct"/>
            <w:vMerge/>
            <w:vAlign w:val="center"/>
          </w:tcPr>
          <w:p w:rsidR="002C3255" w:rsidRPr="00853AAB" w:rsidRDefault="002C3255" w:rsidP="00C467FF">
            <w:pPr>
              <w:autoSpaceDE w:val="0"/>
              <w:autoSpaceDN w:val="0"/>
              <w:adjustRightInd w:val="0"/>
              <w:spacing w:after="0"/>
              <w:rPr>
                <w:rFonts w:cs="Arial"/>
                <w:sz w:val="16"/>
                <w:szCs w:val="16"/>
                <w:lang w:val="es-UY"/>
              </w:rPr>
            </w:pPr>
          </w:p>
        </w:tc>
        <w:tc>
          <w:tcPr>
            <w:tcW w:w="552" w:type="pct"/>
            <w:vMerge/>
            <w:vAlign w:val="center"/>
          </w:tcPr>
          <w:p w:rsidR="002C3255" w:rsidRPr="00853AAB" w:rsidRDefault="002C3255" w:rsidP="00C467FF">
            <w:pPr>
              <w:autoSpaceDE w:val="0"/>
              <w:autoSpaceDN w:val="0"/>
              <w:adjustRightInd w:val="0"/>
              <w:spacing w:after="0"/>
              <w:rPr>
                <w:rFonts w:cs="Arial"/>
                <w:sz w:val="16"/>
                <w:szCs w:val="16"/>
                <w:lang w:val="es-UY"/>
              </w:rPr>
            </w:pPr>
          </w:p>
        </w:tc>
        <w:tc>
          <w:tcPr>
            <w:tcW w:w="554" w:type="pct"/>
            <w:gridSpan w:val="2"/>
            <w:vMerge/>
            <w:vAlign w:val="center"/>
          </w:tcPr>
          <w:p w:rsidR="002C3255" w:rsidRPr="00853AAB" w:rsidRDefault="002C3255" w:rsidP="00C467FF">
            <w:pPr>
              <w:autoSpaceDE w:val="0"/>
              <w:autoSpaceDN w:val="0"/>
              <w:adjustRightInd w:val="0"/>
              <w:spacing w:after="0"/>
              <w:rPr>
                <w:rFonts w:cs="Arial"/>
                <w:sz w:val="16"/>
                <w:szCs w:val="16"/>
                <w:lang w:val="es-UY"/>
              </w:rPr>
            </w:pPr>
          </w:p>
        </w:tc>
        <w:tc>
          <w:tcPr>
            <w:tcW w:w="705" w:type="pct"/>
            <w:vMerge/>
            <w:vAlign w:val="center"/>
          </w:tcPr>
          <w:p w:rsidR="002C3255" w:rsidRPr="00853AAB" w:rsidRDefault="002C3255" w:rsidP="00C467FF">
            <w:pPr>
              <w:autoSpaceDE w:val="0"/>
              <w:autoSpaceDN w:val="0"/>
              <w:adjustRightInd w:val="0"/>
              <w:spacing w:after="0"/>
              <w:rPr>
                <w:rFonts w:cs="Arial"/>
                <w:sz w:val="16"/>
                <w:szCs w:val="16"/>
                <w:lang w:val="es-UY"/>
              </w:rPr>
            </w:pPr>
          </w:p>
        </w:tc>
        <w:tc>
          <w:tcPr>
            <w:tcW w:w="553" w:type="pct"/>
            <w:gridSpan w:val="2"/>
            <w:vMerge/>
            <w:vAlign w:val="center"/>
          </w:tcPr>
          <w:p w:rsidR="002C3255" w:rsidRPr="00853AAB" w:rsidRDefault="002C3255" w:rsidP="00C467FF">
            <w:pPr>
              <w:autoSpaceDE w:val="0"/>
              <w:autoSpaceDN w:val="0"/>
              <w:adjustRightInd w:val="0"/>
              <w:spacing w:after="0"/>
              <w:rPr>
                <w:rFonts w:cs="Arial"/>
                <w:sz w:val="16"/>
                <w:szCs w:val="16"/>
                <w:lang w:val="es-UY"/>
              </w:rPr>
            </w:pPr>
          </w:p>
        </w:tc>
        <w:tc>
          <w:tcPr>
            <w:tcW w:w="504" w:type="pct"/>
            <w:vMerge/>
            <w:vAlign w:val="center"/>
          </w:tcPr>
          <w:p w:rsidR="002C3255" w:rsidRPr="00853AAB" w:rsidRDefault="002C3255" w:rsidP="00C467FF">
            <w:pPr>
              <w:autoSpaceDE w:val="0"/>
              <w:autoSpaceDN w:val="0"/>
              <w:adjustRightInd w:val="0"/>
              <w:spacing w:after="0"/>
              <w:rPr>
                <w:rFonts w:cs="Arial"/>
                <w:sz w:val="16"/>
                <w:szCs w:val="16"/>
                <w:lang w:val="es-UY"/>
              </w:rPr>
            </w:pPr>
          </w:p>
        </w:tc>
        <w:tc>
          <w:tcPr>
            <w:tcW w:w="704" w:type="pct"/>
            <w:vMerge/>
            <w:vAlign w:val="center"/>
          </w:tcPr>
          <w:p w:rsidR="002C3255" w:rsidRPr="00853AAB" w:rsidRDefault="002C3255" w:rsidP="00C467FF">
            <w:pPr>
              <w:autoSpaceDE w:val="0"/>
              <w:autoSpaceDN w:val="0"/>
              <w:adjustRightInd w:val="0"/>
              <w:spacing w:after="0"/>
              <w:rPr>
                <w:rFonts w:cs="Arial"/>
                <w:sz w:val="16"/>
                <w:szCs w:val="16"/>
                <w:lang w:val="es-UY"/>
              </w:rPr>
            </w:pPr>
          </w:p>
        </w:tc>
        <w:tc>
          <w:tcPr>
            <w:tcW w:w="674" w:type="pct"/>
            <w:vMerge/>
            <w:vAlign w:val="center"/>
          </w:tcPr>
          <w:p w:rsidR="002C3255" w:rsidRPr="00853AAB" w:rsidRDefault="002C3255" w:rsidP="00C467FF">
            <w:pPr>
              <w:autoSpaceDE w:val="0"/>
              <w:autoSpaceDN w:val="0"/>
              <w:adjustRightInd w:val="0"/>
              <w:spacing w:after="0"/>
              <w:rPr>
                <w:rFonts w:cs="Arial"/>
                <w:sz w:val="16"/>
                <w:szCs w:val="16"/>
                <w:lang w:val="es-UY"/>
              </w:rPr>
            </w:pPr>
          </w:p>
        </w:tc>
      </w:tr>
      <w:tr w:rsidR="002C3255" w:rsidRPr="00853AAB" w:rsidTr="00C467FF">
        <w:trPr>
          <w:trHeight w:val="400"/>
        </w:trPr>
        <w:tc>
          <w:tcPr>
            <w:tcW w:w="5000" w:type="pct"/>
            <w:gridSpan w:val="10"/>
            <w:vAlign w:val="center"/>
          </w:tcPr>
          <w:p w:rsidR="002C3255" w:rsidRPr="00853AAB" w:rsidRDefault="002C3255" w:rsidP="00C467FF">
            <w:pPr>
              <w:autoSpaceDE w:val="0"/>
              <w:autoSpaceDN w:val="0"/>
              <w:adjustRightInd w:val="0"/>
              <w:spacing w:after="0"/>
              <w:jc w:val="center"/>
              <w:rPr>
                <w:rFonts w:cs="Arial"/>
                <w:b/>
                <w:sz w:val="16"/>
                <w:szCs w:val="16"/>
                <w:lang w:val="es-UY"/>
              </w:rPr>
            </w:pPr>
            <w:r w:rsidRPr="00853AAB">
              <w:rPr>
                <w:rFonts w:cs="Arial"/>
                <w:b/>
                <w:sz w:val="16"/>
                <w:szCs w:val="16"/>
                <w:lang w:val="es-UY"/>
              </w:rPr>
              <w:t>Límite para Revisión Ex-Post proyecto UR-L1050</w:t>
            </w:r>
          </w:p>
        </w:tc>
      </w:tr>
      <w:tr w:rsidR="002C3255" w:rsidRPr="00853AAB" w:rsidTr="00C467FF">
        <w:trPr>
          <w:trHeight w:val="125"/>
        </w:trPr>
        <w:tc>
          <w:tcPr>
            <w:tcW w:w="1356" w:type="pct"/>
            <w:gridSpan w:val="3"/>
            <w:shd w:val="clear" w:color="auto" w:fill="auto"/>
            <w:vAlign w:val="center"/>
          </w:tcPr>
          <w:p w:rsidR="002C3255" w:rsidRPr="00853AAB" w:rsidRDefault="002C3255" w:rsidP="00C467FF">
            <w:pPr>
              <w:autoSpaceDE w:val="0"/>
              <w:autoSpaceDN w:val="0"/>
              <w:adjustRightInd w:val="0"/>
              <w:spacing w:after="0"/>
              <w:jc w:val="center"/>
              <w:rPr>
                <w:rFonts w:cs="Arial"/>
                <w:b/>
                <w:sz w:val="16"/>
                <w:szCs w:val="16"/>
                <w:lang w:val="es-UY"/>
              </w:rPr>
            </w:pPr>
            <w:r w:rsidRPr="00853AAB">
              <w:rPr>
                <w:rFonts w:cs="Arial"/>
                <w:b/>
                <w:sz w:val="16"/>
                <w:szCs w:val="16"/>
                <w:lang w:val="es-UY"/>
              </w:rPr>
              <w:t>Obras</w:t>
            </w:r>
          </w:p>
        </w:tc>
        <w:tc>
          <w:tcPr>
            <w:tcW w:w="1674" w:type="pct"/>
            <w:gridSpan w:val="3"/>
            <w:vAlign w:val="center"/>
          </w:tcPr>
          <w:p w:rsidR="002C3255" w:rsidRPr="00853AAB" w:rsidRDefault="002C3255" w:rsidP="00C467FF">
            <w:pPr>
              <w:autoSpaceDE w:val="0"/>
              <w:autoSpaceDN w:val="0"/>
              <w:adjustRightInd w:val="0"/>
              <w:spacing w:after="0"/>
              <w:jc w:val="center"/>
              <w:rPr>
                <w:rFonts w:cs="Arial"/>
                <w:b/>
                <w:sz w:val="16"/>
                <w:szCs w:val="16"/>
                <w:lang w:val="es-UY"/>
              </w:rPr>
            </w:pPr>
            <w:r w:rsidRPr="00853AAB">
              <w:rPr>
                <w:rFonts w:cs="Arial"/>
                <w:b/>
                <w:sz w:val="16"/>
                <w:szCs w:val="16"/>
                <w:lang w:val="es-UY"/>
              </w:rPr>
              <w:t xml:space="preserve">Bienes </w:t>
            </w:r>
          </w:p>
        </w:tc>
        <w:tc>
          <w:tcPr>
            <w:tcW w:w="1970" w:type="pct"/>
            <w:gridSpan w:val="4"/>
            <w:vAlign w:val="center"/>
          </w:tcPr>
          <w:p w:rsidR="002C3255" w:rsidRPr="00853AAB" w:rsidRDefault="002C3255" w:rsidP="00C467FF">
            <w:pPr>
              <w:autoSpaceDE w:val="0"/>
              <w:autoSpaceDN w:val="0"/>
              <w:adjustRightInd w:val="0"/>
              <w:spacing w:after="0"/>
              <w:jc w:val="center"/>
              <w:rPr>
                <w:rFonts w:cs="Arial"/>
                <w:b/>
                <w:sz w:val="16"/>
                <w:szCs w:val="16"/>
                <w:lang w:val="es-UY"/>
              </w:rPr>
            </w:pPr>
            <w:r w:rsidRPr="00853AAB">
              <w:rPr>
                <w:rFonts w:cs="Arial"/>
                <w:b/>
                <w:sz w:val="16"/>
                <w:szCs w:val="16"/>
                <w:lang w:val="es-UY"/>
              </w:rPr>
              <w:t>Firmas Consultora y Consultores Individuales</w:t>
            </w:r>
          </w:p>
        </w:tc>
      </w:tr>
      <w:tr w:rsidR="002C3255" w:rsidRPr="00853AAB" w:rsidTr="00C467FF">
        <w:trPr>
          <w:trHeight w:val="1340"/>
        </w:trPr>
        <w:tc>
          <w:tcPr>
            <w:tcW w:w="1356" w:type="pct"/>
            <w:gridSpan w:val="3"/>
            <w:shd w:val="clear" w:color="auto" w:fill="auto"/>
            <w:vAlign w:val="center"/>
          </w:tcPr>
          <w:p w:rsidR="002C3255" w:rsidRPr="00853AAB" w:rsidRDefault="002C3255" w:rsidP="00C467FF">
            <w:pPr>
              <w:numPr>
                <w:ilvl w:val="0"/>
                <w:numId w:val="7"/>
              </w:numPr>
              <w:autoSpaceDE w:val="0"/>
              <w:autoSpaceDN w:val="0"/>
              <w:adjustRightInd w:val="0"/>
              <w:spacing w:after="0"/>
              <w:ind w:left="360"/>
              <w:rPr>
                <w:rFonts w:cs="Arial"/>
                <w:b/>
                <w:sz w:val="16"/>
                <w:szCs w:val="16"/>
                <w:lang w:val="es-UY"/>
              </w:rPr>
            </w:pPr>
            <w:r w:rsidRPr="00853AAB">
              <w:rPr>
                <w:rFonts w:cs="Arial"/>
                <w:snapToGrid w:val="0"/>
                <w:sz w:val="16"/>
                <w:szCs w:val="16"/>
                <w:lang w:val="es-UY"/>
              </w:rPr>
              <w:t>Comparación de precios hasta US$ 250.000</w:t>
            </w:r>
          </w:p>
          <w:p w:rsidR="002C3255" w:rsidRPr="00853AAB" w:rsidRDefault="002C3255" w:rsidP="00C467FF">
            <w:pPr>
              <w:numPr>
                <w:ilvl w:val="0"/>
                <w:numId w:val="7"/>
              </w:numPr>
              <w:autoSpaceDE w:val="0"/>
              <w:autoSpaceDN w:val="0"/>
              <w:adjustRightInd w:val="0"/>
              <w:spacing w:after="0"/>
              <w:ind w:left="360"/>
              <w:rPr>
                <w:rFonts w:cs="Arial"/>
                <w:b/>
                <w:sz w:val="16"/>
                <w:szCs w:val="16"/>
                <w:lang w:val="es-UY"/>
              </w:rPr>
            </w:pPr>
            <w:r w:rsidRPr="00853AAB">
              <w:rPr>
                <w:rFonts w:cs="Arial"/>
                <w:snapToGrid w:val="0"/>
                <w:sz w:val="16"/>
                <w:szCs w:val="16"/>
                <w:lang w:val="es-UY"/>
              </w:rPr>
              <w:t>Licitación Pública Nacional hasta un valor de US$ 3.000.000</w:t>
            </w:r>
          </w:p>
        </w:tc>
        <w:tc>
          <w:tcPr>
            <w:tcW w:w="1674" w:type="pct"/>
            <w:gridSpan w:val="3"/>
            <w:vAlign w:val="center"/>
          </w:tcPr>
          <w:p w:rsidR="002C3255" w:rsidRPr="00853AAB" w:rsidRDefault="002C3255" w:rsidP="00C467FF">
            <w:pPr>
              <w:pStyle w:val="ListParagraph"/>
              <w:numPr>
                <w:ilvl w:val="0"/>
                <w:numId w:val="6"/>
              </w:numPr>
              <w:rPr>
                <w:sz w:val="16"/>
                <w:szCs w:val="16"/>
                <w:lang w:val="es-UY"/>
              </w:rPr>
            </w:pPr>
            <w:r w:rsidRPr="00853AAB">
              <w:rPr>
                <w:snapToGrid w:val="0"/>
                <w:sz w:val="16"/>
                <w:szCs w:val="16"/>
                <w:lang w:val="es-UY"/>
              </w:rPr>
              <w:t>Comparación de precios hasta un valor de US$ 50.000;</w:t>
            </w:r>
          </w:p>
          <w:p w:rsidR="002C3255" w:rsidRPr="00853AAB" w:rsidRDefault="002C3255" w:rsidP="00C467FF">
            <w:pPr>
              <w:pStyle w:val="ListParagraph"/>
              <w:numPr>
                <w:ilvl w:val="0"/>
                <w:numId w:val="6"/>
              </w:numPr>
              <w:rPr>
                <w:sz w:val="16"/>
                <w:szCs w:val="16"/>
                <w:lang w:val="es-UY"/>
              </w:rPr>
            </w:pPr>
            <w:r w:rsidRPr="00853AAB">
              <w:rPr>
                <w:snapToGrid w:val="0"/>
                <w:sz w:val="16"/>
                <w:szCs w:val="16"/>
                <w:lang w:val="es-UY"/>
              </w:rPr>
              <w:t>Licitación Pública Nacional hasta un valor de US$ 250.000</w:t>
            </w:r>
          </w:p>
        </w:tc>
        <w:tc>
          <w:tcPr>
            <w:tcW w:w="1970" w:type="pct"/>
            <w:gridSpan w:val="4"/>
            <w:vAlign w:val="center"/>
          </w:tcPr>
          <w:p w:rsidR="002C3255" w:rsidRPr="00853AAB" w:rsidRDefault="002C3255" w:rsidP="00C467FF">
            <w:pPr>
              <w:pStyle w:val="ListParagraph"/>
              <w:numPr>
                <w:ilvl w:val="0"/>
                <w:numId w:val="6"/>
              </w:numPr>
              <w:rPr>
                <w:snapToGrid w:val="0"/>
                <w:sz w:val="16"/>
                <w:szCs w:val="16"/>
                <w:u w:val="single"/>
                <w:lang w:val="es-UY"/>
              </w:rPr>
            </w:pPr>
            <w:r w:rsidRPr="00853AAB">
              <w:rPr>
                <w:snapToGrid w:val="0"/>
                <w:sz w:val="16"/>
                <w:szCs w:val="16"/>
                <w:lang w:val="es-UY"/>
              </w:rPr>
              <w:t>Selección Basada en la Calidad y Costo hasta un valor de US$ 200.000 (llamados públicos nacionales)</w:t>
            </w:r>
          </w:p>
          <w:p w:rsidR="002C3255" w:rsidRPr="00853AAB" w:rsidRDefault="002C3255" w:rsidP="00C467FF">
            <w:pPr>
              <w:pStyle w:val="ListParagraph"/>
              <w:numPr>
                <w:ilvl w:val="0"/>
                <w:numId w:val="6"/>
              </w:numPr>
              <w:rPr>
                <w:sz w:val="16"/>
                <w:szCs w:val="16"/>
                <w:lang w:val="es-UY"/>
              </w:rPr>
            </w:pPr>
            <w:r w:rsidRPr="00853AAB">
              <w:rPr>
                <w:sz w:val="16"/>
                <w:szCs w:val="16"/>
                <w:lang w:val="es-UY"/>
              </w:rPr>
              <w:t xml:space="preserve">Consultores Individuales </w:t>
            </w:r>
            <w:r w:rsidRPr="00853AAB">
              <w:rPr>
                <w:snapToGrid w:val="0"/>
                <w:sz w:val="16"/>
                <w:szCs w:val="16"/>
                <w:lang w:val="es-UY"/>
              </w:rPr>
              <w:t>hasta un valor por contrato de US$ 50.000</w:t>
            </w:r>
          </w:p>
        </w:tc>
      </w:tr>
      <w:tr w:rsidR="002C3255" w:rsidRPr="00853AAB" w:rsidTr="00853AAB">
        <w:trPr>
          <w:trHeight w:val="1327"/>
        </w:trPr>
        <w:tc>
          <w:tcPr>
            <w:tcW w:w="5000" w:type="pct"/>
            <w:gridSpan w:val="10"/>
            <w:shd w:val="clear" w:color="auto" w:fill="auto"/>
            <w:vAlign w:val="center"/>
          </w:tcPr>
          <w:p w:rsidR="002C3255" w:rsidRPr="00853AAB" w:rsidRDefault="002C3255" w:rsidP="00C467FF">
            <w:pPr>
              <w:spacing w:after="0"/>
              <w:rPr>
                <w:snapToGrid w:val="0"/>
                <w:sz w:val="16"/>
                <w:szCs w:val="16"/>
                <w:lang w:val="es-UY"/>
              </w:rPr>
            </w:pPr>
            <w:r w:rsidRPr="00853AAB">
              <w:rPr>
                <w:snapToGrid w:val="0"/>
                <w:sz w:val="16"/>
                <w:szCs w:val="16"/>
                <w:lang w:val="es-UY"/>
              </w:rPr>
              <w:t xml:space="preserve">Nota: En la contratación de consultores individuales se requerirá por lo menos tres candidatos potenciales. En la contratación de servicios de firmas consultoras se tendrá en cuenta lo siguiente: (i) </w:t>
            </w:r>
            <w:r w:rsidRPr="00853AAB">
              <w:rPr>
                <w:sz w:val="16"/>
                <w:szCs w:val="16"/>
                <w:lang w:val="es-UY"/>
              </w:rPr>
              <w:t>Lista Corta de seis firmas que podrán ser de consultores nacionales (publicidad nacional) si el presupuesto es inferior a US$ 200.000; Lista Corta de seis firmas que podrá ser de consultores nacionales (publicidad internacional y nacional) si el presupuesto es menor a US$ 500.000 y mayor o igual a US$ 200.000; y Lista Corta de seis firmas con amplia representación geográfica (publicidad internacional y nacional) si el presupuesto es mayor o igual a US$ 500.000.</w:t>
            </w:r>
          </w:p>
        </w:tc>
      </w:tr>
    </w:tbl>
    <w:p w:rsidR="002C3255" w:rsidRPr="00CD6AE6" w:rsidRDefault="002C3255" w:rsidP="00D4226A">
      <w:pPr>
        <w:pStyle w:val="Paragraph"/>
      </w:pPr>
      <w:r w:rsidRPr="00CD6AE6">
        <w:t>Adicionalmente se revisar</w:t>
      </w:r>
      <w:r w:rsidR="008359EA" w:rsidRPr="00CD6AE6">
        <w:t>án</w:t>
      </w:r>
      <w:r w:rsidRPr="00CD6AE6">
        <w:t xml:space="preserve"> de manera ex-ante</w:t>
      </w:r>
      <w:r w:rsidR="008359EA" w:rsidRPr="00CD6AE6">
        <w:t>,</w:t>
      </w:r>
      <w:r w:rsidRPr="00CD6AE6">
        <w:t xml:space="preserve"> </w:t>
      </w:r>
      <w:r w:rsidR="00E44A87" w:rsidRPr="00CD6AE6">
        <w:t xml:space="preserve">a juicio del Banco, </w:t>
      </w:r>
      <w:r w:rsidR="00C20AE9" w:rsidRPr="00CD6AE6">
        <w:t>todas las adquisiciones</w:t>
      </w:r>
      <w:r w:rsidRPr="00CD6AE6">
        <w:t xml:space="preserve"> que sean consideradas como relevantes y de impacto en los productos y resultados del </w:t>
      </w:r>
      <w:r w:rsidR="008359EA" w:rsidRPr="00CD6AE6">
        <w:t xml:space="preserve">Programa, </w:t>
      </w:r>
      <w:r w:rsidRPr="00CD6AE6">
        <w:t>en cuyo caso dicho mecanismo se establecerá en el Plan de Adquisiciones incorporado al SEPA.</w:t>
      </w:r>
    </w:p>
    <w:p w:rsidR="002C3255" w:rsidRPr="00CD6AE6" w:rsidRDefault="002C3255" w:rsidP="00D4226A">
      <w:pPr>
        <w:pStyle w:val="Paragraph"/>
      </w:pPr>
      <w:r w:rsidRPr="00CD6AE6">
        <w:t>La UEP llevará un registro de los procesos de adquisiciones sujetos a revisión ex-post aceptable para el BID en el SEPA y conservarán toda la documentación de dichos contratos por un período de tres años contados a partir de la fecha del último desembolso, conforme lo establecido en el numeral 4 del Apéndice 1 de las Políticas para la Adquisición de Bienes y Obras Financiados por el BID (GN-2349-7) y de las Políticas para la Selección y Contratación de Consultores financiados por el BID (GN-2350-7).</w:t>
      </w:r>
    </w:p>
    <w:p w:rsidR="002C3255" w:rsidRPr="00CD6AE6" w:rsidRDefault="002C3255" w:rsidP="00A83DF4">
      <w:pPr>
        <w:pStyle w:val="Heading3"/>
        <w:rPr>
          <w:lang w:val="es-UY"/>
        </w:rPr>
      </w:pPr>
      <w:r w:rsidRPr="00CD6AE6">
        <w:rPr>
          <w:lang w:val="es-UY"/>
        </w:rPr>
        <w:t>Publicidad</w:t>
      </w:r>
    </w:p>
    <w:p w:rsidR="009424DD" w:rsidRPr="00CD6AE6" w:rsidRDefault="009424DD" w:rsidP="002F613E">
      <w:pPr>
        <w:pStyle w:val="Paragraph"/>
      </w:pPr>
      <w:r w:rsidRPr="00CD6AE6">
        <w:t>Todo llamado de adquisición con método competitivo deberá ser publicado en el portal de compras y contrataciones estatales (</w:t>
      </w:r>
      <w:hyperlink r:id="rId10" w:history="1">
        <w:r w:rsidRPr="00CD6AE6">
          <w:rPr>
            <w:rStyle w:val="Hyperlink"/>
            <w:rFonts w:cs="Arial"/>
            <w:szCs w:val="20"/>
          </w:rPr>
          <w:t>www.comprasestatales.gub.uy</w:t>
        </w:r>
      </w:hyperlink>
      <w:r w:rsidRPr="00CD6AE6">
        <w:t>)</w:t>
      </w:r>
      <w:r w:rsidR="002F613E">
        <w:t xml:space="preserve">. </w:t>
      </w:r>
      <w:r w:rsidR="002F613E" w:rsidRPr="002F613E">
        <w:t xml:space="preserve">En el caso de los procedimientos </w:t>
      </w:r>
      <w:r w:rsidR="002F613E" w:rsidRPr="002F613E">
        <w:lastRenderedPageBreak/>
        <w:t>competitivos superiores a U$S 50.000 (dólares cincuenta mil), también se deberá publicar en</w:t>
      </w:r>
      <w:r w:rsidR="002F613E">
        <w:t xml:space="preserve"> </w:t>
      </w:r>
      <w:r w:rsidRPr="00CD6AE6">
        <w:t xml:space="preserve"> por lo menos en un diario de amplia circulación nacional.</w:t>
      </w:r>
    </w:p>
    <w:p w:rsidR="002C3255" w:rsidRPr="00CD6AE6" w:rsidRDefault="002C3255" w:rsidP="00D4226A">
      <w:pPr>
        <w:pStyle w:val="Paragraph"/>
      </w:pPr>
      <w:r w:rsidRPr="00CD6AE6">
        <w:t xml:space="preserve">El llamado a LPI se publicará en el sitio de Internet del United Nations Development Business (UNDB online), en el sitio de Internet del BID y en un periódico de </w:t>
      </w:r>
      <w:r w:rsidR="009424DD" w:rsidRPr="00CD6AE6">
        <w:t xml:space="preserve">amplia circulación nacional. </w:t>
      </w:r>
      <w:r w:rsidRPr="00CD6AE6">
        <w:t xml:space="preserve">El plazo de preparación y presentación de ofertas para obras </w:t>
      </w:r>
      <w:r w:rsidR="008359EA" w:rsidRPr="00CD6AE6">
        <w:t xml:space="preserve">no </w:t>
      </w:r>
      <w:r w:rsidRPr="00CD6AE6">
        <w:t xml:space="preserve">será inferior a </w:t>
      </w:r>
      <w:r w:rsidR="005E03D4" w:rsidRPr="00CD6AE6">
        <w:t>cuatro</w:t>
      </w:r>
      <w:r w:rsidRPr="00CD6AE6">
        <w:t xml:space="preserve"> semanas para LPN y a </w:t>
      </w:r>
      <w:r w:rsidR="005E03D4" w:rsidRPr="00CD6AE6">
        <w:t>seis</w:t>
      </w:r>
      <w:r w:rsidRPr="00CD6AE6">
        <w:t xml:space="preserve"> semanas para LPI, contadas a partir del llamado a licitación correspondiente a la última de las publicaciones realizadas entre aquellas requeridas por el BID. Por su parte, para solicitar expresiones de interés para cada contrato de consultoría se deben conceder por lo menos catorce días corridos a partir de la fecha de la última publicación realizada entre aquellas requeridas por el BID.</w:t>
      </w:r>
    </w:p>
    <w:p w:rsidR="002C3255" w:rsidRPr="00CD6AE6" w:rsidRDefault="002C3255" w:rsidP="00A83DF4">
      <w:pPr>
        <w:pStyle w:val="Heading3"/>
        <w:rPr>
          <w:lang w:val="es-UY"/>
        </w:rPr>
      </w:pPr>
      <w:bookmarkStart w:id="72" w:name="_Ref145252830"/>
      <w:bookmarkStart w:id="73" w:name="_Ref145273148"/>
      <w:bookmarkStart w:id="74" w:name="_Toc202247764"/>
      <w:r w:rsidRPr="00CD6AE6">
        <w:rPr>
          <w:lang w:val="es-UY"/>
        </w:rPr>
        <w:t>Ejecución</w:t>
      </w:r>
      <w:bookmarkEnd w:id="72"/>
      <w:bookmarkEnd w:id="73"/>
      <w:r w:rsidRPr="00CD6AE6">
        <w:rPr>
          <w:lang w:val="es-UY"/>
        </w:rPr>
        <w:t xml:space="preserve"> de las Adquisiciones</w:t>
      </w:r>
      <w:bookmarkEnd w:id="74"/>
    </w:p>
    <w:p w:rsidR="002C3255" w:rsidRPr="00CD6AE6" w:rsidRDefault="002C3255" w:rsidP="00D4226A">
      <w:pPr>
        <w:pStyle w:val="Paragraph"/>
      </w:pPr>
      <w:r w:rsidRPr="00CD6AE6">
        <w:t xml:space="preserve">La implementación de la modalidad de revisión ex-post será inmediata una vez que la Unidad Ejecutora haya confeccionado y enviado al Banco, y </w:t>
      </w:r>
      <w:r w:rsidR="008359EA" w:rsidRPr="00CD6AE6">
        <w:t>éste haya aprobado</w:t>
      </w:r>
      <w:r w:rsidRPr="00CD6AE6">
        <w:t xml:space="preserve"> el Plan de Adquisiciones oficial inicial del proyecto. Un taller de revisión ex-post de adquisiciones se realizará con la Unidad Ejecutora de la ANEP antes de iniciar las actividades de adquisición del Programa. </w:t>
      </w:r>
    </w:p>
    <w:p w:rsidR="002C3255" w:rsidRPr="00CD6AE6" w:rsidRDefault="002C3255" w:rsidP="00D4226A">
      <w:pPr>
        <w:pStyle w:val="Paragraph"/>
      </w:pPr>
      <w:r w:rsidRPr="00CD6AE6">
        <w:t xml:space="preserve">Las revisiones ex-post serán cada 12 meses. </w:t>
      </w:r>
      <w:r w:rsidR="008359EA" w:rsidRPr="00CD6AE6">
        <w:t>El Banco podrá inspeccionar físicamente una muestra representativa de los contratos revisados en estas visitas.</w:t>
      </w:r>
      <w:r w:rsidRPr="00CD6AE6">
        <w:t xml:space="preserve"> En el caso de bienes, la visita física</w:t>
      </w:r>
      <w:r w:rsidR="009424DD" w:rsidRPr="00CD6AE6">
        <w:t xml:space="preserve"> podrá reemplazarse</w:t>
      </w:r>
      <w:r w:rsidRPr="00CD6AE6">
        <w:t xml:space="preserve"> por una verificación, durante las revisiones ex-post, de las constancias de entrega de los bienes a las dependencias beneficiarias.</w:t>
      </w:r>
    </w:p>
    <w:p w:rsidR="00857B0B" w:rsidRPr="00CD6AE6" w:rsidRDefault="00857B0B" w:rsidP="00D4226A">
      <w:pPr>
        <w:pStyle w:val="Paragraph"/>
      </w:pPr>
      <w:r w:rsidRPr="00CD6AE6">
        <w:t xml:space="preserve">Previo a cada </w:t>
      </w:r>
      <w:r w:rsidR="00C20AE9" w:rsidRPr="00CD6AE6">
        <w:t>visita, la</w:t>
      </w:r>
      <w:r w:rsidRPr="00CD6AE6">
        <w:t xml:space="preserve"> ANEP deberá entregar al Banco la documentación que éste le solicite</w:t>
      </w:r>
      <w:bookmarkStart w:id="75" w:name="_Ref170586096"/>
      <w:bookmarkStart w:id="76" w:name="_Ref181540461"/>
      <w:r w:rsidRPr="00CD6AE6">
        <w:t>. En la revisión</w:t>
      </w:r>
      <w:r w:rsidR="00A069BD" w:rsidRPr="00CD6AE6">
        <w:t xml:space="preserve"> ex-post </w:t>
      </w:r>
      <w:r w:rsidRPr="00CD6AE6">
        <w:t>de procesos de adquisiciones realizados por el Ejecutor dentro de su margen de autonomía, el BID verificará, sobre cada uno de los procesos que integren la muestra o el lote en su totalidad (dependiendo del nivel de riesgo detectado en las operaciones), como mínimo, lo siguiente: (i) la elegibilidad del gasto; (ii) los procesos de licitación o contratación acorde en todos sus términos al Plan de Adquisiciones; (iii) la ejecución del contrato, incluyendo eventuales modificaciones al mismo (las que abarcan re</w:t>
      </w:r>
      <w:r w:rsidR="00C20AE9" w:rsidRPr="00CD6AE6">
        <w:t xml:space="preserve"> </w:t>
      </w:r>
      <w:r w:rsidRPr="00CD6AE6">
        <w:t xml:space="preserve">determinaciones de precios); (iv) el cierre del mismo (informes finales, recepción provisoria y definitiva de obras); y (v) el mantenimiento adecuado de los registros e información del Programa, incluyendo los contratos firmados presentados al Banco (“código PRISM”), entre otros. </w:t>
      </w:r>
      <w:bookmarkEnd w:id="75"/>
      <w:bookmarkEnd w:id="76"/>
    </w:p>
    <w:p w:rsidR="002C3255" w:rsidRPr="00CD6AE6" w:rsidRDefault="002C3255" w:rsidP="00D4226A">
      <w:pPr>
        <w:pStyle w:val="Paragraph"/>
      </w:pPr>
      <w:r w:rsidRPr="00CD6AE6">
        <w:t>La implementación de la revisión ex-post para Licitación Pública Nacional, en la categoría de obras, bienes o servicios distintos de consultoría y firmas consultoras, se hará después</w:t>
      </w:r>
      <w:r w:rsidR="008359EA" w:rsidRPr="00CD6AE6">
        <w:t xml:space="preserve"> de que, </w:t>
      </w:r>
      <w:r w:rsidRPr="00CD6AE6">
        <w:t xml:space="preserve">por lo menos </w:t>
      </w:r>
      <w:r w:rsidR="008359EA" w:rsidRPr="00CD6AE6">
        <w:t>un</w:t>
      </w:r>
      <w:r w:rsidRPr="00CD6AE6">
        <w:t xml:space="preserve"> proceso para </w:t>
      </w:r>
      <w:r w:rsidR="00C20AE9" w:rsidRPr="00CD6AE6">
        <w:t xml:space="preserve"> cada tipo</w:t>
      </w:r>
      <w:r w:rsidRPr="00CD6AE6">
        <w:t xml:space="preserve"> de adquisición se haya realizado con revisión ex-ante. Esto para efecto de uniformar criterios evaluativos. La implementación de la modalidad de revisión ex-post será inmediata para los demás tipos de adquisiciones (Comparación de precios, Comparación de calificaciones, Contratación directa). </w:t>
      </w:r>
    </w:p>
    <w:p w:rsidR="002C3255" w:rsidRPr="00CD6AE6" w:rsidRDefault="002C3255" w:rsidP="00D4226A">
      <w:pPr>
        <w:pStyle w:val="Paragraph"/>
      </w:pPr>
      <w:bookmarkStart w:id="77" w:name="_Ref174417861"/>
      <w:r w:rsidRPr="00CD6AE6">
        <w:t xml:space="preserve">Si al realizar las revisiones </w:t>
      </w:r>
      <w:r w:rsidR="00857B0B" w:rsidRPr="00CD6AE6">
        <w:t>ex-post</w:t>
      </w:r>
      <w:r w:rsidRPr="00CD6AE6">
        <w:t>, el BID determina que las obras, bienes y servicios de consultoría o diferentes de consultoría: (i) no son pertinentes y elegibles acorde a las actividades y objetivos del Programa; (ii) no fueron adquiridos de acuerdo a los procedimientos acordados en el Contrato y detallados en el Plan de Adquisiciones aprobado por el BID o el contrato no es consistente con dichos métodos; o (iii) que un contrato ha sufrido modificaciones (re</w:t>
      </w:r>
      <w:r w:rsidR="00C20AE9" w:rsidRPr="00CD6AE6">
        <w:t xml:space="preserve"> </w:t>
      </w:r>
      <w:r w:rsidRPr="00CD6AE6">
        <w:t xml:space="preserve">determinaciones, ampliaciones, etc.) no consistentes con su objetivo o con la evolución de las variables de ajuste de referencia, el Banco puede: (a) optar por pasar del sistema de revisión </w:t>
      </w:r>
      <w:r w:rsidR="00857B0B" w:rsidRPr="00CD6AE6">
        <w:t>ex-post</w:t>
      </w:r>
      <w:r w:rsidR="00857B0B" w:rsidRPr="00CD6AE6" w:rsidDel="00B53063">
        <w:t xml:space="preserve"> </w:t>
      </w:r>
      <w:r w:rsidRPr="00CD6AE6">
        <w:t xml:space="preserve">a la revisión ex-ante, comunicándolo de inmediato a la ANEP; y (b) declarar la contratación no elegible para financiamiento del BID, siendo en tal caso política del BID cancelar la porción del </w:t>
      </w:r>
      <w:r w:rsidRPr="00CD6AE6">
        <w:lastRenderedPageBreak/>
        <w:t>préstamo</w:t>
      </w:r>
      <w:r w:rsidRPr="00CD6AE6">
        <w:rPr>
          <w:vertAlign w:val="superscript"/>
        </w:rPr>
        <w:footnoteReference w:id="4"/>
      </w:r>
      <w:r w:rsidRPr="00CD6AE6">
        <w:t xml:space="preserve"> asignada a bienes y obras y servicios de consultores que se hayan adquirido o contratado sin observar dichos procedimientos.</w:t>
      </w:r>
      <w:bookmarkEnd w:id="77"/>
    </w:p>
    <w:p w:rsidR="00857B0B" w:rsidRPr="00CD6AE6" w:rsidRDefault="00857B0B" w:rsidP="00D4226A">
      <w:pPr>
        <w:pStyle w:val="Paragraph"/>
      </w:pPr>
      <w:r w:rsidRPr="00CD6AE6">
        <w:t xml:space="preserve">En la fase previa al inicio de las adquisiciones del Programa, la </w:t>
      </w:r>
      <w:r w:rsidR="00C20AE9" w:rsidRPr="00CD6AE6">
        <w:t>UE</w:t>
      </w:r>
      <w:r w:rsidRPr="00CD6AE6">
        <w:t xml:space="preserve"> de la ANEP, en coordinación con el Especialista en Adquisiciones del Banco, elaborará los pliegos estándar que se utilizarán en el proyecto para que las adquisiciones en modalidad de revisión ex-post sean realizadas de la forma más eficiente posible y en el marco de los requerimientos fiduciarios del Banco.  </w:t>
      </w:r>
    </w:p>
    <w:p w:rsidR="002C3255" w:rsidRPr="00CD6AE6" w:rsidRDefault="002C3255" w:rsidP="00A83DF4">
      <w:pPr>
        <w:pStyle w:val="Heading3"/>
        <w:rPr>
          <w:lang w:val="es-UY"/>
        </w:rPr>
      </w:pPr>
      <w:r w:rsidRPr="00CD6AE6">
        <w:rPr>
          <w:lang w:val="es-UY"/>
        </w:rPr>
        <w:t>Re</w:t>
      </w:r>
      <w:r w:rsidR="00C20AE9" w:rsidRPr="00CD6AE6">
        <w:rPr>
          <w:lang w:val="es-UY"/>
        </w:rPr>
        <w:t xml:space="preserve"> </w:t>
      </w:r>
      <w:r w:rsidRPr="00CD6AE6">
        <w:rPr>
          <w:lang w:val="es-UY"/>
        </w:rPr>
        <w:t>determinación de Precios</w:t>
      </w:r>
    </w:p>
    <w:p w:rsidR="002C3255" w:rsidRPr="00CD6AE6" w:rsidRDefault="002C3255" w:rsidP="00D4226A">
      <w:pPr>
        <w:pStyle w:val="Paragraph"/>
      </w:pPr>
      <w:r w:rsidRPr="00CD6AE6">
        <w:t>Con los recursos del Programa podrá financiarse la re</w:t>
      </w:r>
      <w:r w:rsidR="00C20AE9" w:rsidRPr="00CD6AE6">
        <w:t xml:space="preserve"> </w:t>
      </w:r>
      <w:r w:rsidRPr="00CD6AE6">
        <w:t>determinación de precios de contratos prevista contractualmente que resulte aplicable.</w:t>
      </w:r>
    </w:p>
    <w:p w:rsidR="002C3255" w:rsidRPr="00CD6AE6" w:rsidRDefault="002C3255" w:rsidP="00A83DF4">
      <w:pPr>
        <w:pStyle w:val="Heading3"/>
        <w:rPr>
          <w:lang w:val="es-UY"/>
        </w:rPr>
      </w:pPr>
      <w:r w:rsidRPr="00CD6AE6">
        <w:rPr>
          <w:lang w:val="es-UY"/>
        </w:rPr>
        <w:t>Mantenimiento y operación de las inversiones</w:t>
      </w:r>
    </w:p>
    <w:p w:rsidR="00857B0B" w:rsidRPr="00CD6AE6" w:rsidRDefault="002C3255" w:rsidP="00D4226A">
      <w:pPr>
        <w:pStyle w:val="Paragraph"/>
      </w:pPr>
      <w:r w:rsidRPr="00CD6AE6">
        <w:t xml:space="preserve">La ANEP se compromete, dentro del ámbito de su competencia, a tomar todas las medidas necesarias para que las obras y equipos comprendidos en el Programa sean mantenidos en las condiciones de operación en que se encontraban al momento de su recepción, dentro de un nivel compatible con los servicios que deban prestar y de acuerdo con normas técnicas generalmente aceptadas. Los Pliegos Técnicos exigirán a las Empresas Contratistas la entrega de los Programas de Mantenimiento Preventivo junto con la recepción provisoria de las obras. </w:t>
      </w:r>
    </w:p>
    <w:p w:rsidR="002C3255" w:rsidRPr="00CD6AE6" w:rsidRDefault="002C3255" w:rsidP="00D4226A">
      <w:pPr>
        <w:pStyle w:val="Paragraph"/>
      </w:pPr>
      <w:r w:rsidRPr="00CD6AE6">
        <w:t>La evaluación final del Programa incluirá expresamente la revisión del mantenimiento adecuado de las obras</w:t>
      </w:r>
      <w:r w:rsidR="00857B0B" w:rsidRPr="00CD6AE6">
        <w:t xml:space="preserve"> del Programa</w:t>
      </w:r>
      <w:r w:rsidRPr="00CD6AE6">
        <w:t>.</w:t>
      </w:r>
    </w:p>
    <w:p w:rsidR="00987491" w:rsidRDefault="00987491" w:rsidP="00987491">
      <w:pPr>
        <w:pStyle w:val="Heading2"/>
        <w:numPr>
          <w:ilvl w:val="1"/>
          <w:numId w:val="8"/>
        </w:numPr>
      </w:pPr>
      <w:bookmarkStart w:id="78" w:name="_Toc106996915"/>
      <w:bookmarkStart w:id="79" w:name="_Toc108506437"/>
      <w:bookmarkStart w:id="80" w:name="_Toc110493061"/>
      <w:bookmarkStart w:id="81" w:name="_Toc134589630"/>
      <w:bookmarkStart w:id="82" w:name="_Ref141790145"/>
      <w:bookmarkStart w:id="83" w:name="_Ref142080628"/>
      <w:bookmarkStart w:id="84" w:name="_Ref143411405"/>
      <w:bookmarkStart w:id="85" w:name="_Ref144221111"/>
      <w:bookmarkStart w:id="86" w:name="_Ref145272713"/>
      <w:bookmarkStart w:id="87" w:name="_Toc202247765"/>
      <w:r>
        <w:t>GESTIÓN AMBIENTAL Y SOCIAL</w:t>
      </w:r>
    </w:p>
    <w:p w:rsidR="00872A3D" w:rsidRPr="00872A3D" w:rsidRDefault="00872A3D" w:rsidP="00872A3D">
      <w:pPr>
        <w:pStyle w:val="Paragraph"/>
      </w:pPr>
      <w:r w:rsidRPr="00872A3D">
        <w:t>El Plan de Gestión Ambiental y Social que se resume a continuación formula las medidas necesarias para la mitigación, compensación y prevención de los efectos adversos, que pudiera causar las actividades de la presente operación sobre los elementos ambientales y sociales. Este plan cubre las fases de construcción y de operación de la infraestructura a ser financiada por la presente operación.</w:t>
      </w:r>
    </w:p>
    <w:tbl>
      <w:tblPr>
        <w:tblW w:w="9549" w:type="dxa"/>
        <w:jc w:val="center"/>
        <w:tblLayout w:type="fixed"/>
        <w:tblCellMar>
          <w:left w:w="70" w:type="dxa"/>
          <w:right w:w="70" w:type="dxa"/>
        </w:tblCellMar>
        <w:tblLook w:val="0000" w:firstRow="0" w:lastRow="0" w:firstColumn="0" w:lastColumn="0" w:noHBand="0" w:noVBand="0"/>
      </w:tblPr>
      <w:tblGrid>
        <w:gridCol w:w="1436"/>
        <w:gridCol w:w="2233"/>
        <w:gridCol w:w="4800"/>
        <w:gridCol w:w="540"/>
        <w:gridCol w:w="540"/>
      </w:tblGrid>
      <w:tr w:rsidR="00987491" w:rsidRPr="00787ECC" w:rsidTr="00987491">
        <w:trPr>
          <w:cantSplit/>
          <w:trHeight w:val="326"/>
          <w:tblHeader/>
          <w:jc w:val="center"/>
        </w:trPr>
        <w:tc>
          <w:tcPr>
            <w:tcW w:w="1436" w:type="dxa"/>
            <w:vMerge w:val="restart"/>
            <w:tcBorders>
              <w:top w:val="single" w:sz="12" w:space="0" w:color="000000"/>
              <w:left w:val="single" w:sz="12" w:space="0" w:color="000000"/>
              <w:right w:val="single" w:sz="12" w:space="0" w:color="000000"/>
            </w:tcBorders>
            <w:shd w:val="clear" w:color="auto" w:fill="D9D9D9"/>
            <w:vAlign w:val="center"/>
          </w:tcPr>
          <w:p w:rsidR="00987491" w:rsidRPr="00787ECC" w:rsidRDefault="00987491" w:rsidP="00987491">
            <w:pPr>
              <w:keepNext/>
              <w:keepLines/>
              <w:spacing w:after="0"/>
              <w:jc w:val="center"/>
              <w:rPr>
                <w:rFonts w:cs="Arial"/>
                <w:b/>
                <w:bCs/>
                <w:color w:val="000000"/>
                <w:szCs w:val="20"/>
                <w:lang w:val="es-ES"/>
              </w:rPr>
            </w:pPr>
            <w:r w:rsidRPr="00787ECC">
              <w:rPr>
                <w:rFonts w:cs="Arial"/>
                <w:b/>
                <w:bCs/>
                <w:color w:val="000000"/>
                <w:szCs w:val="20"/>
                <w:lang w:val="es-ES"/>
              </w:rPr>
              <w:t>PROGRAMA</w:t>
            </w:r>
          </w:p>
        </w:tc>
        <w:tc>
          <w:tcPr>
            <w:tcW w:w="2233" w:type="dxa"/>
            <w:vMerge w:val="restart"/>
            <w:tcBorders>
              <w:top w:val="single" w:sz="12" w:space="0" w:color="000000"/>
              <w:left w:val="single" w:sz="12" w:space="0" w:color="000000"/>
              <w:right w:val="single" w:sz="12" w:space="0" w:color="000000"/>
            </w:tcBorders>
            <w:shd w:val="clear" w:color="auto" w:fill="D9D9D9"/>
            <w:vAlign w:val="center"/>
          </w:tcPr>
          <w:p w:rsidR="00987491" w:rsidRPr="00787ECC" w:rsidRDefault="00987491" w:rsidP="00987491">
            <w:pPr>
              <w:keepNext/>
              <w:keepLines/>
              <w:spacing w:after="0"/>
              <w:jc w:val="center"/>
              <w:rPr>
                <w:rFonts w:cs="Arial"/>
                <w:b/>
                <w:bCs/>
                <w:color w:val="000000"/>
                <w:szCs w:val="20"/>
                <w:lang w:val="es-ES"/>
              </w:rPr>
            </w:pPr>
            <w:r w:rsidRPr="00787ECC">
              <w:rPr>
                <w:rFonts w:cs="Arial"/>
                <w:b/>
                <w:bCs/>
                <w:color w:val="000000"/>
                <w:szCs w:val="20"/>
                <w:lang w:val="es-ES"/>
              </w:rPr>
              <w:t>IMPACTO/ RIESGO</w:t>
            </w:r>
          </w:p>
        </w:tc>
        <w:tc>
          <w:tcPr>
            <w:tcW w:w="4800" w:type="dxa"/>
            <w:vMerge w:val="restart"/>
            <w:tcBorders>
              <w:top w:val="single" w:sz="12" w:space="0" w:color="000000"/>
              <w:left w:val="single" w:sz="12" w:space="0" w:color="000000"/>
              <w:right w:val="single" w:sz="12" w:space="0" w:color="000000"/>
            </w:tcBorders>
            <w:shd w:val="clear" w:color="auto" w:fill="D9D9D9"/>
            <w:vAlign w:val="center"/>
          </w:tcPr>
          <w:p w:rsidR="00987491" w:rsidRPr="00787ECC" w:rsidRDefault="00987491" w:rsidP="00987491">
            <w:pPr>
              <w:keepNext/>
              <w:keepLines/>
              <w:spacing w:after="0"/>
              <w:jc w:val="center"/>
              <w:rPr>
                <w:rFonts w:cs="Arial"/>
                <w:b/>
                <w:bCs/>
                <w:color w:val="000000"/>
                <w:szCs w:val="20"/>
                <w:lang w:val="es-ES"/>
              </w:rPr>
            </w:pPr>
            <w:r w:rsidRPr="00787ECC">
              <w:rPr>
                <w:rFonts w:cs="Arial"/>
                <w:b/>
                <w:bCs/>
                <w:color w:val="000000"/>
                <w:szCs w:val="20"/>
                <w:lang w:val="es-ES"/>
              </w:rPr>
              <w:t>MEDIDA</w:t>
            </w:r>
          </w:p>
        </w:tc>
        <w:tc>
          <w:tcPr>
            <w:tcW w:w="1080" w:type="dxa"/>
            <w:gridSpan w:val="2"/>
            <w:tcBorders>
              <w:top w:val="single" w:sz="12" w:space="0" w:color="000000"/>
              <w:left w:val="single" w:sz="12" w:space="0" w:color="000000"/>
              <w:bottom w:val="single" w:sz="12" w:space="0" w:color="000000"/>
              <w:right w:val="single" w:sz="12" w:space="0" w:color="000000"/>
            </w:tcBorders>
            <w:shd w:val="clear" w:color="auto" w:fill="D9D9D9"/>
            <w:vAlign w:val="center"/>
          </w:tcPr>
          <w:p w:rsidR="00987491" w:rsidRPr="00787ECC" w:rsidRDefault="00987491" w:rsidP="00987491">
            <w:pPr>
              <w:keepNext/>
              <w:keepLines/>
              <w:spacing w:after="0"/>
              <w:jc w:val="center"/>
              <w:rPr>
                <w:rFonts w:cs="Arial"/>
                <w:b/>
                <w:bCs/>
                <w:color w:val="000000"/>
                <w:szCs w:val="20"/>
                <w:lang w:val="es-ES"/>
              </w:rPr>
            </w:pPr>
            <w:r w:rsidRPr="00787ECC">
              <w:rPr>
                <w:rFonts w:cs="Arial"/>
                <w:b/>
                <w:bCs/>
                <w:color w:val="000000"/>
                <w:szCs w:val="20"/>
                <w:lang w:val="es-ES"/>
              </w:rPr>
              <w:t>FASE</w:t>
            </w:r>
          </w:p>
        </w:tc>
      </w:tr>
      <w:tr w:rsidR="00987491" w:rsidRPr="00787ECC" w:rsidTr="00987491">
        <w:trPr>
          <w:cantSplit/>
          <w:trHeight w:val="683"/>
          <w:tblHeader/>
          <w:jc w:val="center"/>
        </w:trPr>
        <w:tc>
          <w:tcPr>
            <w:tcW w:w="1436" w:type="dxa"/>
            <w:vMerge/>
            <w:tcBorders>
              <w:top w:val="single" w:sz="8" w:space="0" w:color="000000"/>
              <w:left w:val="single" w:sz="12" w:space="0" w:color="000000"/>
              <w:bottom w:val="single" w:sz="12" w:space="0" w:color="000000"/>
              <w:right w:val="single" w:sz="12" w:space="0" w:color="000000"/>
            </w:tcBorders>
            <w:shd w:val="clear" w:color="auto" w:fill="D9D9D9"/>
            <w:vAlign w:val="center"/>
          </w:tcPr>
          <w:p w:rsidR="00987491" w:rsidRPr="00787ECC" w:rsidRDefault="00987491" w:rsidP="00987491">
            <w:pPr>
              <w:keepNext/>
              <w:keepLines/>
              <w:spacing w:after="0"/>
              <w:rPr>
                <w:rFonts w:cs="Arial"/>
                <w:b/>
                <w:bCs/>
                <w:color w:val="000000"/>
                <w:szCs w:val="20"/>
                <w:lang w:val="es-ES"/>
              </w:rPr>
            </w:pPr>
          </w:p>
        </w:tc>
        <w:tc>
          <w:tcPr>
            <w:tcW w:w="2233" w:type="dxa"/>
            <w:vMerge/>
            <w:tcBorders>
              <w:top w:val="single" w:sz="8" w:space="0" w:color="000000"/>
              <w:left w:val="single" w:sz="12" w:space="0" w:color="000000"/>
              <w:bottom w:val="single" w:sz="12" w:space="0" w:color="000000"/>
              <w:right w:val="single" w:sz="12" w:space="0" w:color="000000"/>
            </w:tcBorders>
            <w:shd w:val="clear" w:color="auto" w:fill="D9D9D9"/>
            <w:vAlign w:val="center"/>
          </w:tcPr>
          <w:p w:rsidR="00987491" w:rsidRPr="00787ECC" w:rsidRDefault="00987491" w:rsidP="00987491">
            <w:pPr>
              <w:keepNext/>
              <w:keepLines/>
              <w:spacing w:after="0"/>
              <w:rPr>
                <w:rFonts w:cs="Arial"/>
                <w:b/>
                <w:bCs/>
                <w:color w:val="000000"/>
                <w:szCs w:val="20"/>
                <w:lang w:val="es-ES"/>
              </w:rPr>
            </w:pPr>
          </w:p>
        </w:tc>
        <w:tc>
          <w:tcPr>
            <w:tcW w:w="4800" w:type="dxa"/>
            <w:vMerge/>
            <w:tcBorders>
              <w:top w:val="single" w:sz="8" w:space="0" w:color="000000"/>
              <w:left w:val="single" w:sz="12" w:space="0" w:color="000000"/>
              <w:bottom w:val="single" w:sz="12" w:space="0" w:color="000000"/>
              <w:right w:val="single" w:sz="12" w:space="0" w:color="000000"/>
            </w:tcBorders>
            <w:shd w:val="clear" w:color="auto" w:fill="D9D9D9"/>
            <w:vAlign w:val="center"/>
          </w:tcPr>
          <w:p w:rsidR="00987491" w:rsidRPr="00787ECC" w:rsidRDefault="00987491" w:rsidP="00987491">
            <w:pPr>
              <w:keepNext/>
              <w:keepLines/>
              <w:spacing w:after="0"/>
              <w:rPr>
                <w:rFonts w:cs="Arial"/>
                <w:b/>
                <w:bCs/>
                <w:color w:val="000000"/>
                <w:szCs w:val="20"/>
                <w:lang w:val="es-ES"/>
              </w:rPr>
            </w:pPr>
          </w:p>
        </w:tc>
        <w:tc>
          <w:tcPr>
            <w:tcW w:w="540" w:type="dxa"/>
            <w:tcBorders>
              <w:top w:val="single" w:sz="12" w:space="0" w:color="000000"/>
              <w:left w:val="single" w:sz="12" w:space="0" w:color="000000"/>
              <w:bottom w:val="single" w:sz="12" w:space="0" w:color="000000"/>
              <w:right w:val="single" w:sz="8" w:space="0" w:color="000000"/>
            </w:tcBorders>
            <w:shd w:val="clear" w:color="auto" w:fill="D9D9D9"/>
            <w:vAlign w:val="center"/>
          </w:tcPr>
          <w:p w:rsidR="00987491" w:rsidRPr="00787ECC" w:rsidRDefault="00987491" w:rsidP="00987491">
            <w:pPr>
              <w:keepNext/>
              <w:keepLines/>
              <w:spacing w:after="0"/>
              <w:ind w:left="113" w:right="113"/>
              <w:rPr>
                <w:rFonts w:cs="Arial"/>
                <w:bCs/>
                <w:smallCaps/>
                <w:color w:val="000000"/>
                <w:spacing w:val="-20"/>
                <w:szCs w:val="20"/>
                <w:lang w:val="es-ES"/>
              </w:rPr>
            </w:pPr>
            <w:r w:rsidRPr="00787ECC">
              <w:rPr>
                <w:rFonts w:cs="Arial"/>
                <w:bCs/>
                <w:smallCaps/>
                <w:color w:val="000000"/>
                <w:spacing w:val="-20"/>
                <w:szCs w:val="20"/>
                <w:lang w:val="es-ES"/>
              </w:rPr>
              <w:t>CONST</w:t>
            </w:r>
          </w:p>
        </w:tc>
        <w:tc>
          <w:tcPr>
            <w:tcW w:w="540" w:type="dxa"/>
            <w:tcBorders>
              <w:top w:val="single" w:sz="12" w:space="0" w:color="000000"/>
              <w:bottom w:val="single" w:sz="12" w:space="0" w:color="000000"/>
              <w:right w:val="single" w:sz="12" w:space="0" w:color="000000"/>
            </w:tcBorders>
            <w:shd w:val="clear" w:color="auto" w:fill="D9D9D9"/>
            <w:vAlign w:val="center"/>
          </w:tcPr>
          <w:p w:rsidR="00987491" w:rsidRPr="00787ECC" w:rsidRDefault="00987491" w:rsidP="00987491">
            <w:pPr>
              <w:keepNext/>
              <w:keepLines/>
              <w:spacing w:after="0"/>
              <w:ind w:left="113" w:right="113"/>
              <w:rPr>
                <w:rFonts w:cs="Arial"/>
                <w:bCs/>
                <w:smallCaps/>
                <w:color w:val="000000"/>
                <w:spacing w:val="-20"/>
                <w:szCs w:val="20"/>
                <w:lang w:val="es-ES"/>
              </w:rPr>
            </w:pPr>
            <w:r w:rsidRPr="00787ECC">
              <w:rPr>
                <w:rFonts w:cs="Arial"/>
                <w:bCs/>
                <w:smallCaps/>
                <w:color w:val="000000"/>
                <w:spacing w:val="-20"/>
                <w:szCs w:val="20"/>
                <w:lang w:val="es-ES"/>
              </w:rPr>
              <w:t>OPERAC</w:t>
            </w:r>
          </w:p>
        </w:tc>
      </w:tr>
      <w:tr w:rsidR="00987491" w:rsidRPr="00787ECC" w:rsidTr="00987491">
        <w:trPr>
          <w:cantSplit/>
          <w:trHeight w:val="50"/>
          <w:jc w:val="center"/>
        </w:trPr>
        <w:tc>
          <w:tcPr>
            <w:tcW w:w="1436" w:type="dxa"/>
            <w:vMerge w:val="restart"/>
            <w:tcBorders>
              <w:top w:val="single" w:sz="2" w:space="0" w:color="000000"/>
              <w:left w:val="single" w:sz="12" w:space="0" w:color="000000"/>
              <w:right w:val="single" w:sz="12" w:space="0" w:color="000000"/>
            </w:tcBorders>
            <w:shd w:val="clear" w:color="auto" w:fill="FFFFFF"/>
            <w:vAlign w:val="center"/>
          </w:tcPr>
          <w:p w:rsidR="00987491" w:rsidRPr="00E419F9" w:rsidRDefault="00987491" w:rsidP="00987491">
            <w:pPr>
              <w:keepNext/>
              <w:keepLines/>
              <w:spacing w:after="0"/>
              <w:jc w:val="left"/>
              <w:rPr>
                <w:rFonts w:cs="Arial"/>
                <w:color w:val="000000"/>
                <w:sz w:val="18"/>
                <w:szCs w:val="18"/>
                <w:lang w:val="es-ES"/>
              </w:rPr>
            </w:pPr>
            <w:r w:rsidRPr="00E419F9">
              <w:rPr>
                <w:rFonts w:cs="Arial"/>
                <w:color w:val="000000"/>
                <w:sz w:val="18"/>
                <w:szCs w:val="18"/>
                <w:lang w:val="es-ES"/>
              </w:rPr>
              <w:t>Prevención y Control de la Contaminación Ambiental</w:t>
            </w:r>
          </w:p>
        </w:tc>
        <w:tc>
          <w:tcPr>
            <w:tcW w:w="2233" w:type="dxa"/>
            <w:vMerge w:val="restart"/>
            <w:tcBorders>
              <w:top w:val="single" w:sz="2" w:space="0" w:color="000000"/>
              <w:left w:val="single" w:sz="12" w:space="0" w:color="000000"/>
              <w:bottom w:val="single" w:sz="2" w:space="0" w:color="000000"/>
              <w:right w:val="single" w:sz="12" w:space="0" w:color="000000"/>
            </w:tcBorders>
            <w:shd w:val="clear" w:color="auto" w:fill="FFFFFF"/>
            <w:vAlign w:val="center"/>
          </w:tcPr>
          <w:p w:rsidR="00987491" w:rsidRPr="00787ECC" w:rsidRDefault="00987491" w:rsidP="00987491">
            <w:pPr>
              <w:keepNext/>
              <w:keepLines/>
              <w:spacing w:after="0"/>
              <w:jc w:val="left"/>
              <w:rPr>
                <w:rFonts w:cs="Arial"/>
                <w:color w:val="000000"/>
                <w:szCs w:val="20"/>
                <w:lang w:val="es-ES"/>
              </w:rPr>
            </w:pPr>
            <w:r w:rsidRPr="00787ECC">
              <w:rPr>
                <w:rFonts w:cs="Arial"/>
                <w:color w:val="000000"/>
                <w:szCs w:val="20"/>
                <w:lang w:val="es-ES"/>
              </w:rPr>
              <w:t>Contaminación del aire: material particulado y gases</w:t>
            </w:r>
          </w:p>
        </w:tc>
        <w:tc>
          <w:tcPr>
            <w:tcW w:w="4800" w:type="dxa"/>
            <w:tcBorders>
              <w:top w:val="single" w:sz="2" w:space="0" w:color="000000"/>
              <w:left w:val="single" w:sz="12" w:space="0" w:color="000000"/>
              <w:bottom w:val="single" w:sz="2" w:space="0" w:color="000000"/>
              <w:right w:val="single" w:sz="12" w:space="0" w:color="000000"/>
            </w:tcBorders>
            <w:shd w:val="clear" w:color="auto" w:fill="FFFFFF"/>
            <w:vAlign w:val="center"/>
          </w:tcPr>
          <w:p w:rsidR="00987491" w:rsidRPr="00787ECC" w:rsidRDefault="00987491" w:rsidP="00987491">
            <w:pPr>
              <w:keepNext/>
              <w:keepLines/>
              <w:spacing w:after="0"/>
              <w:rPr>
                <w:rFonts w:cs="Arial"/>
                <w:color w:val="000000"/>
                <w:szCs w:val="20"/>
                <w:lang w:val="es-ES"/>
              </w:rPr>
            </w:pPr>
            <w:r w:rsidRPr="00787ECC">
              <w:rPr>
                <w:rFonts w:cs="Arial"/>
                <w:color w:val="000000"/>
                <w:szCs w:val="20"/>
                <w:lang w:val="es-ES"/>
              </w:rPr>
              <w:t>Mantenimiento en buen estado a los vehículos y maquinaria que ingresan al lugar.</w:t>
            </w:r>
          </w:p>
        </w:tc>
        <w:tc>
          <w:tcPr>
            <w:tcW w:w="540" w:type="dxa"/>
            <w:tcBorders>
              <w:top w:val="single" w:sz="2" w:space="0" w:color="000000"/>
              <w:left w:val="single" w:sz="12" w:space="0" w:color="000000"/>
              <w:bottom w:val="single" w:sz="2" w:space="0" w:color="000000"/>
              <w:right w:val="single" w:sz="4" w:space="0" w:color="000000"/>
            </w:tcBorders>
            <w:shd w:val="clear" w:color="auto" w:fill="FFFFFF"/>
            <w:vAlign w:val="center"/>
          </w:tcPr>
          <w:p w:rsidR="00987491" w:rsidRPr="00787ECC" w:rsidRDefault="00987491" w:rsidP="00987491">
            <w:pPr>
              <w:keepNext/>
              <w:keepLines/>
              <w:spacing w:after="0"/>
              <w:jc w:val="center"/>
              <w:rPr>
                <w:rFonts w:cs="Arial"/>
                <w:color w:val="000000"/>
                <w:szCs w:val="20"/>
                <w:lang w:val="es-ES"/>
              </w:rPr>
            </w:pPr>
            <w:r w:rsidRPr="00787ECC">
              <w:rPr>
                <w:rFonts w:cs="Arial"/>
                <w:color w:val="000000"/>
                <w:szCs w:val="20"/>
                <w:lang w:val="es-ES"/>
              </w:rPr>
              <w:t>x</w:t>
            </w:r>
          </w:p>
        </w:tc>
        <w:tc>
          <w:tcPr>
            <w:tcW w:w="540" w:type="dxa"/>
            <w:tcBorders>
              <w:top w:val="single" w:sz="2" w:space="0" w:color="000000"/>
              <w:bottom w:val="single" w:sz="2" w:space="0" w:color="000000"/>
              <w:right w:val="single" w:sz="12" w:space="0" w:color="000000"/>
            </w:tcBorders>
            <w:shd w:val="clear" w:color="auto" w:fill="FFFFFF"/>
            <w:vAlign w:val="center"/>
          </w:tcPr>
          <w:p w:rsidR="00987491" w:rsidRPr="00787ECC" w:rsidRDefault="00987491" w:rsidP="00987491">
            <w:pPr>
              <w:keepNext/>
              <w:keepLines/>
              <w:spacing w:after="0"/>
              <w:jc w:val="center"/>
              <w:rPr>
                <w:rFonts w:cs="Arial"/>
                <w:color w:val="000000"/>
                <w:szCs w:val="20"/>
                <w:lang w:val="es-ES"/>
              </w:rPr>
            </w:pPr>
          </w:p>
        </w:tc>
      </w:tr>
      <w:tr w:rsidR="00987491" w:rsidRPr="00787ECC" w:rsidTr="00987491">
        <w:trPr>
          <w:cantSplit/>
          <w:trHeight w:val="204"/>
          <w:jc w:val="center"/>
        </w:trPr>
        <w:tc>
          <w:tcPr>
            <w:tcW w:w="1436" w:type="dxa"/>
            <w:vMerge/>
            <w:tcBorders>
              <w:left w:val="single" w:sz="12" w:space="0" w:color="000000"/>
              <w:right w:val="single" w:sz="12" w:space="0" w:color="000000"/>
            </w:tcBorders>
            <w:shd w:val="clear" w:color="auto" w:fill="FFFFFF"/>
            <w:vAlign w:val="center"/>
          </w:tcPr>
          <w:p w:rsidR="00987491" w:rsidRPr="00787ECC" w:rsidRDefault="00987491" w:rsidP="00987491">
            <w:pPr>
              <w:keepLines/>
              <w:spacing w:after="0"/>
              <w:jc w:val="left"/>
              <w:rPr>
                <w:rFonts w:cs="Arial"/>
                <w:color w:val="000000"/>
                <w:szCs w:val="20"/>
                <w:lang w:val="es-ES"/>
              </w:rPr>
            </w:pPr>
          </w:p>
        </w:tc>
        <w:tc>
          <w:tcPr>
            <w:tcW w:w="2233" w:type="dxa"/>
            <w:vMerge/>
            <w:tcBorders>
              <w:top w:val="single" w:sz="2" w:space="0" w:color="000000"/>
              <w:left w:val="single" w:sz="12" w:space="0" w:color="000000"/>
              <w:bottom w:val="single" w:sz="2" w:space="0" w:color="000000"/>
              <w:right w:val="single" w:sz="12" w:space="0" w:color="000000"/>
            </w:tcBorders>
            <w:shd w:val="clear" w:color="auto" w:fill="FFFFFF"/>
            <w:vAlign w:val="center"/>
          </w:tcPr>
          <w:p w:rsidR="00987491" w:rsidRPr="00787ECC" w:rsidRDefault="00987491" w:rsidP="00987491">
            <w:pPr>
              <w:keepLines/>
              <w:spacing w:after="0"/>
              <w:jc w:val="left"/>
              <w:rPr>
                <w:rFonts w:cs="Arial"/>
                <w:color w:val="000000"/>
                <w:szCs w:val="20"/>
                <w:lang w:val="es-ES"/>
              </w:rPr>
            </w:pPr>
          </w:p>
        </w:tc>
        <w:tc>
          <w:tcPr>
            <w:tcW w:w="4800" w:type="dxa"/>
            <w:tcBorders>
              <w:top w:val="single" w:sz="2" w:space="0" w:color="000000"/>
              <w:left w:val="single" w:sz="12" w:space="0" w:color="000000"/>
              <w:bottom w:val="single" w:sz="2" w:space="0" w:color="000000"/>
              <w:right w:val="single" w:sz="12" w:space="0" w:color="000000"/>
            </w:tcBorders>
            <w:shd w:val="clear" w:color="auto" w:fill="FFFFFF"/>
            <w:vAlign w:val="center"/>
          </w:tcPr>
          <w:p w:rsidR="00987491" w:rsidRPr="00787ECC" w:rsidRDefault="00987491" w:rsidP="00987491">
            <w:pPr>
              <w:keepLines/>
              <w:spacing w:after="0"/>
              <w:rPr>
                <w:rFonts w:cs="Arial"/>
                <w:color w:val="000000"/>
                <w:szCs w:val="20"/>
                <w:lang w:val="es-ES"/>
              </w:rPr>
            </w:pPr>
            <w:r w:rsidRPr="00787ECC">
              <w:rPr>
                <w:rFonts w:cs="Arial"/>
                <w:color w:val="000000"/>
                <w:szCs w:val="20"/>
                <w:lang w:val="es-ES"/>
              </w:rPr>
              <w:t>Riego del suelo con agua.</w:t>
            </w:r>
          </w:p>
        </w:tc>
        <w:tc>
          <w:tcPr>
            <w:tcW w:w="540" w:type="dxa"/>
            <w:tcBorders>
              <w:top w:val="single" w:sz="2" w:space="0" w:color="000000"/>
              <w:left w:val="single" w:sz="12" w:space="0" w:color="000000"/>
              <w:bottom w:val="single" w:sz="2" w:space="0" w:color="000000"/>
              <w:right w:val="single" w:sz="4" w:space="0" w:color="000000"/>
            </w:tcBorders>
            <w:shd w:val="clear" w:color="auto" w:fill="FFFFFF"/>
            <w:vAlign w:val="center"/>
          </w:tcPr>
          <w:p w:rsidR="00987491" w:rsidRPr="00787ECC" w:rsidRDefault="00987491" w:rsidP="00987491">
            <w:pPr>
              <w:keepLines/>
              <w:spacing w:after="0"/>
              <w:jc w:val="center"/>
              <w:rPr>
                <w:rFonts w:cs="Arial"/>
                <w:color w:val="000000"/>
                <w:szCs w:val="20"/>
                <w:lang w:val="es-ES"/>
              </w:rPr>
            </w:pPr>
            <w:r w:rsidRPr="00787ECC">
              <w:rPr>
                <w:rFonts w:cs="Arial"/>
                <w:color w:val="000000"/>
                <w:szCs w:val="20"/>
                <w:lang w:val="es-ES"/>
              </w:rPr>
              <w:t>x</w:t>
            </w:r>
          </w:p>
        </w:tc>
        <w:tc>
          <w:tcPr>
            <w:tcW w:w="540" w:type="dxa"/>
            <w:tcBorders>
              <w:top w:val="single" w:sz="2" w:space="0" w:color="000000"/>
              <w:bottom w:val="single" w:sz="2" w:space="0" w:color="000000"/>
              <w:right w:val="single" w:sz="12" w:space="0" w:color="000000"/>
            </w:tcBorders>
            <w:shd w:val="clear" w:color="auto" w:fill="FFFFFF"/>
            <w:vAlign w:val="center"/>
          </w:tcPr>
          <w:p w:rsidR="00987491" w:rsidRPr="00787ECC" w:rsidRDefault="00987491" w:rsidP="00987491">
            <w:pPr>
              <w:keepLines/>
              <w:spacing w:after="0"/>
              <w:jc w:val="center"/>
              <w:rPr>
                <w:rFonts w:cs="Arial"/>
                <w:color w:val="000000"/>
                <w:szCs w:val="20"/>
                <w:lang w:val="es-ES"/>
              </w:rPr>
            </w:pPr>
          </w:p>
        </w:tc>
      </w:tr>
      <w:tr w:rsidR="00987491" w:rsidRPr="00787ECC" w:rsidTr="00987491">
        <w:trPr>
          <w:cantSplit/>
          <w:trHeight w:val="75"/>
          <w:jc w:val="center"/>
        </w:trPr>
        <w:tc>
          <w:tcPr>
            <w:tcW w:w="1436" w:type="dxa"/>
            <w:vMerge/>
            <w:tcBorders>
              <w:left w:val="single" w:sz="12" w:space="0" w:color="000000"/>
              <w:right w:val="single" w:sz="12" w:space="0" w:color="000000"/>
            </w:tcBorders>
            <w:shd w:val="clear" w:color="auto" w:fill="auto"/>
            <w:vAlign w:val="center"/>
          </w:tcPr>
          <w:p w:rsidR="00987491" w:rsidRPr="00787ECC" w:rsidRDefault="00987491" w:rsidP="00987491">
            <w:pPr>
              <w:keepLines/>
              <w:spacing w:after="0"/>
              <w:jc w:val="left"/>
              <w:rPr>
                <w:rFonts w:cs="Arial"/>
                <w:color w:val="000000"/>
                <w:szCs w:val="20"/>
                <w:lang w:val="es-ES"/>
              </w:rPr>
            </w:pPr>
          </w:p>
        </w:tc>
        <w:tc>
          <w:tcPr>
            <w:tcW w:w="2233"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987491" w:rsidRPr="00787ECC" w:rsidRDefault="00987491" w:rsidP="00987491">
            <w:pPr>
              <w:keepLines/>
              <w:spacing w:after="0"/>
              <w:jc w:val="left"/>
              <w:rPr>
                <w:rFonts w:cs="Arial"/>
                <w:color w:val="000000"/>
                <w:szCs w:val="20"/>
                <w:lang w:val="es-ES"/>
              </w:rPr>
            </w:pPr>
            <w:r w:rsidRPr="00787ECC">
              <w:rPr>
                <w:rFonts w:cs="Arial"/>
                <w:color w:val="000000"/>
                <w:szCs w:val="20"/>
                <w:lang w:val="es-ES"/>
              </w:rPr>
              <w:t>Contaminación del agua</w:t>
            </w:r>
          </w:p>
        </w:tc>
        <w:tc>
          <w:tcPr>
            <w:tcW w:w="4800" w:type="dxa"/>
            <w:tcBorders>
              <w:top w:val="single" w:sz="2" w:space="0" w:color="000000"/>
              <w:left w:val="single" w:sz="12" w:space="0" w:color="000000"/>
              <w:right w:val="single" w:sz="12" w:space="0" w:color="000000"/>
            </w:tcBorders>
            <w:shd w:val="clear" w:color="auto" w:fill="FFFFFF"/>
            <w:vAlign w:val="center"/>
          </w:tcPr>
          <w:p w:rsidR="00987491" w:rsidRPr="00787ECC" w:rsidRDefault="00987491" w:rsidP="00987491">
            <w:pPr>
              <w:keepLines/>
              <w:spacing w:after="0"/>
              <w:rPr>
                <w:rFonts w:cs="Arial"/>
                <w:color w:val="000000"/>
                <w:szCs w:val="20"/>
                <w:lang w:val="es-ES"/>
              </w:rPr>
            </w:pPr>
            <w:r w:rsidRPr="00787ECC">
              <w:rPr>
                <w:rFonts w:cs="Arial"/>
                <w:color w:val="000000"/>
                <w:szCs w:val="20"/>
                <w:lang w:val="es-ES"/>
              </w:rPr>
              <w:t>Colocación de barreras de intercepción antes de cuerpos de agua, drenajes o vertientes.</w:t>
            </w:r>
          </w:p>
        </w:tc>
        <w:tc>
          <w:tcPr>
            <w:tcW w:w="540" w:type="dxa"/>
            <w:tcBorders>
              <w:top w:val="single" w:sz="2" w:space="0" w:color="000000"/>
              <w:left w:val="single" w:sz="12" w:space="0" w:color="000000"/>
              <w:right w:val="single" w:sz="4" w:space="0" w:color="000000"/>
            </w:tcBorders>
            <w:shd w:val="clear" w:color="auto" w:fill="FFFFFF"/>
            <w:vAlign w:val="center"/>
          </w:tcPr>
          <w:p w:rsidR="00987491" w:rsidRPr="00787ECC" w:rsidRDefault="00987491" w:rsidP="00987491">
            <w:pPr>
              <w:keepLines/>
              <w:spacing w:after="0"/>
              <w:jc w:val="center"/>
              <w:rPr>
                <w:rFonts w:cs="Arial"/>
                <w:color w:val="000000"/>
                <w:szCs w:val="20"/>
                <w:lang w:val="es-ES"/>
              </w:rPr>
            </w:pPr>
            <w:r w:rsidRPr="00787ECC">
              <w:rPr>
                <w:rFonts w:cs="Arial"/>
                <w:color w:val="000000"/>
                <w:szCs w:val="20"/>
                <w:lang w:val="es-ES"/>
              </w:rPr>
              <w:t>x</w:t>
            </w:r>
          </w:p>
        </w:tc>
        <w:tc>
          <w:tcPr>
            <w:tcW w:w="540" w:type="dxa"/>
            <w:tcBorders>
              <w:top w:val="single" w:sz="2" w:space="0" w:color="000000"/>
              <w:right w:val="single" w:sz="12" w:space="0" w:color="000000"/>
            </w:tcBorders>
            <w:shd w:val="clear" w:color="auto" w:fill="FFFFFF"/>
            <w:vAlign w:val="center"/>
          </w:tcPr>
          <w:p w:rsidR="00987491" w:rsidRPr="00787ECC" w:rsidRDefault="00987491" w:rsidP="00987491">
            <w:pPr>
              <w:keepLines/>
              <w:spacing w:after="0"/>
              <w:jc w:val="center"/>
              <w:rPr>
                <w:rFonts w:cs="Arial"/>
                <w:color w:val="000000"/>
                <w:szCs w:val="20"/>
                <w:lang w:val="es-ES"/>
              </w:rPr>
            </w:pPr>
          </w:p>
        </w:tc>
      </w:tr>
      <w:tr w:rsidR="00987491" w:rsidRPr="00787ECC" w:rsidTr="00987491">
        <w:trPr>
          <w:cantSplit/>
          <w:trHeight w:val="75"/>
          <w:jc w:val="center"/>
        </w:trPr>
        <w:tc>
          <w:tcPr>
            <w:tcW w:w="1436" w:type="dxa"/>
            <w:vMerge/>
            <w:tcBorders>
              <w:left w:val="single" w:sz="12" w:space="0" w:color="000000"/>
              <w:right w:val="single" w:sz="12" w:space="0" w:color="000000"/>
            </w:tcBorders>
            <w:shd w:val="clear" w:color="auto" w:fill="auto"/>
            <w:vAlign w:val="center"/>
          </w:tcPr>
          <w:p w:rsidR="00987491" w:rsidRPr="00787ECC" w:rsidRDefault="00987491" w:rsidP="00987491">
            <w:pPr>
              <w:keepLines/>
              <w:spacing w:after="0"/>
              <w:jc w:val="left"/>
              <w:rPr>
                <w:rFonts w:cs="Arial"/>
                <w:color w:val="000000"/>
                <w:szCs w:val="20"/>
                <w:lang w:val="es-ES"/>
              </w:rPr>
            </w:pPr>
          </w:p>
        </w:tc>
        <w:tc>
          <w:tcPr>
            <w:tcW w:w="2233" w:type="dxa"/>
            <w:tcBorders>
              <w:top w:val="single" w:sz="2" w:space="0" w:color="000000"/>
              <w:left w:val="single" w:sz="12" w:space="0" w:color="000000"/>
              <w:right w:val="single" w:sz="12" w:space="0" w:color="000000"/>
            </w:tcBorders>
            <w:shd w:val="clear" w:color="auto" w:fill="auto"/>
            <w:vAlign w:val="center"/>
          </w:tcPr>
          <w:p w:rsidR="00987491" w:rsidRPr="00787ECC" w:rsidRDefault="00987491" w:rsidP="00987491">
            <w:pPr>
              <w:keepLines/>
              <w:spacing w:after="0"/>
              <w:jc w:val="left"/>
              <w:rPr>
                <w:rFonts w:cs="Arial"/>
                <w:color w:val="000000"/>
                <w:szCs w:val="20"/>
                <w:lang w:val="es-ES"/>
              </w:rPr>
            </w:pPr>
            <w:r w:rsidRPr="00787ECC">
              <w:rPr>
                <w:rFonts w:cs="Arial"/>
                <w:color w:val="000000"/>
                <w:szCs w:val="20"/>
                <w:lang w:val="es-ES"/>
              </w:rPr>
              <w:t xml:space="preserve">Contaminación acústica: ruido </w:t>
            </w:r>
          </w:p>
        </w:tc>
        <w:tc>
          <w:tcPr>
            <w:tcW w:w="4800" w:type="dxa"/>
            <w:tcBorders>
              <w:top w:val="single" w:sz="2" w:space="0" w:color="000000"/>
              <w:left w:val="single" w:sz="12" w:space="0" w:color="000000"/>
              <w:right w:val="single" w:sz="12" w:space="0" w:color="000000"/>
            </w:tcBorders>
            <w:shd w:val="clear" w:color="auto" w:fill="FFFFFF"/>
            <w:vAlign w:val="center"/>
          </w:tcPr>
          <w:p w:rsidR="00987491" w:rsidRPr="00787ECC" w:rsidRDefault="00987491" w:rsidP="00987491">
            <w:pPr>
              <w:keepLines/>
              <w:spacing w:after="0"/>
              <w:rPr>
                <w:rFonts w:cs="Arial"/>
                <w:color w:val="000000"/>
                <w:szCs w:val="20"/>
                <w:lang w:val="es-ES"/>
              </w:rPr>
            </w:pPr>
            <w:r w:rsidRPr="00787ECC">
              <w:rPr>
                <w:rFonts w:cs="Arial"/>
                <w:color w:val="000000"/>
                <w:szCs w:val="20"/>
                <w:lang w:val="es-ES"/>
              </w:rPr>
              <w:t>Restricciones de trabajo durante la noche.</w:t>
            </w:r>
          </w:p>
        </w:tc>
        <w:tc>
          <w:tcPr>
            <w:tcW w:w="540" w:type="dxa"/>
            <w:tcBorders>
              <w:top w:val="single" w:sz="2" w:space="0" w:color="000000"/>
              <w:left w:val="single" w:sz="12" w:space="0" w:color="000000"/>
              <w:right w:val="single" w:sz="4" w:space="0" w:color="000000"/>
            </w:tcBorders>
            <w:shd w:val="clear" w:color="auto" w:fill="FFFFFF"/>
            <w:vAlign w:val="center"/>
          </w:tcPr>
          <w:p w:rsidR="00987491" w:rsidRPr="00787ECC" w:rsidRDefault="00987491" w:rsidP="00987491">
            <w:pPr>
              <w:keepLines/>
              <w:spacing w:after="0"/>
              <w:jc w:val="center"/>
              <w:rPr>
                <w:rFonts w:cs="Arial"/>
                <w:color w:val="000000"/>
                <w:szCs w:val="20"/>
                <w:lang w:val="es-ES"/>
              </w:rPr>
            </w:pPr>
            <w:r w:rsidRPr="00787ECC">
              <w:rPr>
                <w:rFonts w:cs="Arial"/>
                <w:color w:val="000000"/>
                <w:szCs w:val="20"/>
                <w:lang w:val="es-ES"/>
              </w:rPr>
              <w:t>x</w:t>
            </w:r>
          </w:p>
        </w:tc>
        <w:tc>
          <w:tcPr>
            <w:tcW w:w="540" w:type="dxa"/>
            <w:tcBorders>
              <w:top w:val="single" w:sz="2" w:space="0" w:color="000000"/>
              <w:right w:val="single" w:sz="12" w:space="0" w:color="000000"/>
            </w:tcBorders>
            <w:shd w:val="clear" w:color="auto" w:fill="FFFFFF"/>
            <w:vAlign w:val="center"/>
          </w:tcPr>
          <w:p w:rsidR="00987491" w:rsidRPr="00787ECC" w:rsidRDefault="00987491" w:rsidP="00987491">
            <w:pPr>
              <w:keepLines/>
              <w:spacing w:after="0"/>
              <w:jc w:val="center"/>
              <w:rPr>
                <w:rFonts w:cs="Arial"/>
                <w:color w:val="000000"/>
                <w:szCs w:val="20"/>
                <w:lang w:val="es-ES"/>
              </w:rPr>
            </w:pPr>
          </w:p>
        </w:tc>
      </w:tr>
      <w:tr w:rsidR="00987491" w:rsidRPr="00787ECC" w:rsidTr="00987491">
        <w:trPr>
          <w:cantSplit/>
          <w:trHeight w:val="543"/>
          <w:jc w:val="center"/>
        </w:trPr>
        <w:tc>
          <w:tcPr>
            <w:tcW w:w="1436" w:type="dxa"/>
            <w:vMerge/>
            <w:tcBorders>
              <w:left w:val="single" w:sz="12" w:space="0" w:color="000000"/>
              <w:right w:val="single" w:sz="12" w:space="0" w:color="000000"/>
            </w:tcBorders>
            <w:shd w:val="clear" w:color="auto" w:fill="auto"/>
            <w:vAlign w:val="center"/>
          </w:tcPr>
          <w:p w:rsidR="00987491" w:rsidRPr="00787ECC" w:rsidRDefault="00987491" w:rsidP="00987491">
            <w:pPr>
              <w:keepLines/>
              <w:spacing w:after="0"/>
              <w:jc w:val="left"/>
              <w:rPr>
                <w:rFonts w:cs="Arial"/>
                <w:color w:val="000000"/>
                <w:szCs w:val="20"/>
                <w:lang w:val="es-ES"/>
              </w:rPr>
            </w:pPr>
          </w:p>
        </w:tc>
        <w:tc>
          <w:tcPr>
            <w:tcW w:w="2233" w:type="dxa"/>
            <w:tcBorders>
              <w:top w:val="single" w:sz="2" w:space="0" w:color="000000"/>
              <w:left w:val="single" w:sz="12" w:space="0" w:color="000000"/>
              <w:bottom w:val="single" w:sz="2" w:space="0" w:color="000000"/>
              <w:right w:val="single" w:sz="12" w:space="0" w:color="000000"/>
            </w:tcBorders>
            <w:shd w:val="clear" w:color="auto" w:fill="FFFFFF"/>
            <w:vAlign w:val="center"/>
          </w:tcPr>
          <w:p w:rsidR="00987491" w:rsidRPr="00787ECC" w:rsidRDefault="00987491" w:rsidP="00987491">
            <w:pPr>
              <w:keepLines/>
              <w:spacing w:after="0"/>
              <w:jc w:val="left"/>
              <w:rPr>
                <w:rFonts w:cs="Arial"/>
                <w:color w:val="000000"/>
                <w:szCs w:val="20"/>
                <w:lang w:val="es-ES"/>
              </w:rPr>
            </w:pPr>
            <w:r w:rsidRPr="00787ECC">
              <w:rPr>
                <w:rFonts w:cs="Arial"/>
                <w:color w:val="000000"/>
                <w:szCs w:val="20"/>
                <w:lang w:val="es-ES"/>
              </w:rPr>
              <w:t xml:space="preserve">Residuos Sólidos </w:t>
            </w:r>
          </w:p>
        </w:tc>
        <w:tc>
          <w:tcPr>
            <w:tcW w:w="4800" w:type="dxa"/>
            <w:tcBorders>
              <w:top w:val="single" w:sz="2" w:space="0" w:color="000000"/>
              <w:left w:val="single" w:sz="12" w:space="0" w:color="000000"/>
              <w:bottom w:val="single" w:sz="4" w:space="0" w:color="auto"/>
              <w:right w:val="single" w:sz="12" w:space="0" w:color="000000"/>
            </w:tcBorders>
            <w:shd w:val="clear" w:color="auto" w:fill="FFFFFF"/>
            <w:vAlign w:val="center"/>
          </w:tcPr>
          <w:p w:rsidR="00987491" w:rsidRPr="00787ECC" w:rsidRDefault="00987491" w:rsidP="00987491">
            <w:pPr>
              <w:keepLines/>
              <w:spacing w:after="0"/>
              <w:rPr>
                <w:rFonts w:cs="Arial"/>
                <w:color w:val="000000"/>
                <w:szCs w:val="20"/>
                <w:lang w:val="es-ES"/>
              </w:rPr>
            </w:pPr>
            <w:r w:rsidRPr="00787ECC">
              <w:rPr>
                <w:rFonts w:cs="Arial"/>
                <w:color w:val="000000"/>
                <w:szCs w:val="20"/>
                <w:lang w:val="es-ES"/>
              </w:rPr>
              <w:t>Traslado y disposición de escombros y desperdicios según todas las normas vigentes. No acumulación de tierras, escombros, residuos o cualquier material.</w:t>
            </w:r>
          </w:p>
        </w:tc>
        <w:tc>
          <w:tcPr>
            <w:tcW w:w="540" w:type="dxa"/>
            <w:tcBorders>
              <w:top w:val="single" w:sz="2" w:space="0" w:color="000000"/>
              <w:left w:val="single" w:sz="12" w:space="0" w:color="000000"/>
              <w:bottom w:val="single" w:sz="4" w:space="0" w:color="auto"/>
              <w:right w:val="single" w:sz="4" w:space="0" w:color="000000"/>
            </w:tcBorders>
            <w:shd w:val="clear" w:color="auto" w:fill="FFFFFF"/>
            <w:vAlign w:val="center"/>
          </w:tcPr>
          <w:p w:rsidR="00987491" w:rsidRPr="00787ECC" w:rsidRDefault="00987491" w:rsidP="00987491">
            <w:pPr>
              <w:keepLines/>
              <w:spacing w:after="0"/>
              <w:jc w:val="center"/>
              <w:rPr>
                <w:rFonts w:cs="Arial"/>
                <w:color w:val="000000"/>
                <w:szCs w:val="20"/>
                <w:lang w:val="es-ES"/>
              </w:rPr>
            </w:pPr>
            <w:r w:rsidRPr="00787ECC">
              <w:rPr>
                <w:rFonts w:cs="Arial"/>
                <w:color w:val="000000"/>
                <w:szCs w:val="20"/>
                <w:lang w:val="es-ES"/>
              </w:rPr>
              <w:t>x</w:t>
            </w:r>
          </w:p>
        </w:tc>
        <w:tc>
          <w:tcPr>
            <w:tcW w:w="540" w:type="dxa"/>
            <w:tcBorders>
              <w:top w:val="single" w:sz="2" w:space="0" w:color="000000"/>
              <w:bottom w:val="single" w:sz="4" w:space="0" w:color="auto"/>
              <w:right w:val="single" w:sz="12" w:space="0" w:color="000000"/>
            </w:tcBorders>
            <w:shd w:val="clear" w:color="auto" w:fill="FFFFFF"/>
            <w:vAlign w:val="center"/>
          </w:tcPr>
          <w:p w:rsidR="00987491" w:rsidRPr="00787ECC" w:rsidRDefault="00987491" w:rsidP="00987491">
            <w:pPr>
              <w:keepLines/>
              <w:spacing w:after="0"/>
              <w:jc w:val="center"/>
              <w:rPr>
                <w:rFonts w:cs="Arial"/>
                <w:color w:val="000000"/>
                <w:szCs w:val="20"/>
                <w:lang w:val="es-ES"/>
              </w:rPr>
            </w:pPr>
          </w:p>
        </w:tc>
      </w:tr>
      <w:tr w:rsidR="00987491" w:rsidRPr="00787ECC" w:rsidTr="00987491">
        <w:trPr>
          <w:cantSplit/>
          <w:trHeight w:val="543"/>
          <w:jc w:val="center"/>
        </w:trPr>
        <w:tc>
          <w:tcPr>
            <w:tcW w:w="1436" w:type="dxa"/>
            <w:vMerge/>
            <w:tcBorders>
              <w:left w:val="single" w:sz="12" w:space="0" w:color="000000"/>
              <w:bottom w:val="single" w:sz="2" w:space="0" w:color="000000"/>
              <w:right w:val="single" w:sz="12" w:space="0" w:color="000000"/>
            </w:tcBorders>
            <w:shd w:val="clear" w:color="auto" w:fill="auto"/>
            <w:vAlign w:val="center"/>
          </w:tcPr>
          <w:p w:rsidR="00987491" w:rsidRPr="00787ECC" w:rsidRDefault="00987491" w:rsidP="00987491">
            <w:pPr>
              <w:keepLines/>
              <w:spacing w:after="0"/>
              <w:jc w:val="left"/>
              <w:rPr>
                <w:rFonts w:cs="Arial"/>
                <w:color w:val="000000"/>
                <w:szCs w:val="20"/>
                <w:lang w:val="es-ES"/>
              </w:rPr>
            </w:pPr>
          </w:p>
        </w:tc>
        <w:tc>
          <w:tcPr>
            <w:tcW w:w="2233" w:type="dxa"/>
            <w:tcBorders>
              <w:top w:val="single" w:sz="2" w:space="0" w:color="000000"/>
              <w:left w:val="single" w:sz="12" w:space="0" w:color="000000"/>
              <w:bottom w:val="single" w:sz="2" w:space="0" w:color="000000"/>
              <w:right w:val="single" w:sz="4" w:space="0" w:color="auto"/>
            </w:tcBorders>
            <w:shd w:val="clear" w:color="auto" w:fill="FFFFFF"/>
            <w:vAlign w:val="center"/>
          </w:tcPr>
          <w:p w:rsidR="00987491" w:rsidRPr="00787ECC" w:rsidRDefault="00987491" w:rsidP="00987491">
            <w:pPr>
              <w:keepLines/>
              <w:spacing w:after="0"/>
              <w:jc w:val="left"/>
              <w:rPr>
                <w:rFonts w:cs="Arial"/>
                <w:color w:val="000000"/>
                <w:szCs w:val="20"/>
                <w:lang w:val="es-ES"/>
              </w:rPr>
            </w:pPr>
            <w:r w:rsidRPr="00787ECC">
              <w:rPr>
                <w:rFonts w:cs="Arial"/>
                <w:color w:val="000000"/>
                <w:szCs w:val="20"/>
                <w:lang w:val="es-ES"/>
              </w:rPr>
              <w:t>Vertido de Aguas Servidas</w:t>
            </w:r>
          </w:p>
        </w:tc>
        <w:tc>
          <w:tcPr>
            <w:tcW w:w="4800" w:type="dxa"/>
            <w:tcBorders>
              <w:top w:val="single" w:sz="4" w:space="0" w:color="auto"/>
              <w:left w:val="single" w:sz="4" w:space="0" w:color="auto"/>
              <w:bottom w:val="single" w:sz="4" w:space="0" w:color="auto"/>
              <w:right w:val="single" w:sz="4" w:space="0" w:color="auto"/>
            </w:tcBorders>
            <w:shd w:val="clear" w:color="auto" w:fill="FFFFFF"/>
            <w:vAlign w:val="center"/>
          </w:tcPr>
          <w:p w:rsidR="00987491" w:rsidRPr="00787ECC" w:rsidRDefault="00987491" w:rsidP="00987491">
            <w:pPr>
              <w:keepLines/>
              <w:spacing w:after="0"/>
              <w:rPr>
                <w:rFonts w:cs="Arial"/>
                <w:color w:val="000000"/>
                <w:szCs w:val="20"/>
                <w:lang w:val="es-ES"/>
              </w:rPr>
            </w:pPr>
            <w:r w:rsidRPr="00787ECC">
              <w:rPr>
                <w:rFonts w:cs="Arial"/>
                <w:color w:val="000000"/>
                <w:szCs w:val="20"/>
                <w:lang w:val="es-ES"/>
              </w:rPr>
              <w:t>Sistema de colección pública de aguas servidas o sistema técnicamente viable y seguro de disposición final, previa desactivación de líquidos y barros, demostrando la manera técnicamente viable de disponerlos evitando contaminar los acuíferos, y asegurando el presupuesto para su mantenimiento.</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987491" w:rsidRPr="00787ECC" w:rsidRDefault="00987491" w:rsidP="00987491">
            <w:pPr>
              <w:keepLines/>
              <w:spacing w:after="0"/>
              <w:jc w:val="center"/>
              <w:rPr>
                <w:rFonts w:cs="Arial"/>
                <w:color w:val="000000"/>
                <w:szCs w:val="20"/>
                <w:lang w:val="es-ES"/>
              </w:rPr>
            </w:pPr>
            <w:r w:rsidRPr="00787ECC">
              <w:rPr>
                <w:rFonts w:cs="Arial"/>
                <w:color w:val="000000"/>
                <w:szCs w:val="20"/>
                <w:lang w:val="es-ES"/>
              </w:rPr>
              <w:t>x</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987491" w:rsidRPr="00787ECC" w:rsidRDefault="00987491" w:rsidP="00987491">
            <w:pPr>
              <w:keepLines/>
              <w:spacing w:after="0"/>
              <w:jc w:val="center"/>
              <w:rPr>
                <w:rFonts w:cs="Arial"/>
                <w:color w:val="000000"/>
                <w:szCs w:val="20"/>
                <w:lang w:val="es-ES"/>
              </w:rPr>
            </w:pPr>
            <w:r w:rsidRPr="00787ECC">
              <w:rPr>
                <w:rFonts w:cs="Arial"/>
                <w:color w:val="000000"/>
                <w:szCs w:val="20"/>
                <w:lang w:val="es-ES"/>
              </w:rPr>
              <w:t>x</w:t>
            </w:r>
          </w:p>
        </w:tc>
      </w:tr>
      <w:tr w:rsidR="00987491" w:rsidRPr="00787ECC" w:rsidTr="00987491">
        <w:trPr>
          <w:cantSplit/>
          <w:trHeight w:val="75"/>
          <w:jc w:val="center"/>
        </w:trPr>
        <w:tc>
          <w:tcPr>
            <w:tcW w:w="1436" w:type="dxa"/>
            <w:vMerge w:val="restart"/>
            <w:tcBorders>
              <w:top w:val="single" w:sz="2" w:space="0" w:color="000000"/>
              <w:left w:val="single" w:sz="12" w:space="0" w:color="000000"/>
              <w:right w:val="single" w:sz="12" w:space="0" w:color="000000"/>
            </w:tcBorders>
            <w:shd w:val="clear" w:color="auto" w:fill="auto"/>
            <w:vAlign w:val="center"/>
          </w:tcPr>
          <w:p w:rsidR="00987491" w:rsidRPr="00E419F9" w:rsidRDefault="00987491" w:rsidP="00987491">
            <w:pPr>
              <w:keepLines/>
              <w:spacing w:after="0"/>
              <w:jc w:val="left"/>
              <w:rPr>
                <w:rFonts w:cs="Arial"/>
                <w:color w:val="000000"/>
                <w:sz w:val="18"/>
                <w:szCs w:val="18"/>
                <w:lang w:val="es-ES"/>
              </w:rPr>
            </w:pPr>
            <w:r w:rsidRPr="00E419F9">
              <w:rPr>
                <w:rFonts w:cs="Arial"/>
                <w:color w:val="000000"/>
                <w:sz w:val="18"/>
                <w:szCs w:val="18"/>
                <w:lang w:val="es-ES"/>
              </w:rPr>
              <w:t>Relaciones Comunitarias</w:t>
            </w:r>
          </w:p>
        </w:tc>
        <w:tc>
          <w:tcPr>
            <w:tcW w:w="2233" w:type="dxa"/>
            <w:tcBorders>
              <w:top w:val="single" w:sz="2" w:space="0" w:color="000000"/>
              <w:left w:val="single" w:sz="12" w:space="0" w:color="000000"/>
              <w:bottom w:val="single" w:sz="2" w:space="0" w:color="000000"/>
              <w:right w:val="single" w:sz="12" w:space="0" w:color="000000"/>
            </w:tcBorders>
            <w:shd w:val="clear" w:color="auto" w:fill="FFFFFF"/>
            <w:vAlign w:val="center"/>
          </w:tcPr>
          <w:p w:rsidR="00987491" w:rsidRPr="00787ECC" w:rsidRDefault="00987491" w:rsidP="00987491">
            <w:pPr>
              <w:keepLines/>
              <w:spacing w:after="0"/>
              <w:jc w:val="left"/>
              <w:rPr>
                <w:rFonts w:cs="Arial"/>
                <w:color w:val="000000"/>
                <w:szCs w:val="20"/>
                <w:lang w:val="es-ES"/>
              </w:rPr>
            </w:pPr>
            <w:r w:rsidRPr="00787ECC">
              <w:rPr>
                <w:rFonts w:cs="Arial"/>
                <w:color w:val="000000"/>
                <w:szCs w:val="20"/>
                <w:lang w:val="es-ES"/>
              </w:rPr>
              <w:t>Divulgación de Información</w:t>
            </w:r>
          </w:p>
        </w:tc>
        <w:tc>
          <w:tcPr>
            <w:tcW w:w="4800" w:type="dxa"/>
            <w:tcBorders>
              <w:top w:val="single" w:sz="4" w:space="0" w:color="auto"/>
              <w:left w:val="single" w:sz="12" w:space="0" w:color="000000"/>
              <w:bottom w:val="single" w:sz="2" w:space="0" w:color="000000"/>
              <w:right w:val="single" w:sz="12" w:space="0" w:color="000000"/>
            </w:tcBorders>
            <w:shd w:val="clear" w:color="auto" w:fill="FFFFFF"/>
            <w:vAlign w:val="center"/>
          </w:tcPr>
          <w:p w:rsidR="00987491" w:rsidRPr="00787ECC" w:rsidRDefault="00987491" w:rsidP="00987491">
            <w:pPr>
              <w:keepLines/>
              <w:spacing w:after="0"/>
              <w:rPr>
                <w:rFonts w:cs="Arial"/>
                <w:color w:val="000000"/>
                <w:szCs w:val="20"/>
                <w:lang w:val="es-ES"/>
              </w:rPr>
            </w:pPr>
            <w:r w:rsidRPr="00787ECC">
              <w:rPr>
                <w:rFonts w:cs="Arial"/>
                <w:color w:val="000000"/>
                <w:szCs w:val="20"/>
                <w:lang w:val="es-ES"/>
              </w:rPr>
              <w:t>Realización de procesos informativos, según normativa.</w:t>
            </w:r>
          </w:p>
        </w:tc>
        <w:tc>
          <w:tcPr>
            <w:tcW w:w="540" w:type="dxa"/>
            <w:tcBorders>
              <w:top w:val="single" w:sz="4" w:space="0" w:color="auto"/>
              <w:left w:val="single" w:sz="12" w:space="0" w:color="000000"/>
              <w:bottom w:val="single" w:sz="2" w:space="0" w:color="000000"/>
              <w:right w:val="single" w:sz="4" w:space="0" w:color="000000"/>
            </w:tcBorders>
            <w:shd w:val="clear" w:color="auto" w:fill="FFFFFF"/>
            <w:vAlign w:val="center"/>
          </w:tcPr>
          <w:p w:rsidR="00987491" w:rsidRPr="00787ECC" w:rsidRDefault="00987491" w:rsidP="00987491">
            <w:pPr>
              <w:keepLines/>
              <w:spacing w:after="0"/>
              <w:jc w:val="center"/>
              <w:rPr>
                <w:rFonts w:cs="Arial"/>
                <w:color w:val="000000"/>
                <w:szCs w:val="20"/>
                <w:lang w:val="es-ES"/>
              </w:rPr>
            </w:pPr>
            <w:r w:rsidRPr="00787ECC">
              <w:rPr>
                <w:rFonts w:cs="Arial"/>
                <w:color w:val="000000"/>
                <w:szCs w:val="20"/>
                <w:lang w:val="es-ES"/>
              </w:rPr>
              <w:t>x</w:t>
            </w:r>
          </w:p>
        </w:tc>
        <w:tc>
          <w:tcPr>
            <w:tcW w:w="540" w:type="dxa"/>
            <w:tcBorders>
              <w:top w:val="single" w:sz="4" w:space="0" w:color="auto"/>
              <w:bottom w:val="single" w:sz="2" w:space="0" w:color="000000"/>
              <w:right w:val="single" w:sz="12" w:space="0" w:color="000000"/>
            </w:tcBorders>
            <w:shd w:val="clear" w:color="auto" w:fill="FFFFFF"/>
            <w:vAlign w:val="center"/>
          </w:tcPr>
          <w:p w:rsidR="00987491" w:rsidRPr="00787ECC" w:rsidRDefault="00987491" w:rsidP="00987491">
            <w:pPr>
              <w:keepLines/>
              <w:spacing w:after="0"/>
              <w:jc w:val="center"/>
              <w:rPr>
                <w:rFonts w:cs="Arial"/>
                <w:color w:val="000000"/>
                <w:szCs w:val="20"/>
                <w:lang w:val="es-ES"/>
              </w:rPr>
            </w:pPr>
          </w:p>
        </w:tc>
      </w:tr>
      <w:tr w:rsidR="00987491" w:rsidRPr="00787ECC" w:rsidTr="00987491">
        <w:trPr>
          <w:cantSplit/>
          <w:trHeight w:val="126"/>
          <w:jc w:val="center"/>
        </w:trPr>
        <w:tc>
          <w:tcPr>
            <w:tcW w:w="1436" w:type="dxa"/>
            <w:vMerge/>
            <w:tcBorders>
              <w:left w:val="single" w:sz="12" w:space="0" w:color="000000"/>
              <w:bottom w:val="single" w:sz="2" w:space="0" w:color="000000"/>
              <w:right w:val="single" w:sz="12" w:space="0" w:color="000000"/>
            </w:tcBorders>
            <w:shd w:val="clear" w:color="auto" w:fill="auto"/>
            <w:vAlign w:val="center"/>
          </w:tcPr>
          <w:p w:rsidR="00987491" w:rsidRPr="00E419F9" w:rsidRDefault="00987491" w:rsidP="00987491">
            <w:pPr>
              <w:keepLines/>
              <w:spacing w:after="0"/>
              <w:jc w:val="left"/>
              <w:rPr>
                <w:rFonts w:cs="Arial"/>
                <w:color w:val="000000"/>
                <w:sz w:val="18"/>
                <w:szCs w:val="18"/>
                <w:lang w:val="es-ES"/>
              </w:rPr>
            </w:pPr>
          </w:p>
        </w:tc>
        <w:tc>
          <w:tcPr>
            <w:tcW w:w="2233" w:type="dxa"/>
            <w:tcBorders>
              <w:top w:val="single" w:sz="2" w:space="0" w:color="000000"/>
              <w:left w:val="single" w:sz="12" w:space="0" w:color="000000"/>
              <w:bottom w:val="single" w:sz="2" w:space="0" w:color="000000"/>
              <w:right w:val="single" w:sz="12" w:space="0" w:color="000000"/>
            </w:tcBorders>
            <w:shd w:val="clear" w:color="auto" w:fill="FFFFFF"/>
            <w:vAlign w:val="center"/>
          </w:tcPr>
          <w:p w:rsidR="00987491" w:rsidRPr="00787ECC" w:rsidRDefault="00987491" w:rsidP="00987491">
            <w:pPr>
              <w:keepLines/>
              <w:spacing w:after="0"/>
              <w:jc w:val="left"/>
              <w:rPr>
                <w:rFonts w:cs="Arial"/>
                <w:color w:val="000000"/>
                <w:szCs w:val="20"/>
                <w:lang w:val="es-ES"/>
              </w:rPr>
            </w:pPr>
            <w:r w:rsidRPr="00787ECC">
              <w:rPr>
                <w:rFonts w:cs="Arial"/>
                <w:color w:val="000000"/>
                <w:szCs w:val="20"/>
                <w:lang w:val="es-ES"/>
              </w:rPr>
              <w:t>Patrimonio Cultural</w:t>
            </w:r>
          </w:p>
        </w:tc>
        <w:tc>
          <w:tcPr>
            <w:tcW w:w="4800" w:type="dxa"/>
            <w:tcBorders>
              <w:top w:val="single" w:sz="2" w:space="0" w:color="000000"/>
              <w:left w:val="single" w:sz="12" w:space="0" w:color="000000"/>
              <w:bottom w:val="single" w:sz="2" w:space="0" w:color="000000"/>
              <w:right w:val="single" w:sz="12" w:space="0" w:color="000000"/>
            </w:tcBorders>
            <w:shd w:val="clear" w:color="auto" w:fill="FFFFFF"/>
            <w:vAlign w:val="center"/>
          </w:tcPr>
          <w:p w:rsidR="00987491" w:rsidRPr="00787ECC" w:rsidRDefault="00987491" w:rsidP="00987491">
            <w:pPr>
              <w:keepLines/>
              <w:spacing w:after="0"/>
              <w:rPr>
                <w:rFonts w:cs="Arial"/>
                <w:color w:val="000000"/>
                <w:szCs w:val="20"/>
                <w:lang w:val="es-ES"/>
              </w:rPr>
            </w:pPr>
            <w:r w:rsidRPr="00787ECC">
              <w:rPr>
                <w:rFonts w:cs="Arial"/>
                <w:color w:val="000000"/>
                <w:szCs w:val="20"/>
                <w:lang w:val="es-ES"/>
              </w:rPr>
              <w:t>Evitar construcción en áreas protegidas de valor histórico o cultural. Construcción consistente con las características identitarias del área tanto de en los rasgos dominantes del proyecto como en la materialidad de la construcción.</w:t>
            </w:r>
          </w:p>
        </w:tc>
        <w:tc>
          <w:tcPr>
            <w:tcW w:w="540" w:type="dxa"/>
            <w:tcBorders>
              <w:top w:val="single" w:sz="2" w:space="0" w:color="000000"/>
              <w:left w:val="single" w:sz="12" w:space="0" w:color="000000"/>
              <w:bottom w:val="single" w:sz="2" w:space="0" w:color="000000"/>
              <w:right w:val="single" w:sz="4" w:space="0" w:color="000000"/>
            </w:tcBorders>
            <w:shd w:val="clear" w:color="auto" w:fill="FFFFFF"/>
            <w:vAlign w:val="center"/>
          </w:tcPr>
          <w:p w:rsidR="00987491" w:rsidRPr="00787ECC" w:rsidRDefault="00987491" w:rsidP="00987491">
            <w:pPr>
              <w:keepLines/>
              <w:spacing w:after="0"/>
              <w:jc w:val="center"/>
              <w:rPr>
                <w:rFonts w:cs="Arial"/>
                <w:color w:val="000000"/>
                <w:szCs w:val="20"/>
                <w:lang w:val="es-ES"/>
              </w:rPr>
            </w:pPr>
            <w:r w:rsidRPr="00787ECC">
              <w:rPr>
                <w:rFonts w:cs="Arial"/>
                <w:color w:val="000000"/>
                <w:szCs w:val="20"/>
                <w:lang w:val="es-ES"/>
              </w:rPr>
              <w:t>x</w:t>
            </w:r>
          </w:p>
        </w:tc>
        <w:tc>
          <w:tcPr>
            <w:tcW w:w="540" w:type="dxa"/>
            <w:tcBorders>
              <w:top w:val="single" w:sz="2" w:space="0" w:color="000000"/>
              <w:bottom w:val="single" w:sz="2" w:space="0" w:color="000000"/>
              <w:right w:val="single" w:sz="12" w:space="0" w:color="000000"/>
            </w:tcBorders>
            <w:shd w:val="clear" w:color="auto" w:fill="FFFFFF"/>
            <w:vAlign w:val="center"/>
          </w:tcPr>
          <w:p w:rsidR="00987491" w:rsidRPr="00787ECC" w:rsidRDefault="00987491" w:rsidP="00987491">
            <w:pPr>
              <w:keepLines/>
              <w:spacing w:after="0"/>
              <w:jc w:val="center"/>
              <w:rPr>
                <w:rFonts w:cs="Arial"/>
                <w:color w:val="000000"/>
                <w:szCs w:val="20"/>
                <w:lang w:val="es-ES"/>
              </w:rPr>
            </w:pPr>
            <w:r w:rsidRPr="00787ECC">
              <w:rPr>
                <w:rFonts w:cs="Arial"/>
                <w:color w:val="000000"/>
                <w:szCs w:val="20"/>
                <w:lang w:val="es-ES"/>
              </w:rPr>
              <w:t>x</w:t>
            </w:r>
          </w:p>
        </w:tc>
      </w:tr>
      <w:tr w:rsidR="00987491" w:rsidRPr="00787ECC" w:rsidTr="00987491">
        <w:trPr>
          <w:cantSplit/>
          <w:trHeight w:val="126"/>
          <w:jc w:val="center"/>
        </w:trPr>
        <w:tc>
          <w:tcPr>
            <w:tcW w:w="1436" w:type="dxa"/>
            <w:vMerge w:val="restart"/>
            <w:tcBorders>
              <w:top w:val="single" w:sz="2" w:space="0" w:color="000000"/>
              <w:left w:val="single" w:sz="12" w:space="0" w:color="000000"/>
              <w:right w:val="single" w:sz="12" w:space="0" w:color="000000"/>
            </w:tcBorders>
            <w:shd w:val="clear" w:color="auto" w:fill="auto"/>
            <w:vAlign w:val="center"/>
          </w:tcPr>
          <w:p w:rsidR="00987491" w:rsidRPr="00E419F9" w:rsidRDefault="00987491" w:rsidP="00987491">
            <w:pPr>
              <w:keepLines/>
              <w:spacing w:after="0"/>
              <w:jc w:val="left"/>
              <w:rPr>
                <w:rFonts w:cs="Arial"/>
                <w:color w:val="000000"/>
                <w:sz w:val="18"/>
                <w:szCs w:val="18"/>
                <w:lang w:val="es-ES"/>
              </w:rPr>
            </w:pPr>
            <w:r w:rsidRPr="00E419F9">
              <w:rPr>
                <w:rFonts w:cs="Arial"/>
                <w:color w:val="000000"/>
                <w:sz w:val="18"/>
                <w:szCs w:val="18"/>
                <w:lang w:val="es-ES"/>
              </w:rPr>
              <w:t xml:space="preserve">Seguridad y Salud </w:t>
            </w:r>
          </w:p>
        </w:tc>
        <w:tc>
          <w:tcPr>
            <w:tcW w:w="2233" w:type="dxa"/>
            <w:tcBorders>
              <w:top w:val="single" w:sz="2" w:space="0" w:color="000000"/>
              <w:left w:val="single" w:sz="12" w:space="0" w:color="000000"/>
              <w:bottom w:val="single" w:sz="2" w:space="0" w:color="000000"/>
              <w:right w:val="single" w:sz="12" w:space="0" w:color="000000"/>
            </w:tcBorders>
            <w:shd w:val="clear" w:color="auto" w:fill="FFFFFF"/>
            <w:vAlign w:val="center"/>
          </w:tcPr>
          <w:p w:rsidR="00987491" w:rsidRPr="00787ECC" w:rsidRDefault="00987491" w:rsidP="00987491">
            <w:pPr>
              <w:keepLines/>
              <w:spacing w:after="0"/>
              <w:jc w:val="left"/>
              <w:rPr>
                <w:rFonts w:cs="Arial"/>
                <w:color w:val="000000"/>
                <w:szCs w:val="20"/>
                <w:lang w:val="es-ES"/>
              </w:rPr>
            </w:pPr>
            <w:r w:rsidRPr="00787ECC">
              <w:rPr>
                <w:rFonts w:cs="Arial"/>
                <w:color w:val="000000"/>
                <w:szCs w:val="20"/>
                <w:lang w:val="es-ES"/>
              </w:rPr>
              <w:t>Seguridad y Salud Ocupacional</w:t>
            </w:r>
          </w:p>
        </w:tc>
        <w:tc>
          <w:tcPr>
            <w:tcW w:w="4800" w:type="dxa"/>
            <w:tcBorders>
              <w:top w:val="single" w:sz="2" w:space="0" w:color="000000"/>
              <w:left w:val="single" w:sz="12" w:space="0" w:color="000000"/>
              <w:bottom w:val="single" w:sz="2" w:space="0" w:color="000000"/>
              <w:right w:val="single" w:sz="12" w:space="0" w:color="000000"/>
            </w:tcBorders>
            <w:shd w:val="clear" w:color="auto" w:fill="FFFFFF"/>
            <w:vAlign w:val="center"/>
          </w:tcPr>
          <w:p w:rsidR="00987491" w:rsidRPr="00787ECC" w:rsidRDefault="00987491" w:rsidP="00987491">
            <w:pPr>
              <w:keepLines/>
              <w:spacing w:after="0"/>
              <w:rPr>
                <w:rFonts w:cs="Arial"/>
                <w:color w:val="000000"/>
                <w:szCs w:val="20"/>
                <w:lang w:val="es-ES"/>
              </w:rPr>
            </w:pPr>
            <w:r w:rsidRPr="00787ECC">
              <w:rPr>
                <w:rFonts w:cs="Arial"/>
                <w:color w:val="000000"/>
                <w:szCs w:val="20"/>
                <w:lang w:val="es-ES"/>
              </w:rPr>
              <w:t>Plan de Seguridad de Obra que establecerá las condiciones y previsiones de seguridad durante el desarrollo de los trabajos.</w:t>
            </w:r>
          </w:p>
        </w:tc>
        <w:tc>
          <w:tcPr>
            <w:tcW w:w="540" w:type="dxa"/>
            <w:tcBorders>
              <w:top w:val="single" w:sz="2" w:space="0" w:color="000000"/>
              <w:left w:val="single" w:sz="12" w:space="0" w:color="000000"/>
              <w:bottom w:val="single" w:sz="2" w:space="0" w:color="000000"/>
              <w:right w:val="single" w:sz="4" w:space="0" w:color="000000"/>
            </w:tcBorders>
            <w:shd w:val="clear" w:color="auto" w:fill="FFFFFF"/>
            <w:vAlign w:val="center"/>
          </w:tcPr>
          <w:p w:rsidR="00987491" w:rsidRPr="00787ECC" w:rsidRDefault="00987491" w:rsidP="00987491">
            <w:pPr>
              <w:keepLines/>
              <w:spacing w:after="0"/>
              <w:jc w:val="center"/>
              <w:rPr>
                <w:rFonts w:cs="Arial"/>
                <w:color w:val="000000"/>
                <w:szCs w:val="20"/>
                <w:lang w:val="es-ES"/>
              </w:rPr>
            </w:pPr>
            <w:r w:rsidRPr="00787ECC">
              <w:rPr>
                <w:rFonts w:cs="Arial"/>
                <w:color w:val="000000"/>
                <w:szCs w:val="20"/>
                <w:lang w:val="es-ES"/>
              </w:rPr>
              <w:t>x</w:t>
            </w:r>
          </w:p>
        </w:tc>
        <w:tc>
          <w:tcPr>
            <w:tcW w:w="540" w:type="dxa"/>
            <w:tcBorders>
              <w:top w:val="single" w:sz="2" w:space="0" w:color="000000"/>
              <w:bottom w:val="single" w:sz="2" w:space="0" w:color="000000"/>
              <w:right w:val="single" w:sz="12" w:space="0" w:color="000000"/>
            </w:tcBorders>
            <w:shd w:val="clear" w:color="auto" w:fill="FFFFFF"/>
            <w:vAlign w:val="center"/>
          </w:tcPr>
          <w:p w:rsidR="00987491" w:rsidRPr="00787ECC" w:rsidRDefault="00987491" w:rsidP="00987491">
            <w:pPr>
              <w:keepLines/>
              <w:spacing w:after="0"/>
              <w:jc w:val="center"/>
              <w:rPr>
                <w:rFonts w:cs="Arial"/>
                <w:color w:val="000000"/>
                <w:szCs w:val="20"/>
                <w:lang w:val="es-ES"/>
              </w:rPr>
            </w:pPr>
          </w:p>
        </w:tc>
      </w:tr>
      <w:tr w:rsidR="00987491" w:rsidRPr="00787ECC" w:rsidTr="00987491">
        <w:trPr>
          <w:cantSplit/>
          <w:trHeight w:val="126"/>
          <w:jc w:val="center"/>
        </w:trPr>
        <w:tc>
          <w:tcPr>
            <w:tcW w:w="1436" w:type="dxa"/>
            <w:vMerge/>
            <w:tcBorders>
              <w:left w:val="single" w:sz="12" w:space="0" w:color="000000"/>
              <w:bottom w:val="single" w:sz="2" w:space="0" w:color="000000"/>
              <w:right w:val="single" w:sz="12" w:space="0" w:color="000000"/>
            </w:tcBorders>
            <w:shd w:val="clear" w:color="auto" w:fill="auto"/>
            <w:vAlign w:val="center"/>
          </w:tcPr>
          <w:p w:rsidR="00987491" w:rsidRPr="00E419F9" w:rsidRDefault="00987491" w:rsidP="00987491">
            <w:pPr>
              <w:keepLines/>
              <w:spacing w:after="0"/>
              <w:jc w:val="left"/>
              <w:rPr>
                <w:rFonts w:cs="Arial"/>
                <w:color w:val="000000"/>
                <w:sz w:val="18"/>
                <w:szCs w:val="18"/>
                <w:lang w:val="es-ES"/>
              </w:rPr>
            </w:pPr>
          </w:p>
        </w:tc>
        <w:tc>
          <w:tcPr>
            <w:tcW w:w="2233" w:type="dxa"/>
            <w:tcBorders>
              <w:top w:val="single" w:sz="2" w:space="0" w:color="000000"/>
              <w:left w:val="single" w:sz="12" w:space="0" w:color="000000"/>
              <w:bottom w:val="single" w:sz="2" w:space="0" w:color="000000"/>
              <w:right w:val="single" w:sz="12" w:space="0" w:color="000000"/>
            </w:tcBorders>
            <w:shd w:val="clear" w:color="auto" w:fill="FFFFFF"/>
            <w:vAlign w:val="center"/>
          </w:tcPr>
          <w:p w:rsidR="00987491" w:rsidRPr="00787ECC" w:rsidRDefault="00987491" w:rsidP="00987491">
            <w:pPr>
              <w:keepLines/>
              <w:spacing w:after="0"/>
              <w:jc w:val="left"/>
              <w:rPr>
                <w:rFonts w:cs="Arial"/>
                <w:color w:val="000000"/>
                <w:szCs w:val="20"/>
                <w:lang w:val="es-ES"/>
              </w:rPr>
            </w:pPr>
            <w:r w:rsidRPr="00787ECC">
              <w:rPr>
                <w:rFonts w:cs="Arial"/>
                <w:color w:val="000000"/>
                <w:szCs w:val="20"/>
                <w:lang w:val="es-ES"/>
              </w:rPr>
              <w:t>Seguridad y Salud de Comunidades</w:t>
            </w:r>
          </w:p>
        </w:tc>
        <w:tc>
          <w:tcPr>
            <w:tcW w:w="4800" w:type="dxa"/>
            <w:tcBorders>
              <w:top w:val="single" w:sz="2" w:space="0" w:color="000000"/>
              <w:left w:val="single" w:sz="12" w:space="0" w:color="000000"/>
              <w:bottom w:val="single" w:sz="2" w:space="0" w:color="000000"/>
              <w:right w:val="single" w:sz="12" w:space="0" w:color="000000"/>
            </w:tcBorders>
            <w:shd w:val="clear" w:color="auto" w:fill="FFFFFF"/>
            <w:vAlign w:val="center"/>
          </w:tcPr>
          <w:p w:rsidR="00987491" w:rsidRPr="00787ECC" w:rsidRDefault="00987491" w:rsidP="00987491">
            <w:pPr>
              <w:keepLines/>
              <w:spacing w:after="0"/>
              <w:rPr>
                <w:rFonts w:cs="Arial"/>
                <w:color w:val="000000"/>
                <w:szCs w:val="20"/>
                <w:lang w:val="es-ES"/>
              </w:rPr>
            </w:pPr>
            <w:r w:rsidRPr="00787ECC">
              <w:rPr>
                <w:rFonts w:cs="Arial"/>
                <w:color w:val="000000"/>
                <w:szCs w:val="20"/>
                <w:lang w:val="es-ES"/>
              </w:rPr>
              <w:t>Cumplimiento con los Códigos locales y de zonificación, retiros, y factores de ocupación. En el caso de nuevos centros educativos urbanos, utilizar señalización para implicar precaución por zona escolar.</w:t>
            </w:r>
          </w:p>
        </w:tc>
        <w:tc>
          <w:tcPr>
            <w:tcW w:w="540" w:type="dxa"/>
            <w:tcBorders>
              <w:top w:val="single" w:sz="2" w:space="0" w:color="000000"/>
              <w:left w:val="single" w:sz="12" w:space="0" w:color="000000"/>
              <w:bottom w:val="single" w:sz="2" w:space="0" w:color="000000"/>
              <w:right w:val="single" w:sz="4" w:space="0" w:color="000000"/>
            </w:tcBorders>
            <w:shd w:val="clear" w:color="auto" w:fill="FFFFFF"/>
            <w:vAlign w:val="center"/>
          </w:tcPr>
          <w:p w:rsidR="00987491" w:rsidRPr="00787ECC" w:rsidRDefault="00987491" w:rsidP="00987491">
            <w:pPr>
              <w:keepLines/>
              <w:spacing w:after="0"/>
              <w:jc w:val="center"/>
              <w:rPr>
                <w:rFonts w:cs="Arial"/>
                <w:color w:val="000000"/>
                <w:szCs w:val="20"/>
                <w:lang w:val="es-ES"/>
              </w:rPr>
            </w:pPr>
          </w:p>
        </w:tc>
        <w:tc>
          <w:tcPr>
            <w:tcW w:w="540" w:type="dxa"/>
            <w:tcBorders>
              <w:top w:val="single" w:sz="2" w:space="0" w:color="000000"/>
              <w:bottom w:val="single" w:sz="2" w:space="0" w:color="000000"/>
              <w:right w:val="single" w:sz="12" w:space="0" w:color="000000"/>
            </w:tcBorders>
            <w:shd w:val="clear" w:color="auto" w:fill="FFFFFF"/>
            <w:vAlign w:val="center"/>
          </w:tcPr>
          <w:p w:rsidR="00987491" w:rsidRPr="00787ECC" w:rsidRDefault="00987491" w:rsidP="00987491">
            <w:pPr>
              <w:keepLines/>
              <w:spacing w:after="0"/>
              <w:jc w:val="center"/>
              <w:rPr>
                <w:rFonts w:cs="Arial"/>
                <w:color w:val="000000"/>
                <w:szCs w:val="20"/>
                <w:lang w:val="es-ES"/>
              </w:rPr>
            </w:pPr>
            <w:r w:rsidRPr="00787ECC">
              <w:rPr>
                <w:rFonts w:cs="Arial"/>
                <w:color w:val="000000"/>
                <w:szCs w:val="20"/>
                <w:lang w:val="es-ES"/>
              </w:rPr>
              <w:t>x</w:t>
            </w:r>
          </w:p>
        </w:tc>
      </w:tr>
      <w:tr w:rsidR="00987491" w:rsidRPr="00787ECC" w:rsidTr="00987491">
        <w:trPr>
          <w:cantSplit/>
          <w:trHeight w:val="75"/>
          <w:jc w:val="center"/>
        </w:trPr>
        <w:tc>
          <w:tcPr>
            <w:tcW w:w="1436" w:type="dxa"/>
            <w:tcBorders>
              <w:top w:val="single" w:sz="2" w:space="0" w:color="000000"/>
              <w:left w:val="single" w:sz="12" w:space="0" w:color="000000"/>
              <w:bottom w:val="single" w:sz="2" w:space="0" w:color="000000"/>
              <w:right w:val="single" w:sz="12" w:space="0" w:color="000000"/>
            </w:tcBorders>
            <w:shd w:val="clear" w:color="auto" w:fill="auto"/>
            <w:vAlign w:val="center"/>
          </w:tcPr>
          <w:p w:rsidR="00987491" w:rsidRPr="00E419F9" w:rsidRDefault="00987491" w:rsidP="00987491">
            <w:pPr>
              <w:keepNext/>
              <w:keepLines/>
              <w:spacing w:after="0"/>
              <w:jc w:val="left"/>
              <w:rPr>
                <w:rFonts w:cs="Arial"/>
                <w:color w:val="000000"/>
                <w:sz w:val="18"/>
                <w:szCs w:val="18"/>
                <w:lang w:val="es-ES"/>
              </w:rPr>
            </w:pPr>
            <w:r w:rsidRPr="00E419F9">
              <w:rPr>
                <w:rFonts w:cs="Arial"/>
                <w:color w:val="000000"/>
                <w:sz w:val="18"/>
                <w:szCs w:val="18"/>
                <w:lang w:val="es-ES"/>
              </w:rPr>
              <w:t xml:space="preserve">Contingencias, Seguimiento y Monitoreo </w:t>
            </w:r>
          </w:p>
        </w:tc>
        <w:tc>
          <w:tcPr>
            <w:tcW w:w="2233" w:type="dxa"/>
            <w:tcBorders>
              <w:top w:val="single" w:sz="2" w:space="0" w:color="000000"/>
              <w:left w:val="single" w:sz="12" w:space="0" w:color="000000"/>
              <w:bottom w:val="single" w:sz="2" w:space="0" w:color="000000"/>
              <w:right w:val="single" w:sz="12" w:space="0" w:color="000000"/>
            </w:tcBorders>
            <w:shd w:val="clear" w:color="auto" w:fill="FFFFFF"/>
            <w:vAlign w:val="center"/>
          </w:tcPr>
          <w:p w:rsidR="00987491" w:rsidRPr="00787ECC" w:rsidRDefault="00987491" w:rsidP="00987491">
            <w:pPr>
              <w:keepNext/>
              <w:keepLines/>
              <w:spacing w:after="0"/>
              <w:jc w:val="left"/>
              <w:rPr>
                <w:rFonts w:cs="Arial"/>
                <w:color w:val="000000"/>
                <w:szCs w:val="20"/>
                <w:lang w:val="es-ES"/>
              </w:rPr>
            </w:pPr>
            <w:r w:rsidRPr="00787ECC">
              <w:rPr>
                <w:rFonts w:cs="Arial"/>
                <w:color w:val="000000"/>
                <w:szCs w:val="20"/>
                <w:lang w:val="es-ES"/>
              </w:rPr>
              <w:t>--</w:t>
            </w:r>
          </w:p>
        </w:tc>
        <w:tc>
          <w:tcPr>
            <w:tcW w:w="4800" w:type="dxa"/>
            <w:tcBorders>
              <w:top w:val="single" w:sz="2" w:space="0" w:color="000000"/>
              <w:left w:val="single" w:sz="12" w:space="0" w:color="000000"/>
              <w:bottom w:val="single" w:sz="2" w:space="0" w:color="000000"/>
              <w:right w:val="single" w:sz="12" w:space="0" w:color="000000"/>
            </w:tcBorders>
            <w:shd w:val="clear" w:color="auto" w:fill="FFFFFF"/>
            <w:vAlign w:val="center"/>
          </w:tcPr>
          <w:p w:rsidR="00987491" w:rsidRPr="00787ECC" w:rsidRDefault="00987491" w:rsidP="00987491">
            <w:pPr>
              <w:keepNext/>
              <w:keepLines/>
              <w:spacing w:after="0"/>
              <w:rPr>
                <w:rFonts w:cs="Arial"/>
                <w:color w:val="000000"/>
                <w:szCs w:val="20"/>
                <w:lang w:val="es-ES"/>
              </w:rPr>
            </w:pPr>
            <w:r w:rsidRPr="00787ECC">
              <w:rPr>
                <w:rFonts w:cs="Arial"/>
                <w:color w:val="000000"/>
                <w:szCs w:val="20"/>
                <w:lang w:val="es-ES"/>
              </w:rPr>
              <w:t xml:space="preserve">Plan de Contingencias para la mitigación de eventos previsibles que hayan sido señalados en la Evaluación de Impacto Ambiental o que sean identificados en las inspecciones al terreno. Seguimiento a la ejecución </w:t>
            </w:r>
          </w:p>
        </w:tc>
        <w:tc>
          <w:tcPr>
            <w:tcW w:w="540" w:type="dxa"/>
            <w:tcBorders>
              <w:top w:val="single" w:sz="2" w:space="0" w:color="000000"/>
              <w:left w:val="single" w:sz="12" w:space="0" w:color="000000"/>
              <w:bottom w:val="single" w:sz="2" w:space="0" w:color="000000"/>
              <w:right w:val="single" w:sz="4" w:space="0" w:color="000000"/>
            </w:tcBorders>
            <w:shd w:val="clear" w:color="auto" w:fill="FFFFFF"/>
            <w:vAlign w:val="center"/>
          </w:tcPr>
          <w:p w:rsidR="00987491" w:rsidRPr="00787ECC" w:rsidRDefault="00987491" w:rsidP="00987491">
            <w:pPr>
              <w:keepNext/>
              <w:keepLines/>
              <w:spacing w:after="0"/>
              <w:jc w:val="center"/>
              <w:rPr>
                <w:rFonts w:cs="Arial"/>
                <w:color w:val="000000"/>
                <w:szCs w:val="20"/>
                <w:lang w:val="es-ES"/>
              </w:rPr>
            </w:pPr>
            <w:r w:rsidRPr="00787ECC">
              <w:rPr>
                <w:rFonts w:cs="Arial"/>
                <w:color w:val="000000"/>
                <w:szCs w:val="20"/>
                <w:lang w:val="es-ES"/>
              </w:rPr>
              <w:t>x</w:t>
            </w:r>
          </w:p>
        </w:tc>
        <w:tc>
          <w:tcPr>
            <w:tcW w:w="540" w:type="dxa"/>
            <w:tcBorders>
              <w:top w:val="single" w:sz="2" w:space="0" w:color="000000"/>
              <w:bottom w:val="single" w:sz="2" w:space="0" w:color="000000"/>
              <w:right w:val="single" w:sz="12" w:space="0" w:color="000000"/>
            </w:tcBorders>
            <w:shd w:val="clear" w:color="auto" w:fill="FFFFFF"/>
            <w:vAlign w:val="center"/>
          </w:tcPr>
          <w:p w:rsidR="00987491" w:rsidRPr="00787ECC" w:rsidRDefault="00987491" w:rsidP="00987491">
            <w:pPr>
              <w:keepNext/>
              <w:keepLines/>
              <w:spacing w:after="0"/>
              <w:jc w:val="center"/>
              <w:rPr>
                <w:rFonts w:cs="Arial"/>
                <w:color w:val="000000"/>
                <w:szCs w:val="20"/>
                <w:lang w:val="es-ES"/>
              </w:rPr>
            </w:pPr>
            <w:r w:rsidRPr="00787ECC">
              <w:rPr>
                <w:rFonts w:cs="Arial"/>
                <w:color w:val="000000"/>
                <w:szCs w:val="20"/>
                <w:lang w:val="es-ES"/>
              </w:rPr>
              <w:t>x</w:t>
            </w:r>
          </w:p>
        </w:tc>
      </w:tr>
    </w:tbl>
    <w:p w:rsidR="00987491" w:rsidRPr="00987491" w:rsidRDefault="00987491" w:rsidP="00987491">
      <w:pPr>
        <w:rPr>
          <w:lang w:val="es-UY" w:eastAsia="es-AR"/>
        </w:rPr>
      </w:pPr>
    </w:p>
    <w:p w:rsidR="00A30A02" w:rsidRPr="00CD6AE6" w:rsidRDefault="00843C90" w:rsidP="00BA3FCD">
      <w:pPr>
        <w:pStyle w:val="Heading2"/>
        <w:numPr>
          <w:ilvl w:val="1"/>
          <w:numId w:val="8"/>
        </w:numPr>
      </w:pPr>
      <w:r>
        <w:t xml:space="preserve"> </w:t>
      </w:r>
      <w:bookmarkStart w:id="88" w:name="_Toc461731181"/>
      <w:r w:rsidR="00292E84" w:rsidRPr="00CD6AE6">
        <w:t>MARCO INSTITUCIONAL Y ORGANIZACIÓN DEL PROGRAMA</w:t>
      </w:r>
      <w:bookmarkEnd w:id="88"/>
    </w:p>
    <w:p w:rsidR="00A30A02" w:rsidRPr="00CD6AE6" w:rsidRDefault="00A30A02" w:rsidP="00D62AD6">
      <w:pPr>
        <w:rPr>
          <w:rFonts w:cs="Arial"/>
          <w:szCs w:val="20"/>
          <w:lang w:val="es-UY"/>
        </w:rPr>
      </w:pPr>
    </w:p>
    <w:p w:rsidR="00981691" w:rsidRPr="00CD6AE6" w:rsidRDefault="00981691" w:rsidP="00D62AD6">
      <w:pPr>
        <w:rPr>
          <w:rFonts w:cs="Arial"/>
          <w:szCs w:val="20"/>
          <w:lang w:val="es-UY" w:eastAsia="es-AR"/>
        </w:rPr>
      </w:pPr>
      <w:r w:rsidRPr="00CD6AE6">
        <w:rPr>
          <w:rFonts w:cs="Arial"/>
          <w:noProof/>
          <w:szCs w:val="20"/>
          <w:lang w:val="en-US"/>
        </w:rPr>
        <w:lastRenderedPageBreak/>
        <w:drawing>
          <wp:inline distT="0" distB="0" distL="0" distR="0" wp14:anchorId="56350F2C" wp14:editId="4C93E25A">
            <wp:extent cx="5612130" cy="2847072"/>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1"/>
                    <a:srcRect/>
                    <a:stretch>
                      <a:fillRect/>
                    </a:stretch>
                  </pic:blipFill>
                  <pic:spPr bwMode="auto">
                    <a:xfrm>
                      <a:off x="0" y="0"/>
                      <a:ext cx="5612130" cy="2847072"/>
                    </a:xfrm>
                    <a:prstGeom prst="rect">
                      <a:avLst/>
                    </a:prstGeom>
                    <a:noFill/>
                    <a:ln w="9525">
                      <a:noFill/>
                      <a:miter lim="800000"/>
                      <a:headEnd/>
                      <a:tailEnd/>
                    </a:ln>
                  </pic:spPr>
                </pic:pic>
              </a:graphicData>
            </a:graphic>
          </wp:inline>
        </w:drawing>
      </w:r>
    </w:p>
    <w:p w:rsidR="00891698" w:rsidRPr="00CD6AE6" w:rsidRDefault="00891698" w:rsidP="00872A3D">
      <w:pPr>
        <w:pStyle w:val="Heading1"/>
      </w:pPr>
      <w:bookmarkStart w:id="89" w:name="_Toc461731182"/>
      <w:r w:rsidRPr="00CD6AE6">
        <w:t>PROGRAMACIÓN</w:t>
      </w:r>
      <w:bookmarkEnd w:id="78"/>
      <w:bookmarkEnd w:id="79"/>
      <w:bookmarkEnd w:id="80"/>
      <w:bookmarkEnd w:id="81"/>
      <w:bookmarkEnd w:id="82"/>
      <w:bookmarkEnd w:id="83"/>
      <w:bookmarkEnd w:id="84"/>
      <w:bookmarkEnd w:id="85"/>
      <w:bookmarkEnd w:id="86"/>
      <w:bookmarkEnd w:id="87"/>
      <w:bookmarkEnd w:id="89"/>
      <w:r w:rsidR="002F613E">
        <w:t>, MONITOREO Y EVALUACIÓN</w:t>
      </w:r>
    </w:p>
    <w:p w:rsidR="00891698" w:rsidRPr="00CD6AE6" w:rsidRDefault="00891698" w:rsidP="00BE1150">
      <w:pPr>
        <w:pStyle w:val="Heading2"/>
        <w:numPr>
          <w:ilvl w:val="1"/>
          <w:numId w:val="13"/>
        </w:numPr>
      </w:pPr>
      <w:bookmarkStart w:id="90" w:name="_Ref144221119"/>
      <w:bookmarkStart w:id="91" w:name="_Ref145272720"/>
      <w:bookmarkStart w:id="92" w:name="_Toc202247767"/>
      <w:r w:rsidRPr="00CD6AE6">
        <w:t>Instrumentos de Programación</w:t>
      </w:r>
      <w:bookmarkEnd w:id="90"/>
      <w:bookmarkEnd w:id="91"/>
      <w:bookmarkEnd w:id="92"/>
    </w:p>
    <w:p w:rsidR="00891698" w:rsidRPr="00CD6AE6" w:rsidRDefault="00891698" w:rsidP="00D4226A">
      <w:pPr>
        <w:pStyle w:val="Paragraph"/>
      </w:pPr>
      <w:r w:rsidRPr="00CD6AE6">
        <w:t>A los efectos de planificar las actividades del Programa se considerarán los siguientes mecanismos e instrumentos principales: Taller de Inicio,</w:t>
      </w:r>
      <w:r w:rsidR="00981691" w:rsidRPr="00CD6AE6">
        <w:t xml:space="preserve"> Plan </w:t>
      </w:r>
      <w:r w:rsidRPr="00CD6AE6">
        <w:t>de Ejecución del Programa (PEP), Plan Operativo Anual (POA) y Plan de Adquisiciones (PA).</w:t>
      </w:r>
    </w:p>
    <w:p w:rsidR="00891698" w:rsidRPr="00CD6AE6" w:rsidRDefault="00891698" w:rsidP="00C467FF">
      <w:pPr>
        <w:jc w:val="center"/>
        <w:rPr>
          <w:b/>
          <w:lang w:val="es-UY"/>
        </w:rPr>
      </w:pPr>
      <w:r w:rsidRPr="00CD6AE6">
        <w:rPr>
          <w:b/>
          <w:lang w:val="es-UY"/>
        </w:rPr>
        <w:t>Cuadro IV-1 Instrumentos de Programación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40"/>
        <w:gridCol w:w="5940"/>
        <w:gridCol w:w="2158"/>
      </w:tblGrid>
      <w:tr w:rsidR="00891698" w:rsidRPr="00CD6AE6" w:rsidTr="00BA3FCD">
        <w:trPr>
          <w:trHeight w:val="301"/>
          <w:tblHeader/>
          <w:jc w:val="right"/>
        </w:trPr>
        <w:tc>
          <w:tcPr>
            <w:tcW w:w="1440" w:type="dxa"/>
            <w:shd w:val="clear" w:color="auto" w:fill="E0E0E0"/>
            <w:vAlign w:val="center"/>
          </w:tcPr>
          <w:p w:rsidR="00891698" w:rsidRPr="00CD6AE6" w:rsidRDefault="00891698" w:rsidP="00C467FF">
            <w:pPr>
              <w:pStyle w:val="NoSpacing"/>
              <w:rPr>
                <w:b/>
              </w:rPr>
            </w:pPr>
            <w:r w:rsidRPr="00CD6AE6">
              <w:rPr>
                <w:b/>
              </w:rPr>
              <w:t xml:space="preserve">Instrumento </w:t>
            </w:r>
          </w:p>
        </w:tc>
        <w:tc>
          <w:tcPr>
            <w:tcW w:w="5940" w:type="dxa"/>
            <w:shd w:val="clear" w:color="auto" w:fill="E0E0E0"/>
            <w:vAlign w:val="center"/>
          </w:tcPr>
          <w:p w:rsidR="00891698" w:rsidRPr="00CD6AE6" w:rsidRDefault="00891698" w:rsidP="00C467FF">
            <w:pPr>
              <w:pStyle w:val="NoSpacing"/>
              <w:rPr>
                <w:b/>
              </w:rPr>
            </w:pPr>
            <w:r w:rsidRPr="00CD6AE6">
              <w:rPr>
                <w:b/>
              </w:rPr>
              <w:t>Objetivo</w:t>
            </w:r>
          </w:p>
        </w:tc>
        <w:tc>
          <w:tcPr>
            <w:tcW w:w="2158" w:type="dxa"/>
            <w:shd w:val="clear" w:color="auto" w:fill="E0E0E0"/>
            <w:vAlign w:val="center"/>
          </w:tcPr>
          <w:p w:rsidR="00891698" w:rsidRPr="00CD6AE6" w:rsidRDefault="00891698" w:rsidP="00C467FF">
            <w:pPr>
              <w:pStyle w:val="NoSpacing"/>
              <w:rPr>
                <w:b/>
              </w:rPr>
            </w:pPr>
            <w:r w:rsidRPr="00CD6AE6">
              <w:rPr>
                <w:b/>
              </w:rPr>
              <w:t>Plazo</w:t>
            </w:r>
          </w:p>
        </w:tc>
      </w:tr>
      <w:tr w:rsidR="00891698" w:rsidRPr="00CD6AE6" w:rsidTr="00BA3FCD">
        <w:trPr>
          <w:trHeight w:val="77"/>
          <w:jc w:val="right"/>
        </w:trPr>
        <w:tc>
          <w:tcPr>
            <w:tcW w:w="1440" w:type="dxa"/>
            <w:vAlign w:val="center"/>
          </w:tcPr>
          <w:p w:rsidR="00891698" w:rsidRPr="00CD6AE6" w:rsidRDefault="00891698" w:rsidP="00C467FF">
            <w:pPr>
              <w:pStyle w:val="NoSpacing"/>
            </w:pPr>
            <w:r w:rsidRPr="00CD6AE6">
              <w:t>Taller de Inicio</w:t>
            </w:r>
          </w:p>
        </w:tc>
        <w:tc>
          <w:tcPr>
            <w:tcW w:w="5940" w:type="dxa"/>
            <w:vAlign w:val="center"/>
          </w:tcPr>
          <w:p w:rsidR="00891698" w:rsidRPr="00CD6AE6" w:rsidRDefault="00891698" w:rsidP="00C467FF">
            <w:pPr>
              <w:pStyle w:val="NoSpacing"/>
            </w:pPr>
            <w:r w:rsidRPr="00CD6AE6">
              <w:t xml:space="preserve">Tiene como objetivo compartir, con todos los actores relevantes para el Programa, un conocimiento común del mismo, profundizando en aquellos aspectos especiales que así lo requieran. La ANEP y el Banco acordarán su temario que, por lo menos contendrá:1.  La presentación y difusión de: </w:t>
            </w:r>
          </w:p>
          <w:p w:rsidR="00891698" w:rsidRPr="00CD6AE6" w:rsidRDefault="00891698" w:rsidP="00C467FF">
            <w:pPr>
              <w:pStyle w:val="NoSpacing"/>
            </w:pPr>
            <w:r w:rsidRPr="00CD6AE6">
              <w:t>La conceptualización del Programa: objetivos, resultados y productos esperados (MR).</w:t>
            </w:r>
          </w:p>
          <w:p w:rsidR="00891698" w:rsidRPr="00CD6AE6" w:rsidRDefault="00891698" w:rsidP="00C467FF">
            <w:pPr>
              <w:pStyle w:val="NoSpacing"/>
            </w:pPr>
            <w:r w:rsidRPr="00CD6AE6">
              <w:t>El PEP y la Matriz de Mitigación de Riesgos inicial;</w:t>
            </w:r>
          </w:p>
          <w:p w:rsidR="00891698" w:rsidRPr="00CD6AE6" w:rsidRDefault="00891698" w:rsidP="00C467FF">
            <w:pPr>
              <w:pStyle w:val="NoSpacing"/>
            </w:pPr>
            <w:r w:rsidRPr="00CD6AE6">
              <w:t>El Reglamento Operativo (RO) del programa, incluyendo el esquema de ejecución y requerimientos institucionales.</w:t>
            </w:r>
          </w:p>
          <w:p w:rsidR="00891698" w:rsidRPr="00CD6AE6" w:rsidRDefault="00891698" w:rsidP="00C467FF">
            <w:pPr>
              <w:pStyle w:val="NoSpacing"/>
            </w:pPr>
            <w:r w:rsidRPr="00CD6AE6">
              <w:t>Los mecanismos de seguimiento y control, incluyendo la descripción del esquema a seguir en los informes de ejecución anual presentados al Banco y otros informes.</w:t>
            </w:r>
          </w:p>
          <w:p w:rsidR="00891698" w:rsidRPr="00CD6AE6" w:rsidRDefault="00891698" w:rsidP="00C467FF">
            <w:pPr>
              <w:pStyle w:val="NoSpacing"/>
            </w:pPr>
            <w:r w:rsidRPr="00CD6AE6">
              <w:t>Procedimientos de: (i) administración contable – financiera y desembolsos; (ii) contratación; y (iii) archivo de documentación.</w:t>
            </w:r>
          </w:p>
          <w:p w:rsidR="00891698" w:rsidRPr="00CD6AE6" w:rsidRDefault="00891698" w:rsidP="00C467FF">
            <w:pPr>
              <w:pStyle w:val="NoSpacing"/>
            </w:pPr>
            <w:r w:rsidRPr="00CD6AE6">
              <w:t>Los TDR de la auditoría externa y de la evaluación de gestión y de impacto del Programa.</w:t>
            </w:r>
          </w:p>
          <w:p w:rsidR="00891698" w:rsidRPr="00CD6AE6" w:rsidRDefault="00891698" w:rsidP="00C467FF">
            <w:pPr>
              <w:pStyle w:val="NoSpacing"/>
            </w:pPr>
            <w:r w:rsidRPr="00CD6AE6">
              <w:t>2. La revisión del estado de avance en:</w:t>
            </w:r>
          </w:p>
          <w:p w:rsidR="00891698" w:rsidRPr="00CD6AE6" w:rsidRDefault="00891698" w:rsidP="00C467FF">
            <w:pPr>
              <w:pStyle w:val="NoSpacing"/>
            </w:pPr>
            <w:r w:rsidRPr="00CD6AE6">
              <w:t>El cumplimiento de cláusulas contractuales, con énfasis en las condiciones previas al primer desembolso.</w:t>
            </w:r>
          </w:p>
          <w:p w:rsidR="00891698" w:rsidRPr="00CD6AE6" w:rsidRDefault="00891698" w:rsidP="00C467FF">
            <w:pPr>
              <w:pStyle w:val="NoSpacing"/>
            </w:pPr>
            <w:r w:rsidRPr="00CD6AE6">
              <w:t>La puesta en marcha del Programa y sus acciones iniciales;</w:t>
            </w:r>
          </w:p>
          <w:p w:rsidR="00891698" w:rsidRPr="00CD6AE6" w:rsidRDefault="00857B0B" w:rsidP="00C467FF">
            <w:pPr>
              <w:pStyle w:val="NoSpacing"/>
              <w:rPr>
                <w:bCs/>
                <w:i/>
                <w:iCs/>
              </w:rPr>
            </w:pPr>
            <w:r w:rsidRPr="00CD6AE6">
              <w:t xml:space="preserve">El avance en la implementación del plan de mitigación </w:t>
            </w:r>
            <w:r w:rsidR="00891698" w:rsidRPr="00CD6AE6">
              <w:t>de los riesgos que podrían afectar el Programa</w:t>
            </w:r>
            <w:r w:rsidRPr="00CD6AE6">
              <w:t xml:space="preserve"> (</w:t>
            </w:r>
            <w:r w:rsidR="003376E4" w:rsidRPr="00CD6AE6">
              <w:t>MR</w:t>
            </w:r>
            <w:r w:rsidRPr="00CD6AE6">
              <w:t>).</w:t>
            </w:r>
          </w:p>
        </w:tc>
        <w:tc>
          <w:tcPr>
            <w:tcW w:w="2158" w:type="dxa"/>
            <w:vAlign w:val="center"/>
          </w:tcPr>
          <w:p w:rsidR="00891698" w:rsidRPr="00CD6AE6" w:rsidRDefault="00891698" w:rsidP="00C467FF">
            <w:pPr>
              <w:pStyle w:val="NoSpacing"/>
            </w:pPr>
            <w:r w:rsidRPr="00CD6AE6">
              <w:t xml:space="preserve">Una vez firmado el contrato de préstamo, en fecha a ser acordada con el Prestatario </w:t>
            </w:r>
            <w:r w:rsidR="00981691" w:rsidRPr="00CD6AE6">
              <w:t>y el</w:t>
            </w:r>
            <w:r w:rsidR="00857B0B" w:rsidRPr="00CD6AE6">
              <w:t xml:space="preserve"> organismo ejecutor. </w:t>
            </w:r>
            <w:r w:rsidRPr="00CD6AE6">
              <w:t xml:space="preserve"> </w:t>
            </w:r>
          </w:p>
        </w:tc>
      </w:tr>
      <w:tr w:rsidR="00891698" w:rsidRPr="00CD6AE6" w:rsidTr="00BA3FCD">
        <w:trPr>
          <w:jc w:val="right"/>
        </w:trPr>
        <w:tc>
          <w:tcPr>
            <w:tcW w:w="1440" w:type="dxa"/>
            <w:vAlign w:val="center"/>
          </w:tcPr>
          <w:p w:rsidR="00891698" w:rsidRPr="00CD6AE6" w:rsidRDefault="00891698" w:rsidP="00C467FF">
            <w:pPr>
              <w:pStyle w:val="NoSpacing"/>
            </w:pPr>
            <w:r w:rsidRPr="00CD6AE6">
              <w:t>POA y PA</w:t>
            </w:r>
          </w:p>
        </w:tc>
        <w:tc>
          <w:tcPr>
            <w:tcW w:w="5940" w:type="dxa"/>
            <w:vAlign w:val="center"/>
          </w:tcPr>
          <w:p w:rsidR="00891698" w:rsidRPr="00CD6AE6" w:rsidRDefault="00891698" w:rsidP="00C467FF">
            <w:pPr>
              <w:pStyle w:val="NoSpacing"/>
            </w:pPr>
            <w:r w:rsidRPr="00CD6AE6">
              <w:t>Contendrá:</w:t>
            </w:r>
          </w:p>
          <w:p w:rsidR="00891698" w:rsidRPr="00CD6AE6" w:rsidRDefault="00891698" w:rsidP="00C467FF">
            <w:pPr>
              <w:pStyle w:val="NoSpacing"/>
            </w:pPr>
            <w:r w:rsidRPr="00CD6AE6">
              <w:t xml:space="preserve">La programación de todas las acciones a ser realizadas durante </w:t>
            </w:r>
            <w:r w:rsidRPr="00CD6AE6">
              <w:lastRenderedPageBreak/>
              <w:t>el año (POA).</w:t>
            </w:r>
          </w:p>
          <w:p w:rsidR="00891698" w:rsidRPr="00CD6AE6" w:rsidRDefault="00891698" w:rsidP="00C467FF">
            <w:pPr>
              <w:pStyle w:val="NoSpacing"/>
            </w:pPr>
            <w:r w:rsidRPr="00CD6AE6">
              <w:t xml:space="preserve">El Plan de Adquisiciones para los </w:t>
            </w:r>
            <w:r w:rsidR="00981691" w:rsidRPr="00CD6AE6">
              <w:t>siguientes 24</w:t>
            </w:r>
            <w:r w:rsidRPr="00CD6AE6">
              <w:t xml:space="preserve"> meses.</w:t>
            </w:r>
          </w:p>
          <w:p w:rsidR="00891698" w:rsidRPr="00CD6AE6" w:rsidRDefault="00891698" w:rsidP="00C467FF">
            <w:pPr>
              <w:pStyle w:val="NoSpacing"/>
            </w:pPr>
            <w:r w:rsidRPr="00CD6AE6">
              <w:t xml:space="preserve">La programación financiera y de desembolsos. </w:t>
            </w:r>
          </w:p>
          <w:p w:rsidR="00891698" w:rsidRPr="00CD6AE6" w:rsidRDefault="00891698" w:rsidP="00C467FF">
            <w:pPr>
              <w:pStyle w:val="NoSpacing"/>
            </w:pPr>
            <w:r w:rsidRPr="00CD6AE6">
              <w:t xml:space="preserve">Los principales riesgos identificados y las medidas previstas para mitigarlos (actualización de la </w:t>
            </w:r>
            <w:r w:rsidR="003376E4" w:rsidRPr="00CD6AE6">
              <w:t>MR</w:t>
            </w:r>
            <w:r w:rsidRPr="00CD6AE6">
              <w:t xml:space="preserve">). </w:t>
            </w:r>
          </w:p>
          <w:p w:rsidR="00891698" w:rsidRPr="00CD6AE6" w:rsidRDefault="00891698" w:rsidP="00C467FF">
            <w:pPr>
              <w:pStyle w:val="NoSpacing"/>
              <w:rPr>
                <w:bCs/>
                <w:i/>
                <w:iCs/>
              </w:rPr>
            </w:pPr>
          </w:p>
        </w:tc>
        <w:tc>
          <w:tcPr>
            <w:tcW w:w="2158" w:type="dxa"/>
            <w:vAlign w:val="center"/>
          </w:tcPr>
          <w:p w:rsidR="00891698" w:rsidRPr="00CD6AE6" w:rsidRDefault="00891698" w:rsidP="00C467FF">
            <w:pPr>
              <w:pStyle w:val="NoSpacing"/>
            </w:pPr>
            <w:r w:rsidRPr="00CD6AE6">
              <w:lastRenderedPageBreak/>
              <w:t>POA-</w:t>
            </w:r>
            <w:r w:rsidR="00C816F2" w:rsidRPr="00CD6AE6">
              <w:t>PA-</w:t>
            </w:r>
            <w:r w:rsidR="003376E4" w:rsidRPr="00CD6AE6">
              <w:t>MR</w:t>
            </w:r>
            <w:r w:rsidRPr="00CD6AE6">
              <w:t xml:space="preserve">: </w:t>
            </w:r>
          </w:p>
          <w:p w:rsidR="00891698" w:rsidRPr="00CD6AE6" w:rsidRDefault="002F613E" w:rsidP="00C467FF">
            <w:pPr>
              <w:pStyle w:val="NoSpacing"/>
            </w:pPr>
            <w:r>
              <w:t>31</w:t>
            </w:r>
            <w:r w:rsidR="00891698" w:rsidRPr="00CD6AE6">
              <w:t xml:space="preserve"> de diciembre de </w:t>
            </w:r>
            <w:r w:rsidR="00891698" w:rsidRPr="00CD6AE6">
              <w:lastRenderedPageBreak/>
              <w:t>cada año</w:t>
            </w:r>
          </w:p>
          <w:p w:rsidR="00891698" w:rsidRPr="00CD6AE6" w:rsidRDefault="00891698" w:rsidP="00C467FF">
            <w:pPr>
              <w:pStyle w:val="NoSpacing"/>
            </w:pPr>
          </w:p>
          <w:p w:rsidR="00C816F2" w:rsidRPr="00CD6AE6" w:rsidRDefault="00891698" w:rsidP="00C467FF">
            <w:pPr>
              <w:pStyle w:val="NoSpacing"/>
            </w:pPr>
            <w:r w:rsidRPr="00CD6AE6">
              <w:t xml:space="preserve">PA: </w:t>
            </w:r>
          </w:p>
          <w:p w:rsidR="00891698" w:rsidRPr="00CD6AE6" w:rsidRDefault="00C816F2" w:rsidP="00C467FF">
            <w:pPr>
              <w:pStyle w:val="NoSpacing"/>
            </w:pPr>
            <w:r w:rsidRPr="00CD6AE6">
              <w:t>Complementariamente puede ser actualizado</w:t>
            </w:r>
            <w:r w:rsidR="00891698" w:rsidRPr="00CD6AE6">
              <w:t xml:space="preserve"> cada vez que se requiera un cambio</w:t>
            </w:r>
          </w:p>
        </w:tc>
      </w:tr>
    </w:tbl>
    <w:p w:rsidR="00E10C69" w:rsidRDefault="00E10C69">
      <w:pPr>
        <w:pStyle w:val="Heading1"/>
        <w:sectPr w:rsidR="00E10C69" w:rsidSect="00651E28">
          <w:pgSz w:w="12240" w:h="15840"/>
          <w:pgMar w:top="1417" w:right="1701" w:bottom="1417" w:left="1701" w:header="708" w:footer="708" w:gutter="0"/>
          <w:cols w:space="708"/>
          <w:docGrid w:linePitch="360"/>
        </w:sectPr>
      </w:pPr>
      <w:bookmarkStart w:id="93" w:name="_Toc48461730"/>
      <w:bookmarkStart w:id="94" w:name="_Toc106996775"/>
      <w:bookmarkStart w:id="95" w:name="_Toc108506439"/>
      <w:bookmarkStart w:id="96" w:name="_Toc110493066"/>
      <w:bookmarkStart w:id="97" w:name="_Toc134589635"/>
      <w:bookmarkStart w:id="98" w:name="_Ref143411521"/>
      <w:bookmarkStart w:id="99" w:name="_Toc202247768"/>
    </w:p>
    <w:bookmarkEnd w:id="93"/>
    <w:bookmarkEnd w:id="94"/>
    <w:bookmarkEnd w:id="95"/>
    <w:bookmarkEnd w:id="96"/>
    <w:bookmarkEnd w:id="97"/>
    <w:bookmarkEnd w:id="98"/>
    <w:bookmarkEnd w:id="99"/>
    <w:p w:rsidR="0091360A" w:rsidRPr="00CD6AE6" w:rsidRDefault="0091360A" w:rsidP="00BE1150">
      <w:pPr>
        <w:pStyle w:val="Heading2"/>
      </w:pPr>
      <w:r w:rsidRPr="00CD6AE6">
        <w:lastRenderedPageBreak/>
        <w:t>Instrumentos de monitoreo.</w:t>
      </w:r>
    </w:p>
    <w:p w:rsidR="00891698" w:rsidRPr="00CD6AE6" w:rsidRDefault="00891698" w:rsidP="00C467FF">
      <w:pPr>
        <w:rPr>
          <w:lang w:val="es-UY"/>
        </w:rPr>
      </w:pPr>
      <w:r w:rsidRPr="00CD6AE6">
        <w:rPr>
          <w:lang w:val="es-UY"/>
        </w:rPr>
        <w:t>El seguimiento del Programa se realizará a través de actividades de supervisión periódica, informes de progreso semestral y la revisión del cumplimiento de las acciones de la Matriz de Resultados del Programa y de la Matriz de Mitigación de Riesgos (</w:t>
      </w:r>
      <w:r w:rsidR="003376E4" w:rsidRPr="00CD6AE6">
        <w:rPr>
          <w:lang w:val="es-UY"/>
        </w:rPr>
        <w:t>MR</w:t>
      </w:r>
      <w:r w:rsidRPr="00CD6AE6">
        <w:rPr>
          <w:lang w:val="es-UY"/>
        </w:rPr>
        <w:t>).</w:t>
      </w:r>
    </w:p>
    <w:p w:rsidR="00891698" w:rsidRPr="00CD6AE6" w:rsidRDefault="00891698" w:rsidP="00C467FF">
      <w:pPr>
        <w:jc w:val="center"/>
        <w:rPr>
          <w:b/>
          <w:lang w:val="es-UY"/>
        </w:rPr>
      </w:pPr>
      <w:r w:rsidRPr="00CD6AE6">
        <w:rPr>
          <w:b/>
          <w:lang w:val="es-UY"/>
        </w:rPr>
        <w:t>Cuadro IV-2 Instrumentos de Monitoreo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0" w:type="dxa"/>
          <w:bottom w:w="43" w:type="dxa"/>
          <w:right w:w="70" w:type="dxa"/>
        </w:tblCellMar>
        <w:tblLook w:val="01E0" w:firstRow="1" w:lastRow="1" w:firstColumn="1" w:lastColumn="1" w:noHBand="0" w:noVBand="0"/>
      </w:tblPr>
      <w:tblGrid>
        <w:gridCol w:w="1530"/>
        <w:gridCol w:w="6823"/>
        <w:gridCol w:w="1249"/>
      </w:tblGrid>
      <w:tr w:rsidR="00891698" w:rsidRPr="00CD6AE6" w:rsidTr="00651E28">
        <w:trPr>
          <w:trHeight w:val="284"/>
          <w:tblHeader/>
          <w:jc w:val="center"/>
        </w:trPr>
        <w:tc>
          <w:tcPr>
            <w:tcW w:w="1530" w:type="dxa"/>
            <w:shd w:val="clear" w:color="auto" w:fill="E0E0E0"/>
            <w:vAlign w:val="center"/>
          </w:tcPr>
          <w:p w:rsidR="00891698" w:rsidRPr="00CD6AE6" w:rsidRDefault="00891698" w:rsidP="00853AAB">
            <w:pPr>
              <w:jc w:val="left"/>
              <w:rPr>
                <w:rFonts w:cs="Arial"/>
                <w:b/>
                <w:szCs w:val="20"/>
                <w:lang w:val="es-UY"/>
              </w:rPr>
            </w:pPr>
            <w:r w:rsidRPr="00CD6AE6">
              <w:rPr>
                <w:rFonts w:cs="Arial"/>
                <w:b/>
                <w:szCs w:val="20"/>
                <w:lang w:val="es-UY"/>
              </w:rPr>
              <w:t xml:space="preserve">Instrumento </w:t>
            </w:r>
          </w:p>
        </w:tc>
        <w:tc>
          <w:tcPr>
            <w:tcW w:w="6823" w:type="dxa"/>
            <w:shd w:val="clear" w:color="auto" w:fill="E0E0E0"/>
            <w:vAlign w:val="center"/>
          </w:tcPr>
          <w:p w:rsidR="00891698" w:rsidRPr="00CD6AE6" w:rsidRDefault="00891698" w:rsidP="00D62AD6">
            <w:pPr>
              <w:rPr>
                <w:rFonts w:cs="Arial"/>
                <w:b/>
                <w:szCs w:val="20"/>
                <w:lang w:val="es-UY"/>
              </w:rPr>
            </w:pPr>
            <w:r w:rsidRPr="00CD6AE6">
              <w:rPr>
                <w:rFonts w:cs="Arial"/>
                <w:b/>
                <w:szCs w:val="20"/>
                <w:lang w:val="es-UY"/>
              </w:rPr>
              <w:t>Objetivo</w:t>
            </w:r>
          </w:p>
        </w:tc>
        <w:tc>
          <w:tcPr>
            <w:tcW w:w="1249" w:type="dxa"/>
            <w:shd w:val="clear" w:color="auto" w:fill="E0E0E0"/>
            <w:vAlign w:val="center"/>
          </w:tcPr>
          <w:p w:rsidR="00891698" w:rsidRPr="00CD6AE6" w:rsidRDefault="00891698" w:rsidP="00853AAB">
            <w:pPr>
              <w:jc w:val="center"/>
              <w:rPr>
                <w:rFonts w:cs="Arial"/>
                <w:b/>
                <w:szCs w:val="20"/>
                <w:lang w:val="es-UY"/>
              </w:rPr>
            </w:pPr>
            <w:r w:rsidRPr="00CD6AE6">
              <w:rPr>
                <w:rFonts w:cs="Arial"/>
                <w:b/>
                <w:szCs w:val="20"/>
                <w:lang w:val="es-UY"/>
              </w:rPr>
              <w:t>Plazo</w:t>
            </w:r>
          </w:p>
        </w:tc>
      </w:tr>
      <w:tr w:rsidR="00891698" w:rsidRPr="00CD6AE6" w:rsidTr="00651E28">
        <w:trPr>
          <w:jc w:val="center"/>
        </w:trPr>
        <w:tc>
          <w:tcPr>
            <w:tcW w:w="1530" w:type="dxa"/>
          </w:tcPr>
          <w:p w:rsidR="00891698" w:rsidRPr="00CD6AE6" w:rsidRDefault="00891698" w:rsidP="00853AAB">
            <w:pPr>
              <w:jc w:val="left"/>
              <w:rPr>
                <w:rFonts w:cs="Arial"/>
                <w:szCs w:val="20"/>
                <w:lang w:val="es-UY"/>
              </w:rPr>
            </w:pPr>
            <w:r w:rsidRPr="00CD6AE6">
              <w:rPr>
                <w:rFonts w:cs="Arial"/>
                <w:szCs w:val="20"/>
                <w:lang w:val="es-UY"/>
              </w:rPr>
              <w:t>Revisión Anual Operativa</w:t>
            </w:r>
          </w:p>
        </w:tc>
        <w:tc>
          <w:tcPr>
            <w:tcW w:w="6823" w:type="dxa"/>
          </w:tcPr>
          <w:p w:rsidR="00891698" w:rsidRPr="00CD6AE6" w:rsidRDefault="00891698" w:rsidP="00D4226A">
            <w:pPr>
              <w:pStyle w:val="Paragraph"/>
              <w:numPr>
                <w:ilvl w:val="0"/>
                <w:numId w:val="0"/>
              </w:numPr>
            </w:pPr>
            <w:r w:rsidRPr="00CD6AE6">
              <w:t>La revisión operativa se realizará al inicio del año siguiente, a través de un encuentro, con la participación de la ANEP, el Banco y el Ministerio de Economía y Finanzas (MEF) incluyendo:</w:t>
            </w:r>
          </w:p>
          <w:p w:rsidR="00891698" w:rsidRPr="00CD6AE6" w:rsidRDefault="00891698" w:rsidP="00853AAB">
            <w:pPr>
              <w:pStyle w:val="TOC1"/>
              <w:numPr>
                <w:ilvl w:val="0"/>
                <w:numId w:val="35"/>
              </w:numPr>
              <w:tabs>
                <w:tab w:val="clear" w:pos="540"/>
                <w:tab w:val="left" w:pos="367"/>
              </w:tabs>
              <w:ind w:left="367" w:hanging="270"/>
              <w:rPr>
                <w:lang w:val="es-UY"/>
              </w:rPr>
            </w:pPr>
            <w:r w:rsidRPr="00CD6AE6">
              <w:rPr>
                <w:lang w:val="es-UY"/>
              </w:rPr>
              <w:t>Revisión del grado de avance del Programa en términos del cumplimiento de las metas del marco de resultados, del POA del año anterior, del Plan de Adquisiciones y del PEP y acuerdo de la propuesta para el ejercicio que se inicia. El análisis se realizará en términos de productos y</w:t>
            </w:r>
            <w:r w:rsidR="00C816F2" w:rsidRPr="00CD6AE6">
              <w:rPr>
                <w:lang w:val="es-UY"/>
              </w:rPr>
              <w:t xml:space="preserve"> avances en los resultados finales.</w:t>
            </w:r>
          </w:p>
          <w:p w:rsidR="00891698" w:rsidRPr="00CD6AE6" w:rsidRDefault="00891698" w:rsidP="00853AAB">
            <w:pPr>
              <w:pStyle w:val="TOC1"/>
              <w:numPr>
                <w:ilvl w:val="0"/>
                <w:numId w:val="35"/>
              </w:numPr>
              <w:tabs>
                <w:tab w:val="clear" w:pos="540"/>
                <w:tab w:val="left" w:pos="367"/>
              </w:tabs>
              <w:ind w:left="367" w:hanging="270"/>
              <w:rPr>
                <w:lang w:val="es-UY"/>
              </w:rPr>
            </w:pPr>
            <w:r w:rsidRPr="00CD6AE6">
              <w:rPr>
                <w:lang w:val="es-UY"/>
              </w:rPr>
              <w:t xml:space="preserve">Análisis de la gestión operativa (ej.: compromisos </w:t>
            </w:r>
            <w:r w:rsidR="00981691" w:rsidRPr="00CD6AE6">
              <w:rPr>
                <w:lang w:val="es-UY"/>
              </w:rPr>
              <w:t>contractuales; procesos</w:t>
            </w:r>
            <w:r w:rsidRPr="00CD6AE6">
              <w:rPr>
                <w:lang w:val="es-UY"/>
              </w:rPr>
              <w:t xml:space="preserve"> de adquisiciones</w:t>
            </w:r>
            <w:r w:rsidR="00C816F2" w:rsidRPr="00CD6AE6">
              <w:rPr>
                <w:lang w:val="es-UY"/>
              </w:rPr>
              <w:t xml:space="preserve">; </w:t>
            </w:r>
            <w:r w:rsidRPr="00CD6AE6">
              <w:rPr>
                <w:lang w:val="es-UY"/>
              </w:rPr>
              <w:t>desembolsos</w:t>
            </w:r>
            <w:r w:rsidR="00C816F2" w:rsidRPr="00CD6AE6">
              <w:rPr>
                <w:lang w:val="es-UY"/>
              </w:rPr>
              <w:t xml:space="preserve"> previstos y realizados</w:t>
            </w:r>
            <w:r w:rsidRPr="00CD6AE6">
              <w:rPr>
                <w:lang w:val="es-UY"/>
              </w:rPr>
              <w:t>; coordinación intrainstitucional; seguimiento de acuerdos).</w:t>
            </w:r>
          </w:p>
          <w:p w:rsidR="00891698" w:rsidRPr="00CD6AE6" w:rsidRDefault="00891698" w:rsidP="00853AAB">
            <w:pPr>
              <w:pStyle w:val="TOC1"/>
              <w:numPr>
                <w:ilvl w:val="0"/>
                <w:numId w:val="35"/>
              </w:numPr>
              <w:tabs>
                <w:tab w:val="clear" w:pos="540"/>
                <w:tab w:val="left" w:pos="367"/>
              </w:tabs>
              <w:ind w:left="367" w:hanging="270"/>
              <w:rPr>
                <w:lang w:val="es-UY"/>
              </w:rPr>
            </w:pPr>
            <w:r w:rsidRPr="00CD6AE6">
              <w:rPr>
                <w:lang w:val="es-UY"/>
              </w:rPr>
              <w:t xml:space="preserve">Identificación de riesgos, problemas y desvíos en base a la </w:t>
            </w:r>
            <w:r w:rsidR="003376E4" w:rsidRPr="00CD6AE6">
              <w:rPr>
                <w:lang w:val="es-UY"/>
              </w:rPr>
              <w:t>MR</w:t>
            </w:r>
            <w:r w:rsidRPr="00CD6AE6">
              <w:rPr>
                <w:lang w:val="es-UY"/>
              </w:rPr>
              <w:t xml:space="preserve"> vigente.</w:t>
            </w:r>
          </w:p>
          <w:p w:rsidR="00891698" w:rsidRPr="00CD6AE6" w:rsidRDefault="00891698" w:rsidP="00853AAB">
            <w:pPr>
              <w:pStyle w:val="TOC1"/>
              <w:numPr>
                <w:ilvl w:val="0"/>
                <w:numId w:val="35"/>
              </w:numPr>
              <w:tabs>
                <w:tab w:val="clear" w:pos="540"/>
                <w:tab w:val="left" w:pos="367"/>
              </w:tabs>
              <w:ind w:left="367" w:hanging="270"/>
              <w:rPr>
                <w:lang w:val="es-UY"/>
              </w:rPr>
            </w:pPr>
            <w:r w:rsidRPr="00CD6AE6">
              <w:rPr>
                <w:lang w:val="es-UY"/>
              </w:rPr>
              <w:t>Análisis de la asignación presupuestaria del Programa, para el año que se evalúa y para el año que se inicia.</w:t>
            </w:r>
          </w:p>
          <w:p w:rsidR="00891698" w:rsidRPr="00CD6AE6" w:rsidRDefault="00891698" w:rsidP="00853AAB">
            <w:pPr>
              <w:pStyle w:val="TOC1"/>
              <w:numPr>
                <w:ilvl w:val="0"/>
                <w:numId w:val="35"/>
              </w:numPr>
              <w:tabs>
                <w:tab w:val="clear" w:pos="540"/>
                <w:tab w:val="left" w:pos="367"/>
              </w:tabs>
              <w:ind w:left="367" w:hanging="270"/>
              <w:rPr>
                <w:lang w:val="es-UY"/>
              </w:rPr>
            </w:pPr>
            <w:r w:rsidRPr="00CD6AE6">
              <w:rPr>
                <w:lang w:val="es-UY"/>
              </w:rPr>
              <w:t>Lecciones aprendidas.</w:t>
            </w:r>
          </w:p>
          <w:p w:rsidR="00891698" w:rsidRPr="00CD6AE6" w:rsidRDefault="00891698" w:rsidP="00D62AD6">
            <w:pPr>
              <w:pStyle w:val="TimesNewRoman10pt"/>
              <w:rPr>
                <w:rFonts w:cs="Arial"/>
                <w:sz w:val="20"/>
                <w:szCs w:val="20"/>
                <w:lang w:val="es-UY"/>
              </w:rPr>
            </w:pPr>
            <w:r w:rsidRPr="00CD6AE6">
              <w:rPr>
                <w:rFonts w:cs="Arial"/>
                <w:sz w:val="20"/>
                <w:szCs w:val="20"/>
                <w:lang w:val="es-UY"/>
              </w:rPr>
              <w:t>A efectos de apoyar las revisiones anuales, se utilizará la Matriz de Resultados, el último informe semestral de progreso, el PEP y el POA y Plan de Adquisiciones del año corriente. Los resultados de esta evaluación serán incorporados posteriormente en las evaluaciones del Programa.</w:t>
            </w:r>
          </w:p>
        </w:tc>
        <w:tc>
          <w:tcPr>
            <w:tcW w:w="1249" w:type="dxa"/>
          </w:tcPr>
          <w:p w:rsidR="00891698" w:rsidRPr="00CD6AE6" w:rsidRDefault="00891698" w:rsidP="00853AAB">
            <w:pPr>
              <w:pStyle w:val="TimesNewRoman10pt"/>
              <w:jc w:val="center"/>
              <w:rPr>
                <w:rFonts w:cs="Arial"/>
                <w:sz w:val="20"/>
                <w:szCs w:val="20"/>
                <w:lang w:val="es-UY"/>
              </w:rPr>
            </w:pPr>
            <w:r w:rsidRPr="00CD6AE6">
              <w:rPr>
                <w:rFonts w:cs="Arial"/>
                <w:sz w:val="20"/>
                <w:szCs w:val="20"/>
                <w:lang w:val="es-UY"/>
              </w:rPr>
              <w:t>Antes del 3</w:t>
            </w:r>
            <w:r w:rsidR="00161069">
              <w:rPr>
                <w:rFonts w:cs="Arial"/>
                <w:sz w:val="20"/>
                <w:szCs w:val="20"/>
                <w:lang w:val="es-UY"/>
              </w:rPr>
              <w:t>0</w:t>
            </w:r>
            <w:r w:rsidRPr="00CD6AE6">
              <w:rPr>
                <w:rFonts w:cs="Arial"/>
                <w:sz w:val="20"/>
                <w:szCs w:val="20"/>
                <w:lang w:val="es-UY"/>
              </w:rPr>
              <w:t xml:space="preserve"> de </w:t>
            </w:r>
            <w:r w:rsidR="00161069">
              <w:rPr>
                <w:rFonts w:cs="Arial"/>
                <w:sz w:val="20"/>
                <w:szCs w:val="20"/>
                <w:lang w:val="es-UY"/>
              </w:rPr>
              <w:t xml:space="preserve">abril </w:t>
            </w:r>
            <w:r w:rsidRPr="00CD6AE6">
              <w:rPr>
                <w:rFonts w:cs="Arial"/>
                <w:sz w:val="20"/>
                <w:szCs w:val="20"/>
                <w:lang w:val="es-UY"/>
              </w:rPr>
              <w:t>de cada año</w:t>
            </w:r>
          </w:p>
        </w:tc>
      </w:tr>
      <w:tr w:rsidR="00891698" w:rsidRPr="00CD6AE6" w:rsidTr="00651E28">
        <w:trPr>
          <w:jc w:val="center"/>
        </w:trPr>
        <w:tc>
          <w:tcPr>
            <w:tcW w:w="1530" w:type="dxa"/>
          </w:tcPr>
          <w:p w:rsidR="00891698" w:rsidRPr="00CD6AE6" w:rsidRDefault="00891698" w:rsidP="00853AAB">
            <w:pPr>
              <w:jc w:val="left"/>
              <w:rPr>
                <w:rFonts w:cs="Arial"/>
                <w:szCs w:val="20"/>
                <w:lang w:val="es-UY"/>
              </w:rPr>
            </w:pPr>
            <w:r w:rsidRPr="00CD6AE6">
              <w:rPr>
                <w:rFonts w:cs="Arial"/>
                <w:szCs w:val="20"/>
                <w:lang w:val="es-UY"/>
              </w:rPr>
              <w:t>Supervisión Periódica</w:t>
            </w:r>
          </w:p>
        </w:tc>
        <w:tc>
          <w:tcPr>
            <w:tcW w:w="6823" w:type="dxa"/>
          </w:tcPr>
          <w:p w:rsidR="00891698" w:rsidRPr="00CD6AE6" w:rsidRDefault="00891698" w:rsidP="00D62AD6">
            <w:pPr>
              <w:pStyle w:val="TimesNewRoman10pt"/>
              <w:rPr>
                <w:rFonts w:cs="Arial"/>
                <w:sz w:val="20"/>
                <w:szCs w:val="20"/>
                <w:lang w:val="es-UY"/>
              </w:rPr>
            </w:pPr>
            <w:r w:rsidRPr="00CD6AE6">
              <w:rPr>
                <w:rFonts w:cs="Arial"/>
                <w:sz w:val="20"/>
                <w:szCs w:val="20"/>
                <w:lang w:val="es-UY"/>
              </w:rPr>
              <w:t>Incluye: reuniones periódicas BID-ANEP; visitas de evaluación institucional/financiera; visitas al terreno; elegibilidad de las actividades; revisión de informes de salida del sistema de monitoreo respecto al cumplimiento de compromisos, avances en ejecución; revisión de contenidos de la página WEB del Programa; revisión de procesos de adquisiciones; y revisión de solicitudes de desembolsos, entre otros.</w:t>
            </w:r>
          </w:p>
          <w:p w:rsidR="00891698" w:rsidRPr="00CD6AE6" w:rsidRDefault="00891698" w:rsidP="00D62AD6">
            <w:pPr>
              <w:pStyle w:val="TimesNewRoman10pt"/>
              <w:rPr>
                <w:rFonts w:cs="Arial"/>
                <w:sz w:val="20"/>
                <w:szCs w:val="20"/>
                <w:lang w:val="es-UY"/>
              </w:rPr>
            </w:pPr>
            <w:r w:rsidRPr="00CD6AE6">
              <w:rPr>
                <w:rFonts w:cs="Arial"/>
                <w:sz w:val="20"/>
                <w:szCs w:val="20"/>
                <w:lang w:val="es-UY"/>
              </w:rPr>
              <w:t xml:space="preserve">Su objetivo es asegurar el cumplimiento de aspectos técnicos, contractuales y de los plazos del Programa, en particular en lo referente a: </w:t>
            </w:r>
          </w:p>
          <w:p w:rsidR="00891698" w:rsidRPr="00CD6AE6" w:rsidRDefault="00891698" w:rsidP="00BA3FCD">
            <w:pPr>
              <w:pStyle w:val="TOC1"/>
              <w:numPr>
                <w:ilvl w:val="0"/>
                <w:numId w:val="34"/>
              </w:numPr>
              <w:contextualSpacing/>
              <w:rPr>
                <w:lang w:val="es-UY"/>
              </w:rPr>
            </w:pPr>
            <w:r w:rsidRPr="00CD6AE6">
              <w:rPr>
                <w:lang w:val="es-UY"/>
              </w:rPr>
              <w:t>Criterios de elegibilidad, declaración de elegibilidad y evidencia de documentación de respaldo.</w:t>
            </w:r>
          </w:p>
          <w:p w:rsidR="00891698" w:rsidRPr="00CD6AE6" w:rsidRDefault="00891698" w:rsidP="00BA3FCD">
            <w:pPr>
              <w:pStyle w:val="TOC1"/>
              <w:numPr>
                <w:ilvl w:val="0"/>
                <w:numId w:val="34"/>
              </w:numPr>
              <w:contextualSpacing/>
              <w:rPr>
                <w:lang w:val="es-UY"/>
              </w:rPr>
            </w:pPr>
            <w:r w:rsidRPr="00CD6AE6">
              <w:rPr>
                <w:lang w:val="es-UY"/>
              </w:rPr>
              <w:t xml:space="preserve">Evolución de indicadores de productos y resultados intermedios y finales. </w:t>
            </w:r>
          </w:p>
          <w:p w:rsidR="00891698" w:rsidRPr="00CD6AE6" w:rsidRDefault="00891698" w:rsidP="00BA3FCD">
            <w:pPr>
              <w:pStyle w:val="TOC1"/>
              <w:numPr>
                <w:ilvl w:val="0"/>
                <w:numId w:val="34"/>
              </w:numPr>
              <w:contextualSpacing/>
              <w:rPr>
                <w:lang w:val="es-UY"/>
              </w:rPr>
            </w:pPr>
            <w:r w:rsidRPr="00CD6AE6">
              <w:rPr>
                <w:lang w:val="es-UY"/>
              </w:rPr>
              <w:t>Cumplimiento de políticas, normas y procedimientos del BID, incluidos los de adquisiciones.</w:t>
            </w:r>
          </w:p>
          <w:p w:rsidR="00891698" w:rsidRPr="00CD6AE6" w:rsidRDefault="00891698" w:rsidP="00BA3FCD">
            <w:pPr>
              <w:pStyle w:val="TOC1"/>
              <w:numPr>
                <w:ilvl w:val="0"/>
                <w:numId w:val="34"/>
              </w:numPr>
              <w:contextualSpacing/>
              <w:rPr>
                <w:lang w:val="es-UY"/>
              </w:rPr>
            </w:pPr>
            <w:r w:rsidRPr="00CD6AE6">
              <w:rPr>
                <w:lang w:val="es-UY"/>
              </w:rPr>
              <w:t>Actualización de registros contables.</w:t>
            </w:r>
          </w:p>
          <w:p w:rsidR="00891698" w:rsidRPr="00CD6AE6" w:rsidRDefault="00891698" w:rsidP="00BA3FCD">
            <w:pPr>
              <w:pStyle w:val="TOC1"/>
              <w:numPr>
                <w:ilvl w:val="0"/>
                <w:numId w:val="34"/>
              </w:numPr>
              <w:contextualSpacing/>
              <w:rPr>
                <w:lang w:val="es-UY"/>
              </w:rPr>
            </w:pPr>
            <w:r w:rsidRPr="00CD6AE6">
              <w:rPr>
                <w:lang w:val="es-UY"/>
              </w:rPr>
              <w:t>Revisión de sistemas de control interno.</w:t>
            </w:r>
          </w:p>
          <w:p w:rsidR="00891698" w:rsidRPr="00CD6AE6" w:rsidRDefault="00891698" w:rsidP="00BA3FCD">
            <w:pPr>
              <w:pStyle w:val="TOC1"/>
              <w:numPr>
                <w:ilvl w:val="0"/>
                <w:numId w:val="34"/>
              </w:numPr>
              <w:contextualSpacing/>
              <w:rPr>
                <w:lang w:val="es-UY"/>
              </w:rPr>
            </w:pPr>
            <w:r w:rsidRPr="00CD6AE6">
              <w:rPr>
                <w:lang w:val="es-UY"/>
              </w:rPr>
              <w:t>Cumplimiento de las recomendaciones del Auditor Externo.</w:t>
            </w:r>
          </w:p>
          <w:p w:rsidR="00891698" w:rsidRPr="00CD6AE6" w:rsidRDefault="00891698" w:rsidP="00BA3FCD">
            <w:pPr>
              <w:pStyle w:val="TOC1"/>
              <w:numPr>
                <w:ilvl w:val="0"/>
                <w:numId w:val="34"/>
              </w:numPr>
              <w:contextualSpacing/>
              <w:rPr>
                <w:lang w:val="es-UY"/>
              </w:rPr>
            </w:pPr>
            <w:r w:rsidRPr="00CD6AE6">
              <w:rPr>
                <w:lang w:val="es-UY"/>
              </w:rPr>
              <w:t>Revisión de contratos, informes finales, evaluaciones de desempeño.</w:t>
            </w:r>
          </w:p>
          <w:p w:rsidR="00891698" w:rsidRPr="00CD6AE6" w:rsidRDefault="00891698" w:rsidP="00BA3FCD">
            <w:pPr>
              <w:pStyle w:val="TOC1"/>
              <w:numPr>
                <w:ilvl w:val="0"/>
                <w:numId w:val="34"/>
              </w:numPr>
              <w:contextualSpacing/>
              <w:rPr>
                <w:lang w:val="es-UY"/>
              </w:rPr>
            </w:pPr>
            <w:r w:rsidRPr="00CD6AE6">
              <w:rPr>
                <w:lang w:val="es-UY"/>
              </w:rPr>
              <w:t>Cumplimiento de cláusulas contractuales.</w:t>
            </w:r>
          </w:p>
          <w:p w:rsidR="00891698" w:rsidRPr="00CD6AE6" w:rsidRDefault="00891698" w:rsidP="00BA3FCD">
            <w:pPr>
              <w:pStyle w:val="TOC1"/>
              <w:numPr>
                <w:ilvl w:val="0"/>
                <w:numId w:val="34"/>
              </w:numPr>
              <w:contextualSpacing/>
              <w:rPr>
                <w:lang w:val="es-UY"/>
              </w:rPr>
            </w:pPr>
            <w:r w:rsidRPr="00CD6AE6">
              <w:rPr>
                <w:lang w:val="es-UY"/>
              </w:rPr>
              <w:lastRenderedPageBreak/>
              <w:t xml:space="preserve">Implementación de acciones de la </w:t>
            </w:r>
            <w:r w:rsidR="003376E4" w:rsidRPr="00CD6AE6">
              <w:rPr>
                <w:lang w:val="es-UY"/>
              </w:rPr>
              <w:t>MR</w:t>
            </w:r>
            <w:r w:rsidRPr="00CD6AE6">
              <w:rPr>
                <w:lang w:val="es-UY"/>
              </w:rPr>
              <w:t xml:space="preserve">. </w:t>
            </w:r>
          </w:p>
          <w:p w:rsidR="00891698" w:rsidRPr="00CD6AE6" w:rsidRDefault="00891698" w:rsidP="00BA3FCD">
            <w:pPr>
              <w:pStyle w:val="TOC1"/>
              <w:numPr>
                <w:ilvl w:val="0"/>
                <w:numId w:val="34"/>
              </w:numPr>
              <w:contextualSpacing/>
              <w:rPr>
                <w:lang w:val="es-UY"/>
              </w:rPr>
            </w:pPr>
            <w:r w:rsidRPr="00CD6AE6">
              <w:rPr>
                <w:lang w:val="es-UY"/>
              </w:rPr>
              <w:t>Avances en la ejecución del POA y del Plan de Adquisiciones.</w:t>
            </w:r>
          </w:p>
          <w:p w:rsidR="00891698" w:rsidRPr="00CD6AE6" w:rsidRDefault="00891698" w:rsidP="00BA3FCD">
            <w:pPr>
              <w:pStyle w:val="TOC1"/>
              <w:numPr>
                <w:ilvl w:val="0"/>
                <w:numId w:val="34"/>
              </w:numPr>
              <w:contextualSpacing/>
              <w:rPr>
                <w:lang w:val="es-UY"/>
              </w:rPr>
            </w:pPr>
            <w:r w:rsidRPr="00CD6AE6">
              <w:rPr>
                <w:lang w:val="es-UY"/>
              </w:rPr>
              <w:t>Cumplimiento de la programación financiera y de desembolsos.</w:t>
            </w:r>
          </w:p>
        </w:tc>
        <w:tc>
          <w:tcPr>
            <w:tcW w:w="1249" w:type="dxa"/>
          </w:tcPr>
          <w:p w:rsidR="00891698" w:rsidRPr="00CD6AE6" w:rsidRDefault="00891698" w:rsidP="00853AAB">
            <w:pPr>
              <w:pStyle w:val="TimesNewRoman10pt"/>
              <w:jc w:val="center"/>
              <w:rPr>
                <w:rFonts w:cs="Arial"/>
                <w:sz w:val="20"/>
                <w:szCs w:val="20"/>
                <w:lang w:val="es-UY"/>
              </w:rPr>
            </w:pPr>
            <w:r w:rsidRPr="00CD6AE6">
              <w:rPr>
                <w:rFonts w:cs="Arial"/>
                <w:sz w:val="20"/>
                <w:szCs w:val="20"/>
                <w:lang w:val="es-UY"/>
              </w:rPr>
              <w:lastRenderedPageBreak/>
              <w:t>Continua</w:t>
            </w:r>
          </w:p>
        </w:tc>
      </w:tr>
      <w:tr w:rsidR="00891698" w:rsidRPr="00CD6AE6" w:rsidTr="00651E28">
        <w:trPr>
          <w:jc w:val="center"/>
        </w:trPr>
        <w:tc>
          <w:tcPr>
            <w:tcW w:w="1530" w:type="dxa"/>
          </w:tcPr>
          <w:p w:rsidR="00891698" w:rsidRPr="00CD6AE6" w:rsidRDefault="003376E4" w:rsidP="00853AAB">
            <w:pPr>
              <w:pStyle w:val="TimesNewRoman10pt"/>
              <w:jc w:val="left"/>
              <w:rPr>
                <w:rFonts w:cs="Arial"/>
                <w:sz w:val="20"/>
                <w:szCs w:val="20"/>
                <w:lang w:val="es-UY"/>
              </w:rPr>
            </w:pPr>
            <w:r w:rsidRPr="00CD6AE6">
              <w:rPr>
                <w:rFonts w:cs="Arial"/>
                <w:sz w:val="20"/>
                <w:szCs w:val="20"/>
                <w:lang w:val="es-UY"/>
              </w:rPr>
              <w:lastRenderedPageBreak/>
              <w:t>MR</w:t>
            </w:r>
          </w:p>
        </w:tc>
        <w:tc>
          <w:tcPr>
            <w:tcW w:w="6823" w:type="dxa"/>
          </w:tcPr>
          <w:p w:rsidR="00891698" w:rsidRPr="00CD6AE6" w:rsidRDefault="00891698" w:rsidP="00D4226A">
            <w:pPr>
              <w:pStyle w:val="Paragraph"/>
              <w:numPr>
                <w:ilvl w:val="0"/>
                <w:numId w:val="0"/>
              </w:numPr>
            </w:pPr>
            <w:r w:rsidRPr="00CD6AE6">
              <w:t>La ANEP</w:t>
            </w:r>
            <w:r w:rsidR="00C816F2" w:rsidRPr="00CD6AE6">
              <w:t xml:space="preserve"> y el Banco</w:t>
            </w:r>
            <w:r w:rsidRPr="00CD6AE6">
              <w:t xml:space="preserve"> identificará</w:t>
            </w:r>
            <w:r w:rsidR="00C816F2" w:rsidRPr="00CD6AE6">
              <w:t>n</w:t>
            </w:r>
            <w:r w:rsidRPr="00CD6AE6">
              <w:t xml:space="preserve"> los factores de riesgo que enfrente el Programa</w:t>
            </w:r>
            <w:r w:rsidR="00C816F2" w:rsidRPr="00CD6AE6">
              <w:t xml:space="preserve">. La ANEP </w:t>
            </w:r>
            <w:r w:rsidRPr="00CD6AE6">
              <w:t xml:space="preserve">propondrá al Banco acciones correctivas que serán parte de la </w:t>
            </w:r>
            <w:r w:rsidR="003376E4" w:rsidRPr="00CD6AE6">
              <w:t>MR</w:t>
            </w:r>
            <w:r w:rsidRPr="00CD6AE6">
              <w:t xml:space="preserve">. La revisión de la </w:t>
            </w:r>
            <w:r w:rsidR="003376E4" w:rsidRPr="00CD6AE6">
              <w:t>MR</w:t>
            </w:r>
            <w:r w:rsidRPr="00CD6AE6">
              <w:t xml:space="preserve"> se presentará y acordará junto con el POA de cada año. La </w:t>
            </w:r>
            <w:r w:rsidR="003376E4" w:rsidRPr="00CD6AE6">
              <w:t>MR</w:t>
            </w:r>
            <w:r w:rsidRPr="00CD6AE6">
              <w:t xml:space="preserve"> inicial se incluye como </w:t>
            </w:r>
            <w:r w:rsidRPr="00CD6AE6">
              <w:rPr>
                <w:b/>
                <w:bCs/>
                <w:color w:val="0000FF"/>
                <w:u w:val="single"/>
              </w:rPr>
              <w:t>Anexo III</w:t>
            </w:r>
            <w:r w:rsidRPr="00CD6AE6">
              <w:rPr>
                <w:b/>
                <w:bCs/>
              </w:rPr>
              <w:t xml:space="preserve"> </w:t>
            </w:r>
            <w:r w:rsidRPr="00CD6AE6">
              <w:t>de este RO.</w:t>
            </w:r>
          </w:p>
        </w:tc>
        <w:tc>
          <w:tcPr>
            <w:tcW w:w="1249" w:type="dxa"/>
          </w:tcPr>
          <w:p w:rsidR="00891698" w:rsidRPr="00CD6AE6" w:rsidRDefault="00891698" w:rsidP="00853AAB">
            <w:pPr>
              <w:pStyle w:val="TimesNewRoman10pt"/>
              <w:jc w:val="center"/>
              <w:rPr>
                <w:rFonts w:cs="Arial"/>
                <w:sz w:val="20"/>
                <w:szCs w:val="20"/>
                <w:lang w:val="es-UY"/>
              </w:rPr>
            </w:pPr>
            <w:r w:rsidRPr="00CD6AE6">
              <w:rPr>
                <w:rFonts w:cs="Arial"/>
                <w:sz w:val="20"/>
                <w:szCs w:val="20"/>
                <w:lang w:val="es-UY"/>
              </w:rPr>
              <w:t xml:space="preserve">Antes del </w:t>
            </w:r>
            <w:r w:rsidR="002F613E">
              <w:rPr>
                <w:rFonts w:cs="Arial"/>
                <w:sz w:val="20"/>
                <w:szCs w:val="20"/>
                <w:lang w:val="es-UY"/>
              </w:rPr>
              <w:t>3</w:t>
            </w:r>
            <w:r w:rsidRPr="00CD6AE6">
              <w:rPr>
                <w:rFonts w:cs="Arial"/>
                <w:sz w:val="20"/>
                <w:szCs w:val="20"/>
                <w:lang w:val="es-UY"/>
              </w:rPr>
              <w:t>1 de diciembre de cada año</w:t>
            </w:r>
          </w:p>
        </w:tc>
      </w:tr>
      <w:tr w:rsidR="00891698" w:rsidRPr="00CD6AE6" w:rsidTr="00651E28">
        <w:trPr>
          <w:jc w:val="center"/>
        </w:trPr>
        <w:tc>
          <w:tcPr>
            <w:tcW w:w="1530" w:type="dxa"/>
          </w:tcPr>
          <w:p w:rsidR="00891698" w:rsidRPr="00CD6AE6" w:rsidRDefault="00891698" w:rsidP="00853AAB">
            <w:pPr>
              <w:pStyle w:val="TimesNewRoman10pt"/>
              <w:jc w:val="left"/>
              <w:rPr>
                <w:rFonts w:cs="Arial"/>
                <w:sz w:val="20"/>
                <w:szCs w:val="20"/>
                <w:lang w:val="es-UY"/>
              </w:rPr>
            </w:pPr>
            <w:r w:rsidRPr="00CD6AE6">
              <w:rPr>
                <w:rFonts w:cs="Arial"/>
                <w:sz w:val="20"/>
                <w:szCs w:val="20"/>
                <w:lang w:val="es-UY"/>
              </w:rPr>
              <w:t>Informe de Progreso Semestral</w:t>
            </w:r>
          </w:p>
        </w:tc>
        <w:tc>
          <w:tcPr>
            <w:tcW w:w="6823" w:type="dxa"/>
          </w:tcPr>
          <w:p w:rsidR="00891698" w:rsidRPr="00CD6AE6" w:rsidRDefault="00891698" w:rsidP="00D4226A">
            <w:pPr>
              <w:pStyle w:val="Paragraph"/>
              <w:numPr>
                <w:ilvl w:val="0"/>
                <w:numId w:val="0"/>
              </w:numPr>
            </w:pPr>
            <w:r w:rsidRPr="00CD6AE6">
              <w:t xml:space="preserve">La ANEP elaborará los informes siguiendo el modelo que se acuerde con el Banco en el Taller de Inicio del Programa. </w:t>
            </w:r>
            <w:r w:rsidR="00C816F2" w:rsidRPr="00CD6AE6">
              <w:rPr>
                <w:u w:val="single"/>
              </w:rPr>
              <w:t>El Banco propondrá dicho modelo</w:t>
            </w:r>
            <w:r w:rsidR="00C816F2" w:rsidRPr="00CD6AE6">
              <w:t xml:space="preserve">. </w:t>
            </w:r>
            <w:r w:rsidRPr="00CD6AE6">
              <w:t>Considerará los avances logrados respecto de lo previsto en el PEP, en el POA, en el Plan de Adquisiciones y en el avance de las metas de productos y resultados de la matriz de resultados</w:t>
            </w:r>
            <w:r w:rsidR="00C816F2" w:rsidRPr="00CD6AE6">
              <w:t xml:space="preserve">, así como en sus costos y en </w:t>
            </w:r>
            <w:r w:rsidRPr="00CD6AE6">
              <w:t xml:space="preserve">los obstáculos encontrados y acciones correctivas instrumentadas. </w:t>
            </w:r>
          </w:p>
        </w:tc>
        <w:tc>
          <w:tcPr>
            <w:tcW w:w="1249" w:type="dxa"/>
          </w:tcPr>
          <w:p w:rsidR="00891698" w:rsidRPr="00CD6AE6" w:rsidRDefault="00891698" w:rsidP="00853AAB">
            <w:pPr>
              <w:pStyle w:val="TimesNewRoman10pt"/>
              <w:jc w:val="center"/>
              <w:rPr>
                <w:rFonts w:cs="Arial"/>
                <w:sz w:val="20"/>
                <w:szCs w:val="20"/>
                <w:lang w:val="es-UY"/>
              </w:rPr>
            </w:pPr>
            <w:r w:rsidRPr="00CD6AE6">
              <w:rPr>
                <w:rFonts w:cs="Arial"/>
                <w:sz w:val="20"/>
                <w:szCs w:val="20"/>
                <w:lang w:val="es-UY"/>
              </w:rPr>
              <w:t>28 de febrero y 31 de agosto de cada año</w:t>
            </w:r>
          </w:p>
        </w:tc>
      </w:tr>
      <w:tr w:rsidR="00891698" w:rsidRPr="00CD6AE6" w:rsidTr="00651E28">
        <w:trPr>
          <w:jc w:val="center"/>
        </w:trPr>
        <w:tc>
          <w:tcPr>
            <w:tcW w:w="1530" w:type="dxa"/>
          </w:tcPr>
          <w:p w:rsidR="00891698" w:rsidRPr="00CD6AE6" w:rsidRDefault="00981691" w:rsidP="00853AAB">
            <w:pPr>
              <w:pStyle w:val="TimesNewRoman10pt"/>
              <w:jc w:val="left"/>
              <w:rPr>
                <w:rFonts w:cs="Arial"/>
                <w:sz w:val="20"/>
                <w:szCs w:val="20"/>
                <w:lang w:val="es-UY"/>
              </w:rPr>
            </w:pPr>
            <w:r w:rsidRPr="00CD6AE6">
              <w:rPr>
                <w:rFonts w:cs="Arial"/>
                <w:sz w:val="20"/>
                <w:szCs w:val="20"/>
                <w:lang w:val="es-UY"/>
              </w:rPr>
              <w:t>Último</w:t>
            </w:r>
            <w:r w:rsidR="00891698" w:rsidRPr="00CD6AE6">
              <w:rPr>
                <w:rFonts w:cs="Arial"/>
                <w:sz w:val="20"/>
                <w:szCs w:val="20"/>
                <w:lang w:val="es-UY"/>
              </w:rPr>
              <w:t xml:space="preserve"> Informe Semestral de Progreso del Programa</w:t>
            </w:r>
          </w:p>
        </w:tc>
        <w:tc>
          <w:tcPr>
            <w:tcW w:w="6823" w:type="dxa"/>
          </w:tcPr>
          <w:p w:rsidR="00891698" w:rsidRPr="00CD6AE6" w:rsidRDefault="00891698" w:rsidP="00D4226A">
            <w:pPr>
              <w:pStyle w:val="Paragraph"/>
              <w:numPr>
                <w:ilvl w:val="0"/>
                <w:numId w:val="0"/>
              </w:numPr>
            </w:pPr>
            <w:r w:rsidRPr="00CD6AE6">
              <w:t>Medirá y analizará la calidad y efectividad de los resultados alcanzados, en función de los indicadores del objetivo de desarrollo definidos en el MR. Incluirá un informe de:</w:t>
            </w:r>
          </w:p>
          <w:p w:rsidR="00891698" w:rsidRPr="00CD6AE6" w:rsidRDefault="00891698" w:rsidP="00853AAB">
            <w:pPr>
              <w:pStyle w:val="TOC1"/>
              <w:numPr>
                <w:ilvl w:val="0"/>
                <w:numId w:val="37"/>
              </w:numPr>
              <w:rPr>
                <w:lang w:val="es-UY"/>
              </w:rPr>
            </w:pPr>
            <w:r w:rsidRPr="00CD6AE6">
              <w:rPr>
                <w:lang w:val="es-UY"/>
              </w:rPr>
              <w:t>Los indicadores de resultados inmediatos del Programa y perspectiva de los beneficiarios.</w:t>
            </w:r>
          </w:p>
          <w:p w:rsidR="00891698" w:rsidRPr="00CD6AE6" w:rsidRDefault="00891698" w:rsidP="00853AAB">
            <w:pPr>
              <w:pStyle w:val="TOC1"/>
              <w:numPr>
                <w:ilvl w:val="0"/>
                <w:numId w:val="37"/>
              </w:numPr>
              <w:rPr>
                <w:lang w:val="es-UY"/>
              </w:rPr>
            </w:pPr>
            <w:r w:rsidRPr="00CD6AE6">
              <w:rPr>
                <w:lang w:val="es-UY"/>
              </w:rPr>
              <w:t>La sustentabilidad de las intervenciones, incluyendo una evaluación del nivel de mantenimiento de la infraestructura escolar construida, adecuada, ampliada y reparada por el Programa.</w:t>
            </w:r>
          </w:p>
          <w:p w:rsidR="00891698" w:rsidRPr="00CD6AE6" w:rsidRDefault="00891698" w:rsidP="00853AAB">
            <w:pPr>
              <w:pStyle w:val="TOC1"/>
              <w:numPr>
                <w:ilvl w:val="0"/>
                <w:numId w:val="37"/>
              </w:numPr>
              <w:rPr>
                <w:lang w:val="es-UY"/>
              </w:rPr>
            </w:pPr>
            <w:r w:rsidRPr="00CD6AE6">
              <w:rPr>
                <w:lang w:val="es-UY"/>
              </w:rPr>
              <w:t>El grado de cumplimiento del PEP, POAs y Planes de Adquisiciones.</w:t>
            </w:r>
          </w:p>
          <w:p w:rsidR="00891698" w:rsidRPr="00CD6AE6" w:rsidRDefault="00891698" w:rsidP="00853AAB">
            <w:pPr>
              <w:pStyle w:val="TOC1"/>
              <w:numPr>
                <w:ilvl w:val="0"/>
                <w:numId w:val="37"/>
              </w:numPr>
              <w:rPr>
                <w:lang w:val="es-UY"/>
              </w:rPr>
            </w:pPr>
            <w:r w:rsidRPr="00CD6AE6">
              <w:rPr>
                <w:lang w:val="es-UY"/>
              </w:rPr>
              <w:t xml:space="preserve">El análisis de la gestión del Programa; el grado de coordinación y articulación intra e interinstitucional logrados; la instrumentación de esquemas operativos más simples y con mayor delegación en los Consejos y centros educativos; la identificación de los principales problemas; las lecciones aprendidas y las recomendaciones a seguir en adelante. </w:t>
            </w:r>
          </w:p>
          <w:p w:rsidR="00891698" w:rsidRPr="00CD6AE6" w:rsidRDefault="00891698" w:rsidP="00853AAB">
            <w:pPr>
              <w:pStyle w:val="TOC1"/>
              <w:numPr>
                <w:ilvl w:val="0"/>
                <w:numId w:val="37"/>
              </w:numPr>
              <w:rPr>
                <w:lang w:val="es-UY"/>
              </w:rPr>
            </w:pPr>
            <w:r w:rsidRPr="00CD6AE6">
              <w:rPr>
                <w:lang w:val="es-UY"/>
              </w:rPr>
              <w:t xml:space="preserve">El nivel de cumplimiento de cláusulas contractuales. </w:t>
            </w:r>
          </w:p>
          <w:p w:rsidR="00981691" w:rsidRPr="00CD6AE6" w:rsidRDefault="00891698" w:rsidP="00853AAB">
            <w:pPr>
              <w:pStyle w:val="TOC1"/>
              <w:numPr>
                <w:ilvl w:val="0"/>
                <w:numId w:val="37"/>
              </w:numPr>
              <w:rPr>
                <w:lang w:val="es-UY"/>
              </w:rPr>
            </w:pPr>
            <w:r w:rsidRPr="00CD6AE6">
              <w:rPr>
                <w:lang w:val="es-UY"/>
              </w:rPr>
              <w:t>Las recomendaciones de los informes de la Auditoría Externa.</w:t>
            </w:r>
          </w:p>
          <w:p w:rsidR="00891698" w:rsidRPr="00CD6AE6" w:rsidRDefault="00891698" w:rsidP="00853AAB">
            <w:pPr>
              <w:pStyle w:val="Paragraph"/>
              <w:numPr>
                <w:ilvl w:val="0"/>
                <w:numId w:val="0"/>
              </w:numPr>
            </w:pPr>
            <w:r w:rsidRPr="00CD6AE6">
              <w:t>La evaluación de la estructura de control interno, financiero y contable adoptada; el aporte oportuno de los recursos de contrapartida local; el manejo de los recursos financieros y justificaciones de gastos.</w:t>
            </w:r>
          </w:p>
        </w:tc>
        <w:tc>
          <w:tcPr>
            <w:tcW w:w="1249" w:type="dxa"/>
          </w:tcPr>
          <w:p w:rsidR="00891698" w:rsidRPr="00CD6AE6" w:rsidRDefault="00891698" w:rsidP="00853AAB">
            <w:pPr>
              <w:pStyle w:val="TimesNewRoman10pt"/>
              <w:jc w:val="center"/>
              <w:rPr>
                <w:rFonts w:cs="Arial"/>
                <w:sz w:val="20"/>
                <w:szCs w:val="20"/>
                <w:lang w:val="es-UY"/>
              </w:rPr>
            </w:pPr>
            <w:r w:rsidRPr="00CD6AE6">
              <w:rPr>
                <w:rFonts w:cs="Arial"/>
                <w:sz w:val="20"/>
                <w:szCs w:val="20"/>
                <w:lang w:val="es-UY"/>
              </w:rPr>
              <w:t>En la fecha que corresponda (28 de febrero o 31 de agosto)</w:t>
            </w:r>
          </w:p>
        </w:tc>
      </w:tr>
      <w:tr w:rsidR="00891698" w:rsidRPr="00CD6AE6" w:rsidTr="00651E28">
        <w:trPr>
          <w:jc w:val="center"/>
        </w:trPr>
        <w:tc>
          <w:tcPr>
            <w:tcW w:w="1530" w:type="dxa"/>
          </w:tcPr>
          <w:p w:rsidR="00891698" w:rsidRPr="00CD6AE6" w:rsidRDefault="00891698" w:rsidP="00853AAB">
            <w:pPr>
              <w:pStyle w:val="TimesNewRoman10pt"/>
              <w:jc w:val="left"/>
              <w:rPr>
                <w:rFonts w:cs="Arial"/>
                <w:sz w:val="20"/>
                <w:szCs w:val="20"/>
                <w:lang w:val="es-UY"/>
              </w:rPr>
            </w:pPr>
            <w:bookmarkStart w:id="100" w:name="_Toc48461735"/>
            <w:r w:rsidRPr="00CD6AE6">
              <w:rPr>
                <w:rFonts w:cs="Arial"/>
                <w:sz w:val="20"/>
                <w:szCs w:val="20"/>
                <w:lang w:val="es-UY"/>
              </w:rPr>
              <w:t>Taller de Cierre</w:t>
            </w:r>
          </w:p>
        </w:tc>
        <w:tc>
          <w:tcPr>
            <w:tcW w:w="6823" w:type="dxa"/>
          </w:tcPr>
          <w:p w:rsidR="00891698" w:rsidRPr="00CD6AE6" w:rsidRDefault="00891698" w:rsidP="00D4226A">
            <w:pPr>
              <w:pStyle w:val="Paragraph"/>
              <w:numPr>
                <w:ilvl w:val="0"/>
                <w:numId w:val="0"/>
              </w:numPr>
            </w:pPr>
            <w:r w:rsidRPr="00CD6AE6">
              <w:t xml:space="preserve">Se tratarán todos los temas alcanzados por la evaluación final y sus conclusiones serán incorporadas en los documentos de la evaluación. Participará la ANEP, el MEF y el BID. </w:t>
            </w:r>
          </w:p>
        </w:tc>
        <w:tc>
          <w:tcPr>
            <w:tcW w:w="1249" w:type="dxa"/>
          </w:tcPr>
          <w:p w:rsidR="00891698" w:rsidRPr="00CD6AE6" w:rsidRDefault="00891698" w:rsidP="00853AAB">
            <w:pPr>
              <w:pStyle w:val="TimesNewRoman10pt"/>
              <w:jc w:val="center"/>
              <w:rPr>
                <w:rFonts w:cs="Arial"/>
                <w:sz w:val="20"/>
                <w:szCs w:val="20"/>
                <w:lang w:val="es-UY"/>
              </w:rPr>
            </w:pPr>
            <w:r w:rsidRPr="00CD6AE6">
              <w:rPr>
                <w:rFonts w:cs="Arial"/>
                <w:sz w:val="20"/>
                <w:szCs w:val="20"/>
                <w:lang w:val="es-UY"/>
              </w:rPr>
              <w:t>Una vez cumplido el plazo final de desembolso</w:t>
            </w:r>
          </w:p>
        </w:tc>
      </w:tr>
    </w:tbl>
    <w:p w:rsidR="0091360A" w:rsidRPr="00651E28" w:rsidRDefault="0091360A" w:rsidP="00651E28">
      <w:pPr>
        <w:pStyle w:val="Heading2"/>
      </w:pPr>
      <w:bookmarkStart w:id="101" w:name="_Toc202247770"/>
      <w:bookmarkEnd w:id="100"/>
      <w:r w:rsidRPr="00651E28">
        <w:lastRenderedPageBreak/>
        <w:t>Descripción de productos</w:t>
      </w:r>
    </w:p>
    <w:p w:rsidR="0091360A" w:rsidRPr="00CD6AE6" w:rsidRDefault="0091360A" w:rsidP="00775943">
      <w:pPr>
        <w:jc w:val="center"/>
        <w:rPr>
          <w:i/>
          <w:color w:val="FF0000"/>
          <w:lang w:val="es-UY"/>
        </w:rPr>
      </w:pPr>
      <w:r w:rsidRPr="00CD6AE6">
        <w:rPr>
          <w:i/>
          <w:color w:val="FF0000"/>
          <w:lang w:val="es-UY"/>
        </w:rPr>
        <w:t>(Esta sección incluirá una descripción</w:t>
      </w:r>
      <w:r w:rsidR="00775943" w:rsidRPr="00CD6AE6">
        <w:rPr>
          <w:i/>
          <w:color w:val="FF0000"/>
          <w:lang w:val="es-UY"/>
        </w:rPr>
        <w:t xml:space="preserve"> y conceptualización</w:t>
      </w:r>
      <w:r w:rsidRPr="00CD6AE6">
        <w:rPr>
          <w:i/>
          <w:color w:val="FF0000"/>
          <w:lang w:val="es-UY"/>
        </w:rPr>
        <w:t xml:space="preserve"> de cada producto de la Matriz de Resultados, </w:t>
      </w:r>
      <w:r w:rsidR="00775943" w:rsidRPr="00CD6AE6">
        <w:rPr>
          <w:i/>
          <w:color w:val="FF0000"/>
          <w:lang w:val="es-UY"/>
        </w:rPr>
        <w:t>así como las actividades y procesos necesarios para que los mismos sean entregados)</w:t>
      </w:r>
    </w:p>
    <w:tbl>
      <w:tblPr>
        <w:tblW w:w="10499" w:type="dxa"/>
        <w:jc w:val="center"/>
        <w:tblCellMar>
          <w:top w:w="29" w:type="dxa"/>
          <w:left w:w="115" w:type="dxa"/>
          <w:bottom w:w="29" w:type="dxa"/>
          <w:right w:w="115" w:type="dxa"/>
        </w:tblCellMar>
        <w:tblLook w:val="04A0" w:firstRow="1" w:lastRow="0" w:firstColumn="1" w:lastColumn="0" w:noHBand="0" w:noVBand="1"/>
      </w:tblPr>
      <w:tblGrid>
        <w:gridCol w:w="3342"/>
        <w:gridCol w:w="1616"/>
        <w:gridCol w:w="670"/>
        <w:gridCol w:w="647"/>
        <w:gridCol w:w="717"/>
        <w:gridCol w:w="718"/>
        <w:gridCol w:w="717"/>
        <w:gridCol w:w="718"/>
        <w:gridCol w:w="718"/>
        <w:gridCol w:w="636"/>
      </w:tblGrid>
      <w:tr w:rsidR="003028FA" w:rsidRPr="00E10C69" w:rsidTr="003028FA">
        <w:trPr>
          <w:tblHeader/>
          <w:jc w:val="center"/>
        </w:trPr>
        <w:tc>
          <w:tcPr>
            <w:tcW w:w="3342" w:type="dxa"/>
            <w:vMerge w:val="restart"/>
            <w:tcBorders>
              <w:top w:val="single" w:sz="4" w:space="0" w:color="auto"/>
              <w:left w:val="single" w:sz="8" w:space="0" w:color="auto"/>
              <w:right w:val="single" w:sz="4" w:space="0" w:color="auto"/>
            </w:tcBorders>
            <w:shd w:val="clear" w:color="000000" w:fill="99CCFF"/>
            <w:vAlign w:val="center"/>
            <w:hideMark/>
          </w:tcPr>
          <w:p w:rsidR="003028FA" w:rsidRPr="00E10C69" w:rsidRDefault="003028FA" w:rsidP="00E10C69">
            <w:pPr>
              <w:keepNext/>
              <w:spacing w:after="0"/>
              <w:jc w:val="center"/>
              <w:rPr>
                <w:rFonts w:cs="Arial"/>
                <w:b/>
                <w:spacing w:val="-3"/>
                <w:sz w:val="18"/>
                <w:szCs w:val="18"/>
                <w:lang w:val="es-AR"/>
              </w:rPr>
            </w:pPr>
            <w:r w:rsidRPr="00E10C69">
              <w:rPr>
                <w:rFonts w:cs="Arial"/>
                <w:b/>
                <w:spacing w:val="-3"/>
                <w:sz w:val="18"/>
                <w:szCs w:val="18"/>
                <w:lang w:val="es-AR"/>
              </w:rPr>
              <w:t>Productos</w:t>
            </w:r>
          </w:p>
        </w:tc>
        <w:tc>
          <w:tcPr>
            <w:tcW w:w="1616" w:type="dxa"/>
            <w:vMerge w:val="restart"/>
            <w:tcBorders>
              <w:top w:val="single" w:sz="4" w:space="0" w:color="auto"/>
              <w:left w:val="single" w:sz="4" w:space="0" w:color="auto"/>
              <w:right w:val="single" w:sz="4" w:space="0" w:color="auto"/>
            </w:tcBorders>
            <w:shd w:val="clear" w:color="000000" w:fill="99CCFF"/>
            <w:vAlign w:val="center"/>
            <w:hideMark/>
          </w:tcPr>
          <w:p w:rsidR="003028FA" w:rsidRPr="00E10C69" w:rsidRDefault="003028FA" w:rsidP="00E10C69">
            <w:pPr>
              <w:keepNext/>
              <w:spacing w:after="0"/>
              <w:jc w:val="center"/>
              <w:rPr>
                <w:rFonts w:cs="Arial"/>
                <w:b/>
                <w:spacing w:val="-3"/>
                <w:sz w:val="18"/>
                <w:szCs w:val="18"/>
                <w:lang w:val="es-AR"/>
              </w:rPr>
            </w:pPr>
            <w:r w:rsidRPr="00E10C69">
              <w:rPr>
                <w:rFonts w:cs="Arial"/>
                <w:b/>
                <w:spacing w:val="-3"/>
                <w:sz w:val="18"/>
                <w:szCs w:val="18"/>
                <w:lang w:val="es-AR"/>
              </w:rPr>
              <w:t>Unidad de medida</w:t>
            </w:r>
          </w:p>
        </w:tc>
        <w:tc>
          <w:tcPr>
            <w:tcW w:w="1317" w:type="dxa"/>
            <w:gridSpan w:val="2"/>
            <w:tcBorders>
              <w:top w:val="single" w:sz="4" w:space="0" w:color="auto"/>
              <w:left w:val="nil"/>
              <w:bottom w:val="single" w:sz="4" w:space="0" w:color="auto"/>
              <w:right w:val="single" w:sz="4" w:space="0" w:color="auto"/>
            </w:tcBorders>
            <w:shd w:val="clear" w:color="000000" w:fill="99CCFF"/>
            <w:vAlign w:val="center"/>
            <w:hideMark/>
          </w:tcPr>
          <w:p w:rsidR="003028FA" w:rsidRPr="00E10C69" w:rsidRDefault="003028FA" w:rsidP="00E10C69">
            <w:pPr>
              <w:keepNext/>
              <w:spacing w:after="0"/>
              <w:jc w:val="center"/>
              <w:rPr>
                <w:rFonts w:cs="Arial"/>
                <w:b/>
                <w:spacing w:val="-3"/>
                <w:sz w:val="18"/>
                <w:szCs w:val="18"/>
                <w:lang w:val="es-AR"/>
              </w:rPr>
            </w:pPr>
            <w:r w:rsidRPr="00E10C69">
              <w:rPr>
                <w:rFonts w:cs="Arial"/>
                <w:b/>
                <w:spacing w:val="-3"/>
                <w:sz w:val="18"/>
                <w:szCs w:val="18"/>
                <w:lang w:val="es-AR"/>
              </w:rPr>
              <w:t>Línea de base</w:t>
            </w:r>
          </w:p>
        </w:tc>
        <w:tc>
          <w:tcPr>
            <w:tcW w:w="3588" w:type="dxa"/>
            <w:gridSpan w:val="5"/>
            <w:tcBorders>
              <w:top w:val="single" w:sz="4" w:space="0" w:color="auto"/>
              <w:left w:val="nil"/>
              <w:bottom w:val="single" w:sz="4" w:space="0" w:color="auto"/>
              <w:right w:val="single" w:sz="4" w:space="0" w:color="auto"/>
            </w:tcBorders>
            <w:shd w:val="clear" w:color="000000" w:fill="99CCFF"/>
            <w:vAlign w:val="center"/>
          </w:tcPr>
          <w:p w:rsidR="003028FA" w:rsidRPr="00E10C69" w:rsidRDefault="003028FA" w:rsidP="00E10C69">
            <w:pPr>
              <w:keepNext/>
              <w:spacing w:after="0"/>
              <w:jc w:val="center"/>
              <w:rPr>
                <w:rFonts w:cs="Arial"/>
                <w:b/>
                <w:spacing w:val="-3"/>
                <w:sz w:val="18"/>
                <w:szCs w:val="18"/>
                <w:lang w:val="es-AR"/>
              </w:rPr>
            </w:pPr>
            <w:r w:rsidRPr="00E10C69">
              <w:rPr>
                <w:rFonts w:cs="Arial"/>
                <w:b/>
                <w:spacing w:val="-3"/>
                <w:sz w:val="18"/>
                <w:szCs w:val="18"/>
                <w:lang w:val="es-AR"/>
              </w:rPr>
              <w:t>Mediciones intermedias</w:t>
            </w:r>
          </w:p>
        </w:tc>
        <w:tc>
          <w:tcPr>
            <w:tcW w:w="636" w:type="dxa"/>
            <w:vMerge w:val="restart"/>
            <w:tcBorders>
              <w:top w:val="single" w:sz="4" w:space="0" w:color="auto"/>
              <w:left w:val="single" w:sz="4" w:space="0" w:color="auto"/>
              <w:right w:val="single" w:sz="4" w:space="0" w:color="auto"/>
            </w:tcBorders>
            <w:shd w:val="clear" w:color="000000" w:fill="99CCFF"/>
            <w:vAlign w:val="center"/>
            <w:hideMark/>
          </w:tcPr>
          <w:p w:rsidR="003028FA" w:rsidRPr="00E10C69" w:rsidRDefault="003028FA" w:rsidP="00E10C69">
            <w:pPr>
              <w:keepNext/>
              <w:spacing w:after="0"/>
              <w:jc w:val="center"/>
              <w:rPr>
                <w:rFonts w:cs="Arial"/>
                <w:b/>
                <w:spacing w:val="-3"/>
                <w:sz w:val="18"/>
                <w:szCs w:val="18"/>
                <w:lang w:val="es-AR"/>
              </w:rPr>
            </w:pPr>
            <w:r w:rsidRPr="00E10C69">
              <w:rPr>
                <w:rFonts w:cs="Arial"/>
                <w:b/>
                <w:spacing w:val="-3"/>
                <w:sz w:val="18"/>
                <w:szCs w:val="18"/>
                <w:lang w:val="es-AR"/>
              </w:rPr>
              <w:t>Meta Final</w:t>
            </w:r>
          </w:p>
        </w:tc>
      </w:tr>
      <w:tr w:rsidR="003028FA" w:rsidRPr="00E10C69" w:rsidTr="003028FA">
        <w:trPr>
          <w:tblHeader/>
          <w:jc w:val="center"/>
        </w:trPr>
        <w:tc>
          <w:tcPr>
            <w:tcW w:w="3342" w:type="dxa"/>
            <w:vMerge/>
            <w:tcBorders>
              <w:left w:val="single" w:sz="8" w:space="0" w:color="auto"/>
              <w:bottom w:val="single" w:sz="4" w:space="0" w:color="auto"/>
              <w:right w:val="single" w:sz="4" w:space="0" w:color="auto"/>
            </w:tcBorders>
            <w:shd w:val="clear" w:color="000000" w:fill="99CCFF"/>
            <w:vAlign w:val="center"/>
          </w:tcPr>
          <w:p w:rsidR="003028FA" w:rsidRPr="00E10C69" w:rsidRDefault="003028FA" w:rsidP="00E10C69">
            <w:pPr>
              <w:keepNext/>
              <w:spacing w:after="0"/>
              <w:jc w:val="center"/>
              <w:rPr>
                <w:rFonts w:cs="Arial"/>
                <w:b/>
                <w:spacing w:val="-3"/>
                <w:sz w:val="18"/>
                <w:szCs w:val="18"/>
                <w:lang w:val="es-AR"/>
              </w:rPr>
            </w:pPr>
          </w:p>
        </w:tc>
        <w:tc>
          <w:tcPr>
            <w:tcW w:w="1616" w:type="dxa"/>
            <w:vMerge/>
            <w:tcBorders>
              <w:left w:val="single" w:sz="4" w:space="0" w:color="auto"/>
              <w:bottom w:val="single" w:sz="4" w:space="0" w:color="auto"/>
              <w:right w:val="single" w:sz="4" w:space="0" w:color="auto"/>
            </w:tcBorders>
            <w:shd w:val="clear" w:color="000000" w:fill="99CCFF"/>
            <w:vAlign w:val="center"/>
          </w:tcPr>
          <w:p w:rsidR="003028FA" w:rsidRPr="00E10C69" w:rsidRDefault="003028FA" w:rsidP="00E10C69">
            <w:pPr>
              <w:keepNext/>
              <w:spacing w:after="0"/>
              <w:jc w:val="center"/>
              <w:rPr>
                <w:rFonts w:cs="Arial"/>
                <w:b/>
                <w:spacing w:val="-3"/>
                <w:sz w:val="18"/>
                <w:szCs w:val="18"/>
                <w:lang w:val="es-AR"/>
              </w:rPr>
            </w:pPr>
          </w:p>
        </w:tc>
        <w:tc>
          <w:tcPr>
            <w:tcW w:w="670" w:type="dxa"/>
            <w:tcBorders>
              <w:top w:val="single" w:sz="4" w:space="0" w:color="auto"/>
              <w:left w:val="nil"/>
              <w:bottom w:val="single" w:sz="4" w:space="0" w:color="auto"/>
              <w:right w:val="single" w:sz="4" w:space="0" w:color="auto"/>
            </w:tcBorders>
            <w:shd w:val="clear" w:color="000000" w:fill="99CCFF"/>
            <w:vAlign w:val="center"/>
          </w:tcPr>
          <w:p w:rsidR="003028FA" w:rsidRPr="00E10C69" w:rsidRDefault="003028FA" w:rsidP="00E10C69">
            <w:pPr>
              <w:keepNext/>
              <w:spacing w:after="0"/>
              <w:ind w:left="-90" w:right="-108"/>
              <w:jc w:val="center"/>
              <w:rPr>
                <w:rFonts w:cs="Arial"/>
                <w:b/>
                <w:spacing w:val="-3"/>
                <w:sz w:val="18"/>
                <w:szCs w:val="18"/>
                <w:lang w:val="es-AR"/>
              </w:rPr>
            </w:pPr>
            <w:r w:rsidRPr="00E10C69">
              <w:rPr>
                <w:rFonts w:cs="Arial"/>
                <w:b/>
                <w:spacing w:val="-3"/>
                <w:sz w:val="18"/>
                <w:szCs w:val="18"/>
                <w:lang w:val="es-AR"/>
              </w:rPr>
              <w:t>Valor</w:t>
            </w:r>
          </w:p>
        </w:tc>
        <w:tc>
          <w:tcPr>
            <w:tcW w:w="647" w:type="dxa"/>
            <w:tcBorders>
              <w:top w:val="single" w:sz="4" w:space="0" w:color="auto"/>
              <w:left w:val="nil"/>
              <w:bottom w:val="single" w:sz="4" w:space="0" w:color="auto"/>
              <w:right w:val="single" w:sz="4" w:space="0" w:color="auto"/>
            </w:tcBorders>
            <w:shd w:val="clear" w:color="000000" w:fill="99CCFF"/>
            <w:vAlign w:val="center"/>
          </w:tcPr>
          <w:p w:rsidR="003028FA" w:rsidRPr="00E10C69" w:rsidRDefault="003028FA" w:rsidP="00E10C69">
            <w:pPr>
              <w:keepNext/>
              <w:spacing w:after="0"/>
              <w:jc w:val="center"/>
              <w:rPr>
                <w:rFonts w:cs="Arial"/>
                <w:b/>
                <w:spacing w:val="-3"/>
                <w:sz w:val="18"/>
                <w:szCs w:val="18"/>
                <w:lang w:val="es-AR"/>
              </w:rPr>
            </w:pPr>
            <w:r w:rsidRPr="00E10C69">
              <w:rPr>
                <w:rFonts w:cs="Arial"/>
                <w:b/>
                <w:spacing w:val="-3"/>
                <w:sz w:val="18"/>
                <w:szCs w:val="18"/>
                <w:lang w:val="es-AR"/>
              </w:rPr>
              <w:t>Año</w:t>
            </w:r>
          </w:p>
        </w:tc>
        <w:tc>
          <w:tcPr>
            <w:tcW w:w="717" w:type="dxa"/>
            <w:tcBorders>
              <w:top w:val="single" w:sz="4" w:space="0" w:color="auto"/>
              <w:left w:val="nil"/>
              <w:bottom w:val="single" w:sz="4" w:space="0" w:color="auto"/>
              <w:right w:val="single" w:sz="4" w:space="0" w:color="auto"/>
            </w:tcBorders>
            <w:shd w:val="clear" w:color="000000" w:fill="99CCFF"/>
            <w:vAlign w:val="center"/>
          </w:tcPr>
          <w:p w:rsidR="003028FA" w:rsidRPr="00E10C69" w:rsidRDefault="003028FA" w:rsidP="00E10C69">
            <w:pPr>
              <w:keepNext/>
              <w:spacing w:after="0"/>
              <w:jc w:val="center"/>
              <w:rPr>
                <w:rFonts w:cs="Arial"/>
                <w:b/>
                <w:spacing w:val="-3"/>
                <w:sz w:val="18"/>
                <w:szCs w:val="18"/>
                <w:lang w:val="es-AR"/>
              </w:rPr>
            </w:pPr>
            <w:r w:rsidRPr="00E10C69">
              <w:rPr>
                <w:rFonts w:cs="Arial"/>
                <w:b/>
                <w:spacing w:val="-3"/>
                <w:sz w:val="18"/>
                <w:szCs w:val="18"/>
                <w:lang w:val="es-AR"/>
              </w:rPr>
              <w:t>2017</w:t>
            </w:r>
          </w:p>
        </w:tc>
        <w:tc>
          <w:tcPr>
            <w:tcW w:w="718" w:type="dxa"/>
            <w:tcBorders>
              <w:top w:val="single" w:sz="4" w:space="0" w:color="auto"/>
              <w:left w:val="nil"/>
              <w:bottom w:val="single" w:sz="4" w:space="0" w:color="auto"/>
              <w:right w:val="single" w:sz="4" w:space="0" w:color="auto"/>
            </w:tcBorders>
            <w:shd w:val="clear" w:color="000000" w:fill="99CCFF"/>
            <w:vAlign w:val="center"/>
          </w:tcPr>
          <w:p w:rsidR="003028FA" w:rsidRPr="00E10C69" w:rsidRDefault="003028FA" w:rsidP="00E10C69">
            <w:pPr>
              <w:keepNext/>
              <w:spacing w:after="0"/>
              <w:jc w:val="center"/>
              <w:rPr>
                <w:rFonts w:cs="Arial"/>
                <w:b/>
                <w:spacing w:val="-3"/>
                <w:sz w:val="18"/>
                <w:szCs w:val="18"/>
                <w:lang w:val="es-AR"/>
              </w:rPr>
            </w:pPr>
            <w:r w:rsidRPr="00E10C69">
              <w:rPr>
                <w:rFonts w:cs="Arial"/>
                <w:b/>
                <w:spacing w:val="-3"/>
                <w:sz w:val="18"/>
                <w:szCs w:val="18"/>
                <w:lang w:val="es-AR"/>
              </w:rPr>
              <w:t>2018</w:t>
            </w:r>
          </w:p>
        </w:tc>
        <w:tc>
          <w:tcPr>
            <w:tcW w:w="717" w:type="dxa"/>
            <w:tcBorders>
              <w:top w:val="single" w:sz="4" w:space="0" w:color="auto"/>
              <w:left w:val="nil"/>
              <w:bottom w:val="single" w:sz="4" w:space="0" w:color="auto"/>
              <w:right w:val="single" w:sz="4" w:space="0" w:color="auto"/>
            </w:tcBorders>
            <w:shd w:val="clear" w:color="000000" w:fill="99CCFF"/>
            <w:vAlign w:val="center"/>
          </w:tcPr>
          <w:p w:rsidR="003028FA" w:rsidRPr="00E10C69" w:rsidRDefault="003028FA" w:rsidP="00E10C69">
            <w:pPr>
              <w:keepNext/>
              <w:spacing w:after="0"/>
              <w:jc w:val="center"/>
              <w:rPr>
                <w:rFonts w:cs="Arial"/>
                <w:b/>
                <w:spacing w:val="-3"/>
                <w:sz w:val="18"/>
                <w:szCs w:val="18"/>
                <w:lang w:val="es-AR"/>
              </w:rPr>
            </w:pPr>
            <w:r w:rsidRPr="00E10C69">
              <w:rPr>
                <w:rFonts w:cs="Arial"/>
                <w:b/>
                <w:spacing w:val="-3"/>
                <w:sz w:val="18"/>
                <w:szCs w:val="18"/>
                <w:lang w:val="es-AR"/>
              </w:rPr>
              <w:t>2019</w:t>
            </w:r>
          </w:p>
        </w:tc>
        <w:tc>
          <w:tcPr>
            <w:tcW w:w="718" w:type="dxa"/>
            <w:tcBorders>
              <w:top w:val="single" w:sz="4" w:space="0" w:color="auto"/>
              <w:left w:val="single" w:sz="4" w:space="0" w:color="auto"/>
              <w:bottom w:val="single" w:sz="4" w:space="0" w:color="auto"/>
              <w:right w:val="single" w:sz="4" w:space="0" w:color="auto"/>
            </w:tcBorders>
            <w:shd w:val="clear" w:color="000000" w:fill="99CCFF"/>
            <w:vAlign w:val="center"/>
          </w:tcPr>
          <w:p w:rsidR="003028FA" w:rsidRPr="00E10C69" w:rsidRDefault="003028FA" w:rsidP="00E10C69">
            <w:pPr>
              <w:keepNext/>
              <w:spacing w:after="0"/>
              <w:jc w:val="center"/>
              <w:rPr>
                <w:rFonts w:cs="Arial"/>
                <w:b/>
                <w:spacing w:val="-3"/>
                <w:sz w:val="18"/>
                <w:szCs w:val="18"/>
                <w:lang w:val="es-AR"/>
              </w:rPr>
            </w:pPr>
            <w:r w:rsidRPr="00E10C69">
              <w:rPr>
                <w:rFonts w:cs="Arial"/>
                <w:b/>
                <w:spacing w:val="-3"/>
                <w:sz w:val="18"/>
                <w:szCs w:val="18"/>
                <w:lang w:val="es-AR"/>
              </w:rPr>
              <w:t>2020</w:t>
            </w:r>
          </w:p>
        </w:tc>
        <w:tc>
          <w:tcPr>
            <w:tcW w:w="718" w:type="dxa"/>
            <w:tcBorders>
              <w:top w:val="single" w:sz="4" w:space="0" w:color="auto"/>
              <w:left w:val="single" w:sz="4" w:space="0" w:color="auto"/>
              <w:bottom w:val="single" w:sz="4" w:space="0" w:color="auto"/>
              <w:right w:val="single" w:sz="4" w:space="0" w:color="auto"/>
            </w:tcBorders>
            <w:shd w:val="clear" w:color="000000" w:fill="99CCFF"/>
            <w:vAlign w:val="center"/>
          </w:tcPr>
          <w:p w:rsidR="003028FA" w:rsidRPr="00E10C69" w:rsidRDefault="003028FA" w:rsidP="00E10C69">
            <w:pPr>
              <w:keepNext/>
              <w:spacing w:after="0"/>
              <w:jc w:val="center"/>
              <w:rPr>
                <w:rFonts w:cs="Arial"/>
                <w:b/>
                <w:spacing w:val="-3"/>
                <w:sz w:val="18"/>
                <w:szCs w:val="18"/>
                <w:lang w:val="es-AR"/>
              </w:rPr>
            </w:pPr>
            <w:r w:rsidRPr="00E10C69">
              <w:rPr>
                <w:rFonts w:cs="Arial"/>
                <w:b/>
                <w:spacing w:val="-3"/>
                <w:sz w:val="18"/>
                <w:szCs w:val="18"/>
                <w:lang w:val="es-AR"/>
              </w:rPr>
              <w:t>2021</w:t>
            </w:r>
          </w:p>
        </w:tc>
        <w:tc>
          <w:tcPr>
            <w:tcW w:w="636" w:type="dxa"/>
            <w:vMerge/>
            <w:tcBorders>
              <w:left w:val="single" w:sz="4" w:space="0" w:color="auto"/>
              <w:bottom w:val="single" w:sz="4" w:space="0" w:color="auto"/>
              <w:right w:val="single" w:sz="4" w:space="0" w:color="auto"/>
            </w:tcBorders>
            <w:shd w:val="clear" w:color="000000" w:fill="99CCFF"/>
            <w:vAlign w:val="center"/>
          </w:tcPr>
          <w:p w:rsidR="003028FA" w:rsidRPr="00E10C69" w:rsidRDefault="003028FA" w:rsidP="00E10C69">
            <w:pPr>
              <w:keepNext/>
              <w:spacing w:after="0"/>
              <w:jc w:val="center"/>
              <w:rPr>
                <w:rFonts w:cs="Arial"/>
                <w:b/>
                <w:spacing w:val="-3"/>
                <w:sz w:val="18"/>
                <w:szCs w:val="18"/>
                <w:lang w:val="es-AR"/>
              </w:rPr>
            </w:pPr>
          </w:p>
        </w:tc>
      </w:tr>
      <w:tr w:rsidR="003028FA" w:rsidRPr="00E10C69" w:rsidTr="003028FA">
        <w:trPr>
          <w:jc w:val="center"/>
        </w:trPr>
        <w:tc>
          <w:tcPr>
            <w:tcW w:w="10499" w:type="dxa"/>
            <w:gridSpan w:val="10"/>
            <w:tcBorders>
              <w:top w:val="nil"/>
              <w:left w:val="single" w:sz="8" w:space="0" w:color="auto"/>
              <w:bottom w:val="single" w:sz="4" w:space="0" w:color="auto"/>
              <w:right w:val="single" w:sz="4" w:space="0" w:color="auto"/>
            </w:tcBorders>
            <w:vAlign w:val="center"/>
          </w:tcPr>
          <w:p w:rsidR="003028FA" w:rsidRPr="00E10C69" w:rsidRDefault="003028FA" w:rsidP="003028FA">
            <w:pPr>
              <w:keepNext/>
              <w:spacing w:after="0"/>
              <w:jc w:val="left"/>
              <w:rPr>
                <w:rFonts w:cs="Arial"/>
                <w:spacing w:val="-3"/>
                <w:sz w:val="18"/>
                <w:szCs w:val="18"/>
                <w:lang w:val="es-AR"/>
              </w:rPr>
            </w:pPr>
            <w:r>
              <w:rPr>
                <w:rFonts w:cs="Arial"/>
                <w:b/>
                <w:bCs/>
                <w:spacing w:val="-3"/>
                <w:sz w:val="18"/>
                <w:szCs w:val="18"/>
                <w:lang w:val="es-AR"/>
              </w:rPr>
              <w:t>C</w:t>
            </w:r>
            <w:r w:rsidRPr="00BF598F">
              <w:rPr>
                <w:rFonts w:cs="Arial"/>
                <w:b/>
                <w:bCs/>
                <w:spacing w:val="-3"/>
                <w:sz w:val="18"/>
                <w:szCs w:val="18"/>
                <w:lang w:val="es-AR"/>
              </w:rPr>
              <w:t xml:space="preserve">omponente 1: </w:t>
            </w:r>
            <w:r w:rsidRPr="00BF598F">
              <w:rPr>
                <w:rFonts w:cs="Arial"/>
                <w:b/>
                <w:sz w:val="18"/>
                <w:szCs w:val="18"/>
              </w:rPr>
              <w:t>Mejora de la calidad educativa</w:t>
            </w:r>
          </w:p>
        </w:tc>
      </w:tr>
      <w:tr w:rsidR="003028FA" w:rsidRPr="00E10C69" w:rsidTr="003028FA">
        <w:trPr>
          <w:jc w:val="center"/>
        </w:trPr>
        <w:tc>
          <w:tcPr>
            <w:tcW w:w="3342" w:type="dxa"/>
            <w:tcBorders>
              <w:top w:val="nil"/>
              <w:left w:val="single" w:sz="8" w:space="0" w:color="auto"/>
              <w:bottom w:val="single" w:sz="4" w:space="0" w:color="auto"/>
              <w:right w:val="single" w:sz="4" w:space="0" w:color="auto"/>
            </w:tcBorders>
            <w:vAlign w:val="center"/>
            <w:hideMark/>
          </w:tcPr>
          <w:p w:rsidR="00E10C69" w:rsidRPr="00E10C69" w:rsidRDefault="00E10C69" w:rsidP="003028FA">
            <w:pPr>
              <w:keepNext/>
              <w:spacing w:after="0"/>
              <w:jc w:val="left"/>
              <w:rPr>
                <w:rFonts w:cs="Arial"/>
                <w:spacing w:val="-3"/>
                <w:sz w:val="18"/>
                <w:szCs w:val="18"/>
                <w:lang w:val="es-AR"/>
              </w:rPr>
            </w:pPr>
            <w:r w:rsidRPr="00E10C69">
              <w:rPr>
                <w:rFonts w:cs="Arial"/>
                <w:b/>
                <w:spacing w:val="-3"/>
                <w:sz w:val="18"/>
                <w:szCs w:val="18"/>
                <w:lang w:val="es-AR"/>
              </w:rPr>
              <w:t>Producto 1.1</w:t>
            </w:r>
            <w:r w:rsidRPr="00E10C69">
              <w:rPr>
                <w:rFonts w:cs="Arial"/>
                <w:spacing w:val="-3"/>
                <w:sz w:val="18"/>
                <w:szCs w:val="18"/>
                <w:lang w:val="es-AR"/>
              </w:rPr>
              <w:t xml:space="preserve">: </w:t>
            </w:r>
            <w:r w:rsidRPr="00E10C69">
              <w:rPr>
                <w:rFonts w:cs="Arial"/>
                <w:color w:val="000000"/>
                <w:sz w:val="18"/>
                <w:szCs w:val="18"/>
                <w:lang w:val="es-UY"/>
              </w:rPr>
              <w:t xml:space="preserve">Nuevo marco curricular de referencia nacional </w:t>
            </w:r>
            <w:r w:rsidR="003028FA" w:rsidRPr="00E10C69">
              <w:rPr>
                <w:rFonts w:cs="Arial"/>
                <w:color w:val="000000"/>
                <w:sz w:val="18"/>
                <w:szCs w:val="18"/>
                <w:lang w:val="es-UY"/>
              </w:rPr>
              <w:t>para EM</w:t>
            </w:r>
            <w:r w:rsidRPr="00E10C69">
              <w:rPr>
                <w:rFonts w:cs="Arial"/>
                <w:color w:val="000000"/>
                <w:sz w:val="18"/>
                <w:szCs w:val="18"/>
                <w:lang w:val="es-UY"/>
              </w:rPr>
              <w:t xml:space="preserve"> diseñado y aprobado</w:t>
            </w:r>
          </w:p>
        </w:tc>
        <w:tc>
          <w:tcPr>
            <w:tcW w:w="1616" w:type="dxa"/>
            <w:tcBorders>
              <w:top w:val="nil"/>
              <w:left w:val="nil"/>
              <w:bottom w:val="single" w:sz="4" w:space="0" w:color="auto"/>
              <w:right w:val="single" w:sz="4" w:space="0" w:color="auto"/>
            </w:tcBorders>
            <w:vAlign w:val="center"/>
            <w:hideMark/>
          </w:tcPr>
          <w:p w:rsidR="00E10C69" w:rsidRPr="00E10C69" w:rsidRDefault="00E10C69" w:rsidP="003028FA">
            <w:pPr>
              <w:keepNext/>
              <w:spacing w:after="0"/>
              <w:jc w:val="left"/>
              <w:rPr>
                <w:rFonts w:cs="Arial"/>
                <w:spacing w:val="-3"/>
                <w:sz w:val="18"/>
                <w:szCs w:val="18"/>
                <w:highlight w:val="yellow"/>
                <w:lang w:val="es-AR"/>
              </w:rPr>
            </w:pPr>
            <w:r w:rsidRPr="00E10C69">
              <w:rPr>
                <w:rFonts w:cs="Arial"/>
                <w:spacing w:val="-3"/>
                <w:sz w:val="18"/>
                <w:szCs w:val="18"/>
                <w:lang w:val="es-AR"/>
              </w:rPr>
              <w:t xml:space="preserve">Etapas de de construcción del Nuevo Marco Curricular </w:t>
            </w:r>
          </w:p>
        </w:tc>
        <w:tc>
          <w:tcPr>
            <w:tcW w:w="670" w:type="dxa"/>
            <w:tcBorders>
              <w:top w:val="nil"/>
              <w:left w:val="nil"/>
              <w:bottom w:val="single" w:sz="4" w:space="0" w:color="auto"/>
              <w:right w:val="single" w:sz="4" w:space="0" w:color="auto"/>
            </w:tcBorders>
            <w:vAlign w:val="center"/>
            <w:hideMark/>
          </w:tcPr>
          <w:p w:rsidR="00E10C69" w:rsidRPr="00E10C69" w:rsidRDefault="00E10C69" w:rsidP="00E10C69">
            <w:pPr>
              <w:keepNext/>
              <w:spacing w:after="0"/>
              <w:jc w:val="center"/>
              <w:rPr>
                <w:rFonts w:cs="Arial"/>
                <w:spacing w:val="-3"/>
                <w:sz w:val="18"/>
                <w:szCs w:val="18"/>
                <w:lang w:val="es-AR"/>
              </w:rPr>
            </w:pPr>
            <w:r w:rsidRPr="00E10C69">
              <w:rPr>
                <w:rFonts w:cs="Arial"/>
                <w:spacing w:val="-3"/>
                <w:sz w:val="18"/>
                <w:szCs w:val="18"/>
                <w:lang w:val="es-AR"/>
              </w:rPr>
              <w:t>0</w:t>
            </w:r>
          </w:p>
        </w:tc>
        <w:tc>
          <w:tcPr>
            <w:tcW w:w="647" w:type="dxa"/>
            <w:tcBorders>
              <w:top w:val="nil"/>
              <w:left w:val="nil"/>
              <w:bottom w:val="single" w:sz="4" w:space="0" w:color="auto"/>
              <w:right w:val="single" w:sz="4" w:space="0" w:color="auto"/>
            </w:tcBorders>
            <w:vAlign w:val="center"/>
            <w:hideMark/>
          </w:tcPr>
          <w:p w:rsidR="00E10C69" w:rsidRPr="00E10C69" w:rsidRDefault="00E10C69" w:rsidP="00E10C69">
            <w:pPr>
              <w:keepNext/>
              <w:spacing w:after="0"/>
              <w:jc w:val="center"/>
              <w:rPr>
                <w:rFonts w:cs="Arial"/>
                <w:spacing w:val="-3"/>
                <w:sz w:val="18"/>
                <w:szCs w:val="18"/>
                <w:lang w:val="es-AR"/>
              </w:rPr>
            </w:pPr>
            <w:r w:rsidRPr="00E10C69">
              <w:rPr>
                <w:rFonts w:cs="Arial"/>
                <w:spacing w:val="-3"/>
                <w:sz w:val="18"/>
                <w:szCs w:val="18"/>
                <w:lang w:val="es-AR"/>
              </w:rPr>
              <w:t>2016</w:t>
            </w:r>
          </w:p>
        </w:tc>
        <w:tc>
          <w:tcPr>
            <w:tcW w:w="717" w:type="dxa"/>
            <w:tcBorders>
              <w:top w:val="nil"/>
              <w:left w:val="nil"/>
              <w:bottom w:val="single" w:sz="4" w:space="0" w:color="auto"/>
              <w:right w:val="single" w:sz="4" w:space="0" w:color="auto"/>
            </w:tcBorders>
            <w:vAlign w:val="center"/>
            <w:hideMark/>
          </w:tcPr>
          <w:p w:rsidR="00E10C69" w:rsidRPr="00E10C69" w:rsidRDefault="00E10C69" w:rsidP="00E10C69">
            <w:pPr>
              <w:keepNext/>
              <w:spacing w:after="0"/>
              <w:jc w:val="center"/>
              <w:rPr>
                <w:rFonts w:cs="Arial"/>
                <w:spacing w:val="-3"/>
                <w:sz w:val="18"/>
                <w:szCs w:val="18"/>
                <w:lang w:val="es-AR"/>
              </w:rPr>
            </w:pPr>
            <w:r w:rsidRPr="00E10C69">
              <w:rPr>
                <w:rFonts w:cs="Arial"/>
                <w:spacing w:val="-3"/>
                <w:sz w:val="18"/>
                <w:szCs w:val="18"/>
                <w:lang w:val="es-AR"/>
              </w:rPr>
              <w:t>0 </w:t>
            </w:r>
          </w:p>
        </w:tc>
        <w:tc>
          <w:tcPr>
            <w:tcW w:w="718" w:type="dxa"/>
            <w:tcBorders>
              <w:top w:val="nil"/>
              <w:left w:val="nil"/>
              <w:bottom w:val="single" w:sz="4" w:space="0" w:color="auto"/>
              <w:right w:val="single" w:sz="4" w:space="0" w:color="auto"/>
            </w:tcBorders>
            <w:vAlign w:val="center"/>
            <w:hideMark/>
          </w:tcPr>
          <w:p w:rsidR="00E10C69" w:rsidRPr="00E10C69" w:rsidRDefault="00E10C69" w:rsidP="00E10C69">
            <w:pPr>
              <w:keepNext/>
              <w:spacing w:after="0"/>
              <w:jc w:val="center"/>
              <w:rPr>
                <w:rFonts w:cs="Arial"/>
                <w:spacing w:val="-3"/>
                <w:sz w:val="18"/>
                <w:szCs w:val="18"/>
                <w:lang w:val="es-AR"/>
              </w:rPr>
            </w:pPr>
            <w:r w:rsidRPr="00E10C69">
              <w:rPr>
                <w:rFonts w:cs="Arial"/>
                <w:spacing w:val="-3"/>
                <w:sz w:val="18"/>
                <w:szCs w:val="18"/>
                <w:lang w:val="es-AR"/>
              </w:rPr>
              <w:t>1</w:t>
            </w:r>
          </w:p>
        </w:tc>
        <w:tc>
          <w:tcPr>
            <w:tcW w:w="717" w:type="dxa"/>
            <w:tcBorders>
              <w:top w:val="nil"/>
              <w:left w:val="nil"/>
              <w:bottom w:val="single" w:sz="4" w:space="0" w:color="auto"/>
              <w:right w:val="single" w:sz="4" w:space="0" w:color="auto"/>
            </w:tcBorders>
            <w:vAlign w:val="center"/>
          </w:tcPr>
          <w:p w:rsidR="00E10C69" w:rsidRPr="00E10C69" w:rsidRDefault="00E10C69" w:rsidP="00E10C69">
            <w:pPr>
              <w:keepNext/>
              <w:spacing w:after="0"/>
              <w:jc w:val="center"/>
              <w:rPr>
                <w:rFonts w:cs="Arial"/>
                <w:spacing w:val="-3"/>
                <w:sz w:val="18"/>
                <w:szCs w:val="18"/>
                <w:lang w:val="es-AR"/>
              </w:rPr>
            </w:pPr>
            <w:r w:rsidRPr="00E10C69">
              <w:rPr>
                <w:rFonts w:cs="Arial"/>
                <w:spacing w:val="-3"/>
                <w:sz w:val="18"/>
                <w:szCs w:val="18"/>
                <w:lang w:val="es-AR"/>
              </w:rPr>
              <w:t>1</w:t>
            </w:r>
          </w:p>
        </w:tc>
        <w:tc>
          <w:tcPr>
            <w:tcW w:w="718" w:type="dxa"/>
            <w:tcBorders>
              <w:top w:val="nil"/>
              <w:left w:val="single" w:sz="4" w:space="0" w:color="auto"/>
              <w:bottom w:val="single" w:sz="4" w:space="0" w:color="auto"/>
              <w:right w:val="single" w:sz="4" w:space="0" w:color="auto"/>
            </w:tcBorders>
            <w:vAlign w:val="center"/>
          </w:tcPr>
          <w:p w:rsidR="00E10C69" w:rsidRPr="00E10C69" w:rsidRDefault="00E10C69" w:rsidP="00E10C69">
            <w:pPr>
              <w:keepNext/>
              <w:spacing w:after="0"/>
              <w:jc w:val="center"/>
              <w:rPr>
                <w:rFonts w:cs="Arial"/>
                <w:spacing w:val="-3"/>
                <w:sz w:val="18"/>
                <w:szCs w:val="18"/>
                <w:lang w:val="es-AR"/>
              </w:rPr>
            </w:pPr>
            <w:r w:rsidRPr="00E10C69">
              <w:rPr>
                <w:rFonts w:cs="Arial"/>
                <w:spacing w:val="-3"/>
                <w:sz w:val="18"/>
                <w:szCs w:val="18"/>
                <w:lang w:val="es-AR"/>
              </w:rPr>
              <w:t>1</w:t>
            </w:r>
          </w:p>
        </w:tc>
        <w:tc>
          <w:tcPr>
            <w:tcW w:w="718" w:type="dxa"/>
            <w:tcBorders>
              <w:top w:val="nil"/>
              <w:left w:val="single" w:sz="4" w:space="0" w:color="auto"/>
              <w:bottom w:val="single" w:sz="4" w:space="0" w:color="auto"/>
              <w:right w:val="single" w:sz="4" w:space="0" w:color="auto"/>
            </w:tcBorders>
            <w:vAlign w:val="center"/>
            <w:hideMark/>
          </w:tcPr>
          <w:p w:rsidR="00E10C69" w:rsidRPr="00E10C69" w:rsidRDefault="00E10C69" w:rsidP="00E10C69">
            <w:pPr>
              <w:keepNext/>
              <w:spacing w:after="0"/>
              <w:jc w:val="center"/>
              <w:rPr>
                <w:rFonts w:cs="Arial"/>
                <w:spacing w:val="-3"/>
                <w:sz w:val="18"/>
                <w:szCs w:val="18"/>
                <w:lang w:val="es-AR"/>
              </w:rPr>
            </w:pPr>
            <w:r w:rsidRPr="00E10C69">
              <w:rPr>
                <w:rFonts w:cs="Arial"/>
                <w:spacing w:val="-3"/>
                <w:sz w:val="18"/>
                <w:szCs w:val="18"/>
                <w:lang w:val="es-AR"/>
              </w:rPr>
              <w:t>0</w:t>
            </w:r>
          </w:p>
        </w:tc>
        <w:tc>
          <w:tcPr>
            <w:tcW w:w="636" w:type="dxa"/>
            <w:tcBorders>
              <w:top w:val="nil"/>
              <w:left w:val="nil"/>
              <w:bottom w:val="single" w:sz="4" w:space="0" w:color="auto"/>
              <w:right w:val="single" w:sz="4" w:space="0" w:color="auto"/>
            </w:tcBorders>
            <w:vAlign w:val="center"/>
            <w:hideMark/>
          </w:tcPr>
          <w:p w:rsidR="00E10C69" w:rsidRPr="00E10C69" w:rsidRDefault="00E10C69" w:rsidP="00E10C69">
            <w:pPr>
              <w:keepNext/>
              <w:spacing w:after="0"/>
              <w:jc w:val="center"/>
              <w:rPr>
                <w:rFonts w:cs="Arial"/>
                <w:spacing w:val="-3"/>
                <w:sz w:val="18"/>
                <w:szCs w:val="18"/>
                <w:lang w:val="es-AR"/>
              </w:rPr>
            </w:pPr>
            <w:r w:rsidRPr="00E10C69">
              <w:rPr>
                <w:rFonts w:cs="Arial"/>
                <w:spacing w:val="-3"/>
                <w:sz w:val="18"/>
                <w:szCs w:val="18"/>
                <w:lang w:val="es-AR"/>
              </w:rPr>
              <w:t>3</w:t>
            </w:r>
          </w:p>
        </w:tc>
      </w:tr>
      <w:tr w:rsidR="003028FA" w:rsidRPr="00E10C69" w:rsidTr="003028FA">
        <w:trPr>
          <w:jc w:val="center"/>
        </w:trPr>
        <w:tc>
          <w:tcPr>
            <w:tcW w:w="3342" w:type="dxa"/>
            <w:tcBorders>
              <w:top w:val="nil"/>
              <w:left w:val="single" w:sz="8" w:space="0" w:color="auto"/>
              <w:bottom w:val="single" w:sz="8" w:space="0" w:color="auto"/>
              <w:right w:val="single" w:sz="4" w:space="0" w:color="auto"/>
            </w:tcBorders>
            <w:vAlign w:val="center"/>
          </w:tcPr>
          <w:p w:rsidR="00E10C69" w:rsidRPr="00E10C69" w:rsidRDefault="00E10C69" w:rsidP="003028FA">
            <w:pPr>
              <w:keepNext/>
              <w:spacing w:after="0"/>
              <w:ind w:right="-67"/>
              <w:jc w:val="left"/>
              <w:rPr>
                <w:rFonts w:cs="Arial"/>
                <w:spacing w:val="-4"/>
                <w:sz w:val="18"/>
                <w:szCs w:val="18"/>
              </w:rPr>
            </w:pPr>
            <w:r w:rsidRPr="00E10C69">
              <w:rPr>
                <w:rFonts w:cs="Arial"/>
                <w:b/>
                <w:spacing w:val="-4"/>
                <w:sz w:val="18"/>
                <w:szCs w:val="18"/>
              </w:rPr>
              <w:t>Producto 1.2</w:t>
            </w:r>
            <w:r w:rsidRPr="00E10C69">
              <w:rPr>
                <w:rFonts w:cs="Arial"/>
                <w:spacing w:val="-4"/>
                <w:sz w:val="18"/>
                <w:szCs w:val="18"/>
              </w:rPr>
              <w:t>: Centros en los que se implementa la estrategia de expansión de la jornada escolar en EM</w:t>
            </w:r>
          </w:p>
        </w:tc>
        <w:tc>
          <w:tcPr>
            <w:tcW w:w="1616" w:type="dxa"/>
            <w:tcBorders>
              <w:top w:val="nil"/>
              <w:left w:val="nil"/>
              <w:bottom w:val="single" w:sz="8" w:space="0" w:color="auto"/>
              <w:right w:val="single" w:sz="4" w:space="0" w:color="auto"/>
            </w:tcBorders>
            <w:vAlign w:val="center"/>
          </w:tcPr>
          <w:p w:rsidR="00E10C69" w:rsidRPr="00E10C69" w:rsidRDefault="00E10C69" w:rsidP="003028FA">
            <w:pPr>
              <w:keepNext/>
              <w:spacing w:after="0"/>
              <w:jc w:val="left"/>
              <w:rPr>
                <w:rFonts w:cs="Arial"/>
                <w:spacing w:val="-3"/>
                <w:sz w:val="18"/>
                <w:szCs w:val="18"/>
              </w:rPr>
            </w:pPr>
            <w:r w:rsidRPr="00E10C69">
              <w:rPr>
                <w:rFonts w:cs="Arial"/>
                <w:spacing w:val="-3"/>
                <w:sz w:val="18"/>
                <w:szCs w:val="18"/>
              </w:rPr>
              <w:t>Centros</w:t>
            </w:r>
          </w:p>
        </w:tc>
        <w:tc>
          <w:tcPr>
            <w:tcW w:w="670" w:type="dxa"/>
            <w:tcBorders>
              <w:top w:val="nil"/>
              <w:left w:val="nil"/>
              <w:bottom w:val="single" w:sz="8" w:space="0" w:color="auto"/>
              <w:right w:val="single" w:sz="4" w:space="0" w:color="auto"/>
            </w:tcBorders>
            <w:vAlign w:val="center"/>
          </w:tcPr>
          <w:p w:rsidR="00E10C69" w:rsidRPr="00E10C69" w:rsidRDefault="00E10C69" w:rsidP="00E10C69">
            <w:pPr>
              <w:spacing w:after="0"/>
              <w:jc w:val="center"/>
              <w:rPr>
                <w:rFonts w:cs="Arial"/>
                <w:spacing w:val="-3"/>
                <w:sz w:val="18"/>
                <w:szCs w:val="18"/>
                <w:lang w:val="es-AR"/>
              </w:rPr>
            </w:pPr>
            <w:r w:rsidRPr="00E10C69">
              <w:rPr>
                <w:rFonts w:cs="Arial"/>
                <w:spacing w:val="-3"/>
                <w:sz w:val="18"/>
                <w:szCs w:val="18"/>
                <w:lang w:val="es-AR"/>
              </w:rPr>
              <w:t>17</w:t>
            </w:r>
          </w:p>
        </w:tc>
        <w:tc>
          <w:tcPr>
            <w:tcW w:w="647" w:type="dxa"/>
            <w:tcBorders>
              <w:top w:val="nil"/>
              <w:left w:val="nil"/>
              <w:bottom w:val="single" w:sz="8" w:space="0" w:color="auto"/>
              <w:right w:val="single" w:sz="4" w:space="0" w:color="auto"/>
            </w:tcBorders>
            <w:vAlign w:val="center"/>
          </w:tcPr>
          <w:p w:rsidR="00E10C69" w:rsidRPr="00E10C69" w:rsidRDefault="00E10C69" w:rsidP="00E10C69">
            <w:pPr>
              <w:spacing w:after="0"/>
              <w:jc w:val="center"/>
              <w:rPr>
                <w:rFonts w:cs="Arial"/>
                <w:spacing w:val="-3"/>
                <w:sz w:val="18"/>
                <w:szCs w:val="18"/>
                <w:lang w:val="es-AR"/>
              </w:rPr>
            </w:pPr>
            <w:r w:rsidRPr="00E10C69">
              <w:rPr>
                <w:rFonts w:cs="Arial"/>
                <w:spacing w:val="-3"/>
                <w:sz w:val="18"/>
                <w:szCs w:val="18"/>
                <w:lang w:val="es-AR"/>
              </w:rPr>
              <w:t>2016</w:t>
            </w:r>
          </w:p>
        </w:tc>
        <w:tc>
          <w:tcPr>
            <w:tcW w:w="717" w:type="dxa"/>
            <w:tcBorders>
              <w:top w:val="nil"/>
              <w:left w:val="nil"/>
              <w:bottom w:val="single" w:sz="8" w:space="0" w:color="auto"/>
              <w:right w:val="single" w:sz="4" w:space="0" w:color="auto"/>
            </w:tcBorders>
            <w:vAlign w:val="center"/>
          </w:tcPr>
          <w:p w:rsidR="00E10C69" w:rsidRPr="00E10C69" w:rsidRDefault="00E10C69" w:rsidP="00E10C69">
            <w:pPr>
              <w:spacing w:after="0"/>
              <w:jc w:val="center"/>
              <w:rPr>
                <w:rFonts w:cs="Arial"/>
                <w:spacing w:val="-3"/>
                <w:sz w:val="18"/>
                <w:szCs w:val="18"/>
                <w:lang w:val="es-AR"/>
              </w:rPr>
            </w:pPr>
            <w:r w:rsidRPr="00E10C69">
              <w:rPr>
                <w:rFonts w:cs="Arial"/>
                <w:spacing w:val="-3"/>
                <w:sz w:val="18"/>
                <w:szCs w:val="18"/>
                <w:lang w:val="es-AR"/>
              </w:rPr>
              <w:t>40</w:t>
            </w:r>
          </w:p>
        </w:tc>
        <w:tc>
          <w:tcPr>
            <w:tcW w:w="718" w:type="dxa"/>
            <w:tcBorders>
              <w:top w:val="nil"/>
              <w:left w:val="nil"/>
              <w:bottom w:val="single" w:sz="8" w:space="0" w:color="auto"/>
              <w:right w:val="single" w:sz="4" w:space="0" w:color="auto"/>
            </w:tcBorders>
            <w:vAlign w:val="center"/>
          </w:tcPr>
          <w:p w:rsidR="00E10C69" w:rsidRPr="00E10C69" w:rsidRDefault="00E10C69" w:rsidP="00E10C69">
            <w:pPr>
              <w:spacing w:after="0"/>
              <w:jc w:val="center"/>
              <w:rPr>
                <w:rFonts w:cs="Arial"/>
                <w:spacing w:val="-3"/>
                <w:sz w:val="18"/>
                <w:szCs w:val="18"/>
                <w:lang w:val="es-AR"/>
              </w:rPr>
            </w:pPr>
            <w:r w:rsidRPr="00E10C69">
              <w:rPr>
                <w:rFonts w:cs="Arial"/>
                <w:spacing w:val="-3"/>
                <w:sz w:val="18"/>
                <w:szCs w:val="18"/>
                <w:lang w:val="es-AR"/>
              </w:rPr>
              <w:t>70</w:t>
            </w:r>
          </w:p>
        </w:tc>
        <w:tc>
          <w:tcPr>
            <w:tcW w:w="717" w:type="dxa"/>
            <w:tcBorders>
              <w:top w:val="nil"/>
              <w:left w:val="nil"/>
              <w:bottom w:val="single" w:sz="8" w:space="0" w:color="auto"/>
              <w:right w:val="single" w:sz="4" w:space="0" w:color="auto"/>
            </w:tcBorders>
            <w:vAlign w:val="center"/>
          </w:tcPr>
          <w:p w:rsidR="00E10C69" w:rsidRPr="00E10C69" w:rsidRDefault="00E10C69" w:rsidP="00E10C69">
            <w:pPr>
              <w:spacing w:after="0"/>
              <w:jc w:val="center"/>
              <w:rPr>
                <w:rFonts w:cs="Arial"/>
                <w:spacing w:val="-3"/>
                <w:sz w:val="18"/>
                <w:szCs w:val="18"/>
                <w:lang w:val="es-AR"/>
              </w:rPr>
            </w:pPr>
            <w:r w:rsidRPr="00E10C69">
              <w:rPr>
                <w:rFonts w:cs="Arial"/>
                <w:spacing w:val="-3"/>
                <w:sz w:val="18"/>
                <w:szCs w:val="18"/>
                <w:lang w:val="es-AR"/>
              </w:rPr>
              <w:t>100</w:t>
            </w:r>
          </w:p>
        </w:tc>
        <w:tc>
          <w:tcPr>
            <w:tcW w:w="718" w:type="dxa"/>
            <w:tcBorders>
              <w:top w:val="nil"/>
              <w:left w:val="single" w:sz="4" w:space="0" w:color="auto"/>
              <w:bottom w:val="single" w:sz="8" w:space="0" w:color="auto"/>
              <w:right w:val="single" w:sz="4" w:space="0" w:color="auto"/>
            </w:tcBorders>
            <w:vAlign w:val="center"/>
          </w:tcPr>
          <w:p w:rsidR="00E10C69" w:rsidRPr="00E10C69" w:rsidRDefault="00E10C69" w:rsidP="00E10C69">
            <w:pPr>
              <w:spacing w:after="0"/>
              <w:jc w:val="center"/>
              <w:rPr>
                <w:rFonts w:cs="Arial"/>
                <w:spacing w:val="-3"/>
                <w:sz w:val="18"/>
                <w:szCs w:val="18"/>
                <w:lang w:val="es-AR"/>
              </w:rPr>
            </w:pPr>
            <w:r w:rsidRPr="00E10C69">
              <w:rPr>
                <w:rFonts w:cs="Arial"/>
                <w:spacing w:val="-3"/>
                <w:sz w:val="18"/>
                <w:szCs w:val="18"/>
                <w:lang w:val="es-AR"/>
              </w:rPr>
              <w:t>100</w:t>
            </w:r>
          </w:p>
        </w:tc>
        <w:tc>
          <w:tcPr>
            <w:tcW w:w="718" w:type="dxa"/>
            <w:tcBorders>
              <w:top w:val="nil"/>
              <w:left w:val="single" w:sz="4" w:space="0" w:color="auto"/>
              <w:bottom w:val="single" w:sz="8" w:space="0" w:color="auto"/>
              <w:right w:val="single" w:sz="4" w:space="0" w:color="auto"/>
            </w:tcBorders>
            <w:vAlign w:val="center"/>
          </w:tcPr>
          <w:p w:rsidR="00E10C69" w:rsidRPr="00E10C69" w:rsidRDefault="00E10C69" w:rsidP="00E10C69">
            <w:pPr>
              <w:spacing w:after="0"/>
              <w:jc w:val="center"/>
              <w:rPr>
                <w:rFonts w:cs="Arial"/>
                <w:spacing w:val="-3"/>
                <w:sz w:val="18"/>
                <w:szCs w:val="18"/>
                <w:lang w:val="es-AR"/>
              </w:rPr>
            </w:pPr>
            <w:r w:rsidRPr="00E10C69">
              <w:rPr>
                <w:rFonts w:cs="Arial"/>
                <w:spacing w:val="-3"/>
                <w:sz w:val="18"/>
                <w:szCs w:val="18"/>
                <w:lang w:val="es-AR"/>
              </w:rPr>
              <w:t>100</w:t>
            </w:r>
          </w:p>
        </w:tc>
        <w:tc>
          <w:tcPr>
            <w:tcW w:w="636" w:type="dxa"/>
            <w:tcBorders>
              <w:top w:val="nil"/>
              <w:left w:val="nil"/>
              <w:bottom w:val="single" w:sz="8" w:space="0" w:color="auto"/>
              <w:right w:val="single" w:sz="4" w:space="0" w:color="auto"/>
            </w:tcBorders>
            <w:vAlign w:val="center"/>
          </w:tcPr>
          <w:p w:rsidR="00E10C69" w:rsidRPr="00E10C69" w:rsidRDefault="00E10C69" w:rsidP="00E10C69">
            <w:pPr>
              <w:spacing w:after="0"/>
              <w:jc w:val="center"/>
              <w:rPr>
                <w:rFonts w:cs="Arial"/>
                <w:spacing w:val="-3"/>
                <w:sz w:val="18"/>
                <w:szCs w:val="18"/>
                <w:lang w:val="es-AR"/>
              </w:rPr>
            </w:pPr>
            <w:r w:rsidRPr="00E10C69">
              <w:rPr>
                <w:rFonts w:cs="Arial"/>
                <w:spacing w:val="-3"/>
                <w:sz w:val="18"/>
                <w:szCs w:val="18"/>
                <w:lang w:val="es-AR"/>
              </w:rPr>
              <w:t>100</w:t>
            </w:r>
          </w:p>
        </w:tc>
      </w:tr>
      <w:tr w:rsidR="003028FA" w:rsidRPr="00E10C69" w:rsidTr="003028FA">
        <w:trPr>
          <w:jc w:val="center"/>
        </w:trPr>
        <w:tc>
          <w:tcPr>
            <w:tcW w:w="3342" w:type="dxa"/>
            <w:tcBorders>
              <w:top w:val="nil"/>
              <w:left w:val="single" w:sz="8" w:space="0" w:color="auto"/>
              <w:bottom w:val="single" w:sz="8" w:space="0" w:color="auto"/>
              <w:right w:val="single" w:sz="4" w:space="0" w:color="auto"/>
            </w:tcBorders>
            <w:vAlign w:val="center"/>
          </w:tcPr>
          <w:p w:rsidR="00E10C69" w:rsidRPr="00E10C69" w:rsidRDefault="00E10C69" w:rsidP="003028FA">
            <w:pPr>
              <w:spacing w:after="0"/>
              <w:jc w:val="left"/>
              <w:rPr>
                <w:rFonts w:cs="Arial"/>
                <w:spacing w:val="-3"/>
                <w:sz w:val="18"/>
                <w:szCs w:val="18"/>
              </w:rPr>
            </w:pPr>
            <w:r w:rsidRPr="00E10C69">
              <w:rPr>
                <w:rFonts w:cs="Arial"/>
                <w:b/>
                <w:spacing w:val="-3"/>
                <w:sz w:val="18"/>
                <w:szCs w:val="18"/>
                <w:lang w:val="es-AR"/>
              </w:rPr>
              <w:t>Producto 1.3:</w:t>
            </w:r>
            <w:r w:rsidRPr="00E10C69">
              <w:rPr>
                <w:rFonts w:cs="Arial"/>
                <w:spacing w:val="-3"/>
                <w:sz w:val="18"/>
                <w:szCs w:val="18"/>
                <w:lang w:val="es-AR"/>
              </w:rPr>
              <w:t xml:space="preserve"> Grupos (clases) en EMB funcionando en </w:t>
            </w:r>
            <w:r w:rsidR="003028FA" w:rsidRPr="00E10C69">
              <w:rPr>
                <w:rFonts w:cs="Arial"/>
                <w:spacing w:val="-3"/>
                <w:sz w:val="18"/>
                <w:szCs w:val="18"/>
                <w:lang w:val="es-AR"/>
              </w:rPr>
              <w:t>la modalidad de</w:t>
            </w:r>
            <w:r w:rsidRPr="00E10C69">
              <w:rPr>
                <w:rFonts w:cs="Arial"/>
                <w:spacing w:val="-3"/>
                <w:sz w:val="18"/>
                <w:szCs w:val="18"/>
                <w:lang w:val="es-AR"/>
              </w:rPr>
              <w:t xml:space="preserve"> </w:t>
            </w:r>
            <w:r w:rsidRPr="00E10C69">
              <w:rPr>
                <w:rFonts w:cs="Arial"/>
                <w:sz w:val="18"/>
                <w:szCs w:val="18"/>
              </w:rPr>
              <w:t xml:space="preserve">aulas digitales para cursos con escasez de profesores </w:t>
            </w:r>
          </w:p>
        </w:tc>
        <w:tc>
          <w:tcPr>
            <w:tcW w:w="1616" w:type="dxa"/>
            <w:tcBorders>
              <w:top w:val="nil"/>
              <w:left w:val="nil"/>
              <w:bottom w:val="single" w:sz="8" w:space="0" w:color="auto"/>
              <w:right w:val="single" w:sz="4" w:space="0" w:color="auto"/>
            </w:tcBorders>
            <w:vAlign w:val="center"/>
          </w:tcPr>
          <w:p w:rsidR="00E10C69" w:rsidRPr="00E10C69" w:rsidRDefault="00E10C69" w:rsidP="003028FA">
            <w:pPr>
              <w:spacing w:after="0"/>
              <w:jc w:val="left"/>
              <w:rPr>
                <w:rFonts w:cs="Arial"/>
                <w:spacing w:val="-3"/>
                <w:sz w:val="18"/>
                <w:szCs w:val="18"/>
                <w:lang w:val="es-AR"/>
              </w:rPr>
            </w:pPr>
            <w:r w:rsidRPr="00E10C69">
              <w:rPr>
                <w:rFonts w:cs="Arial"/>
                <w:spacing w:val="-3"/>
                <w:sz w:val="18"/>
                <w:szCs w:val="18"/>
                <w:lang w:val="es-AR"/>
              </w:rPr>
              <w:t>Número de Grupos</w:t>
            </w:r>
          </w:p>
        </w:tc>
        <w:tc>
          <w:tcPr>
            <w:tcW w:w="670" w:type="dxa"/>
            <w:tcBorders>
              <w:top w:val="nil"/>
              <w:left w:val="nil"/>
              <w:bottom w:val="single" w:sz="8" w:space="0" w:color="auto"/>
              <w:right w:val="single" w:sz="4" w:space="0" w:color="auto"/>
            </w:tcBorders>
            <w:vAlign w:val="center"/>
          </w:tcPr>
          <w:p w:rsidR="00E10C69" w:rsidRPr="00E10C69" w:rsidRDefault="00E10C69" w:rsidP="00E10C69">
            <w:pPr>
              <w:spacing w:after="0"/>
              <w:jc w:val="center"/>
              <w:rPr>
                <w:rFonts w:cs="Arial"/>
                <w:spacing w:val="-3"/>
                <w:sz w:val="18"/>
                <w:szCs w:val="18"/>
                <w:lang w:val="es-AR"/>
              </w:rPr>
            </w:pPr>
            <w:r w:rsidRPr="00E10C69">
              <w:rPr>
                <w:rFonts w:cs="Arial"/>
                <w:spacing w:val="-3"/>
                <w:sz w:val="18"/>
                <w:szCs w:val="18"/>
                <w:lang w:val="es-AR"/>
              </w:rPr>
              <w:t>0</w:t>
            </w:r>
          </w:p>
        </w:tc>
        <w:tc>
          <w:tcPr>
            <w:tcW w:w="647" w:type="dxa"/>
            <w:tcBorders>
              <w:top w:val="nil"/>
              <w:left w:val="nil"/>
              <w:bottom w:val="single" w:sz="8" w:space="0" w:color="auto"/>
              <w:right w:val="single" w:sz="4" w:space="0" w:color="auto"/>
            </w:tcBorders>
            <w:vAlign w:val="center"/>
          </w:tcPr>
          <w:p w:rsidR="00E10C69" w:rsidRPr="00E10C69" w:rsidRDefault="00E10C69" w:rsidP="00E10C69">
            <w:pPr>
              <w:spacing w:after="0"/>
              <w:jc w:val="center"/>
              <w:rPr>
                <w:rFonts w:cs="Arial"/>
                <w:spacing w:val="-3"/>
                <w:sz w:val="18"/>
                <w:szCs w:val="18"/>
                <w:lang w:val="es-AR"/>
              </w:rPr>
            </w:pPr>
            <w:r w:rsidRPr="00E10C69">
              <w:rPr>
                <w:rFonts w:cs="Arial"/>
                <w:spacing w:val="-3"/>
                <w:sz w:val="18"/>
                <w:szCs w:val="18"/>
                <w:lang w:val="es-AR"/>
              </w:rPr>
              <w:t>2016</w:t>
            </w:r>
          </w:p>
        </w:tc>
        <w:tc>
          <w:tcPr>
            <w:tcW w:w="717" w:type="dxa"/>
            <w:tcBorders>
              <w:top w:val="nil"/>
              <w:left w:val="nil"/>
              <w:bottom w:val="single" w:sz="8" w:space="0" w:color="auto"/>
              <w:right w:val="single" w:sz="4" w:space="0" w:color="auto"/>
            </w:tcBorders>
            <w:vAlign w:val="center"/>
          </w:tcPr>
          <w:p w:rsidR="00E10C69" w:rsidRPr="00E10C69" w:rsidRDefault="00E10C69" w:rsidP="00E10C69">
            <w:pPr>
              <w:spacing w:after="0"/>
              <w:jc w:val="center"/>
              <w:rPr>
                <w:rFonts w:cs="Arial"/>
                <w:spacing w:val="-3"/>
                <w:sz w:val="18"/>
                <w:szCs w:val="18"/>
                <w:lang w:val="es-AR"/>
              </w:rPr>
            </w:pPr>
            <w:r w:rsidRPr="00E10C69">
              <w:rPr>
                <w:rFonts w:cs="Arial"/>
                <w:spacing w:val="-3"/>
                <w:sz w:val="18"/>
                <w:szCs w:val="18"/>
                <w:lang w:val="es-AR"/>
              </w:rPr>
              <w:t>0</w:t>
            </w:r>
          </w:p>
        </w:tc>
        <w:tc>
          <w:tcPr>
            <w:tcW w:w="718" w:type="dxa"/>
            <w:tcBorders>
              <w:top w:val="nil"/>
              <w:left w:val="nil"/>
              <w:bottom w:val="single" w:sz="8" w:space="0" w:color="auto"/>
              <w:right w:val="single" w:sz="4" w:space="0" w:color="auto"/>
            </w:tcBorders>
            <w:vAlign w:val="center"/>
          </w:tcPr>
          <w:p w:rsidR="00E10C69" w:rsidRPr="00E10C69" w:rsidRDefault="00E10C69" w:rsidP="00E10C69">
            <w:pPr>
              <w:spacing w:after="0"/>
              <w:jc w:val="center"/>
              <w:rPr>
                <w:rFonts w:cs="Arial"/>
                <w:spacing w:val="-3"/>
                <w:sz w:val="18"/>
                <w:szCs w:val="18"/>
                <w:lang w:val="es-AR"/>
              </w:rPr>
            </w:pPr>
            <w:r w:rsidRPr="00E10C69">
              <w:rPr>
                <w:rFonts w:cs="Arial"/>
                <w:spacing w:val="-3"/>
                <w:sz w:val="18"/>
                <w:szCs w:val="18"/>
                <w:lang w:val="es-AR"/>
              </w:rPr>
              <w:t>50</w:t>
            </w:r>
          </w:p>
        </w:tc>
        <w:tc>
          <w:tcPr>
            <w:tcW w:w="717" w:type="dxa"/>
            <w:tcBorders>
              <w:top w:val="nil"/>
              <w:left w:val="nil"/>
              <w:bottom w:val="single" w:sz="8" w:space="0" w:color="auto"/>
              <w:right w:val="single" w:sz="4" w:space="0" w:color="auto"/>
            </w:tcBorders>
            <w:vAlign w:val="center"/>
          </w:tcPr>
          <w:p w:rsidR="00E10C69" w:rsidRPr="00E10C69" w:rsidRDefault="00E10C69" w:rsidP="00E10C69">
            <w:pPr>
              <w:spacing w:after="0"/>
              <w:jc w:val="center"/>
              <w:rPr>
                <w:rFonts w:cs="Arial"/>
                <w:spacing w:val="-3"/>
                <w:sz w:val="18"/>
                <w:szCs w:val="18"/>
                <w:lang w:val="es-AR"/>
              </w:rPr>
            </w:pPr>
            <w:r w:rsidRPr="00E10C69">
              <w:rPr>
                <w:rFonts w:cs="Arial"/>
                <w:spacing w:val="-3"/>
                <w:sz w:val="18"/>
                <w:szCs w:val="18"/>
                <w:lang w:val="es-AR"/>
              </w:rPr>
              <w:t>100</w:t>
            </w:r>
          </w:p>
        </w:tc>
        <w:tc>
          <w:tcPr>
            <w:tcW w:w="718" w:type="dxa"/>
            <w:tcBorders>
              <w:top w:val="nil"/>
              <w:left w:val="single" w:sz="4" w:space="0" w:color="auto"/>
              <w:bottom w:val="single" w:sz="8" w:space="0" w:color="auto"/>
              <w:right w:val="single" w:sz="4" w:space="0" w:color="auto"/>
            </w:tcBorders>
            <w:vAlign w:val="center"/>
          </w:tcPr>
          <w:p w:rsidR="00E10C69" w:rsidRPr="00E10C69" w:rsidRDefault="00E10C69" w:rsidP="00E10C69">
            <w:pPr>
              <w:spacing w:after="0"/>
              <w:jc w:val="center"/>
              <w:rPr>
                <w:rFonts w:cs="Arial"/>
                <w:spacing w:val="-3"/>
                <w:sz w:val="18"/>
                <w:szCs w:val="18"/>
                <w:lang w:val="es-AR"/>
              </w:rPr>
            </w:pPr>
            <w:r w:rsidRPr="00E10C69">
              <w:rPr>
                <w:rFonts w:cs="Arial"/>
                <w:spacing w:val="-3"/>
                <w:sz w:val="18"/>
                <w:szCs w:val="18"/>
                <w:lang w:val="es-AR"/>
              </w:rPr>
              <w:t>150</w:t>
            </w:r>
          </w:p>
        </w:tc>
        <w:tc>
          <w:tcPr>
            <w:tcW w:w="718" w:type="dxa"/>
            <w:tcBorders>
              <w:top w:val="nil"/>
              <w:left w:val="single" w:sz="4" w:space="0" w:color="auto"/>
              <w:bottom w:val="single" w:sz="8" w:space="0" w:color="auto"/>
              <w:right w:val="single" w:sz="4" w:space="0" w:color="auto"/>
            </w:tcBorders>
            <w:vAlign w:val="center"/>
          </w:tcPr>
          <w:p w:rsidR="00E10C69" w:rsidRPr="00E10C69" w:rsidRDefault="00E10C69" w:rsidP="00E10C69">
            <w:pPr>
              <w:spacing w:after="0"/>
              <w:jc w:val="center"/>
              <w:rPr>
                <w:rFonts w:cs="Arial"/>
                <w:spacing w:val="-3"/>
                <w:sz w:val="18"/>
                <w:szCs w:val="18"/>
                <w:lang w:val="es-AR"/>
              </w:rPr>
            </w:pPr>
            <w:r w:rsidRPr="00E10C69">
              <w:rPr>
                <w:rFonts w:cs="Arial"/>
                <w:spacing w:val="-3"/>
                <w:sz w:val="18"/>
                <w:szCs w:val="18"/>
                <w:lang w:val="es-AR"/>
              </w:rPr>
              <w:t>200</w:t>
            </w:r>
          </w:p>
        </w:tc>
        <w:tc>
          <w:tcPr>
            <w:tcW w:w="636" w:type="dxa"/>
            <w:tcBorders>
              <w:top w:val="nil"/>
              <w:left w:val="nil"/>
              <w:bottom w:val="single" w:sz="8" w:space="0" w:color="auto"/>
              <w:right w:val="single" w:sz="4" w:space="0" w:color="auto"/>
            </w:tcBorders>
            <w:vAlign w:val="center"/>
          </w:tcPr>
          <w:p w:rsidR="00E10C69" w:rsidRPr="00E10C69" w:rsidRDefault="00E10C69" w:rsidP="00E10C69">
            <w:pPr>
              <w:spacing w:after="0"/>
              <w:jc w:val="center"/>
              <w:rPr>
                <w:rFonts w:cs="Arial"/>
                <w:spacing w:val="-3"/>
                <w:sz w:val="18"/>
                <w:szCs w:val="18"/>
                <w:lang w:val="es-AR"/>
              </w:rPr>
            </w:pPr>
            <w:r w:rsidRPr="00E10C69">
              <w:rPr>
                <w:rFonts w:cs="Arial"/>
                <w:spacing w:val="-3"/>
                <w:sz w:val="18"/>
                <w:szCs w:val="18"/>
                <w:lang w:val="es-AR"/>
              </w:rPr>
              <w:t>200</w:t>
            </w:r>
          </w:p>
        </w:tc>
      </w:tr>
      <w:tr w:rsidR="003028FA" w:rsidRPr="00BF598F" w:rsidTr="003028FA">
        <w:trPr>
          <w:jc w:val="center"/>
        </w:trPr>
        <w:tc>
          <w:tcPr>
            <w:tcW w:w="10499" w:type="dxa"/>
            <w:gridSpan w:val="10"/>
            <w:tcBorders>
              <w:top w:val="nil"/>
              <w:left w:val="single" w:sz="8" w:space="0" w:color="auto"/>
              <w:bottom w:val="single" w:sz="4" w:space="0" w:color="auto"/>
              <w:right w:val="single" w:sz="4" w:space="0" w:color="auto"/>
            </w:tcBorders>
            <w:shd w:val="clear" w:color="auto" w:fill="auto"/>
            <w:vAlign w:val="center"/>
          </w:tcPr>
          <w:p w:rsidR="003028FA" w:rsidRDefault="003028FA" w:rsidP="003028FA">
            <w:pPr>
              <w:spacing w:after="0"/>
              <w:jc w:val="left"/>
              <w:rPr>
                <w:rFonts w:cs="Arial"/>
                <w:spacing w:val="-3"/>
                <w:sz w:val="18"/>
                <w:szCs w:val="18"/>
                <w:lang w:val="es-AR"/>
              </w:rPr>
            </w:pPr>
            <w:r w:rsidRPr="00BF598F">
              <w:rPr>
                <w:rFonts w:cs="Arial"/>
                <w:b/>
                <w:bCs/>
                <w:spacing w:val="-3"/>
                <w:sz w:val="18"/>
                <w:szCs w:val="18"/>
                <w:lang w:val="es-AR"/>
              </w:rPr>
              <w:t xml:space="preserve">Componente 2: </w:t>
            </w:r>
            <w:r w:rsidRPr="00BF598F">
              <w:rPr>
                <w:rFonts w:cs="Arial"/>
                <w:b/>
                <w:sz w:val="18"/>
                <w:szCs w:val="18"/>
              </w:rPr>
              <w:t>Formación en educación</w:t>
            </w:r>
          </w:p>
        </w:tc>
      </w:tr>
      <w:tr w:rsidR="003028FA" w:rsidRPr="00BF598F" w:rsidTr="003028FA">
        <w:trPr>
          <w:jc w:val="center"/>
        </w:trPr>
        <w:tc>
          <w:tcPr>
            <w:tcW w:w="3342" w:type="dxa"/>
            <w:tcBorders>
              <w:top w:val="nil"/>
              <w:left w:val="single" w:sz="8" w:space="0" w:color="auto"/>
              <w:bottom w:val="single" w:sz="4" w:space="0" w:color="auto"/>
              <w:right w:val="single" w:sz="4" w:space="0" w:color="auto"/>
            </w:tcBorders>
            <w:shd w:val="clear" w:color="auto" w:fill="auto"/>
            <w:vAlign w:val="center"/>
            <w:hideMark/>
          </w:tcPr>
          <w:p w:rsidR="00E10C69" w:rsidRPr="00C40ED8" w:rsidRDefault="00E10C69" w:rsidP="003028FA">
            <w:pPr>
              <w:spacing w:after="0"/>
              <w:ind w:left="-70" w:right="-84"/>
              <w:jc w:val="left"/>
              <w:rPr>
                <w:rFonts w:cs="Arial"/>
                <w:spacing w:val="-4"/>
                <w:sz w:val="18"/>
                <w:szCs w:val="18"/>
              </w:rPr>
            </w:pPr>
            <w:r w:rsidRPr="00C40ED8">
              <w:rPr>
                <w:rFonts w:cs="Arial"/>
                <w:b/>
                <w:spacing w:val="-4"/>
                <w:sz w:val="18"/>
                <w:szCs w:val="18"/>
                <w:lang w:val="es-AR"/>
              </w:rPr>
              <w:t xml:space="preserve">Producto 2.1: </w:t>
            </w:r>
            <w:r w:rsidRPr="00C40ED8">
              <w:rPr>
                <w:rFonts w:cs="Arial"/>
                <w:spacing w:val="-4"/>
                <w:sz w:val="18"/>
                <w:szCs w:val="18"/>
                <w:lang w:val="es-AR"/>
              </w:rPr>
              <w:t xml:space="preserve">Nuevo </w:t>
            </w:r>
            <w:r w:rsidRPr="00C40ED8">
              <w:rPr>
                <w:rFonts w:cs="Arial"/>
                <w:spacing w:val="-4"/>
                <w:sz w:val="18"/>
                <w:szCs w:val="18"/>
                <w:lang w:val="es-UY"/>
              </w:rPr>
              <w:t>plan de estudios de FI desarrollado, implementado y evaluado.</w:t>
            </w:r>
          </w:p>
        </w:tc>
        <w:tc>
          <w:tcPr>
            <w:tcW w:w="1616" w:type="dxa"/>
            <w:tcBorders>
              <w:top w:val="nil"/>
              <w:left w:val="nil"/>
              <w:bottom w:val="single" w:sz="4" w:space="0" w:color="auto"/>
              <w:right w:val="single" w:sz="4" w:space="0" w:color="auto"/>
            </w:tcBorders>
            <w:shd w:val="clear" w:color="auto" w:fill="auto"/>
            <w:vAlign w:val="center"/>
          </w:tcPr>
          <w:p w:rsidR="00E10C69" w:rsidRPr="00BF598F" w:rsidRDefault="00E10C69" w:rsidP="003028FA">
            <w:pPr>
              <w:spacing w:after="0"/>
              <w:jc w:val="left"/>
              <w:rPr>
                <w:rFonts w:cs="Arial"/>
                <w:spacing w:val="-3"/>
                <w:sz w:val="18"/>
                <w:szCs w:val="18"/>
                <w:lang w:val="es-AR"/>
              </w:rPr>
            </w:pPr>
            <w:r>
              <w:rPr>
                <w:rFonts w:cs="Arial"/>
                <w:spacing w:val="-3"/>
                <w:sz w:val="18"/>
                <w:szCs w:val="18"/>
                <w:lang w:val="es-AR"/>
              </w:rPr>
              <w:t xml:space="preserve">Fases del nuevo plan </w:t>
            </w:r>
          </w:p>
        </w:tc>
        <w:tc>
          <w:tcPr>
            <w:tcW w:w="670" w:type="dxa"/>
            <w:tcBorders>
              <w:top w:val="nil"/>
              <w:left w:val="nil"/>
              <w:bottom w:val="single" w:sz="4" w:space="0" w:color="auto"/>
              <w:right w:val="single" w:sz="4" w:space="0" w:color="auto"/>
            </w:tcBorders>
            <w:shd w:val="clear" w:color="auto" w:fill="auto"/>
            <w:vAlign w:val="center"/>
            <w:hideMark/>
          </w:tcPr>
          <w:p w:rsidR="00E10C69" w:rsidRPr="00BF598F" w:rsidRDefault="00E10C69" w:rsidP="00E10C69">
            <w:pPr>
              <w:spacing w:after="0"/>
              <w:jc w:val="center"/>
              <w:rPr>
                <w:rFonts w:cs="Arial"/>
                <w:spacing w:val="-3"/>
                <w:sz w:val="18"/>
                <w:szCs w:val="18"/>
                <w:lang w:val="es-AR"/>
              </w:rPr>
            </w:pPr>
            <w:r w:rsidRPr="00BF598F">
              <w:rPr>
                <w:rFonts w:cs="Arial"/>
                <w:spacing w:val="-3"/>
                <w:sz w:val="18"/>
                <w:szCs w:val="18"/>
                <w:lang w:val="es-AR"/>
              </w:rPr>
              <w:t>0</w:t>
            </w:r>
          </w:p>
        </w:tc>
        <w:tc>
          <w:tcPr>
            <w:tcW w:w="647" w:type="dxa"/>
            <w:tcBorders>
              <w:top w:val="nil"/>
              <w:left w:val="nil"/>
              <w:bottom w:val="single" w:sz="4" w:space="0" w:color="auto"/>
              <w:right w:val="single" w:sz="4" w:space="0" w:color="auto"/>
            </w:tcBorders>
            <w:shd w:val="clear" w:color="auto" w:fill="auto"/>
            <w:vAlign w:val="center"/>
            <w:hideMark/>
          </w:tcPr>
          <w:p w:rsidR="00E10C69" w:rsidRPr="00BF598F" w:rsidRDefault="00E10C69" w:rsidP="00E10C69">
            <w:pPr>
              <w:spacing w:after="0"/>
              <w:jc w:val="center"/>
              <w:rPr>
                <w:rFonts w:cs="Arial"/>
                <w:spacing w:val="-3"/>
                <w:sz w:val="18"/>
                <w:szCs w:val="18"/>
                <w:lang w:val="es-AR"/>
              </w:rPr>
            </w:pPr>
            <w:r>
              <w:rPr>
                <w:rFonts w:cs="Arial"/>
                <w:spacing w:val="-3"/>
                <w:sz w:val="18"/>
                <w:szCs w:val="18"/>
                <w:lang w:val="es-AR"/>
              </w:rPr>
              <w:t>2016</w:t>
            </w:r>
          </w:p>
        </w:tc>
        <w:tc>
          <w:tcPr>
            <w:tcW w:w="717" w:type="dxa"/>
            <w:tcBorders>
              <w:top w:val="nil"/>
              <w:left w:val="nil"/>
              <w:bottom w:val="single" w:sz="4" w:space="0" w:color="auto"/>
              <w:right w:val="single" w:sz="4" w:space="0" w:color="auto"/>
            </w:tcBorders>
            <w:shd w:val="clear" w:color="auto" w:fill="auto"/>
            <w:vAlign w:val="center"/>
            <w:hideMark/>
          </w:tcPr>
          <w:p w:rsidR="00E10C69" w:rsidRPr="00BF598F" w:rsidRDefault="00E10C69" w:rsidP="00E10C69">
            <w:pPr>
              <w:spacing w:after="0"/>
              <w:jc w:val="center"/>
              <w:rPr>
                <w:rFonts w:cs="Arial"/>
                <w:spacing w:val="-3"/>
                <w:sz w:val="18"/>
                <w:szCs w:val="18"/>
                <w:lang w:val="es-AR"/>
              </w:rPr>
            </w:pPr>
            <w:r>
              <w:rPr>
                <w:rFonts w:cs="Arial"/>
                <w:spacing w:val="-3"/>
                <w:sz w:val="18"/>
                <w:szCs w:val="18"/>
                <w:lang w:val="es-AR"/>
              </w:rPr>
              <w:t>1</w:t>
            </w:r>
          </w:p>
        </w:tc>
        <w:tc>
          <w:tcPr>
            <w:tcW w:w="718" w:type="dxa"/>
            <w:tcBorders>
              <w:top w:val="nil"/>
              <w:left w:val="nil"/>
              <w:bottom w:val="single" w:sz="4" w:space="0" w:color="auto"/>
              <w:right w:val="single" w:sz="4" w:space="0" w:color="auto"/>
            </w:tcBorders>
            <w:shd w:val="clear" w:color="auto" w:fill="auto"/>
            <w:vAlign w:val="center"/>
            <w:hideMark/>
          </w:tcPr>
          <w:p w:rsidR="00E10C69" w:rsidRPr="00BF598F" w:rsidRDefault="00E10C69" w:rsidP="00E10C69">
            <w:pPr>
              <w:spacing w:after="0"/>
              <w:jc w:val="center"/>
              <w:rPr>
                <w:rFonts w:cs="Arial"/>
                <w:spacing w:val="-3"/>
                <w:sz w:val="18"/>
                <w:szCs w:val="18"/>
                <w:lang w:val="es-AR"/>
              </w:rPr>
            </w:pPr>
            <w:r>
              <w:rPr>
                <w:rFonts w:cs="Arial"/>
                <w:spacing w:val="-3"/>
                <w:sz w:val="18"/>
                <w:szCs w:val="18"/>
                <w:lang w:val="es-AR"/>
              </w:rPr>
              <w:t>1</w:t>
            </w:r>
          </w:p>
        </w:tc>
        <w:tc>
          <w:tcPr>
            <w:tcW w:w="717" w:type="dxa"/>
            <w:tcBorders>
              <w:top w:val="nil"/>
              <w:left w:val="nil"/>
              <w:bottom w:val="single" w:sz="4" w:space="0" w:color="auto"/>
              <w:right w:val="single" w:sz="4" w:space="0" w:color="auto"/>
            </w:tcBorders>
            <w:vAlign w:val="center"/>
          </w:tcPr>
          <w:p w:rsidR="00E10C69" w:rsidRPr="00BF598F" w:rsidRDefault="00E10C69" w:rsidP="00E10C69">
            <w:pPr>
              <w:spacing w:after="0"/>
              <w:jc w:val="center"/>
              <w:rPr>
                <w:rFonts w:cs="Arial"/>
                <w:spacing w:val="-3"/>
                <w:sz w:val="18"/>
                <w:szCs w:val="18"/>
                <w:lang w:val="es-AR"/>
              </w:rPr>
            </w:pPr>
            <w:r>
              <w:rPr>
                <w:rFonts w:cs="Arial"/>
                <w:spacing w:val="-3"/>
                <w:sz w:val="18"/>
                <w:szCs w:val="18"/>
                <w:lang w:val="es-AR"/>
              </w:rPr>
              <w:t>1</w:t>
            </w:r>
          </w:p>
        </w:tc>
        <w:tc>
          <w:tcPr>
            <w:tcW w:w="718" w:type="dxa"/>
            <w:tcBorders>
              <w:top w:val="nil"/>
              <w:left w:val="single" w:sz="4" w:space="0" w:color="auto"/>
              <w:bottom w:val="single" w:sz="4" w:space="0" w:color="auto"/>
              <w:right w:val="single" w:sz="4" w:space="0" w:color="auto"/>
            </w:tcBorders>
            <w:vAlign w:val="center"/>
          </w:tcPr>
          <w:p w:rsidR="00E10C69" w:rsidRPr="00BF598F" w:rsidRDefault="00E10C69" w:rsidP="00E10C69">
            <w:pPr>
              <w:spacing w:after="0"/>
              <w:jc w:val="center"/>
              <w:rPr>
                <w:rFonts w:cs="Arial"/>
                <w:spacing w:val="-3"/>
                <w:sz w:val="18"/>
                <w:szCs w:val="18"/>
                <w:lang w:val="es-AR"/>
              </w:rPr>
            </w:pPr>
            <w:r>
              <w:rPr>
                <w:rFonts w:cs="Arial"/>
                <w:spacing w:val="-3"/>
                <w:sz w:val="18"/>
                <w:szCs w:val="18"/>
                <w:lang w:val="es-AR"/>
              </w:rPr>
              <w:t>1</w:t>
            </w:r>
          </w:p>
        </w:tc>
        <w:tc>
          <w:tcPr>
            <w:tcW w:w="718" w:type="dxa"/>
            <w:tcBorders>
              <w:top w:val="nil"/>
              <w:left w:val="single" w:sz="4" w:space="0" w:color="auto"/>
              <w:bottom w:val="single" w:sz="4" w:space="0" w:color="auto"/>
              <w:right w:val="single" w:sz="4" w:space="0" w:color="auto"/>
            </w:tcBorders>
            <w:shd w:val="clear" w:color="auto" w:fill="auto"/>
            <w:vAlign w:val="center"/>
          </w:tcPr>
          <w:p w:rsidR="00E10C69" w:rsidRPr="00BF598F" w:rsidRDefault="00E10C69" w:rsidP="00E10C69">
            <w:pPr>
              <w:spacing w:after="0"/>
              <w:jc w:val="center"/>
              <w:rPr>
                <w:rFonts w:cs="Arial"/>
                <w:spacing w:val="-3"/>
                <w:sz w:val="18"/>
                <w:szCs w:val="18"/>
                <w:lang w:val="es-AR"/>
              </w:rPr>
            </w:pPr>
            <w:r>
              <w:rPr>
                <w:rFonts w:cs="Arial"/>
                <w:spacing w:val="-3"/>
                <w:sz w:val="18"/>
                <w:szCs w:val="18"/>
                <w:lang w:val="es-AR"/>
              </w:rPr>
              <w:t>2</w:t>
            </w:r>
          </w:p>
        </w:tc>
        <w:tc>
          <w:tcPr>
            <w:tcW w:w="636" w:type="dxa"/>
            <w:tcBorders>
              <w:top w:val="nil"/>
              <w:left w:val="nil"/>
              <w:bottom w:val="single" w:sz="4" w:space="0" w:color="auto"/>
              <w:right w:val="single" w:sz="4" w:space="0" w:color="auto"/>
            </w:tcBorders>
            <w:shd w:val="clear" w:color="auto" w:fill="auto"/>
            <w:vAlign w:val="center"/>
            <w:hideMark/>
          </w:tcPr>
          <w:p w:rsidR="00E10C69" w:rsidRPr="00BF598F" w:rsidRDefault="00E10C69" w:rsidP="00E10C69">
            <w:pPr>
              <w:spacing w:after="0"/>
              <w:jc w:val="center"/>
              <w:rPr>
                <w:rFonts w:cs="Arial"/>
                <w:spacing w:val="-3"/>
                <w:sz w:val="18"/>
                <w:szCs w:val="18"/>
                <w:lang w:val="es-AR"/>
              </w:rPr>
            </w:pPr>
            <w:r>
              <w:rPr>
                <w:rFonts w:cs="Arial"/>
                <w:spacing w:val="-3"/>
                <w:sz w:val="18"/>
                <w:szCs w:val="18"/>
                <w:lang w:val="es-AR"/>
              </w:rPr>
              <w:t>6</w:t>
            </w:r>
          </w:p>
        </w:tc>
      </w:tr>
      <w:tr w:rsidR="003028FA" w:rsidTr="003028FA">
        <w:trPr>
          <w:jc w:val="center"/>
        </w:trPr>
        <w:tc>
          <w:tcPr>
            <w:tcW w:w="3342" w:type="dxa"/>
            <w:tcBorders>
              <w:top w:val="nil"/>
              <w:left w:val="single" w:sz="8" w:space="0" w:color="auto"/>
              <w:bottom w:val="single" w:sz="8" w:space="0" w:color="auto"/>
              <w:right w:val="single" w:sz="4" w:space="0" w:color="auto"/>
            </w:tcBorders>
            <w:shd w:val="clear" w:color="auto" w:fill="auto"/>
            <w:vAlign w:val="center"/>
          </w:tcPr>
          <w:p w:rsidR="00E10C69" w:rsidRPr="00C40ED8" w:rsidRDefault="00E10C69" w:rsidP="003028FA">
            <w:pPr>
              <w:spacing w:after="0"/>
              <w:ind w:left="-70" w:right="-84"/>
              <w:jc w:val="left"/>
              <w:rPr>
                <w:rFonts w:cs="Arial"/>
                <w:spacing w:val="-4"/>
                <w:sz w:val="18"/>
                <w:szCs w:val="18"/>
                <w:lang w:val="es-AR"/>
              </w:rPr>
            </w:pPr>
            <w:r w:rsidRPr="00C40ED8">
              <w:rPr>
                <w:rFonts w:cs="Arial"/>
                <w:b/>
                <w:spacing w:val="-4"/>
                <w:sz w:val="18"/>
                <w:szCs w:val="18"/>
                <w:lang w:val="es-AR"/>
              </w:rPr>
              <w:t>Producto 2.2</w:t>
            </w:r>
            <w:r w:rsidRPr="00C40ED8">
              <w:rPr>
                <w:rFonts w:cs="Arial"/>
                <w:spacing w:val="-4"/>
                <w:sz w:val="18"/>
                <w:szCs w:val="18"/>
                <w:lang w:val="es-AR"/>
              </w:rPr>
              <w:t xml:space="preserve"> Tribunales </w:t>
            </w:r>
            <w:r>
              <w:rPr>
                <w:rFonts w:cs="Arial"/>
                <w:spacing w:val="-4"/>
                <w:sz w:val="18"/>
                <w:szCs w:val="18"/>
                <w:lang w:val="es-AR"/>
              </w:rPr>
              <w:t xml:space="preserve">constituidos </w:t>
            </w:r>
            <w:r w:rsidRPr="00C40ED8">
              <w:rPr>
                <w:rFonts w:cs="Arial"/>
                <w:spacing w:val="-4"/>
                <w:sz w:val="18"/>
                <w:szCs w:val="18"/>
                <w:lang w:val="es-AR"/>
              </w:rPr>
              <w:t xml:space="preserve">para concursos de nuevos cargos y grados de FI </w:t>
            </w:r>
          </w:p>
        </w:tc>
        <w:tc>
          <w:tcPr>
            <w:tcW w:w="1616" w:type="dxa"/>
            <w:tcBorders>
              <w:top w:val="nil"/>
              <w:left w:val="nil"/>
              <w:bottom w:val="single" w:sz="8" w:space="0" w:color="auto"/>
              <w:right w:val="single" w:sz="4" w:space="0" w:color="auto"/>
            </w:tcBorders>
            <w:shd w:val="clear" w:color="auto" w:fill="auto"/>
            <w:vAlign w:val="center"/>
          </w:tcPr>
          <w:p w:rsidR="00E10C69" w:rsidRDefault="00E10C69" w:rsidP="003028FA">
            <w:pPr>
              <w:spacing w:after="0"/>
              <w:jc w:val="left"/>
              <w:rPr>
                <w:rFonts w:cs="Arial"/>
                <w:spacing w:val="-3"/>
                <w:sz w:val="18"/>
                <w:szCs w:val="18"/>
                <w:lang w:val="es-AR"/>
              </w:rPr>
            </w:pPr>
            <w:r>
              <w:rPr>
                <w:rFonts w:cs="Arial"/>
                <w:spacing w:val="-3"/>
                <w:sz w:val="18"/>
                <w:szCs w:val="18"/>
                <w:lang w:val="es-AR"/>
              </w:rPr>
              <w:t>Tribunales</w:t>
            </w:r>
          </w:p>
        </w:tc>
        <w:tc>
          <w:tcPr>
            <w:tcW w:w="670" w:type="dxa"/>
            <w:tcBorders>
              <w:top w:val="nil"/>
              <w:left w:val="nil"/>
              <w:bottom w:val="single" w:sz="8" w:space="0" w:color="auto"/>
              <w:right w:val="single" w:sz="4" w:space="0" w:color="auto"/>
            </w:tcBorders>
            <w:shd w:val="clear" w:color="auto" w:fill="auto"/>
            <w:vAlign w:val="center"/>
          </w:tcPr>
          <w:p w:rsidR="00E10C69" w:rsidRPr="00BF598F" w:rsidRDefault="00E10C69" w:rsidP="00E10C69">
            <w:pPr>
              <w:spacing w:after="0"/>
              <w:jc w:val="center"/>
              <w:rPr>
                <w:rFonts w:cs="Arial"/>
                <w:spacing w:val="-3"/>
                <w:sz w:val="18"/>
                <w:szCs w:val="18"/>
                <w:lang w:val="es-AR"/>
              </w:rPr>
            </w:pPr>
            <w:r>
              <w:rPr>
                <w:rFonts w:cs="Arial"/>
                <w:spacing w:val="-3"/>
                <w:sz w:val="18"/>
                <w:szCs w:val="18"/>
                <w:lang w:val="es-AR"/>
              </w:rPr>
              <w:t>0</w:t>
            </w:r>
          </w:p>
        </w:tc>
        <w:tc>
          <w:tcPr>
            <w:tcW w:w="647" w:type="dxa"/>
            <w:tcBorders>
              <w:top w:val="nil"/>
              <w:left w:val="nil"/>
              <w:bottom w:val="single" w:sz="8" w:space="0" w:color="auto"/>
              <w:right w:val="single" w:sz="4" w:space="0" w:color="auto"/>
            </w:tcBorders>
            <w:shd w:val="clear" w:color="auto" w:fill="auto"/>
            <w:vAlign w:val="center"/>
          </w:tcPr>
          <w:p w:rsidR="00E10C69" w:rsidRPr="00BF598F" w:rsidRDefault="00E10C69" w:rsidP="00E10C69">
            <w:pPr>
              <w:spacing w:after="0"/>
              <w:jc w:val="center"/>
              <w:rPr>
                <w:rFonts w:cs="Arial"/>
                <w:spacing w:val="-3"/>
                <w:sz w:val="18"/>
                <w:szCs w:val="18"/>
                <w:lang w:val="es-AR"/>
              </w:rPr>
            </w:pPr>
            <w:r>
              <w:rPr>
                <w:rFonts w:cs="Arial"/>
                <w:spacing w:val="-3"/>
                <w:sz w:val="18"/>
                <w:szCs w:val="18"/>
                <w:lang w:val="es-AR"/>
              </w:rPr>
              <w:t>2016</w:t>
            </w:r>
          </w:p>
        </w:tc>
        <w:tc>
          <w:tcPr>
            <w:tcW w:w="717" w:type="dxa"/>
            <w:tcBorders>
              <w:top w:val="nil"/>
              <w:left w:val="nil"/>
              <w:bottom w:val="single" w:sz="8" w:space="0" w:color="auto"/>
              <w:right w:val="single" w:sz="4" w:space="0" w:color="auto"/>
            </w:tcBorders>
            <w:shd w:val="clear" w:color="auto" w:fill="auto"/>
            <w:vAlign w:val="center"/>
          </w:tcPr>
          <w:p w:rsidR="00E10C69" w:rsidRPr="00BF598F" w:rsidRDefault="00E10C69" w:rsidP="00E10C69">
            <w:pPr>
              <w:spacing w:after="0"/>
              <w:jc w:val="center"/>
              <w:rPr>
                <w:rFonts w:cs="Arial"/>
                <w:spacing w:val="-3"/>
                <w:sz w:val="18"/>
                <w:szCs w:val="18"/>
                <w:lang w:val="es-AR"/>
              </w:rPr>
            </w:pPr>
            <w:r>
              <w:rPr>
                <w:rFonts w:cs="Arial"/>
                <w:spacing w:val="-3"/>
                <w:sz w:val="18"/>
                <w:szCs w:val="18"/>
                <w:lang w:val="es-AR"/>
              </w:rPr>
              <w:t>44</w:t>
            </w:r>
          </w:p>
        </w:tc>
        <w:tc>
          <w:tcPr>
            <w:tcW w:w="718" w:type="dxa"/>
            <w:tcBorders>
              <w:top w:val="nil"/>
              <w:left w:val="nil"/>
              <w:bottom w:val="single" w:sz="8" w:space="0" w:color="auto"/>
              <w:right w:val="single" w:sz="4" w:space="0" w:color="auto"/>
            </w:tcBorders>
            <w:shd w:val="clear" w:color="auto" w:fill="auto"/>
            <w:vAlign w:val="center"/>
          </w:tcPr>
          <w:p w:rsidR="00E10C69" w:rsidRDefault="00E10C69" w:rsidP="00E10C69">
            <w:pPr>
              <w:spacing w:after="0"/>
              <w:jc w:val="center"/>
              <w:rPr>
                <w:rFonts w:cs="Arial"/>
                <w:spacing w:val="-3"/>
                <w:sz w:val="18"/>
                <w:szCs w:val="18"/>
                <w:lang w:val="es-AR"/>
              </w:rPr>
            </w:pPr>
            <w:r>
              <w:rPr>
                <w:rFonts w:cs="Arial"/>
                <w:spacing w:val="-3"/>
                <w:sz w:val="18"/>
                <w:szCs w:val="18"/>
                <w:lang w:val="es-AR"/>
              </w:rPr>
              <w:t>47</w:t>
            </w:r>
          </w:p>
        </w:tc>
        <w:tc>
          <w:tcPr>
            <w:tcW w:w="717" w:type="dxa"/>
            <w:tcBorders>
              <w:top w:val="nil"/>
              <w:left w:val="nil"/>
              <w:bottom w:val="single" w:sz="8" w:space="0" w:color="auto"/>
              <w:right w:val="single" w:sz="4" w:space="0" w:color="auto"/>
            </w:tcBorders>
            <w:vAlign w:val="center"/>
          </w:tcPr>
          <w:p w:rsidR="00E10C69" w:rsidRDefault="00E10C69" w:rsidP="00E10C69">
            <w:pPr>
              <w:spacing w:after="0"/>
              <w:jc w:val="center"/>
              <w:rPr>
                <w:rFonts w:cs="Arial"/>
                <w:spacing w:val="-3"/>
                <w:sz w:val="18"/>
                <w:szCs w:val="18"/>
                <w:lang w:val="es-AR"/>
              </w:rPr>
            </w:pPr>
            <w:r>
              <w:rPr>
                <w:rFonts w:cs="Arial"/>
                <w:spacing w:val="-3"/>
                <w:sz w:val="18"/>
                <w:szCs w:val="18"/>
                <w:lang w:val="es-AR"/>
              </w:rPr>
              <w:t>39</w:t>
            </w:r>
          </w:p>
        </w:tc>
        <w:tc>
          <w:tcPr>
            <w:tcW w:w="718" w:type="dxa"/>
            <w:tcBorders>
              <w:top w:val="nil"/>
              <w:left w:val="single" w:sz="4" w:space="0" w:color="auto"/>
              <w:bottom w:val="single" w:sz="8" w:space="0" w:color="auto"/>
              <w:right w:val="single" w:sz="4" w:space="0" w:color="auto"/>
            </w:tcBorders>
            <w:vAlign w:val="center"/>
          </w:tcPr>
          <w:p w:rsidR="00E10C69" w:rsidRDefault="00E10C69" w:rsidP="00E10C69">
            <w:pPr>
              <w:spacing w:after="0"/>
              <w:jc w:val="center"/>
              <w:rPr>
                <w:rFonts w:cs="Arial"/>
                <w:spacing w:val="-3"/>
                <w:sz w:val="18"/>
                <w:szCs w:val="18"/>
                <w:lang w:val="es-AR"/>
              </w:rPr>
            </w:pPr>
            <w:r>
              <w:rPr>
                <w:rFonts w:cs="Arial"/>
                <w:spacing w:val="-3"/>
                <w:sz w:val="18"/>
                <w:szCs w:val="18"/>
                <w:lang w:val="es-AR"/>
              </w:rPr>
              <w:t>0</w:t>
            </w:r>
          </w:p>
        </w:tc>
        <w:tc>
          <w:tcPr>
            <w:tcW w:w="718" w:type="dxa"/>
            <w:tcBorders>
              <w:top w:val="nil"/>
              <w:left w:val="single" w:sz="4" w:space="0" w:color="auto"/>
              <w:bottom w:val="single" w:sz="8" w:space="0" w:color="auto"/>
              <w:right w:val="single" w:sz="4" w:space="0" w:color="auto"/>
            </w:tcBorders>
            <w:shd w:val="clear" w:color="auto" w:fill="auto"/>
            <w:vAlign w:val="center"/>
          </w:tcPr>
          <w:p w:rsidR="00E10C69" w:rsidRDefault="00E10C69" w:rsidP="00E10C69">
            <w:pPr>
              <w:spacing w:after="0"/>
              <w:jc w:val="center"/>
              <w:rPr>
                <w:rFonts w:cs="Arial"/>
                <w:spacing w:val="-3"/>
                <w:sz w:val="18"/>
                <w:szCs w:val="18"/>
                <w:lang w:val="es-AR"/>
              </w:rPr>
            </w:pPr>
            <w:r>
              <w:rPr>
                <w:rFonts w:cs="Arial"/>
                <w:spacing w:val="-3"/>
                <w:sz w:val="18"/>
                <w:szCs w:val="18"/>
                <w:lang w:val="es-AR"/>
              </w:rPr>
              <w:t>0</w:t>
            </w:r>
          </w:p>
        </w:tc>
        <w:tc>
          <w:tcPr>
            <w:tcW w:w="636" w:type="dxa"/>
            <w:tcBorders>
              <w:top w:val="nil"/>
              <w:left w:val="nil"/>
              <w:bottom w:val="single" w:sz="8" w:space="0" w:color="auto"/>
              <w:right w:val="single" w:sz="4" w:space="0" w:color="auto"/>
            </w:tcBorders>
            <w:shd w:val="clear" w:color="auto" w:fill="auto"/>
            <w:vAlign w:val="center"/>
          </w:tcPr>
          <w:p w:rsidR="00E10C69" w:rsidRDefault="00E10C69" w:rsidP="00E10C69">
            <w:pPr>
              <w:spacing w:after="0"/>
              <w:jc w:val="center"/>
              <w:rPr>
                <w:rFonts w:cs="Arial"/>
                <w:spacing w:val="-3"/>
                <w:sz w:val="18"/>
                <w:szCs w:val="18"/>
                <w:lang w:val="es-AR"/>
              </w:rPr>
            </w:pPr>
            <w:r>
              <w:rPr>
                <w:rFonts w:cs="Arial"/>
                <w:spacing w:val="-3"/>
                <w:sz w:val="18"/>
                <w:szCs w:val="18"/>
                <w:lang w:val="es-AR"/>
              </w:rPr>
              <w:t>130</w:t>
            </w:r>
          </w:p>
        </w:tc>
      </w:tr>
      <w:tr w:rsidR="003028FA" w:rsidRPr="00BF598F" w:rsidTr="003028FA">
        <w:trPr>
          <w:jc w:val="center"/>
        </w:trPr>
        <w:tc>
          <w:tcPr>
            <w:tcW w:w="3342" w:type="dxa"/>
            <w:tcBorders>
              <w:top w:val="nil"/>
              <w:left w:val="single" w:sz="8" w:space="0" w:color="auto"/>
              <w:bottom w:val="single" w:sz="8" w:space="0" w:color="auto"/>
              <w:right w:val="single" w:sz="4" w:space="0" w:color="auto"/>
            </w:tcBorders>
            <w:shd w:val="clear" w:color="auto" w:fill="auto"/>
            <w:vAlign w:val="center"/>
            <w:hideMark/>
          </w:tcPr>
          <w:p w:rsidR="00E10C69" w:rsidRPr="00076BCC" w:rsidRDefault="00E10C69" w:rsidP="003028FA">
            <w:pPr>
              <w:spacing w:after="0"/>
              <w:ind w:left="-70" w:right="-210"/>
              <w:jc w:val="left"/>
              <w:rPr>
                <w:rFonts w:cs="Arial"/>
                <w:spacing w:val="-8"/>
                <w:sz w:val="18"/>
                <w:szCs w:val="18"/>
                <w:lang w:val="es-AR"/>
              </w:rPr>
            </w:pPr>
            <w:r w:rsidRPr="006016A8">
              <w:rPr>
                <w:rFonts w:cs="Arial"/>
                <w:b/>
                <w:spacing w:val="-4"/>
                <w:sz w:val="18"/>
                <w:szCs w:val="18"/>
                <w:lang w:val="es-AR"/>
              </w:rPr>
              <w:t>Producto 2.3:</w:t>
            </w:r>
            <w:r w:rsidRPr="006016A8">
              <w:rPr>
                <w:rFonts w:cs="Arial"/>
                <w:spacing w:val="-4"/>
                <w:sz w:val="18"/>
                <w:szCs w:val="18"/>
                <w:lang w:val="es-AR"/>
              </w:rPr>
              <w:t xml:space="preserve"> Diseño y ejecución del Programa de acompañamiento y desarrollo profesional para docentes noveles de EM</w:t>
            </w:r>
          </w:p>
        </w:tc>
        <w:tc>
          <w:tcPr>
            <w:tcW w:w="1616" w:type="dxa"/>
            <w:tcBorders>
              <w:top w:val="nil"/>
              <w:left w:val="nil"/>
              <w:bottom w:val="single" w:sz="8" w:space="0" w:color="auto"/>
              <w:right w:val="single" w:sz="4" w:space="0" w:color="auto"/>
            </w:tcBorders>
            <w:shd w:val="clear" w:color="auto" w:fill="auto"/>
            <w:vAlign w:val="center"/>
            <w:hideMark/>
          </w:tcPr>
          <w:p w:rsidR="00E10C69" w:rsidRPr="00BF598F" w:rsidRDefault="00E10C69" w:rsidP="003028FA">
            <w:pPr>
              <w:spacing w:after="0"/>
              <w:jc w:val="left"/>
              <w:rPr>
                <w:rFonts w:cs="Arial"/>
                <w:spacing w:val="-3"/>
                <w:sz w:val="18"/>
                <w:szCs w:val="18"/>
                <w:lang w:val="es-AR"/>
              </w:rPr>
            </w:pPr>
            <w:r>
              <w:rPr>
                <w:rFonts w:cs="Arial"/>
                <w:spacing w:val="-3"/>
                <w:sz w:val="18"/>
                <w:szCs w:val="18"/>
                <w:lang w:val="es-AR"/>
              </w:rPr>
              <w:t>Fases del del Programa de Acompañamiento</w:t>
            </w:r>
          </w:p>
        </w:tc>
        <w:tc>
          <w:tcPr>
            <w:tcW w:w="670" w:type="dxa"/>
            <w:tcBorders>
              <w:top w:val="nil"/>
              <w:left w:val="nil"/>
              <w:bottom w:val="single" w:sz="8" w:space="0" w:color="auto"/>
              <w:right w:val="single" w:sz="4" w:space="0" w:color="auto"/>
            </w:tcBorders>
            <w:shd w:val="clear" w:color="auto" w:fill="auto"/>
            <w:vAlign w:val="center"/>
            <w:hideMark/>
          </w:tcPr>
          <w:p w:rsidR="00E10C69" w:rsidRPr="00BF598F" w:rsidRDefault="00E10C69" w:rsidP="00E10C69">
            <w:pPr>
              <w:spacing w:after="0"/>
              <w:jc w:val="center"/>
              <w:rPr>
                <w:rFonts w:cs="Arial"/>
                <w:spacing w:val="-3"/>
                <w:sz w:val="18"/>
                <w:szCs w:val="18"/>
                <w:lang w:val="es-AR"/>
              </w:rPr>
            </w:pPr>
            <w:r w:rsidRPr="00BF598F">
              <w:rPr>
                <w:rFonts w:cs="Arial"/>
                <w:spacing w:val="-3"/>
                <w:sz w:val="18"/>
                <w:szCs w:val="18"/>
                <w:lang w:val="es-AR"/>
              </w:rPr>
              <w:t>0</w:t>
            </w:r>
          </w:p>
        </w:tc>
        <w:tc>
          <w:tcPr>
            <w:tcW w:w="647" w:type="dxa"/>
            <w:tcBorders>
              <w:top w:val="nil"/>
              <w:left w:val="nil"/>
              <w:bottom w:val="single" w:sz="8" w:space="0" w:color="auto"/>
              <w:right w:val="single" w:sz="4" w:space="0" w:color="auto"/>
            </w:tcBorders>
            <w:shd w:val="clear" w:color="auto" w:fill="auto"/>
            <w:vAlign w:val="center"/>
            <w:hideMark/>
          </w:tcPr>
          <w:p w:rsidR="00E10C69" w:rsidRPr="00BF598F" w:rsidRDefault="00E10C69" w:rsidP="00E10C69">
            <w:pPr>
              <w:spacing w:after="0"/>
              <w:jc w:val="center"/>
              <w:rPr>
                <w:rFonts w:cs="Arial"/>
                <w:spacing w:val="-3"/>
                <w:sz w:val="18"/>
                <w:szCs w:val="18"/>
                <w:lang w:val="es-AR"/>
              </w:rPr>
            </w:pPr>
            <w:r>
              <w:rPr>
                <w:rFonts w:cs="Arial"/>
                <w:spacing w:val="-3"/>
                <w:sz w:val="18"/>
                <w:szCs w:val="18"/>
                <w:lang w:val="es-AR"/>
              </w:rPr>
              <w:t>2016</w:t>
            </w:r>
          </w:p>
        </w:tc>
        <w:tc>
          <w:tcPr>
            <w:tcW w:w="717" w:type="dxa"/>
            <w:tcBorders>
              <w:top w:val="nil"/>
              <w:left w:val="nil"/>
              <w:bottom w:val="single" w:sz="8" w:space="0" w:color="auto"/>
              <w:right w:val="single" w:sz="4" w:space="0" w:color="auto"/>
            </w:tcBorders>
            <w:shd w:val="clear" w:color="auto" w:fill="auto"/>
            <w:vAlign w:val="center"/>
            <w:hideMark/>
          </w:tcPr>
          <w:p w:rsidR="00E10C69" w:rsidRPr="00BF598F" w:rsidRDefault="00E10C69" w:rsidP="00E10C69">
            <w:pPr>
              <w:spacing w:after="0"/>
              <w:jc w:val="center"/>
              <w:rPr>
                <w:rFonts w:cs="Arial"/>
                <w:spacing w:val="-3"/>
                <w:sz w:val="18"/>
                <w:szCs w:val="18"/>
                <w:lang w:val="es-AR"/>
              </w:rPr>
            </w:pPr>
            <w:r w:rsidRPr="00BF598F">
              <w:rPr>
                <w:rFonts w:cs="Arial"/>
                <w:spacing w:val="-3"/>
                <w:sz w:val="18"/>
                <w:szCs w:val="18"/>
                <w:lang w:val="es-AR"/>
              </w:rPr>
              <w:t> 0</w:t>
            </w:r>
          </w:p>
        </w:tc>
        <w:tc>
          <w:tcPr>
            <w:tcW w:w="718" w:type="dxa"/>
            <w:tcBorders>
              <w:top w:val="nil"/>
              <w:left w:val="nil"/>
              <w:bottom w:val="single" w:sz="8" w:space="0" w:color="auto"/>
              <w:right w:val="single" w:sz="4" w:space="0" w:color="auto"/>
            </w:tcBorders>
            <w:shd w:val="clear" w:color="auto" w:fill="auto"/>
            <w:vAlign w:val="center"/>
            <w:hideMark/>
          </w:tcPr>
          <w:p w:rsidR="00E10C69" w:rsidRPr="00BF598F" w:rsidRDefault="00E10C69" w:rsidP="00E10C69">
            <w:pPr>
              <w:spacing w:after="0"/>
              <w:jc w:val="center"/>
              <w:rPr>
                <w:rFonts w:cs="Arial"/>
                <w:spacing w:val="-3"/>
                <w:sz w:val="18"/>
                <w:szCs w:val="18"/>
                <w:lang w:val="es-AR"/>
              </w:rPr>
            </w:pPr>
            <w:r>
              <w:rPr>
                <w:rFonts w:cs="Arial"/>
                <w:spacing w:val="-3"/>
                <w:sz w:val="18"/>
                <w:szCs w:val="18"/>
                <w:lang w:val="es-AR"/>
              </w:rPr>
              <w:t>1</w:t>
            </w:r>
          </w:p>
        </w:tc>
        <w:tc>
          <w:tcPr>
            <w:tcW w:w="717" w:type="dxa"/>
            <w:tcBorders>
              <w:top w:val="nil"/>
              <w:left w:val="nil"/>
              <w:bottom w:val="single" w:sz="8" w:space="0" w:color="auto"/>
              <w:right w:val="single" w:sz="4" w:space="0" w:color="auto"/>
            </w:tcBorders>
            <w:vAlign w:val="center"/>
          </w:tcPr>
          <w:p w:rsidR="00E10C69" w:rsidRPr="00BF598F" w:rsidRDefault="00E10C69" w:rsidP="00E10C69">
            <w:pPr>
              <w:spacing w:after="0"/>
              <w:jc w:val="center"/>
              <w:rPr>
                <w:rFonts w:cs="Arial"/>
                <w:spacing w:val="-3"/>
                <w:sz w:val="18"/>
                <w:szCs w:val="18"/>
                <w:lang w:val="es-AR"/>
              </w:rPr>
            </w:pPr>
            <w:r>
              <w:rPr>
                <w:rFonts w:cs="Arial"/>
                <w:spacing w:val="-3"/>
                <w:sz w:val="18"/>
                <w:szCs w:val="18"/>
                <w:lang w:val="es-AR"/>
              </w:rPr>
              <w:t>1</w:t>
            </w:r>
          </w:p>
        </w:tc>
        <w:tc>
          <w:tcPr>
            <w:tcW w:w="718" w:type="dxa"/>
            <w:tcBorders>
              <w:top w:val="nil"/>
              <w:left w:val="single" w:sz="4" w:space="0" w:color="auto"/>
              <w:bottom w:val="single" w:sz="8" w:space="0" w:color="auto"/>
              <w:right w:val="single" w:sz="4" w:space="0" w:color="auto"/>
            </w:tcBorders>
            <w:vAlign w:val="center"/>
          </w:tcPr>
          <w:p w:rsidR="00E10C69" w:rsidRPr="00BF598F" w:rsidRDefault="00E10C69" w:rsidP="00E10C69">
            <w:pPr>
              <w:spacing w:after="0"/>
              <w:jc w:val="center"/>
              <w:rPr>
                <w:rFonts w:cs="Arial"/>
                <w:spacing w:val="-3"/>
                <w:sz w:val="18"/>
                <w:szCs w:val="18"/>
                <w:lang w:val="es-AR"/>
              </w:rPr>
            </w:pPr>
            <w:r>
              <w:rPr>
                <w:rFonts w:cs="Arial"/>
                <w:spacing w:val="-3"/>
                <w:sz w:val="18"/>
                <w:szCs w:val="18"/>
                <w:lang w:val="es-AR"/>
              </w:rPr>
              <w:t>1</w:t>
            </w:r>
          </w:p>
        </w:tc>
        <w:tc>
          <w:tcPr>
            <w:tcW w:w="718" w:type="dxa"/>
            <w:tcBorders>
              <w:top w:val="nil"/>
              <w:left w:val="single" w:sz="4" w:space="0" w:color="auto"/>
              <w:bottom w:val="single" w:sz="8" w:space="0" w:color="auto"/>
              <w:right w:val="single" w:sz="4" w:space="0" w:color="auto"/>
            </w:tcBorders>
            <w:shd w:val="clear" w:color="auto" w:fill="auto"/>
            <w:vAlign w:val="center"/>
            <w:hideMark/>
          </w:tcPr>
          <w:p w:rsidR="00E10C69" w:rsidRPr="00BF598F" w:rsidRDefault="00E10C69" w:rsidP="00E10C69">
            <w:pPr>
              <w:spacing w:after="0"/>
              <w:jc w:val="center"/>
              <w:rPr>
                <w:rFonts w:cs="Arial"/>
                <w:spacing w:val="-3"/>
                <w:sz w:val="18"/>
                <w:szCs w:val="18"/>
                <w:lang w:val="es-AR"/>
              </w:rPr>
            </w:pPr>
            <w:r>
              <w:rPr>
                <w:rFonts w:cs="Arial"/>
                <w:spacing w:val="-3"/>
                <w:sz w:val="18"/>
                <w:szCs w:val="18"/>
                <w:lang w:val="es-AR"/>
              </w:rPr>
              <w:t>1</w:t>
            </w:r>
          </w:p>
        </w:tc>
        <w:tc>
          <w:tcPr>
            <w:tcW w:w="636" w:type="dxa"/>
            <w:tcBorders>
              <w:top w:val="nil"/>
              <w:left w:val="nil"/>
              <w:bottom w:val="single" w:sz="8" w:space="0" w:color="auto"/>
              <w:right w:val="single" w:sz="4" w:space="0" w:color="auto"/>
            </w:tcBorders>
            <w:shd w:val="clear" w:color="auto" w:fill="auto"/>
            <w:vAlign w:val="center"/>
            <w:hideMark/>
          </w:tcPr>
          <w:p w:rsidR="00E10C69" w:rsidRPr="00BF598F" w:rsidRDefault="00E10C69" w:rsidP="00E10C69">
            <w:pPr>
              <w:spacing w:after="0"/>
              <w:jc w:val="center"/>
              <w:rPr>
                <w:rFonts w:cs="Arial"/>
                <w:spacing w:val="-3"/>
                <w:sz w:val="18"/>
                <w:szCs w:val="18"/>
                <w:lang w:val="es-AR"/>
              </w:rPr>
            </w:pPr>
            <w:r>
              <w:rPr>
                <w:rFonts w:cs="Arial"/>
                <w:spacing w:val="-3"/>
                <w:sz w:val="18"/>
                <w:szCs w:val="18"/>
                <w:lang w:val="es-AR"/>
              </w:rPr>
              <w:t>4</w:t>
            </w:r>
          </w:p>
        </w:tc>
      </w:tr>
      <w:tr w:rsidR="003028FA" w:rsidRPr="00FD2016" w:rsidTr="00302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9" w:type="dxa"/>
            <w:gridSpan w:val="10"/>
            <w:shd w:val="clear" w:color="auto" w:fill="auto"/>
            <w:vAlign w:val="center"/>
          </w:tcPr>
          <w:p w:rsidR="003028FA" w:rsidRDefault="003028FA" w:rsidP="003028FA">
            <w:pPr>
              <w:keepNext/>
              <w:keepLines/>
              <w:spacing w:after="0"/>
              <w:jc w:val="left"/>
              <w:rPr>
                <w:rFonts w:cs="Arial"/>
                <w:spacing w:val="-3"/>
                <w:sz w:val="18"/>
                <w:szCs w:val="18"/>
                <w:lang w:val="es-AR"/>
              </w:rPr>
            </w:pPr>
            <w:r w:rsidRPr="00FD2016">
              <w:rPr>
                <w:rFonts w:cs="Arial"/>
                <w:b/>
                <w:bCs/>
                <w:spacing w:val="-3"/>
                <w:sz w:val="18"/>
                <w:szCs w:val="18"/>
                <w:lang w:val="es-AR"/>
              </w:rPr>
              <w:t xml:space="preserve">Componente </w:t>
            </w:r>
            <w:r>
              <w:rPr>
                <w:rFonts w:cs="Arial"/>
                <w:b/>
                <w:bCs/>
                <w:spacing w:val="-3"/>
                <w:sz w:val="18"/>
                <w:szCs w:val="18"/>
                <w:lang w:val="es-AR"/>
              </w:rPr>
              <w:t>3</w:t>
            </w:r>
            <w:r w:rsidRPr="00FD2016">
              <w:rPr>
                <w:rFonts w:cs="Arial"/>
                <w:b/>
                <w:bCs/>
                <w:spacing w:val="-3"/>
                <w:sz w:val="18"/>
                <w:szCs w:val="18"/>
                <w:lang w:val="es-AR"/>
              </w:rPr>
              <w:t xml:space="preserve">: </w:t>
            </w:r>
            <w:r>
              <w:rPr>
                <w:rFonts w:cs="Arial"/>
                <w:b/>
                <w:sz w:val="18"/>
                <w:szCs w:val="18"/>
              </w:rPr>
              <w:t>Integración territorial y gestión para la mejora educativa</w:t>
            </w:r>
          </w:p>
        </w:tc>
      </w:tr>
      <w:tr w:rsidR="003028FA" w:rsidRPr="00FD2016" w:rsidTr="00302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42" w:type="dxa"/>
            <w:shd w:val="clear" w:color="auto" w:fill="auto"/>
            <w:vAlign w:val="center"/>
            <w:hideMark/>
          </w:tcPr>
          <w:p w:rsidR="00582099" w:rsidRPr="00076BCC" w:rsidRDefault="00582099" w:rsidP="003028FA">
            <w:pPr>
              <w:keepNext/>
              <w:keepLines/>
              <w:spacing w:after="0"/>
              <w:ind w:left="-70" w:right="-86"/>
              <w:jc w:val="left"/>
              <w:rPr>
                <w:rFonts w:cs="Arial"/>
                <w:spacing w:val="-6"/>
                <w:sz w:val="18"/>
                <w:szCs w:val="18"/>
                <w:lang w:val="es-AR"/>
              </w:rPr>
            </w:pPr>
            <w:r w:rsidRPr="00076BCC">
              <w:rPr>
                <w:rFonts w:cs="Arial"/>
                <w:b/>
                <w:spacing w:val="-6"/>
                <w:sz w:val="18"/>
                <w:szCs w:val="18"/>
                <w:lang w:val="es-AR"/>
              </w:rPr>
              <w:t>Producto 3.1</w:t>
            </w:r>
            <w:r w:rsidRPr="00076BCC">
              <w:rPr>
                <w:rFonts w:cs="Arial"/>
                <w:spacing w:val="-6"/>
                <w:sz w:val="18"/>
                <w:szCs w:val="18"/>
                <w:lang w:val="es-AR"/>
              </w:rPr>
              <w:t xml:space="preserve">: </w:t>
            </w:r>
            <w:r w:rsidRPr="00076BCC">
              <w:rPr>
                <w:rFonts w:cs="Arial"/>
                <w:bCs/>
                <w:spacing w:val="-6"/>
                <w:sz w:val="18"/>
                <w:szCs w:val="18"/>
                <w:lang w:val="es-UY"/>
              </w:rPr>
              <w:t>Reportes para el aseguramiento de la calidad entregados</w:t>
            </w:r>
          </w:p>
        </w:tc>
        <w:tc>
          <w:tcPr>
            <w:tcW w:w="1616" w:type="dxa"/>
            <w:shd w:val="clear" w:color="auto" w:fill="auto"/>
            <w:vAlign w:val="center"/>
            <w:hideMark/>
          </w:tcPr>
          <w:p w:rsidR="00582099" w:rsidRPr="00FD2016" w:rsidRDefault="00582099" w:rsidP="003028FA">
            <w:pPr>
              <w:keepNext/>
              <w:keepLines/>
              <w:spacing w:after="0"/>
              <w:jc w:val="left"/>
              <w:rPr>
                <w:rFonts w:cs="Arial"/>
                <w:spacing w:val="-3"/>
                <w:sz w:val="18"/>
                <w:szCs w:val="18"/>
                <w:lang w:val="es-AR"/>
              </w:rPr>
            </w:pPr>
            <w:r>
              <w:rPr>
                <w:rFonts w:cs="Arial"/>
                <w:spacing w:val="-3"/>
                <w:sz w:val="18"/>
                <w:szCs w:val="18"/>
                <w:lang w:val="es-AR"/>
              </w:rPr>
              <w:t>Reportes</w:t>
            </w:r>
          </w:p>
        </w:tc>
        <w:tc>
          <w:tcPr>
            <w:tcW w:w="670" w:type="dxa"/>
            <w:shd w:val="clear" w:color="auto" w:fill="auto"/>
            <w:vAlign w:val="center"/>
            <w:hideMark/>
          </w:tcPr>
          <w:p w:rsidR="00582099" w:rsidRPr="00FD2016" w:rsidRDefault="00582099" w:rsidP="00582099">
            <w:pPr>
              <w:keepNext/>
              <w:keepLines/>
              <w:spacing w:after="0"/>
              <w:jc w:val="center"/>
              <w:rPr>
                <w:rFonts w:cs="Arial"/>
                <w:spacing w:val="-3"/>
                <w:sz w:val="18"/>
                <w:szCs w:val="18"/>
                <w:lang w:val="es-AR"/>
              </w:rPr>
            </w:pPr>
            <w:r>
              <w:rPr>
                <w:rFonts w:cs="Arial"/>
                <w:spacing w:val="-3"/>
                <w:sz w:val="18"/>
                <w:szCs w:val="18"/>
                <w:lang w:val="es-AR"/>
              </w:rPr>
              <w:t>0</w:t>
            </w:r>
          </w:p>
        </w:tc>
        <w:tc>
          <w:tcPr>
            <w:tcW w:w="647" w:type="dxa"/>
            <w:shd w:val="clear" w:color="auto" w:fill="auto"/>
            <w:vAlign w:val="center"/>
            <w:hideMark/>
          </w:tcPr>
          <w:p w:rsidR="00582099" w:rsidRPr="00FD2016" w:rsidRDefault="00582099" w:rsidP="00582099">
            <w:pPr>
              <w:keepNext/>
              <w:keepLines/>
              <w:spacing w:after="0"/>
              <w:jc w:val="center"/>
              <w:rPr>
                <w:rFonts w:cs="Arial"/>
                <w:spacing w:val="-3"/>
                <w:sz w:val="18"/>
                <w:szCs w:val="18"/>
                <w:lang w:val="es-AR"/>
              </w:rPr>
            </w:pPr>
            <w:r>
              <w:rPr>
                <w:rFonts w:cs="Arial"/>
                <w:spacing w:val="-3"/>
                <w:sz w:val="18"/>
                <w:szCs w:val="18"/>
                <w:lang w:val="es-AR"/>
              </w:rPr>
              <w:t>2016</w:t>
            </w:r>
          </w:p>
        </w:tc>
        <w:tc>
          <w:tcPr>
            <w:tcW w:w="717" w:type="dxa"/>
            <w:shd w:val="clear" w:color="auto" w:fill="auto"/>
            <w:vAlign w:val="center"/>
            <w:hideMark/>
          </w:tcPr>
          <w:p w:rsidR="00582099" w:rsidRPr="00FD2016" w:rsidRDefault="00582099" w:rsidP="00582099">
            <w:pPr>
              <w:keepNext/>
              <w:keepLines/>
              <w:spacing w:after="0"/>
              <w:jc w:val="center"/>
              <w:rPr>
                <w:rFonts w:cs="Arial"/>
                <w:spacing w:val="-3"/>
                <w:sz w:val="18"/>
                <w:szCs w:val="18"/>
                <w:lang w:val="es-AR"/>
              </w:rPr>
            </w:pPr>
            <w:r>
              <w:rPr>
                <w:rFonts w:cs="Arial"/>
                <w:spacing w:val="-3"/>
                <w:sz w:val="18"/>
                <w:szCs w:val="18"/>
                <w:lang w:val="es-AR"/>
              </w:rPr>
              <w:t>3</w:t>
            </w:r>
          </w:p>
        </w:tc>
        <w:tc>
          <w:tcPr>
            <w:tcW w:w="718" w:type="dxa"/>
            <w:shd w:val="clear" w:color="auto" w:fill="auto"/>
            <w:vAlign w:val="center"/>
            <w:hideMark/>
          </w:tcPr>
          <w:p w:rsidR="00582099" w:rsidRPr="00FD2016" w:rsidRDefault="00582099" w:rsidP="00582099">
            <w:pPr>
              <w:keepNext/>
              <w:keepLines/>
              <w:spacing w:after="0"/>
              <w:jc w:val="center"/>
              <w:rPr>
                <w:rFonts w:cs="Arial"/>
                <w:spacing w:val="-3"/>
                <w:sz w:val="18"/>
                <w:szCs w:val="18"/>
                <w:lang w:val="es-AR"/>
              </w:rPr>
            </w:pPr>
            <w:r>
              <w:rPr>
                <w:rFonts w:cs="Arial"/>
                <w:spacing w:val="-3"/>
                <w:sz w:val="18"/>
                <w:szCs w:val="18"/>
                <w:lang w:val="es-AR"/>
              </w:rPr>
              <w:t>5</w:t>
            </w:r>
          </w:p>
        </w:tc>
        <w:tc>
          <w:tcPr>
            <w:tcW w:w="717" w:type="dxa"/>
            <w:vAlign w:val="center"/>
          </w:tcPr>
          <w:p w:rsidR="00582099" w:rsidRPr="00FD2016" w:rsidRDefault="00582099" w:rsidP="00582099">
            <w:pPr>
              <w:keepNext/>
              <w:keepLines/>
              <w:spacing w:after="0"/>
              <w:jc w:val="center"/>
              <w:rPr>
                <w:rFonts w:cs="Arial"/>
                <w:spacing w:val="-3"/>
                <w:sz w:val="18"/>
                <w:szCs w:val="18"/>
                <w:lang w:val="es-AR"/>
              </w:rPr>
            </w:pPr>
            <w:r>
              <w:rPr>
                <w:rFonts w:cs="Arial"/>
                <w:spacing w:val="-3"/>
                <w:sz w:val="18"/>
                <w:szCs w:val="18"/>
                <w:lang w:val="es-AR"/>
              </w:rPr>
              <w:t>6</w:t>
            </w:r>
          </w:p>
        </w:tc>
        <w:tc>
          <w:tcPr>
            <w:tcW w:w="718" w:type="dxa"/>
            <w:vAlign w:val="center"/>
          </w:tcPr>
          <w:p w:rsidR="00582099" w:rsidRPr="00FD2016" w:rsidRDefault="00582099" w:rsidP="00582099">
            <w:pPr>
              <w:keepNext/>
              <w:keepLines/>
              <w:spacing w:after="0"/>
              <w:jc w:val="center"/>
              <w:rPr>
                <w:rFonts w:cs="Arial"/>
                <w:spacing w:val="-3"/>
                <w:sz w:val="18"/>
                <w:szCs w:val="18"/>
                <w:lang w:val="es-AR"/>
              </w:rPr>
            </w:pPr>
            <w:r>
              <w:rPr>
                <w:rFonts w:cs="Arial"/>
                <w:spacing w:val="-3"/>
                <w:sz w:val="18"/>
                <w:szCs w:val="18"/>
                <w:lang w:val="es-AR"/>
              </w:rPr>
              <w:t>6</w:t>
            </w:r>
          </w:p>
        </w:tc>
        <w:tc>
          <w:tcPr>
            <w:tcW w:w="718" w:type="dxa"/>
            <w:shd w:val="clear" w:color="auto" w:fill="auto"/>
            <w:vAlign w:val="center"/>
            <w:hideMark/>
          </w:tcPr>
          <w:p w:rsidR="00582099" w:rsidRPr="00FD2016" w:rsidRDefault="00582099" w:rsidP="00582099">
            <w:pPr>
              <w:keepNext/>
              <w:keepLines/>
              <w:spacing w:after="0"/>
              <w:jc w:val="center"/>
              <w:rPr>
                <w:rFonts w:cs="Arial"/>
                <w:spacing w:val="-3"/>
                <w:sz w:val="18"/>
                <w:szCs w:val="18"/>
                <w:lang w:val="es-AR"/>
              </w:rPr>
            </w:pPr>
            <w:r>
              <w:rPr>
                <w:rFonts w:cs="Arial"/>
                <w:spacing w:val="-3"/>
                <w:sz w:val="18"/>
                <w:szCs w:val="18"/>
                <w:lang w:val="es-AR"/>
              </w:rPr>
              <w:t>6</w:t>
            </w:r>
          </w:p>
        </w:tc>
        <w:tc>
          <w:tcPr>
            <w:tcW w:w="636" w:type="dxa"/>
            <w:shd w:val="clear" w:color="auto" w:fill="auto"/>
            <w:vAlign w:val="center"/>
            <w:hideMark/>
          </w:tcPr>
          <w:p w:rsidR="00582099" w:rsidRPr="00FD2016" w:rsidRDefault="00582099" w:rsidP="00582099">
            <w:pPr>
              <w:keepNext/>
              <w:keepLines/>
              <w:spacing w:after="0"/>
              <w:jc w:val="center"/>
              <w:rPr>
                <w:rFonts w:cs="Arial"/>
                <w:spacing w:val="-3"/>
                <w:sz w:val="18"/>
                <w:szCs w:val="18"/>
                <w:lang w:val="es-AR"/>
              </w:rPr>
            </w:pPr>
            <w:r>
              <w:rPr>
                <w:rFonts w:cs="Arial"/>
                <w:spacing w:val="-3"/>
                <w:sz w:val="18"/>
                <w:szCs w:val="18"/>
                <w:lang w:val="es-AR"/>
              </w:rPr>
              <w:t>26</w:t>
            </w:r>
          </w:p>
        </w:tc>
      </w:tr>
      <w:tr w:rsidR="003028FA" w:rsidTr="00302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42" w:type="dxa"/>
            <w:shd w:val="clear" w:color="auto" w:fill="auto"/>
            <w:vAlign w:val="center"/>
          </w:tcPr>
          <w:p w:rsidR="00582099" w:rsidRPr="00076BCC" w:rsidRDefault="00582099" w:rsidP="003028FA">
            <w:pPr>
              <w:keepNext/>
              <w:keepLines/>
              <w:spacing w:after="0"/>
              <w:ind w:left="-70" w:right="-86"/>
              <w:jc w:val="left"/>
              <w:rPr>
                <w:rFonts w:cs="Arial"/>
                <w:b/>
                <w:spacing w:val="-6"/>
                <w:sz w:val="18"/>
                <w:szCs w:val="18"/>
                <w:lang w:val="es-AR"/>
              </w:rPr>
            </w:pPr>
            <w:r w:rsidRPr="00076BCC">
              <w:rPr>
                <w:rFonts w:cs="Arial"/>
                <w:b/>
                <w:spacing w:val="-6"/>
                <w:sz w:val="18"/>
                <w:szCs w:val="18"/>
                <w:lang w:val="es-AR"/>
              </w:rPr>
              <w:t>Producto 3.2a:</w:t>
            </w:r>
            <w:r w:rsidRPr="00076BCC">
              <w:rPr>
                <w:rFonts w:cs="Arial"/>
                <w:spacing w:val="-6"/>
                <w:sz w:val="18"/>
                <w:szCs w:val="18"/>
                <w:lang w:val="es-AR"/>
              </w:rPr>
              <w:t xml:space="preserve"> Diseño de un sistema de protección de trayectorias educativas.</w:t>
            </w:r>
          </w:p>
        </w:tc>
        <w:tc>
          <w:tcPr>
            <w:tcW w:w="1616" w:type="dxa"/>
            <w:shd w:val="clear" w:color="auto" w:fill="auto"/>
            <w:vAlign w:val="center"/>
          </w:tcPr>
          <w:p w:rsidR="00582099" w:rsidRDefault="00582099" w:rsidP="003028FA">
            <w:pPr>
              <w:keepNext/>
              <w:keepLines/>
              <w:spacing w:after="0"/>
              <w:jc w:val="left"/>
              <w:rPr>
                <w:rFonts w:cs="Arial"/>
                <w:spacing w:val="-3"/>
                <w:sz w:val="18"/>
                <w:szCs w:val="18"/>
              </w:rPr>
            </w:pPr>
            <w:r>
              <w:rPr>
                <w:rFonts w:cs="Arial"/>
                <w:spacing w:val="-3"/>
                <w:sz w:val="18"/>
                <w:szCs w:val="18"/>
              </w:rPr>
              <w:t>Documento de diseño aprobado</w:t>
            </w:r>
          </w:p>
        </w:tc>
        <w:tc>
          <w:tcPr>
            <w:tcW w:w="670" w:type="dxa"/>
            <w:shd w:val="clear" w:color="auto" w:fill="auto"/>
            <w:vAlign w:val="center"/>
          </w:tcPr>
          <w:p w:rsidR="00582099" w:rsidRDefault="00582099" w:rsidP="00582099">
            <w:pPr>
              <w:keepNext/>
              <w:keepLines/>
              <w:spacing w:after="0"/>
              <w:jc w:val="center"/>
              <w:rPr>
                <w:rFonts w:cs="Arial"/>
                <w:spacing w:val="-3"/>
                <w:sz w:val="18"/>
                <w:szCs w:val="18"/>
                <w:lang w:val="es-AR"/>
              </w:rPr>
            </w:pPr>
            <w:r>
              <w:rPr>
                <w:rFonts w:cs="Arial"/>
                <w:spacing w:val="-3"/>
                <w:sz w:val="18"/>
                <w:szCs w:val="18"/>
                <w:lang w:val="es-AR"/>
              </w:rPr>
              <w:t>0</w:t>
            </w:r>
          </w:p>
        </w:tc>
        <w:tc>
          <w:tcPr>
            <w:tcW w:w="647" w:type="dxa"/>
            <w:shd w:val="clear" w:color="auto" w:fill="auto"/>
            <w:vAlign w:val="center"/>
          </w:tcPr>
          <w:p w:rsidR="00582099" w:rsidRDefault="00582099" w:rsidP="00582099">
            <w:pPr>
              <w:keepNext/>
              <w:keepLines/>
              <w:spacing w:after="0"/>
              <w:jc w:val="center"/>
              <w:rPr>
                <w:rFonts w:cs="Arial"/>
                <w:spacing w:val="-3"/>
                <w:sz w:val="18"/>
                <w:szCs w:val="18"/>
                <w:lang w:val="es-AR"/>
              </w:rPr>
            </w:pPr>
            <w:r>
              <w:rPr>
                <w:rFonts w:cs="Arial"/>
                <w:spacing w:val="-3"/>
                <w:sz w:val="18"/>
                <w:szCs w:val="18"/>
                <w:lang w:val="es-AR"/>
              </w:rPr>
              <w:t>2016</w:t>
            </w:r>
          </w:p>
        </w:tc>
        <w:tc>
          <w:tcPr>
            <w:tcW w:w="717" w:type="dxa"/>
            <w:shd w:val="clear" w:color="auto" w:fill="auto"/>
            <w:vAlign w:val="center"/>
          </w:tcPr>
          <w:p w:rsidR="00582099" w:rsidRDefault="00582099" w:rsidP="00582099">
            <w:pPr>
              <w:keepNext/>
              <w:keepLines/>
              <w:spacing w:after="0"/>
              <w:jc w:val="center"/>
              <w:rPr>
                <w:rFonts w:cs="Arial"/>
                <w:spacing w:val="-3"/>
                <w:sz w:val="18"/>
                <w:szCs w:val="18"/>
                <w:lang w:val="es-AR"/>
              </w:rPr>
            </w:pPr>
            <w:r>
              <w:rPr>
                <w:rFonts w:cs="Arial"/>
                <w:spacing w:val="-3"/>
                <w:sz w:val="18"/>
                <w:szCs w:val="18"/>
                <w:lang w:val="es-AR"/>
              </w:rPr>
              <w:t>1</w:t>
            </w:r>
          </w:p>
        </w:tc>
        <w:tc>
          <w:tcPr>
            <w:tcW w:w="718" w:type="dxa"/>
            <w:shd w:val="clear" w:color="auto" w:fill="auto"/>
            <w:vAlign w:val="center"/>
          </w:tcPr>
          <w:p w:rsidR="00582099" w:rsidRDefault="00582099" w:rsidP="00582099">
            <w:pPr>
              <w:keepNext/>
              <w:keepLines/>
              <w:spacing w:after="0"/>
              <w:jc w:val="center"/>
              <w:rPr>
                <w:rFonts w:cs="Arial"/>
                <w:spacing w:val="-3"/>
                <w:sz w:val="18"/>
                <w:szCs w:val="18"/>
                <w:lang w:val="es-AR"/>
              </w:rPr>
            </w:pPr>
            <w:r>
              <w:rPr>
                <w:rFonts w:cs="Arial"/>
                <w:spacing w:val="-3"/>
                <w:sz w:val="18"/>
                <w:szCs w:val="18"/>
                <w:lang w:val="es-AR"/>
              </w:rPr>
              <w:t>0</w:t>
            </w:r>
          </w:p>
        </w:tc>
        <w:tc>
          <w:tcPr>
            <w:tcW w:w="717" w:type="dxa"/>
            <w:vAlign w:val="center"/>
          </w:tcPr>
          <w:p w:rsidR="00582099" w:rsidRDefault="00582099" w:rsidP="00582099">
            <w:pPr>
              <w:keepNext/>
              <w:keepLines/>
              <w:spacing w:after="0"/>
              <w:jc w:val="center"/>
              <w:rPr>
                <w:rFonts w:cs="Arial"/>
                <w:spacing w:val="-3"/>
                <w:sz w:val="18"/>
                <w:szCs w:val="18"/>
                <w:lang w:val="es-AR"/>
              </w:rPr>
            </w:pPr>
            <w:r>
              <w:rPr>
                <w:rFonts w:cs="Arial"/>
                <w:spacing w:val="-3"/>
                <w:sz w:val="18"/>
                <w:szCs w:val="18"/>
                <w:lang w:val="es-AR"/>
              </w:rPr>
              <w:t>0</w:t>
            </w:r>
          </w:p>
        </w:tc>
        <w:tc>
          <w:tcPr>
            <w:tcW w:w="718" w:type="dxa"/>
            <w:vAlign w:val="center"/>
          </w:tcPr>
          <w:p w:rsidR="00582099" w:rsidRDefault="00582099" w:rsidP="00582099">
            <w:pPr>
              <w:keepNext/>
              <w:keepLines/>
              <w:spacing w:after="0"/>
              <w:jc w:val="center"/>
              <w:rPr>
                <w:rFonts w:cs="Arial"/>
                <w:spacing w:val="-3"/>
                <w:sz w:val="18"/>
                <w:szCs w:val="18"/>
                <w:lang w:val="es-AR"/>
              </w:rPr>
            </w:pPr>
            <w:r>
              <w:rPr>
                <w:rFonts w:cs="Arial"/>
                <w:spacing w:val="-3"/>
                <w:sz w:val="18"/>
                <w:szCs w:val="18"/>
                <w:lang w:val="es-AR"/>
              </w:rPr>
              <w:t>0</w:t>
            </w:r>
          </w:p>
        </w:tc>
        <w:tc>
          <w:tcPr>
            <w:tcW w:w="718" w:type="dxa"/>
            <w:shd w:val="clear" w:color="auto" w:fill="auto"/>
            <w:vAlign w:val="center"/>
          </w:tcPr>
          <w:p w:rsidR="00582099" w:rsidRDefault="00582099" w:rsidP="00582099">
            <w:pPr>
              <w:keepNext/>
              <w:keepLines/>
              <w:spacing w:after="0"/>
              <w:jc w:val="center"/>
              <w:rPr>
                <w:rFonts w:cs="Arial"/>
                <w:spacing w:val="-3"/>
                <w:sz w:val="18"/>
                <w:szCs w:val="18"/>
                <w:lang w:val="es-AR"/>
              </w:rPr>
            </w:pPr>
            <w:r>
              <w:rPr>
                <w:rFonts w:cs="Arial"/>
                <w:spacing w:val="-3"/>
                <w:sz w:val="18"/>
                <w:szCs w:val="18"/>
                <w:lang w:val="es-AR"/>
              </w:rPr>
              <w:t>0</w:t>
            </w:r>
          </w:p>
        </w:tc>
        <w:tc>
          <w:tcPr>
            <w:tcW w:w="636" w:type="dxa"/>
            <w:shd w:val="clear" w:color="auto" w:fill="auto"/>
            <w:vAlign w:val="center"/>
          </w:tcPr>
          <w:p w:rsidR="00582099" w:rsidRDefault="00582099" w:rsidP="00582099">
            <w:pPr>
              <w:keepNext/>
              <w:keepLines/>
              <w:spacing w:after="0"/>
              <w:jc w:val="center"/>
              <w:rPr>
                <w:rFonts w:cs="Arial"/>
                <w:spacing w:val="-3"/>
                <w:sz w:val="18"/>
                <w:szCs w:val="18"/>
                <w:lang w:val="es-AR"/>
              </w:rPr>
            </w:pPr>
            <w:r>
              <w:rPr>
                <w:rFonts w:cs="Arial"/>
                <w:spacing w:val="-3"/>
                <w:sz w:val="18"/>
                <w:szCs w:val="18"/>
                <w:lang w:val="es-AR"/>
              </w:rPr>
              <w:t>1</w:t>
            </w:r>
          </w:p>
        </w:tc>
      </w:tr>
      <w:tr w:rsidR="003028FA" w:rsidRPr="00FD2016" w:rsidTr="00302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42" w:type="dxa"/>
            <w:shd w:val="clear" w:color="auto" w:fill="auto"/>
            <w:vAlign w:val="center"/>
            <w:hideMark/>
          </w:tcPr>
          <w:p w:rsidR="00582099" w:rsidRPr="00076BCC" w:rsidRDefault="00582099" w:rsidP="003028FA">
            <w:pPr>
              <w:keepNext/>
              <w:keepLines/>
              <w:spacing w:after="0"/>
              <w:ind w:left="-70" w:right="-86"/>
              <w:jc w:val="left"/>
              <w:rPr>
                <w:rFonts w:cs="Arial"/>
                <w:spacing w:val="-6"/>
                <w:sz w:val="18"/>
                <w:szCs w:val="18"/>
                <w:lang w:val="es-UY"/>
              </w:rPr>
            </w:pPr>
            <w:r w:rsidRPr="00076BCC">
              <w:rPr>
                <w:rFonts w:cs="Arial"/>
                <w:b/>
                <w:spacing w:val="-6"/>
                <w:sz w:val="18"/>
                <w:szCs w:val="18"/>
                <w:lang w:val="es-AR"/>
              </w:rPr>
              <w:t>Producto 3.2b:</w:t>
            </w:r>
            <w:r w:rsidRPr="00076BCC">
              <w:rPr>
                <w:rFonts w:cs="Arial"/>
                <w:spacing w:val="-6"/>
                <w:sz w:val="18"/>
                <w:szCs w:val="18"/>
                <w:lang w:val="es-AR"/>
              </w:rPr>
              <w:t xml:space="preserve"> P</w:t>
            </w:r>
            <w:r w:rsidRPr="00076BCC">
              <w:rPr>
                <w:rFonts w:cs="Arial"/>
                <w:bCs/>
                <w:spacing w:val="-6"/>
                <w:sz w:val="18"/>
                <w:szCs w:val="18"/>
                <w:lang w:val="es-UY"/>
              </w:rPr>
              <w:t xml:space="preserve">lan de fortalecimiento para la protección de trayectorias en las </w:t>
            </w:r>
            <w:r w:rsidRPr="00076BCC">
              <w:rPr>
                <w:rFonts w:cs="Arial"/>
                <w:spacing w:val="-6"/>
                <w:sz w:val="18"/>
                <w:szCs w:val="18"/>
                <w:lang w:val="es-AR"/>
              </w:rPr>
              <w:t>Comisiones Descentralizadas funcionando en las CD.</w:t>
            </w:r>
          </w:p>
        </w:tc>
        <w:tc>
          <w:tcPr>
            <w:tcW w:w="1616" w:type="dxa"/>
            <w:shd w:val="clear" w:color="auto" w:fill="auto"/>
            <w:vAlign w:val="center"/>
            <w:hideMark/>
          </w:tcPr>
          <w:p w:rsidR="00582099" w:rsidRPr="008951FC" w:rsidRDefault="00582099" w:rsidP="003028FA">
            <w:pPr>
              <w:keepNext/>
              <w:keepLines/>
              <w:spacing w:after="0"/>
              <w:jc w:val="left"/>
              <w:rPr>
                <w:rFonts w:cs="Arial"/>
                <w:spacing w:val="-3"/>
                <w:sz w:val="18"/>
                <w:szCs w:val="18"/>
              </w:rPr>
            </w:pPr>
            <w:r>
              <w:rPr>
                <w:rFonts w:cs="Arial"/>
                <w:spacing w:val="-3"/>
                <w:sz w:val="18"/>
                <w:szCs w:val="18"/>
              </w:rPr>
              <w:t>Planes de las CD financiados anualmente</w:t>
            </w:r>
          </w:p>
        </w:tc>
        <w:tc>
          <w:tcPr>
            <w:tcW w:w="670" w:type="dxa"/>
            <w:shd w:val="clear" w:color="auto" w:fill="auto"/>
            <w:vAlign w:val="center"/>
            <w:hideMark/>
          </w:tcPr>
          <w:p w:rsidR="00582099" w:rsidRPr="00FD2016" w:rsidRDefault="00582099" w:rsidP="00582099">
            <w:pPr>
              <w:keepNext/>
              <w:keepLines/>
              <w:spacing w:after="0"/>
              <w:jc w:val="center"/>
              <w:rPr>
                <w:rFonts w:cs="Arial"/>
                <w:spacing w:val="-3"/>
                <w:sz w:val="18"/>
                <w:szCs w:val="18"/>
                <w:lang w:val="es-AR"/>
              </w:rPr>
            </w:pPr>
            <w:r>
              <w:rPr>
                <w:rFonts w:cs="Arial"/>
                <w:spacing w:val="-3"/>
                <w:sz w:val="18"/>
                <w:szCs w:val="18"/>
                <w:lang w:val="es-AR"/>
              </w:rPr>
              <w:t>0</w:t>
            </w:r>
          </w:p>
        </w:tc>
        <w:tc>
          <w:tcPr>
            <w:tcW w:w="647" w:type="dxa"/>
            <w:shd w:val="clear" w:color="auto" w:fill="auto"/>
            <w:vAlign w:val="center"/>
            <w:hideMark/>
          </w:tcPr>
          <w:p w:rsidR="00582099" w:rsidRPr="00FD2016" w:rsidRDefault="00582099" w:rsidP="00582099">
            <w:pPr>
              <w:keepNext/>
              <w:keepLines/>
              <w:spacing w:after="0"/>
              <w:rPr>
                <w:rFonts w:cs="Arial"/>
                <w:spacing w:val="-3"/>
                <w:sz w:val="18"/>
                <w:szCs w:val="18"/>
                <w:lang w:val="es-AR"/>
              </w:rPr>
            </w:pPr>
            <w:r>
              <w:rPr>
                <w:rFonts w:cs="Arial"/>
                <w:spacing w:val="-3"/>
                <w:sz w:val="18"/>
                <w:szCs w:val="18"/>
                <w:lang w:val="es-AR"/>
              </w:rPr>
              <w:t>2016</w:t>
            </w:r>
          </w:p>
        </w:tc>
        <w:tc>
          <w:tcPr>
            <w:tcW w:w="717" w:type="dxa"/>
            <w:shd w:val="clear" w:color="auto" w:fill="auto"/>
            <w:vAlign w:val="center"/>
            <w:hideMark/>
          </w:tcPr>
          <w:p w:rsidR="00582099" w:rsidRPr="00FD2016" w:rsidRDefault="00582099" w:rsidP="00582099">
            <w:pPr>
              <w:keepNext/>
              <w:keepLines/>
              <w:spacing w:after="0"/>
              <w:jc w:val="center"/>
              <w:rPr>
                <w:rFonts w:cs="Arial"/>
                <w:spacing w:val="-3"/>
                <w:sz w:val="18"/>
                <w:szCs w:val="18"/>
                <w:lang w:val="es-AR"/>
              </w:rPr>
            </w:pPr>
            <w:r>
              <w:rPr>
                <w:rFonts w:cs="Arial"/>
                <w:spacing w:val="-3"/>
                <w:sz w:val="18"/>
                <w:szCs w:val="18"/>
                <w:lang w:val="es-AR"/>
              </w:rPr>
              <w:t>23</w:t>
            </w:r>
          </w:p>
        </w:tc>
        <w:tc>
          <w:tcPr>
            <w:tcW w:w="718" w:type="dxa"/>
            <w:shd w:val="clear" w:color="auto" w:fill="auto"/>
            <w:vAlign w:val="center"/>
            <w:hideMark/>
          </w:tcPr>
          <w:p w:rsidR="00582099" w:rsidRPr="00FD2016" w:rsidRDefault="00582099" w:rsidP="00582099">
            <w:pPr>
              <w:keepNext/>
              <w:keepLines/>
              <w:spacing w:after="0"/>
              <w:jc w:val="center"/>
              <w:rPr>
                <w:rFonts w:cs="Arial"/>
                <w:spacing w:val="-3"/>
                <w:sz w:val="18"/>
                <w:szCs w:val="18"/>
                <w:lang w:val="es-AR"/>
              </w:rPr>
            </w:pPr>
            <w:r>
              <w:rPr>
                <w:rFonts w:cs="Arial"/>
                <w:spacing w:val="-3"/>
                <w:sz w:val="18"/>
                <w:szCs w:val="18"/>
                <w:lang w:val="es-AR"/>
              </w:rPr>
              <w:t>23</w:t>
            </w:r>
          </w:p>
        </w:tc>
        <w:tc>
          <w:tcPr>
            <w:tcW w:w="717" w:type="dxa"/>
            <w:vAlign w:val="center"/>
          </w:tcPr>
          <w:p w:rsidR="00582099" w:rsidRPr="00FD2016" w:rsidRDefault="00582099" w:rsidP="00582099">
            <w:pPr>
              <w:keepNext/>
              <w:keepLines/>
              <w:spacing w:after="0"/>
              <w:jc w:val="center"/>
              <w:rPr>
                <w:rFonts w:cs="Arial"/>
                <w:spacing w:val="-3"/>
                <w:sz w:val="18"/>
                <w:szCs w:val="18"/>
                <w:lang w:val="es-AR"/>
              </w:rPr>
            </w:pPr>
            <w:r>
              <w:rPr>
                <w:rFonts w:cs="Arial"/>
                <w:spacing w:val="-3"/>
                <w:sz w:val="18"/>
                <w:szCs w:val="18"/>
                <w:lang w:val="es-AR"/>
              </w:rPr>
              <w:t>23</w:t>
            </w:r>
          </w:p>
        </w:tc>
        <w:tc>
          <w:tcPr>
            <w:tcW w:w="718" w:type="dxa"/>
            <w:vAlign w:val="center"/>
          </w:tcPr>
          <w:p w:rsidR="00582099" w:rsidRPr="00FD2016" w:rsidRDefault="00582099" w:rsidP="00582099">
            <w:pPr>
              <w:keepNext/>
              <w:keepLines/>
              <w:spacing w:after="0"/>
              <w:jc w:val="center"/>
              <w:rPr>
                <w:rFonts w:cs="Arial"/>
                <w:spacing w:val="-3"/>
                <w:sz w:val="18"/>
                <w:szCs w:val="18"/>
                <w:lang w:val="es-AR"/>
              </w:rPr>
            </w:pPr>
            <w:r>
              <w:rPr>
                <w:rFonts w:cs="Arial"/>
                <w:spacing w:val="-3"/>
                <w:sz w:val="18"/>
                <w:szCs w:val="18"/>
                <w:lang w:val="es-AR"/>
              </w:rPr>
              <w:t>23</w:t>
            </w:r>
          </w:p>
        </w:tc>
        <w:tc>
          <w:tcPr>
            <w:tcW w:w="718" w:type="dxa"/>
            <w:shd w:val="clear" w:color="auto" w:fill="auto"/>
            <w:vAlign w:val="center"/>
            <w:hideMark/>
          </w:tcPr>
          <w:p w:rsidR="00582099" w:rsidRPr="00FD2016" w:rsidRDefault="00582099" w:rsidP="00582099">
            <w:pPr>
              <w:keepNext/>
              <w:keepLines/>
              <w:spacing w:after="0"/>
              <w:jc w:val="center"/>
              <w:rPr>
                <w:rFonts w:cs="Arial"/>
                <w:spacing w:val="-3"/>
                <w:sz w:val="18"/>
                <w:szCs w:val="18"/>
                <w:lang w:val="es-AR"/>
              </w:rPr>
            </w:pPr>
            <w:r>
              <w:rPr>
                <w:rFonts w:cs="Arial"/>
                <w:spacing w:val="-3"/>
                <w:sz w:val="18"/>
                <w:szCs w:val="18"/>
                <w:lang w:val="es-AR"/>
              </w:rPr>
              <w:t>23</w:t>
            </w:r>
          </w:p>
        </w:tc>
        <w:tc>
          <w:tcPr>
            <w:tcW w:w="636" w:type="dxa"/>
            <w:shd w:val="clear" w:color="auto" w:fill="auto"/>
            <w:vAlign w:val="center"/>
            <w:hideMark/>
          </w:tcPr>
          <w:p w:rsidR="00582099" w:rsidRPr="00FD2016" w:rsidRDefault="00582099" w:rsidP="00582099">
            <w:pPr>
              <w:keepNext/>
              <w:keepLines/>
              <w:spacing w:after="0"/>
              <w:jc w:val="center"/>
              <w:rPr>
                <w:rFonts w:cs="Arial"/>
                <w:spacing w:val="-3"/>
                <w:sz w:val="18"/>
                <w:szCs w:val="18"/>
                <w:lang w:val="es-AR"/>
              </w:rPr>
            </w:pPr>
            <w:r>
              <w:rPr>
                <w:rFonts w:cs="Arial"/>
                <w:spacing w:val="-3"/>
                <w:sz w:val="18"/>
                <w:szCs w:val="18"/>
                <w:lang w:val="es-AR"/>
              </w:rPr>
              <w:t>23</w:t>
            </w:r>
          </w:p>
        </w:tc>
      </w:tr>
      <w:tr w:rsidR="003028FA" w:rsidRPr="00FD2016" w:rsidTr="00302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42" w:type="dxa"/>
            <w:shd w:val="clear" w:color="auto" w:fill="auto"/>
            <w:vAlign w:val="center"/>
            <w:hideMark/>
          </w:tcPr>
          <w:p w:rsidR="00582099" w:rsidRPr="00076BCC" w:rsidRDefault="00582099" w:rsidP="003028FA">
            <w:pPr>
              <w:keepNext/>
              <w:keepLines/>
              <w:spacing w:after="0"/>
              <w:ind w:left="-70" w:right="-86"/>
              <w:jc w:val="left"/>
              <w:rPr>
                <w:rFonts w:cs="Arial"/>
                <w:spacing w:val="-6"/>
                <w:sz w:val="18"/>
                <w:szCs w:val="18"/>
                <w:lang w:val="es-ES"/>
              </w:rPr>
            </w:pPr>
            <w:r w:rsidRPr="00076BCC">
              <w:rPr>
                <w:rFonts w:cs="Arial"/>
                <w:b/>
                <w:spacing w:val="-6"/>
                <w:sz w:val="18"/>
                <w:szCs w:val="18"/>
                <w:lang w:val="es-AR"/>
              </w:rPr>
              <w:t>Producto 3.3:</w:t>
            </w:r>
            <w:r w:rsidRPr="00076BCC">
              <w:rPr>
                <w:rFonts w:cs="Arial"/>
                <w:spacing w:val="-6"/>
                <w:sz w:val="18"/>
                <w:szCs w:val="18"/>
                <w:lang w:val="es-AR"/>
              </w:rPr>
              <w:t xml:space="preserve"> Nuevos módulos implementados para el </w:t>
            </w:r>
            <w:r w:rsidRPr="00076BCC">
              <w:rPr>
                <w:rFonts w:cs="Arial"/>
                <w:color w:val="000000"/>
                <w:spacing w:val="-6"/>
                <w:sz w:val="18"/>
                <w:szCs w:val="18"/>
                <w:lang w:val="es-ES"/>
              </w:rPr>
              <w:t>fortalecimiento de la gestión financiera-administrativa-recursos humanos y educativa.</w:t>
            </w:r>
          </w:p>
        </w:tc>
        <w:tc>
          <w:tcPr>
            <w:tcW w:w="1616" w:type="dxa"/>
            <w:shd w:val="clear" w:color="auto" w:fill="auto"/>
            <w:vAlign w:val="center"/>
            <w:hideMark/>
          </w:tcPr>
          <w:p w:rsidR="00582099" w:rsidRDefault="00582099" w:rsidP="003028FA">
            <w:pPr>
              <w:keepNext/>
              <w:keepLines/>
              <w:spacing w:after="0"/>
              <w:jc w:val="left"/>
              <w:rPr>
                <w:rFonts w:cs="Arial"/>
                <w:spacing w:val="-3"/>
                <w:sz w:val="18"/>
                <w:szCs w:val="18"/>
                <w:lang w:val="es-AR"/>
              </w:rPr>
            </w:pPr>
            <w:r>
              <w:rPr>
                <w:rFonts w:cs="Arial"/>
                <w:spacing w:val="-3"/>
                <w:sz w:val="18"/>
                <w:szCs w:val="18"/>
                <w:lang w:val="es-AR"/>
              </w:rPr>
              <w:t>Módulos Implementados</w:t>
            </w:r>
          </w:p>
          <w:p w:rsidR="00582099" w:rsidRPr="00FD2016" w:rsidRDefault="00582099" w:rsidP="003028FA">
            <w:pPr>
              <w:keepNext/>
              <w:keepLines/>
              <w:spacing w:after="0"/>
              <w:jc w:val="left"/>
              <w:rPr>
                <w:rFonts w:cs="Arial"/>
                <w:spacing w:val="-3"/>
                <w:sz w:val="18"/>
                <w:szCs w:val="18"/>
                <w:lang w:val="es-AR"/>
              </w:rPr>
            </w:pPr>
          </w:p>
        </w:tc>
        <w:tc>
          <w:tcPr>
            <w:tcW w:w="670" w:type="dxa"/>
            <w:shd w:val="clear" w:color="auto" w:fill="auto"/>
            <w:vAlign w:val="center"/>
            <w:hideMark/>
          </w:tcPr>
          <w:p w:rsidR="00582099" w:rsidRPr="00FD2016" w:rsidRDefault="00582099" w:rsidP="00582099">
            <w:pPr>
              <w:keepNext/>
              <w:keepLines/>
              <w:spacing w:after="0"/>
              <w:jc w:val="center"/>
              <w:rPr>
                <w:rFonts w:cs="Arial"/>
                <w:spacing w:val="-3"/>
                <w:sz w:val="18"/>
                <w:szCs w:val="18"/>
                <w:lang w:val="es-AR"/>
              </w:rPr>
            </w:pPr>
            <w:r w:rsidRPr="002F10C8">
              <w:rPr>
                <w:rFonts w:cs="Arial"/>
                <w:spacing w:val="-3"/>
                <w:sz w:val="18"/>
                <w:szCs w:val="18"/>
                <w:lang w:val="es-AR"/>
              </w:rPr>
              <w:t>0</w:t>
            </w:r>
          </w:p>
        </w:tc>
        <w:tc>
          <w:tcPr>
            <w:tcW w:w="647" w:type="dxa"/>
            <w:shd w:val="clear" w:color="auto" w:fill="auto"/>
            <w:vAlign w:val="center"/>
            <w:hideMark/>
          </w:tcPr>
          <w:p w:rsidR="00582099" w:rsidRPr="00FD2016" w:rsidRDefault="00582099" w:rsidP="00582099">
            <w:pPr>
              <w:keepNext/>
              <w:keepLines/>
              <w:spacing w:after="0"/>
              <w:jc w:val="center"/>
              <w:rPr>
                <w:rFonts w:cs="Arial"/>
                <w:spacing w:val="-3"/>
                <w:sz w:val="18"/>
                <w:szCs w:val="18"/>
                <w:lang w:val="es-AR"/>
              </w:rPr>
            </w:pPr>
          </w:p>
        </w:tc>
        <w:tc>
          <w:tcPr>
            <w:tcW w:w="717" w:type="dxa"/>
            <w:shd w:val="clear" w:color="auto" w:fill="auto"/>
            <w:vAlign w:val="center"/>
            <w:hideMark/>
          </w:tcPr>
          <w:p w:rsidR="00582099" w:rsidRPr="00FD2016" w:rsidRDefault="00582099" w:rsidP="00582099">
            <w:pPr>
              <w:keepNext/>
              <w:keepLines/>
              <w:spacing w:after="0"/>
              <w:jc w:val="center"/>
              <w:rPr>
                <w:rFonts w:cs="Arial"/>
                <w:spacing w:val="-3"/>
                <w:sz w:val="18"/>
                <w:szCs w:val="18"/>
                <w:lang w:val="es-AR"/>
              </w:rPr>
            </w:pPr>
            <w:r w:rsidRPr="00FD2016">
              <w:rPr>
                <w:rFonts w:cs="Arial"/>
                <w:spacing w:val="-3"/>
                <w:sz w:val="18"/>
                <w:szCs w:val="18"/>
                <w:lang w:val="es-AR"/>
              </w:rPr>
              <w:t> </w:t>
            </w:r>
            <w:r>
              <w:rPr>
                <w:rFonts w:cs="Arial"/>
                <w:spacing w:val="-3"/>
                <w:sz w:val="18"/>
                <w:szCs w:val="18"/>
                <w:lang w:val="es-AR"/>
              </w:rPr>
              <w:t>2</w:t>
            </w:r>
          </w:p>
        </w:tc>
        <w:tc>
          <w:tcPr>
            <w:tcW w:w="718" w:type="dxa"/>
            <w:shd w:val="clear" w:color="auto" w:fill="auto"/>
            <w:vAlign w:val="center"/>
            <w:hideMark/>
          </w:tcPr>
          <w:p w:rsidR="00582099" w:rsidRPr="00FD2016" w:rsidRDefault="00582099" w:rsidP="00582099">
            <w:pPr>
              <w:keepNext/>
              <w:keepLines/>
              <w:spacing w:after="0"/>
              <w:jc w:val="center"/>
              <w:rPr>
                <w:rFonts w:cs="Arial"/>
                <w:spacing w:val="-3"/>
                <w:sz w:val="18"/>
                <w:szCs w:val="18"/>
                <w:lang w:val="es-AR"/>
              </w:rPr>
            </w:pPr>
            <w:r>
              <w:rPr>
                <w:rFonts w:cs="Arial"/>
                <w:spacing w:val="-3"/>
                <w:sz w:val="18"/>
                <w:szCs w:val="18"/>
                <w:lang w:val="es-AR"/>
              </w:rPr>
              <w:t>1</w:t>
            </w:r>
          </w:p>
        </w:tc>
        <w:tc>
          <w:tcPr>
            <w:tcW w:w="717" w:type="dxa"/>
            <w:vAlign w:val="center"/>
          </w:tcPr>
          <w:p w:rsidR="00582099" w:rsidRPr="00FD2016" w:rsidRDefault="00582099" w:rsidP="00582099">
            <w:pPr>
              <w:keepNext/>
              <w:keepLines/>
              <w:spacing w:after="0"/>
              <w:jc w:val="center"/>
              <w:rPr>
                <w:rFonts w:cs="Arial"/>
                <w:spacing w:val="-3"/>
                <w:sz w:val="18"/>
                <w:szCs w:val="18"/>
                <w:lang w:val="es-AR"/>
              </w:rPr>
            </w:pPr>
            <w:r>
              <w:rPr>
                <w:rFonts w:cs="Arial"/>
                <w:spacing w:val="-3"/>
                <w:sz w:val="18"/>
                <w:szCs w:val="18"/>
                <w:lang w:val="es-AR"/>
              </w:rPr>
              <w:t>2</w:t>
            </w:r>
          </w:p>
        </w:tc>
        <w:tc>
          <w:tcPr>
            <w:tcW w:w="718" w:type="dxa"/>
            <w:vAlign w:val="center"/>
          </w:tcPr>
          <w:p w:rsidR="00582099" w:rsidRPr="00FD2016" w:rsidRDefault="00582099" w:rsidP="00582099">
            <w:pPr>
              <w:keepNext/>
              <w:keepLines/>
              <w:spacing w:after="0"/>
              <w:jc w:val="center"/>
              <w:rPr>
                <w:rFonts w:cs="Arial"/>
                <w:spacing w:val="-3"/>
                <w:sz w:val="18"/>
                <w:szCs w:val="18"/>
                <w:lang w:val="es-AR"/>
              </w:rPr>
            </w:pPr>
            <w:r>
              <w:rPr>
                <w:rFonts w:cs="Arial"/>
                <w:spacing w:val="-3"/>
                <w:sz w:val="18"/>
                <w:szCs w:val="18"/>
                <w:lang w:val="es-AR"/>
              </w:rPr>
              <w:t>0</w:t>
            </w:r>
          </w:p>
        </w:tc>
        <w:tc>
          <w:tcPr>
            <w:tcW w:w="718" w:type="dxa"/>
            <w:shd w:val="clear" w:color="auto" w:fill="auto"/>
            <w:vAlign w:val="center"/>
            <w:hideMark/>
          </w:tcPr>
          <w:p w:rsidR="00582099" w:rsidRPr="00FD2016" w:rsidRDefault="00582099" w:rsidP="00582099">
            <w:pPr>
              <w:keepNext/>
              <w:keepLines/>
              <w:spacing w:after="0"/>
              <w:jc w:val="center"/>
              <w:rPr>
                <w:rFonts w:cs="Arial"/>
                <w:spacing w:val="-3"/>
                <w:sz w:val="18"/>
                <w:szCs w:val="18"/>
                <w:lang w:val="es-AR"/>
              </w:rPr>
            </w:pPr>
            <w:r>
              <w:rPr>
                <w:rFonts w:cs="Arial"/>
                <w:spacing w:val="-3"/>
                <w:sz w:val="18"/>
                <w:szCs w:val="18"/>
                <w:lang w:val="es-AR"/>
              </w:rPr>
              <w:t>2</w:t>
            </w:r>
          </w:p>
        </w:tc>
        <w:tc>
          <w:tcPr>
            <w:tcW w:w="636" w:type="dxa"/>
            <w:shd w:val="clear" w:color="auto" w:fill="auto"/>
            <w:vAlign w:val="center"/>
            <w:hideMark/>
          </w:tcPr>
          <w:p w:rsidR="00582099" w:rsidRPr="00FD2016" w:rsidRDefault="00582099" w:rsidP="00582099">
            <w:pPr>
              <w:keepNext/>
              <w:keepLines/>
              <w:spacing w:after="0"/>
              <w:jc w:val="center"/>
              <w:rPr>
                <w:rFonts w:cs="Arial"/>
                <w:spacing w:val="-3"/>
                <w:sz w:val="18"/>
                <w:szCs w:val="18"/>
                <w:lang w:val="es-AR"/>
              </w:rPr>
            </w:pPr>
            <w:r>
              <w:rPr>
                <w:rFonts w:cs="Arial"/>
                <w:spacing w:val="-3"/>
                <w:sz w:val="18"/>
                <w:szCs w:val="18"/>
                <w:lang w:val="es-AR"/>
              </w:rPr>
              <w:t>7</w:t>
            </w:r>
          </w:p>
        </w:tc>
      </w:tr>
      <w:tr w:rsidR="003028FA" w:rsidRPr="00FD2016" w:rsidTr="003028FA">
        <w:trPr>
          <w:jc w:val="center"/>
        </w:trPr>
        <w:tc>
          <w:tcPr>
            <w:tcW w:w="10499" w:type="dxa"/>
            <w:gridSpan w:val="10"/>
            <w:tcBorders>
              <w:top w:val="nil"/>
              <w:left w:val="single" w:sz="8" w:space="0" w:color="auto"/>
              <w:bottom w:val="single" w:sz="4" w:space="0" w:color="auto"/>
              <w:right w:val="single" w:sz="4" w:space="0" w:color="auto"/>
            </w:tcBorders>
            <w:shd w:val="clear" w:color="auto" w:fill="auto"/>
            <w:vAlign w:val="center"/>
          </w:tcPr>
          <w:p w:rsidR="003028FA" w:rsidRDefault="003028FA" w:rsidP="0014491C">
            <w:pPr>
              <w:keepNext/>
              <w:spacing w:after="0"/>
              <w:jc w:val="left"/>
              <w:rPr>
                <w:rFonts w:cs="Arial"/>
                <w:spacing w:val="-3"/>
                <w:sz w:val="18"/>
                <w:szCs w:val="18"/>
                <w:lang w:val="es-AR"/>
              </w:rPr>
            </w:pPr>
            <w:r w:rsidRPr="00FD2016">
              <w:rPr>
                <w:rFonts w:cs="Arial"/>
                <w:b/>
                <w:bCs/>
                <w:spacing w:val="-3"/>
                <w:sz w:val="18"/>
                <w:szCs w:val="18"/>
                <w:lang w:val="es-AR"/>
              </w:rPr>
              <w:t xml:space="preserve">Componente </w:t>
            </w:r>
            <w:r>
              <w:rPr>
                <w:rFonts w:cs="Arial"/>
                <w:b/>
                <w:bCs/>
                <w:spacing w:val="-3"/>
                <w:sz w:val="18"/>
                <w:szCs w:val="18"/>
                <w:lang w:val="es-AR"/>
              </w:rPr>
              <w:t>4</w:t>
            </w:r>
            <w:r w:rsidRPr="00FD2016">
              <w:rPr>
                <w:rFonts w:cs="Arial"/>
                <w:b/>
                <w:bCs/>
                <w:spacing w:val="-3"/>
                <w:sz w:val="18"/>
                <w:szCs w:val="18"/>
                <w:lang w:val="es-AR"/>
              </w:rPr>
              <w:t xml:space="preserve">: </w:t>
            </w:r>
            <w:r w:rsidR="0014491C">
              <w:rPr>
                <w:rFonts w:cs="Arial"/>
                <w:b/>
                <w:sz w:val="18"/>
                <w:szCs w:val="18"/>
              </w:rPr>
              <w:t>Infraestructura</w:t>
            </w:r>
            <w:r>
              <w:rPr>
                <w:rFonts w:cs="Arial"/>
                <w:b/>
                <w:sz w:val="18"/>
                <w:szCs w:val="18"/>
              </w:rPr>
              <w:t xml:space="preserve"> para la mejora educativa</w:t>
            </w:r>
          </w:p>
        </w:tc>
      </w:tr>
      <w:tr w:rsidR="003028FA" w:rsidRPr="00FD2016" w:rsidTr="003028FA">
        <w:trPr>
          <w:jc w:val="center"/>
        </w:trPr>
        <w:tc>
          <w:tcPr>
            <w:tcW w:w="3342" w:type="dxa"/>
            <w:tcBorders>
              <w:top w:val="nil"/>
              <w:left w:val="single" w:sz="8" w:space="0" w:color="auto"/>
              <w:bottom w:val="single" w:sz="4" w:space="0" w:color="auto"/>
              <w:right w:val="single" w:sz="4" w:space="0" w:color="auto"/>
            </w:tcBorders>
            <w:shd w:val="clear" w:color="auto" w:fill="auto"/>
            <w:vAlign w:val="center"/>
            <w:hideMark/>
          </w:tcPr>
          <w:p w:rsidR="00582099" w:rsidRPr="006911B3" w:rsidRDefault="00582099" w:rsidP="003028FA">
            <w:pPr>
              <w:autoSpaceDE w:val="0"/>
              <w:autoSpaceDN w:val="0"/>
              <w:adjustRightInd w:val="0"/>
              <w:spacing w:after="0"/>
              <w:jc w:val="left"/>
              <w:rPr>
                <w:rFonts w:cs="Arial"/>
                <w:color w:val="000000"/>
                <w:sz w:val="18"/>
                <w:szCs w:val="18"/>
                <w:lang w:val="es-ES"/>
              </w:rPr>
            </w:pPr>
            <w:r w:rsidRPr="0056132C">
              <w:rPr>
                <w:rFonts w:cs="Arial"/>
                <w:b/>
                <w:spacing w:val="-3"/>
                <w:sz w:val="18"/>
                <w:szCs w:val="18"/>
                <w:lang w:val="es-AR"/>
              </w:rPr>
              <w:t>Producto 4.1:</w:t>
            </w:r>
            <w:r w:rsidRPr="00FD2016">
              <w:rPr>
                <w:rFonts w:cs="Arial"/>
                <w:spacing w:val="-3"/>
                <w:sz w:val="18"/>
                <w:szCs w:val="18"/>
                <w:lang w:val="es-AR"/>
              </w:rPr>
              <w:t xml:space="preserve"> </w:t>
            </w:r>
            <w:r>
              <w:rPr>
                <w:rFonts w:cs="Arial"/>
                <w:spacing w:val="-3"/>
                <w:sz w:val="18"/>
                <w:szCs w:val="18"/>
                <w:lang w:val="es-AR"/>
              </w:rPr>
              <w:t xml:space="preserve">Nuevos centros </w:t>
            </w:r>
            <w:r w:rsidRPr="006911B3">
              <w:rPr>
                <w:rFonts w:cs="Arial"/>
                <w:color w:val="000000"/>
                <w:sz w:val="18"/>
                <w:szCs w:val="18"/>
                <w:lang w:val="es-ES"/>
              </w:rPr>
              <w:t>construid</w:t>
            </w:r>
            <w:r>
              <w:rPr>
                <w:rFonts w:cs="Arial"/>
                <w:color w:val="000000"/>
                <w:sz w:val="18"/>
                <w:szCs w:val="18"/>
                <w:lang w:val="es-ES"/>
              </w:rPr>
              <w:t>os</w:t>
            </w:r>
            <w:r w:rsidRPr="006911B3">
              <w:rPr>
                <w:rFonts w:cs="Arial"/>
                <w:color w:val="000000"/>
                <w:sz w:val="18"/>
                <w:szCs w:val="18"/>
                <w:lang w:val="es-ES"/>
              </w:rPr>
              <w:t xml:space="preserve"> y </w:t>
            </w:r>
          </w:p>
          <w:p w:rsidR="00582099" w:rsidRPr="00D47145" w:rsidRDefault="00582099" w:rsidP="003028FA">
            <w:pPr>
              <w:autoSpaceDE w:val="0"/>
              <w:autoSpaceDN w:val="0"/>
              <w:adjustRightInd w:val="0"/>
              <w:spacing w:after="0"/>
              <w:jc w:val="left"/>
              <w:rPr>
                <w:rFonts w:cs="Arial"/>
                <w:color w:val="000000"/>
                <w:sz w:val="18"/>
                <w:szCs w:val="18"/>
                <w:lang w:val="es-ES"/>
              </w:rPr>
            </w:pPr>
            <w:r w:rsidRPr="006911B3">
              <w:rPr>
                <w:rFonts w:cs="Arial"/>
                <w:color w:val="000000"/>
                <w:sz w:val="18"/>
                <w:szCs w:val="18"/>
                <w:lang w:val="es-ES"/>
              </w:rPr>
              <w:t>equipad</w:t>
            </w:r>
            <w:r>
              <w:rPr>
                <w:rFonts w:cs="Arial"/>
                <w:color w:val="000000"/>
                <w:sz w:val="18"/>
                <w:szCs w:val="18"/>
                <w:lang w:val="es-ES"/>
              </w:rPr>
              <w:t>os para la EM</w:t>
            </w:r>
          </w:p>
        </w:tc>
        <w:tc>
          <w:tcPr>
            <w:tcW w:w="1616" w:type="dxa"/>
            <w:tcBorders>
              <w:top w:val="nil"/>
              <w:left w:val="nil"/>
              <w:bottom w:val="single" w:sz="4" w:space="0" w:color="auto"/>
              <w:right w:val="single" w:sz="4" w:space="0" w:color="auto"/>
            </w:tcBorders>
            <w:shd w:val="clear" w:color="auto" w:fill="auto"/>
            <w:vAlign w:val="center"/>
            <w:hideMark/>
          </w:tcPr>
          <w:p w:rsidR="00582099" w:rsidRPr="00FD2016" w:rsidRDefault="00582099" w:rsidP="003028FA">
            <w:pPr>
              <w:keepNext/>
              <w:spacing w:after="0"/>
              <w:jc w:val="left"/>
              <w:rPr>
                <w:rFonts w:cs="Arial"/>
                <w:spacing w:val="-3"/>
                <w:sz w:val="18"/>
                <w:szCs w:val="18"/>
                <w:lang w:val="es-AR"/>
              </w:rPr>
            </w:pPr>
            <w:r>
              <w:rPr>
                <w:rFonts w:cs="Arial"/>
                <w:spacing w:val="-3"/>
                <w:sz w:val="18"/>
                <w:szCs w:val="18"/>
                <w:lang w:val="es-AR"/>
              </w:rPr>
              <w:t>Centros</w:t>
            </w:r>
          </w:p>
        </w:tc>
        <w:tc>
          <w:tcPr>
            <w:tcW w:w="670" w:type="dxa"/>
            <w:tcBorders>
              <w:top w:val="nil"/>
              <w:left w:val="nil"/>
              <w:bottom w:val="single" w:sz="4" w:space="0" w:color="auto"/>
              <w:right w:val="single" w:sz="4" w:space="0" w:color="auto"/>
            </w:tcBorders>
            <w:shd w:val="clear" w:color="auto" w:fill="auto"/>
            <w:vAlign w:val="center"/>
            <w:hideMark/>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0</w:t>
            </w:r>
          </w:p>
        </w:tc>
        <w:tc>
          <w:tcPr>
            <w:tcW w:w="647" w:type="dxa"/>
            <w:tcBorders>
              <w:top w:val="nil"/>
              <w:left w:val="nil"/>
              <w:bottom w:val="single" w:sz="4" w:space="0" w:color="auto"/>
              <w:right w:val="single" w:sz="4" w:space="0" w:color="auto"/>
            </w:tcBorders>
            <w:shd w:val="clear" w:color="auto" w:fill="auto"/>
            <w:vAlign w:val="center"/>
            <w:hideMark/>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2016</w:t>
            </w:r>
          </w:p>
        </w:tc>
        <w:tc>
          <w:tcPr>
            <w:tcW w:w="717" w:type="dxa"/>
            <w:tcBorders>
              <w:top w:val="nil"/>
              <w:left w:val="nil"/>
              <w:bottom w:val="single" w:sz="4" w:space="0" w:color="auto"/>
              <w:right w:val="single" w:sz="4" w:space="0" w:color="auto"/>
            </w:tcBorders>
            <w:shd w:val="clear" w:color="auto" w:fill="auto"/>
            <w:vAlign w:val="center"/>
            <w:hideMark/>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3</w:t>
            </w:r>
          </w:p>
        </w:tc>
        <w:tc>
          <w:tcPr>
            <w:tcW w:w="718" w:type="dxa"/>
            <w:tcBorders>
              <w:top w:val="nil"/>
              <w:left w:val="nil"/>
              <w:bottom w:val="single" w:sz="4" w:space="0" w:color="auto"/>
              <w:right w:val="single" w:sz="4" w:space="0" w:color="auto"/>
            </w:tcBorders>
            <w:shd w:val="clear" w:color="auto" w:fill="auto"/>
            <w:vAlign w:val="center"/>
            <w:hideMark/>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4</w:t>
            </w:r>
          </w:p>
        </w:tc>
        <w:tc>
          <w:tcPr>
            <w:tcW w:w="717" w:type="dxa"/>
            <w:tcBorders>
              <w:top w:val="nil"/>
              <w:left w:val="nil"/>
              <w:bottom w:val="single" w:sz="4" w:space="0" w:color="auto"/>
              <w:right w:val="single" w:sz="4" w:space="0" w:color="auto"/>
            </w:tcBorders>
            <w:vAlign w:val="center"/>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3</w:t>
            </w:r>
          </w:p>
        </w:tc>
        <w:tc>
          <w:tcPr>
            <w:tcW w:w="718" w:type="dxa"/>
            <w:tcBorders>
              <w:top w:val="nil"/>
              <w:left w:val="single" w:sz="4" w:space="0" w:color="auto"/>
              <w:bottom w:val="single" w:sz="4" w:space="0" w:color="auto"/>
              <w:right w:val="single" w:sz="4" w:space="0" w:color="auto"/>
            </w:tcBorders>
            <w:vAlign w:val="center"/>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2</w:t>
            </w:r>
          </w:p>
        </w:tc>
        <w:tc>
          <w:tcPr>
            <w:tcW w:w="718" w:type="dxa"/>
            <w:tcBorders>
              <w:top w:val="nil"/>
              <w:left w:val="single" w:sz="4" w:space="0" w:color="auto"/>
              <w:bottom w:val="single" w:sz="4" w:space="0" w:color="auto"/>
              <w:right w:val="single" w:sz="4" w:space="0" w:color="auto"/>
            </w:tcBorders>
            <w:shd w:val="clear" w:color="auto" w:fill="auto"/>
            <w:vAlign w:val="center"/>
            <w:hideMark/>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2</w:t>
            </w:r>
          </w:p>
        </w:tc>
        <w:tc>
          <w:tcPr>
            <w:tcW w:w="636" w:type="dxa"/>
            <w:tcBorders>
              <w:top w:val="nil"/>
              <w:left w:val="nil"/>
              <w:bottom w:val="single" w:sz="4" w:space="0" w:color="auto"/>
              <w:right w:val="single" w:sz="4" w:space="0" w:color="auto"/>
            </w:tcBorders>
            <w:shd w:val="clear" w:color="auto" w:fill="auto"/>
            <w:vAlign w:val="center"/>
            <w:hideMark/>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14</w:t>
            </w:r>
          </w:p>
        </w:tc>
      </w:tr>
      <w:tr w:rsidR="003028FA" w:rsidRPr="00FD2016" w:rsidTr="003028FA">
        <w:trPr>
          <w:jc w:val="center"/>
        </w:trPr>
        <w:tc>
          <w:tcPr>
            <w:tcW w:w="3342" w:type="dxa"/>
            <w:tcBorders>
              <w:top w:val="nil"/>
              <w:left w:val="single" w:sz="8" w:space="0" w:color="auto"/>
              <w:bottom w:val="single" w:sz="4" w:space="0" w:color="auto"/>
              <w:right w:val="single" w:sz="4" w:space="0" w:color="auto"/>
            </w:tcBorders>
            <w:shd w:val="clear" w:color="auto" w:fill="auto"/>
            <w:vAlign w:val="center"/>
            <w:hideMark/>
          </w:tcPr>
          <w:p w:rsidR="00582099" w:rsidRPr="006911B3" w:rsidRDefault="00582099" w:rsidP="003028FA">
            <w:pPr>
              <w:autoSpaceDE w:val="0"/>
              <w:autoSpaceDN w:val="0"/>
              <w:adjustRightInd w:val="0"/>
              <w:spacing w:after="0"/>
              <w:jc w:val="left"/>
              <w:rPr>
                <w:rFonts w:cs="Arial"/>
                <w:color w:val="000000"/>
                <w:sz w:val="18"/>
                <w:szCs w:val="18"/>
                <w:lang w:val="es-ES"/>
              </w:rPr>
            </w:pPr>
            <w:r w:rsidRPr="0056132C">
              <w:rPr>
                <w:rFonts w:cs="Arial"/>
                <w:b/>
                <w:spacing w:val="-3"/>
                <w:sz w:val="18"/>
                <w:szCs w:val="18"/>
                <w:lang w:val="es-AR"/>
              </w:rPr>
              <w:t>Producto 4.2</w:t>
            </w:r>
            <w:r w:rsidRPr="00FD2016">
              <w:rPr>
                <w:rFonts w:cs="Arial"/>
                <w:spacing w:val="-3"/>
                <w:sz w:val="18"/>
                <w:szCs w:val="18"/>
                <w:lang w:val="es-AR"/>
              </w:rPr>
              <w:t xml:space="preserve">: </w:t>
            </w:r>
            <w:r>
              <w:rPr>
                <w:rFonts w:cs="Arial"/>
                <w:spacing w:val="-3"/>
                <w:sz w:val="18"/>
                <w:szCs w:val="18"/>
                <w:lang w:val="es-AR"/>
              </w:rPr>
              <w:t xml:space="preserve">Centros educativos ampliados </w:t>
            </w:r>
            <w:r w:rsidRPr="006911B3">
              <w:rPr>
                <w:rFonts w:cs="Arial"/>
                <w:color w:val="000000"/>
                <w:sz w:val="18"/>
                <w:szCs w:val="18"/>
                <w:lang w:val="es-ES"/>
              </w:rPr>
              <w:t xml:space="preserve">y </w:t>
            </w:r>
          </w:p>
          <w:p w:rsidR="00582099" w:rsidRPr="00D47145" w:rsidRDefault="00582099" w:rsidP="003028FA">
            <w:pPr>
              <w:autoSpaceDE w:val="0"/>
              <w:autoSpaceDN w:val="0"/>
              <w:adjustRightInd w:val="0"/>
              <w:spacing w:after="0"/>
              <w:jc w:val="left"/>
              <w:rPr>
                <w:rFonts w:cs="Arial"/>
                <w:color w:val="000000"/>
                <w:sz w:val="18"/>
                <w:szCs w:val="18"/>
                <w:lang w:val="es-ES"/>
              </w:rPr>
            </w:pPr>
            <w:r w:rsidRPr="006911B3">
              <w:rPr>
                <w:rFonts w:cs="Arial"/>
                <w:color w:val="000000"/>
                <w:sz w:val="18"/>
                <w:szCs w:val="18"/>
                <w:lang w:val="es-ES"/>
              </w:rPr>
              <w:t>equipad</w:t>
            </w:r>
            <w:r>
              <w:rPr>
                <w:rFonts w:cs="Arial"/>
                <w:color w:val="000000"/>
                <w:sz w:val="18"/>
                <w:szCs w:val="18"/>
                <w:lang w:val="es-ES"/>
              </w:rPr>
              <w:t>o</w:t>
            </w:r>
            <w:r w:rsidRPr="006911B3">
              <w:rPr>
                <w:rFonts w:cs="Arial"/>
                <w:color w:val="000000"/>
                <w:sz w:val="18"/>
                <w:szCs w:val="18"/>
                <w:lang w:val="es-ES"/>
              </w:rPr>
              <w:t xml:space="preserve">s </w:t>
            </w:r>
            <w:r>
              <w:rPr>
                <w:rFonts w:cs="Arial"/>
                <w:color w:val="000000"/>
                <w:sz w:val="18"/>
                <w:szCs w:val="18"/>
                <w:lang w:val="es-ES"/>
              </w:rPr>
              <w:t>para la EM</w:t>
            </w:r>
          </w:p>
        </w:tc>
        <w:tc>
          <w:tcPr>
            <w:tcW w:w="1616" w:type="dxa"/>
            <w:tcBorders>
              <w:top w:val="nil"/>
              <w:left w:val="nil"/>
              <w:bottom w:val="single" w:sz="4" w:space="0" w:color="auto"/>
              <w:right w:val="single" w:sz="4" w:space="0" w:color="auto"/>
            </w:tcBorders>
            <w:shd w:val="clear" w:color="auto" w:fill="auto"/>
            <w:vAlign w:val="center"/>
            <w:hideMark/>
          </w:tcPr>
          <w:p w:rsidR="00582099" w:rsidRPr="00FD2016" w:rsidRDefault="00582099" w:rsidP="003028FA">
            <w:pPr>
              <w:keepNext/>
              <w:spacing w:after="0"/>
              <w:jc w:val="left"/>
              <w:rPr>
                <w:rFonts w:cs="Arial"/>
                <w:spacing w:val="-3"/>
                <w:sz w:val="18"/>
                <w:szCs w:val="18"/>
                <w:lang w:val="es-AR"/>
              </w:rPr>
            </w:pPr>
            <w:r>
              <w:rPr>
                <w:rFonts w:cs="Arial"/>
                <w:spacing w:val="-3"/>
                <w:sz w:val="18"/>
                <w:szCs w:val="18"/>
                <w:lang w:val="es-AR"/>
              </w:rPr>
              <w:t>Centros</w:t>
            </w:r>
          </w:p>
        </w:tc>
        <w:tc>
          <w:tcPr>
            <w:tcW w:w="670" w:type="dxa"/>
            <w:tcBorders>
              <w:top w:val="nil"/>
              <w:left w:val="nil"/>
              <w:bottom w:val="single" w:sz="4" w:space="0" w:color="auto"/>
              <w:right w:val="single" w:sz="4" w:space="0" w:color="auto"/>
            </w:tcBorders>
            <w:shd w:val="clear" w:color="auto" w:fill="auto"/>
            <w:vAlign w:val="center"/>
            <w:hideMark/>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0</w:t>
            </w:r>
          </w:p>
        </w:tc>
        <w:tc>
          <w:tcPr>
            <w:tcW w:w="647" w:type="dxa"/>
            <w:tcBorders>
              <w:top w:val="nil"/>
              <w:left w:val="nil"/>
              <w:bottom w:val="single" w:sz="4" w:space="0" w:color="auto"/>
              <w:right w:val="single" w:sz="4" w:space="0" w:color="auto"/>
            </w:tcBorders>
            <w:shd w:val="clear" w:color="auto" w:fill="auto"/>
            <w:vAlign w:val="center"/>
            <w:hideMark/>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2016</w:t>
            </w:r>
          </w:p>
        </w:tc>
        <w:tc>
          <w:tcPr>
            <w:tcW w:w="717" w:type="dxa"/>
            <w:tcBorders>
              <w:top w:val="nil"/>
              <w:left w:val="nil"/>
              <w:bottom w:val="single" w:sz="4" w:space="0" w:color="auto"/>
              <w:right w:val="single" w:sz="4" w:space="0" w:color="auto"/>
            </w:tcBorders>
            <w:shd w:val="clear" w:color="auto" w:fill="auto"/>
            <w:vAlign w:val="center"/>
            <w:hideMark/>
          </w:tcPr>
          <w:p w:rsidR="00582099" w:rsidRPr="00FD2016" w:rsidRDefault="00582099" w:rsidP="003028FA">
            <w:pPr>
              <w:keepNext/>
              <w:spacing w:after="0"/>
              <w:jc w:val="center"/>
              <w:rPr>
                <w:rFonts w:cs="Arial"/>
                <w:spacing w:val="-3"/>
                <w:sz w:val="18"/>
                <w:szCs w:val="18"/>
                <w:lang w:val="es-AR"/>
              </w:rPr>
            </w:pPr>
            <w:r w:rsidRPr="00FD2016">
              <w:rPr>
                <w:rFonts w:cs="Arial"/>
                <w:spacing w:val="-3"/>
                <w:sz w:val="18"/>
                <w:szCs w:val="18"/>
                <w:lang w:val="es-AR"/>
              </w:rPr>
              <w:t> </w:t>
            </w:r>
            <w:r>
              <w:rPr>
                <w:rFonts w:cs="Arial"/>
                <w:spacing w:val="-3"/>
                <w:sz w:val="18"/>
                <w:szCs w:val="18"/>
                <w:lang w:val="es-AR"/>
              </w:rPr>
              <w:t>4</w:t>
            </w:r>
          </w:p>
        </w:tc>
        <w:tc>
          <w:tcPr>
            <w:tcW w:w="718" w:type="dxa"/>
            <w:tcBorders>
              <w:top w:val="nil"/>
              <w:left w:val="nil"/>
              <w:bottom w:val="single" w:sz="4" w:space="0" w:color="auto"/>
              <w:right w:val="single" w:sz="4" w:space="0" w:color="auto"/>
            </w:tcBorders>
            <w:shd w:val="clear" w:color="auto" w:fill="auto"/>
            <w:vAlign w:val="center"/>
            <w:hideMark/>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2</w:t>
            </w:r>
          </w:p>
        </w:tc>
        <w:tc>
          <w:tcPr>
            <w:tcW w:w="717" w:type="dxa"/>
            <w:tcBorders>
              <w:top w:val="nil"/>
              <w:left w:val="nil"/>
              <w:bottom w:val="single" w:sz="4" w:space="0" w:color="auto"/>
              <w:right w:val="single" w:sz="4" w:space="0" w:color="auto"/>
            </w:tcBorders>
            <w:vAlign w:val="center"/>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3</w:t>
            </w:r>
          </w:p>
        </w:tc>
        <w:tc>
          <w:tcPr>
            <w:tcW w:w="718" w:type="dxa"/>
            <w:tcBorders>
              <w:top w:val="nil"/>
              <w:left w:val="single" w:sz="4" w:space="0" w:color="auto"/>
              <w:bottom w:val="single" w:sz="4" w:space="0" w:color="auto"/>
              <w:right w:val="single" w:sz="4" w:space="0" w:color="auto"/>
            </w:tcBorders>
            <w:vAlign w:val="center"/>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4</w:t>
            </w:r>
          </w:p>
        </w:tc>
        <w:tc>
          <w:tcPr>
            <w:tcW w:w="718" w:type="dxa"/>
            <w:tcBorders>
              <w:top w:val="nil"/>
              <w:left w:val="single" w:sz="4" w:space="0" w:color="auto"/>
              <w:bottom w:val="single" w:sz="4" w:space="0" w:color="auto"/>
              <w:right w:val="single" w:sz="4" w:space="0" w:color="auto"/>
            </w:tcBorders>
            <w:shd w:val="clear" w:color="auto" w:fill="auto"/>
            <w:vAlign w:val="center"/>
            <w:hideMark/>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1</w:t>
            </w:r>
            <w:r w:rsidRPr="00FD2016">
              <w:rPr>
                <w:rFonts w:cs="Arial"/>
                <w:spacing w:val="-3"/>
                <w:sz w:val="18"/>
                <w:szCs w:val="18"/>
                <w:lang w:val="es-AR"/>
              </w:rPr>
              <w:t> </w:t>
            </w:r>
          </w:p>
        </w:tc>
        <w:tc>
          <w:tcPr>
            <w:tcW w:w="636" w:type="dxa"/>
            <w:tcBorders>
              <w:top w:val="nil"/>
              <w:left w:val="nil"/>
              <w:bottom w:val="single" w:sz="4" w:space="0" w:color="auto"/>
              <w:right w:val="single" w:sz="4" w:space="0" w:color="auto"/>
            </w:tcBorders>
            <w:shd w:val="clear" w:color="auto" w:fill="auto"/>
            <w:vAlign w:val="center"/>
            <w:hideMark/>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14</w:t>
            </w:r>
          </w:p>
        </w:tc>
      </w:tr>
      <w:tr w:rsidR="003028FA" w:rsidRPr="00FD2016" w:rsidTr="003028FA">
        <w:trPr>
          <w:jc w:val="center"/>
        </w:trPr>
        <w:tc>
          <w:tcPr>
            <w:tcW w:w="3342" w:type="dxa"/>
            <w:tcBorders>
              <w:top w:val="nil"/>
              <w:left w:val="single" w:sz="8" w:space="0" w:color="auto"/>
              <w:bottom w:val="single" w:sz="8" w:space="0" w:color="auto"/>
              <w:right w:val="single" w:sz="4" w:space="0" w:color="auto"/>
            </w:tcBorders>
            <w:shd w:val="clear" w:color="auto" w:fill="auto"/>
            <w:vAlign w:val="center"/>
          </w:tcPr>
          <w:p w:rsidR="00582099" w:rsidRPr="00FD2016" w:rsidRDefault="00582099" w:rsidP="003028FA">
            <w:pPr>
              <w:autoSpaceDE w:val="0"/>
              <w:autoSpaceDN w:val="0"/>
              <w:adjustRightInd w:val="0"/>
              <w:spacing w:after="0"/>
              <w:jc w:val="left"/>
              <w:rPr>
                <w:rFonts w:cs="Arial"/>
                <w:spacing w:val="-3"/>
                <w:sz w:val="18"/>
                <w:szCs w:val="18"/>
                <w:lang w:val="es-AR"/>
              </w:rPr>
            </w:pPr>
            <w:r w:rsidRPr="0056132C">
              <w:rPr>
                <w:rFonts w:cs="Arial"/>
                <w:b/>
                <w:spacing w:val="-3"/>
                <w:sz w:val="18"/>
                <w:szCs w:val="18"/>
                <w:lang w:val="es-AR"/>
              </w:rPr>
              <w:t>Producto 4.3:</w:t>
            </w:r>
            <w:r w:rsidRPr="00FD2016">
              <w:rPr>
                <w:rFonts w:cs="Arial"/>
                <w:spacing w:val="-3"/>
                <w:sz w:val="18"/>
                <w:szCs w:val="18"/>
                <w:lang w:val="es-AR"/>
              </w:rPr>
              <w:t xml:space="preserve"> </w:t>
            </w:r>
            <w:r>
              <w:rPr>
                <w:rFonts w:cs="Arial"/>
                <w:spacing w:val="-3"/>
                <w:sz w:val="18"/>
                <w:szCs w:val="18"/>
                <w:lang w:val="es-AR"/>
              </w:rPr>
              <w:t>C</w:t>
            </w:r>
            <w:r w:rsidRPr="00BF598F">
              <w:rPr>
                <w:rFonts w:cs="Arial"/>
                <w:spacing w:val="-3"/>
                <w:sz w:val="18"/>
                <w:szCs w:val="18"/>
                <w:lang w:val="es-AR"/>
              </w:rPr>
              <w:t xml:space="preserve">entros de formación en educación </w:t>
            </w:r>
            <w:r>
              <w:rPr>
                <w:rFonts w:cs="Arial"/>
                <w:spacing w:val="-3"/>
                <w:sz w:val="18"/>
                <w:szCs w:val="18"/>
                <w:lang w:val="es-AR"/>
              </w:rPr>
              <w:t>ampliados</w:t>
            </w:r>
          </w:p>
        </w:tc>
        <w:tc>
          <w:tcPr>
            <w:tcW w:w="1616" w:type="dxa"/>
            <w:tcBorders>
              <w:top w:val="nil"/>
              <w:left w:val="nil"/>
              <w:bottom w:val="single" w:sz="8" w:space="0" w:color="auto"/>
              <w:right w:val="single" w:sz="4" w:space="0" w:color="auto"/>
            </w:tcBorders>
            <w:shd w:val="clear" w:color="auto" w:fill="auto"/>
            <w:vAlign w:val="center"/>
          </w:tcPr>
          <w:p w:rsidR="00582099" w:rsidRPr="00FD2016" w:rsidRDefault="00582099" w:rsidP="003028FA">
            <w:pPr>
              <w:keepNext/>
              <w:spacing w:after="0"/>
              <w:jc w:val="left"/>
              <w:rPr>
                <w:rFonts w:cs="Arial"/>
                <w:spacing w:val="-3"/>
                <w:sz w:val="18"/>
                <w:szCs w:val="18"/>
                <w:lang w:val="es-AR"/>
              </w:rPr>
            </w:pPr>
            <w:r>
              <w:rPr>
                <w:rFonts w:cs="Arial"/>
                <w:spacing w:val="-3"/>
                <w:sz w:val="18"/>
                <w:szCs w:val="18"/>
                <w:lang w:val="es-AR"/>
              </w:rPr>
              <w:t>Centros</w:t>
            </w:r>
          </w:p>
        </w:tc>
        <w:tc>
          <w:tcPr>
            <w:tcW w:w="670" w:type="dxa"/>
            <w:tcBorders>
              <w:top w:val="nil"/>
              <w:left w:val="nil"/>
              <w:bottom w:val="single" w:sz="8" w:space="0" w:color="auto"/>
              <w:right w:val="single" w:sz="4" w:space="0" w:color="auto"/>
            </w:tcBorders>
            <w:shd w:val="clear" w:color="auto" w:fill="auto"/>
            <w:vAlign w:val="center"/>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0</w:t>
            </w:r>
          </w:p>
        </w:tc>
        <w:tc>
          <w:tcPr>
            <w:tcW w:w="647" w:type="dxa"/>
            <w:tcBorders>
              <w:top w:val="nil"/>
              <w:left w:val="nil"/>
              <w:bottom w:val="single" w:sz="8" w:space="0" w:color="auto"/>
              <w:right w:val="single" w:sz="4" w:space="0" w:color="auto"/>
            </w:tcBorders>
            <w:shd w:val="clear" w:color="auto" w:fill="auto"/>
            <w:vAlign w:val="center"/>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2016</w:t>
            </w:r>
          </w:p>
        </w:tc>
        <w:tc>
          <w:tcPr>
            <w:tcW w:w="717" w:type="dxa"/>
            <w:tcBorders>
              <w:top w:val="nil"/>
              <w:left w:val="nil"/>
              <w:bottom w:val="single" w:sz="8" w:space="0" w:color="auto"/>
              <w:right w:val="single" w:sz="4" w:space="0" w:color="auto"/>
            </w:tcBorders>
            <w:shd w:val="clear" w:color="auto" w:fill="auto"/>
            <w:vAlign w:val="center"/>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0</w:t>
            </w:r>
          </w:p>
        </w:tc>
        <w:tc>
          <w:tcPr>
            <w:tcW w:w="718" w:type="dxa"/>
            <w:tcBorders>
              <w:top w:val="nil"/>
              <w:left w:val="nil"/>
              <w:bottom w:val="single" w:sz="8" w:space="0" w:color="auto"/>
              <w:right w:val="single" w:sz="4" w:space="0" w:color="auto"/>
            </w:tcBorders>
            <w:shd w:val="clear" w:color="auto" w:fill="auto"/>
            <w:vAlign w:val="center"/>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1</w:t>
            </w:r>
          </w:p>
        </w:tc>
        <w:tc>
          <w:tcPr>
            <w:tcW w:w="717" w:type="dxa"/>
            <w:tcBorders>
              <w:top w:val="nil"/>
              <w:left w:val="nil"/>
              <w:bottom w:val="single" w:sz="8" w:space="0" w:color="auto"/>
              <w:right w:val="single" w:sz="4" w:space="0" w:color="auto"/>
            </w:tcBorders>
            <w:vAlign w:val="center"/>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2</w:t>
            </w:r>
          </w:p>
        </w:tc>
        <w:tc>
          <w:tcPr>
            <w:tcW w:w="718" w:type="dxa"/>
            <w:tcBorders>
              <w:top w:val="nil"/>
              <w:left w:val="single" w:sz="4" w:space="0" w:color="auto"/>
              <w:bottom w:val="single" w:sz="8" w:space="0" w:color="auto"/>
              <w:right w:val="single" w:sz="4" w:space="0" w:color="auto"/>
            </w:tcBorders>
            <w:vAlign w:val="center"/>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4</w:t>
            </w:r>
          </w:p>
        </w:tc>
        <w:tc>
          <w:tcPr>
            <w:tcW w:w="718" w:type="dxa"/>
            <w:tcBorders>
              <w:top w:val="nil"/>
              <w:left w:val="single" w:sz="4" w:space="0" w:color="auto"/>
              <w:bottom w:val="single" w:sz="8" w:space="0" w:color="auto"/>
              <w:right w:val="single" w:sz="4" w:space="0" w:color="auto"/>
            </w:tcBorders>
            <w:shd w:val="clear" w:color="auto" w:fill="auto"/>
            <w:vAlign w:val="center"/>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6</w:t>
            </w:r>
          </w:p>
        </w:tc>
        <w:tc>
          <w:tcPr>
            <w:tcW w:w="636" w:type="dxa"/>
            <w:tcBorders>
              <w:top w:val="nil"/>
              <w:left w:val="nil"/>
              <w:bottom w:val="single" w:sz="8" w:space="0" w:color="auto"/>
              <w:right w:val="single" w:sz="4" w:space="0" w:color="auto"/>
            </w:tcBorders>
            <w:shd w:val="clear" w:color="auto" w:fill="auto"/>
            <w:vAlign w:val="center"/>
          </w:tcPr>
          <w:p w:rsidR="00582099" w:rsidRPr="00FD2016" w:rsidRDefault="00582099" w:rsidP="003028FA">
            <w:pPr>
              <w:keepNext/>
              <w:spacing w:after="0"/>
              <w:jc w:val="center"/>
              <w:rPr>
                <w:rFonts w:cs="Arial"/>
                <w:spacing w:val="-3"/>
                <w:sz w:val="18"/>
                <w:szCs w:val="18"/>
                <w:lang w:val="es-AR"/>
              </w:rPr>
            </w:pPr>
            <w:r>
              <w:rPr>
                <w:rFonts w:cs="Arial"/>
                <w:spacing w:val="-3"/>
                <w:sz w:val="18"/>
                <w:szCs w:val="18"/>
                <w:lang w:val="es-AR"/>
              </w:rPr>
              <w:t>13</w:t>
            </w:r>
          </w:p>
        </w:tc>
      </w:tr>
      <w:tr w:rsidR="003028FA" w:rsidRPr="00FD2016" w:rsidTr="003028FA">
        <w:trPr>
          <w:jc w:val="center"/>
        </w:trPr>
        <w:tc>
          <w:tcPr>
            <w:tcW w:w="3342" w:type="dxa"/>
            <w:tcBorders>
              <w:top w:val="nil"/>
              <w:left w:val="single" w:sz="8" w:space="0" w:color="auto"/>
              <w:bottom w:val="single" w:sz="8" w:space="0" w:color="auto"/>
              <w:right w:val="single" w:sz="4" w:space="0" w:color="auto"/>
            </w:tcBorders>
            <w:shd w:val="clear" w:color="auto" w:fill="auto"/>
            <w:vAlign w:val="center"/>
            <w:hideMark/>
          </w:tcPr>
          <w:p w:rsidR="00582099" w:rsidRPr="00BF598F" w:rsidRDefault="00582099" w:rsidP="003028FA">
            <w:pPr>
              <w:widowControl w:val="0"/>
              <w:spacing w:after="0"/>
              <w:jc w:val="left"/>
              <w:rPr>
                <w:rFonts w:cs="Arial"/>
                <w:spacing w:val="-3"/>
                <w:sz w:val="18"/>
                <w:szCs w:val="18"/>
                <w:lang w:val="es-ES"/>
              </w:rPr>
            </w:pPr>
            <w:r w:rsidRPr="0056132C">
              <w:rPr>
                <w:rFonts w:cs="Arial"/>
                <w:b/>
                <w:spacing w:val="-3"/>
                <w:sz w:val="18"/>
                <w:szCs w:val="18"/>
                <w:lang w:val="es-AR"/>
              </w:rPr>
              <w:t>Producto 4.4</w:t>
            </w:r>
            <w:r>
              <w:rPr>
                <w:rFonts w:cs="Arial"/>
                <w:spacing w:val="-3"/>
                <w:sz w:val="18"/>
                <w:szCs w:val="18"/>
                <w:lang w:val="es-AR"/>
              </w:rPr>
              <w:t xml:space="preserve">: </w:t>
            </w:r>
            <w:r w:rsidRPr="006911B3">
              <w:rPr>
                <w:rFonts w:cs="Arial"/>
                <w:color w:val="000000"/>
                <w:sz w:val="18"/>
                <w:szCs w:val="18"/>
                <w:lang w:val="es-ES"/>
              </w:rPr>
              <w:t>Unidad de gestión de APP</w:t>
            </w:r>
            <w:r>
              <w:rPr>
                <w:rFonts w:cs="Arial"/>
                <w:color w:val="000000"/>
                <w:sz w:val="18"/>
                <w:szCs w:val="18"/>
                <w:lang w:val="es-ES"/>
              </w:rPr>
              <w:t>s</w:t>
            </w:r>
            <w:r w:rsidRPr="006911B3">
              <w:rPr>
                <w:rFonts w:cs="Arial"/>
                <w:color w:val="000000"/>
                <w:sz w:val="18"/>
                <w:szCs w:val="18"/>
                <w:lang w:val="es-ES"/>
              </w:rPr>
              <w:t xml:space="preserve"> en ANEP </w:t>
            </w:r>
            <w:r>
              <w:rPr>
                <w:rFonts w:cs="Arial"/>
                <w:color w:val="000000"/>
                <w:sz w:val="18"/>
                <w:szCs w:val="18"/>
                <w:lang w:val="es-ES"/>
              </w:rPr>
              <w:t>diseñada y en funcionamiento</w:t>
            </w:r>
          </w:p>
        </w:tc>
        <w:tc>
          <w:tcPr>
            <w:tcW w:w="1616" w:type="dxa"/>
            <w:tcBorders>
              <w:top w:val="nil"/>
              <w:left w:val="nil"/>
              <w:bottom w:val="single" w:sz="8" w:space="0" w:color="auto"/>
              <w:right w:val="single" w:sz="4" w:space="0" w:color="auto"/>
            </w:tcBorders>
            <w:shd w:val="clear" w:color="auto" w:fill="auto"/>
            <w:vAlign w:val="center"/>
            <w:hideMark/>
          </w:tcPr>
          <w:p w:rsidR="00582099" w:rsidRPr="00FD2016" w:rsidRDefault="00582099" w:rsidP="003028FA">
            <w:pPr>
              <w:widowControl w:val="0"/>
              <w:spacing w:after="0"/>
              <w:jc w:val="left"/>
              <w:rPr>
                <w:rFonts w:cs="Arial"/>
                <w:spacing w:val="-3"/>
                <w:sz w:val="18"/>
                <w:szCs w:val="18"/>
                <w:lang w:val="es-AR"/>
              </w:rPr>
            </w:pPr>
            <w:r>
              <w:rPr>
                <w:rFonts w:cs="Arial"/>
                <w:spacing w:val="-3"/>
                <w:sz w:val="18"/>
                <w:szCs w:val="18"/>
                <w:lang w:val="es-AR"/>
              </w:rPr>
              <w:t>Memoria de gestión</w:t>
            </w:r>
          </w:p>
        </w:tc>
        <w:tc>
          <w:tcPr>
            <w:tcW w:w="670" w:type="dxa"/>
            <w:tcBorders>
              <w:top w:val="nil"/>
              <w:left w:val="nil"/>
              <w:bottom w:val="single" w:sz="8" w:space="0" w:color="auto"/>
              <w:right w:val="single" w:sz="4" w:space="0" w:color="auto"/>
            </w:tcBorders>
            <w:shd w:val="clear" w:color="auto" w:fill="auto"/>
            <w:vAlign w:val="center"/>
            <w:hideMark/>
          </w:tcPr>
          <w:p w:rsidR="00582099" w:rsidRPr="00FD2016" w:rsidRDefault="00582099" w:rsidP="003028FA">
            <w:pPr>
              <w:widowControl w:val="0"/>
              <w:spacing w:after="0"/>
              <w:jc w:val="center"/>
              <w:rPr>
                <w:rFonts w:cs="Arial"/>
                <w:spacing w:val="-3"/>
                <w:sz w:val="18"/>
                <w:szCs w:val="18"/>
                <w:lang w:val="es-AR"/>
              </w:rPr>
            </w:pPr>
            <w:r>
              <w:rPr>
                <w:rFonts w:cs="Arial"/>
                <w:spacing w:val="-3"/>
                <w:sz w:val="18"/>
                <w:szCs w:val="18"/>
                <w:lang w:val="es-AR"/>
              </w:rPr>
              <w:t>0</w:t>
            </w:r>
          </w:p>
        </w:tc>
        <w:tc>
          <w:tcPr>
            <w:tcW w:w="647" w:type="dxa"/>
            <w:tcBorders>
              <w:top w:val="nil"/>
              <w:left w:val="nil"/>
              <w:bottom w:val="single" w:sz="8" w:space="0" w:color="auto"/>
              <w:right w:val="single" w:sz="4" w:space="0" w:color="auto"/>
            </w:tcBorders>
            <w:shd w:val="clear" w:color="auto" w:fill="auto"/>
            <w:vAlign w:val="center"/>
            <w:hideMark/>
          </w:tcPr>
          <w:p w:rsidR="00582099" w:rsidRPr="00FD2016" w:rsidRDefault="00582099" w:rsidP="003028FA">
            <w:pPr>
              <w:widowControl w:val="0"/>
              <w:spacing w:after="0"/>
              <w:jc w:val="center"/>
              <w:rPr>
                <w:rFonts w:cs="Arial"/>
                <w:spacing w:val="-3"/>
                <w:sz w:val="18"/>
                <w:szCs w:val="18"/>
                <w:lang w:val="es-AR"/>
              </w:rPr>
            </w:pPr>
            <w:r>
              <w:rPr>
                <w:rFonts w:cs="Arial"/>
                <w:spacing w:val="-3"/>
                <w:sz w:val="18"/>
                <w:szCs w:val="18"/>
                <w:lang w:val="es-AR"/>
              </w:rPr>
              <w:t>2016</w:t>
            </w:r>
          </w:p>
        </w:tc>
        <w:tc>
          <w:tcPr>
            <w:tcW w:w="717" w:type="dxa"/>
            <w:tcBorders>
              <w:top w:val="nil"/>
              <w:left w:val="nil"/>
              <w:bottom w:val="single" w:sz="8" w:space="0" w:color="auto"/>
              <w:right w:val="single" w:sz="4" w:space="0" w:color="auto"/>
            </w:tcBorders>
            <w:shd w:val="clear" w:color="auto" w:fill="auto"/>
            <w:vAlign w:val="center"/>
            <w:hideMark/>
          </w:tcPr>
          <w:p w:rsidR="00582099" w:rsidRPr="00FD2016" w:rsidRDefault="00582099" w:rsidP="003028FA">
            <w:pPr>
              <w:widowControl w:val="0"/>
              <w:spacing w:after="0"/>
              <w:jc w:val="center"/>
              <w:rPr>
                <w:rFonts w:cs="Arial"/>
                <w:spacing w:val="-3"/>
                <w:sz w:val="18"/>
                <w:szCs w:val="18"/>
                <w:lang w:val="es-AR"/>
              </w:rPr>
            </w:pPr>
            <w:r>
              <w:rPr>
                <w:rFonts w:cs="Arial"/>
                <w:spacing w:val="-3"/>
                <w:sz w:val="18"/>
                <w:szCs w:val="18"/>
                <w:lang w:val="es-AR"/>
              </w:rPr>
              <w:t>1</w:t>
            </w:r>
          </w:p>
        </w:tc>
        <w:tc>
          <w:tcPr>
            <w:tcW w:w="718" w:type="dxa"/>
            <w:tcBorders>
              <w:top w:val="nil"/>
              <w:left w:val="nil"/>
              <w:bottom w:val="single" w:sz="8" w:space="0" w:color="auto"/>
              <w:right w:val="single" w:sz="4" w:space="0" w:color="auto"/>
            </w:tcBorders>
            <w:shd w:val="clear" w:color="auto" w:fill="auto"/>
            <w:vAlign w:val="center"/>
            <w:hideMark/>
          </w:tcPr>
          <w:p w:rsidR="00582099" w:rsidRPr="00FD2016" w:rsidRDefault="00582099" w:rsidP="003028FA">
            <w:pPr>
              <w:widowControl w:val="0"/>
              <w:spacing w:after="0"/>
              <w:jc w:val="center"/>
              <w:rPr>
                <w:rFonts w:cs="Arial"/>
                <w:spacing w:val="-3"/>
                <w:sz w:val="18"/>
                <w:szCs w:val="18"/>
                <w:lang w:val="es-AR"/>
              </w:rPr>
            </w:pPr>
            <w:r>
              <w:rPr>
                <w:rFonts w:cs="Arial"/>
                <w:spacing w:val="-3"/>
                <w:sz w:val="18"/>
                <w:szCs w:val="18"/>
                <w:lang w:val="es-AR"/>
              </w:rPr>
              <w:t>1</w:t>
            </w:r>
          </w:p>
        </w:tc>
        <w:tc>
          <w:tcPr>
            <w:tcW w:w="717" w:type="dxa"/>
            <w:tcBorders>
              <w:top w:val="nil"/>
              <w:left w:val="nil"/>
              <w:bottom w:val="single" w:sz="8" w:space="0" w:color="auto"/>
              <w:right w:val="single" w:sz="4" w:space="0" w:color="auto"/>
            </w:tcBorders>
            <w:vAlign w:val="center"/>
          </w:tcPr>
          <w:p w:rsidR="00582099" w:rsidRPr="00FD2016" w:rsidRDefault="00582099" w:rsidP="003028FA">
            <w:pPr>
              <w:widowControl w:val="0"/>
              <w:spacing w:after="0"/>
              <w:jc w:val="center"/>
              <w:rPr>
                <w:rFonts w:cs="Arial"/>
                <w:spacing w:val="-3"/>
                <w:sz w:val="18"/>
                <w:szCs w:val="18"/>
                <w:lang w:val="es-AR"/>
              </w:rPr>
            </w:pPr>
            <w:r>
              <w:rPr>
                <w:rFonts w:cs="Arial"/>
                <w:spacing w:val="-3"/>
                <w:sz w:val="18"/>
                <w:szCs w:val="18"/>
                <w:lang w:val="es-AR"/>
              </w:rPr>
              <w:t>1</w:t>
            </w:r>
          </w:p>
        </w:tc>
        <w:tc>
          <w:tcPr>
            <w:tcW w:w="718" w:type="dxa"/>
            <w:tcBorders>
              <w:top w:val="nil"/>
              <w:left w:val="single" w:sz="4" w:space="0" w:color="auto"/>
              <w:bottom w:val="single" w:sz="8" w:space="0" w:color="auto"/>
              <w:right w:val="single" w:sz="4" w:space="0" w:color="auto"/>
            </w:tcBorders>
            <w:vAlign w:val="center"/>
          </w:tcPr>
          <w:p w:rsidR="00582099" w:rsidRPr="00FD2016" w:rsidRDefault="00582099" w:rsidP="003028FA">
            <w:pPr>
              <w:widowControl w:val="0"/>
              <w:spacing w:after="0"/>
              <w:jc w:val="center"/>
              <w:rPr>
                <w:rFonts w:cs="Arial"/>
                <w:spacing w:val="-3"/>
                <w:sz w:val="18"/>
                <w:szCs w:val="18"/>
                <w:lang w:val="es-AR"/>
              </w:rPr>
            </w:pPr>
            <w:r>
              <w:rPr>
                <w:rFonts w:cs="Arial"/>
                <w:spacing w:val="-3"/>
                <w:sz w:val="18"/>
                <w:szCs w:val="18"/>
                <w:lang w:val="es-AR"/>
              </w:rPr>
              <w:t>1</w:t>
            </w:r>
          </w:p>
        </w:tc>
        <w:tc>
          <w:tcPr>
            <w:tcW w:w="718" w:type="dxa"/>
            <w:tcBorders>
              <w:top w:val="nil"/>
              <w:left w:val="single" w:sz="4" w:space="0" w:color="auto"/>
              <w:bottom w:val="single" w:sz="8" w:space="0" w:color="auto"/>
              <w:right w:val="single" w:sz="4" w:space="0" w:color="auto"/>
            </w:tcBorders>
            <w:shd w:val="clear" w:color="auto" w:fill="auto"/>
            <w:vAlign w:val="center"/>
            <w:hideMark/>
          </w:tcPr>
          <w:p w:rsidR="00582099" w:rsidRPr="00FD2016" w:rsidRDefault="00582099" w:rsidP="003028FA">
            <w:pPr>
              <w:widowControl w:val="0"/>
              <w:spacing w:after="0"/>
              <w:jc w:val="center"/>
              <w:rPr>
                <w:rFonts w:cs="Arial"/>
                <w:spacing w:val="-3"/>
                <w:sz w:val="18"/>
                <w:szCs w:val="18"/>
                <w:lang w:val="es-AR"/>
              </w:rPr>
            </w:pPr>
            <w:r w:rsidRPr="00FD2016">
              <w:rPr>
                <w:rFonts w:cs="Arial"/>
                <w:spacing w:val="-3"/>
                <w:sz w:val="18"/>
                <w:szCs w:val="18"/>
                <w:lang w:val="es-AR"/>
              </w:rPr>
              <w:t> </w:t>
            </w:r>
            <w:r>
              <w:rPr>
                <w:rFonts w:cs="Arial"/>
                <w:spacing w:val="-3"/>
                <w:sz w:val="18"/>
                <w:szCs w:val="18"/>
                <w:lang w:val="es-AR"/>
              </w:rPr>
              <w:t>1</w:t>
            </w:r>
          </w:p>
        </w:tc>
        <w:tc>
          <w:tcPr>
            <w:tcW w:w="636" w:type="dxa"/>
            <w:tcBorders>
              <w:top w:val="nil"/>
              <w:left w:val="nil"/>
              <w:bottom w:val="single" w:sz="8" w:space="0" w:color="auto"/>
              <w:right w:val="single" w:sz="4" w:space="0" w:color="auto"/>
            </w:tcBorders>
            <w:shd w:val="clear" w:color="auto" w:fill="auto"/>
            <w:vAlign w:val="center"/>
            <w:hideMark/>
          </w:tcPr>
          <w:p w:rsidR="00582099" w:rsidRPr="00FD2016" w:rsidRDefault="00582099" w:rsidP="003028FA">
            <w:pPr>
              <w:widowControl w:val="0"/>
              <w:spacing w:after="0"/>
              <w:jc w:val="center"/>
              <w:rPr>
                <w:rFonts w:cs="Arial"/>
                <w:spacing w:val="-3"/>
                <w:sz w:val="18"/>
                <w:szCs w:val="18"/>
                <w:lang w:val="es-AR"/>
              </w:rPr>
            </w:pPr>
            <w:r>
              <w:rPr>
                <w:rFonts w:cs="Arial"/>
                <w:spacing w:val="-3"/>
                <w:sz w:val="18"/>
                <w:szCs w:val="18"/>
                <w:lang w:val="es-AR"/>
              </w:rPr>
              <w:t>5</w:t>
            </w:r>
          </w:p>
        </w:tc>
      </w:tr>
    </w:tbl>
    <w:p w:rsidR="00891698" w:rsidRPr="00CD6AE6" w:rsidRDefault="00F25A66" w:rsidP="00BA3FCD">
      <w:pPr>
        <w:pStyle w:val="Heading2"/>
      </w:pPr>
      <w:bookmarkStart w:id="102" w:name="_Toc461731184"/>
      <w:r w:rsidRPr="00CD6AE6">
        <w:lastRenderedPageBreak/>
        <w:t>EVALUACIONES</w:t>
      </w:r>
      <w:bookmarkEnd w:id="102"/>
    </w:p>
    <w:p w:rsidR="00853AAB" w:rsidRDefault="00981691" w:rsidP="00843C90">
      <w:pPr>
        <w:pStyle w:val="Paragraph"/>
      </w:pPr>
      <w:r w:rsidRPr="00CD6AE6">
        <w:t>El objetivo principal de las evaluaciones descritas en esta sección es medir los logros en términos de los propósitos generales planteados por el programa. Con ello en mente, de manera adicional a las mediciones regulares que forman parte del plan de monitoreo, se han planeado y costeado las siguientes evaluaciones: </w:t>
      </w:r>
    </w:p>
    <w:p w:rsidR="00853AAB" w:rsidRPr="00853AAB" w:rsidRDefault="00981691" w:rsidP="00853AAB">
      <w:pPr>
        <w:pStyle w:val="ListParagraph"/>
        <w:numPr>
          <w:ilvl w:val="0"/>
          <w:numId w:val="39"/>
        </w:numPr>
        <w:rPr>
          <w:lang w:val="es-UY"/>
        </w:rPr>
      </w:pPr>
      <w:r w:rsidRPr="00853AAB">
        <w:rPr>
          <w:lang w:val="es-UY"/>
        </w:rPr>
        <w:t xml:space="preserve">evaluación de la estrategia de ampliación de jornada (completa y extendida); </w:t>
      </w:r>
    </w:p>
    <w:p w:rsidR="00853AAB" w:rsidRPr="00853AAB" w:rsidRDefault="00981691" w:rsidP="00853AAB">
      <w:pPr>
        <w:pStyle w:val="ListParagraph"/>
        <w:numPr>
          <w:ilvl w:val="0"/>
          <w:numId w:val="39"/>
        </w:numPr>
        <w:rPr>
          <w:lang w:val="es-UY"/>
        </w:rPr>
      </w:pPr>
      <w:r w:rsidRPr="00853AAB">
        <w:rPr>
          <w:lang w:val="es-UY"/>
        </w:rPr>
        <w:t xml:space="preserve">evaluación reflexiva (antes-después) del uso de información de los sistemas de aseguramiento de la calidad y de protección de trayectorias entregada a los centros educativos de EM; y </w:t>
      </w:r>
    </w:p>
    <w:p w:rsidR="00981691" w:rsidRPr="00853AAB" w:rsidRDefault="00981691" w:rsidP="00853AAB">
      <w:pPr>
        <w:pStyle w:val="ListParagraph"/>
        <w:numPr>
          <w:ilvl w:val="0"/>
          <w:numId w:val="39"/>
        </w:numPr>
        <w:rPr>
          <w:lang w:val="es-UY"/>
        </w:rPr>
      </w:pPr>
      <w:r w:rsidRPr="00853AAB">
        <w:rPr>
          <w:lang w:val="es-UY"/>
        </w:rPr>
        <w:t xml:space="preserve">evaluación reflexiva (con-sin) del nuevo plan de estudios de Formación Inicial. </w:t>
      </w:r>
    </w:p>
    <w:p w:rsidR="00981691" w:rsidRPr="00CD6AE6" w:rsidRDefault="00981691" w:rsidP="00843C90">
      <w:pPr>
        <w:pStyle w:val="Paragraph"/>
      </w:pPr>
      <w:r w:rsidRPr="00CD6AE6">
        <w:t>Las fuentes de información para las evaluaciones serán: (i) datos administrativos de la ANEP; (ii) datos de monitoreo producidos por el programa; (iii) datos de aprendizajes provenientes del Sistema de Evaluación de Logros Educativos (SELE) del Instituto de Evaluación Educativa (INEED) o de la evaluación en línea que financiará el programa; y (iv) datos primarios provenientes de encuestas, entrevistas en profundidad, y otros instrumentos de recolección de datos cualitativos observación. Estos datos serán recolectados y/o analizados por consultores (individuales o firmas) con especialización en evaluaciones de impacto o por personal técnico de la Dirección de Investigación, Evaluación y Estadística (DIEE) de la ANEP, que trabajarán en coordinación con el especialista en evaluación del BID.</w:t>
      </w:r>
    </w:p>
    <w:p w:rsidR="00981691" w:rsidRPr="00CD6AE6" w:rsidRDefault="00981691" w:rsidP="00843C90">
      <w:pPr>
        <w:pStyle w:val="Paragraph"/>
      </w:pPr>
      <w:r w:rsidRPr="00CD6AE6">
        <w:t xml:space="preserve">Los principales indicadores de efectos directos para la evaluación de impacto se muestran a continuación en el Cuadro III-1.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9"/>
        <w:gridCol w:w="2340"/>
        <w:gridCol w:w="2889"/>
      </w:tblGrid>
      <w:tr w:rsidR="00981691" w:rsidRPr="00CD6AE6" w:rsidTr="00D62AD6">
        <w:trPr>
          <w:jc w:val="center"/>
        </w:trPr>
        <w:tc>
          <w:tcPr>
            <w:tcW w:w="8968" w:type="dxa"/>
            <w:gridSpan w:val="3"/>
            <w:tcBorders>
              <w:top w:val="nil"/>
              <w:left w:val="nil"/>
              <w:bottom w:val="single" w:sz="4" w:space="0" w:color="000000"/>
              <w:right w:val="nil"/>
            </w:tcBorders>
            <w:shd w:val="clear" w:color="auto" w:fill="auto"/>
            <w:vAlign w:val="center"/>
          </w:tcPr>
          <w:p w:rsidR="00981691" w:rsidRPr="00CD6AE6" w:rsidRDefault="00981691" w:rsidP="00981691">
            <w:pPr>
              <w:pStyle w:val="Regtable"/>
              <w:keepNext/>
              <w:framePr w:wrap="auto" w:vAnchor="margin" w:yAlign="inline"/>
              <w:spacing w:before="0" w:after="0"/>
              <w:ind w:left="-108" w:right="-90"/>
              <w:jc w:val="center"/>
              <w:rPr>
                <w:rFonts w:ascii="Arial" w:hAnsi="Arial" w:cs="Arial"/>
                <w:b/>
                <w:sz w:val="20"/>
                <w:lang w:val="es-UY"/>
              </w:rPr>
            </w:pPr>
            <w:r w:rsidRPr="00CD6AE6">
              <w:rPr>
                <w:rFonts w:ascii="Arial" w:hAnsi="Arial" w:cs="Arial"/>
                <w:b/>
                <w:sz w:val="20"/>
                <w:lang w:val="es-UY"/>
              </w:rPr>
              <w:t>Cuadro III-1. Indicadores de Efectos Directos para las Evaluaciones</w:t>
            </w:r>
          </w:p>
        </w:tc>
      </w:tr>
      <w:tr w:rsidR="00981691" w:rsidRPr="00CD6AE6" w:rsidTr="00D62AD6">
        <w:trPr>
          <w:jc w:val="center"/>
        </w:trPr>
        <w:tc>
          <w:tcPr>
            <w:tcW w:w="3739" w:type="dxa"/>
            <w:tcBorders>
              <w:top w:val="single" w:sz="4" w:space="0" w:color="000000"/>
              <w:bottom w:val="single" w:sz="4" w:space="0" w:color="000000"/>
            </w:tcBorders>
            <w:shd w:val="clear" w:color="auto" w:fill="B6DDE8"/>
            <w:vAlign w:val="center"/>
          </w:tcPr>
          <w:p w:rsidR="00981691" w:rsidRPr="00CD6AE6" w:rsidRDefault="00981691" w:rsidP="00981691">
            <w:pPr>
              <w:pStyle w:val="Regtable"/>
              <w:keepNext/>
              <w:framePr w:wrap="auto" w:vAnchor="margin" w:yAlign="inline"/>
              <w:spacing w:before="0" w:after="0"/>
              <w:jc w:val="center"/>
              <w:rPr>
                <w:rFonts w:ascii="Arial" w:hAnsi="Arial" w:cs="Arial"/>
                <w:b/>
                <w:sz w:val="20"/>
                <w:lang w:val="es-UY"/>
              </w:rPr>
            </w:pPr>
            <w:r w:rsidRPr="00CD6AE6">
              <w:rPr>
                <w:rFonts w:ascii="Arial" w:hAnsi="Arial" w:cs="Arial"/>
                <w:b/>
                <w:sz w:val="20"/>
                <w:lang w:val="es-UY"/>
              </w:rPr>
              <w:t>Indicadores</w:t>
            </w:r>
          </w:p>
        </w:tc>
        <w:tc>
          <w:tcPr>
            <w:tcW w:w="2340" w:type="dxa"/>
            <w:tcBorders>
              <w:top w:val="single" w:sz="4" w:space="0" w:color="000000"/>
              <w:bottom w:val="single" w:sz="4" w:space="0" w:color="000000"/>
            </w:tcBorders>
            <w:shd w:val="clear" w:color="auto" w:fill="B6DDE8"/>
            <w:vAlign w:val="center"/>
          </w:tcPr>
          <w:p w:rsidR="00981691" w:rsidRPr="00CD6AE6" w:rsidRDefault="00981691" w:rsidP="00981691">
            <w:pPr>
              <w:pStyle w:val="Regtable"/>
              <w:keepNext/>
              <w:framePr w:wrap="auto" w:vAnchor="margin" w:yAlign="inline"/>
              <w:spacing w:before="0" w:after="0"/>
              <w:ind w:left="-108" w:right="-108"/>
              <w:jc w:val="center"/>
              <w:rPr>
                <w:rFonts w:ascii="Arial" w:hAnsi="Arial" w:cs="Arial"/>
                <w:b/>
                <w:sz w:val="20"/>
                <w:lang w:val="es-UY"/>
              </w:rPr>
            </w:pPr>
            <w:r w:rsidRPr="00CD6AE6">
              <w:rPr>
                <w:rFonts w:ascii="Arial" w:hAnsi="Arial" w:cs="Arial"/>
                <w:b/>
                <w:sz w:val="20"/>
                <w:lang w:val="es-UY"/>
              </w:rPr>
              <w:t>Frecuencia de medición</w:t>
            </w:r>
          </w:p>
        </w:tc>
        <w:tc>
          <w:tcPr>
            <w:tcW w:w="2889" w:type="dxa"/>
            <w:tcBorders>
              <w:top w:val="single" w:sz="4" w:space="0" w:color="000000"/>
              <w:bottom w:val="single" w:sz="4" w:space="0" w:color="000000"/>
            </w:tcBorders>
            <w:shd w:val="clear" w:color="auto" w:fill="B6DDE8"/>
            <w:vAlign w:val="center"/>
          </w:tcPr>
          <w:p w:rsidR="00981691" w:rsidRPr="00CD6AE6" w:rsidRDefault="00981691" w:rsidP="00981691">
            <w:pPr>
              <w:pStyle w:val="Regtable"/>
              <w:keepNext/>
              <w:framePr w:wrap="auto" w:vAnchor="margin" w:yAlign="inline"/>
              <w:spacing w:before="0" w:after="0"/>
              <w:ind w:left="-108" w:right="-90"/>
              <w:jc w:val="center"/>
              <w:rPr>
                <w:rFonts w:ascii="Arial" w:hAnsi="Arial" w:cs="Arial"/>
                <w:b/>
                <w:sz w:val="20"/>
                <w:lang w:val="es-UY"/>
              </w:rPr>
            </w:pPr>
            <w:r w:rsidRPr="00CD6AE6">
              <w:rPr>
                <w:rFonts w:ascii="Arial" w:hAnsi="Arial" w:cs="Arial"/>
                <w:b/>
                <w:sz w:val="20"/>
                <w:lang w:val="es-UY"/>
              </w:rPr>
              <w:t>Fuente de verificación</w:t>
            </w:r>
          </w:p>
        </w:tc>
      </w:tr>
      <w:tr w:rsidR="00981691" w:rsidRPr="00CD6AE6" w:rsidTr="00D62AD6">
        <w:trPr>
          <w:trHeight w:val="1043"/>
          <w:jc w:val="center"/>
        </w:trPr>
        <w:tc>
          <w:tcPr>
            <w:tcW w:w="3739" w:type="dxa"/>
            <w:tcBorders>
              <w:top w:val="single" w:sz="4" w:space="0" w:color="000000"/>
              <w:bottom w:val="single" w:sz="4" w:space="0" w:color="000000"/>
            </w:tcBorders>
            <w:shd w:val="clear" w:color="auto" w:fill="auto"/>
            <w:vAlign w:val="center"/>
          </w:tcPr>
          <w:p w:rsidR="00981691" w:rsidRPr="00CD6AE6" w:rsidRDefault="00981691" w:rsidP="00981691">
            <w:pPr>
              <w:pStyle w:val="Regtable"/>
              <w:keepNext/>
              <w:framePr w:wrap="auto" w:vAnchor="margin" w:yAlign="inline"/>
              <w:spacing w:before="0" w:after="0"/>
              <w:rPr>
                <w:rFonts w:ascii="Arial" w:hAnsi="Arial" w:cs="Arial"/>
                <w:b/>
                <w:sz w:val="20"/>
                <w:lang w:val="es-UY"/>
              </w:rPr>
            </w:pPr>
            <w:r w:rsidRPr="00CD6AE6">
              <w:rPr>
                <w:rFonts w:ascii="Arial" w:hAnsi="Arial" w:cs="Arial"/>
                <w:sz w:val="20"/>
                <w:lang w:val="es-UY"/>
              </w:rPr>
              <w:t>Logros educativos en lenguaje y matematicas en la EMB</w:t>
            </w:r>
          </w:p>
        </w:tc>
        <w:tc>
          <w:tcPr>
            <w:tcW w:w="2340" w:type="dxa"/>
            <w:tcBorders>
              <w:top w:val="single" w:sz="4" w:space="0" w:color="000000"/>
              <w:bottom w:val="single" w:sz="4" w:space="0" w:color="000000"/>
            </w:tcBorders>
            <w:shd w:val="clear" w:color="auto" w:fill="auto"/>
            <w:vAlign w:val="center"/>
          </w:tcPr>
          <w:p w:rsidR="00981691" w:rsidRPr="00CD6AE6" w:rsidRDefault="00981691" w:rsidP="00981691">
            <w:pPr>
              <w:pStyle w:val="Regtable"/>
              <w:keepNext/>
              <w:framePr w:wrap="auto" w:vAnchor="margin" w:yAlign="inline"/>
              <w:spacing w:before="0" w:after="0"/>
              <w:ind w:right="72" w:hanging="18"/>
              <w:jc w:val="center"/>
              <w:rPr>
                <w:rFonts w:ascii="Arial" w:hAnsi="Arial" w:cs="Arial"/>
                <w:sz w:val="20"/>
                <w:lang w:val="es-UY"/>
              </w:rPr>
            </w:pPr>
            <w:r w:rsidRPr="00CD6AE6">
              <w:rPr>
                <w:rFonts w:ascii="Arial" w:hAnsi="Arial" w:cs="Arial"/>
                <w:sz w:val="20"/>
                <w:lang w:val="es-UY"/>
              </w:rPr>
              <w:t>Trianual</w:t>
            </w:r>
          </w:p>
          <w:p w:rsidR="00981691" w:rsidRPr="00CD6AE6" w:rsidRDefault="00981691" w:rsidP="00981691">
            <w:pPr>
              <w:pStyle w:val="Regtable"/>
              <w:keepNext/>
              <w:framePr w:wrap="auto" w:vAnchor="margin" w:yAlign="inline"/>
              <w:spacing w:before="0" w:after="0"/>
              <w:ind w:right="72" w:hanging="18"/>
              <w:jc w:val="center"/>
              <w:rPr>
                <w:rFonts w:ascii="Arial" w:hAnsi="Arial" w:cs="Arial"/>
                <w:sz w:val="20"/>
                <w:lang w:val="es-UY"/>
              </w:rPr>
            </w:pPr>
            <w:r w:rsidRPr="00CD6AE6">
              <w:rPr>
                <w:rFonts w:ascii="Arial" w:hAnsi="Arial" w:cs="Arial"/>
                <w:sz w:val="20"/>
                <w:lang w:val="es-UY"/>
              </w:rPr>
              <w:t>o anual (si se realiza la evaluacion en linea), a partir del 2do año de programa</w:t>
            </w:r>
          </w:p>
        </w:tc>
        <w:tc>
          <w:tcPr>
            <w:tcW w:w="2889" w:type="dxa"/>
            <w:tcBorders>
              <w:top w:val="single" w:sz="4" w:space="0" w:color="000000"/>
              <w:bottom w:val="single" w:sz="4" w:space="0" w:color="000000"/>
            </w:tcBorders>
            <w:shd w:val="clear" w:color="auto" w:fill="auto"/>
            <w:vAlign w:val="center"/>
          </w:tcPr>
          <w:p w:rsidR="00981691" w:rsidRPr="00CD6AE6" w:rsidRDefault="00981691" w:rsidP="00981691">
            <w:pPr>
              <w:pStyle w:val="Regtable"/>
              <w:keepNext/>
              <w:framePr w:wrap="auto" w:vAnchor="margin" w:yAlign="inline"/>
              <w:spacing w:before="0" w:after="0"/>
              <w:ind w:left="-108" w:right="-90"/>
              <w:jc w:val="center"/>
              <w:rPr>
                <w:rFonts w:ascii="Arial" w:hAnsi="Arial" w:cs="Arial"/>
                <w:sz w:val="20"/>
                <w:lang w:val="es-UY"/>
              </w:rPr>
            </w:pPr>
            <w:r w:rsidRPr="00CD6AE6">
              <w:rPr>
                <w:rFonts w:ascii="Arial" w:hAnsi="Arial" w:cs="Arial"/>
                <w:sz w:val="20"/>
                <w:lang w:val="es-UY"/>
              </w:rPr>
              <w:t>INEED y datos administrativos de ANEP</w:t>
            </w:r>
          </w:p>
        </w:tc>
      </w:tr>
      <w:tr w:rsidR="00981691" w:rsidRPr="00CD6AE6" w:rsidTr="00D62AD6">
        <w:trPr>
          <w:jc w:val="center"/>
        </w:trPr>
        <w:tc>
          <w:tcPr>
            <w:tcW w:w="3739" w:type="dxa"/>
            <w:tcBorders>
              <w:top w:val="single" w:sz="4" w:space="0" w:color="000000"/>
              <w:bottom w:val="single" w:sz="4" w:space="0" w:color="000000"/>
            </w:tcBorders>
            <w:shd w:val="clear" w:color="auto" w:fill="auto"/>
            <w:vAlign w:val="center"/>
          </w:tcPr>
          <w:p w:rsidR="00981691" w:rsidRPr="00CD6AE6" w:rsidRDefault="00981691" w:rsidP="00981691">
            <w:pPr>
              <w:pStyle w:val="Regtable"/>
              <w:keepNext/>
              <w:framePr w:wrap="auto" w:vAnchor="margin" w:yAlign="inline"/>
              <w:spacing w:before="0" w:after="0"/>
              <w:rPr>
                <w:rFonts w:ascii="Arial" w:hAnsi="Arial" w:cs="Arial"/>
                <w:b/>
                <w:sz w:val="20"/>
                <w:lang w:val="es-UY"/>
              </w:rPr>
            </w:pPr>
            <w:r w:rsidRPr="00CD6AE6">
              <w:rPr>
                <w:rFonts w:ascii="Arial" w:hAnsi="Arial" w:cs="Arial"/>
                <w:sz w:val="20"/>
                <w:lang w:val="es-UY"/>
              </w:rPr>
              <w:t>Porcentaje de jóvenes: (i) matriculados, (ii) promovidos, (iii) retenidos y (iv) egresados de la EMB</w:t>
            </w:r>
          </w:p>
        </w:tc>
        <w:tc>
          <w:tcPr>
            <w:tcW w:w="2340" w:type="dxa"/>
            <w:tcBorders>
              <w:top w:val="single" w:sz="4" w:space="0" w:color="000000"/>
              <w:bottom w:val="single" w:sz="4" w:space="0" w:color="000000"/>
            </w:tcBorders>
            <w:shd w:val="clear" w:color="auto" w:fill="auto"/>
            <w:vAlign w:val="center"/>
          </w:tcPr>
          <w:p w:rsidR="00981691" w:rsidRPr="00CD6AE6" w:rsidRDefault="00981691" w:rsidP="00981691">
            <w:pPr>
              <w:pStyle w:val="Regtable"/>
              <w:keepNext/>
              <w:framePr w:wrap="auto" w:vAnchor="margin" w:yAlign="inline"/>
              <w:spacing w:before="0" w:after="0"/>
              <w:ind w:right="72" w:hanging="18"/>
              <w:jc w:val="center"/>
              <w:rPr>
                <w:rFonts w:ascii="Arial" w:hAnsi="Arial" w:cs="Arial"/>
                <w:sz w:val="20"/>
                <w:lang w:val="es-UY"/>
              </w:rPr>
            </w:pPr>
            <w:r w:rsidRPr="00CD6AE6">
              <w:rPr>
                <w:rFonts w:ascii="Arial" w:hAnsi="Arial" w:cs="Arial"/>
                <w:sz w:val="20"/>
                <w:lang w:val="es-UY"/>
              </w:rPr>
              <w:t>Anual</w:t>
            </w:r>
          </w:p>
        </w:tc>
        <w:tc>
          <w:tcPr>
            <w:tcW w:w="2889" w:type="dxa"/>
            <w:tcBorders>
              <w:top w:val="single" w:sz="4" w:space="0" w:color="000000"/>
              <w:bottom w:val="single" w:sz="4" w:space="0" w:color="000000"/>
            </w:tcBorders>
            <w:shd w:val="clear" w:color="auto" w:fill="auto"/>
            <w:vAlign w:val="center"/>
          </w:tcPr>
          <w:p w:rsidR="00981691" w:rsidRPr="00CD6AE6" w:rsidRDefault="00981691" w:rsidP="00981691">
            <w:pPr>
              <w:pStyle w:val="Regtable"/>
              <w:keepNext/>
              <w:framePr w:wrap="auto" w:vAnchor="margin" w:yAlign="inline"/>
              <w:spacing w:before="0" w:after="0"/>
              <w:ind w:left="-108" w:right="-90"/>
              <w:jc w:val="center"/>
              <w:rPr>
                <w:rFonts w:ascii="Arial" w:hAnsi="Arial" w:cs="Arial"/>
                <w:sz w:val="20"/>
                <w:lang w:val="es-UY"/>
              </w:rPr>
            </w:pPr>
            <w:r w:rsidRPr="00CD6AE6">
              <w:rPr>
                <w:rFonts w:ascii="Arial" w:hAnsi="Arial" w:cs="Arial"/>
                <w:sz w:val="20"/>
                <w:lang w:val="es-UY"/>
              </w:rPr>
              <w:t xml:space="preserve">Datos administrativos de ANEP </w:t>
            </w:r>
          </w:p>
        </w:tc>
      </w:tr>
      <w:tr w:rsidR="00981691" w:rsidRPr="00CD6AE6" w:rsidTr="00D62AD6">
        <w:trPr>
          <w:trHeight w:val="571"/>
          <w:jc w:val="center"/>
        </w:trPr>
        <w:tc>
          <w:tcPr>
            <w:tcW w:w="3739" w:type="dxa"/>
            <w:tcBorders>
              <w:top w:val="single" w:sz="4" w:space="0" w:color="000000"/>
              <w:bottom w:val="single" w:sz="4" w:space="0" w:color="000000"/>
            </w:tcBorders>
            <w:shd w:val="clear" w:color="auto" w:fill="auto"/>
            <w:vAlign w:val="center"/>
          </w:tcPr>
          <w:p w:rsidR="00981691" w:rsidRPr="00CD6AE6" w:rsidRDefault="00981691" w:rsidP="00981691">
            <w:pPr>
              <w:pStyle w:val="Regtable"/>
              <w:keepNext/>
              <w:framePr w:wrap="auto" w:vAnchor="margin" w:yAlign="inline"/>
              <w:spacing w:before="0" w:after="0"/>
              <w:rPr>
                <w:rFonts w:ascii="Arial" w:hAnsi="Arial" w:cs="Arial"/>
                <w:sz w:val="20"/>
                <w:lang w:val="es-UY"/>
              </w:rPr>
            </w:pPr>
            <w:r w:rsidRPr="00CD6AE6">
              <w:rPr>
                <w:rFonts w:ascii="Arial" w:hAnsi="Arial" w:cs="Arial"/>
                <w:sz w:val="20"/>
                <w:lang w:val="es-UY"/>
              </w:rPr>
              <w:t>Porcentaje de (i) aprobacion de materias y (ii) alumnos de FI retenidos</w:t>
            </w:r>
          </w:p>
        </w:tc>
        <w:tc>
          <w:tcPr>
            <w:tcW w:w="2340" w:type="dxa"/>
            <w:tcBorders>
              <w:top w:val="single" w:sz="4" w:space="0" w:color="000000"/>
              <w:bottom w:val="single" w:sz="4" w:space="0" w:color="000000"/>
            </w:tcBorders>
            <w:shd w:val="clear" w:color="auto" w:fill="auto"/>
            <w:vAlign w:val="center"/>
          </w:tcPr>
          <w:p w:rsidR="00981691" w:rsidRPr="00CD6AE6" w:rsidRDefault="00981691" w:rsidP="00981691">
            <w:pPr>
              <w:pStyle w:val="Regtable"/>
              <w:keepNext/>
              <w:framePr w:wrap="auto" w:vAnchor="margin" w:yAlign="inline"/>
              <w:spacing w:before="0" w:after="0"/>
              <w:ind w:right="72" w:hanging="18"/>
              <w:jc w:val="center"/>
              <w:rPr>
                <w:rFonts w:ascii="Arial" w:hAnsi="Arial" w:cs="Arial"/>
                <w:sz w:val="20"/>
                <w:lang w:val="es-UY"/>
              </w:rPr>
            </w:pPr>
            <w:r w:rsidRPr="00CD6AE6">
              <w:rPr>
                <w:rFonts w:ascii="Arial" w:hAnsi="Arial" w:cs="Arial"/>
                <w:sz w:val="20"/>
                <w:lang w:val="es-UY"/>
              </w:rPr>
              <w:t>Anual (seguimiento de cohortes)</w:t>
            </w:r>
          </w:p>
        </w:tc>
        <w:tc>
          <w:tcPr>
            <w:tcW w:w="2889" w:type="dxa"/>
            <w:tcBorders>
              <w:top w:val="single" w:sz="4" w:space="0" w:color="000000"/>
              <w:bottom w:val="single" w:sz="4" w:space="0" w:color="000000"/>
            </w:tcBorders>
            <w:shd w:val="clear" w:color="auto" w:fill="auto"/>
            <w:vAlign w:val="center"/>
          </w:tcPr>
          <w:p w:rsidR="00981691" w:rsidRPr="00CD6AE6" w:rsidRDefault="00981691" w:rsidP="00981691">
            <w:pPr>
              <w:pStyle w:val="Regtable"/>
              <w:keepNext/>
              <w:framePr w:wrap="auto" w:vAnchor="margin" w:yAlign="inline"/>
              <w:spacing w:before="0" w:after="0"/>
              <w:ind w:left="-108" w:right="-90"/>
              <w:jc w:val="center"/>
              <w:rPr>
                <w:rFonts w:ascii="Arial" w:hAnsi="Arial" w:cs="Arial"/>
                <w:sz w:val="20"/>
                <w:lang w:val="es-UY"/>
              </w:rPr>
            </w:pPr>
            <w:r w:rsidRPr="00CD6AE6">
              <w:rPr>
                <w:rFonts w:ascii="Arial" w:hAnsi="Arial" w:cs="Arial"/>
                <w:sz w:val="20"/>
                <w:lang w:val="es-UY"/>
              </w:rPr>
              <w:t>Datos administrativos de ANEP</w:t>
            </w:r>
          </w:p>
        </w:tc>
      </w:tr>
    </w:tbl>
    <w:p w:rsidR="009F52A4" w:rsidRPr="00CD6AE6" w:rsidRDefault="009F52A4" w:rsidP="00843C90">
      <w:pPr>
        <w:pStyle w:val="Paragraph"/>
      </w:pPr>
      <w:r w:rsidRPr="00CD6AE6">
        <w:t xml:space="preserve">A continuación se describen los arreglos para la evaluación de resultados. </w:t>
      </w:r>
    </w:p>
    <w:p w:rsidR="009F52A4" w:rsidRPr="00CD6AE6" w:rsidRDefault="009F52A4" w:rsidP="00843C90">
      <w:pPr>
        <w:pStyle w:val="Paragraph"/>
      </w:pPr>
      <w:r w:rsidRPr="00CD6AE6">
        <w:t xml:space="preserve">El plan de evaluación del programa (EER#3) contempla las siguientes evaluaciones: (i) evaluación de la estrategia de ampliación de jornada (completa y extendida); (ii) evaluación reflexiva (antes-después) del uso de información de los sistemas de aseguramiento de la calidad y de protección de trayectorias entregada a los CE de EM; y (iii) evaluación reflexiva (con-sin) del nuevo plan de estudios de FI, que comparará a cohortes que estudian con el plan de estudios actualmente vigente con cohortes que estudiarán bajo el nuevo plan. La evaluación de la estrategia de ampliación de jornada utilizará la metodología de emparejamiento (propensity score matching, PSM) con diferencias en diferencias, para controlar por los posibles sesgos de variables observables entre los diferentes grupos (liceos de tiempo completo, liceos de tiempo extendido, y liceos de jornada simple) y las tendencias temporales. El impacto de esta estrategia se medirá en: logros de aprendizajes en lenguaje y matemática según la evaluación SELE; porcentaje de alumnos que son promovidos de año; porcentaje de alumnos que fueron promovidos y se reinscriben en el año siguiente; y porcentaje de alumnos que finaliza el ciclo de EMB. Adicionalmente, la evaluación será complementada por un estudio cualitativo para indagar sobre el uso del tiempo y la organización de los recursos humanos al interior de los liceos que se beneficiaron con la ampliación de jornada. Además, se acordó que se llevará a cabo una </w:t>
      </w:r>
      <w:r w:rsidRPr="00CD6AE6">
        <w:lastRenderedPageBreak/>
        <w:t>evaluación intermedia y una evaluación final del programa</w:t>
      </w:r>
      <w:r w:rsidRPr="00CD6AE6">
        <w:footnoteReference w:id="5"/>
      </w:r>
      <w:r w:rsidRPr="00CD6AE6">
        <w:t>, las cuales serán realizadas mediante la contratación de consultores externos una vez que ANEP haya desembolsado el cincuenta por ciento (50%) y el ochenta por ciento (80%), respectivamente, de los recursos del Programa.</w:t>
      </w:r>
    </w:p>
    <w:p w:rsidR="00981691" w:rsidRPr="00CD6AE6" w:rsidRDefault="00981691" w:rsidP="00651E28">
      <w:pPr>
        <w:pStyle w:val="Heading2"/>
        <w:rPr>
          <w:noProof/>
        </w:rPr>
      </w:pPr>
      <w:bookmarkStart w:id="103" w:name="_Toc426474203"/>
      <w:r w:rsidRPr="00CD6AE6">
        <w:rPr>
          <w:noProof/>
        </w:rPr>
        <w:t>Coordinación, cronograma, informes y presupuesto de la evaluación</w:t>
      </w:r>
      <w:bookmarkEnd w:id="103"/>
    </w:p>
    <w:p w:rsidR="00981691" w:rsidRPr="00CD6AE6" w:rsidRDefault="00981691" w:rsidP="00651E28">
      <w:pPr>
        <w:pStyle w:val="Paragraph"/>
      </w:pPr>
      <w:r w:rsidRPr="00CD6AE6">
        <w:t>Coordinación. La unidad encargada de Monitoreo y Evaluación para el programa y la DIEE serán responsables de estas actividades, en conjunto con el equipo técnico del BID. Además de las tareas enunciadas sobre el proceso de monitoreo, estas unidades se encargarán, en conjunto con el BID, de la actualización de los indicadores de la matriz de resultados y de la implementación de este plan de evaluación, ya sea por producción propia de los análisis econométricos/cualitativos de los datos o por la contratación de consultores y/o firmas consultoras especializadas. Se contratarán consultores individuales/firmas consultoras externas al programa para apoyar en el diseño y ejecución de las evaluaciones aquí propuestas, y diseñar y ejecutar los trabajos de campo.</w:t>
      </w:r>
    </w:p>
    <w:p w:rsidR="00981691" w:rsidRPr="00CD6AE6" w:rsidRDefault="00981691" w:rsidP="00651E28">
      <w:pPr>
        <w:pStyle w:val="Paragraph"/>
      </w:pPr>
      <w:r w:rsidRPr="00CD6AE6">
        <w:t>Seguimiento. La ANEP emitirá un reporte al BID para cada uno de los levantamientos de datos que se haga, incluyendo las actualizaciones a los datos administrativos.</w:t>
      </w:r>
    </w:p>
    <w:p w:rsidR="00891698" w:rsidRPr="00CD6AE6" w:rsidRDefault="00EF6681" w:rsidP="00872A3D">
      <w:pPr>
        <w:pStyle w:val="Heading1"/>
      </w:pPr>
      <w:bookmarkStart w:id="104" w:name="_Toc461731185"/>
      <w:bookmarkStart w:id="105" w:name="_Ref450303135"/>
      <w:bookmarkEnd w:id="101"/>
      <w:r w:rsidRPr="00CD6AE6">
        <w:t>ADMINISTRACIÓN FINANCIERA</w:t>
      </w:r>
      <w:bookmarkEnd w:id="104"/>
      <w:r w:rsidR="00891698" w:rsidRPr="00CD6AE6">
        <w:t xml:space="preserve"> </w:t>
      </w:r>
    </w:p>
    <w:p w:rsidR="00891698" w:rsidRPr="00CD6AE6" w:rsidRDefault="00891698" w:rsidP="00651E28">
      <w:pPr>
        <w:pStyle w:val="Paragraph"/>
      </w:pPr>
      <w:r w:rsidRPr="00CD6AE6">
        <w:t>A los efectos de la ejecución de los recursos del Programa, la Tesorería General de la Nación (TGN), a solicitud de la Unidad Ejecutora del Proyecto, dispondrá la apertura de una cuenta especial en el Banco Central del Uruguay (BCU) la que recibirá los fondos desembolsados por el Banco, con la particularidad de que desde ésta cuenta no se pued</w:t>
      </w:r>
      <w:r w:rsidR="00A069BD" w:rsidRPr="00CD6AE6">
        <w:t>a</w:t>
      </w:r>
      <w:r w:rsidRPr="00CD6AE6">
        <w:t>n efectuar pagos. Paralelamente se deberá abrir una cuenta bancaria, con la denominación específica del Programa, en un banco comercial a efectos de efectuar los pagos correspondientes.  El procedimiento para efectuar un pago es el siguiente: el Ejecutor ingresa la solicitud de pago en el SIIF, el Tribunal de Cuentas de la República (TCR) realiza el control del mismo, la TGN solicita la transferencia desde la cuenta especial del Programa en el BCU a la cuenta en el banco comercial, una vez recibidos los fondos en ésta, el Programa libera el cheque al beneficiario del pago.</w:t>
      </w:r>
    </w:p>
    <w:p w:rsidR="00891698" w:rsidRPr="00CD6AE6" w:rsidRDefault="00891698" w:rsidP="00651E28">
      <w:pPr>
        <w:pStyle w:val="Paragraph"/>
      </w:pPr>
      <w:r w:rsidRPr="00CD6AE6">
        <w:t xml:space="preserve">La modalidad de desembolsos </w:t>
      </w:r>
      <w:r w:rsidR="00C816F2" w:rsidRPr="00CD6AE6">
        <w:t xml:space="preserve">podrá </w:t>
      </w:r>
      <w:r w:rsidRPr="00CD6AE6">
        <w:t>ser</w:t>
      </w:r>
      <w:r w:rsidR="00A069BD" w:rsidRPr="00CD6AE6">
        <w:t xml:space="preserve"> de reembolsos, pagos directos y</w:t>
      </w:r>
      <w:r w:rsidRPr="00CD6AE6">
        <w:t xml:space="preserve"> anticipos basados en necesidades reales de liquidez y como documentación se requerirá la presentación de los formularios de rendición </w:t>
      </w:r>
      <w:r w:rsidR="00C52069" w:rsidRPr="00CD6AE6">
        <w:t xml:space="preserve">del anticipo inmediato anterior </w:t>
      </w:r>
      <w:r w:rsidRPr="00CD6AE6">
        <w:t>y la planilla de planificación financiera</w:t>
      </w:r>
      <w:r w:rsidR="000D547D" w:rsidRPr="00CD6AE6">
        <w:t xml:space="preserve"> por un período de hasta 180 días</w:t>
      </w:r>
      <w:r w:rsidR="00C52069" w:rsidRPr="00CD6AE6">
        <w:t xml:space="preserve"> para el siguiente anticipo</w:t>
      </w:r>
      <w:r w:rsidRPr="00CD6AE6">
        <w:t>.</w:t>
      </w:r>
      <w:r w:rsidR="000D547D" w:rsidRPr="00CD6AE6">
        <w:t xml:space="preserve"> </w:t>
      </w:r>
      <w:r w:rsidRPr="00CD6AE6">
        <w:t>El tipo de cambio acordado es el de la “pesificación” de los fondos desembolsados en dólares americanos.</w:t>
      </w:r>
      <w:r w:rsidR="00A14299" w:rsidRPr="00CD6AE6">
        <w:t xml:space="preserve"> La revisión de desembolsos se realizará en forma ex-post.</w:t>
      </w:r>
      <w:r w:rsidR="009D4B89">
        <w:t xml:space="preserve"> El Programa podrá solicitar anticipos de fondos, presentando al Banco justificación de gastos del 70% de los saldos anticipados, teniendo en cuenta el volumen transaccional y normas presupuestales vigentes.</w:t>
      </w:r>
    </w:p>
    <w:p w:rsidR="00891698" w:rsidRPr="00651E28" w:rsidRDefault="00891698" w:rsidP="00651E28">
      <w:pPr>
        <w:pStyle w:val="Heading2"/>
        <w:numPr>
          <w:ilvl w:val="1"/>
          <w:numId w:val="14"/>
        </w:numPr>
      </w:pPr>
      <w:r w:rsidRPr="00651E28">
        <w:t>Control Interno y auditoría interna</w:t>
      </w:r>
    </w:p>
    <w:p w:rsidR="00891698" w:rsidRPr="00CD6AE6" w:rsidRDefault="00891698" w:rsidP="00651E28">
      <w:pPr>
        <w:pStyle w:val="Paragraph"/>
      </w:pPr>
      <w:r w:rsidRPr="00651E28">
        <w:rPr>
          <w:rStyle w:val="ParagraphChar"/>
        </w:rPr>
        <w:t>El sistema de control interno está basado en el sistema nacional definido en la normativa legal vigente. De acuerdo a lo establecido en el Texto Ordenado de Contabilidad y Administración Financiera (TOCAF) el TCR debe realizar la intervención preventiva de todos los gastos</w:t>
      </w:r>
      <w:r w:rsidRPr="00CD6AE6">
        <w:t xml:space="preserve"> relacionados con la ejecución del Pro</w:t>
      </w:r>
      <w:r w:rsidR="002B5BDC" w:rsidRPr="00CD6AE6">
        <w:t>grama</w:t>
      </w:r>
      <w:r w:rsidRPr="00CD6AE6">
        <w:t xml:space="preserve">.  </w:t>
      </w:r>
    </w:p>
    <w:p w:rsidR="00891698" w:rsidRPr="00CD6AE6" w:rsidRDefault="00891698" w:rsidP="00BE1150">
      <w:pPr>
        <w:pStyle w:val="Heading2"/>
      </w:pPr>
      <w:r w:rsidRPr="00CD6AE6">
        <w:t>Control Externo e Informes</w:t>
      </w:r>
    </w:p>
    <w:p w:rsidR="00891698" w:rsidRPr="00CD6AE6" w:rsidRDefault="00891698" w:rsidP="00651E28">
      <w:pPr>
        <w:pStyle w:val="Paragraph"/>
      </w:pPr>
      <w:r w:rsidRPr="00CD6AE6">
        <w:t xml:space="preserve">Durante la ejecución del Programa, la ANEP presentará anualmente sus respectivos estados financieros auditados (EFAs) dentro de los 120 días de finalizado el año fiscal. El sistema nacional </w:t>
      </w:r>
      <w:r w:rsidRPr="00CD6AE6">
        <w:lastRenderedPageBreak/>
        <w:t xml:space="preserve">de control externo es realizado por el TCR. Específicamente para los proyectos relacionados con Organismos Internacionales se encarga de las tareas el Departamento V de dicho Tribunal. </w:t>
      </w:r>
    </w:p>
    <w:p w:rsidR="00891698" w:rsidRPr="00CD6AE6" w:rsidRDefault="00891698" w:rsidP="00651E28">
      <w:pPr>
        <w:pStyle w:val="Paragraph"/>
      </w:pPr>
      <w:r w:rsidRPr="00CD6AE6">
        <w:t xml:space="preserve">Se prevé una auditoría financiera anual y la revisión de los procesos y solicitudes de desembolsos presentadas en cada ejercicio. Los costos de auditoría serán acordados en la Carta Acuerdo de Servicios que el TCR realiza y será financiada con recursos de contrapartida. </w:t>
      </w:r>
    </w:p>
    <w:bookmarkEnd w:id="105"/>
    <w:p w:rsidR="00891698" w:rsidRPr="00CD6AE6" w:rsidRDefault="00891698" w:rsidP="00651E28">
      <w:pPr>
        <w:pStyle w:val="Paragraph"/>
      </w:pPr>
      <w:r w:rsidRPr="00CD6AE6">
        <w:t xml:space="preserve">La </w:t>
      </w:r>
      <w:r w:rsidR="00C20AE9" w:rsidRPr="00CD6AE6">
        <w:t>UE</w:t>
      </w:r>
      <w:r w:rsidRPr="00CD6AE6">
        <w:t xml:space="preserve"> mantendrá archivos adecuados, completos y actualizados de toda la documentación contable financiera, y de la documentación de respaldo de los movimientos financieros y de los pagos realizados, con referencias cruzadas a las solicitudes de desembolso. Constituye una obligación de la </w:t>
      </w:r>
      <w:r w:rsidR="00C20AE9" w:rsidRPr="00CD6AE6">
        <w:t>UE</w:t>
      </w:r>
      <w:r w:rsidRPr="00CD6AE6">
        <w:t>/ANEP facilitar el acceso a dichos archivos para visitas de inspección, o revisiones</w:t>
      </w:r>
      <w:r w:rsidR="00A069BD" w:rsidRPr="00CD6AE6">
        <w:t xml:space="preserve"> ex-post</w:t>
      </w:r>
      <w:r w:rsidRPr="00CD6AE6">
        <w:t xml:space="preserve">, en la oportunidad que lo estimen conveniente el BID y la Auditoría del Programa. </w:t>
      </w:r>
    </w:p>
    <w:p w:rsidR="00891698" w:rsidRPr="00CD6AE6" w:rsidRDefault="00891698" w:rsidP="00872A3D">
      <w:pPr>
        <w:pStyle w:val="Heading1"/>
      </w:pPr>
      <w:bookmarkStart w:id="106" w:name="_Toc202247773"/>
      <w:bookmarkStart w:id="107" w:name="_Toc461731186"/>
      <w:bookmarkStart w:id="108" w:name="_Toc44486412"/>
      <w:bookmarkStart w:id="109" w:name="_Toc48461743"/>
      <w:bookmarkStart w:id="110" w:name="_Toc106996782"/>
      <w:bookmarkStart w:id="111" w:name="_Toc106996918"/>
      <w:bookmarkStart w:id="112" w:name="_Toc108506445"/>
      <w:bookmarkStart w:id="113" w:name="_Toc110493073"/>
      <w:bookmarkStart w:id="114" w:name="_Toc134589642"/>
      <w:r w:rsidRPr="00CD6AE6">
        <w:t>TRANSPARENCIA Y DIFUSION</w:t>
      </w:r>
      <w:bookmarkEnd w:id="106"/>
      <w:bookmarkEnd w:id="107"/>
    </w:p>
    <w:bookmarkEnd w:id="108"/>
    <w:bookmarkEnd w:id="109"/>
    <w:bookmarkEnd w:id="110"/>
    <w:bookmarkEnd w:id="111"/>
    <w:bookmarkEnd w:id="112"/>
    <w:bookmarkEnd w:id="113"/>
    <w:bookmarkEnd w:id="114"/>
    <w:p w:rsidR="00891698" w:rsidRPr="00CD6AE6" w:rsidRDefault="00891698" w:rsidP="00651E28">
      <w:pPr>
        <w:pStyle w:val="Paragraph"/>
      </w:pPr>
      <w:r w:rsidRPr="00CD6AE6">
        <w:t xml:space="preserve">Con el fin de lograr una adecuada difusión de la información para la ciudadanía en general, el Programa mantendrá actualizada su página WEB incluyendo, entre otros: </w:t>
      </w:r>
    </w:p>
    <w:p w:rsidR="00891698" w:rsidRPr="00CD6AE6" w:rsidRDefault="00891698" w:rsidP="00D4226A">
      <w:pPr>
        <w:pStyle w:val="Paragraph"/>
        <w:numPr>
          <w:ilvl w:val="2"/>
          <w:numId w:val="2"/>
        </w:numPr>
      </w:pPr>
      <w:r w:rsidRPr="00CD6AE6">
        <w:rPr>
          <w:u w:val="single"/>
        </w:rPr>
        <w:t>Documentos Básicos del Programa</w:t>
      </w:r>
      <w:r w:rsidRPr="00CD6AE6">
        <w:t>: contrato de préstamo, reglamento operativo, políticas del Banco en materia de adquisiciones y desembolsos y modelos de Pliegos de Licitaciones.</w:t>
      </w:r>
    </w:p>
    <w:p w:rsidR="00891698" w:rsidRPr="00CD6AE6" w:rsidRDefault="00891698" w:rsidP="00D4226A">
      <w:pPr>
        <w:pStyle w:val="Paragraph"/>
        <w:numPr>
          <w:ilvl w:val="2"/>
          <w:numId w:val="2"/>
        </w:numPr>
      </w:pPr>
      <w:r w:rsidRPr="00CD6AE6">
        <w:rPr>
          <w:u w:val="single"/>
        </w:rPr>
        <w:t>Informes</w:t>
      </w:r>
      <w:r w:rsidRPr="00CD6AE6">
        <w:t>: informe inicial, PEP, POAs, planes de Adquisiciones, informes semestrales de ejecución, evaluaciones, globales o específicas, estudios e investigaciones.</w:t>
      </w:r>
    </w:p>
    <w:p w:rsidR="00891698" w:rsidRPr="00CD6AE6" w:rsidRDefault="00891698" w:rsidP="00872A3D">
      <w:pPr>
        <w:pStyle w:val="Heading1"/>
      </w:pPr>
      <w:bookmarkStart w:id="115" w:name="_Toc202247774"/>
      <w:bookmarkStart w:id="116" w:name="_Toc461731187"/>
      <w:r w:rsidRPr="00CD6AE6">
        <w:t>MODIFICACIONES AL REGLAMENTO OPERATIVO</w:t>
      </w:r>
      <w:bookmarkEnd w:id="115"/>
      <w:bookmarkEnd w:id="116"/>
    </w:p>
    <w:p w:rsidR="00891698" w:rsidRPr="00CD6AE6" w:rsidRDefault="00891698" w:rsidP="00651E28">
      <w:pPr>
        <w:pStyle w:val="Paragraph"/>
      </w:pPr>
      <w:r w:rsidRPr="00CD6AE6">
        <w:t>Durante la ejecución del programa, la ANEP podrá solicitar al Banco para su aprobación, modificaciones debidamente fundamentadas al Reglamento Operativo, en la medida que no cambien los objetivos del programa o lo dispuesto en el Contrato. Preferentemente, los cambios al RO serán considerados en el marco de las evaluaciones anuales del programa.</w:t>
      </w:r>
    </w:p>
    <w:p w:rsidR="00891698" w:rsidRPr="00CD6AE6" w:rsidRDefault="00891698" w:rsidP="00651E28">
      <w:pPr>
        <w:pStyle w:val="Paragraph"/>
      </w:pPr>
      <w:r w:rsidRPr="00CD6AE6">
        <w:t xml:space="preserve">Los Anexos no podrán ser modificado sin el acuerdo previo del Banco. El Anexo III (MR) se actualizará en los términos previstos en este Reglamento. Si se incluyeran otros anexos, sería a título informativo de manera que puedan ser modificados unilateralmente por la ANEP, siempre y cuando se informe inmediatamente al Banco los cambios realizados. El Banco podrá realizar observaciones a dichos ajustes. </w:t>
      </w:r>
    </w:p>
    <w:p w:rsidR="00891698" w:rsidRPr="00CD6AE6" w:rsidRDefault="00891698" w:rsidP="00651E28">
      <w:pPr>
        <w:pStyle w:val="Paragraph"/>
      </w:pPr>
      <w:r w:rsidRPr="00CD6AE6">
        <w:t xml:space="preserve">La </w:t>
      </w:r>
      <w:r w:rsidR="00C20AE9" w:rsidRPr="00CD6AE6">
        <w:t>UE</w:t>
      </w:r>
      <w:r w:rsidRPr="00CD6AE6">
        <w:t xml:space="preserve"> mantendrá en sus archivos todas las versiones del RO aprobadas por el BID o informadas a él. </w:t>
      </w:r>
    </w:p>
    <w:p w:rsidR="00891698" w:rsidRPr="00CD6AE6" w:rsidRDefault="00891698" w:rsidP="00651E28">
      <w:pPr>
        <w:pStyle w:val="Paragraph"/>
      </w:pPr>
      <w:r w:rsidRPr="00CD6AE6">
        <w:t xml:space="preserve">De existir una contradicción entre el RO y el Contrato y/o las normas y políticas del BID a las cuales refiere, predominarán éstos últimos. De existir una contradicción entre el texto principal del RO y alguno de sus </w:t>
      </w:r>
      <w:r w:rsidR="00EF6681" w:rsidRPr="00CD6AE6">
        <w:t>anexos, predominará el primero.</w:t>
      </w:r>
    </w:p>
    <w:p w:rsidR="00651E28" w:rsidRDefault="00651E28">
      <w:pPr>
        <w:spacing w:after="0"/>
        <w:jc w:val="left"/>
        <w:rPr>
          <w:rFonts w:cs="Times New Roman"/>
          <w:b/>
          <w:bCs/>
          <w:caps/>
          <w:sz w:val="24"/>
          <w:szCs w:val="24"/>
          <w:lang w:val="es-UY" w:eastAsia="es-AR"/>
        </w:rPr>
      </w:pPr>
      <w:r>
        <w:rPr>
          <w:lang w:val="es-UY"/>
        </w:rPr>
        <w:br w:type="page"/>
      </w:r>
    </w:p>
    <w:p w:rsidR="0051312E" w:rsidRPr="00CD6AE6" w:rsidRDefault="00A30A02" w:rsidP="00872A3D">
      <w:pPr>
        <w:pStyle w:val="Heading1"/>
      </w:pPr>
      <w:bookmarkStart w:id="117" w:name="_Toc461731188"/>
      <w:r w:rsidRPr="00CD6AE6">
        <w:lastRenderedPageBreak/>
        <w:t>Anexos</w:t>
      </w:r>
      <w:bookmarkEnd w:id="117"/>
    </w:p>
    <w:p w:rsidR="00E10C69" w:rsidRDefault="00E10C69" w:rsidP="00E10C69">
      <w:pPr>
        <w:spacing w:after="0"/>
        <w:jc w:val="left"/>
        <w:rPr>
          <w:lang w:val="es-UY"/>
        </w:rPr>
      </w:pPr>
    </w:p>
    <w:p w:rsidR="00E10C69" w:rsidRDefault="00E10C69" w:rsidP="00E10C69">
      <w:pPr>
        <w:spacing w:after="0"/>
        <w:jc w:val="left"/>
        <w:rPr>
          <w:lang w:val="es-UY"/>
        </w:rPr>
      </w:pPr>
    </w:p>
    <w:p w:rsidR="00E10C69" w:rsidRDefault="00E10C69" w:rsidP="00E10C69">
      <w:pPr>
        <w:spacing w:after="0"/>
        <w:jc w:val="left"/>
        <w:rPr>
          <w:lang w:val="es-UY"/>
        </w:rPr>
      </w:pPr>
    </w:p>
    <w:p w:rsidR="00E10C69" w:rsidRDefault="00E10C69" w:rsidP="00E10C69">
      <w:pPr>
        <w:spacing w:after="0"/>
        <w:jc w:val="left"/>
        <w:rPr>
          <w:lang w:val="es-UY"/>
        </w:rPr>
      </w:pPr>
    </w:p>
    <w:p w:rsidR="00E10C69" w:rsidRDefault="00E10C69" w:rsidP="00E10C69">
      <w:pPr>
        <w:spacing w:after="0"/>
        <w:jc w:val="left"/>
        <w:rPr>
          <w:lang w:val="es-UY"/>
        </w:rPr>
      </w:pPr>
    </w:p>
    <w:p w:rsidR="00E10C69" w:rsidRDefault="00E10C69" w:rsidP="00E10C69">
      <w:pPr>
        <w:spacing w:after="0"/>
        <w:jc w:val="left"/>
        <w:rPr>
          <w:lang w:val="es-UY"/>
        </w:rPr>
      </w:pPr>
    </w:p>
    <w:p w:rsidR="00E10C69" w:rsidRDefault="00E10C69" w:rsidP="00E10C69">
      <w:pPr>
        <w:spacing w:after="0"/>
        <w:jc w:val="left"/>
        <w:rPr>
          <w:lang w:val="es-UY"/>
        </w:rPr>
      </w:pPr>
    </w:p>
    <w:p w:rsidR="00E10C69" w:rsidRPr="00CD6AE6" w:rsidRDefault="00E10C69" w:rsidP="00C467FF">
      <w:pPr>
        <w:rPr>
          <w:lang w:val="es-UY"/>
        </w:rPr>
      </w:pPr>
    </w:p>
    <w:sectPr w:rsidR="00E10C69" w:rsidRPr="00CD6AE6" w:rsidSect="00651E28">
      <w:headerReference w:type="even" r:id="rId12"/>
      <w:headerReference w:type="default" r:id="rId13"/>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31" w:rsidRDefault="00577731" w:rsidP="002C3255">
      <w:r>
        <w:separator/>
      </w:r>
    </w:p>
    <w:p w:rsidR="00577731" w:rsidRDefault="00577731"/>
  </w:endnote>
  <w:endnote w:type="continuationSeparator" w:id="0">
    <w:p w:rsidR="00577731" w:rsidRDefault="00577731" w:rsidP="002C3255">
      <w:r>
        <w:continuationSeparator/>
      </w:r>
    </w:p>
    <w:p w:rsidR="00577731" w:rsidRDefault="00577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491" w:rsidRDefault="00987491" w:rsidP="003028FA">
    <w:pPr>
      <w:pStyle w:val="Footer"/>
      <w:jc w:val="right"/>
    </w:pPr>
    <w:r>
      <w:fldChar w:fldCharType="begin"/>
    </w:r>
    <w:r>
      <w:instrText xml:space="preserve"> PAGE   \* MERGEFORMAT </w:instrText>
    </w:r>
    <w:r>
      <w:fldChar w:fldCharType="separate"/>
    </w:r>
    <w:r w:rsidR="00BA3FC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31" w:rsidRDefault="00577731" w:rsidP="002C3255">
      <w:r>
        <w:separator/>
      </w:r>
    </w:p>
    <w:p w:rsidR="00577731" w:rsidRDefault="00577731"/>
  </w:footnote>
  <w:footnote w:type="continuationSeparator" w:id="0">
    <w:p w:rsidR="00577731" w:rsidRDefault="00577731" w:rsidP="002C3255">
      <w:r>
        <w:continuationSeparator/>
      </w:r>
    </w:p>
    <w:p w:rsidR="00577731" w:rsidRDefault="00577731"/>
  </w:footnote>
  <w:footnote w:id="1">
    <w:p w:rsidR="00987491" w:rsidRPr="00911BA4" w:rsidRDefault="00987491" w:rsidP="00911BA4">
      <w:pPr>
        <w:pStyle w:val="ListParagraph"/>
        <w:numPr>
          <w:ilvl w:val="0"/>
          <w:numId w:val="0"/>
        </w:numPr>
        <w:ind w:left="720"/>
        <w:rPr>
          <w:sz w:val="18"/>
          <w:szCs w:val="18"/>
          <w:lang w:val="es-AR"/>
        </w:rPr>
      </w:pPr>
      <w:r>
        <w:rPr>
          <w:rStyle w:val="FootnoteReference"/>
        </w:rPr>
        <w:footnoteRef/>
      </w:r>
      <w:r>
        <w:t xml:space="preserve"> </w:t>
      </w:r>
      <w:r w:rsidRPr="00911BA4">
        <w:rPr>
          <w:sz w:val="18"/>
          <w:szCs w:val="18"/>
          <w:lang w:val="es-AR"/>
        </w:rPr>
        <w:t>Observatorio de EM, Monitores Educativos para CES y CETP, Observatorio Educación-Trabajo (que incluye seguimiento de alumnos y egresados de CETP), Evaluación Formativa en Línea de los Resultados de Aprendizaje por CE de EM</w:t>
      </w:r>
    </w:p>
    <w:p w:rsidR="00987491" w:rsidRPr="00911BA4" w:rsidRDefault="00987491">
      <w:pPr>
        <w:pStyle w:val="FootnoteText"/>
        <w:rPr>
          <w:lang w:val="es-AR"/>
        </w:rPr>
      </w:pPr>
    </w:p>
  </w:footnote>
  <w:footnote w:id="2">
    <w:p w:rsidR="00987491" w:rsidRPr="00567EB4" w:rsidRDefault="00987491" w:rsidP="002C3255">
      <w:pPr>
        <w:pStyle w:val="FootnoteText"/>
        <w:rPr>
          <w:rFonts w:ascii="Times New Roman" w:hAnsi="Times New Roman" w:cs="Times New Roman"/>
          <w:sz w:val="20"/>
          <w:szCs w:val="20"/>
        </w:rPr>
      </w:pPr>
      <w:r>
        <w:rPr>
          <w:rStyle w:val="FootnoteReference"/>
        </w:rPr>
        <w:footnoteRef/>
      </w:r>
      <w:r>
        <w:t xml:space="preserve"> </w:t>
      </w:r>
      <w:r w:rsidRPr="00567EB4">
        <w:rPr>
          <w:rFonts w:ascii="Times New Roman" w:hAnsi="Times New Roman" w:cs="Times New Roman"/>
          <w:sz w:val="20"/>
          <w:szCs w:val="20"/>
        </w:rPr>
        <w:t>En todos los casos el proceso de adquisición se inicia con la publicación para llamar a licitación  y concluye con la firma del contrato con la empresa adjudicataria o consultor.</w:t>
      </w:r>
    </w:p>
  </w:footnote>
  <w:footnote w:id="3">
    <w:p w:rsidR="00987491" w:rsidRPr="00567EB4" w:rsidRDefault="00987491" w:rsidP="002C3255">
      <w:pPr>
        <w:pStyle w:val="FootnoteText"/>
        <w:ind w:left="180" w:hanging="180"/>
        <w:rPr>
          <w:rFonts w:ascii="Times New Roman" w:hAnsi="Times New Roman" w:cs="Times New Roman"/>
          <w:sz w:val="20"/>
          <w:szCs w:val="20"/>
        </w:rPr>
      </w:pPr>
      <w:r w:rsidRPr="00567EB4">
        <w:rPr>
          <w:rStyle w:val="FootnoteReference"/>
          <w:rFonts w:ascii="Times New Roman" w:hAnsi="Times New Roman" w:cs="Times New Roman"/>
          <w:sz w:val="20"/>
          <w:szCs w:val="20"/>
        </w:rPr>
        <w:footnoteRef/>
      </w:r>
      <w:r w:rsidRPr="00567EB4">
        <w:rPr>
          <w:rFonts w:ascii="Times New Roman" w:hAnsi="Times New Roman" w:cs="Times New Roman"/>
          <w:sz w:val="20"/>
          <w:szCs w:val="20"/>
        </w:rPr>
        <w:t xml:space="preserve"> </w:t>
      </w:r>
      <w:r w:rsidRPr="00567EB4">
        <w:rPr>
          <w:rFonts w:ascii="Times New Roman" w:hAnsi="Times New Roman" w:cs="Times New Roman"/>
          <w:sz w:val="20"/>
          <w:szCs w:val="20"/>
        </w:rPr>
        <w:tab/>
        <w:t>Incluye servicios diferentes a la consultoría.</w:t>
      </w:r>
    </w:p>
  </w:footnote>
  <w:footnote w:id="4">
    <w:p w:rsidR="00987491" w:rsidRPr="00C72FF4" w:rsidRDefault="00987491" w:rsidP="002C3255">
      <w:pPr>
        <w:pStyle w:val="FootnoteText"/>
        <w:rPr>
          <w:rFonts w:ascii="Times New Roman" w:hAnsi="Times New Roman" w:cs="Times New Roman"/>
          <w:sz w:val="18"/>
          <w:szCs w:val="18"/>
        </w:rPr>
      </w:pPr>
      <w:r w:rsidRPr="00765A80">
        <w:rPr>
          <w:rStyle w:val="FootnoteReference"/>
          <w:rFonts w:ascii="Times New Roman" w:hAnsi="Times New Roman" w:cs="Times New Roman"/>
          <w:sz w:val="18"/>
          <w:szCs w:val="18"/>
        </w:rPr>
        <w:footnoteRef/>
      </w:r>
      <w:r w:rsidRPr="00765A80">
        <w:rPr>
          <w:rFonts w:ascii="Times New Roman" w:hAnsi="Times New Roman" w:cs="Times New Roman"/>
          <w:sz w:val="18"/>
          <w:szCs w:val="18"/>
        </w:rPr>
        <w:t xml:space="preserve"> </w:t>
      </w:r>
      <w:r w:rsidRPr="00C72FF4">
        <w:rPr>
          <w:rFonts w:ascii="Times New Roman" w:hAnsi="Times New Roman" w:cs="Times New Roman"/>
          <w:sz w:val="18"/>
          <w:szCs w:val="18"/>
        </w:rPr>
        <w:t>Aplica exclusivamente cuando la observación refiere al proceso de adquisición. La cancelación de la cuota parte del préstamo no aplica si la objeción refiere a la elegibilidad del gasto o aspectos relacionados con la ejecución posterior del mismo.</w:t>
      </w:r>
    </w:p>
  </w:footnote>
  <w:footnote w:id="5">
    <w:p w:rsidR="00987491" w:rsidRPr="009C5684" w:rsidRDefault="00987491" w:rsidP="009F52A4">
      <w:pPr>
        <w:pStyle w:val="FootnoteText"/>
        <w:spacing w:after="0"/>
        <w:ind w:left="360" w:hanging="360"/>
        <w:rPr>
          <w:rFonts w:cs="Arial"/>
          <w:sz w:val="18"/>
          <w:szCs w:val="18"/>
          <w:lang w:val="es-ES_tradnl"/>
        </w:rPr>
      </w:pPr>
      <w:r w:rsidRPr="009C5684">
        <w:rPr>
          <w:rStyle w:val="FootnoteReference"/>
          <w:rFonts w:cs="Arial"/>
          <w:sz w:val="18"/>
          <w:szCs w:val="18"/>
        </w:rPr>
        <w:footnoteRef/>
      </w:r>
      <w:r w:rsidRPr="009C5684">
        <w:rPr>
          <w:rFonts w:cs="Arial"/>
          <w:sz w:val="18"/>
          <w:szCs w:val="18"/>
          <w:lang w:val="es-ES_tradnl"/>
        </w:rPr>
        <w:tab/>
      </w:r>
      <w:r>
        <w:rPr>
          <w:rFonts w:cs="Arial"/>
          <w:sz w:val="18"/>
          <w:szCs w:val="18"/>
          <w:lang w:val="es-ES_tradnl"/>
        </w:rPr>
        <w:t>Esta evaluación tendrá un foco especial en las cuestiones relacionadas al sistema de protección de trayectorias educativas y el rol de las CD y UCDIES.</w:t>
      </w:r>
      <w:r w:rsidRPr="009C5684">
        <w:rPr>
          <w:rFonts w:cs="Arial"/>
          <w:sz w:val="18"/>
          <w:szCs w:val="18"/>
          <w:lang w:val="es-ES_tradnl"/>
        </w:rPr>
        <w:t xml:space="preserve"> </w:t>
      </w:r>
      <w:r w:rsidRPr="009C5684">
        <w:rPr>
          <w:rFonts w:cs="Arial"/>
          <w:sz w:val="18"/>
          <w:szCs w:val="18"/>
          <w:lang w:val="es-A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491" w:rsidRPr="00322E7A" w:rsidRDefault="00987491">
    <w:pPr>
      <w:pStyle w:val="Header"/>
      <w:rPr>
        <w:rFonts w:cs="Arial"/>
        <w:sz w:val="18"/>
        <w:szCs w:val="18"/>
        <w:lang w:val="pt-BR"/>
      </w:rPr>
    </w:pPr>
    <w:r>
      <w:rPr>
        <w:rFonts w:cs="Arial"/>
        <w:sz w:val="18"/>
        <w:szCs w:val="18"/>
        <w:lang w:val="pt-BR"/>
      </w:rPr>
      <w:t>Anexo II – UR-L1116</w:t>
    </w:r>
  </w:p>
  <w:p w:rsidR="00987491" w:rsidRPr="00322E7A" w:rsidRDefault="00987491">
    <w:pPr>
      <w:pStyle w:val="Header"/>
      <w:rPr>
        <w:rFonts w:cs="Arial"/>
        <w:sz w:val="18"/>
        <w:szCs w:val="18"/>
        <w:lang w:val="pt-BR"/>
      </w:rPr>
    </w:pPr>
    <w:r w:rsidRPr="00322E7A">
      <w:rPr>
        <w:rFonts w:cs="Arial"/>
        <w:sz w:val="18"/>
        <w:szCs w:val="18"/>
        <w:lang w:val="pt-BR"/>
      </w:rPr>
      <w:t xml:space="preserve">Página </w:t>
    </w:r>
    <w:r w:rsidRPr="00322E7A">
      <w:rPr>
        <w:rFonts w:cs="Arial"/>
        <w:bCs/>
        <w:sz w:val="18"/>
        <w:szCs w:val="18"/>
        <w:lang w:val="pt-BR"/>
      </w:rPr>
      <w:fldChar w:fldCharType="begin"/>
    </w:r>
    <w:r w:rsidRPr="00322E7A">
      <w:rPr>
        <w:rFonts w:cs="Arial"/>
        <w:bCs/>
        <w:sz w:val="18"/>
        <w:szCs w:val="18"/>
        <w:lang w:val="pt-BR"/>
      </w:rPr>
      <w:instrText xml:space="preserve"> PAGE </w:instrText>
    </w:r>
    <w:r w:rsidRPr="00322E7A">
      <w:rPr>
        <w:rFonts w:cs="Arial"/>
        <w:bCs/>
        <w:sz w:val="18"/>
        <w:szCs w:val="18"/>
        <w:lang w:val="pt-BR"/>
      </w:rPr>
      <w:fldChar w:fldCharType="separate"/>
    </w:r>
    <w:r>
      <w:rPr>
        <w:rFonts w:cs="Arial"/>
        <w:bCs/>
        <w:noProof/>
        <w:sz w:val="18"/>
        <w:szCs w:val="18"/>
        <w:lang w:val="pt-BR"/>
      </w:rPr>
      <w:t>6</w:t>
    </w:r>
    <w:r w:rsidRPr="00322E7A">
      <w:rPr>
        <w:rFonts w:cs="Arial"/>
        <w:bCs/>
        <w:sz w:val="18"/>
        <w:szCs w:val="18"/>
        <w:lang w:val="pt-BR"/>
      </w:rPr>
      <w:fldChar w:fldCharType="end"/>
    </w:r>
    <w:r w:rsidRPr="00322E7A">
      <w:rPr>
        <w:rFonts w:cs="Arial"/>
        <w:sz w:val="18"/>
        <w:szCs w:val="18"/>
        <w:lang w:val="pt-BR"/>
      </w:rPr>
      <w:t xml:space="preserve"> de </w:t>
    </w:r>
    <w:r w:rsidRPr="00322E7A">
      <w:rPr>
        <w:rFonts w:cs="Arial"/>
        <w:bCs/>
        <w:sz w:val="18"/>
        <w:szCs w:val="18"/>
        <w:lang w:val="pt-BR"/>
      </w:rPr>
      <w:fldChar w:fldCharType="begin"/>
    </w:r>
    <w:r w:rsidRPr="00322E7A">
      <w:rPr>
        <w:rFonts w:cs="Arial"/>
        <w:bCs/>
        <w:sz w:val="18"/>
        <w:szCs w:val="18"/>
        <w:lang w:val="pt-BR"/>
      </w:rPr>
      <w:instrText xml:space="preserve"> NUMPAGES  </w:instrText>
    </w:r>
    <w:r w:rsidRPr="00322E7A">
      <w:rPr>
        <w:rFonts w:cs="Arial"/>
        <w:bCs/>
        <w:sz w:val="18"/>
        <w:szCs w:val="18"/>
        <w:lang w:val="pt-BR"/>
      </w:rPr>
      <w:fldChar w:fldCharType="separate"/>
    </w:r>
    <w:r>
      <w:rPr>
        <w:rFonts w:cs="Arial"/>
        <w:bCs/>
        <w:noProof/>
        <w:sz w:val="18"/>
        <w:szCs w:val="18"/>
        <w:lang w:val="pt-BR"/>
      </w:rPr>
      <w:t>7</w:t>
    </w:r>
    <w:r w:rsidRPr="00322E7A">
      <w:rPr>
        <w:rFonts w:cs="Arial"/>
        <w:bCs/>
        <w:sz w:val="18"/>
        <w:szCs w:val="18"/>
        <w:lang w:val="pt-BR"/>
      </w:rPr>
      <w:fldChar w:fldCharType="end"/>
    </w:r>
  </w:p>
  <w:p w:rsidR="00987491" w:rsidRPr="00076BCC" w:rsidRDefault="00987491">
    <w:pPr>
      <w:pStyle w:val="Header"/>
      <w:rPr>
        <w:sz w:val="12"/>
        <w:szCs w:val="12"/>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491" w:rsidRPr="00076BCC" w:rsidRDefault="00987491">
    <w:pPr>
      <w:pStyle w:val="Header"/>
      <w:rPr>
        <w:rFonts w:cs="Arial"/>
        <w:sz w:val="12"/>
        <w:szCs w:val="12"/>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ED5"/>
    <w:multiLevelType w:val="multilevel"/>
    <w:tmpl w:val="5A82B53E"/>
    <w:lvl w:ilvl="0">
      <w:start w:val="1"/>
      <w:numFmt w:val="decimal"/>
      <w:lvlText w:val="%1"/>
      <w:lvlJc w:val="left"/>
      <w:pPr>
        <w:tabs>
          <w:tab w:val="num" w:pos="432"/>
        </w:tabs>
        <w:ind w:left="432" w:hanging="432"/>
      </w:pPr>
    </w:lvl>
    <w:lvl w:ilvl="1">
      <w:start w:val="1"/>
      <w:numFmt w:val="upperLetter"/>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DAB7FC9"/>
    <w:multiLevelType w:val="multilevel"/>
    <w:tmpl w:val="416E75C2"/>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b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
    <w:nsid w:val="120B5409"/>
    <w:multiLevelType w:val="hybridMultilevel"/>
    <w:tmpl w:val="9EE0862C"/>
    <w:lvl w:ilvl="0" w:tplc="BBBC939A">
      <w:start w:val="1"/>
      <w:numFmt w:val="lowerRoman"/>
      <w:lvlText w:val="(%1)"/>
      <w:lvlJc w:val="left"/>
      <w:pPr>
        <w:ind w:left="1080" w:hanging="720"/>
      </w:pPr>
      <w:rPr>
        <w:rFonts w:hint="default"/>
      </w:rPr>
    </w:lvl>
    <w:lvl w:ilvl="1" w:tplc="C624CA2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45714"/>
    <w:multiLevelType w:val="hybridMultilevel"/>
    <w:tmpl w:val="DC1E1804"/>
    <w:lvl w:ilvl="0" w:tplc="E15C1EA0">
      <w:start w:val="1"/>
      <w:numFmt w:val="lowerRoman"/>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07D53"/>
    <w:multiLevelType w:val="multilevel"/>
    <w:tmpl w:val="ECC84780"/>
    <w:lvl w:ilvl="0">
      <w:start w:val="1"/>
      <w:numFmt w:val="decimal"/>
      <w:lvlText w:val="%1"/>
      <w:lvlJc w:val="left"/>
      <w:pPr>
        <w:tabs>
          <w:tab w:val="num" w:pos="432"/>
        </w:tabs>
        <w:ind w:left="432" w:hanging="432"/>
      </w:pPr>
    </w:lvl>
    <w:lvl w:ilvl="1">
      <w:start w:val="1"/>
      <w:numFmt w:val="upperLetter"/>
      <w:pStyle w:val="Heading2"/>
      <w:lvlText w:val="%2."/>
      <w:lvlJc w:val="left"/>
      <w:pPr>
        <w:tabs>
          <w:tab w:val="num" w:pos="576"/>
        </w:tabs>
        <w:ind w:left="576" w:hanging="576"/>
      </w:pPr>
      <w:rPr>
        <w:rFonts w:ascii="Times" w:eastAsia="Times New Roman" w:hAnsi="Times" w:cs="Times"/>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CEE122A"/>
    <w:multiLevelType w:val="multilevel"/>
    <w:tmpl w:val="205A92CA"/>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0B9148D"/>
    <w:multiLevelType w:val="hybridMultilevel"/>
    <w:tmpl w:val="373E9B6E"/>
    <w:lvl w:ilvl="0" w:tplc="45067E5E">
      <w:start w:val="1"/>
      <w:numFmt w:val="decimal"/>
      <w:lvlText w:val="%1."/>
      <w:lvlJc w:val="left"/>
      <w:pPr>
        <w:ind w:left="720" w:hanging="360"/>
      </w:pPr>
      <w:rPr>
        <w:rFonts w:ascii="Arial" w:hAnsi="Arial" w:cs="Arial" w:hint="default"/>
        <w:color w:val="auto"/>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026AD"/>
    <w:multiLevelType w:val="hybridMultilevel"/>
    <w:tmpl w:val="ADDEBD80"/>
    <w:lvl w:ilvl="0" w:tplc="392CD7DC">
      <w:start w:val="1"/>
      <w:numFmt w:val="lowerRoman"/>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F38E5"/>
    <w:multiLevelType w:val="multilevel"/>
    <w:tmpl w:val="DC4A8E52"/>
    <w:lvl w:ilvl="0">
      <w:start w:val="1"/>
      <w:numFmt w:val="upperRoman"/>
      <w:pStyle w:val="Chapter"/>
      <w:lvlText w:val="%1."/>
      <w:lvlJc w:val="center"/>
      <w:pPr>
        <w:tabs>
          <w:tab w:val="num" w:pos="1079"/>
        </w:tabs>
        <w:ind w:left="431" w:firstLine="288"/>
      </w:pPr>
      <w:rPr>
        <w:rFonts w:hint="default"/>
        <w:b/>
        <w:bCs/>
        <w:i w:val="0"/>
        <w:iCs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graphnumerado"/>
      <w:isLgl/>
      <w:lvlText w:val="2.%2"/>
      <w:lvlJc w:val="left"/>
      <w:pPr>
        <w:tabs>
          <w:tab w:val="num" w:pos="1151"/>
        </w:tabs>
        <w:ind w:left="1151" w:hanging="720"/>
      </w:pPr>
      <w:rPr>
        <w:rFonts w:hint="default"/>
      </w:rPr>
    </w:lvl>
    <w:lvl w:ilvl="2">
      <w:start w:val="1"/>
      <w:numFmt w:val="lowerLetter"/>
      <w:pStyle w:val="Paragraphnumerado"/>
      <w:lvlText w:val="(%3)"/>
      <w:lvlJc w:val="left"/>
      <w:pPr>
        <w:tabs>
          <w:tab w:val="num" w:pos="1583"/>
        </w:tabs>
        <w:ind w:left="1583" w:hanging="432"/>
      </w:pPr>
      <w:rPr>
        <w:rFonts w:hint="default"/>
      </w:rPr>
    </w:lvl>
    <w:lvl w:ilvl="3">
      <w:start w:val="1"/>
      <w:numFmt w:val="lowerRoman"/>
      <w:lvlText w:val="%4."/>
      <w:lvlJc w:val="right"/>
      <w:pPr>
        <w:tabs>
          <w:tab w:val="num" w:pos="2015"/>
        </w:tabs>
        <w:ind w:left="2015" w:hanging="288"/>
      </w:pPr>
      <w:rPr>
        <w:rFonts w:hint="default"/>
      </w:rPr>
    </w:lvl>
    <w:lvl w:ilvl="4">
      <w:start w:val="1"/>
      <w:numFmt w:val="none"/>
      <w:lvlText w:val=""/>
      <w:lvlJc w:val="left"/>
      <w:pPr>
        <w:tabs>
          <w:tab w:val="num" w:pos="3671"/>
        </w:tabs>
        <w:ind w:left="3311"/>
      </w:pPr>
      <w:rPr>
        <w:rFonts w:hint="default"/>
      </w:rPr>
    </w:lvl>
    <w:lvl w:ilvl="5">
      <w:start w:val="1"/>
      <w:numFmt w:val="none"/>
      <w:lvlText w:val=""/>
      <w:lvlJc w:val="left"/>
      <w:pPr>
        <w:tabs>
          <w:tab w:val="num" w:pos="4391"/>
        </w:tabs>
        <w:ind w:left="4031"/>
      </w:pPr>
      <w:rPr>
        <w:rFonts w:hint="default"/>
      </w:rPr>
    </w:lvl>
    <w:lvl w:ilvl="6">
      <w:start w:val="1"/>
      <w:numFmt w:val="none"/>
      <w:lvlText w:val=""/>
      <w:lvlJc w:val="left"/>
      <w:pPr>
        <w:tabs>
          <w:tab w:val="num" w:pos="5111"/>
        </w:tabs>
        <w:ind w:left="4751"/>
      </w:pPr>
      <w:rPr>
        <w:rFonts w:hint="default"/>
      </w:rPr>
    </w:lvl>
    <w:lvl w:ilvl="7">
      <w:start w:val="1"/>
      <w:numFmt w:val="none"/>
      <w:lvlText w:val=""/>
      <w:lvlJc w:val="left"/>
      <w:pPr>
        <w:tabs>
          <w:tab w:val="num" w:pos="5831"/>
        </w:tabs>
        <w:ind w:left="5471"/>
      </w:pPr>
      <w:rPr>
        <w:rFonts w:hint="default"/>
      </w:rPr>
    </w:lvl>
    <w:lvl w:ilvl="8">
      <w:start w:val="1"/>
      <w:numFmt w:val="none"/>
      <w:lvlText w:val=""/>
      <w:lvlJc w:val="left"/>
      <w:pPr>
        <w:tabs>
          <w:tab w:val="num" w:pos="6551"/>
        </w:tabs>
        <w:ind w:left="6191"/>
      </w:pPr>
      <w:rPr>
        <w:rFonts w:hint="default"/>
      </w:rPr>
    </w:lvl>
  </w:abstractNum>
  <w:abstractNum w:abstractNumId="9">
    <w:nsid w:val="2707773E"/>
    <w:multiLevelType w:val="multilevel"/>
    <w:tmpl w:val="18AE4476"/>
    <w:lvl w:ilvl="0">
      <w:start w:val="1"/>
      <w:numFmt w:val="upperRoman"/>
      <w:lvlText w:val="%1."/>
      <w:lvlJc w:val="left"/>
      <w:pPr>
        <w:ind w:left="1080" w:hanging="72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D773C4"/>
    <w:multiLevelType w:val="multilevel"/>
    <w:tmpl w:val="497A24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w:eastAsia="Times New Roman" w:hAnsi="Times" w:cs="Times" w:hint="default"/>
      </w:rPr>
    </w:lvl>
    <w:lvl w:ilvl="2">
      <w:start w:val="1"/>
      <w:numFmt w:val="lowerRoman"/>
      <w:lvlText w:val="(%3) "/>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E1524F8"/>
    <w:multiLevelType w:val="multilevel"/>
    <w:tmpl w:val="DF229DAE"/>
    <w:lvl w:ilvl="0">
      <w:start w:val="1"/>
      <w:numFmt w:val="upperRoman"/>
      <w:pStyle w:val="Heading1"/>
      <w:lvlText w:val="%1"/>
      <w:lvlJc w:val="center"/>
      <w:pPr>
        <w:tabs>
          <w:tab w:val="num" w:pos="432"/>
        </w:tabs>
        <w:ind w:left="432" w:hanging="144"/>
      </w:pPr>
      <w:rPr>
        <w:rFonts w:hint="default"/>
      </w:rPr>
    </w:lvl>
    <w:lvl w:ilvl="1">
      <w:start w:val="1"/>
      <w:numFmt w:val="upperLetter"/>
      <w:lvlText w:val="%2"/>
      <w:lvlJc w:val="left"/>
      <w:pPr>
        <w:tabs>
          <w:tab w:val="num" w:pos="576"/>
        </w:tabs>
        <w:ind w:left="576" w:hanging="576"/>
      </w:pPr>
      <w:rPr>
        <w:rFonts w:ascii="Times" w:eastAsia="Times New Roman" w:hAnsi="Times" w:cs="Times" w:hint="default"/>
      </w:rPr>
    </w:lvl>
    <w:lvl w:ilvl="2">
      <w:start w:val="1"/>
      <w:numFmt w:val="decimal"/>
      <w:lvlRestart w:val="1"/>
      <w:pStyle w:val="Paragraph"/>
      <w:isLgl/>
      <w:lvlText w:val="%1.%3"/>
      <w:lvlJc w:val="right"/>
      <w:pPr>
        <w:tabs>
          <w:tab w:val="num" w:pos="720"/>
        </w:tabs>
        <w:ind w:left="720" w:hanging="43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49D369B"/>
    <w:multiLevelType w:val="hybridMultilevel"/>
    <w:tmpl w:val="1CBEF2E0"/>
    <w:lvl w:ilvl="0" w:tplc="E15C1EA0">
      <w:start w:val="1"/>
      <w:numFmt w:val="lowerRoman"/>
      <w:lvlText w:val="(%1) "/>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3">
    <w:nsid w:val="37B84BDF"/>
    <w:multiLevelType w:val="multilevel"/>
    <w:tmpl w:val="CDB67434"/>
    <w:lvl w:ilvl="0">
      <w:start w:val="1"/>
      <w:numFmt w:val="lowerLetter"/>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8EB5665"/>
    <w:multiLevelType w:val="multilevel"/>
    <w:tmpl w:val="A2425F6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nsid w:val="3B3C2D09"/>
    <w:multiLevelType w:val="hybridMultilevel"/>
    <w:tmpl w:val="B6D23FBA"/>
    <w:lvl w:ilvl="0" w:tplc="E15C1EA0">
      <w:start w:val="1"/>
      <w:numFmt w:val="lowerRoman"/>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5258A"/>
    <w:multiLevelType w:val="hybridMultilevel"/>
    <w:tmpl w:val="9542740C"/>
    <w:lvl w:ilvl="0" w:tplc="FFFFFFFF">
      <w:start w:val="1"/>
      <w:numFmt w:val="lowerLetter"/>
      <w:lvlText w:val="%1)"/>
      <w:lvlJc w:val="left"/>
      <w:pPr>
        <w:tabs>
          <w:tab w:val="num" w:pos="648"/>
        </w:tabs>
        <w:ind w:left="648" w:hanging="360"/>
      </w:pPr>
      <w:rPr>
        <w:rFonts w:hint="default"/>
      </w:rPr>
    </w:lvl>
    <w:lvl w:ilvl="1" w:tplc="FFFFFFFF">
      <w:start w:val="1"/>
      <w:numFmt w:val="lowerLetter"/>
      <w:lvlText w:val="%2."/>
      <w:lvlJc w:val="left"/>
      <w:pPr>
        <w:tabs>
          <w:tab w:val="num" w:pos="-252"/>
        </w:tabs>
        <w:ind w:left="-252" w:hanging="360"/>
      </w:pPr>
    </w:lvl>
    <w:lvl w:ilvl="2" w:tplc="FFFFFFFF">
      <w:start w:val="1"/>
      <w:numFmt w:val="lowerRoman"/>
      <w:lvlText w:val="%3."/>
      <w:lvlJc w:val="right"/>
      <w:pPr>
        <w:tabs>
          <w:tab w:val="num" w:pos="468"/>
        </w:tabs>
        <w:ind w:left="468" w:hanging="180"/>
      </w:pPr>
    </w:lvl>
    <w:lvl w:ilvl="3" w:tplc="FFFFFFFF">
      <w:start w:val="1"/>
      <w:numFmt w:val="decimal"/>
      <w:lvlText w:val="%4."/>
      <w:lvlJc w:val="left"/>
      <w:pPr>
        <w:tabs>
          <w:tab w:val="num" w:pos="1188"/>
        </w:tabs>
        <w:ind w:left="1188" w:hanging="360"/>
      </w:pPr>
    </w:lvl>
    <w:lvl w:ilvl="4" w:tplc="FFFFFFFF">
      <w:start w:val="1"/>
      <w:numFmt w:val="lowerLetter"/>
      <w:lvlText w:val="%5."/>
      <w:lvlJc w:val="left"/>
      <w:pPr>
        <w:tabs>
          <w:tab w:val="num" w:pos="1908"/>
        </w:tabs>
        <w:ind w:left="1908" w:hanging="360"/>
      </w:pPr>
    </w:lvl>
    <w:lvl w:ilvl="5" w:tplc="FFFFFFFF">
      <w:start w:val="1"/>
      <w:numFmt w:val="lowerRoman"/>
      <w:lvlText w:val="%6."/>
      <w:lvlJc w:val="right"/>
      <w:pPr>
        <w:tabs>
          <w:tab w:val="num" w:pos="2628"/>
        </w:tabs>
        <w:ind w:left="2628" w:hanging="180"/>
      </w:pPr>
    </w:lvl>
    <w:lvl w:ilvl="6" w:tplc="FFFFFFFF">
      <w:start w:val="1"/>
      <w:numFmt w:val="decimal"/>
      <w:lvlText w:val="%7."/>
      <w:lvlJc w:val="left"/>
      <w:pPr>
        <w:tabs>
          <w:tab w:val="num" w:pos="3348"/>
        </w:tabs>
        <w:ind w:left="3348" w:hanging="360"/>
      </w:pPr>
    </w:lvl>
    <w:lvl w:ilvl="7" w:tplc="FFFFFFFF">
      <w:start w:val="1"/>
      <w:numFmt w:val="lowerLetter"/>
      <w:lvlText w:val="%8."/>
      <w:lvlJc w:val="left"/>
      <w:pPr>
        <w:tabs>
          <w:tab w:val="num" w:pos="4068"/>
        </w:tabs>
        <w:ind w:left="4068" w:hanging="360"/>
      </w:pPr>
    </w:lvl>
    <w:lvl w:ilvl="8" w:tplc="FFFFFFFF">
      <w:start w:val="1"/>
      <w:numFmt w:val="lowerRoman"/>
      <w:lvlText w:val="%9."/>
      <w:lvlJc w:val="right"/>
      <w:pPr>
        <w:tabs>
          <w:tab w:val="num" w:pos="4788"/>
        </w:tabs>
        <w:ind w:left="4788" w:hanging="180"/>
      </w:pPr>
    </w:lvl>
  </w:abstractNum>
  <w:abstractNum w:abstractNumId="17">
    <w:nsid w:val="49A15F81"/>
    <w:multiLevelType w:val="multilevel"/>
    <w:tmpl w:val="583684FE"/>
    <w:lvl w:ilvl="0">
      <w:start w:val="1"/>
      <w:numFmt w:val="decimal"/>
      <w:lvlText w:val="%1"/>
      <w:lvlJc w:val="left"/>
      <w:pPr>
        <w:tabs>
          <w:tab w:val="num" w:pos="432"/>
        </w:tabs>
        <w:ind w:left="432" w:hanging="432"/>
      </w:pPr>
    </w:lvl>
    <w:lvl w:ilvl="1">
      <w:start w:val="1"/>
      <w:numFmt w:val="lowerRoman"/>
      <w:lvlText w:val="(%2) "/>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4F604DA2"/>
    <w:multiLevelType w:val="multilevel"/>
    <w:tmpl w:val="205A92CA"/>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0DC4810"/>
    <w:multiLevelType w:val="hybridMultilevel"/>
    <w:tmpl w:val="694E3392"/>
    <w:lvl w:ilvl="0" w:tplc="1E1437EE">
      <w:start w:val="1"/>
      <w:numFmt w:val="upperRoman"/>
      <w:lvlText w:val="%1."/>
      <w:lvlJc w:val="left"/>
      <w:pPr>
        <w:ind w:left="1296" w:hanging="720"/>
      </w:pPr>
      <w:rPr>
        <w:rFonts w:hint="default"/>
      </w:rPr>
    </w:lvl>
    <w:lvl w:ilvl="1" w:tplc="2C0A0019">
      <w:start w:val="1"/>
      <w:numFmt w:val="lowerLetter"/>
      <w:lvlText w:val="%2."/>
      <w:lvlJc w:val="left"/>
      <w:pPr>
        <w:ind w:left="1656" w:hanging="360"/>
      </w:pPr>
    </w:lvl>
    <w:lvl w:ilvl="2" w:tplc="2C0A001B" w:tentative="1">
      <w:start w:val="1"/>
      <w:numFmt w:val="lowerRoman"/>
      <w:lvlText w:val="%3."/>
      <w:lvlJc w:val="right"/>
      <w:pPr>
        <w:ind w:left="2376" w:hanging="180"/>
      </w:pPr>
    </w:lvl>
    <w:lvl w:ilvl="3" w:tplc="2C0A000F" w:tentative="1">
      <w:start w:val="1"/>
      <w:numFmt w:val="decimal"/>
      <w:lvlText w:val="%4."/>
      <w:lvlJc w:val="left"/>
      <w:pPr>
        <w:ind w:left="3096" w:hanging="360"/>
      </w:pPr>
    </w:lvl>
    <w:lvl w:ilvl="4" w:tplc="2C0A0019" w:tentative="1">
      <w:start w:val="1"/>
      <w:numFmt w:val="lowerLetter"/>
      <w:lvlText w:val="%5."/>
      <w:lvlJc w:val="left"/>
      <w:pPr>
        <w:ind w:left="3816" w:hanging="360"/>
      </w:pPr>
    </w:lvl>
    <w:lvl w:ilvl="5" w:tplc="2C0A001B" w:tentative="1">
      <w:start w:val="1"/>
      <w:numFmt w:val="lowerRoman"/>
      <w:lvlText w:val="%6."/>
      <w:lvlJc w:val="right"/>
      <w:pPr>
        <w:ind w:left="4536" w:hanging="180"/>
      </w:pPr>
    </w:lvl>
    <w:lvl w:ilvl="6" w:tplc="2C0A000F" w:tentative="1">
      <w:start w:val="1"/>
      <w:numFmt w:val="decimal"/>
      <w:lvlText w:val="%7."/>
      <w:lvlJc w:val="left"/>
      <w:pPr>
        <w:ind w:left="5256" w:hanging="360"/>
      </w:pPr>
    </w:lvl>
    <w:lvl w:ilvl="7" w:tplc="2C0A0019" w:tentative="1">
      <w:start w:val="1"/>
      <w:numFmt w:val="lowerLetter"/>
      <w:lvlText w:val="%8."/>
      <w:lvlJc w:val="left"/>
      <w:pPr>
        <w:ind w:left="5976" w:hanging="360"/>
      </w:pPr>
    </w:lvl>
    <w:lvl w:ilvl="8" w:tplc="2C0A001B" w:tentative="1">
      <w:start w:val="1"/>
      <w:numFmt w:val="lowerRoman"/>
      <w:lvlText w:val="%9."/>
      <w:lvlJc w:val="right"/>
      <w:pPr>
        <w:ind w:left="6696" w:hanging="180"/>
      </w:pPr>
    </w:lvl>
  </w:abstractNum>
  <w:abstractNum w:abstractNumId="20">
    <w:nsid w:val="531A5817"/>
    <w:multiLevelType w:val="hybridMultilevel"/>
    <w:tmpl w:val="57C0E396"/>
    <w:lvl w:ilvl="0" w:tplc="E15C1EA0">
      <w:start w:val="1"/>
      <w:numFmt w:val="lowerRoman"/>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941AAC"/>
    <w:multiLevelType w:val="multilevel"/>
    <w:tmpl w:val="205A92CA"/>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4114CFD"/>
    <w:multiLevelType w:val="hybridMultilevel"/>
    <w:tmpl w:val="2E6E93C2"/>
    <w:lvl w:ilvl="0" w:tplc="C56A2708">
      <w:start w:val="1"/>
      <w:numFmt w:val="bullet"/>
      <w:lvlText w:val=""/>
      <w:lvlJc w:val="left"/>
      <w:pPr>
        <w:ind w:left="360" w:hanging="360"/>
      </w:pPr>
      <w:rPr>
        <w:rFonts w:ascii="Symbol" w:hAnsi="Symbol" w:hint="default"/>
      </w:rPr>
    </w:lvl>
    <w:lvl w:ilvl="1" w:tplc="4456E8DC"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566D5FEF"/>
    <w:multiLevelType w:val="hybridMultilevel"/>
    <w:tmpl w:val="47D62D32"/>
    <w:lvl w:ilvl="0" w:tplc="04090001">
      <w:start w:val="1"/>
      <w:numFmt w:val="decimal"/>
      <w:lvlText w:val="%1."/>
      <w:lvlJc w:val="left"/>
      <w:pPr>
        <w:tabs>
          <w:tab w:val="num" w:pos="360"/>
        </w:tabs>
        <w:ind w:left="36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4">
    <w:nsid w:val="59485A73"/>
    <w:multiLevelType w:val="hybridMultilevel"/>
    <w:tmpl w:val="4F0871AE"/>
    <w:lvl w:ilvl="0" w:tplc="2D1AAD2A">
      <w:start w:val="1"/>
      <w:numFmt w:val="lowerRoman"/>
      <w:pStyle w:val="ListParagraph"/>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2210AC"/>
    <w:multiLevelType w:val="hybridMultilevel"/>
    <w:tmpl w:val="3EEEAC4A"/>
    <w:lvl w:ilvl="0" w:tplc="0B96CFD0">
      <w:start w:val="1"/>
      <w:numFmt w:val="upperLetter"/>
      <w:lvlText w:val="%1."/>
      <w:lvlJc w:val="left"/>
      <w:pPr>
        <w:tabs>
          <w:tab w:val="num" w:pos="648"/>
        </w:tabs>
        <w:ind w:left="648" w:hanging="360"/>
      </w:pPr>
      <w:rPr>
        <w:rFonts w:hint="default"/>
      </w:rPr>
    </w:lvl>
    <w:lvl w:ilvl="1" w:tplc="04090003">
      <w:start w:val="1"/>
      <w:numFmt w:val="lowerLetter"/>
      <w:lvlText w:val="%2)"/>
      <w:lvlJc w:val="left"/>
      <w:pPr>
        <w:tabs>
          <w:tab w:val="num" w:pos="1440"/>
        </w:tabs>
        <w:ind w:left="1440" w:hanging="360"/>
      </w:pPr>
      <w:rPr>
        <w:rFonts w:hint="default"/>
      </w:rPr>
    </w:lvl>
    <w:lvl w:ilvl="2" w:tplc="04090005">
      <w:start w:val="1"/>
      <w:numFmt w:val="lowerLetter"/>
      <w:lvlText w:val="%3)"/>
      <w:lvlJc w:val="left"/>
      <w:pPr>
        <w:tabs>
          <w:tab w:val="num" w:pos="2340"/>
        </w:tabs>
        <w:ind w:left="2340" w:hanging="360"/>
      </w:pPr>
      <w:rPr>
        <w:rFonts w:hint="default"/>
      </w:rPr>
    </w:lvl>
    <w:lvl w:ilvl="3" w:tplc="04090001">
      <w:start w:val="1"/>
      <w:numFmt w:val="lowerLetter"/>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6">
    <w:nsid w:val="5FE63EC7"/>
    <w:multiLevelType w:val="multilevel"/>
    <w:tmpl w:val="5A82B53E"/>
    <w:lvl w:ilvl="0">
      <w:start w:val="1"/>
      <w:numFmt w:val="decimal"/>
      <w:lvlText w:val="%1"/>
      <w:lvlJc w:val="left"/>
      <w:pPr>
        <w:tabs>
          <w:tab w:val="num" w:pos="432"/>
        </w:tabs>
        <w:ind w:left="432" w:hanging="432"/>
      </w:pPr>
    </w:lvl>
    <w:lvl w:ilvl="1">
      <w:start w:val="1"/>
      <w:numFmt w:val="upperLetter"/>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1FA1051"/>
    <w:multiLevelType w:val="hybridMultilevel"/>
    <w:tmpl w:val="54D4CE28"/>
    <w:lvl w:ilvl="0" w:tplc="0409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nsid w:val="640438B9"/>
    <w:multiLevelType w:val="hybridMultilevel"/>
    <w:tmpl w:val="BC48B08C"/>
    <w:lvl w:ilvl="0" w:tplc="FFFFFFFF">
      <w:start w:val="1"/>
      <w:numFmt w:val="lowerLetter"/>
      <w:lvlText w:val="%1)"/>
      <w:lvlJc w:val="left"/>
      <w:pPr>
        <w:tabs>
          <w:tab w:val="num" w:pos="648"/>
        </w:tabs>
        <w:ind w:left="648" w:hanging="360"/>
      </w:pPr>
      <w:rPr>
        <w:rFonts w:hint="default"/>
      </w:rPr>
    </w:lvl>
    <w:lvl w:ilvl="1" w:tplc="FFFFFFFF">
      <w:start w:val="1"/>
      <w:numFmt w:val="lowerLetter"/>
      <w:lvlText w:val="%2."/>
      <w:lvlJc w:val="left"/>
      <w:pPr>
        <w:tabs>
          <w:tab w:val="num" w:pos="-252"/>
        </w:tabs>
        <w:ind w:left="-252" w:hanging="360"/>
      </w:pPr>
    </w:lvl>
    <w:lvl w:ilvl="2" w:tplc="FFFFFFFF">
      <w:start w:val="1"/>
      <w:numFmt w:val="lowerRoman"/>
      <w:lvlText w:val="%3."/>
      <w:lvlJc w:val="right"/>
      <w:pPr>
        <w:tabs>
          <w:tab w:val="num" w:pos="468"/>
        </w:tabs>
        <w:ind w:left="468" w:hanging="180"/>
      </w:pPr>
    </w:lvl>
    <w:lvl w:ilvl="3" w:tplc="FFFFFFFF">
      <w:start w:val="1"/>
      <w:numFmt w:val="decimal"/>
      <w:lvlText w:val="%4."/>
      <w:lvlJc w:val="left"/>
      <w:pPr>
        <w:tabs>
          <w:tab w:val="num" w:pos="1188"/>
        </w:tabs>
        <w:ind w:left="1188" w:hanging="360"/>
      </w:pPr>
    </w:lvl>
    <w:lvl w:ilvl="4" w:tplc="FFFFFFFF">
      <w:start w:val="1"/>
      <w:numFmt w:val="lowerLetter"/>
      <w:lvlText w:val="%5."/>
      <w:lvlJc w:val="left"/>
      <w:pPr>
        <w:tabs>
          <w:tab w:val="num" w:pos="1908"/>
        </w:tabs>
        <w:ind w:left="1908" w:hanging="360"/>
      </w:pPr>
    </w:lvl>
    <w:lvl w:ilvl="5" w:tplc="FFFFFFFF">
      <w:start w:val="1"/>
      <w:numFmt w:val="lowerRoman"/>
      <w:lvlText w:val="%6."/>
      <w:lvlJc w:val="right"/>
      <w:pPr>
        <w:tabs>
          <w:tab w:val="num" w:pos="2628"/>
        </w:tabs>
        <w:ind w:left="2628" w:hanging="180"/>
      </w:pPr>
    </w:lvl>
    <w:lvl w:ilvl="6" w:tplc="FFFFFFFF">
      <w:start w:val="1"/>
      <w:numFmt w:val="decimal"/>
      <w:lvlText w:val="%7."/>
      <w:lvlJc w:val="left"/>
      <w:pPr>
        <w:tabs>
          <w:tab w:val="num" w:pos="3348"/>
        </w:tabs>
        <w:ind w:left="3348" w:hanging="360"/>
      </w:pPr>
    </w:lvl>
    <w:lvl w:ilvl="7" w:tplc="FFFFFFFF">
      <w:start w:val="1"/>
      <w:numFmt w:val="lowerLetter"/>
      <w:lvlText w:val="%8."/>
      <w:lvlJc w:val="left"/>
      <w:pPr>
        <w:tabs>
          <w:tab w:val="num" w:pos="4068"/>
        </w:tabs>
        <w:ind w:left="4068" w:hanging="360"/>
      </w:pPr>
    </w:lvl>
    <w:lvl w:ilvl="8" w:tplc="FFFFFFFF">
      <w:start w:val="1"/>
      <w:numFmt w:val="lowerRoman"/>
      <w:lvlText w:val="%9."/>
      <w:lvlJc w:val="right"/>
      <w:pPr>
        <w:tabs>
          <w:tab w:val="num" w:pos="4788"/>
        </w:tabs>
        <w:ind w:left="4788" w:hanging="180"/>
      </w:pPr>
    </w:lvl>
  </w:abstractNum>
  <w:abstractNum w:abstractNumId="29">
    <w:nsid w:val="694C44D6"/>
    <w:multiLevelType w:val="multilevel"/>
    <w:tmpl w:val="EFECE8A6"/>
    <w:lvl w:ilvl="0">
      <w:start w:val="1"/>
      <w:numFmt w:val="lowerLetter"/>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6D2D1F40"/>
    <w:multiLevelType w:val="multilevel"/>
    <w:tmpl w:val="3EF6C94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w:eastAsia="Times New Roman" w:hAnsi="Times" w:cs="Times"/>
      </w:rPr>
    </w:lvl>
    <w:lvl w:ilvl="2">
      <w:start w:val="1"/>
      <w:numFmt w:val="lowerRoman"/>
      <w:lvlText w:val="(%3) "/>
      <w:lvlJc w:val="left"/>
      <w:pPr>
        <w:tabs>
          <w:tab w:val="num" w:pos="720"/>
        </w:tabs>
        <w:ind w:left="720" w:hanging="720"/>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DB33CB2"/>
    <w:multiLevelType w:val="multilevel"/>
    <w:tmpl w:val="008E8D9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w:eastAsia="Times New Roman" w:hAnsi="Times" w:cs="Times" w:hint="default"/>
      </w:rPr>
    </w:lvl>
    <w:lvl w:ilvl="2">
      <w:start w:val="1"/>
      <w:numFmt w:val="lowerRoman"/>
      <w:lvlText w:val="(%3) "/>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55B7D6C"/>
    <w:multiLevelType w:val="hybridMultilevel"/>
    <w:tmpl w:val="EA68165E"/>
    <w:lvl w:ilvl="0" w:tplc="0B96CFD0">
      <w:start w:val="1"/>
      <w:numFmt w:val="bullet"/>
      <w:lvlText w:val=""/>
      <w:lvlJc w:val="left"/>
      <w:pPr>
        <w:ind w:left="720" w:hanging="360"/>
      </w:pPr>
      <w:rPr>
        <w:rFonts w:ascii="Symbol" w:hAnsi="Symbol" w:hint="default"/>
        <w:b w:val="0"/>
        <w:i w:val="0"/>
        <w:sz w:val="24"/>
        <w:szCs w:val="24"/>
      </w:rPr>
    </w:lvl>
    <w:lvl w:ilvl="1" w:tplc="C23ACD80"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D5135"/>
    <w:multiLevelType w:val="hybridMultilevel"/>
    <w:tmpl w:val="6646EF4C"/>
    <w:lvl w:ilvl="0" w:tplc="04090005">
      <w:start w:val="1"/>
      <w:numFmt w:val="lowerLetter"/>
      <w:lvlText w:val="%1)"/>
      <w:lvlJc w:val="left"/>
      <w:pPr>
        <w:tabs>
          <w:tab w:val="num" w:pos="2340"/>
        </w:tabs>
        <w:ind w:left="23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799B7975"/>
    <w:multiLevelType w:val="multilevel"/>
    <w:tmpl w:val="95FC68C4"/>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7D975771"/>
    <w:multiLevelType w:val="multilevel"/>
    <w:tmpl w:val="A18E3022"/>
    <w:lvl w:ilvl="0">
      <w:start w:val="1"/>
      <w:numFmt w:val="upperRoman"/>
      <w:lvlText w:val="%1"/>
      <w:lvlJc w:val="center"/>
      <w:pPr>
        <w:tabs>
          <w:tab w:val="num" w:pos="432"/>
        </w:tabs>
        <w:ind w:left="432" w:hanging="144"/>
      </w:pPr>
      <w:rPr>
        <w:rFonts w:hint="default"/>
      </w:rPr>
    </w:lvl>
    <w:lvl w:ilvl="1">
      <w:start w:val="1"/>
      <w:numFmt w:val="upperLetter"/>
      <w:lvlText w:val="%2"/>
      <w:lvlJc w:val="left"/>
      <w:pPr>
        <w:tabs>
          <w:tab w:val="num" w:pos="576"/>
        </w:tabs>
        <w:ind w:left="576" w:hanging="576"/>
      </w:pPr>
      <w:rPr>
        <w:rFonts w:ascii="Times" w:eastAsia="Times New Roman" w:hAnsi="Times" w:cs="Times" w:hint="default"/>
      </w:rPr>
    </w:lvl>
    <w:lvl w:ilvl="2">
      <w:start w:val="1"/>
      <w:numFmt w:val="lowerRoman"/>
      <w:lvlText w:val="(%3) "/>
      <w:lvlJc w:val="left"/>
      <w:pPr>
        <w:tabs>
          <w:tab w:val="num" w:pos="720"/>
        </w:tabs>
        <w:ind w:left="720" w:hanging="43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8"/>
  </w:num>
  <w:num w:numId="3">
    <w:abstractNumId w:val="19"/>
  </w:num>
  <w:num w:numId="4">
    <w:abstractNumId w:val="4"/>
  </w:num>
  <w:num w:numId="5">
    <w:abstractNumId w:val="0"/>
  </w:num>
  <w:num w:numId="6">
    <w:abstractNumId w:val="22"/>
  </w:num>
  <w:num w:numId="7">
    <w:abstractNumId w:val="32"/>
  </w:num>
  <w:num w:numId="8">
    <w:abstractNumId w:val="26"/>
  </w:num>
  <w:num w:numId="9">
    <w:abstractNumId w:val="25"/>
  </w:num>
  <w:num w:numId="10">
    <w:abstractNumId w:val="23"/>
  </w:num>
  <w:num w:numId="11">
    <w:abstractNumId w:val="28"/>
  </w:num>
  <w:num w:numId="12">
    <w:abstractNumId w:val="1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4"/>
  </w:num>
  <w:num w:numId="17">
    <w:abstractNumId w:val="30"/>
  </w:num>
  <w:num w:numId="18">
    <w:abstractNumId w:val="11"/>
  </w:num>
  <w:num w:numId="19">
    <w:abstractNumId w:val="10"/>
  </w:num>
  <w:num w:numId="20">
    <w:abstractNumId w:val="11"/>
  </w:num>
  <w:num w:numId="21">
    <w:abstractNumId w:val="31"/>
  </w:num>
  <w:num w:numId="22">
    <w:abstractNumId w:val="2"/>
  </w:num>
  <w:num w:numId="23">
    <w:abstractNumId w:val="14"/>
  </w:num>
  <w:num w:numId="24">
    <w:abstractNumId w:val="3"/>
  </w:num>
  <w:num w:numId="25">
    <w:abstractNumId w:val="20"/>
  </w:num>
  <w:num w:numId="26">
    <w:abstractNumId w:val="7"/>
  </w:num>
  <w:num w:numId="27">
    <w:abstractNumId w:val="15"/>
  </w:num>
  <w:num w:numId="28">
    <w:abstractNumId w:val="1"/>
  </w:num>
  <w:num w:numId="29">
    <w:abstractNumId w:val="6"/>
  </w:num>
  <w:num w:numId="30">
    <w:abstractNumId w:val="5"/>
  </w:num>
  <w:num w:numId="31">
    <w:abstractNumId w:val="17"/>
  </w:num>
  <w:num w:numId="32">
    <w:abstractNumId w:val="35"/>
  </w:num>
  <w:num w:numId="33">
    <w:abstractNumId w:val="18"/>
  </w:num>
  <w:num w:numId="34">
    <w:abstractNumId w:val="13"/>
  </w:num>
  <w:num w:numId="35">
    <w:abstractNumId w:val="27"/>
  </w:num>
  <w:num w:numId="36">
    <w:abstractNumId w:val="21"/>
  </w:num>
  <w:num w:numId="37">
    <w:abstractNumId w:val="29"/>
  </w:num>
  <w:num w:numId="38">
    <w:abstractNumId w:val="24"/>
  </w:num>
  <w:num w:numId="39">
    <w:abstractNumId w:val="12"/>
  </w:num>
  <w:num w:numId="40">
    <w:abstractNumId w:val="24"/>
    <w:lvlOverride w:ilvl="0">
      <w:startOverride w:val="1"/>
    </w:lvlOverride>
  </w:num>
  <w:num w:numId="41">
    <w:abstractNumId w:val="4"/>
  </w:num>
  <w:num w:numId="42">
    <w:abstractNumId w:val="4"/>
  </w:num>
  <w:num w:numId="43">
    <w:abstractNumId w:val="9"/>
  </w:num>
  <w:num w:numId="44">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ia Alvarez Domec">
    <w15:presenceInfo w15:providerId="None" w15:userId="Patricia Alvarez Dom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E5"/>
    <w:rsid w:val="00014165"/>
    <w:rsid w:val="00037AC0"/>
    <w:rsid w:val="00054864"/>
    <w:rsid w:val="000977A8"/>
    <w:rsid w:val="000B7A0F"/>
    <w:rsid w:val="000D547D"/>
    <w:rsid w:val="0014491C"/>
    <w:rsid w:val="00145FE5"/>
    <w:rsid w:val="00151CA2"/>
    <w:rsid w:val="00161069"/>
    <w:rsid w:val="00164AC7"/>
    <w:rsid w:val="001847F5"/>
    <w:rsid w:val="00186C3C"/>
    <w:rsid w:val="001C1CB3"/>
    <w:rsid w:val="001D2F91"/>
    <w:rsid w:val="001D50BB"/>
    <w:rsid w:val="001E611D"/>
    <w:rsid w:val="001F1E56"/>
    <w:rsid w:val="00234D6D"/>
    <w:rsid w:val="00246F9B"/>
    <w:rsid w:val="00292E84"/>
    <w:rsid w:val="002B5BDC"/>
    <w:rsid w:val="002C3255"/>
    <w:rsid w:val="002D0378"/>
    <w:rsid w:val="002E6810"/>
    <w:rsid w:val="002F613E"/>
    <w:rsid w:val="003028FA"/>
    <w:rsid w:val="003031FD"/>
    <w:rsid w:val="0030598C"/>
    <w:rsid w:val="003376E4"/>
    <w:rsid w:val="00342546"/>
    <w:rsid w:val="003B6EF4"/>
    <w:rsid w:val="003B779F"/>
    <w:rsid w:val="003E63A0"/>
    <w:rsid w:val="0041558B"/>
    <w:rsid w:val="004162AE"/>
    <w:rsid w:val="00447F49"/>
    <w:rsid w:val="00462E14"/>
    <w:rsid w:val="00493F88"/>
    <w:rsid w:val="004C191A"/>
    <w:rsid w:val="004C1D20"/>
    <w:rsid w:val="004C2F7D"/>
    <w:rsid w:val="004D3D28"/>
    <w:rsid w:val="004D7829"/>
    <w:rsid w:val="004E6154"/>
    <w:rsid w:val="0051312E"/>
    <w:rsid w:val="00535FFA"/>
    <w:rsid w:val="00546D1E"/>
    <w:rsid w:val="00554525"/>
    <w:rsid w:val="00577731"/>
    <w:rsid w:val="00582099"/>
    <w:rsid w:val="00585FBA"/>
    <w:rsid w:val="005B2A0F"/>
    <w:rsid w:val="005E03D4"/>
    <w:rsid w:val="00651E28"/>
    <w:rsid w:val="00652B31"/>
    <w:rsid w:val="006570F7"/>
    <w:rsid w:val="00690ABD"/>
    <w:rsid w:val="006A0E15"/>
    <w:rsid w:val="006B0C18"/>
    <w:rsid w:val="006C49DC"/>
    <w:rsid w:val="006F161A"/>
    <w:rsid w:val="00732BDE"/>
    <w:rsid w:val="007423BD"/>
    <w:rsid w:val="00751290"/>
    <w:rsid w:val="00775943"/>
    <w:rsid w:val="00794CB2"/>
    <w:rsid w:val="007B2A80"/>
    <w:rsid w:val="007D5E18"/>
    <w:rsid w:val="007F110F"/>
    <w:rsid w:val="007F3847"/>
    <w:rsid w:val="008359EA"/>
    <w:rsid w:val="00843C90"/>
    <w:rsid w:val="00853AAB"/>
    <w:rsid w:val="00857B0B"/>
    <w:rsid w:val="00872A3D"/>
    <w:rsid w:val="00872F2E"/>
    <w:rsid w:val="00891698"/>
    <w:rsid w:val="00911BA4"/>
    <w:rsid w:val="0091360A"/>
    <w:rsid w:val="009424DD"/>
    <w:rsid w:val="009657E7"/>
    <w:rsid w:val="009801E5"/>
    <w:rsid w:val="00981691"/>
    <w:rsid w:val="00987491"/>
    <w:rsid w:val="009A7C6C"/>
    <w:rsid w:val="009C3010"/>
    <w:rsid w:val="009D4B89"/>
    <w:rsid w:val="009F52A4"/>
    <w:rsid w:val="00A069BD"/>
    <w:rsid w:val="00A14299"/>
    <w:rsid w:val="00A30A02"/>
    <w:rsid w:val="00A37D39"/>
    <w:rsid w:val="00A83DF4"/>
    <w:rsid w:val="00AB2BBC"/>
    <w:rsid w:val="00AB501A"/>
    <w:rsid w:val="00B0532C"/>
    <w:rsid w:val="00B071CF"/>
    <w:rsid w:val="00B228E1"/>
    <w:rsid w:val="00B36E21"/>
    <w:rsid w:val="00B40810"/>
    <w:rsid w:val="00B46232"/>
    <w:rsid w:val="00B47A4B"/>
    <w:rsid w:val="00B53063"/>
    <w:rsid w:val="00B7600E"/>
    <w:rsid w:val="00BA3FCD"/>
    <w:rsid w:val="00BE1150"/>
    <w:rsid w:val="00BE5E18"/>
    <w:rsid w:val="00C20AE9"/>
    <w:rsid w:val="00C240BA"/>
    <w:rsid w:val="00C467FF"/>
    <w:rsid w:val="00C52069"/>
    <w:rsid w:val="00C816F2"/>
    <w:rsid w:val="00C94DA8"/>
    <w:rsid w:val="00CA2027"/>
    <w:rsid w:val="00CB6746"/>
    <w:rsid w:val="00CD6AE6"/>
    <w:rsid w:val="00D4226A"/>
    <w:rsid w:val="00D62774"/>
    <w:rsid w:val="00D62AD6"/>
    <w:rsid w:val="00D90A01"/>
    <w:rsid w:val="00DD4CCB"/>
    <w:rsid w:val="00DF6A6A"/>
    <w:rsid w:val="00E10C69"/>
    <w:rsid w:val="00E11BCE"/>
    <w:rsid w:val="00E37D89"/>
    <w:rsid w:val="00E44A87"/>
    <w:rsid w:val="00E5759A"/>
    <w:rsid w:val="00E934EB"/>
    <w:rsid w:val="00EB1776"/>
    <w:rsid w:val="00EF6681"/>
    <w:rsid w:val="00F25A66"/>
    <w:rsid w:val="00F25E49"/>
    <w:rsid w:val="00F41A2D"/>
    <w:rsid w:val="00FA1724"/>
    <w:rsid w:val="00FA29C4"/>
    <w:rsid w:val="00FA2A3F"/>
    <w:rsid w:val="00FC3D18"/>
    <w:rsid w:val="00FE533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locked="1" w:uiPriority="0" w:qFormat="1"/>
    <w:lsdException w:name="footnote reference"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1A"/>
    <w:pPr>
      <w:spacing w:after="120"/>
      <w:jc w:val="both"/>
    </w:pPr>
    <w:rPr>
      <w:rFonts w:ascii="Arial" w:hAnsi="Arial" w:cs="Times"/>
      <w:szCs w:val="22"/>
      <w:lang w:val="es-ES_tradnl" w:eastAsia="en-US"/>
    </w:rPr>
  </w:style>
  <w:style w:type="paragraph" w:styleId="Heading1">
    <w:name w:val="heading 1"/>
    <w:aliases w:val="Heading 1.I"/>
    <w:basedOn w:val="Normal"/>
    <w:next w:val="Normal"/>
    <w:link w:val="Heading1Char"/>
    <w:autoRedefine/>
    <w:qFormat/>
    <w:rsid w:val="00872A3D"/>
    <w:pPr>
      <w:keepNext/>
      <w:numPr>
        <w:numId w:val="1"/>
      </w:numPr>
      <w:spacing w:before="240" w:after="240"/>
      <w:jc w:val="center"/>
      <w:outlineLvl w:val="0"/>
    </w:pPr>
    <w:rPr>
      <w:rFonts w:cs="Times New Roman"/>
      <w:b/>
      <w:bCs/>
      <w:caps/>
      <w:sz w:val="24"/>
      <w:szCs w:val="24"/>
      <w:lang w:val="es-ES" w:eastAsia="es-AR"/>
    </w:rPr>
  </w:style>
  <w:style w:type="paragraph" w:styleId="Heading2">
    <w:name w:val="heading 2"/>
    <w:basedOn w:val="Normal"/>
    <w:next w:val="Normal"/>
    <w:link w:val="Heading2Char"/>
    <w:autoRedefine/>
    <w:qFormat/>
    <w:rsid w:val="00651E28"/>
    <w:pPr>
      <w:keepNext/>
      <w:numPr>
        <w:ilvl w:val="1"/>
        <w:numId w:val="4"/>
      </w:numPr>
      <w:spacing w:before="240" w:after="240"/>
      <w:outlineLvl w:val="1"/>
    </w:pPr>
    <w:rPr>
      <w:rFonts w:cs="Times New Roman"/>
      <w:b/>
      <w:bCs/>
      <w:sz w:val="22"/>
      <w:lang w:val="es-UY" w:eastAsia="es-AR"/>
    </w:rPr>
  </w:style>
  <w:style w:type="paragraph" w:styleId="Heading3">
    <w:name w:val="heading 3"/>
    <w:basedOn w:val="Normal"/>
    <w:next w:val="Normal"/>
    <w:link w:val="Heading3Char"/>
    <w:autoRedefine/>
    <w:qFormat/>
    <w:rsid w:val="00A83DF4"/>
    <w:pPr>
      <w:keepNext/>
      <w:numPr>
        <w:ilvl w:val="2"/>
        <w:numId w:val="23"/>
      </w:numPr>
      <w:spacing w:before="240" w:after="240"/>
      <w:ind w:left="907" w:hanging="547"/>
      <w:outlineLvl w:val="2"/>
    </w:pPr>
    <w:rPr>
      <w:b/>
    </w:rPr>
  </w:style>
  <w:style w:type="paragraph" w:styleId="Heading4">
    <w:name w:val="heading 4"/>
    <w:aliases w:val="Heading 4.a"/>
    <w:basedOn w:val="Normal"/>
    <w:next w:val="Normal"/>
    <w:link w:val="Heading4Char"/>
    <w:qFormat/>
    <w:rsid w:val="006570F7"/>
    <w:pPr>
      <w:keepNext/>
      <w:spacing w:before="240" w:after="240"/>
      <w:jc w:val="left"/>
      <w:outlineLvl w:val="3"/>
    </w:pPr>
    <w:rPr>
      <w:rFonts w:cs="Arial"/>
      <w:b/>
      <w:szCs w:val="20"/>
      <w:lang w:val="es-ES" w:eastAsia="es-AR"/>
    </w:rPr>
  </w:style>
  <w:style w:type="paragraph" w:styleId="Heading5">
    <w:name w:val="heading 5"/>
    <w:aliases w:val="Heading 5.(i)"/>
    <w:basedOn w:val="Heading8"/>
    <w:next w:val="Normal"/>
    <w:link w:val="Heading5Char"/>
    <w:qFormat/>
    <w:rsid w:val="006570F7"/>
    <w:pPr>
      <w:spacing w:before="240"/>
      <w:ind w:left="990"/>
      <w:outlineLvl w:val="4"/>
    </w:pPr>
    <w:rPr>
      <w:rFonts w:ascii="Arial" w:hAnsi="Arial" w:cs="Arial"/>
      <w:b/>
      <w:bCs/>
      <w:sz w:val="20"/>
      <w:szCs w:val="20"/>
    </w:rPr>
  </w:style>
  <w:style w:type="paragraph" w:styleId="Heading6">
    <w:name w:val="heading 6"/>
    <w:basedOn w:val="Normal"/>
    <w:next w:val="Normal"/>
    <w:link w:val="Heading6Char"/>
    <w:qFormat/>
    <w:rsid w:val="002E6810"/>
    <w:pPr>
      <w:keepNext/>
      <w:numPr>
        <w:ilvl w:val="5"/>
        <w:numId w:val="23"/>
      </w:numPr>
      <w:outlineLvl w:val="5"/>
    </w:pPr>
    <w:rPr>
      <w:szCs w:val="20"/>
      <w:u w:val="single"/>
      <w:lang w:val="es-ES" w:eastAsia="es-AR"/>
    </w:rPr>
  </w:style>
  <w:style w:type="paragraph" w:styleId="Heading7">
    <w:name w:val="heading 7"/>
    <w:basedOn w:val="Normal"/>
    <w:next w:val="Normal"/>
    <w:link w:val="Heading7Char"/>
    <w:qFormat/>
    <w:rsid w:val="002E6810"/>
    <w:pPr>
      <w:keepNext/>
      <w:numPr>
        <w:ilvl w:val="6"/>
        <w:numId w:val="23"/>
      </w:numPr>
      <w:outlineLvl w:val="6"/>
    </w:pPr>
    <w:rPr>
      <w:szCs w:val="20"/>
      <w:u w:val="single"/>
      <w:lang w:eastAsia="es-AR"/>
    </w:rPr>
  </w:style>
  <w:style w:type="paragraph" w:styleId="Heading8">
    <w:name w:val="heading 8"/>
    <w:basedOn w:val="Normal"/>
    <w:next w:val="Normal"/>
    <w:link w:val="Heading8Char"/>
    <w:qFormat/>
    <w:rsid w:val="002E6810"/>
    <w:pPr>
      <w:keepNext/>
      <w:numPr>
        <w:ilvl w:val="7"/>
        <w:numId w:val="23"/>
      </w:numPr>
      <w:tabs>
        <w:tab w:val="left" w:pos="709"/>
      </w:tabs>
      <w:outlineLvl w:val="7"/>
    </w:pPr>
    <w:rPr>
      <w:rFonts w:ascii="Calibri" w:hAnsi="Calibri" w:cs="Times New Roman"/>
      <w:i/>
      <w:iCs/>
      <w:sz w:val="24"/>
      <w:szCs w:val="24"/>
      <w:lang w:eastAsia="es-AR"/>
    </w:rPr>
  </w:style>
  <w:style w:type="paragraph" w:styleId="Heading9">
    <w:name w:val="heading 9"/>
    <w:basedOn w:val="Normal"/>
    <w:next w:val="Normal"/>
    <w:link w:val="Heading9Char"/>
    <w:qFormat/>
    <w:rsid w:val="002E6810"/>
    <w:pPr>
      <w:keepNext/>
      <w:numPr>
        <w:ilvl w:val="8"/>
        <w:numId w:val="23"/>
      </w:numPr>
      <w:outlineLvl w:val="8"/>
    </w:pPr>
    <w:rPr>
      <w:szCs w:val="20"/>
      <w:u w:val="single"/>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
    <w:basedOn w:val="DefaultParagraphFont"/>
    <w:link w:val="Heading1"/>
    <w:rsid w:val="00872A3D"/>
    <w:rPr>
      <w:rFonts w:ascii="Arial" w:hAnsi="Arial"/>
      <w:b/>
      <w:bCs/>
      <w:caps/>
      <w:sz w:val="24"/>
      <w:szCs w:val="24"/>
      <w:lang w:val="es-ES" w:eastAsia="es-AR"/>
    </w:rPr>
  </w:style>
  <w:style w:type="character" w:customStyle="1" w:styleId="Heading2Char">
    <w:name w:val="Heading 2 Char"/>
    <w:basedOn w:val="DefaultParagraphFont"/>
    <w:link w:val="Heading2"/>
    <w:rsid w:val="00651E28"/>
    <w:rPr>
      <w:rFonts w:ascii="Arial" w:hAnsi="Arial"/>
      <w:b/>
      <w:bCs/>
      <w:sz w:val="22"/>
      <w:szCs w:val="22"/>
      <w:lang w:eastAsia="es-AR"/>
    </w:rPr>
  </w:style>
  <w:style w:type="character" w:customStyle="1" w:styleId="Heading3Char">
    <w:name w:val="Heading 3 Char"/>
    <w:basedOn w:val="DefaultParagraphFont"/>
    <w:link w:val="Heading3"/>
    <w:rsid w:val="00A83DF4"/>
    <w:rPr>
      <w:rFonts w:ascii="Arial" w:hAnsi="Arial" w:cs="Times"/>
      <w:b/>
      <w:szCs w:val="22"/>
      <w:lang w:val="es-ES_tradnl" w:eastAsia="en-US"/>
    </w:rPr>
  </w:style>
  <w:style w:type="character" w:customStyle="1" w:styleId="Heading4Char">
    <w:name w:val="Heading 4 Char"/>
    <w:aliases w:val="Heading 4.a Char"/>
    <w:basedOn w:val="DefaultParagraphFont"/>
    <w:link w:val="Heading4"/>
    <w:rsid w:val="006570F7"/>
    <w:rPr>
      <w:rFonts w:ascii="Arial" w:hAnsi="Arial" w:cs="Arial"/>
      <w:b/>
      <w:lang w:val="es-ES" w:eastAsia="es-AR"/>
    </w:rPr>
  </w:style>
  <w:style w:type="character" w:customStyle="1" w:styleId="Heading5Char">
    <w:name w:val="Heading 5 Char"/>
    <w:aliases w:val="Heading 5.(i) Char"/>
    <w:basedOn w:val="DefaultParagraphFont"/>
    <w:link w:val="Heading5"/>
    <w:rsid w:val="006570F7"/>
    <w:rPr>
      <w:rFonts w:ascii="Arial" w:hAnsi="Arial" w:cs="Arial"/>
      <w:b/>
      <w:bCs/>
      <w:i/>
      <w:iCs/>
      <w:lang w:val="es-ES_tradnl" w:eastAsia="es-AR"/>
    </w:rPr>
  </w:style>
  <w:style w:type="character" w:customStyle="1" w:styleId="Heading6Char">
    <w:name w:val="Heading 6 Char"/>
    <w:basedOn w:val="DefaultParagraphFont"/>
    <w:link w:val="Heading6"/>
    <w:uiPriority w:val="99"/>
    <w:rsid w:val="002E6810"/>
    <w:rPr>
      <w:rFonts w:ascii="Times" w:hAnsi="Times" w:cs="Times"/>
      <w:u w:val="single"/>
      <w:lang w:val="es-ES"/>
    </w:rPr>
  </w:style>
  <w:style w:type="character" w:customStyle="1" w:styleId="Heading7Char">
    <w:name w:val="Heading 7 Char"/>
    <w:basedOn w:val="DefaultParagraphFont"/>
    <w:link w:val="Heading7"/>
    <w:uiPriority w:val="99"/>
    <w:rsid w:val="002E6810"/>
    <w:rPr>
      <w:rFonts w:ascii="Times" w:hAnsi="Times" w:cs="Times"/>
      <w:u w:val="single"/>
      <w:lang w:val="es-ES_tradnl"/>
    </w:rPr>
  </w:style>
  <w:style w:type="character" w:customStyle="1" w:styleId="Heading8Char">
    <w:name w:val="Heading 8 Char"/>
    <w:basedOn w:val="DefaultParagraphFont"/>
    <w:link w:val="Heading8"/>
    <w:uiPriority w:val="9"/>
    <w:rsid w:val="002E6810"/>
    <w:rPr>
      <w:rFonts w:ascii="Calibri" w:eastAsia="Times New Roman" w:hAnsi="Calibri" w:cs="Times New Roman"/>
      <w:i/>
      <w:iCs/>
      <w:sz w:val="24"/>
      <w:szCs w:val="24"/>
      <w:lang w:val="es-ES_tradnl"/>
    </w:rPr>
  </w:style>
  <w:style w:type="character" w:customStyle="1" w:styleId="Heading9Char">
    <w:name w:val="Heading 9 Char"/>
    <w:basedOn w:val="DefaultParagraphFont"/>
    <w:link w:val="Heading9"/>
    <w:uiPriority w:val="99"/>
    <w:rsid w:val="002E6810"/>
    <w:rPr>
      <w:rFonts w:ascii="Times" w:hAnsi="Times" w:cs="Times"/>
      <w:u w:val="single"/>
      <w:lang w:val="es-ES_tradnl"/>
    </w:rPr>
  </w:style>
  <w:style w:type="paragraph" w:styleId="Title">
    <w:name w:val="Title"/>
    <w:basedOn w:val="Normal"/>
    <w:link w:val="TitleChar"/>
    <w:uiPriority w:val="99"/>
    <w:qFormat/>
    <w:rsid w:val="002E6810"/>
    <w:pPr>
      <w:jc w:val="center"/>
    </w:pPr>
    <w:rPr>
      <w:rFonts w:ascii="Cambria" w:hAnsi="Cambria" w:cs="Times New Roman"/>
      <w:b/>
      <w:bCs/>
      <w:kern w:val="28"/>
      <w:sz w:val="32"/>
      <w:szCs w:val="32"/>
      <w:lang w:eastAsia="es-AR"/>
    </w:rPr>
  </w:style>
  <w:style w:type="character" w:customStyle="1" w:styleId="TitleChar">
    <w:name w:val="Title Char"/>
    <w:basedOn w:val="DefaultParagraphFont"/>
    <w:link w:val="Title"/>
    <w:uiPriority w:val="10"/>
    <w:rsid w:val="002E6810"/>
    <w:rPr>
      <w:rFonts w:ascii="Cambria" w:eastAsia="Times New Roman" w:hAnsi="Cambria" w:cs="Times New Roman"/>
      <w:b/>
      <w:bCs/>
      <w:kern w:val="28"/>
      <w:sz w:val="32"/>
      <w:szCs w:val="32"/>
      <w:lang w:val="es-ES_tradnl"/>
    </w:rPr>
  </w:style>
  <w:style w:type="paragraph" w:styleId="Subtitle">
    <w:name w:val="Subtitle"/>
    <w:basedOn w:val="Normal"/>
    <w:link w:val="SubtitleChar"/>
    <w:uiPriority w:val="11"/>
    <w:qFormat/>
    <w:rsid w:val="002E6810"/>
    <w:pPr>
      <w:spacing w:before="120"/>
      <w:jc w:val="center"/>
    </w:pPr>
    <w:rPr>
      <w:rFonts w:ascii="Cambria" w:hAnsi="Cambria" w:cs="Times New Roman"/>
      <w:sz w:val="24"/>
      <w:szCs w:val="24"/>
      <w:lang w:eastAsia="es-AR"/>
    </w:rPr>
  </w:style>
  <w:style w:type="character" w:customStyle="1" w:styleId="SubtitleChar">
    <w:name w:val="Subtitle Char"/>
    <w:basedOn w:val="DefaultParagraphFont"/>
    <w:link w:val="Subtitle"/>
    <w:uiPriority w:val="11"/>
    <w:rsid w:val="002E6810"/>
    <w:rPr>
      <w:rFonts w:ascii="Cambria" w:eastAsia="Times New Roman" w:hAnsi="Cambria" w:cs="Times New Roman"/>
      <w:sz w:val="24"/>
      <w:szCs w:val="24"/>
      <w:lang w:val="es-ES_tradnl"/>
    </w:rPr>
  </w:style>
  <w:style w:type="character" w:styleId="Strong">
    <w:name w:val="Strong"/>
    <w:basedOn w:val="DefaultParagraphFont"/>
    <w:uiPriority w:val="99"/>
    <w:qFormat/>
    <w:rsid w:val="002E6810"/>
    <w:rPr>
      <w:b/>
      <w:bCs/>
    </w:rPr>
  </w:style>
  <w:style w:type="character" w:styleId="Emphasis">
    <w:name w:val="Emphasis"/>
    <w:basedOn w:val="DefaultParagraphFont"/>
    <w:uiPriority w:val="99"/>
    <w:qFormat/>
    <w:rsid w:val="002E6810"/>
    <w:rPr>
      <w:i/>
      <w:iCs/>
    </w:rPr>
  </w:style>
  <w:style w:type="paragraph" w:styleId="ListParagraph">
    <w:name w:val="List Paragraph"/>
    <w:basedOn w:val="Normal"/>
    <w:autoRedefine/>
    <w:uiPriority w:val="34"/>
    <w:qFormat/>
    <w:rsid w:val="00C467FF"/>
    <w:pPr>
      <w:numPr>
        <w:numId w:val="38"/>
      </w:numPr>
    </w:pPr>
    <w:rPr>
      <w:rFonts w:eastAsia="Batang" w:cs="Times New Roman"/>
      <w:szCs w:val="24"/>
      <w:lang w:eastAsia="ko-KR"/>
    </w:rPr>
  </w:style>
  <w:style w:type="paragraph" w:customStyle="1" w:styleId="Chapter">
    <w:name w:val="Chapter"/>
    <w:basedOn w:val="Normal"/>
    <w:next w:val="Normal"/>
    <w:rsid w:val="0051312E"/>
    <w:pPr>
      <w:numPr>
        <w:numId w:val="2"/>
      </w:numPr>
      <w:tabs>
        <w:tab w:val="left" w:pos="1440"/>
      </w:tabs>
      <w:spacing w:before="360" w:after="240"/>
      <w:jc w:val="center"/>
    </w:pPr>
    <w:rPr>
      <w:b/>
      <w:bCs/>
      <w:smallCaps/>
      <w:sz w:val="24"/>
      <w:szCs w:val="24"/>
    </w:rPr>
  </w:style>
  <w:style w:type="paragraph" w:customStyle="1" w:styleId="Paragraph">
    <w:name w:val="Paragraph"/>
    <w:aliases w:val="paragraph,p,PARAGRAPH,PG,pa,at"/>
    <w:basedOn w:val="Normal"/>
    <w:link w:val="ParagraphChar"/>
    <w:autoRedefine/>
    <w:qFormat/>
    <w:rsid w:val="00872A3D"/>
    <w:pPr>
      <w:numPr>
        <w:ilvl w:val="2"/>
        <w:numId w:val="1"/>
      </w:numPr>
      <w:tabs>
        <w:tab w:val="clear" w:pos="720"/>
        <w:tab w:val="num" w:pos="0"/>
      </w:tabs>
      <w:spacing w:before="120"/>
      <w:ind w:left="0" w:hanging="270"/>
      <w:outlineLvl w:val="1"/>
    </w:pPr>
    <w:rPr>
      <w:rFonts w:cs="Times New Roman"/>
      <w:szCs w:val="24"/>
      <w:lang w:val="es-UY"/>
    </w:rPr>
  </w:style>
  <w:style w:type="paragraph" w:customStyle="1" w:styleId="Paragraphnumerado">
    <w:name w:val="Paragraph numerado"/>
    <w:basedOn w:val="Paragraph"/>
    <w:uiPriority w:val="99"/>
    <w:qFormat/>
    <w:rsid w:val="0051312E"/>
    <w:pPr>
      <w:numPr>
        <w:numId w:val="2"/>
      </w:numPr>
      <w:spacing w:before="60" w:after="60"/>
    </w:pPr>
  </w:style>
  <w:style w:type="paragraph" w:customStyle="1" w:styleId="TimesNewRoman10pt">
    <w:name w:val="Times New Roman 10 pt"/>
    <w:basedOn w:val="Normal"/>
    <w:uiPriority w:val="99"/>
    <w:rsid w:val="0051312E"/>
    <w:rPr>
      <w:sz w:val="19"/>
      <w:szCs w:val="19"/>
    </w:rPr>
  </w:style>
  <w:style w:type="paragraph" w:styleId="FootnoteText">
    <w:name w:val="footnote text"/>
    <w:aliases w:val="fn,Texto de rodapé,nota_rodapé,nota de rodapé,ADB,foottextfra,footnote,F,Texto nota pie Car Car,FOOTNOTES,single space,footnote text,Footnote Text Char Char,texto de nota al pie,Nota a pie/Bibliog,Texto nota pie IIRSA,foottextf,Geneva 9,f"/>
    <w:basedOn w:val="Normal"/>
    <w:link w:val="FootnoteTextChar"/>
    <w:uiPriority w:val="99"/>
    <w:qFormat/>
    <w:rsid w:val="002C3255"/>
    <w:rPr>
      <w:sz w:val="19"/>
      <w:szCs w:val="19"/>
      <w:lang w:val="es-ES" w:eastAsia="es-ES"/>
    </w:rPr>
  </w:style>
  <w:style w:type="character" w:customStyle="1" w:styleId="FootnoteTextChar">
    <w:name w:val="Footnote Text Char"/>
    <w:aliases w:val="fn Char,Texto de rodapé Char,nota_rodapé Char,nota de rodapé Char,ADB Char,foottextfra Char,footnote Char,F Char,Texto nota pie Car Car Char,FOOTNOTES Char,single space Char,footnote text Char,Footnote Text Char Char Char,f Char"/>
    <w:basedOn w:val="DefaultParagraphFont"/>
    <w:link w:val="FootnoteText"/>
    <w:uiPriority w:val="99"/>
    <w:rsid w:val="002C3255"/>
    <w:rPr>
      <w:rFonts w:ascii="Times" w:hAnsi="Times" w:cs="Times"/>
      <w:sz w:val="19"/>
      <w:szCs w:val="19"/>
      <w:lang w:val="es-ES" w:eastAsia="es-ES"/>
    </w:rPr>
  </w:style>
  <w:style w:type="character" w:styleId="FootnoteReference">
    <w:name w:val="footnote reference"/>
    <w:aliases w:val="FC,Ref. de nota al pie.,16 Point,Superscript 6 Point,ftref,Ref,de nota al pie,referencia nota al pie,titulo 2,Fußnotenzeichen DISS,Ref. de nota al pie EDEP,pie pddes,Footnote Reference Number,Footnote Reference_LVL6,fr,SUPERS"/>
    <w:basedOn w:val="DefaultParagraphFont"/>
    <w:uiPriority w:val="99"/>
    <w:qFormat/>
    <w:rsid w:val="002C3255"/>
    <w:rPr>
      <w:vertAlign w:val="superscript"/>
    </w:rPr>
  </w:style>
  <w:style w:type="paragraph" w:styleId="Footer">
    <w:name w:val="footer"/>
    <w:basedOn w:val="Normal"/>
    <w:link w:val="FooterChar"/>
    <w:uiPriority w:val="99"/>
    <w:rsid w:val="002C3255"/>
    <w:pPr>
      <w:tabs>
        <w:tab w:val="center" w:pos="4419"/>
        <w:tab w:val="right" w:pos="8838"/>
      </w:tabs>
    </w:pPr>
  </w:style>
  <w:style w:type="character" w:customStyle="1" w:styleId="FooterChar">
    <w:name w:val="Footer Char"/>
    <w:basedOn w:val="DefaultParagraphFont"/>
    <w:link w:val="Footer"/>
    <w:uiPriority w:val="99"/>
    <w:rsid w:val="002C3255"/>
    <w:rPr>
      <w:rFonts w:ascii="Times" w:hAnsi="Times" w:cs="Times"/>
      <w:sz w:val="22"/>
      <w:szCs w:val="22"/>
      <w:lang w:val="es-ES_tradnl" w:eastAsia="en-US"/>
    </w:rPr>
  </w:style>
  <w:style w:type="paragraph" w:customStyle="1" w:styleId="SecHeading">
    <w:name w:val="SecHeading"/>
    <w:basedOn w:val="Normal"/>
    <w:next w:val="Paragraph"/>
    <w:rsid w:val="002C3255"/>
    <w:pPr>
      <w:keepNext/>
      <w:tabs>
        <w:tab w:val="num" w:pos="1296"/>
      </w:tabs>
      <w:spacing w:before="240"/>
      <w:ind w:left="1298" w:hanging="578"/>
    </w:pPr>
    <w:rPr>
      <w:b/>
      <w:bCs/>
    </w:rPr>
  </w:style>
  <w:style w:type="paragraph" w:customStyle="1" w:styleId="Textotablanumerado">
    <w:name w:val="Texto tabla numerado"/>
    <w:basedOn w:val="Paragraph"/>
    <w:uiPriority w:val="99"/>
    <w:qFormat/>
    <w:rsid w:val="004D3D28"/>
    <w:pPr>
      <w:spacing w:before="240"/>
    </w:pPr>
  </w:style>
  <w:style w:type="paragraph" w:styleId="TOCHeading">
    <w:name w:val="TOC Heading"/>
    <w:basedOn w:val="Heading1"/>
    <w:next w:val="Normal"/>
    <w:uiPriority w:val="39"/>
    <w:semiHidden/>
    <w:unhideWhenUsed/>
    <w:qFormat/>
    <w:rsid w:val="00EF6681"/>
    <w:pPr>
      <w:keepLines/>
      <w:numPr>
        <w:numId w:val="0"/>
      </w:numPr>
      <w:spacing w:before="480" w:after="0" w:line="276" w:lineRule="auto"/>
      <w:jc w:val="left"/>
      <w:outlineLvl w:val="9"/>
    </w:pPr>
    <w:rPr>
      <w:rFonts w:ascii="Cambria" w:hAnsi="Cambria"/>
      <w:color w:val="365F91"/>
      <w:sz w:val="28"/>
      <w:szCs w:val="28"/>
      <w:lang w:eastAsia="en-US"/>
    </w:rPr>
  </w:style>
  <w:style w:type="paragraph" w:styleId="TOC1">
    <w:name w:val="toc 1"/>
    <w:basedOn w:val="Normal"/>
    <w:next w:val="Normal"/>
    <w:autoRedefine/>
    <w:uiPriority w:val="39"/>
    <w:unhideWhenUsed/>
    <w:qFormat/>
    <w:rsid w:val="006570F7"/>
    <w:pPr>
      <w:tabs>
        <w:tab w:val="left" w:pos="540"/>
        <w:tab w:val="right" w:leader="dot" w:pos="8828"/>
      </w:tabs>
    </w:pPr>
  </w:style>
  <w:style w:type="paragraph" w:styleId="TOC2">
    <w:name w:val="toc 2"/>
    <w:basedOn w:val="Normal"/>
    <w:next w:val="Normal"/>
    <w:autoRedefine/>
    <w:uiPriority w:val="39"/>
    <w:unhideWhenUsed/>
    <w:qFormat/>
    <w:rsid w:val="00EF6681"/>
    <w:pPr>
      <w:ind w:left="220"/>
    </w:pPr>
  </w:style>
  <w:style w:type="paragraph" w:styleId="TOC3">
    <w:name w:val="toc 3"/>
    <w:basedOn w:val="Normal"/>
    <w:next w:val="Normal"/>
    <w:autoRedefine/>
    <w:uiPriority w:val="39"/>
    <w:unhideWhenUsed/>
    <w:qFormat/>
    <w:rsid w:val="00EF6681"/>
    <w:pPr>
      <w:ind w:left="440"/>
    </w:pPr>
  </w:style>
  <w:style w:type="paragraph" w:styleId="TOC4">
    <w:name w:val="toc 4"/>
    <w:basedOn w:val="Normal"/>
    <w:next w:val="Normal"/>
    <w:autoRedefine/>
    <w:uiPriority w:val="39"/>
    <w:unhideWhenUsed/>
    <w:rsid w:val="00EF6681"/>
    <w:pPr>
      <w:spacing w:after="100" w:line="276" w:lineRule="auto"/>
      <w:ind w:left="660"/>
    </w:pPr>
    <w:rPr>
      <w:rFonts w:ascii="Calibri" w:hAnsi="Calibri" w:cs="Times New Roman"/>
      <w:lang w:val="es-AR" w:eastAsia="es-AR"/>
    </w:rPr>
  </w:style>
  <w:style w:type="paragraph" w:styleId="TOC5">
    <w:name w:val="toc 5"/>
    <w:basedOn w:val="Normal"/>
    <w:next w:val="Normal"/>
    <w:autoRedefine/>
    <w:uiPriority w:val="39"/>
    <w:unhideWhenUsed/>
    <w:rsid w:val="00EF6681"/>
    <w:pPr>
      <w:spacing w:after="100" w:line="276" w:lineRule="auto"/>
      <w:ind w:left="880"/>
    </w:pPr>
    <w:rPr>
      <w:rFonts w:ascii="Calibri" w:hAnsi="Calibri" w:cs="Times New Roman"/>
      <w:lang w:val="es-AR" w:eastAsia="es-AR"/>
    </w:rPr>
  </w:style>
  <w:style w:type="paragraph" w:styleId="TOC6">
    <w:name w:val="toc 6"/>
    <w:basedOn w:val="Normal"/>
    <w:next w:val="Normal"/>
    <w:autoRedefine/>
    <w:uiPriority w:val="39"/>
    <w:unhideWhenUsed/>
    <w:rsid w:val="00EF6681"/>
    <w:pPr>
      <w:spacing w:after="100" w:line="276" w:lineRule="auto"/>
      <w:ind w:left="1100"/>
    </w:pPr>
    <w:rPr>
      <w:rFonts w:ascii="Calibri" w:hAnsi="Calibri" w:cs="Times New Roman"/>
      <w:lang w:val="es-AR" w:eastAsia="es-AR"/>
    </w:rPr>
  </w:style>
  <w:style w:type="paragraph" w:styleId="TOC7">
    <w:name w:val="toc 7"/>
    <w:basedOn w:val="Normal"/>
    <w:next w:val="Normal"/>
    <w:autoRedefine/>
    <w:uiPriority w:val="39"/>
    <w:unhideWhenUsed/>
    <w:rsid w:val="00EF6681"/>
    <w:pPr>
      <w:spacing w:after="100" w:line="276" w:lineRule="auto"/>
      <w:ind w:left="1320"/>
    </w:pPr>
    <w:rPr>
      <w:rFonts w:ascii="Calibri" w:hAnsi="Calibri" w:cs="Times New Roman"/>
      <w:lang w:val="es-AR" w:eastAsia="es-AR"/>
    </w:rPr>
  </w:style>
  <w:style w:type="paragraph" w:styleId="TOC8">
    <w:name w:val="toc 8"/>
    <w:basedOn w:val="Normal"/>
    <w:next w:val="Normal"/>
    <w:autoRedefine/>
    <w:uiPriority w:val="39"/>
    <w:unhideWhenUsed/>
    <w:rsid w:val="00EF6681"/>
    <w:pPr>
      <w:spacing w:after="100" w:line="276" w:lineRule="auto"/>
      <w:ind w:left="1540"/>
    </w:pPr>
    <w:rPr>
      <w:rFonts w:ascii="Calibri" w:hAnsi="Calibri" w:cs="Times New Roman"/>
      <w:lang w:val="es-AR" w:eastAsia="es-AR"/>
    </w:rPr>
  </w:style>
  <w:style w:type="paragraph" w:styleId="TOC9">
    <w:name w:val="toc 9"/>
    <w:basedOn w:val="Normal"/>
    <w:next w:val="Normal"/>
    <w:autoRedefine/>
    <w:uiPriority w:val="39"/>
    <w:unhideWhenUsed/>
    <w:rsid w:val="00EF6681"/>
    <w:pPr>
      <w:spacing w:after="100" w:line="276" w:lineRule="auto"/>
      <w:ind w:left="1760"/>
    </w:pPr>
    <w:rPr>
      <w:rFonts w:ascii="Calibri" w:hAnsi="Calibri" w:cs="Times New Roman"/>
      <w:lang w:val="es-AR" w:eastAsia="es-AR"/>
    </w:rPr>
  </w:style>
  <w:style w:type="character" w:styleId="Hyperlink">
    <w:name w:val="Hyperlink"/>
    <w:basedOn w:val="DefaultParagraphFont"/>
    <w:uiPriority w:val="99"/>
    <w:unhideWhenUsed/>
    <w:rsid w:val="00EF6681"/>
    <w:rPr>
      <w:color w:val="0000FF"/>
      <w:u w:val="single"/>
    </w:rPr>
  </w:style>
  <w:style w:type="paragraph" w:styleId="BalloonText">
    <w:name w:val="Balloon Text"/>
    <w:basedOn w:val="Normal"/>
    <w:link w:val="BalloonTextChar"/>
    <w:uiPriority w:val="99"/>
    <w:semiHidden/>
    <w:unhideWhenUsed/>
    <w:rsid w:val="00D62774"/>
    <w:rPr>
      <w:rFonts w:ascii="Tahoma" w:hAnsi="Tahoma" w:cs="Tahoma"/>
      <w:sz w:val="16"/>
      <w:szCs w:val="16"/>
    </w:rPr>
  </w:style>
  <w:style w:type="character" w:customStyle="1" w:styleId="BalloonTextChar">
    <w:name w:val="Balloon Text Char"/>
    <w:basedOn w:val="DefaultParagraphFont"/>
    <w:link w:val="BalloonText"/>
    <w:uiPriority w:val="99"/>
    <w:semiHidden/>
    <w:rsid w:val="00D62774"/>
    <w:rPr>
      <w:rFonts w:ascii="Tahoma" w:hAnsi="Tahoma" w:cs="Tahoma"/>
      <w:sz w:val="16"/>
      <w:szCs w:val="16"/>
      <w:lang w:val="es-ES_tradnl" w:eastAsia="en-US"/>
    </w:rPr>
  </w:style>
  <w:style w:type="paragraph" w:styleId="Header">
    <w:name w:val="header"/>
    <w:basedOn w:val="Normal"/>
    <w:link w:val="HeaderChar"/>
    <w:uiPriority w:val="99"/>
    <w:unhideWhenUsed/>
    <w:rsid w:val="00164AC7"/>
    <w:pPr>
      <w:tabs>
        <w:tab w:val="center" w:pos="4419"/>
        <w:tab w:val="right" w:pos="8838"/>
      </w:tabs>
    </w:pPr>
  </w:style>
  <w:style w:type="character" w:customStyle="1" w:styleId="HeaderChar">
    <w:name w:val="Header Char"/>
    <w:basedOn w:val="DefaultParagraphFont"/>
    <w:link w:val="Header"/>
    <w:uiPriority w:val="99"/>
    <w:rsid w:val="00164AC7"/>
    <w:rPr>
      <w:rFonts w:ascii="Times" w:hAnsi="Times" w:cs="Times"/>
      <w:sz w:val="22"/>
      <w:szCs w:val="22"/>
      <w:lang w:val="es-ES_tradnl" w:eastAsia="en-US"/>
    </w:rPr>
  </w:style>
  <w:style w:type="character" w:styleId="CommentReference">
    <w:name w:val="annotation reference"/>
    <w:basedOn w:val="DefaultParagraphFont"/>
    <w:uiPriority w:val="99"/>
    <w:semiHidden/>
    <w:unhideWhenUsed/>
    <w:rsid w:val="0041558B"/>
    <w:rPr>
      <w:sz w:val="16"/>
      <w:szCs w:val="16"/>
    </w:rPr>
  </w:style>
  <w:style w:type="paragraph" w:styleId="CommentText">
    <w:name w:val="annotation text"/>
    <w:basedOn w:val="Normal"/>
    <w:link w:val="CommentTextChar"/>
    <w:uiPriority w:val="99"/>
    <w:semiHidden/>
    <w:unhideWhenUsed/>
    <w:rsid w:val="0041558B"/>
    <w:rPr>
      <w:szCs w:val="20"/>
    </w:rPr>
  </w:style>
  <w:style w:type="character" w:customStyle="1" w:styleId="CommentTextChar">
    <w:name w:val="Comment Text Char"/>
    <w:basedOn w:val="DefaultParagraphFont"/>
    <w:link w:val="CommentText"/>
    <w:uiPriority w:val="99"/>
    <w:semiHidden/>
    <w:rsid w:val="0041558B"/>
    <w:rPr>
      <w:rFonts w:ascii="Times" w:hAnsi="Times" w:cs="Times"/>
      <w:lang w:val="es-ES_tradnl" w:eastAsia="en-US"/>
    </w:rPr>
  </w:style>
  <w:style w:type="paragraph" w:styleId="CommentSubject">
    <w:name w:val="annotation subject"/>
    <w:basedOn w:val="CommentText"/>
    <w:next w:val="CommentText"/>
    <w:link w:val="CommentSubjectChar"/>
    <w:uiPriority w:val="99"/>
    <w:semiHidden/>
    <w:unhideWhenUsed/>
    <w:rsid w:val="0041558B"/>
    <w:rPr>
      <w:b/>
      <w:bCs/>
    </w:rPr>
  </w:style>
  <w:style w:type="character" w:customStyle="1" w:styleId="CommentSubjectChar">
    <w:name w:val="Comment Subject Char"/>
    <w:basedOn w:val="CommentTextChar"/>
    <w:link w:val="CommentSubject"/>
    <w:uiPriority w:val="99"/>
    <w:semiHidden/>
    <w:rsid w:val="0041558B"/>
    <w:rPr>
      <w:rFonts w:ascii="Times" w:hAnsi="Times" w:cs="Times"/>
      <w:b/>
      <w:bCs/>
      <w:lang w:val="es-ES_tradnl" w:eastAsia="en-US"/>
    </w:rPr>
  </w:style>
  <w:style w:type="paragraph" w:customStyle="1" w:styleId="FirstHeading">
    <w:name w:val="FirstHeading"/>
    <w:basedOn w:val="Normal"/>
    <w:rsid w:val="00981691"/>
    <w:pPr>
      <w:keepNext/>
      <w:tabs>
        <w:tab w:val="left" w:pos="0"/>
        <w:tab w:val="left" w:pos="90"/>
      </w:tabs>
      <w:spacing w:before="120"/>
      <w:ind w:left="720" w:hanging="720"/>
    </w:pPr>
    <w:rPr>
      <w:rFonts w:ascii="Times New Roman" w:hAnsi="Times New Roman" w:cs="Times New Roman"/>
      <w:b/>
      <w:sz w:val="24"/>
      <w:szCs w:val="20"/>
      <w:lang w:val="es-ES"/>
    </w:rPr>
  </w:style>
  <w:style w:type="paragraph" w:customStyle="1" w:styleId="SubHeading1">
    <w:name w:val="SubHeading1"/>
    <w:basedOn w:val="SecHeading"/>
    <w:rsid w:val="00981691"/>
    <w:pPr>
      <w:tabs>
        <w:tab w:val="clear" w:pos="1296"/>
        <w:tab w:val="num" w:pos="1872"/>
      </w:tabs>
      <w:spacing w:before="120"/>
      <w:ind w:left="1872" w:hanging="576"/>
    </w:pPr>
    <w:rPr>
      <w:rFonts w:ascii="Times New Roman" w:hAnsi="Times New Roman" w:cs="Times New Roman"/>
      <w:bCs w:val="0"/>
      <w:sz w:val="24"/>
      <w:szCs w:val="20"/>
    </w:rPr>
  </w:style>
  <w:style w:type="paragraph" w:customStyle="1" w:styleId="Subheading2">
    <w:name w:val="Subheading2"/>
    <w:basedOn w:val="SecHeading"/>
    <w:rsid w:val="00981691"/>
    <w:pPr>
      <w:tabs>
        <w:tab w:val="clear" w:pos="1296"/>
        <w:tab w:val="num" w:pos="2376"/>
      </w:tabs>
      <w:spacing w:before="120"/>
      <w:ind w:left="2376" w:hanging="288"/>
    </w:pPr>
    <w:rPr>
      <w:rFonts w:ascii="Times New Roman" w:hAnsi="Times New Roman" w:cs="Times New Roman"/>
      <w:bCs w:val="0"/>
      <w:sz w:val="24"/>
      <w:szCs w:val="20"/>
    </w:rPr>
  </w:style>
  <w:style w:type="paragraph" w:customStyle="1" w:styleId="subpar">
    <w:name w:val="subpar"/>
    <w:basedOn w:val="BodyTextIndent3"/>
    <w:rsid w:val="00981691"/>
    <w:pPr>
      <w:tabs>
        <w:tab w:val="num" w:pos="720"/>
      </w:tabs>
      <w:spacing w:before="120"/>
      <w:ind w:left="720" w:hanging="720"/>
      <w:outlineLvl w:val="2"/>
    </w:pPr>
    <w:rPr>
      <w:rFonts w:ascii="Times New Roman" w:hAnsi="Times New Roman" w:cs="Times New Roman"/>
      <w:sz w:val="24"/>
      <w:szCs w:val="20"/>
    </w:rPr>
  </w:style>
  <w:style w:type="paragraph" w:customStyle="1" w:styleId="SubSubPar">
    <w:name w:val="SubSubPar"/>
    <w:basedOn w:val="subpar"/>
    <w:rsid w:val="00981691"/>
    <w:pPr>
      <w:tabs>
        <w:tab w:val="clear" w:pos="720"/>
        <w:tab w:val="left" w:pos="0"/>
        <w:tab w:val="num" w:pos="864"/>
      </w:tabs>
      <w:ind w:left="864" w:hanging="864"/>
    </w:pPr>
  </w:style>
  <w:style w:type="paragraph" w:customStyle="1" w:styleId="Regtable">
    <w:name w:val="Regtable"/>
    <w:basedOn w:val="Normal"/>
    <w:link w:val="RegtableChar"/>
    <w:rsid w:val="00981691"/>
    <w:pPr>
      <w:keepLines/>
      <w:framePr w:wrap="around" w:vAnchor="text" w:hAnchor="text" w:y="1"/>
      <w:spacing w:before="20" w:after="20"/>
    </w:pPr>
    <w:rPr>
      <w:rFonts w:ascii="Times New Roman" w:hAnsi="Times New Roman" w:cs="Times New Roman"/>
      <w:noProof/>
      <w:spacing w:val="-3"/>
      <w:sz w:val="24"/>
      <w:szCs w:val="20"/>
    </w:rPr>
  </w:style>
  <w:style w:type="character" w:customStyle="1" w:styleId="RegtableChar">
    <w:name w:val="Regtable Char"/>
    <w:link w:val="Regtable"/>
    <w:rsid w:val="00981691"/>
    <w:rPr>
      <w:noProof/>
      <w:spacing w:val="-3"/>
      <w:sz w:val="24"/>
      <w:lang w:val="es-ES_tradnl" w:eastAsia="en-US"/>
    </w:rPr>
  </w:style>
  <w:style w:type="character" w:customStyle="1" w:styleId="ParagraphChar">
    <w:name w:val="Paragraph Char"/>
    <w:aliases w:val="paragraph Char,p Char,PARAGRAPH Char,PG Char,pa Char,at Char"/>
    <w:link w:val="Paragraph"/>
    <w:rsid w:val="00872A3D"/>
    <w:rPr>
      <w:rFonts w:ascii="Arial" w:hAnsi="Arial"/>
      <w:szCs w:val="24"/>
      <w:lang w:eastAsia="en-US"/>
    </w:rPr>
  </w:style>
  <w:style w:type="table" w:styleId="TableGrid">
    <w:name w:val="Table Grid"/>
    <w:basedOn w:val="TableNormal"/>
    <w:uiPriority w:val="59"/>
    <w:rsid w:val="00981691"/>
    <w:rPr>
      <w:rFonts w:eastAsiaTheme="minorEastAsia"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981691"/>
    <w:pPr>
      <w:ind w:left="360"/>
    </w:pPr>
    <w:rPr>
      <w:sz w:val="16"/>
      <w:szCs w:val="16"/>
    </w:rPr>
  </w:style>
  <w:style w:type="character" w:customStyle="1" w:styleId="BodyTextIndent3Char">
    <w:name w:val="Body Text Indent 3 Char"/>
    <w:basedOn w:val="DefaultParagraphFont"/>
    <w:link w:val="BodyTextIndent3"/>
    <w:uiPriority w:val="99"/>
    <w:semiHidden/>
    <w:rsid w:val="00981691"/>
    <w:rPr>
      <w:rFonts w:ascii="Times" w:hAnsi="Times" w:cs="Times"/>
      <w:sz w:val="16"/>
      <w:szCs w:val="16"/>
      <w:lang w:val="es-ES_tradnl" w:eastAsia="en-US"/>
    </w:rPr>
  </w:style>
  <w:style w:type="paragraph" w:styleId="NoSpacing">
    <w:name w:val="No Spacing"/>
    <w:basedOn w:val="Normal"/>
    <w:uiPriority w:val="1"/>
    <w:qFormat/>
    <w:rsid w:val="006F161A"/>
    <w:pPr>
      <w:spacing w:after="0"/>
      <w:jc w:val="left"/>
    </w:pPr>
    <w:rPr>
      <w:rFonts w:cs="Arial"/>
      <w:szCs w:val="20"/>
      <w:lang w:val="es-UY"/>
    </w:rPr>
  </w:style>
  <w:style w:type="character" w:customStyle="1" w:styleId="ParagraphCar">
    <w:name w:val="Paragraph Car"/>
    <w:rsid w:val="009F52A4"/>
    <w:rPr>
      <w:rFonts w:ascii="Times New Roman" w:eastAsia="Times New Roman" w:hAnsi="Times New Roman" w:cs="Times New Roman"/>
      <w:sz w:val="24"/>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locked="1" w:uiPriority="0" w:qFormat="1"/>
    <w:lsdException w:name="footnote reference"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1A"/>
    <w:pPr>
      <w:spacing w:after="120"/>
      <w:jc w:val="both"/>
    </w:pPr>
    <w:rPr>
      <w:rFonts w:ascii="Arial" w:hAnsi="Arial" w:cs="Times"/>
      <w:szCs w:val="22"/>
      <w:lang w:val="es-ES_tradnl" w:eastAsia="en-US"/>
    </w:rPr>
  </w:style>
  <w:style w:type="paragraph" w:styleId="Heading1">
    <w:name w:val="heading 1"/>
    <w:aliases w:val="Heading 1.I"/>
    <w:basedOn w:val="Normal"/>
    <w:next w:val="Normal"/>
    <w:link w:val="Heading1Char"/>
    <w:autoRedefine/>
    <w:qFormat/>
    <w:rsid w:val="00872A3D"/>
    <w:pPr>
      <w:keepNext/>
      <w:numPr>
        <w:numId w:val="1"/>
      </w:numPr>
      <w:spacing w:before="240" w:after="240"/>
      <w:jc w:val="center"/>
      <w:outlineLvl w:val="0"/>
    </w:pPr>
    <w:rPr>
      <w:rFonts w:cs="Times New Roman"/>
      <w:b/>
      <w:bCs/>
      <w:caps/>
      <w:sz w:val="24"/>
      <w:szCs w:val="24"/>
      <w:lang w:val="es-ES" w:eastAsia="es-AR"/>
    </w:rPr>
  </w:style>
  <w:style w:type="paragraph" w:styleId="Heading2">
    <w:name w:val="heading 2"/>
    <w:basedOn w:val="Normal"/>
    <w:next w:val="Normal"/>
    <w:link w:val="Heading2Char"/>
    <w:autoRedefine/>
    <w:qFormat/>
    <w:rsid w:val="00651E28"/>
    <w:pPr>
      <w:keepNext/>
      <w:numPr>
        <w:ilvl w:val="1"/>
        <w:numId w:val="4"/>
      </w:numPr>
      <w:spacing w:before="240" w:after="240"/>
      <w:outlineLvl w:val="1"/>
    </w:pPr>
    <w:rPr>
      <w:rFonts w:cs="Times New Roman"/>
      <w:b/>
      <w:bCs/>
      <w:sz w:val="22"/>
      <w:lang w:val="es-UY" w:eastAsia="es-AR"/>
    </w:rPr>
  </w:style>
  <w:style w:type="paragraph" w:styleId="Heading3">
    <w:name w:val="heading 3"/>
    <w:basedOn w:val="Normal"/>
    <w:next w:val="Normal"/>
    <w:link w:val="Heading3Char"/>
    <w:autoRedefine/>
    <w:qFormat/>
    <w:rsid w:val="00A83DF4"/>
    <w:pPr>
      <w:keepNext/>
      <w:numPr>
        <w:ilvl w:val="2"/>
        <w:numId w:val="23"/>
      </w:numPr>
      <w:spacing w:before="240" w:after="240"/>
      <w:ind w:left="907" w:hanging="547"/>
      <w:outlineLvl w:val="2"/>
    </w:pPr>
    <w:rPr>
      <w:b/>
    </w:rPr>
  </w:style>
  <w:style w:type="paragraph" w:styleId="Heading4">
    <w:name w:val="heading 4"/>
    <w:aliases w:val="Heading 4.a"/>
    <w:basedOn w:val="Normal"/>
    <w:next w:val="Normal"/>
    <w:link w:val="Heading4Char"/>
    <w:qFormat/>
    <w:rsid w:val="006570F7"/>
    <w:pPr>
      <w:keepNext/>
      <w:spacing w:before="240" w:after="240"/>
      <w:jc w:val="left"/>
      <w:outlineLvl w:val="3"/>
    </w:pPr>
    <w:rPr>
      <w:rFonts w:cs="Arial"/>
      <w:b/>
      <w:szCs w:val="20"/>
      <w:lang w:val="es-ES" w:eastAsia="es-AR"/>
    </w:rPr>
  </w:style>
  <w:style w:type="paragraph" w:styleId="Heading5">
    <w:name w:val="heading 5"/>
    <w:aliases w:val="Heading 5.(i)"/>
    <w:basedOn w:val="Heading8"/>
    <w:next w:val="Normal"/>
    <w:link w:val="Heading5Char"/>
    <w:qFormat/>
    <w:rsid w:val="006570F7"/>
    <w:pPr>
      <w:spacing w:before="240"/>
      <w:ind w:left="990"/>
      <w:outlineLvl w:val="4"/>
    </w:pPr>
    <w:rPr>
      <w:rFonts w:ascii="Arial" w:hAnsi="Arial" w:cs="Arial"/>
      <w:b/>
      <w:bCs/>
      <w:sz w:val="20"/>
      <w:szCs w:val="20"/>
    </w:rPr>
  </w:style>
  <w:style w:type="paragraph" w:styleId="Heading6">
    <w:name w:val="heading 6"/>
    <w:basedOn w:val="Normal"/>
    <w:next w:val="Normal"/>
    <w:link w:val="Heading6Char"/>
    <w:qFormat/>
    <w:rsid w:val="002E6810"/>
    <w:pPr>
      <w:keepNext/>
      <w:numPr>
        <w:ilvl w:val="5"/>
        <w:numId w:val="23"/>
      </w:numPr>
      <w:outlineLvl w:val="5"/>
    </w:pPr>
    <w:rPr>
      <w:szCs w:val="20"/>
      <w:u w:val="single"/>
      <w:lang w:val="es-ES" w:eastAsia="es-AR"/>
    </w:rPr>
  </w:style>
  <w:style w:type="paragraph" w:styleId="Heading7">
    <w:name w:val="heading 7"/>
    <w:basedOn w:val="Normal"/>
    <w:next w:val="Normal"/>
    <w:link w:val="Heading7Char"/>
    <w:qFormat/>
    <w:rsid w:val="002E6810"/>
    <w:pPr>
      <w:keepNext/>
      <w:numPr>
        <w:ilvl w:val="6"/>
        <w:numId w:val="23"/>
      </w:numPr>
      <w:outlineLvl w:val="6"/>
    </w:pPr>
    <w:rPr>
      <w:szCs w:val="20"/>
      <w:u w:val="single"/>
      <w:lang w:eastAsia="es-AR"/>
    </w:rPr>
  </w:style>
  <w:style w:type="paragraph" w:styleId="Heading8">
    <w:name w:val="heading 8"/>
    <w:basedOn w:val="Normal"/>
    <w:next w:val="Normal"/>
    <w:link w:val="Heading8Char"/>
    <w:qFormat/>
    <w:rsid w:val="002E6810"/>
    <w:pPr>
      <w:keepNext/>
      <w:numPr>
        <w:ilvl w:val="7"/>
        <w:numId w:val="23"/>
      </w:numPr>
      <w:tabs>
        <w:tab w:val="left" w:pos="709"/>
      </w:tabs>
      <w:outlineLvl w:val="7"/>
    </w:pPr>
    <w:rPr>
      <w:rFonts w:ascii="Calibri" w:hAnsi="Calibri" w:cs="Times New Roman"/>
      <w:i/>
      <w:iCs/>
      <w:sz w:val="24"/>
      <w:szCs w:val="24"/>
      <w:lang w:eastAsia="es-AR"/>
    </w:rPr>
  </w:style>
  <w:style w:type="paragraph" w:styleId="Heading9">
    <w:name w:val="heading 9"/>
    <w:basedOn w:val="Normal"/>
    <w:next w:val="Normal"/>
    <w:link w:val="Heading9Char"/>
    <w:qFormat/>
    <w:rsid w:val="002E6810"/>
    <w:pPr>
      <w:keepNext/>
      <w:numPr>
        <w:ilvl w:val="8"/>
        <w:numId w:val="23"/>
      </w:numPr>
      <w:outlineLvl w:val="8"/>
    </w:pPr>
    <w:rPr>
      <w:szCs w:val="20"/>
      <w:u w:val="single"/>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
    <w:basedOn w:val="DefaultParagraphFont"/>
    <w:link w:val="Heading1"/>
    <w:rsid w:val="00872A3D"/>
    <w:rPr>
      <w:rFonts w:ascii="Arial" w:hAnsi="Arial"/>
      <w:b/>
      <w:bCs/>
      <w:caps/>
      <w:sz w:val="24"/>
      <w:szCs w:val="24"/>
      <w:lang w:val="es-ES" w:eastAsia="es-AR"/>
    </w:rPr>
  </w:style>
  <w:style w:type="character" w:customStyle="1" w:styleId="Heading2Char">
    <w:name w:val="Heading 2 Char"/>
    <w:basedOn w:val="DefaultParagraphFont"/>
    <w:link w:val="Heading2"/>
    <w:rsid w:val="00651E28"/>
    <w:rPr>
      <w:rFonts w:ascii="Arial" w:hAnsi="Arial"/>
      <w:b/>
      <w:bCs/>
      <w:sz w:val="22"/>
      <w:szCs w:val="22"/>
      <w:lang w:eastAsia="es-AR"/>
    </w:rPr>
  </w:style>
  <w:style w:type="character" w:customStyle="1" w:styleId="Heading3Char">
    <w:name w:val="Heading 3 Char"/>
    <w:basedOn w:val="DefaultParagraphFont"/>
    <w:link w:val="Heading3"/>
    <w:rsid w:val="00A83DF4"/>
    <w:rPr>
      <w:rFonts w:ascii="Arial" w:hAnsi="Arial" w:cs="Times"/>
      <w:b/>
      <w:szCs w:val="22"/>
      <w:lang w:val="es-ES_tradnl" w:eastAsia="en-US"/>
    </w:rPr>
  </w:style>
  <w:style w:type="character" w:customStyle="1" w:styleId="Heading4Char">
    <w:name w:val="Heading 4 Char"/>
    <w:aliases w:val="Heading 4.a Char"/>
    <w:basedOn w:val="DefaultParagraphFont"/>
    <w:link w:val="Heading4"/>
    <w:rsid w:val="006570F7"/>
    <w:rPr>
      <w:rFonts w:ascii="Arial" w:hAnsi="Arial" w:cs="Arial"/>
      <w:b/>
      <w:lang w:val="es-ES" w:eastAsia="es-AR"/>
    </w:rPr>
  </w:style>
  <w:style w:type="character" w:customStyle="1" w:styleId="Heading5Char">
    <w:name w:val="Heading 5 Char"/>
    <w:aliases w:val="Heading 5.(i) Char"/>
    <w:basedOn w:val="DefaultParagraphFont"/>
    <w:link w:val="Heading5"/>
    <w:rsid w:val="006570F7"/>
    <w:rPr>
      <w:rFonts w:ascii="Arial" w:hAnsi="Arial" w:cs="Arial"/>
      <w:b/>
      <w:bCs/>
      <w:i/>
      <w:iCs/>
      <w:lang w:val="es-ES_tradnl" w:eastAsia="es-AR"/>
    </w:rPr>
  </w:style>
  <w:style w:type="character" w:customStyle="1" w:styleId="Heading6Char">
    <w:name w:val="Heading 6 Char"/>
    <w:basedOn w:val="DefaultParagraphFont"/>
    <w:link w:val="Heading6"/>
    <w:uiPriority w:val="99"/>
    <w:rsid w:val="002E6810"/>
    <w:rPr>
      <w:rFonts w:ascii="Times" w:hAnsi="Times" w:cs="Times"/>
      <w:u w:val="single"/>
      <w:lang w:val="es-ES"/>
    </w:rPr>
  </w:style>
  <w:style w:type="character" w:customStyle="1" w:styleId="Heading7Char">
    <w:name w:val="Heading 7 Char"/>
    <w:basedOn w:val="DefaultParagraphFont"/>
    <w:link w:val="Heading7"/>
    <w:uiPriority w:val="99"/>
    <w:rsid w:val="002E6810"/>
    <w:rPr>
      <w:rFonts w:ascii="Times" w:hAnsi="Times" w:cs="Times"/>
      <w:u w:val="single"/>
      <w:lang w:val="es-ES_tradnl"/>
    </w:rPr>
  </w:style>
  <w:style w:type="character" w:customStyle="1" w:styleId="Heading8Char">
    <w:name w:val="Heading 8 Char"/>
    <w:basedOn w:val="DefaultParagraphFont"/>
    <w:link w:val="Heading8"/>
    <w:uiPriority w:val="9"/>
    <w:rsid w:val="002E6810"/>
    <w:rPr>
      <w:rFonts w:ascii="Calibri" w:eastAsia="Times New Roman" w:hAnsi="Calibri" w:cs="Times New Roman"/>
      <w:i/>
      <w:iCs/>
      <w:sz w:val="24"/>
      <w:szCs w:val="24"/>
      <w:lang w:val="es-ES_tradnl"/>
    </w:rPr>
  </w:style>
  <w:style w:type="character" w:customStyle="1" w:styleId="Heading9Char">
    <w:name w:val="Heading 9 Char"/>
    <w:basedOn w:val="DefaultParagraphFont"/>
    <w:link w:val="Heading9"/>
    <w:uiPriority w:val="99"/>
    <w:rsid w:val="002E6810"/>
    <w:rPr>
      <w:rFonts w:ascii="Times" w:hAnsi="Times" w:cs="Times"/>
      <w:u w:val="single"/>
      <w:lang w:val="es-ES_tradnl"/>
    </w:rPr>
  </w:style>
  <w:style w:type="paragraph" w:styleId="Title">
    <w:name w:val="Title"/>
    <w:basedOn w:val="Normal"/>
    <w:link w:val="TitleChar"/>
    <w:uiPriority w:val="99"/>
    <w:qFormat/>
    <w:rsid w:val="002E6810"/>
    <w:pPr>
      <w:jc w:val="center"/>
    </w:pPr>
    <w:rPr>
      <w:rFonts w:ascii="Cambria" w:hAnsi="Cambria" w:cs="Times New Roman"/>
      <w:b/>
      <w:bCs/>
      <w:kern w:val="28"/>
      <w:sz w:val="32"/>
      <w:szCs w:val="32"/>
      <w:lang w:eastAsia="es-AR"/>
    </w:rPr>
  </w:style>
  <w:style w:type="character" w:customStyle="1" w:styleId="TitleChar">
    <w:name w:val="Title Char"/>
    <w:basedOn w:val="DefaultParagraphFont"/>
    <w:link w:val="Title"/>
    <w:uiPriority w:val="10"/>
    <w:rsid w:val="002E6810"/>
    <w:rPr>
      <w:rFonts w:ascii="Cambria" w:eastAsia="Times New Roman" w:hAnsi="Cambria" w:cs="Times New Roman"/>
      <w:b/>
      <w:bCs/>
      <w:kern w:val="28"/>
      <w:sz w:val="32"/>
      <w:szCs w:val="32"/>
      <w:lang w:val="es-ES_tradnl"/>
    </w:rPr>
  </w:style>
  <w:style w:type="paragraph" w:styleId="Subtitle">
    <w:name w:val="Subtitle"/>
    <w:basedOn w:val="Normal"/>
    <w:link w:val="SubtitleChar"/>
    <w:uiPriority w:val="11"/>
    <w:qFormat/>
    <w:rsid w:val="002E6810"/>
    <w:pPr>
      <w:spacing w:before="120"/>
      <w:jc w:val="center"/>
    </w:pPr>
    <w:rPr>
      <w:rFonts w:ascii="Cambria" w:hAnsi="Cambria" w:cs="Times New Roman"/>
      <w:sz w:val="24"/>
      <w:szCs w:val="24"/>
      <w:lang w:eastAsia="es-AR"/>
    </w:rPr>
  </w:style>
  <w:style w:type="character" w:customStyle="1" w:styleId="SubtitleChar">
    <w:name w:val="Subtitle Char"/>
    <w:basedOn w:val="DefaultParagraphFont"/>
    <w:link w:val="Subtitle"/>
    <w:uiPriority w:val="11"/>
    <w:rsid w:val="002E6810"/>
    <w:rPr>
      <w:rFonts w:ascii="Cambria" w:eastAsia="Times New Roman" w:hAnsi="Cambria" w:cs="Times New Roman"/>
      <w:sz w:val="24"/>
      <w:szCs w:val="24"/>
      <w:lang w:val="es-ES_tradnl"/>
    </w:rPr>
  </w:style>
  <w:style w:type="character" w:styleId="Strong">
    <w:name w:val="Strong"/>
    <w:basedOn w:val="DefaultParagraphFont"/>
    <w:uiPriority w:val="99"/>
    <w:qFormat/>
    <w:rsid w:val="002E6810"/>
    <w:rPr>
      <w:b/>
      <w:bCs/>
    </w:rPr>
  </w:style>
  <w:style w:type="character" w:styleId="Emphasis">
    <w:name w:val="Emphasis"/>
    <w:basedOn w:val="DefaultParagraphFont"/>
    <w:uiPriority w:val="99"/>
    <w:qFormat/>
    <w:rsid w:val="002E6810"/>
    <w:rPr>
      <w:i/>
      <w:iCs/>
    </w:rPr>
  </w:style>
  <w:style w:type="paragraph" w:styleId="ListParagraph">
    <w:name w:val="List Paragraph"/>
    <w:basedOn w:val="Normal"/>
    <w:autoRedefine/>
    <w:uiPriority w:val="34"/>
    <w:qFormat/>
    <w:rsid w:val="00C467FF"/>
    <w:pPr>
      <w:numPr>
        <w:numId w:val="38"/>
      </w:numPr>
    </w:pPr>
    <w:rPr>
      <w:rFonts w:eastAsia="Batang" w:cs="Times New Roman"/>
      <w:szCs w:val="24"/>
      <w:lang w:eastAsia="ko-KR"/>
    </w:rPr>
  </w:style>
  <w:style w:type="paragraph" w:customStyle="1" w:styleId="Chapter">
    <w:name w:val="Chapter"/>
    <w:basedOn w:val="Normal"/>
    <w:next w:val="Normal"/>
    <w:rsid w:val="0051312E"/>
    <w:pPr>
      <w:numPr>
        <w:numId w:val="2"/>
      </w:numPr>
      <w:tabs>
        <w:tab w:val="left" w:pos="1440"/>
      </w:tabs>
      <w:spacing w:before="360" w:after="240"/>
      <w:jc w:val="center"/>
    </w:pPr>
    <w:rPr>
      <w:b/>
      <w:bCs/>
      <w:smallCaps/>
      <w:sz w:val="24"/>
      <w:szCs w:val="24"/>
    </w:rPr>
  </w:style>
  <w:style w:type="paragraph" w:customStyle="1" w:styleId="Paragraph">
    <w:name w:val="Paragraph"/>
    <w:aliases w:val="paragraph,p,PARAGRAPH,PG,pa,at"/>
    <w:basedOn w:val="Normal"/>
    <w:link w:val="ParagraphChar"/>
    <w:autoRedefine/>
    <w:qFormat/>
    <w:rsid w:val="00872A3D"/>
    <w:pPr>
      <w:numPr>
        <w:ilvl w:val="2"/>
        <w:numId w:val="1"/>
      </w:numPr>
      <w:tabs>
        <w:tab w:val="clear" w:pos="720"/>
        <w:tab w:val="num" w:pos="0"/>
      </w:tabs>
      <w:spacing w:before="120"/>
      <w:ind w:left="0" w:hanging="270"/>
      <w:outlineLvl w:val="1"/>
    </w:pPr>
    <w:rPr>
      <w:rFonts w:cs="Times New Roman"/>
      <w:szCs w:val="24"/>
      <w:lang w:val="es-UY"/>
    </w:rPr>
  </w:style>
  <w:style w:type="paragraph" w:customStyle="1" w:styleId="Paragraphnumerado">
    <w:name w:val="Paragraph numerado"/>
    <w:basedOn w:val="Paragraph"/>
    <w:uiPriority w:val="99"/>
    <w:qFormat/>
    <w:rsid w:val="0051312E"/>
    <w:pPr>
      <w:numPr>
        <w:numId w:val="2"/>
      </w:numPr>
      <w:spacing w:before="60" w:after="60"/>
    </w:pPr>
  </w:style>
  <w:style w:type="paragraph" w:customStyle="1" w:styleId="TimesNewRoman10pt">
    <w:name w:val="Times New Roman 10 pt"/>
    <w:basedOn w:val="Normal"/>
    <w:uiPriority w:val="99"/>
    <w:rsid w:val="0051312E"/>
    <w:rPr>
      <w:sz w:val="19"/>
      <w:szCs w:val="19"/>
    </w:rPr>
  </w:style>
  <w:style w:type="paragraph" w:styleId="FootnoteText">
    <w:name w:val="footnote text"/>
    <w:aliases w:val="fn,Texto de rodapé,nota_rodapé,nota de rodapé,ADB,foottextfra,footnote,F,Texto nota pie Car Car,FOOTNOTES,single space,footnote text,Footnote Text Char Char,texto de nota al pie,Nota a pie/Bibliog,Texto nota pie IIRSA,foottextf,Geneva 9,f"/>
    <w:basedOn w:val="Normal"/>
    <w:link w:val="FootnoteTextChar"/>
    <w:uiPriority w:val="99"/>
    <w:qFormat/>
    <w:rsid w:val="002C3255"/>
    <w:rPr>
      <w:sz w:val="19"/>
      <w:szCs w:val="19"/>
      <w:lang w:val="es-ES" w:eastAsia="es-ES"/>
    </w:rPr>
  </w:style>
  <w:style w:type="character" w:customStyle="1" w:styleId="FootnoteTextChar">
    <w:name w:val="Footnote Text Char"/>
    <w:aliases w:val="fn Char,Texto de rodapé Char,nota_rodapé Char,nota de rodapé Char,ADB Char,foottextfra Char,footnote Char,F Char,Texto nota pie Car Car Char,FOOTNOTES Char,single space Char,footnote text Char,Footnote Text Char Char Char,f Char"/>
    <w:basedOn w:val="DefaultParagraphFont"/>
    <w:link w:val="FootnoteText"/>
    <w:uiPriority w:val="99"/>
    <w:rsid w:val="002C3255"/>
    <w:rPr>
      <w:rFonts w:ascii="Times" w:hAnsi="Times" w:cs="Times"/>
      <w:sz w:val="19"/>
      <w:szCs w:val="19"/>
      <w:lang w:val="es-ES" w:eastAsia="es-ES"/>
    </w:rPr>
  </w:style>
  <w:style w:type="character" w:styleId="FootnoteReference">
    <w:name w:val="footnote reference"/>
    <w:aliases w:val="FC,Ref. de nota al pie.,16 Point,Superscript 6 Point,ftref,Ref,de nota al pie,referencia nota al pie,titulo 2,Fußnotenzeichen DISS,Ref. de nota al pie EDEP,pie pddes,Footnote Reference Number,Footnote Reference_LVL6,fr,SUPERS"/>
    <w:basedOn w:val="DefaultParagraphFont"/>
    <w:uiPriority w:val="99"/>
    <w:qFormat/>
    <w:rsid w:val="002C3255"/>
    <w:rPr>
      <w:vertAlign w:val="superscript"/>
    </w:rPr>
  </w:style>
  <w:style w:type="paragraph" w:styleId="Footer">
    <w:name w:val="footer"/>
    <w:basedOn w:val="Normal"/>
    <w:link w:val="FooterChar"/>
    <w:uiPriority w:val="99"/>
    <w:rsid w:val="002C3255"/>
    <w:pPr>
      <w:tabs>
        <w:tab w:val="center" w:pos="4419"/>
        <w:tab w:val="right" w:pos="8838"/>
      </w:tabs>
    </w:pPr>
  </w:style>
  <w:style w:type="character" w:customStyle="1" w:styleId="FooterChar">
    <w:name w:val="Footer Char"/>
    <w:basedOn w:val="DefaultParagraphFont"/>
    <w:link w:val="Footer"/>
    <w:uiPriority w:val="99"/>
    <w:rsid w:val="002C3255"/>
    <w:rPr>
      <w:rFonts w:ascii="Times" w:hAnsi="Times" w:cs="Times"/>
      <w:sz w:val="22"/>
      <w:szCs w:val="22"/>
      <w:lang w:val="es-ES_tradnl" w:eastAsia="en-US"/>
    </w:rPr>
  </w:style>
  <w:style w:type="paragraph" w:customStyle="1" w:styleId="SecHeading">
    <w:name w:val="SecHeading"/>
    <w:basedOn w:val="Normal"/>
    <w:next w:val="Paragraph"/>
    <w:rsid w:val="002C3255"/>
    <w:pPr>
      <w:keepNext/>
      <w:tabs>
        <w:tab w:val="num" w:pos="1296"/>
      </w:tabs>
      <w:spacing w:before="240"/>
      <w:ind w:left="1298" w:hanging="578"/>
    </w:pPr>
    <w:rPr>
      <w:b/>
      <w:bCs/>
    </w:rPr>
  </w:style>
  <w:style w:type="paragraph" w:customStyle="1" w:styleId="Textotablanumerado">
    <w:name w:val="Texto tabla numerado"/>
    <w:basedOn w:val="Paragraph"/>
    <w:uiPriority w:val="99"/>
    <w:qFormat/>
    <w:rsid w:val="004D3D28"/>
    <w:pPr>
      <w:spacing w:before="240"/>
    </w:pPr>
  </w:style>
  <w:style w:type="paragraph" w:styleId="TOCHeading">
    <w:name w:val="TOC Heading"/>
    <w:basedOn w:val="Heading1"/>
    <w:next w:val="Normal"/>
    <w:uiPriority w:val="39"/>
    <w:semiHidden/>
    <w:unhideWhenUsed/>
    <w:qFormat/>
    <w:rsid w:val="00EF6681"/>
    <w:pPr>
      <w:keepLines/>
      <w:numPr>
        <w:numId w:val="0"/>
      </w:numPr>
      <w:spacing w:before="480" w:after="0" w:line="276" w:lineRule="auto"/>
      <w:jc w:val="left"/>
      <w:outlineLvl w:val="9"/>
    </w:pPr>
    <w:rPr>
      <w:rFonts w:ascii="Cambria" w:hAnsi="Cambria"/>
      <w:color w:val="365F91"/>
      <w:sz w:val="28"/>
      <w:szCs w:val="28"/>
      <w:lang w:eastAsia="en-US"/>
    </w:rPr>
  </w:style>
  <w:style w:type="paragraph" w:styleId="TOC1">
    <w:name w:val="toc 1"/>
    <w:basedOn w:val="Normal"/>
    <w:next w:val="Normal"/>
    <w:autoRedefine/>
    <w:uiPriority w:val="39"/>
    <w:unhideWhenUsed/>
    <w:qFormat/>
    <w:rsid w:val="006570F7"/>
    <w:pPr>
      <w:tabs>
        <w:tab w:val="left" w:pos="540"/>
        <w:tab w:val="right" w:leader="dot" w:pos="8828"/>
      </w:tabs>
    </w:pPr>
  </w:style>
  <w:style w:type="paragraph" w:styleId="TOC2">
    <w:name w:val="toc 2"/>
    <w:basedOn w:val="Normal"/>
    <w:next w:val="Normal"/>
    <w:autoRedefine/>
    <w:uiPriority w:val="39"/>
    <w:unhideWhenUsed/>
    <w:qFormat/>
    <w:rsid w:val="00EF6681"/>
    <w:pPr>
      <w:ind w:left="220"/>
    </w:pPr>
  </w:style>
  <w:style w:type="paragraph" w:styleId="TOC3">
    <w:name w:val="toc 3"/>
    <w:basedOn w:val="Normal"/>
    <w:next w:val="Normal"/>
    <w:autoRedefine/>
    <w:uiPriority w:val="39"/>
    <w:unhideWhenUsed/>
    <w:qFormat/>
    <w:rsid w:val="00EF6681"/>
    <w:pPr>
      <w:ind w:left="440"/>
    </w:pPr>
  </w:style>
  <w:style w:type="paragraph" w:styleId="TOC4">
    <w:name w:val="toc 4"/>
    <w:basedOn w:val="Normal"/>
    <w:next w:val="Normal"/>
    <w:autoRedefine/>
    <w:uiPriority w:val="39"/>
    <w:unhideWhenUsed/>
    <w:rsid w:val="00EF6681"/>
    <w:pPr>
      <w:spacing w:after="100" w:line="276" w:lineRule="auto"/>
      <w:ind w:left="660"/>
    </w:pPr>
    <w:rPr>
      <w:rFonts w:ascii="Calibri" w:hAnsi="Calibri" w:cs="Times New Roman"/>
      <w:lang w:val="es-AR" w:eastAsia="es-AR"/>
    </w:rPr>
  </w:style>
  <w:style w:type="paragraph" w:styleId="TOC5">
    <w:name w:val="toc 5"/>
    <w:basedOn w:val="Normal"/>
    <w:next w:val="Normal"/>
    <w:autoRedefine/>
    <w:uiPriority w:val="39"/>
    <w:unhideWhenUsed/>
    <w:rsid w:val="00EF6681"/>
    <w:pPr>
      <w:spacing w:after="100" w:line="276" w:lineRule="auto"/>
      <w:ind w:left="880"/>
    </w:pPr>
    <w:rPr>
      <w:rFonts w:ascii="Calibri" w:hAnsi="Calibri" w:cs="Times New Roman"/>
      <w:lang w:val="es-AR" w:eastAsia="es-AR"/>
    </w:rPr>
  </w:style>
  <w:style w:type="paragraph" w:styleId="TOC6">
    <w:name w:val="toc 6"/>
    <w:basedOn w:val="Normal"/>
    <w:next w:val="Normal"/>
    <w:autoRedefine/>
    <w:uiPriority w:val="39"/>
    <w:unhideWhenUsed/>
    <w:rsid w:val="00EF6681"/>
    <w:pPr>
      <w:spacing w:after="100" w:line="276" w:lineRule="auto"/>
      <w:ind w:left="1100"/>
    </w:pPr>
    <w:rPr>
      <w:rFonts w:ascii="Calibri" w:hAnsi="Calibri" w:cs="Times New Roman"/>
      <w:lang w:val="es-AR" w:eastAsia="es-AR"/>
    </w:rPr>
  </w:style>
  <w:style w:type="paragraph" w:styleId="TOC7">
    <w:name w:val="toc 7"/>
    <w:basedOn w:val="Normal"/>
    <w:next w:val="Normal"/>
    <w:autoRedefine/>
    <w:uiPriority w:val="39"/>
    <w:unhideWhenUsed/>
    <w:rsid w:val="00EF6681"/>
    <w:pPr>
      <w:spacing w:after="100" w:line="276" w:lineRule="auto"/>
      <w:ind w:left="1320"/>
    </w:pPr>
    <w:rPr>
      <w:rFonts w:ascii="Calibri" w:hAnsi="Calibri" w:cs="Times New Roman"/>
      <w:lang w:val="es-AR" w:eastAsia="es-AR"/>
    </w:rPr>
  </w:style>
  <w:style w:type="paragraph" w:styleId="TOC8">
    <w:name w:val="toc 8"/>
    <w:basedOn w:val="Normal"/>
    <w:next w:val="Normal"/>
    <w:autoRedefine/>
    <w:uiPriority w:val="39"/>
    <w:unhideWhenUsed/>
    <w:rsid w:val="00EF6681"/>
    <w:pPr>
      <w:spacing w:after="100" w:line="276" w:lineRule="auto"/>
      <w:ind w:left="1540"/>
    </w:pPr>
    <w:rPr>
      <w:rFonts w:ascii="Calibri" w:hAnsi="Calibri" w:cs="Times New Roman"/>
      <w:lang w:val="es-AR" w:eastAsia="es-AR"/>
    </w:rPr>
  </w:style>
  <w:style w:type="paragraph" w:styleId="TOC9">
    <w:name w:val="toc 9"/>
    <w:basedOn w:val="Normal"/>
    <w:next w:val="Normal"/>
    <w:autoRedefine/>
    <w:uiPriority w:val="39"/>
    <w:unhideWhenUsed/>
    <w:rsid w:val="00EF6681"/>
    <w:pPr>
      <w:spacing w:after="100" w:line="276" w:lineRule="auto"/>
      <w:ind w:left="1760"/>
    </w:pPr>
    <w:rPr>
      <w:rFonts w:ascii="Calibri" w:hAnsi="Calibri" w:cs="Times New Roman"/>
      <w:lang w:val="es-AR" w:eastAsia="es-AR"/>
    </w:rPr>
  </w:style>
  <w:style w:type="character" w:styleId="Hyperlink">
    <w:name w:val="Hyperlink"/>
    <w:basedOn w:val="DefaultParagraphFont"/>
    <w:uiPriority w:val="99"/>
    <w:unhideWhenUsed/>
    <w:rsid w:val="00EF6681"/>
    <w:rPr>
      <w:color w:val="0000FF"/>
      <w:u w:val="single"/>
    </w:rPr>
  </w:style>
  <w:style w:type="paragraph" w:styleId="BalloonText">
    <w:name w:val="Balloon Text"/>
    <w:basedOn w:val="Normal"/>
    <w:link w:val="BalloonTextChar"/>
    <w:uiPriority w:val="99"/>
    <w:semiHidden/>
    <w:unhideWhenUsed/>
    <w:rsid w:val="00D62774"/>
    <w:rPr>
      <w:rFonts w:ascii="Tahoma" w:hAnsi="Tahoma" w:cs="Tahoma"/>
      <w:sz w:val="16"/>
      <w:szCs w:val="16"/>
    </w:rPr>
  </w:style>
  <w:style w:type="character" w:customStyle="1" w:styleId="BalloonTextChar">
    <w:name w:val="Balloon Text Char"/>
    <w:basedOn w:val="DefaultParagraphFont"/>
    <w:link w:val="BalloonText"/>
    <w:uiPriority w:val="99"/>
    <w:semiHidden/>
    <w:rsid w:val="00D62774"/>
    <w:rPr>
      <w:rFonts w:ascii="Tahoma" w:hAnsi="Tahoma" w:cs="Tahoma"/>
      <w:sz w:val="16"/>
      <w:szCs w:val="16"/>
      <w:lang w:val="es-ES_tradnl" w:eastAsia="en-US"/>
    </w:rPr>
  </w:style>
  <w:style w:type="paragraph" w:styleId="Header">
    <w:name w:val="header"/>
    <w:basedOn w:val="Normal"/>
    <w:link w:val="HeaderChar"/>
    <w:uiPriority w:val="99"/>
    <w:unhideWhenUsed/>
    <w:rsid w:val="00164AC7"/>
    <w:pPr>
      <w:tabs>
        <w:tab w:val="center" w:pos="4419"/>
        <w:tab w:val="right" w:pos="8838"/>
      </w:tabs>
    </w:pPr>
  </w:style>
  <w:style w:type="character" w:customStyle="1" w:styleId="HeaderChar">
    <w:name w:val="Header Char"/>
    <w:basedOn w:val="DefaultParagraphFont"/>
    <w:link w:val="Header"/>
    <w:uiPriority w:val="99"/>
    <w:rsid w:val="00164AC7"/>
    <w:rPr>
      <w:rFonts w:ascii="Times" w:hAnsi="Times" w:cs="Times"/>
      <w:sz w:val="22"/>
      <w:szCs w:val="22"/>
      <w:lang w:val="es-ES_tradnl" w:eastAsia="en-US"/>
    </w:rPr>
  </w:style>
  <w:style w:type="character" w:styleId="CommentReference">
    <w:name w:val="annotation reference"/>
    <w:basedOn w:val="DefaultParagraphFont"/>
    <w:uiPriority w:val="99"/>
    <w:semiHidden/>
    <w:unhideWhenUsed/>
    <w:rsid w:val="0041558B"/>
    <w:rPr>
      <w:sz w:val="16"/>
      <w:szCs w:val="16"/>
    </w:rPr>
  </w:style>
  <w:style w:type="paragraph" w:styleId="CommentText">
    <w:name w:val="annotation text"/>
    <w:basedOn w:val="Normal"/>
    <w:link w:val="CommentTextChar"/>
    <w:uiPriority w:val="99"/>
    <w:semiHidden/>
    <w:unhideWhenUsed/>
    <w:rsid w:val="0041558B"/>
    <w:rPr>
      <w:szCs w:val="20"/>
    </w:rPr>
  </w:style>
  <w:style w:type="character" w:customStyle="1" w:styleId="CommentTextChar">
    <w:name w:val="Comment Text Char"/>
    <w:basedOn w:val="DefaultParagraphFont"/>
    <w:link w:val="CommentText"/>
    <w:uiPriority w:val="99"/>
    <w:semiHidden/>
    <w:rsid w:val="0041558B"/>
    <w:rPr>
      <w:rFonts w:ascii="Times" w:hAnsi="Times" w:cs="Times"/>
      <w:lang w:val="es-ES_tradnl" w:eastAsia="en-US"/>
    </w:rPr>
  </w:style>
  <w:style w:type="paragraph" w:styleId="CommentSubject">
    <w:name w:val="annotation subject"/>
    <w:basedOn w:val="CommentText"/>
    <w:next w:val="CommentText"/>
    <w:link w:val="CommentSubjectChar"/>
    <w:uiPriority w:val="99"/>
    <w:semiHidden/>
    <w:unhideWhenUsed/>
    <w:rsid w:val="0041558B"/>
    <w:rPr>
      <w:b/>
      <w:bCs/>
    </w:rPr>
  </w:style>
  <w:style w:type="character" w:customStyle="1" w:styleId="CommentSubjectChar">
    <w:name w:val="Comment Subject Char"/>
    <w:basedOn w:val="CommentTextChar"/>
    <w:link w:val="CommentSubject"/>
    <w:uiPriority w:val="99"/>
    <w:semiHidden/>
    <w:rsid w:val="0041558B"/>
    <w:rPr>
      <w:rFonts w:ascii="Times" w:hAnsi="Times" w:cs="Times"/>
      <w:b/>
      <w:bCs/>
      <w:lang w:val="es-ES_tradnl" w:eastAsia="en-US"/>
    </w:rPr>
  </w:style>
  <w:style w:type="paragraph" w:customStyle="1" w:styleId="FirstHeading">
    <w:name w:val="FirstHeading"/>
    <w:basedOn w:val="Normal"/>
    <w:rsid w:val="00981691"/>
    <w:pPr>
      <w:keepNext/>
      <w:tabs>
        <w:tab w:val="left" w:pos="0"/>
        <w:tab w:val="left" w:pos="90"/>
      </w:tabs>
      <w:spacing w:before="120"/>
      <w:ind w:left="720" w:hanging="720"/>
    </w:pPr>
    <w:rPr>
      <w:rFonts w:ascii="Times New Roman" w:hAnsi="Times New Roman" w:cs="Times New Roman"/>
      <w:b/>
      <w:sz w:val="24"/>
      <w:szCs w:val="20"/>
      <w:lang w:val="es-ES"/>
    </w:rPr>
  </w:style>
  <w:style w:type="paragraph" w:customStyle="1" w:styleId="SubHeading1">
    <w:name w:val="SubHeading1"/>
    <w:basedOn w:val="SecHeading"/>
    <w:rsid w:val="00981691"/>
    <w:pPr>
      <w:tabs>
        <w:tab w:val="clear" w:pos="1296"/>
        <w:tab w:val="num" w:pos="1872"/>
      </w:tabs>
      <w:spacing w:before="120"/>
      <w:ind w:left="1872" w:hanging="576"/>
    </w:pPr>
    <w:rPr>
      <w:rFonts w:ascii="Times New Roman" w:hAnsi="Times New Roman" w:cs="Times New Roman"/>
      <w:bCs w:val="0"/>
      <w:sz w:val="24"/>
      <w:szCs w:val="20"/>
    </w:rPr>
  </w:style>
  <w:style w:type="paragraph" w:customStyle="1" w:styleId="Subheading2">
    <w:name w:val="Subheading2"/>
    <w:basedOn w:val="SecHeading"/>
    <w:rsid w:val="00981691"/>
    <w:pPr>
      <w:tabs>
        <w:tab w:val="clear" w:pos="1296"/>
        <w:tab w:val="num" w:pos="2376"/>
      </w:tabs>
      <w:spacing w:before="120"/>
      <w:ind w:left="2376" w:hanging="288"/>
    </w:pPr>
    <w:rPr>
      <w:rFonts w:ascii="Times New Roman" w:hAnsi="Times New Roman" w:cs="Times New Roman"/>
      <w:bCs w:val="0"/>
      <w:sz w:val="24"/>
      <w:szCs w:val="20"/>
    </w:rPr>
  </w:style>
  <w:style w:type="paragraph" w:customStyle="1" w:styleId="subpar">
    <w:name w:val="subpar"/>
    <w:basedOn w:val="BodyTextIndent3"/>
    <w:rsid w:val="00981691"/>
    <w:pPr>
      <w:tabs>
        <w:tab w:val="num" w:pos="720"/>
      </w:tabs>
      <w:spacing w:before="120"/>
      <w:ind w:left="720" w:hanging="720"/>
      <w:outlineLvl w:val="2"/>
    </w:pPr>
    <w:rPr>
      <w:rFonts w:ascii="Times New Roman" w:hAnsi="Times New Roman" w:cs="Times New Roman"/>
      <w:sz w:val="24"/>
      <w:szCs w:val="20"/>
    </w:rPr>
  </w:style>
  <w:style w:type="paragraph" w:customStyle="1" w:styleId="SubSubPar">
    <w:name w:val="SubSubPar"/>
    <w:basedOn w:val="subpar"/>
    <w:rsid w:val="00981691"/>
    <w:pPr>
      <w:tabs>
        <w:tab w:val="clear" w:pos="720"/>
        <w:tab w:val="left" w:pos="0"/>
        <w:tab w:val="num" w:pos="864"/>
      </w:tabs>
      <w:ind w:left="864" w:hanging="864"/>
    </w:pPr>
  </w:style>
  <w:style w:type="paragraph" w:customStyle="1" w:styleId="Regtable">
    <w:name w:val="Regtable"/>
    <w:basedOn w:val="Normal"/>
    <w:link w:val="RegtableChar"/>
    <w:rsid w:val="00981691"/>
    <w:pPr>
      <w:keepLines/>
      <w:framePr w:wrap="around" w:vAnchor="text" w:hAnchor="text" w:y="1"/>
      <w:spacing w:before="20" w:after="20"/>
    </w:pPr>
    <w:rPr>
      <w:rFonts w:ascii="Times New Roman" w:hAnsi="Times New Roman" w:cs="Times New Roman"/>
      <w:noProof/>
      <w:spacing w:val="-3"/>
      <w:sz w:val="24"/>
      <w:szCs w:val="20"/>
    </w:rPr>
  </w:style>
  <w:style w:type="character" w:customStyle="1" w:styleId="RegtableChar">
    <w:name w:val="Regtable Char"/>
    <w:link w:val="Regtable"/>
    <w:rsid w:val="00981691"/>
    <w:rPr>
      <w:noProof/>
      <w:spacing w:val="-3"/>
      <w:sz w:val="24"/>
      <w:lang w:val="es-ES_tradnl" w:eastAsia="en-US"/>
    </w:rPr>
  </w:style>
  <w:style w:type="character" w:customStyle="1" w:styleId="ParagraphChar">
    <w:name w:val="Paragraph Char"/>
    <w:aliases w:val="paragraph Char,p Char,PARAGRAPH Char,PG Char,pa Char,at Char"/>
    <w:link w:val="Paragraph"/>
    <w:rsid w:val="00872A3D"/>
    <w:rPr>
      <w:rFonts w:ascii="Arial" w:hAnsi="Arial"/>
      <w:szCs w:val="24"/>
      <w:lang w:eastAsia="en-US"/>
    </w:rPr>
  </w:style>
  <w:style w:type="table" w:styleId="TableGrid">
    <w:name w:val="Table Grid"/>
    <w:basedOn w:val="TableNormal"/>
    <w:uiPriority w:val="59"/>
    <w:rsid w:val="00981691"/>
    <w:rPr>
      <w:rFonts w:eastAsiaTheme="minorEastAsia"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981691"/>
    <w:pPr>
      <w:ind w:left="360"/>
    </w:pPr>
    <w:rPr>
      <w:sz w:val="16"/>
      <w:szCs w:val="16"/>
    </w:rPr>
  </w:style>
  <w:style w:type="character" w:customStyle="1" w:styleId="BodyTextIndent3Char">
    <w:name w:val="Body Text Indent 3 Char"/>
    <w:basedOn w:val="DefaultParagraphFont"/>
    <w:link w:val="BodyTextIndent3"/>
    <w:uiPriority w:val="99"/>
    <w:semiHidden/>
    <w:rsid w:val="00981691"/>
    <w:rPr>
      <w:rFonts w:ascii="Times" w:hAnsi="Times" w:cs="Times"/>
      <w:sz w:val="16"/>
      <w:szCs w:val="16"/>
      <w:lang w:val="es-ES_tradnl" w:eastAsia="en-US"/>
    </w:rPr>
  </w:style>
  <w:style w:type="paragraph" w:styleId="NoSpacing">
    <w:name w:val="No Spacing"/>
    <w:basedOn w:val="Normal"/>
    <w:uiPriority w:val="1"/>
    <w:qFormat/>
    <w:rsid w:val="006F161A"/>
    <w:pPr>
      <w:spacing w:after="0"/>
      <w:jc w:val="left"/>
    </w:pPr>
    <w:rPr>
      <w:rFonts w:cs="Arial"/>
      <w:szCs w:val="20"/>
      <w:lang w:val="es-UY"/>
    </w:rPr>
  </w:style>
  <w:style w:type="character" w:customStyle="1" w:styleId="ParagraphCar">
    <w:name w:val="Paragraph Car"/>
    <w:rsid w:val="009F52A4"/>
    <w:rPr>
      <w:rFonts w:ascii="Times New Roman" w:eastAsia="Times New Roman" w:hAnsi="Times New Roman" w:cs="Times New Roman"/>
      <w:sz w:val="24"/>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mprasestatales.gub.uy"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E287C2AAB838043B7FEEB2457323F73" ma:contentTypeVersion="0" ma:contentTypeDescription="A content type to manage public (operations) IDB documents" ma:contentTypeScope="" ma:versionID="6354b31999b2362b430dcc3e38d5f982">
  <xsd:schema xmlns:xsd="http://www.w3.org/2001/XMLSchema" xmlns:xs="http://www.w3.org/2001/XMLSchema" xmlns:p="http://schemas.microsoft.com/office/2006/metadata/properties" xmlns:ns2="9c571b2f-e523-4ab2-ba2e-09e151a03ef4" targetNamespace="http://schemas.microsoft.com/office/2006/metadata/properties" ma:root="true" ma:fieldsID="fca353a57030c8e3f0c4df7811ea3665"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280a35e-b938-40a4-87f4-c822ed063427}" ma:internalName="TaxCatchAll" ma:showField="CatchAllData"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280a35e-b938-40a4-87f4-c822ed063427}" ma:internalName="TaxCatchAllLabel" ma:readOnly="true" ma:showField="CatchAllDataLabel"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SCL/EDU</Division_x0020_or_x0020_Unit>
    <Other_x0020_Author xmlns="9c571b2f-e523-4ab2-ba2e-09e151a03ef4" xsi:nil="true"/>
    <Region xmlns="9c571b2f-e523-4ab2-ba2e-09e151a03ef4" xsi:nil="true"/>
    <IDBDocs_x0020_Number xmlns="9c571b2f-e523-4ab2-ba2e-09e151a03ef4">40420962</IDBDocs_x0020_Number>
    <Document_x0020_Author xmlns="9c571b2f-e523-4ab2-ba2e-09e151a03ef4">Perez Alfaro, Marcelo A.</Document_x0020_Author>
    <Publication_x0020_Type xmlns="9c571b2f-e523-4ab2-ba2e-09e151a03ef4" xsi:nil="true"/>
    <Operation_x0020_Type xmlns="9c571b2f-e523-4ab2-ba2e-09e151a03ef4" xsi:nil="true"/>
    <TaxCatchAll xmlns="9c571b2f-e523-4ab2-ba2e-09e151a03ef4">
      <Value>5</Value>
      <Value>6</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UR-L1116</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ED-EDU</Webtopic>
    <Identifier xmlns="9c571b2f-e523-4ab2-ba2e-09e151a03ef4"> ANNEX</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9D0CF78C-52A5-41E7-BB62-EABB1180A90C}"/>
</file>

<file path=customXml/itemProps2.xml><?xml version="1.0" encoding="utf-8"?>
<ds:datastoreItem xmlns:ds="http://schemas.openxmlformats.org/officeDocument/2006/customXml" ds:itemID="{EC78A337-4B90-473A-A0C0-BA41F8C3DEC5}"/>
</file>

<file path=customXml/itemProps3.xml><?xml version="1.0" encoding="utf-8"?>
<ds:datastoreItem xmlns:ds="http://schemas.openxmlformats.org/officeDocument/2006/customXml" ds:itemID="{F87FAA3B-44EA-41EB-80F1-01C9CA098FB6}"/>
</file>

<file path=customXml/itemProps4.xml><?xml version="1.0" encoding="utf-8"?>
<ds:datastoreItem xmlns:ds="http://schemas.openxmlformats.org/officeDocument/2006/customXml" ds:itemID="{C04D5612-5254-4E0D-8958-C77537D8FBFC}"/>
</file>

<file path=customXml/itemProps5.xml><?xml version="1.0" encoding="utf-8"?>
<ds:datastoreItem xmlns:ds="http://schemas.openxmlformats.org/officeDocument/2006/customXml" ds:itemID="{29655D93-F26F-471C-803E-A2AA475F4987}"/>
</file>

<file path=customXml/itemProps6.xml><?xml version="1.0" encoding="utf-8"?>
<ds:datastoreItem xmlns:ds="http://schemas.openxmlformats.org/officeDocument/2006/customXml" ds:itemID="{B36CA35F-9BC2-429C-92B2-7FA7AE4ABB70}"/>
</file>

<file path=docProps/app.xml><?xml version="1.0" encoding="utf-8"?>
<Properties xmlns="http://schemas.openxmlformats.org/officeDocument/2006/extended-properties" xmlns:vt="http://schemas.openxmlformats.org/officeDocument/2006/docPropsVTypes">
  <Template>Normal.dotm</Template>
  <TotalTime>1</TotalTime>
  <Pages>25</Pages>
  <Words>8953</Words>
  <Characters>51035</Characters>
  <Application>Microsoft Office Word</Application>
  <DocSecurity>4</DocSecurity>
  <Lines>425</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59869</CharactersWithSpaces>
  <SharedDoc>false</SharedDoc>
  <HLinks>
    <vt:vector size="192" baseType="variant">
      <vt:variant>
        <vt:i4>4063268</vt:i4>
      </vt:variant>
      <vt:variant>
        <vt:i4>189</vt:i4>
      </vt:variant>
      <vt:variant>
        <vt:i4>0</vt:i4>
      </vt:variant>
      <vt:variant>
        <vt:i4>5</vt:i4>
      </vt:variant>
      <vt:variant>
        <vt:lpwstr>http://www.comprasestatales.gub.uy/</vt:lpwstr>
      </vt:variant>
      <vt:variant>
        <vt:lpwstr/>
      </vt:variant>
      <vt:variant>
        <vt:i4>1114166</vt:i4>
      </vt:variant>
      <vt:variant>
        <vt:i4>182</vt:i4>
      </vt:variant>
      <vt:variant>
        <vt:i4>0</vt:i4>
      </vt:variant>
      <vt:variant>
        <vt:i4>5</vt:i4>
      </vt:variant>
      <vt:variant>
        <vt:lpwstr/>
      </vt:variant>
      <vt:variant>
        <vt:lpwstr>_Toc274073726</vt:lpwstr>
      </vt:variant>
      <vt:variant>
        <vt:i4>1114166</vt:i4>
      </vt:variant>
      <vt:variant>
        <vt:i4>176</vt:i4>
      </vt:variant>
      <vt:variant>
        <vt:i4>0</vt:i4>
      </vt:variant>
      <vt:variant>
        <vt:i4>5</vt:i4>
      </vt:variant>
      <vt:variant>
        <vt:lpwstr/>
      </vt:variant>
      <vt:variant>
        <vt:lpwstr>_Toc274073725</vt:lpwstr>
      </vt:variant>
      <vt:variant>
        <vt:i4>1114166</vt:i4>
      </vt:variant>
      <vt:variant>
        <vt:i4>170</vt:i4>
      </vt:variant>
      <vt:variant>
        <vt:i4>0</vt:i4>
      </vt:variant>
      <vt:variant>
        <vt:i4>5</vt:i4>
      </vt:variant>
      <vt:variant>
        <vt:lpwstr/>
      </vt:variant>
      <vt:variant>
        <vt:lpwstr>_Toc274073724</vt:lpwstr>
      </vt:variant>
      <vt:variant>
        <vt:i4>1114166</vt:i4>
      </vt:variant>
      <vt:variant>
        <vt:i4>164</vt:i4>
      </vt:variant>
      <vt:variant>
        <vt:i4>0</vt:i4>
      </vt:variant>
      <vt:variant>
        <vt:i4>5</vt:i4>
      </vt:variant>
      <vt:variant>
        <vt:lpwstr/>
      </vt:variant>
      <vt:variant>
        <vt:lpwstr>_Toc274073723</vt:lpwstr>
      </vt:variant>
      <vt:variant>
        <vt:i4>1114166</vt:i4>
      </vt:variant>
      <vt:variant>
        <vt:i4>158</vt:i4>
      </vt:variant>
      <vt:variant>
        <vt:i4>0</vt:i4>
      </vt:variant>
      <vt:variant>
        <vt:i4>5</vt:i4>
      </vt:variant>
      <vt:variant>
        <vt:lpwstr/>
      </vt:variant>
      <vt:variant>
        <vt:lpwstr>_Toc274073722</vt:lpwstr>
      </vt:variant>
      <vt:variant>
        <vt:i4>1114166</vt:i4>
      </vt:variant>
      <vt:variant>
        <vt:i4>152</vt:i4>
      </vt:variant>
      <vt:variant>
        <vt:i4>0</vt:i4>
      </vt:variant>
      <vt:variant>
        <vt:i4>5</vt:i4>
      </vt:variant>
      <vt:variant>
        <vt:lpwstr/>
      </vt:variant>
      <vt:variant>
        <vt:lpwstr>_Toc274073721</vt:lpwstr>
      </vt:variant>
      <vt:variant>
        <vt:i4>1114166</vt:i4>
      </vt:variant>
      <vt:variant>
        <vt:i4>146</vt:i4>
      </vt:variant>
      <vt:variant>
        <vt:i4>0</vt:i4>
      </vt:variant>
      <vt:variant>
        <vt:i4>5</vt:i4>
      </vt:variant>
      <vt:variant>
        <vt:lpwstr/>
      </vt:variant>
      <vt:variant>
        <vt:lpwstr>_Toc274073720</vt:lpwstr>
      </vt:variant>
      <vt:variant>
        <vt:i4>1179702</vt:i4>
      </vt:variant>
      <vt:variant>
        <vt:i4>140</vt:i4>
      </vt:variant>
      <vt:variant>
        <vt:i4>0</vt:i4>
      </vt:variant>
      <vt:variant>
        <vt:i4>5</vt:i4>
      </vt:variant>
      <vt:variant>
        <vt:lpwstr/>
      </vt:variant>
      <vt:variant>
        <vt:lpwstr>_Toc274073719</vt:lpwstr>
      </vt:variant>
      <vt:variant>
        <vt:i4>1179702</vt:i4>
      </vt:variant>
      <vt:variant>
        <vt:i4>134</vt:i4>
      </vt:variant>
      <vt:variant>
        <vt:i4>0</vt:i4>
      </vt:variant>
      <vt:variant>
        <vt:i4>5</vt:i4>
      </vt:variant>
      <vt:variant>
        <vt:lpwstr/>
      </vt:variant>
      <vt:variant>
        <vt:lpwstr>_Toc274073718</vt:lpwstr>
      </vt:variant>
      <vt:variant>
        <vt:i4>1179702</vt:i4>
      </vt:variant>
      <vt:variant>
        <vt:i4>128</vt:i4>
      </vt:variant>
      <vt:variant>
        <vt:i4>0</vt:i4>
      </vt:variant>
      <vt:variant>
        <vt:i4>5</vt:i4>
      </vt:variant>
      <vt:variant>
        <vt:lpwstr/>
      </vt:variant>
      <vt:variant>
        <vt:lpwstr>_Toc274073717</vt:lpwstr>
      </vt:variant>
      <vt:variant>
        <vt:i4>1179702</vt:i4>
      </vt:variant>
      <vt:variant>
        <vt:i4>122</vt:i4>
      </vt:variant>
      <vt:variant>
        <vt:i4>0</vt:i4>
      </vt:variant>
      <vt:variant>
        <vt:i4>5</vt:i4>
      </vt:variant>
      <vt:variant>
        <vt:lpwstr/>
      </vt:variant>
      <vt:variant>
        <vt:lpwstr>_Toc274073716</vt:lpwstr>
      </vt:variant>
      <vt:variant>
        <vt:i4>1179702</vt:i4>
      </vt:variant>
      <vt:variant>
        <vt:i4>116</vt:i4>
      </vt:variant>
      <vt:variant>
        <vt:i4>0</vt:i4>
      </vt:variant>
      <vt:variant>
        <vt:i4>5</vt:i4>
      </vt:variant>
      <vt:variant>
        <vt:lpwstr/>
      </vt:variant>
      <vt:variant>
        <vt:lpwstr>_Toc274073715</vt:lpwstr>
      </vt:variant>
      <vt:variant>
        <vt:i4>1179702</vt:i4>
      </vt:variant>
      <vt:variant>
        <vt:i4>110</vt:i4>
      </vt:variant>
      <vt:variant>
        <vt:i4>0</vt:i4>
      </vt:variant>
      <vt:variant>
        <vt:i4>5</vt:i4>
      </vt:variant>
      <vt:variant>
        <vt:lpwstr/>
      </vt:variant>
      <vt:variant>
        <vt:lpwstr>_Toc274073714</vt:lpwstr>
      </vt:variant>
      <vt:variant>
        <vt:i4>1179702</vt:i4>
      </vt:variant>
      <vt:variant>
        <vt:i4>104</vt:i4>
      </vt:variant>
      <vt:variant>
        <vt:i4>0</vt:i4>
      </vt:variant>
      <vt:variant>
        <vt:i4>5</vt:i4>
      </vt:variant>
      <vt:variant>
        <vt:lpwstr/>
      </vt:variant>
      <vt:variant>
        <vt:lpwstr>_Toc274073713</vt:lpwstr>
      </vt:variant>
      <vt:variant>
        <vt:i4>1179702</vt:i4>
      </vt:variant>
      <vt:variant>
        <vt:i4>98</vt:i4>
      </vt:variant>
      <vt:variant>
        <vt:i4>0</vt:i4>
      </vt:variant>
      <vt:variant>
        <vt:i4>5</vt:i4>
      </vt:variant>
      <vt:variant>
        <vt:lpwstr/>
      </vt:variant>
      <vt:variant>
        <vt:lpwstr>_Toc274073712</vt:lpwstr>
      </vt:variant>
      <vt:variant>
        <vt:i4>1179702</vt:i4>
      </vt:variant>
      <vt:variant>
        <vt:i4>92</vt:i4>
      </vt:variant>
      <vt:variant>
        <vt:i4>0</vt:i4>
      </vt:variant>
      <vt:variant>
        <vt:i4>5</vt:i4>
      </vt:variant>
      <vt:variant>
        <vt:lpwstr/>
      </vt:variant>
      <vt:variant>
        <vt:lpwstr>_Toc274073711</vt:lpwstr>
      </vt:variant>
      <vt:variant>
        <vt:i4>1179702</vt:i4>
      </vt:variant>
      <vt:variant>
        <vt:i4>86</vt:i4>
      </vt:variant>
      <vt:variant>
        <vt:i4>0</vt:i4>
      </vt:variant>
      <vt:variant>
        <vt:i4>5</vt:i4>
      </vt:variant>
      <vt:variant>
        <vt:lpwstr/>
      </vt:variant>
      <vt:variant>
        <vt:lpwstr>_Toc274073710</vt:lpwstr>
      </vt:variant>
      <vt:variant>
        <vt:i4>1245238</vt:i4>
      </vt:variant>
      <vt:variant>
        <vt:i4>80</vt:i4>
      </vt:variant>
      <vt:variant>
        <vt:i4>0</vt:i4>
      </vt:variant>
      <vt:variant>
        <vt:i4>5</vt:i4>
      </vt:variant>
      <vt:variant>
        <vt:lpwstr/>
      </vt:variant>
      <vt:variant>
        <vt:lpwstr>_Toc274073709</vt:lpwstr>
      </vt:variant>
      <vt:variant>
        <vt:i4>1245238</vt:i4>
      </vt:variant>
      <vt:variant>
        <vt:i4>74</vt:i4>
      </vt:variant>
      <vt:variant>
        <vt:i4>0</vt:i4>
      </vt:variant>
      <vt:variant>
        <vt:i4>5</vt:i4>
      </vt:variant>
      <vt:variant>
        <vt:lpwstr/>
      </vt:variant>
      <vt:variant>
        <vt:lpwstr>_Toc274073708</vt:lpwstr>
      </vt:variant>
      <vt:variant>
        <vt:i4>1245238</vt:i4>
      </vt:variant>
      <vt:variant>
        <vt:i4>68</vt:i4>
      </vt:variant>
      <vt:variant>
        <vt:i4>0</vt:i4>
      </vt:variant>
      <vt:variant>
        <vt:i4>5</vt:i4>
      </vt:variant>
      <vt:variant>
        <vt:lpwstr/>
      </vt:variant>
      <vt:variant>
        <vt:lpwstr>_Toc274073707</vt:lpwstr>
      </vt:variant>
      <vt:variant>
        <vt:i4>1245238</vt:i4>
      </vt:variant>
      <vt:variant>
        <vt:i4>62</vt:i4>
      </vt:variant>
      <vt:variant>
        <vt:i4>0</vt:i4>
      </vt:variant>
      <vt:variant>
        <vt:i4>5</vt:i4>
      </vt:variant>
      <vt:variant>
        <vt:lpwstr/>
      </vt:variant>
      <vt:variant>
        <vt:lpwstr>_Toc274073706</vt:lpwstr>
      </vt:variant>
      <vt:variant>
        <vt:i4>1245238</vt:i4>
      </vt:variant>
      <vt:variant>
        <vt:i4>56</vt:i4>
      </vt:variant>
      <vt:variant>
        <vt:i4>0</vt:i4>
      </vt:variant>
      <vt:variant>
        <vt:i4>5</vt:i4>
      </vt:variant>
      <vt:variant>
        <vt:lpwstr/>
      </vt:variant>
      <vt:variant>
        <vt:lpwstr>_Toc274073705</vt:lpwstr>
      </vt:variant>
      <vt:variant>
        <vt:i4>1245238</vt:i4>
      </vt:variant>
      <vt:variant>
        <vt:i4>50</vt:i4>
      </vt:variant>
      <vt:variant>
        <vt:i4>0</vt:i4>
      </vt:variant>
      <vt:variant>
        <vt:i4>5</vt:i4>
      </vt:variant>
      <vt:variant>
        <vt:lpwstr/>
      </vt:variant>
      <vt:variant>
        <vt:lpwstr>_Toc274073704</vt:lpwstr>
      </vt:variant>
      <vt:variant>
        <vt:i4>1245238</vt:i4>
      </vt:variant>
      <vt:variant>
        <vt:i4>44</vt:i4>
      </vt:variant>
      <vt:variant>
        <vt:i4>0</vt:i4>
      </vt:variant>
      <vt:variant>
        <vt:i4>5</vt:i4>
      </vt:variant>
      <vt:variant>
        <vt:lpwstr/>
      </vt:variant>
      <vt:variant>
        <vt:lpwstr>_Toc274073703</vt:lpwstr>
      </vt:variant>
      <vt:variant>
        <vt:i4>1245238</vt:i4>
      </vt:variant>
      <vt:variant>
        <vt:i4>38</vt:i4>
      </vt:variant>
      <vt:variant>
        <vt:i4>0</vt:i4>
      </vt:variant>
      <vt:variant>
        <vt:i4>5</vt:i4>
      </vt:variant>
      <vt:variant>
        <vt:lpwstr/>
      </vt:variant>
      <vt:variant>
        <vt:lpwstr>_Toc274073702</vt:lpwstr>
      </vt:variant>
      <vt:variant>
        <vt:i4>1245238</vt:i4>
      </vt:variant>
      <vt:variant>
        <vt:i4>32</vt:i4>
      </vt:variant>
      <vt:variant>
        <vt:i4>0</vt:i4>
      </vt:variant>
      <vt:variant>
        <vt:i4>5</vt:i4>
      </vt:variant>
      <vt:variant>
        <vt:lpwstr/>
      </vt:variant>
      <vt:variant>
        <vt:lpwstr>_Toc274073701</vt:lpwstr>
      </vt:variant>
      <vt:variant>
        <vt:i4>1245238</vt:i4>
      </vt:variant>
      <vt:variant>
        <vt:i4>26</vt:i4>
      </vt:variant>
      <vt:variant>
        <vt:i4>0</vt:i4>
      </vt:variant>
      <vt:variant>
        <vt:i4>5</vt:i4>
      </vt:variant>
      <vt:variant>
        <vt:lpwstr/>
      </vt:variant>
      <vt:variant>
        <vt:lpwstr>_Toc274073700</vt:lpwstr>
      </vt:variant>
      <vt:variant>
        <vt:i4>1703991</vt:i4>
      </vt:variant>
      <vt:variant>
        <vt:i4>20</vt:i4>
      </vt:variant>
      <vt:variant>
        <vt:i4>0</vt:i4>
      </vt:variant>
      <vt:variant>
        <vt:i4>5</vt:i4>
      </vt:variant>
      <vt:variant>
        <vt:lpwstr/>
      </vt:variant>
      <vt:variant>
        <vt:lpwstr>_Toc274073699</vt:lpwstr>
      </vt:variant>
      <vt:variant>
        <vt:i4>1703991</vt:i4>
      </vt:variant>
      <vt:variant>
        <vt:i4>14</vt:i4>
      </vt:variant>
      <vt:variant>
        <vt:i4>0</vt:i4>
      </vt:variant>
      <vt:variant>
        <vt:i4>5</vt:i4>
      </vt:variant>
      <vt:variant>
        <vt:lpwstr/>
      </vt:variant>
      <vt:variant>
        <vt:lpwstr>_Toc274073698</vt:lpwstr>
      </vt:variant>
      <vt:variant>
        <vt:i4>1703991</vt:i4>
      </vt:variant>
      <vt:variant>
        <vt:i4>8</vt:i4>
      </vt:variant>
      <vt:variant>
        <vt:i4>0</vt:i4>
      </vt:variant>
      <vt:variant>
        <vt:i4>5</vt:i4>
      </vt:variant>
      <vt:variant>
        <vt:lpwstr/>
      </vt:variant>
      <vt:variant>
        <vt:lpwstr>_Toc274073697</vt:lpwstr>
      </vt:variant>
      <vt:variant>
        <vt:i4>1703991</vt:i4>
      </vt:variant>
      <vt:variant>
        <vt:i4>2</vt:i4>
      </vt:variant>
      <vt:variant>
        <vt:i4>0</vt:i4>
      </vt:variant>
      <vt:variant>
        <vt:i4>5</vt:i4>
      </vt:variant>
      <vt:variant>
        <vt:lpwstr/>
      </vt:variant>
      <vt:variant>
        <vt:lpwstr>_Toc274073696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EEO1-Borrador del Reglamento Operativo</dc:title>
  <dc:creator>NATALIAB</dc:creator>
  <cp:lastModifiedBy>IADB</cp:lastModifiedBy>
  <cp:revision>2</cp:revision>
  <cp:lastPrinted>2016-08-01T13:57:00Z</cp:lastPrinted>
  <dcterms:created xsi:type="dcterms:W3CDTF">2016-09-26T23:38:00Z</dcterms:created>
  <dcterms:modified xsi:type="dcterms:W3CDTF">2016-09-26T23:38:00Z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0x01010046CF21643EE8D14686A648AA6DAD089200CE287C2AAB838043B7FEEB2457323F73</vt:lpwstr>
  </property>
  <property fmtid="{D5CDD505-2E9C-101B-9397-08002B2CF9AE}" pid="5" name="TaxKeywordTaxHTField">
    <vt:lpwstr/>
  </property>
  <property fmtid="{D5CDD505-2E9C-101B-9397-08002B2CF9AE}" pid="6" name="Series Operations IDB">
    <vt:lpwstr>5;#Unclassified|a6dff32e-d477-44cd-a56b-85efe9e0a56c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6;#IDBDocs|cca77002-e150-4b2d-ab1f-1d7a7cdcae16</vt:lpwstr>
  </property>
</Properties>
</file>