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Override2.xml" ContentType="application/vnd.openxmlformats-officedocument.themeOverride+xml"/>
  <Override PartName="/word/charts/chart5.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theme/theme1.xml" ContentType="application/vnd.openxmlformats-officedocument.theme+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Override PartName="/word/commentsExtended.xml" ContentType="application/vnd.openxmlformats-officedocument.wordprocessingml.commentsExtended+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4C" w:rsidRPr="00FC468B" w:rsidRDefault="00AC054C" w:rsidP="00AC054C">
      <w:pPr>
        <w:pStyle w:val="SubSubPar"/>
        <w:numPr>
          <w:ilvl w:val="0"/>
          <w:numId w:val="0"/>
        </w:numPr>
        <w:spacing w:after="0"/>
        <w:jc w:val="center"/>
        <w:rPr>
          <w:rFonts w:ascii="Arial" w:hAnsi="Arial" w:cs="Arial"/>
          <w:smallCaps/>
          <w:sz w:val="22"/>
          <w:szCs w:val="22"/>
          <w:lang w:val="es-ES"/>
        </w:rPr>
      </w:pPr>
      <w:r w:rsidRPr="00386FD4">
        <w:rPr>
          <w:rFonts w:ascii="Arial" w:hAnsi="Arial" w:cs="Arial"/>
          <w:smallCaps/>
          <w:sz w:val="22"/>
          <w:szCs w:val="22"/>
          <w:lang w:val="es-ES"/>
        </w:rPr>
        <w:t xml:space="preserve">Documento del Banco Interamericano </w:t>
      </w:r>
      <w:r w:rsidRPr="00FC468B">
        <w:rPr>
          <w:rFonts w:ascii="Arial" w:hAnsi="Arial" w:cs="Arial"/>
          <w:smallCaps/>
          <w:sz w:val="22"/>
          <w:szCs w:val="22"/>
          <w:lang w:val="es-ES"/>
        </w:rPr>
        <w:t>de Desarrollo</w:t>
      </w:r>
    </w:p>
    <w:p w:rsidR="00AC054C" w:rsidRPr="00AC054C" w:rsidRDefault="00AC054C" w:rsidP="00AC054C">
      <w:pPr>
        <w:tabs>
          <w:tab w:val="left" w:pos="1440"/>
          <w:tab w:val="left" w:pos="3060"/>
        </w:tabs>
        <w:jc w:val="center"/>
        <w:rPr>
          <w:rFonts w:ascii="Arial" w:hAnsi="Arial" w:cs="Arial"/>
          <w:smallCaps/>
          <w:lang w:val="es-ES"/>
        </w:rPr>
      </w:pPr>
    </w:p>
    <w:p w:rsidR="00AC054C" w:rsidRPr="00AC054C" w:rsidRDefault="00AC054C" w:rsidP="00AC054C">
      <w:pPr>
        <w:tabs>
          <w:tab w:val="left" w:pos="1440"/>
          <w:tab w:val="left" w:pos="3060"/>
        </w:tabs>
        <w:jc w:val="center"/>
        <w:rPr>
          <w:rFonts w:ascii="Arial" w:hAnsi="Arial" w:cs="Arial"/>
          <w:smallCaps/>
          <w:lang w:val="es-ES"/>
        </w:rPr>
      </w:pPr>
    </w:p>
    <w:p w:rsidR="00AC054C" w:rsidRPr="00AC054C" w:rsidRDefault="00AC054C" w:rsidP="00AC054C">
      <w:pPr>
        <w:tabs>
          <w:tab w:val="left" w:pos="1440"/>
          <w:tab w:val="left" w:pos="3060"/>
        </w:tabs>
        <w:jc w:val="center"/>
        <w:rPr>
          <w:rFonts w:ascii="Arial" w:hAnsi="Arial" w:cs="Arial"/>
          <w:smallCaps/>
          <w:lang w:val="es-ES"/>
        </w:rPr>
      </w:pPr>
    </w:p>
    <w:p w:rsidR="00AC054C" w:rsidRDefault="00AC054C" w:rsidP="00AC054C">
      <w:pPr>
        <w:tabs>
          <w:tab w:val="left" w:pos="1440"/>
          <w:tab w:val="left" w:pos="3060"/>
        </w:tabs>
        <w:jc w:val="center"/>
        <w:rPr>
          <w:rFonts w:ascii="Arial" w:hAnsi="Arial" w:cs="Arial"/>
          <w:smallCaps/>
          <w:lang w:val="es-ES"/>
        </w:rPr>
      </w:pPr>
    </w:p>
    <w:p w:rsidR="00AC054C" w:rsidRPr="00AC054C" w:rsidRDefault="00AC054C" w:rsidP="00AC054C">
      <w:pPr>
        <w:tabs>
          <w:tab w:val="left" w:pos="1440"/>
          <w:tab w:val="left" w:pos="3060"/>
        </w:tabs>
        <w:jc w:val="center"/>
        <w:rPr>
          <w:rFonts w:ascii="Arial" w:hAnsi="Arial" w:cs="Arial"/>
          <w:smallCaps/>
          <w:lang w:val="es-ES"/>
        </w:rPr>
      </w:pPr>
    </w:p>
    <w:p w:rsidR="00AC054C" w:rsidRPr="00AC054C" w:rsidRDefault="00AC054C" w:rsidP="00AC054C">
      <w:pPr>
        <w:tabs>
          <w:tab w:val="left" w:pos="1440"/>
          <w:tab w:val="left" w:pos="3060"/>
        </w:tabs>
        <w:jc w:val="center"/>
        <w:rPr>
          <w:rFonts w:ascii="Arial" w:hAnsi="Arial" w:cs="Arial"/>
          <w:smallCaps/>
          <w:lang w:val="es-ES"/>
        </w:rPr>
      </w:pPr>
    </w:p>
    <w:p w:rsidR="00AC054C" w:rsidRPr="00AC054C" w:rsidRDefault="00AC054C" w:rsidP="00AC054C">
      <w:pPr>
        <w:tabs>
          <w:tab w:val="left" w:pos="1440"/>
          <w:tab w:val="left" w:pos="3060"/>
        </w:tabs>
        <w:jc w:val="center"/>
        <w:rPr>
          <w:rFonts w:ascii="Arial" w:hAnsi="Arial" w:cs="Arial"/>
          <w:smallCaps/>
          <w:lang w:val="es-ES"/>
        </w:rPr>
      </w:pPr>
    </w:p>
    <w:p w:rsidR="00AC054C" w:rsidRPr="00AC054C" w:rsidRDefault="00AC054C" w:rsidP="00AC054C">
      <w:pPr>
        <w:tabs>
          <w:tab w:val="left" w:pos="1440"/>
          <w:tab w:val="left" w:pos="3060"/>
        </w:tabs>
        <w:jc w:val="center"/>
        <w:rPr>
          <w:rFonts w:ascii="Arial" w:hAnsi="Arial" w:cs="Arial"/>
          <w:smallCaps/>
          <w:lang w:val="es-ES"/>
        </w:rPr>
      </w:pPr>
    </w:p>
    <w:p w:rsidR="00AC054C" w:rsidRPr="00AC054C" w:rsidRDefault="00AC054C" w:rsidP="00AC054C">
      <w:pPr>
        <w:tabs>
          <w:tab w:val="left" w:pos="1440"/>
          <w:tab w:val="left" w:pos="3060"/>
        </w:tabs>
        <w:jc w:val="center"/>
        <w:rPr>
          <w:rFonts w:ascii="Arial" w:hAnsi="Arial" w:cs="Arial"/>
          <w:b/>
          <w:smallCaps/>
          <w:sz w:val="28"/>
          <w:szCs w:val="28"/>
          <w:lang w:val="es-ES"/>
        </w:rPr>
      </w:pPr>
      <w:r w:rsidRPr="00AC054C">
        <w:rPr>
          <w:rFonts w:ascii="Arial" w:hAnsi="Arial" w:cs="Arial"/>
          <w:b/>
          <w:smallCaps/>
          <w:sz w:val="28"/>
          <w:szCs w:val="28"/>
          <w:lang w:val="es-ES"/>
        </w:rPr>
        <w:t>Bolivia</w:t>
      </w:r>
    </w:p>
    <w:p w:rsidR="00AC054C" w:rsidRPr="00AC054C" w:rsidRDefault="00AC054C" w:rsidP="00AC054C">
      <w:pPr>
        <w:tabs>
          <w:tab w:val="left" w:pos="1440"/>
          <w:tab w:val="left" w:pos="3060"/>
        </w:tabs>
        <w:jc w:val="center"/>
        <w:rPr>
          <w:rFonts w:ascii="Arial" w:hAnsi="Arial" w:cs="Arial"/>
          <w:smallCaps/>
          <w:lang w:val="es-ES"/>
        </w:rPr>
      </w:pPr>
    </w:p>
    <w:p w:rsidR="00AC054C" w:rsidRPr="00AC054C" w:rsidRDefault="00AC054C" w:rsidP="00AC054C">
      <w:pPr>
        <w:tabs>
          <w:tab w:val="left" w:pos="1440"/>
          <w:tab w:val="left" w:pos="3060"/>
        </w:tabs>
        <w:jc w:val="center"/>
        <w:rPr>
          <w:rFonts w:ascii="Arial" w:hAnsi="Arial" w:cs="Arial"/>
          <w:b/>
          <w:smallCaps/>
          <w:sz w:val="28"/>
          <w:szCs w:val="28"/>
          <w:lang w:val="es-ES"/>
        </w:rPr>
      </w:pPr>
      <w:r w:rsidRPr="00AC054C">
        <w:rPr>
          <w:rFonts w:ascii="Arial" w:hAnsi="Arial" w:cs="Arial"/>
          <w:b/>
          <w:smallCaps/>
          <w:sz w:val="28"/>
          <w:szCs w:val="28"/>
          <w:lang w:val="es-ES"/>
        </w:rPr>
        <w:t>Programa de Apoyo al Empleo II</w:t>
      </w:r>
    </w:p>
    <w:p w:rsidR="00AC054C" w:rsidRPr="00FC468B" w:rsidRDefault="00AC054C" w:rsidP="00AC054C">
      <w:pPr>
        <w:pStyle w:val="Newpage"/>
        <w:rPr>
          <w:rFonts w:ascii="Arial" w:hAnsi="Arial" w:cs="Arial"/>
          <w:b w:val="0"/>
          <w:caps/>
          <w:smallCaps w:val="0"/>
          <w:sz w:val="22"/>
          <w:szCs w:val="22"/>
        </w:rPr>
      </w:pPr>
    </w:p>
    <w:p w:rsidR="00AC054C" w:rsidRPr="00FC468B" w:rsidRDefault="00AC054C" w:rsidP="00AC054C">
      <w:pPr>
        <w:tabs>
          <w:tab w:val="left" w:pos="1440"/>
          <w:tab w:val="left" w:pos="3060"/>
        </w:tabs>
        <w:jc w:val="center"/>
        <w:rPr>
          <w:rFonts w:ascii="Arial" w:hAnsi="Arial" w:cs="Arial"/>
          <w:b/>
          <w:smallCaps/>
          <w:lang w:val="pt-BR"/>
        </w:rPr>
      </w:pPr>
      <w:r w:rsidRPr="00FC468B">
        <w:rPr>
          <w:rFonts w:ascii="Arial" w:hAnsi="Arial" w:cs="Arial"/>
          <w:b/>
          <w:smallCaps/>
          <w:lang w:val="pt-BR"/>
        </w:rPr>
        <w:t>(BO-L1121)</w:t>
      </w:r>
    </w:p>
    <w:p w:rsidR="00AC054C" w:rsidRPr="00FC468B" w:rsidRDefault="00AC054C" w:rsidP="00AC054C">
      <w:pPr>
        <w:tabs>
          <w:tab w:val="left" w:pos="1440"/>
          <w:tab w:val="left" w:pos="3060"/>
        </w:tabs>
        <w:jc w:val="center"/>
        <w:rPr>
          <w:rFonts w:ascii="Arial" w:hAnsi="Arial" w:cs="Arial"/>
          <w:smallCaps/>
          <w:lang w:val="pt-BR"/>
        </w:rPr>
      </w:pPr>
    </w:p>
    <w:p w:rsidR="00AC054C" w:rsidRPr="00FC468B" w:rsidRDefault="00AC054C" w:rsidP="00AC054C">
      <w:pPr>
        <w:tabs>
          <w:tab w:val="left" w:pos="1440"/>
          <w:tab w:val="left" w:pos="3060"/>
        </w:tabs>
        <w:jc w:val="center"/>
        <w:rPr>
          <w:rFonts w:ascii="Arial" w:hAnsi="Arial" w:cs="Arial"/>
          <w:lang w:val="pt-BR"/>
        </w:rPr>
      </w:pPr>
      <w:r w:rsidRPr="00FC468B">
        <w:rPr>
          <w:rFonts w:ascii="Arial" w:hAnsi="Arial" w:cs="Arial"/>
          <w:b/>
          <w:smallCaps/>
          <w:szCs w:val="24"/>
          <w:lang w:val="pt-BR"/>
        </w:rPr>
        <w:t>Estratégia de Género BO-L1121</w:t>
      </w:r>
    </w:p>
    <w:p w:rsidR="00AC054C" w:rsidRPr="00386FD4" w:rsidRDefault="00AC054C" w:rsidP="00AC054C">
      <w:pPr>
        <w:tabs>
          <w:tab w:val="left" w:pos="1440"/>
          <w:tab w:val="left" w:pos="3060"/>
        </w:tabs>
        <w:jc w:val="center"/>
        <w:rPr>
          <w:rFonts w:ascii="Arial" w:hAnsi="Arial" w:cs="Arial"/>
          <w:lang w:val="pt-BR"/>
        </w:rPr>
      </w:pPr>
    </w:p>
    <w:p w:rsidR="00AC054C" w:rsidRPr="00FC468B" w:rsidRDefault="00AC054C" w:rsidP="00AC054C">
      <w:pPr>
        <w:tabs>
          <w:tab w:val="left" w:pos="1440"/>
          <w:tab w:val="left" w:pos="3060"/>
        </w:tabs>
        <w:jc w:val="center"/>
        <w:rPr>
          <w:rFonts w:ascii="Arial" w:hAnsi="Arial" w:cs="Arial"/>
          <w:lang w:val="pt-BR"/>
        </w:rPr>
      </w:pPr>
    </w:p>
    <w:p w:rsidR="00AC054C" w:rsidRPr="00FC468B" w:rsidRDefault="00AC054C" w:rsidP="00AC054C">
      <w:pPr>
        <w:tabs>
          <w:tab w:val="left" w:pos="1440"/>
          <w:tab w:val="left" w:pos="3060"/>
        </w:tabs>
        <w:jc w:val="center"/>
        <w:rPr>
          <w:rFonts w:ascii="Arial" w:hAnsi="Arial" w:cs="Arial"/>
          <w:lang w:val="pt-BR"/>
        </w:rPr>
      </w:pPr>
    </w:p>
    <w:p w:rsidR="00AC054C" w:rsidRDefault="00AC054C" w:rsidP="00AC054C">
      <w:pPr>
        <w:tabs>
          <w:tab w:val="left" w:pos="1440"/>
          <w:tab w:val="left" w:pos="3060"/>
        </w:tabs>
        <w:jc w:val="center"/>
        <w:rPr>
          <w:rFonts w:ascii="Arial" w:hAnsi="Arial" w:cs="Arial"/>
          <w:lang w:val="pt-BR"/>
        </w:rPr>
      </w:pPr>
    </w:p>
    <w:p w:rsidR="00AC054C" w:rsidRDefault="00AC054C" w:rsidP="00AC054C">
      <w:pPr>
        <w:tabs>
          <w:tab w:val="left" w:pos="1440"/>
          <w:tab w:val="left" w:pos="3060"/>
        </w:tabs>
        <w:jc w:val="center"/>
        <w:rPr>
          <w:rFonts w:ascii="Arial" w:hAnsi="Arial" w:cs="Arial"/>
          <w:lang w:val="pt-BR"/>
        </w:rPr>
      </w:pPr>
    </w:p>
    <w:p w:rsidR="00AC054C" w:rsidRDefault="00AC054C" w:rsidP="00AC054C">
      <w:pPr>
        <w:tabs>
          <w:tab w:val="left" w:pos="1440"/>
          <w:tab w:val="left" w:pos="3060"/>
        </w:tabs>
        <w:jc w:val="center"/>
        <w:rPr>
          <w:rFonts w:ascii="Arial" w:hAnsi="Arial" w:cs="Arial"/>
          <w:lang w:val="pt-BR"/>
        </w:rPr>
      </w:pPr>
    </w:p>
    <w:p w:rsidR="00AC054C" w:rsidRDefault="00AC054C" w:rsidP="00AC054C">
      <w:pPr>
        <w:tabs>
          <w:tab w:val="left" w:pos="1440"/>
          <w:tab w:val="left" w:pos="3060"/>
        </w:tabs>
        <w:jc w:val="center"/>
        <w:rPr>
          <w:rFonts w:ascii="Arial" w:hAnsi="Arial" w:cs="Arial"/>
          <w:lang w:val="pt-BR"/>
        </w:rPr>
      </w:pPr>
    </w:p>
    <w:p w:rsidR="00AC054C" w:rsidRPr="00FC468B" w:rsidRDefault="00AC054C" w:rsidP="00AC054C">
      <w:pPr>
        <w:tabs>
          <w:tab w:val="left" w:pos="1440"/>
          <w:tab w:val="left" w:pos="3060"/>
        </w:tabs>
        <w:jc w:val="center"/>
        <w:rPr>
          <w:rFonts w:ascii="Arial" w:hAnsi="Arial" w:cs="Arial"/>
          <w:lang w:val="pt-BR"/>
        </w:rPr>
      </w:pPr>
    </w:p>
    <w:p w:rsidR="00AC054C" w:rsidRPr="006C73C9" w:rsidRDefault="00AC054C" w:rsidP="00AC054C">
      <w:pPr>
        <w:pStyle w:val="subpar"/>
        <w:numPr>
          <w:ilvl w:val="0"/>
          <w:numId w:val="0"/>
        </w:numPr>
        <w:pBdr>
          <w:top w:val="single" w:sz="4" w:space="1" w:color="auto"/>
          <w:left w:val="single" w:sz="4" w:space="4" w:color="auto"/>
          <w:bottom w:val="single" w:sz="4" w:space="1" w:color="auto"/>
          <w:right w:val="single" w:sz="4" w:space="4" w:color="auto"/>
        </w:pBdr>
        <w:tabs>
          <w:tab w:val="clear" w:pos="1152"/>
          <w:tab w:val="left" w:pos="1440"/>
          <w:tab w:val="left" w:pos="3060"/>
        </w:tabs>
        <w:spacing w:before="0" w:after="0"/>
        <w:outlineLvl w:val="9"/>
        <w:rPr>
          <w:rFonts w:ascii="Arial" w:hAnsi="Arial" w:cs="Arial"/>
          <w:sz w:val="20"/>
        </w:rPr>
      </w:pPr>
      <w:r w:rsidRPr="006C73C9">
        <w:rPr>
          <w:rFonts w:ascii="Arial" w:hAnsi="Arial" w:cs="Arial"/>
          <w:sz w:val="20"/>
        </w:rPr>
        <w:t xml:space="preserve">Este documento fue preparado por </w:t>
      </w:r>
      <w:r w:rsidR="006C73C9" w:rsidRPr="006C73C9">
        <w:rPr>
          <w:rFonts w:ascii="Arial" w:hAnsi="Arial" w:cs="Arial"/>
          <w:sz w:val="20"/>
        </w:rPr>
        <w:t xml:space="preserve">Manuel Urquidi (LMK/CBO) y José Horacio Valencia (LMK/CBO) con insumos y comentarios de </w:t>
      </w:r>
      <w:r w:rsidRPr="006C73C9">
        <w:rPr>
          <w:rFonts w:ascii="Arial" w:hAnsi="Arial" w:cs="Arial"/>
          <w:sz w:val="20"/>
        </w:rPr>
        <w:t>Verónica Tejerina (GDI/CBO); Alexandre Bagolle (LMK/CCH)</w:t>
      </w:r>
      <w:r w:rsidR="006C73C9">
        <w:rPr>
          <w:rFonts w:ascii="Arial" w:hAnsi="Arial" w:cs="Arial"/>
          <w:sz w:val="20"/>
        </w:rPr>
        <w:t xml:space="preserve"> y</w:t>
      </w:r>
      <w:r w:rsidRPr="006C73C9">
        <w:rPr>
          <w:rFonts w:ascii="Arial" w:hAnsi="Arial" w:cs="Arial"/>
          <w:sz w:val="20"/>
        </w:rPr>
        <w:t xml:space="preserve"> Nicole Amaral (SCL/LMK</w:t>
      </w:r>
      <w:r w:rsidR="006C73C9">
        <w:rPr>
          <w:rFonts w:ascii="Arial" w:hAnsi="Arial" w:cs="Arial"/>
          <w:sz w:val="20"/>
        </w:rPr>
        <w:t>).</w:t>
      </w:r>
    </w:p>
    <w:p w:rsidR="00AC054C" w:rsidRPr="006C73C9" w:rsidRDefault="00AC054C" w:rsidP="00AC054C">
      <w:pPr>
        <w:tabs>
          <w:tab w:val="left" w:pos="1440"/>
          <w:tab w:val="left" w:pos="3060"/>
        </w:tabs>
        <w:outlineLvl w:val="0"/>
        <w:rPr>
          <w:rFonts w:ascii="Arial" w:hAnsi="Arial" w:cs="Arial"/>
          <w:sz w:val="20"/>
          <w:lang w:val="es-ES_tradnl"/>
        </w:rPr>
      </w:pPr>
    </w:p>
    <w:p w:rsidR="00AC054C" w:rsidRPr="006C73C9" w:rsidRDefault="00AC054C">
      <w:pPr>
        <w:rPr>
          <w:lang w:val="es-ES_tradnl"/>
        </w:rPr>
      </w:pPr>
    </w:p>
    <w:p w:rsidR="00AC054C" w:rsidRPr="006C73C9" w:rsidRDefault="00AC054C">
      <w:pPr>
        <w:rPr>
          <w:lang w:val="es-ES_tradnl"/>
        </w:rPr>
      </w:pPr>
    </w:p>
    <w:p w:rsidR="00AC054C" w:rsidRPr="006C73C9" w:rsidRDefault="00AC054C">
      <w:pPr>
        <w:rPr>
          <w:lang w:val="es-ES_tradnl"/>
        </w:rPr>
      </w:pPr>
    </w:p>
    <w:p w:rsidR="00AC054C" w:rsidRPr="006C73C9" w:rsidRDefault="00AC054C">
      <w:pPr>
        <w:rPr>
          <w:lang w:val="es-ES_tradnl"/>
        </w:rPr>
      </w:pPr>
    </w:p>
    <w:p w:rsidR="00AC054C" w:rsidRPr="00A06F2A" w:rsidRDefault="00AC054C" w:rsidP="00AC054C">
      <w:pPr>
        <w:jc w:val="center"/>
        <w:rPr>
          <w:rFonts w:ascii="Arial" w:hAnsi="Arial" w:cs="Arial"/>
          <w:b/>
          <w:sz w:val="24"/>
          <w:szCs w:val="24"/>
          <w:lang w:val="pt-BR"/>
        </w:rPr>
      </w:pPr>
      <w:r w:rsidRPr="00A06F2A">
        <w:rPr>
          <w:rFonts w:ascii="Arial" w:hAnsi="Arial" w:cs="Arial"/>
          <w:b/>
          <w:sz w:val="24"/>
          <w:szCs w:val="24"/>
          <w:lang w:val="pt-BR"/>
        </w:rPr>
        <w:t>Estratégia de Género BO-L1121</w:t>
      </w:r>
    </w:p>
    <w:p w:rsidR="00AC054C" w:rsidRPr="00076165" w:rsidRDefault="00AC054C" w:rsidP="00655658">
      <w:pPr>
        <w:spacing w:line="276" w:lineRule="auto"/>
        <w:jc w:val="both"/>
        <w:rPr>
          <w:rFonts w:ascii="Arial" w:hAnsi="Arial" w:cs="Arial"/>
          <w:b/>
          <w:i/>
          <w:lang w:val="pt-BR"/>
        </w:rPr>
      </w:pPr>
      <w:r w:rsidRPr="00076165">
        <w:rPr>
          <w:rFonts w:ascii="Arial" w:hAnsi="Arial" w:cs="Arial"/>
          <w:b/>
          <w:i/>
          <w:lang w:val="pt-BR"/>
        </w:rPr>
        <w:t>Antecedentes</w:t>
      </w:r>
    </w:p>
    <w:p w:rsidR="00AC054C" w:rsidRPr="00076165" w:rsidRDefault="00AC054C" w:rsidP="00AA43C1">
      <w:pPr>
        <w:spacing w:line="276" w:lineRule="auto"/>
        <w:jc w:val="both"/>
        <w:rPr>
          <w:rFonts w:ascii="Arial" w:hAnsi="Arial" w:cs="Arial"/>
          <w:lang w:val="es-ES"/>
        </w:rPr>
      </w:pPr>
      <w:r w:rsidRPr="00076165">
        <w:rPr>
          <w:rFonts w:ascii="Arial" w:hAnsi="Arial" w:cs="Arial"/>
          <w:lang w:val="es-ES"/>
        </w:rPr>
        <w:t xml:space="preserve">América Latina y el Caribe (ALC) han alcanzado logros notables hacia la paridad de género en las últimas décadas (Chioda, 2011). La visibilidad de las mujeres en el hogar, en la escuela, en el mercado de trabajo y en la arena política ha evolucionado significativamente en este </w:t>
      </w:r>
      <w:r w:rsidR="0003763D" w:rsidRPr="00076165">
        <w:rPr>
          <w:rFonts w:ascii="Arial" w:hAnsi="Arial" w:cs="Arial"/>
          <w:lang w:val="es-ES"/>
        </w:rPr>
        <w:t>periodo</w:t>
      </w:r>
      <w:r w:rsidRPr="00076165">
        <w:rPr>
          <w:rFonts w:ascii="Arial" w:hAnsi="Arial" w:cs="Arial"/>
          <w:lang w:val="es-ES"/>
        </w:rPr>
        <w:t xml:space="preserve"> (Ñopo, 2012). Dentro de estos avances, el significativo incremento de la participación laboral femenina (PLF) constituye uno de los fenómenos socioeconómicos más sobresalientes en ALC en el último medio siglo. En comparación con algunas décadas atrás, hoy las mujeres de la región dedican una mayor cantidad de su tiempo a trabajar en el mercado laboral (Gasparini &amp; Marchionni, 2015). Sin embargo, a pesar del notable avance, los logros han sido insuficientes para cerrar la brecha en relación con los hombres en términos de ingresos laborales, nivel de empleo y participación en la fuerza laboral. En la mayoría de los países de ALC las mujeres siguen teniendo un ingreso laboral menor que el de los hombres (Ñopo, 2012) y la igualdad de género en el mercado de trabajo continúa siendo un desafío de desarrollo para la región (BID, 2015;  Gasparini &amp; Marchionni, 2015). </w:t>
      </w:r>
    </w:p>
    <w:p w:rsidR="00843094" w:rsidRPr="00076165" w:rsidRDefault="00E85E6C" w:rsidP="00AA43C1">
      <w:pPr>
        <w:spacing w:line="276" w:lineRule="auto"/>
        <w:jc w:val="both"/>
        <w:rPr>
          <w:rFonts w:ascii="Arial" w:hAnsi="Arial" w:cs="Arial"/>
          <w:lang w:val="es-BO"/>
        </w:rPr>
      </w:pPr>
      <w:r w:rsidRPr="00076165">
        <w:rPr>
          <w:rFonts w:ascii="Arial" w:hAnsi="Arial" w:cs="Arial"/>
          <w:lang w:val="es-ES"/>
        </w:rPr>
        <w:t xml:space="preserve">La importancia detrás de la reducción de estas inequidades de oportunidades </w:t>
      </w:r>
      <w:r w:rsidR="00AC054C" w:rsidRPr="00076165">
        <w:rPr>
          <w:rFonts w:ascii="Arial" w:hAnsi="Arial" w:cs="Arial"/>
          <w:lang w:val="es-ES"/>
        </w:rPr>
        <w:t>es importante</w:t>
      </w:r>
      <w:r w:rsidRPr="00076165">
        <w:rPr>
          <w:rFonts w:ascii="Arial" w:hAnsi="Arial" w:cs="Arial"/>
          <w:lang w:val="es-ES"/>
        </w:rPr>
        <w:t xml:space="preserve"> en la medida que </w:t>
      </w:r>
      <w:r w:rsidR="00AC054C" w:rsidRPr="00076165">
        <w:rPr>
          <w:rFonts w:ascii="Arial" w:hAnsi="Arial" w:cs="Arial"/>
          <w:lang w:val="es-ES"/>
        </w:rPr>
        <w:t xml:space="preserve">la igualdad entre hombres y mujeres contribuye a la reducción de la pobreza y eleva los niveles de capital humano para las generaciones futuras. Entre 2000 y 2010 </w:t>
      </w:r>
      <w:r w:rsidRPr="00076165">
        <w:rPr>
          <w:rFonts w:ascii="Arial" w:hAnsi="Arial" w:cs="Arial"/>
          <w:lang w:val="es-ES"/>
        </w:rPr>
        <w:t xml:space="preserve">se calcula que </w:t>
      </w:r>
      <w:r w:rsidR="00AC054C" w:rsidRPr="00076165">
        <w:rPr>
          <w:rFonts w:ascii="Arial" w:hAnsi="Arial" w:cs="Arial"/>
          <w:lang w:val="es-ES"/>
        </w:rPr>
        <w:t xml:space="preserve">el crecimiento de los ingresos de las mujeres en </w:t>
      </w:r>
      <w:r w:rsidRPr="00076165">
        <w:rPr>
          <w:rFonts w:ascii="Arial" w:hAnsi="Arial" w:cs="Arial"/>
          <w:lang w:val="es-ES"/>
        </w:rPr>
        <w:t xml:space="preserve">ALC </w:t>
      </w:r>
      <w:r w:rsidR="00AC054C" w:rsidRPr="00076165">
        <w:rPr>
          <w:rFonts w:ascii="Arial" w:hAnsi="Arial" w:cs="Arial"/>
          <w:lang w:val="es-ES"/>
        </w:rPr>
        <w:t xml:space="preserve">contribuyó a una disminución del 30% de la pobreza extrema (Banco Mundial, 2012). Se estima </w:t>
      </w:r>
      <w:r w:rsidRPr="00076165">
        <w:rPr>
          <w:rFonts w:ascii="Arial" w:hAnsi="Arial" w:cs="Arial"/>
          <w:lang w:val="es-ES"/>
        </w:rPr>
        <w:t xml:space="preserve">también </w:t>
      </w:r>
      <w:r w:rsidR="00AC054C" w:rsidRPr="00076165">
        <w:rPr>
          <w:rFonts w:ascii="Arial" w:hAnsi="Arial" w:cs="Arial"/>
          <w:lang w:val="es-ES"/>
        </w:rPr>
        <w:t>que la reducción de la brecha entre las tasas de empleo de hombres y mujeres ha propiciado un aumento neto del PIB del 9% en Brasil y del 12% en Argentina (Aguirre et al., 2012).</w:t>
      </w:r>
      <w:r w:rsidRPr="00076165">
        <w:rPr>
          <w:rFonts w:ascii="Arial" w:hAnsi="Arial" w:cs="Arial"/>
          <w:lang w:val="es-ES"/>
        </w:rPr>
        <w:t xml:space="preserve"> Gasparini &amp; Marchionni (2015) calcula</w:t>
      </w:r>
      <w:r w:rsidR="005F1F7F" w:rsidRPr="00076165">
        <w:rPr>
          <w:rFonts w:ascii="Arial" w:hAnsi="Arial" w:cs="Arial"/>
          <w:lang w:val="es-ES"/>
        </w:rPr>
        <w:t>n</w:t>
      </w:r>
      <w:r w:rsidRPr="00076165">
        <w:rPr>
          <w:rFonts w:ascii="Arial" w:hAnsi="Arial" w:cs="Arial"/>
          <w:lang w:val="es-ES"/>
        </w:rPr>
        <w:t xml:space="preserve"> que un </w:t>
      </w:r>
      <w:r w:rsidRPr="00076165">
        <w:rPr>
          <w:rFonts w:ascii="Arial" w:hAnsi="Arial" w:cs="Arial"/>
          <w:lang w:val="es-BO"/>
        </w:rPr>
        <w:t xml:space="preserve">menor crecimiento en el incremento en la participación femenina en el mercado laboral </w:t>
      </w:r>
      <w:r w:rsidR="0003763D" w:rsidRPr="00076165">
        <w:rPr>
          <w:rFonts w:ascii="Arial" w:hAnsi="Arial" w:cs="Arial"/>
          <w:lang w:val="es-BO"/>
        </w:rPr>
        <w:t>comprometería</w:t>
      </w:r>
      <w:r w:rsidRPr="00076165">
        <w:rPr>
          <w:rFonts w:ascii="Arial" w:hAnsi="Arial" w:cs="Arial"/>
          <w:lang w:val="es-BO"/>
        </w:rPr>
        <w:t xml:space="preserve"> los objetivos de reducción de la pobreza, dado que el incremento en los ingresos laborales de las mujeres ha sido un impulsor significativo en la reducción de la pobreza en la región. </w:t>
      </w:r>
      <w:r w:rsidR="00AC054C" w:rsidRPr="00076165">
        <w:rPr>
          <w:rFonts w:ascii="Arial" w:hAnsi="Arial" w:cs="Arial"/>
          <w:lang w:val="es-ES"/>
        </w:rPr>
        <w:t>En general, cuando las mujeres pueden desarrollar todo su potencial en el mercado laboral las ganancias macroeconómicas pueden ser considerables (FMI, 2013; BID, 2015).</w:t>
      </w:r>
      <w:r w:rsidRPr="00076165">
        <w:rPr>
          <w:rFonts w:ascii="Arial" w:hAnsi="Arial" w:cs="Arial"/>
          <w:lang w:val="es-ES"/>
        </w:rPr>
        <w:t xml:space="preserve"> </w:t>
      </w:r>
    </w:p>
    <w:p w:rsidR="00AC054C" w:rsidRPr="00076165" w:rsidRDefault="005F1F7F" w:rsidP="00AA43C1">
      <w:pPr>
        <w:spacing w:line="276" w:lineRule="auto"/>
        <w:jc w:val="both"/>
        <w:rPr>
          <w:rFonts w:ascii="Arial" w:hAnsi="Arial" w:cs="Arial"/>
          <w:lang w:val="es-ES"/>
        </w:rPr>
      </w:pPr>
      <w:r w:rsidRPr="00076165">
        <w:rPr>
          <w:rFonts w:ascii="Arial" w:hAnsi="Arial" w:cs="Arial"/>
          <w:lang w:val="es-BO"/>
        </w:rPr>
        <w:t>E</w:t>
      </w:r>
      <w:r w:rsidR="00AC054C" w:rsidRPr="00076165">
        <w:rPr>
          <w:rFonts w:ascii="Arial" w:hAnsi="Arial" w:cs="Arial"/>
          <w:lang w:val="es-ES"/>
        </w:rPr>
        <w:t>xiste mucho trabajo por hacer para poder reducir esta</w:t>
      </w:r>
      <w:r w:rsidR="00E85E6C" w:rsidRPr="00076165">
        <w:rPr>
          <w:rFonts w:ascii="Arial" w:hAnsi="Arial" w:cs="Arial"/>
          <w:lang w:val="es-ES"/>
        </w:rPr>
        <w:t>s</w:t>
      </w:r>
      <w:r w:rsidR="00AC054C" w:rsidRPr="00076165">
        <w:rPr>
          <w:rFonts w:ascii="Arial" w:hAnsi="Arial" w:cs="Arial"/>
          <w:lang w:val="es-ES"/>
        </w:rPr>
        <w:t xml:space="preserve"> brecha, los hombres</w:t>
      </w:r>
      <w:r w:rsidR="00E85E6C" w:rsidRPr="00076165">
        <w:rPr>
          <w:rStyle w:val="FootnoteReference"/>
          <w:rFonts w:ascii="Arial" w:hAnsi="Arial" w:cs="Arial"/>
          <w:lang w:val="es-ES"/>
        </w:rPr>
        <w:footnoteReference w:id="1"/>
      </w:r>
      <w:r w:rsidR="00AC054C" w:rsidRPr="00076165">
        <w:rPr>
          <w:rFonts w:ascii="Arial" w:hAnsi="Arial" w:cs="Arial"/>
          <w:lang w:val="es-ES"/>
        </w:rPr>
        <w:t xml:space="preserve"> de la región participan en la fuerza laboral en un 95.2 %</w:t>
      </w:r>
      <w:r w:rsidR="00AC054C" w:rsidRPr="00076165">
        <w:rPr>
          <w:rFonts w:ascii="Arial" w:hAnsi="Arial" w:cs="Arial"/>
          <w:lang w:val="es-ES_tradnl"/>
        </w:rPr>
        <w:t>,</w:t>
      </w:r>
      <w:r w:rsidR="00AC054C" w:rsidRPr="00076165">
        <w:rPr>
          <w:rFonts w:ascii="Arial" w:hAnsi="Arial" w:cs="Arial"/>
          <w:lang w:val="es-ES"/>
        </w:rPr>
        <w:t xml:space="preserve"> mientras que la participación promedio de las mujeres es cercana al 65% (Gasparini &amp; Marchionni, 2015). Además, existe el desafío considerable de la informalidad en la participación laboral, con 56.6% de los trabajadores trabajando fuera del mercado formal, una situación más común para las mujeres (Gasparini &amp; Marchionni, 2015). </w:t>
      </w:r>
      <w:r w:rsidR="00076165">
        <w:rPr>
          <w:rFonts w:ascii="Arial" w:hAnsi="Arial" w:cs="Arial"/>
          <w:lang w:val="es-ES"/>
        </w:rPr>
        <w:t>E</w:t>
      </w:r>
      <w:r w:rsidR="00076165" w:rsidRPr="00076165">
        <w:rPr>
          <w:rFonts w:ascii="Arial" w:hAnsi="Arial" w:cs="Arial"/>
          <w:lang w:val="es-ES"/>
        </w:rPr>
        <w:t xml:space="preserve">n la mayoría de los países de </w:t>
      </w:r>
      <w:r w:rsidR="00B13702">
        <w:rPr>
          <w:rFonts w:ascii="Arial" w:hAnsi="Arial" w:cs="Arial"/>
          <w:lang w:val="es-ES"/>
        </w:rPr>
        <w:t>AL</w:t>
      </w:r>
      <w:r w:rsidR="00076165">
        <w:rPr>
          <w:rFonts w:ascii="Arial" w:hAnsi="Arial" w:cs="Arial"/>
          <w:lang w:val="es-ES"/>
        </w:rPr>
        <w:t xml:space="preserve">C </w:t>
      </w:r>
      <w:r w:rsidR="00076165" w:rsidRPr="00076165">
        <w:rPr>
          <w:rFonts w:ascii="Arial" w:hAnsi="Arial" w:cs="Arial"/>
          <w:lang w:val="es-ES"/>
        </w:rPr>
        <w:t xml:space="preserve">los hombres ganan más que las mujeres (Ñopo, 2012). </w:t>
      </w:r>
    </w:p>
    <w:p w:rsidR="00AC054C" w:rsidRPr="00076165" w:rsidRDefault="00AC054C" w:rsidP="00655658">
      <w:pPr>
        <w:spacing w:line="276" w:lineRule="auto"/>
        <w:jc w:val="both"/>
        <w:rPr>
          <w:rFonts w:ascii="Arial" w:hAnsi="Arial" w:cs="Arial"/>
          <w:b/>
          <w:i/>
          <w:lang w:val="es-ES"/>
        </w:rPr>
      </w:pPr>
      <w:r w:rsidRPr="00076165">
        <w:rPr>
          <w:rFonts w:ascii="Arial" w:hAnsi="Arial" w:cs="Arial"/>
          <w:b/>
          <w:i/>
          <w:lang w:val="es-ES"/>
        </w:rPr>
        <w:lastRenderedPageBreak/>
        <w:t>El Contexto Boliviano</w:t>
      </w:r>
    </w:p>
    <w:p w:rsidR="005F1F7F" w:rsidRPr="00076165" w:rsidRDefault="00883BA1" w:rsidP="005F1F7F">
      <w:pPr>
        <w:spacing w:line="276" w:lineRule="auto"/>
        <w:jc w:val="both"/>
        <w:rPr>
          <w:rFonts w:ascii="Arial" w:hAnsi="Arial" w:cs="Arial"/>
          <w:lang w:val="es-BO"/>
        </w:rPr>
      </w:pPr>
      <w:r w:rsidRPr="00076165">
        <w:rPr>
          <w:rFonts w:ascii="Arial" w:hAnsi="Arial" w:cs="Arial"/>
          <w:lang w:val="es-BO"/>
        </w:rPr>
        <w:t xml:space="preserve">Bolivia presenta </w:t>
      </w:r>
      <w:r w:rsidR="005F1F7F" w:rsidRPr="00076165">
        <w:rPr>
          <w:rFonts w:ascii="Arial" w:hAnsi="Arial" w:cs="Arial"/>
          <w:lang w:val="es-BO"/>
        </w:rPr>
        <w:t>la mayor brecha de ingresos laborales entre hombres y mujeres en la región</w:t>
      </w:r>
      <w:r w:rsidR="007B52FC">
        <w:rPr>
          <w:rFonts w:ascii="Arial" w:hAnsi="Arial" w:cs="Arial"/>
          <w:lang w:val="es-BO"/>
        </w:rPr>
        <w:t>. La remuneración mensual promedio de una mujer corresponde al</w:t>
      </w:r>
      <w:r w:rsidR="005F1F7F" w:rsidRPr="00076165">
        <w:rPr>
          <w:rFonts w:ascii="Arial" w:hAnsi="Arial" w:cs="Arial"/>
          <w:lang w:val="es-BO"/>
        </w:rPr>
        <w:t xml:space="preserve"> 57% de </w:t>
      </w:r>
      <w:r w:rsidR="007B52FC">
        <w:rPr>
          <w:rFonts w:ascii="Arial" w:hAnsi="Arial" w:cs="Arial"/>
          <w:lang w:val="es-BO"/>
        </w:rPr>
        <w:t>la remuneración promedio mensual</w:t>
      </w:r>
      <w:r w:rsidR="005F1F7F" w:rsidRPr="00076165">
        <w:rPr>
          <w:rFonts w:ascii="Arial" w:hAnsi="Arial" w:cs="Arial"/>
          <w:lang w:val="es-BO"/>
        </w:rPr>
        <w:t xml:space="preserve"> </w:t>
      </w:r>
      <w:r w:rsidR="007B52FC">
        <w:rPr>
          <w:rFonts w:ascii="Arial" w:hAnsi="Arial" w:cs="Arial"/>
          <w:lang w:val="es-BO"/>
        </w:rPr>
        <w:t>de</w:t>
      </w:r>
      <w:r w:rsidR="005F1F7F" w:rsidRPr="00076165">
        <w:rPr>
          <w:rFonts w:ascii="Arial" w:hAnsi="Arial" w:cs="Arial"/>
          <w:lang w:val="es-BO"/>
        </w:rPr>
        <w:t xml:space="preserve"> un hombre (SIMS</w:t>
      </w:r>
      <w:r w:rsidR="00B13702">
        <w:rPr>
          <w:rStyle w:val="FootnoteReference"/>
          <w:rFonts w:ascii="Arial" w:hAnsi="Arial" w:cs="Arial"/>
          <w:lang w:val="es-BO"/>
        </w:rPr>
        <w:footnoteReference w:id="2"/>
      </w:r>
      <w:r w:rsidR="005F1F7F" w:rsidRPr="00076165">
        <w:rPr>
          <w:rFonts w:ascii="Arial" w:hAnsi="Arial" w:cs="Arial"/>
          <w:lang w:val="es-BO"/>
        </w:rPr>
        <w:t xml:space="preserve">). Un 63% de las mujeres bolivianas reciben ingresos mensuales por debajo del salario mínimo, contra el 40% de hombres que se encuentran en esta situación. Del mismo modo, las mujeres presentan una tasa de desempleo que </w:t>
      </w:r>
      <w:r w:rsidR="005F1F7F" w:rsidRPr="00076165">
        <w:rPr>
          <w:rFonts w:ascii="Arial" w:hAnsi="Arial" w:cs="Arial"/>
          <w:lang w:val="es-ES_tradnl"/>
        </w:rPr>
        <w:t>duplica la tasa de desempleo de los hombres (3,0% contra 1,4%)</w:t>
      </w:r>
      <w:r w:rsidR="005F1F7F" w:rsidRPr="00076165">
        <w:rPr>
          <w:rFonts w:ascii="Arial" w:hAnsi="Arial" w:cs="Arial"/>
          <w:lang w:val="es-BO"/>
        </w:rPr>
        <w:t>, acompañado</w:t>
      </w:r>
      <w:r w:rsidRPr="00076165">
        <w:rPr>
          <w:rFonts w:ascii="Arial" w:hAnsi="Arial" w:cs="Arial"/>
          <w:lang w:val="es-BO"/>
        </w:rPr>
        <w:t xml:space="preserve"> también </w:t>
      </w:r>
      <w:r w:rsidR="005F1F7F" w:rsidRPr="00076165">
        <w:rPr>
          <w:rFonts w:ascii="Arial" w:hAnsi="Arial" w:cs="Arial"/>
          <w:lang w:val="es-BO"/>
        </w:rPr>
        <w:t xml:space="preserve">por un </w:t>
      </w:r>
      <w:r w:rsidR="007B52FC">
        <w:rPr>
          <w:rFonts w:ascii="Arial" w:hAnsi="Arial" w:cs="Arial"/>
          <w:lang w:val="es-BO"/>
        </w:rPr>
        <w:t xml:space="preserve">relativo </w:t>
      </w:r>
      <w:r w:rsidR="005F1F7F" w:rsidRPr="00076165">
        <w:rPr>
          <w:rFonts w:ascii="Arial" w:hAnsi="Arial" w:cs="Arial"/>
          <w:lang w:val="es-BO"/>
        </w:rPr>
        <w:t>mayor porcentaje de mujeres que trabajan en el sector informal en comparación con los hombres (</w:t>
      </w:r>
      <w:r w:rsidR="005F1F7F" w:rsidRPr="00076165">
        <w:rPr>
          <w:rFonts w:ascii="Arial" w:hAnsi="Arial" w:cs="Arial"/>
          <w:lang w:val="es-ES_tradnl"/>
        </w:rPr>
        <w:t>87% contra 84%</w:t>
      </w:r>
      <w:r w:rsidR="005F1F7F" w:rsidRPr="00076165">
        <w:rPr>
          <w:rFonts w:ascii="Arial" w:hAnsi="Arial" w:cs="Arial"/>
          <w:lang w:val="es-BO"/>
        </w:rPr>
        <w:t>)</w:t>
      </w:r>
      <w:r w:rsidR="00361B39" w:rsidRPr="00076165">
        <w:rPr>
          <w:rStyle w:val="FootnoteReference"/>
          <w:rFonts w:ascii="Arial" w:hAnsi="Arial" w:cs="Arial"/>
          <w:lang w:val="es-BO"/>
        </w:rPr>
        <w:footnoteReference w:id="3"/>
      </w:r>
      <w:r w:rsidR="005F1F7F" w:rsidRPr="00076165">
        <w:rPr>
          <w:rFonts w:ascii="Arial" w:hAnsi="Arial" w:cs="Arial"/>
          <w:lang w:val="es-BO"/>
        </w:rPr>
        <w:t>.</w:t>
      </w:r>
    </w:p>
    <w:p w:rsidR="005F1F7F" w:rsidRPr="00076165" w:rsidRDefault="00254EBD" w:rsidP="00AA43C1">
      <w:pPr>
        <w:spacing w:line="276" w:lineRule="auto"/>
        <w:jc w:val="both"/>
        <w:rPr>
          <w:rFonts w:ascii="Arial" w:hAnsi="Arial" w:cs="Arial"/>
          <w:lang w:val="es-BO"/>
        </w:rPr>
      </w:pPr>
      <w:r w:rsidRPr="00076165">
        <w:rPr>
          <w:rFonts w:ascii="Arial" w:hAnsi="Arial" w:cs="Arial"/>
          <w:lang w:val="es-BO"/>
        </w:rPr>
        <w:t xml:space="preserve">Estas inequidades </w:t>
      </w:r>
      <w:r w:rsidR="005F1F7F" w:rsidRPr="00076165">
        <w:rPr>
          <w:rFonts w:ascii="Arial" w:hAnsi="Arial" w:cs="Arial"/>
          <w:lang w:val="es-BO"/>
        </w:rPr>
        <w:t xml:space="preserve">de oportunidades se </w:t>
      </w:r>
      <w:r w:rsidR="007B52FC">
        <w:rPr>
          <w:rFonts w:ascii="Arial" w:hAnsi="Arial" w:cs="Arial"/>
          <w:lang w:val="es-BO"/>
        </w:rPr>
        <w:t>resumen así principalmente en</w:t>
      </w:r>
      <w:r w:rsidR="00326AD3" w:rsidRPr="00076165">
        <w:rPr>
          <w:rFonts w:ascii="Arial" w:hAnsi="Arial" w:cs="Arial"/>
          <w:lang w:val="es-BO"/>
        </w:rPr>
        <w:t>: i) un menor nivel de participación laboral comparada con los hombres</w:t>
      </w:r>
      <w:r w:rsidR="007B52FC">
        <w:rPr>
          <w:rFonts w:ascii="Arial" w:hAnsi="Arial" w:cs="Arial"/>
          <w:lang w:val="es-BO"/>
        </w:rPr>
        <w:t>, ii) diferencias en calidad de empleo, en particular en empleos con peor remuneración, i</w:t>
      </w:r>
      <w:r w:rsidR="00326AD3" w:rsidRPr="00076165">
        <w:rPr>
          <w:rFonts w:ascii="Arial" w:hAnsi="Arial" w:cs="Arial"/>
          <w:lang w:val="es-BO"/>
        </w:rPr>
        <w:t xml:space="preserve">ii) </w:t>
      </w:r>
      <w:r w:rsidR="007B52FC">
        <w:rPr>
          <w:rFonts w:ascii="Arial" w:hAnsi="Arial" w:cs="Arial"/>
          <w:lang w:val="es-BO"/>
        </w:rPr>
        <w:t xml:space="preserve">una posible </w:t>
      </w:r>
      <w:r w:rsidR="005F1F7F" w:rsidRPr="00076165">
        <w:rPr>
          <w:rFonts w:ascii="Arial" w:hAnsi="Arial" w:cs="Arial"/>
          <w:lang w:val="es-BO"/>
        </w:rPr>
        <w:t xml:space="preserve">segregación ocupacional y por rama de </w:t>
      </w:r>
      <w:r w:rsidR="0003763D" w:rsidRPr="00076165">
        <w:rPr>
          <w:rFonts w:ascii="Arial" w:hAnsi="Arial" w:cs="Arial"/>
          <w:lang w:val="es-BO"/>
        </w:rPr>
        <w:t>actividad</w:t>
      </w:r>
      <w:r w:rsidR="005F1F7F" w:rsidRPr="00076165">
        <w:rPr>
          <w:rFonts w:ascii="Arial" w:hAnsi="Arial" w:cs="Arial"/>
          <w:lang w:val="es-BO"/>
        </w:rPr>
        <w:t xml:space="preserve"> </w:t>
      </w:r>
      <w:r w:rsidR="007B52FC">
        <w:rPr>
          <w:rFonts w:ascii="Arial" w:hAnsi="Arial" w:cs="Arial"/>
          <w:lang w:val="es-BO"/>
        </w:rPr>
        <w:t>con mujeres trabajando en</w:t>
      </w:r>
      <w:r w:rsidR="005F1F7F" w:rsidRPr="00076165">
        <w:rPr>
          <w:rFonts w:ascii="Arial" w:hAnsi="Arial" w:cs="Arial"/>
          <w:lang w:val="es-BO"/>
        </w:rPr>
        <w:t xml:space="preserve"> ocupaciones y sectores con </w:t>
      </w:r>
      <w:r w:rsidR="0003763D" w:rsidRPr="00076165">
        <w:rPr>
          <w:rFonts w:ascii="Arial" w:hAnsi="Arial" w:cs="Arial"/>
          <w:lang w:val="es-BO"/>
        </w:rPr>
        <w:t>menores niveles</w:t>
      </w:r>
      <w:r w:rsidR="005F1F7F" w:rsidRPr="00076165">
        <w:rPr>
          <w:rFonts w:ascii="Arial" w:hAnsi="Arial" w:cs="Arial"/>
          <w:lang w:val="es-BO"/>
        </w:rPr>
        <w:t xml:space="preserve"> de remuneración. </w:t>
      </w:r>
    </w:p>
    <w:p w:rsidR="00843094" w:rsidRPr="00076165" w:rsidRDefault="00843094" w:rsidP="00AA43C1">
      <w:pPr>
        <w:spacing w:line="276" w:lineRule="auto"/>
        <w:jc w:val="both"/>
        <w:rPr>
          <w:rFonts w:ascii="Arial" w:hAnsi="Arial" w:cs="Arial"/>
          <w:b/>
          <w:lang w:val="es-BO"/>
        </w:rPr>
      </w:pPr>
      <w:r w:rsidRPr="00076165">
        <w:rPr>
          <w:rFonts w:ascii="Arial" w:hAnsi="Arial" w:cs="Arial"/>
          <w:b/>
          <w:lang w:val="es-BO"/>
        </w:rPr>
        <w:t xml:space="preserve">Participación Laboral </w:t>
      </w:r>
    </w:p>
    <w:p w:rsidR="007B52FC" w:rsidRDefault="007B52FC" w:rsidP="00AA43C1">
      <w:pPr>
        <w:spacing w:line="276" w:lineRule="auto"/>
        <w:jc w:val="both"/>
        <w:rPr>
          <w:rFonts w:ascii="Arial" w:hAnsi="Arial" w:cs="Arial"/>
          <w:lang w:val="es-BO"/>
        </w:rPr>
      </w:pPr>
      <w:r w:rsidRPr="00076165">
        <w:rPr>
          <w:rFonts w:ascii="Arial" w:hAnsi="Arial" w:cs="Arial"/>
          <w:lang w:val="es-BO"/>
        </w:rPr>
        <w:t xml:space="preserve">Si bien es cierto Bolivia presenta una de las más altas tasas de participación femenina en relación a otros países de la región, la importancia detrás </w:t>
      </w:r>
      <w:r>
        <w:rPr>
          <w:rFonts w:ascii="Arial" w:hAnsi="Arial" w:cs="Arial"/>
          <w:lang w:val="es-BO"/>
        </w:rPr>
        <w:t xml:space="preserve">de </w:t>
      </w:r>
      <w:r w:rsidRPr="00076165">
        <w:rPr>
          <w:rFonts w:ascii="Arial" w:hAnsi="Arial" w:cs="Arial"/>
          <w:lang w:val="es-BO"/>
        </w:rPr>
        <w:t xml:space="preserve">una mayor participación femenina es tanto económica como social y tiene implicancias a nivel familiar y agregado (Gasparini &amp; Marchionni, 2015). La literatura económica ha identificado que la participación femenina en el mercado laboral afecta significativamente el ingreso familiar, pudiendo modificar el nivel de pobreza de la familia y constituyéndose en un determinante fundamental en la reducción de  brechas de ingreso y de inequidad de los hogares menos favorecidos (Gasparini &amp; Marchionni, 2015). Más aún, Gasparini &amp; Marchionni (2015) mediante un análisis de micro simulaciones sugieren que los cambios en el nivel de empleo femenino en </w:t>
      </w:r>
      <w:r>
        <w:rPr>
          <w:rFonts w:ascii="Arial" w:hAnsi="Arial" w:cs="Arial"/>
          <w:lang w:val="es-BO"/>
        </w:rPr>
        <w:t xml:space="preserve">ALC </w:t>
      </w:r>
      <w:r w:rsidRPr="00076165">
        <w:rPr>
          <w:rFonts w:ascii="Arial" w:hAnsi="Arial" w:cs="Arial"/>
          <w:lang w:val="es-BO"/>
        </w:rPr>
        <w:t>ocurridos en las últimas décadas han contribuido significativamente a la disminución de la pobreza y la desigualdad. Adicionalmente, la participación de la mujer en la fuerza laboral tiene un impacto en el empoderamiento de estas al interior del hogar, mejorando el acceso a servicios básicos y a inversiones en capital humano (en educación y salud) para los hijos y reduciendo de la  violencia familiar, solo por mencionar algunas dimensiones afectadas positivamente por la participación laboral de las mujeres.</w:t>
      </w:r>
    </w:p>
    <w:p w:rsidR="005F1F7F" w:rsidRPr="00076165" w:rsidRDefault="007B52FC" w:rsidP="00AA43C1">
      <w:pPr>
        <w:spacing w:line="276" w:lineRule="auto"/>
        <w:jc w:val="both"/>
        <w:rPr>
          <w:rFonts w:ascii="Arial" w:hAnsi="Arial" w:cs="Arial"/>
          <w:lang w:val="es-BO"/>
        </w:rPr>
      </w:pPr>
      <w:r>
        <w:rPr>
          <w:rFonts w:ascii="Arial" w:hAnsi="Arial" w:cs="Arial"/>
          <w:lang w:val="es-BO"/>
        </w:rPr>
        <w:t>A pesar de los avances, e</w:t>
      </w:r>
      <w:r w:rsidR="00883BA1" w:rsidRPr="00076165">
        <w:rPr>
          <w:rFonts w:ascii="Arial" w:hAnsi="Arial" w:cs="Arial"/>
          <w:lang w:val="es-BO"/>
        </w:rPr>
        <w:t xml:space="preserve">n Bolivia, las mujeres experimentan una gama de barreras de acceso al mercado laboral. </w:t>
      </w:r>
      <w:r>
        <w:rPr>
          <w:rFonts w:ascii="Arial" w:hAnsi="Arial" w:cs="Arial"/>
          <w:lang w:val="es-BO"/>
        </w:rPr>
        <w:t>Entre los motivos principales para esta</w:t>
      </w:r>
      <w:r w:rsidR="00883BA1" w:rsidRPr="00076165">
        <w:rPr>
          <w:rFonts w:ascii="Arial" w:hAnsi="Arial" w:cs="Arial"/>
          <w:lang w:val="es-BO"/>
        </w:rPr>
        <w:t xml:space="preserve"> </w:t>
      </w:r>
      <w:r w:rsidR="00326AD3" w:rsidRPr="00076165">
        <w:rPr>
          <w:rFonts w:ascii="Arial" w:hAnsi="Arial" w:cs="Arial"/>
          <w:lang w:val="es-BO"/>
        </w:rPr>
        <w:t>diferencia en la participación entre hombres y mujeres</w:t>
      </w:r>
      <w:r w:rsidR="00680FAB" w:rsidRPr="00076165">
        <w:rPr>
          <w:rFonts w:ascii="Arial" w:hAnsi="Arial" w:cs="Arial"/>
          <w:lang w:val="es-BO"/>
        </w:rPr>
        <w:t xml:space="preserve"> </w:t>
      </w:r>
      <w:r>
        <w:rPr>
          <w:rFonts w:ascii="Arial" w:hAnsi="Arial" w:cs="Arial"/>
          <w:lang w:val="es-BO"/>
        </w:rPr>
        <w:t>es</w:t>
      </w:r>
      <w:r w:rsidR="00326AD3" w:rsidRPr="00076165">
        <w:rPr>
          <w:rFonts w:ascii="Arial" w:hAnsi="Arial" w:cs="Arial"/>
          <w:lang w:val="es-BO"/>
        </w:rPr>
        <w:t xml:space="preserve"> la participación de las mujeres en los quehaceres </w:t>
      </w:r>
      <w:r w:rsidR="00B72AB6" w:rsidRPr="00076165">
        <w:rPr>
          <w:rFonts w:ascii="Arial" w:hAnsi="Arial" w:cs="Arial"/>
          <w:lang w:val="es-BO"/>
        </w:rPr>
        <w:t xml:space="preserve">doméstico </w:t>
      </w:r>
      <w:r w:rsidR="00326AD3" w:rsidRPr="00076165">
        <w:rPr>
          <w:rFonts w:ascii="Arial" w:hAnsi="Arial" w:cs="Arial"/>
          <w:lang w:val="es-BO"/>
        </w:rPr>
        <w:t xml:space="preserve">y el cuidado de los hijos. </w:t>
      </w:r>
      <w:r w:rsidR="00254EBD" w:rsidRPr="00076165">
        <w:rPr>
          <w:rFonts w:ascii="Arial" w:hAnsi="Arial" w:cs="Arial"/>
          <w:lang w:val="es-BO"/>
        </w:rPr>
        <w:t xml:space="preserve">En 2013, el </w:t>
      </w:r>
      <w:r w:rsidR="001901EF" w:rsidRPr="00076165">
        <w:rPr>
          <w:rFonts w:ascii="Arial" w:hAnsi="Arial" w:cs="Arial"/>
          <w:lang w:val="es-BO"/>
        </w:rPr>
        <w:t>28</w:t>
      </w:r>
      <w:r w:rsidR="00326AD3" w:rsidRPr="00076165">
        <w:rPr>
          <w:rFonts w:ascii="Arial" w:hAnsi="Arial" w:cs="Arial"/>
          <w:lang w:val="es-BO"/>
        </w:rPr>
        <w:t>% de los hombres y 4</w:t>
      </w:r>
      <w:r w:rsidR="001901EF" w:rsidRPr="00076165">
        <w:rPr>
          <w:rFonts w:ascii="Arial" w:hAnsi="Arial" w:cs="Arial"/>
          <w:lang w:val="es-BO"/>
        </w:rPr>
        <w:t>6</w:t>
      </w:r>
      <w:r w:rsidR="00326AD3" w:rsidRPr="00076165">
        <w:rPr>
          <w:rFonts w:ascii="Arial" w:hAnsi="Arial" w:cs="Arial"/>
          <w:lang w:val="es-BO"/>
        </w:rPr>
        <w:t xml:space="preserve">% de las mujeres no participaban </w:t>
      </w:r>
      <w:r w:rsidR="00254EBD" w:rsidRPr="00076165">
        <w:rPr>
          <w:rFonts w:ascii="Arial" w:hAnsi="Arial" w:cs="Arial"/>
          <w:lang w:val="es-BO"/>
        </w:rPr>
        <w:t xml:space="preserve">activamente </w:t>
      </w:r>
      <w:r w:rsidR="00326AD3" w:rsidRPr="00076165">
        <w:rPr>
          <w:rFonts w:ascii="Arial" w:hAnsi="Arial" w:cs="Arial"/>
          <w:lang w:val="es-BO"/>
        </w:rPr>
        <w:t>en el mercado laboral</w:t>
      </w:r>
      <w:r w:rsidR="00666C35" w:rsidRPr="00076165">
        <w:rPr>
          <w:rFonts w:ascii="Arial" w:hAnsi="Arial" w:cs="Arial"/>
          <w:lang w:val="es-BO"/>
        </w:rPr>
        <w:t xml:space="preserve">. </w:t>
      </w:r>
    </w:p>
    <w:p w:rsidR="00B72AB6" w:rsidRPr="00076165" w:rsidRDefault="00B72AB6" w:rsidP="00AA43C1">
      <w:pPr>
        <w:spacing w:line="276" w:lineRule="auto"/>
        <w:jc w:val="both"/>
        <w:rPr>
          <w:rFonts w:ascii="Arial" w:hAnsi="Arial" w:cs="Arial"/>
          <w:lang w:val="es-BO"/>
        </w:rPr>
      </w:pPr>
    </w:p>
    <w:p w:rsidR="00254EBD" w:rsidRPr="00076165" w:rsidRDefault="00666C35" w:rsidP="00AA43C1">
      <w:pPr>
        <w:spacing w:line="276" w:lineRule="auto"/>
        <w:jc w:val="both"/>
        <w:rPr>
          <w:rFonts w:ascii="Arial" w:hAnsi="Arial" w:cs="Arial"/>
          <w:lang w:val="es-BO"/>
        </w:rPr>
      </w:pPr>
      <w:r w:rsidRPr="00076165">
        <w:rPr>
          <w:rFonts w:ascii="Arial" w:hAnsi="Arial" w:cs="Arial"/>
          <w:lang w:val="es-BO"/>
        </w:rPr>
        <w:t xml:space="preserve">En cuanto a los obstáculos para </w:t>
      </w:r>
      <w:r w:rsidR="00254EBD" w:rsidRPr="00076165">
        <w:rPr>
          <w:rFonts w:ascii="Arial" w:hAnsi="Arial" w:cs="Arial"/>
          <w:lang w:val="es-BO"/>
        </w:rPr>
        <w:t xml:space="preserve">la participación en la fuerza laboral </w:t>
      </w:r>
      <w:r w:rsidR="00A2240B" w:rsidRPr="00076165">
        <w:rPr>
          <w:rFonts w:ascii="Arial" w:hAnsi="Arial" w:cs="Arial"/>
          <w:lang w:val="es-BO"/>
        </w:rPr>
        <w:t>femenina</w:t>
      </w:r>
      <w:r w:rsidRPr="00076165">
        <w:rPr>
          <w:rFonts w:ascii="Arial" w:hAnsi="Arial" w:cs="Arial"/>
          <w:lang w:val="es-BO"/>
        </w:rPr>
        <w:t>, la literatura ha identificado varios obstáculos</w:t>
      </w:r>
      <w:r w:rsidR="00A2240B" w:rsidRPr="00076165">
        <w:rPr>
          <w:rFonts w:ascii="Arial" w:hAnsi="Arial" w:cs="Arial"/>
          <w:lang w:val="es-BO"/>
        </w:rPr>
        <w:t xml:space="preserve"> </w:t>
      </w:r>
      <w:r w:rsidR="005901F1" w:rsidRPr="00076165">
        <w:rPr>
          <w:rFonts w:ascii="Arial" w:hAnsi="Arial" w:cs="Arial"/>
          <w:lang w:val="es-BO"/>
        </w:rPr>
        <w:t xml:space="preserve">relacionados con </w:t>
      </w:r>
      <w:r w:rsidR="00254EBD" w:rsidRPr="00076165">
        <w:rPr>
          <w:rFonts w:ascii="Arial" w:hAnsi="Arial" w:cs="Arial"/>
          <w:lang w:val="es-BO"/>
        </w:rPr>
        <w:t xml:space="preserve">diversas causas, entre ellas </w:t>
      </w:r>
      <w:r w:rsidR="00A2240B" w:rsidRPr="00076165">
        <w:rPr>
          <w:rFonts w:ascii="Arial" w:hAnsi="Arial" w:cs="Arial"/>
          <w:lang w:val="es-BO"/>
        </w:rPr>
        <w:t>destaca</w:t>
      </w:r>
      <w:r w:rsidR="005901F1" w:rsidRPr="00076165">
        <w:rPr>
          <w:rFonts w:ascii="Arial" w:hAnsi="Arial" w:cs="Arial"/>
          <w:lang w:val="es-BO"/>
        </w:rPr>
        <w:t>: i)</w:t>
      </w:r>
      <w:r w:rsidR="00A2240B" w:rsidRPr="00076165">
        <w:rPr>
          <w:rFonts w:ascii="Arial" w:hAnsi="Arial" w:cs="Arial"/>
          <w:lang w:val="es-BO"/>
        </w:rPr>
        <w:t xml:space="preserve"> la </w:t>
      </w:r>
      <w:r w:rsidR="00254EBD" w:rsidRPr="00076165">
        <w:rPr>
          <w:rFonts w:ascii="Arial" w:hAnsi="Arial" w:cs="Arial"/>
          <w:lang w:val="es-BO"/>
        </w:rPr>
        <w:t>falta de información sobre dónde encontrar ofertas de trabajo,</w:t>
      </w:r>
      <w:r w:rsidR="005901F1" w:rsidRPr="00076165">
        <w:rPr>
          <w:rFonts w:ascii="Arial" w:hAnsi="Arial" w:cs="Arial"/>
          <w:lang w:val="es-BO"/>
        </w:rPr>
        <w:t xml:space="preserve"> ii)</w:t>
      </w:r>
      <w:r w:rsidR="00254EBD" w:rsidRPr="00076165">
        <w:rPr>
          <w:rFonts w:ascii="Arial" w:hAnsi="Arial" w:cs="Arial"/>
          <w:lang w:val="es-BO"/>
        </w:rPr>
        <w:t xml:space="preserve"> la ausencia de competencias, </w:t>
      </w:r>
      <w:r w:rsidR="005901F1" w:rsidRPr="00076165">
        <w:rPr>
          <w:rFonts w:ascii="Arial" w:hAnsi="Arial" w:cs="Arial"/>
          <w:lang w:val="es-BO"/>
        </w:rPr>
        <w:t xml:space="preserve">iii) </w:t>
      </w:r>
      <w:r w:rsidR="00254EBD" w:rsidRPr="00076165">
        <w:rPr>
          <w:rFonts w:ascii="Arial" w:hAnsi="Arial" w:cs="Arial"/>
          <w:lang w:val="es-BO"/>
        </w:rPr>
        <w:t>la discriminación ejercida por los empleadores (Galarza y Yamada, 2012; Arc</w:t>
      </w:r>
      <w:r w:rsidR="00A2240B" w:rsidRPr="00076165">
        <w:rPr>
          <w:rFonts w:ascii="Arial" w:hAnsi="Arial" w:cs="Arial"/>
          <w:lang w:val="es-BO"/>
        </w:rPr>
        <w:t>e</w:t>
      </w:r>
      <w:r w:rsidR="00040EA5">
        <w:rPr>
          <w:rFonts w:ascii="Arial" w:hAnsi="Arial" w:cs="Arial"/>
          <w:lang w:val="es-BO"/>
        </w:rPr>
        <w:t xml:space="preserve"> </w:t>
      </w:r>
      <w:r w:rsidR="00A2240B" w:rsidRPr="00076165">
        <w:rPr>
          <w:rFonts w:ascii="Arial" w:hAnsi="Arial" w:cs="Arial"/>
          <w:lang w:val="es-BO"/>
        </w:rPr>
        <w:t>y Campos-Vázquez, 2014</w:t>
      </w:r>
      <w:r w:rsidR="00040EA5">
        <w:rPr>
          <w:rFonts w:ascii="Arial" w:hAnsi="Arial" w:cs="Arial"/>
          <w:lang w:val="es-BO"/>
        </w:rPr>
        <w:t>; Lopez-boo et al., 2012 y; Bravo et al, 2007</w:t>
      </w:r>
      <w:r w:rsidR="00A2240B" w:rsidRPr="00076165">
        <w:rPr>
          <w:rFonts w:ascii="Arial" w:hAnsi="Arial" w:cs="Arial"/>
          <w:lang w:val="es-BO"/>
        </w:rPr>
        <w:t>)</w:t>
      </w:r>
      <w:r w:rsidR="007B52FC" w:rsidRPr="007B52FC">
        <w:rPr>
          <w:rStyle w:val="CommentReference"/>
          <w:rFonts w:ascii="Verdana" w:eastAsia="Times New Roman" w:hAnsi="Verdana" w:cs="Times New Roman"/>
          <w:color w:val="333333"/>
          <w:lang w:val="es-ES_tradnl" w:eastAsia="en-GB"/>
        </w:rPr>
        <w:t xml:space="preserve"> </w:t>
      </w:r>
      <w:r w:rsidR="00A2240B" w:rsidRPr="00076165">
        <w:rPr>
          <w:rFonts w:ascii="Arial" w:hAnsi="Arial" w:cs="Arial"/>
          <w:lang w:val="es-BO"/>
        </w:rPr>
        <w:t xml:space="preserve"> y</w:t>
      </w:r>
      <w:r w:rsidR="005901F1" w:rsidRPr="00076165">
        <w:rPr>
          <w:rFonts w:ascii="Arial" w:hAnsi="Arial" w:cs="Arial"/>
          <w:lang w:val="es-BO"/>
        </w:rPr>
        <w:t>;</w:t>
      </w:r>
      <w:r w:rsidR="00A2240B" w:rsidRPr="00076165">
        <w:rPr>
          <w:rFonts w:ascii="Arial" w:hAnsi="Arial" w:cs="Arial"/>
          <w:lang w:val="es-BO"/>
        </w:rPr>
        <w:t xml:space="preserve"> </w:t>
      </w:r>
      <w:r w:rsidR="005901F1" w:rsidRPr="00076165">
        <w:rPr>
          <w:rFonts w:ascii="Arial" w:hAnsi="Arial" w:cs="Arial"/>
          <w:lang w:val="es-BO"/>
        </w:rPr>
        <w:t xml:space="preserve">iv) </w:t>
      </w:r>
      <w:r w:rsidR="00254EBD" w:rsidRPr="00076165">
        <w:rPr>
          <w:rFonts w:ascii="Arial" w:hAnsi="Arial" w:cs="Arial"/>
          <w:lang w:val="es-BO"/>
        </w:rPr>
        <w:t>la falta de acceso a servicios complementarios como guarderías (Blau et al., 2014; Todd, 2013)</w:t>
      </w:r>
      <w:r w:rsidR="00A2240B" w:rsidRPr="00076165">
        <w:rPr>
          <w:rFonts w:ascii="Arial" w:hAnsi="Arial" w:cs="Arial"/>
          <w:lang w:val="es-BO"/>
        </w:rPr>
        <w:t xml:space="preserve"> </w:t>
      </w:r>
      <w:r w:rsidR="00254EBD" w:rsidRPr="00076165">
        <w:rPr>
          <w:rFonts w:ascii="Arial" w:hAnsi="Arial" w:cs="Arial"/>
          <w:lang w:val="es-BO"/>
        </w:rPr>
        <w:t>(</w:t>
      </w:r>
      <w:r w:rsidR="003F23EF" w:rsidRPr="00076165">
        <w:rPr>
          <w:rFonts w:ascii="Arial" w:hAnsi="Arial" w:cs="Arial"/>
          <w:lang w:val="es-ES"/>
        </w:rPr>
        <w:t>BID, 2015</w:t>
      </w:r>
      <w:r w:rsidR="003F23EF" w:rsidRPr="00076165">
        <w:rPr>
          <w:rFonts w:ascii="Arial" w:hAnsi="Arial" w:cs="Arial"/>
          <w:lang w:val="es-BO"/>
        </w:rPr>
        <w:t>).</w:t>
      </w:r>
    </w:p>
    <w:p w:rsidR="00883BA1" w:rsidRPr="007B52FC" w:rsidRDefault="00883BA1" w:rsidP="00AA43C1">
      <w:pPr>
        <w:spacing w:line="276" w:lineRule="auto"/>
        <w:jc w:val="both"/>
        <w:rPr>
          <w:rFonts w:ascii="Arial" w:hAnsi="Arial" w:cs="Arial"/>
          <w:i/>
          <w:lang w:val="es-BO"/>
        </w:rPr>
      </w:pPr>
      <w:r w:rsidRPr="007B52FC">
        <w:rPr>
          <w:rFonts w:ascii="Arial" w:hAnsi="Arial" w:cs="Arial"/>
          <w:i/>
          <w:lang w:val="es-BO"/>
        </w:rPr>
        <w:t>Acceso a Información Laboral</w:t>
      </w:r>
    </w:p>
    <w:p w:rsidR="00BF30E6" w:rsidRDefault="00BF30E6" w:rsidP="00883BA1">
      <w:pPr>
        <w:spacing w:line="276" w:lineRule="auto"/>
        <w:jc w:val="both"/>
        <w:rPr>
          <w:rFonts w:ascii="Arial" w:hAnsi="Arial" w:cs="Arial"/>
          <w:lang w:val="es-ES_tradnl"/>
        </w:rPr>
      </w:pPr>
      <w:r>
        <w:rPr>
          <w:rFonts w:ascii="Arial" w:hAnsi="Arial" w:cs="Arial"/>
          <w:lang w:val="es-ES_tradnl"/>
        </w:rPr>
        <w:t xml:space="preserve">En Bolivia el </w:t>
      </w:r>
      <w:r w:rsidRPr="00BF30E6">
        <w:rPr>
          <w:rFonts w:ascii="Arial" w:hAnsi="Arial" w:cs="Arial"/>
          <w:lang w:val="es-ES_tradnl"/>
        </w:rPr>
        <w:t>76% de los buscadores de empleo recurre a métodos informales</w:t>
      </w:r>
      <w:r>
        <w:rPr>
          <w:rFonts w:ascii="Arial" w:hAnsi="Arial" w:cs="Arial"/>
          <w:lang w:val="es-ES_tradnl"/>
        </w:rPr>
        <w:t xml:space="preserve"> de búsqueda de empleo</w:t>
      </w:r>
      <w:r w:rsidRPr="00BF30E6">
        <w:rPr>
          <w:rFonts w:ascii="Arial" w:hAnsi="Arial" w:cs="Arial"/>
          <w:lang w:val="es-ES_tradnl"/>
        </w:rPr>
        <w:t xml:space="preserve"> (amigos y/o familiares), haciendo que los procesos de emparejamiento entre oferta y demanda laboral se realicen con base en información deficiente. Esto tiene consecuencias en términos de acceso al empleo de calidad, porque los emparejamientos realizados con base en información deficiente suelen redundar en empleos de baja calidad, menos productivos y menos protegidos (Alaimo et al, 2015).</w:t>
      </w:r>
      <w:r w:rsidR="00F66D41">
        <w:rPr>
          <w:rFonts w:ascii="Arial" w:hAnsi="Arial" w:cs="Arial"/>
          <w:lang w:val="es-ES_tradnl"/>
        </w:rPr>
        <w:t xml:space="preserve"> Est</w:t>
      </w:r>
      <w:r w:rsidR="00F66D41" w:rsidRPr="00BF30E6">
        <w:rPr>
          <w:rFonts w:ascii="Arial" w:hAnsi="Arial" w:cs="Arial"/>
          <w:lang w:val="es-ES_tradnl"/>
        </w:rPr>
        <w:t>as fallas y asimetrías de información y el uso de canales informales de búsqueda perpetúan las inequidades en el mercado laboral y reducen la movilidad social (Mazza, 2011</w:t>
      </w:r>
      <w:r w:rsidR="00F66D41">
        <w:rPr>
          <w:rFonts w:ascii="Arial" w:hAnsi="Arial" w:cs="Arial"/>
          <w:lang w:val="es-ES_tradnl"/>
        </w:rPr>
        <w:t>)</w:t>
      </w:r>
      <w:r w:rsidR="00770EB5">
        <w:rPr>
          <w:rFonts w:ascii="Arial" w:hAnsi="Arial" w:cs="Arial"/>
          <w:lang w:val="es-ES_tradnl"/>
        </w:rPr>
        <w:t xml:space="preserve"> En este sentido el contar con un sistema adecuado de información sobre vacancias debería tener efectos tanto sobre mujeres como hombres.</w:t>
      </w:r>
    </w:p>
    <w:p w:rsidR="00BF30E6" w:rsidRDefault="00BF30E6" w:rsidP="00883BA1">
      <w:pPr>
        <w:spacing w:line="276" w:lineRule="auto"/>
        <w:jc w:val="both"/>
        <w:rPr>
          <w:rFonts w:ascii="Arial" w:hAnsi="Arial" w:cs="Arial"/>
          <w:i/>
          <w:lang w:val="es-BO"/>
        </w:rPr>
      </w:pPr>
      <w:r>
        <w:rPr>
          <w:rFonts w:ascii="Arial" w:hAnsi="Arial" w:cs="Arial"/>
          <w:i/>
          <w:lang w:val="es-BO"/>
        </w:rPr>
        <w:t>L</w:t>
      </w:r>
      <w:r w:rsidRPr="00BF30E6">
        <w:rPr>
          <w:rFonts w:ascii="Arial" w:hAnsi="Arial" w:cs="Arial"/>
          <w:i/>
          <w:lang w:val="es-BO"/>
        </w:rPr>
        <w:t>a ausencia de competencias</w:t>
      </w:r>
    </w:p>
    <w:p w:rsidR="00770EB5" w:rsidRDefault="00F66D41" w:rsidP="00883BA1">
      <w:pPr>
        <w:spacing w:line="276" w:lineRule="auto"/>
        <w:jc w:val="both"/>
        <w:rPr>
          <w:rFonts w:ascii="Arial" w:hAnsi="Arial" w:cs="Arial"/>
          <w:lang w:val="es-ES_tradnl"/>
        </w:rPr>
      </w:pPr>
      <w:r>
        <w:rPr>
          <w:rFonts w:ascii="Arial" w:hAnsi="Arial" w:cs="Arial"/>
          <w:lang w:val="es-BO"/>
        </w:rPr>
        <w:t>L</w:t>
      </w:r>
      <w:r w:rsidR="00770EB5" w:rsidRPr="00770EB5">
        <w:rPr>
          <w:rFonts w:ascii="Arial" w:hAnsi="Arial" w:cs="Arial"/>
          <w:lang w:val="es-ES_tradnl"/>
        </w:rPr>
        <w:t>as habilidades de los buscadores de empleo</w:t>
      </w:r>
      <w:r w:rsidR="00770EB5">
        <w:rPr>
          <w:rFonts w:ascii="Arial" w:hAnsi="Arial" w:cs="Arial"/>
          <w:lang w:val="es-ES_tradnl"/>
        </w:rPr>
        <w:t xml:space="preserve"> en Bolivia</w:t>
      </w:r>
      <w:r w:rsidR="00770EB5" w:rsidRPr="00770EB5">
        <w:rPr>
          <w:rFonts w:ascii="Arial" w:hAnsi="Arial" w:cs="Arial"/>
          <w:lang w:val="es-ES_tradnl"/>
        </w:rPr>
        <w:t xml:space="preserve"> no se adecuan con los requerimientos de los empleadores, quienes</w:t>
      </w:r>
      <w:r w:rsidR="00770EB5" w:rsidRPr="00C92771">
        <w:rPr>
          <w:rFonts w:ascii="Arial" w:hAnsi="Arial" w:cs="Arial"/>
          <w:lang w:val="es-ES_tradnl"/>
        </w:rPr>
        <w:t xml:space="preserve"> no encuentran en los trabajadores el perfil y las habilidades que necesitan. El 31% de los empleadores señaló dificultades </w:t>
      </w:r>
      <w:r w:rsidR="00770EB5">
        <w:rPr>
          <w:rFonts w:ascii="Arial" w:hAnsi="Arial" w:cs="Arial"/>
          <w:lang w:val="es-ES_tradnl"/>
        </w:rPr>
        <w:t>para cubrir sus vacantes</w:t>
      </w:r>
      <w:r w:rsidR="00770EB5" w:rsidRPr="00C92771">
        <w:rPr>
          <w:rFonts w:ascii="Arial" w:hAnsi="Arial" w:cs="Arial"/>
          <w:lang w:val="es-ES_tradnl"/>
        </w:rPr>
        <w:t xml:space="preserve"> debido a la falta habilidades de los candidatos</w:t>
      </w:r>
      <w:r w:rsidR="00770EB5" w:rsidRPr="005D4E94">
        <w:rPr>
          <w:rFonts w:ascii="Arial" w:hAnsi="Arial" w:cs="Arial"/>
          <w:vertAlign w:val="superscript"/>
        </w:rPr>
        <w:footnoteReference w:id="4"/>
      </w:r>
      <w:r w:rsidR="00770EB5" w:rsidRPr="00770EB5">
        <w:rPr>
          <w:rFonts w:ascii="Arial" w:hAnsi="Arial" w:cs="Arial"/>
          <w:lang w:val="es-ES_tradnl"/>
        </w:rPr>
        <w:t xml:space="preserve">. Las carencias de habilidades y la desconexión entre el perfil de los trabajadores y los requerimientos de las vacantes </w:t>
      </w:r>
      <w:r w:rsidR="00DD2639">
        <w:rPr>
          <w:rFonts w:ascii="Arial" w:hAnsi="Arial" w:cs="Arial"/>
          <w:lang w:val="es-ES_tradnl"/>
        </w:rPr>
        <w:t xml:space="preserve">también </w:t>
      </w:r>
      <w:r w:rsidR="00770EB5" w:rsidRPr="00770EB5">
        <w:rPr>
          <w:rFonts w:ascii="Arial" w:hAnsi="Arial" w:cs="Arial"/>
          <w:lang w:val="es-ES_tradnl"/>
        </w:rPr>
        <w:t xml:space="preserve">dificultan el acceso al empleo de calidad </w:t>
      </w:r>
      <w:r w:rsidR="00DD2639" w:rsidRPr="00BF30E6">
        <w:rPr>
          <w:rFonts w:ascii="Arial" w:hAnsi="Arial" w:cs="Arial"/>
          <w:lang w:val="es-ES_tradnl"/>
        </w:rPr>
        <w:t>(Alaimo et al, 2015</w:t>
      </w:r>
      <w:r w:rsidR="00DD2639">
        <w:rPr>
          <w:rFonts w:ascii="Arial" w:hAnsi="Arial" w:cs="Arial"/>
          <w:lang w:val="es-ES_tradnl"/>
        </w:rPr>
        <w:t>). El acceso a formación laboral también se ve sesgado por preconceptos de género, lo que dificulta que las mujeres ingresen en rubros con mejores ingresos.</w:t>
      </w:r>
    </w:p>
    <w:p w:rsidR="00DD2639" w:rsidRDefault="00DD2639" w:rsidP="00883BA1">
      <w:pPr>
        <w:spacing w:line="276" w:lineRule="auto"/>
        <w:jc w:val="both"/>
        <w:rPr>
          <w:rFonts w:ascii="Arial" w:hAnsi="Arial" w:cs="Arial"/>
          <w:lang w:val="es-ES_tradnl"/>
        </w:rPr>
      </w:pPr>
      <w:r>
        <w:rPr>
          <w:rFonts w:ascii="Arial" w:hAnsi="Arial" w:cs="Arial"/>
          <w:lang w:val="es-ES_tradnl"/>
        </w:rPr>
        <w:t xml:space="preserve">En Bolivia todavía se observa una diferencia en el nivel de formación de mujeres con relación a los hombres. Si bien el porcentaje de mujeres y hombres con educación superior es comprable, el número de mujeres sin formación casi duplica al de hombres (18% contra 10%). También se observa una diferencia de 7 pp entre el porcentaje </w:t>
      </w:r>
      <w:r w:rsidR="00164FBE">
        <w:rPr>
          <w:rFonts w:ascii="Arial" w:hAnsi="Arial" w:cs="Arial"/>
          <w:lang w:val="es-ES_tradnl"/>
        </w:rPr>
        <w:t>de mujeres con secundaria completa y el de varones</w:t>
      </w:r>
      <w:r w:rsidR="002D19FB">
        <w:rPr>
          <w:rFonts w:ascii="Arial" w:hAnsi="Arial" w:cs="Arial"/>
          <w:lang w:val="es-ES_tradnl"/>
        </w:rPr>
        <w:t xml:space="preserve"> (Gráfico 1)</w:t>
      </w:r>
      <w:r w:rsidR="00164FBE">
        <w:rPr>
          <w:rFonts w:ascii="Arial" w:hAnsi="Arial" w:cs="Arial"/>
          <w:lang w:val="es-ES_tradnl"/>
        </w:rPr>
        <w:t>.</w:t>
      </w:r>
    </w:p>
    <w:p w:rsidR="00C243FD" w:rsidRDefault="00C243FD">
      <w:pPr>
        <w:rPr>
          <w:rFonts w:ascii="Arial" w:hAnsi="Arial" w:cs="Arial"/>
          <w:b/>
          <w:sz w:val="24"/>
          <w:szCs w:val="24"/>
          <w:lang w:val="es-BO"/>
        </w:rPr>
      </w:pPr>
      <w:r>
        <w:rPr>
          <w:rFonts w:ascii="Arial" w:hAnsi="Arial" w:cs="Arial"/>
          <w:b/>
          <w:sz w:val="24"/>
          <w:szCs w:val="24"/>
          <w:lang w:val="es-BO"/>
        </w:rPr>
        <w:br w:type="page"/>
      </w:r>
    </w:p>
    <w:p w:rsidR="00C243FD" w:rsidRPr="00076165" w:rsidRDefault="00C243FD" w:rsidP="00C243FD">
      <w:pPr>
        <w:spacing w:after="0"/>
        <w:jc w:val="center"/>
        <w:rPr>
          <w:rFonts w:ascii="Arial" w:hAnsi="Arial" w:cs="Arial"/>
          <w:b/>
          <w:sz w:val="24"/>
          <w:szCs w:val="24"/>
          <w:lang w:val="es-BO"/>
        </w:rPr>
      </w:pPr>
      <w:r w:rsidRPr="00076165">
        <w:rPr>
          <w:rFonts w:ascii="Arial" w:hAnsi="Arial" w:cs="Arial"/>
          <w:b/>
          <w:sz w:val="24"/>
          <w:szCs w:val="24"/>
          <w:lang w:val="es-BO"/>
        </w:rPr>
        <w:lastRenderedPageBreak/>
        <w:t>Gráfico 1</w:t>
      </w:r>
    </w:p>
    <w:p w:rsidR="00C243FD" w:rsidRDefault="00C243FD" w:rsidP="00C243FD">
      <w:pPr>
        <w:spacing w:after="0"/>
        <w:jc w:val="center"/>
        <w:rPr>
          <w:rFonts w:ascii="Arial" w:hAnsi="Arial" w:cs="Arial"/>
          <w:b/>
          <w:bCs/>
          <w:sz w:val="24"/>
          <w:szCs w:val="24"/>
          <w:lang w:val="es-ES"/>
        </w:rPr>
      </w:pPr>
      <w:r>
        <w:rPr>
          <w:rFonts w:ascii="Arial" w:hAnsi="Arial" w:cs="Arial"/>
          <w:b/>
          <w:bCs/>
          <w:sz w:val="24"/>
          <w:szCs w:val="24"/>
          <w:lang w:val="es-ES"/>
        </w:rPr>
        <w:t>Nivel de Educación por género</w:t>
      </w:r>
    </w:p>
    <w:p w:rsidR="00C243FD" w:rsidRDefault="00C243FD" w:rsidP="00C243FD">
      <w:pPr>
        <w:spacing w:after="0"/>
        <w:jc w:val="center"/>
        <w:rPr>
          <w:rFonts w:ascii="Arial" w:hAnsi="Arial" w:cs="Arial"/>
          <w:b/>
          <w:bCs/>
          <w:sz w:val="24"/>
          <w:szCs w:val="24"/>
          <w:lang w:val="es-ES"/>
        </w:rPr>
      </w:pPr>
      <w:r>
        <w:rPr>
          <w:rFonts w:ascii="Arial" w:hAnsi="Arial" w:cs="Arial"/>
          <w:b/>
          <w:bCs/>
          <w:sz w:val="24"/>
          <w:szCs w:val="24"/>
          <w:lang w:val="es-ES"/>
        </w:rPr>
        <w:t>Area Urbana</w:t>
      </w:r>
    </w:p>
    <w:p w:rsidR="00DD2639" w:rsidRDefault="00DD2639" w:rsidP="00883BA1">
      <w:pPr>
        <w:spacing w:line="276" w:lineRule="auto"/>
        <w:jc w:val="both"/>
        <w:rPr>
          <w:rFonts w:ascii="Arial" w:hAnsi="Arial" w:cs="Arial"/>
          <w:lang w:val="es-ES_tradnl"/>
        </w:rPr>
      </w:pPr>
      <w:r w:rsidRPr="00DD2639">
        <w:rPr>
          <w:rFonts w:ascii="Arial" w:hAnsi="Arial" w:cs="Arial"/>
          <w:noProof/>
          <w:lang w:val="es-ES" w:eastAsia="es-ES"/>
        </w:rPr>
        <w:drawing>
          <wp:inline distT="0" distB="0" distL="0" distR="0" wp14:anchorId="1F8646E0" wp14:editId="7D59C1D5">
            <wp:extent cx="5612130" cy="3507581"/>
            <wp:effectExtent l="0" t="0" r="762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43FD" w:rsidRDefault="00C243FD" w:rsidP="00C243FD">
      <w:pPr>
        <w:spacing w:after="0" w:line="276" w:lineRule="auto"/>
        <w:jc w:val="both"/>
        <w:rPr>
          <w:rFonts w:ascii="Arial" w:hAnsi="Arial" w:cs="Arial"/>
          <w:sz w:val="18"/>
          <w:lang w:val="es-BO"/>
        </w:rPr>
      </w:pPr>
      <w:r w:rsidRPr="00076165">
        <w:rPr>
          <w:rFonts w:ascii="Arial" w:hAnsi="Arial" w:cs="Arial"/>
          <w:sz w:val="18"/>
          <w:lang w:val="es-BO"/>
        </w:rPr>
        <w:t>Fuente: Elaboración propia en base a datos de la Encuesta de Hogares.</w:t>
      </w:r>
    </w:p>
    <w:p w:rsidR="00C243FD" w:rsidRPr="00076165" w:rsidRDefault="00C243FD" w:rsidP="00C243FD">
      <w:pPr>
        <w:spacing w:after="0" w:line="276" w:lineRule="auto"/>
        <w:jc w:val="both"/>
        <w:rPr>
          <w:rFonts w:ascii="Arial" w:hAnsi="Arial" w:cs="Arial"/>
          <w:sz w:val="18"/>
          <w:lang w:val="es-BO"/>
        </w:rPr>
      </w:pPr>
      <w:r>
        <w:rPr>
          <w:rFonts w:ascii="Arial" w:hAnsi="Arial" w:cs="Arial"/>
          <w:sz w:val="18"/>
          <w:lang w:val="es-BO"/>
        </w:rPr>
        <w:t xml:space="preserve">Nota: </w:t>
      </w:r>
      <w:r w:rsidRPr="00C243FD">
        <w:rPr>
          <w:rFonts w:ascii="Arial" w:hAnsi="Arial" w:cs="Arial"/>
          <w:sz w:val="18"/>
          <w:lang w:val="es-BO"/>
        </w:rPr>
        <w:t>La información recoge información de personas que trabajan en el área urbana y excluye los sectores de Agricultura, Caza y Pesca; Mineria, Elec</w:t>
      </w:r>
      <w:r w:rsidR="002D19FB">
        <w:rPr>
          <w:rFonts w:ascii="Arial" w:hAnsi="Arial" w:cs="Arial"/>
          <w:sz w:val="18"/>
          <w:lang w:val="es-BO"/>
        </w:rPr>
        <w:t>tricidad</w:t>
      </w:r>
      <w:r w:rsidRPr="00C243FD">
        <w:rPr>
          <w:rFonts w:ascii="Arial" w:hAnsi="Arial" w:cs="Arial"/>
          <w:sz w:val="18"/>
          <w:lang w:val="es-BO"/>
        </w:rPr>
        <w:t xml:space="preserve">, Gas y Agua. Solo incluye </w:t>
      </w:r>
      <w:r w:rsidR="002D19FB">
        <w:rPr>
          <w:rFonts w:ascii="Arial" w:hAnsi="Arial" w:cs="Arial"/>
          <w:sz w:val="18"/>
          <w:lang w:val="es-BO"/>
        </w:rPr>
        <w:t xml:space="preserve">presonas entre </w:t>
      </w:r>
      <w:r w:rsidRPr="00C243FD">
        <w:rPr>
          <w:rFonts w:ascii="Arial" w:hAnsi="Arial" w:cs="Arial"/>
          <w:sz w:val="18"/>
          <w:lang w:val="es-BO"/>
        </w:rPr>
        <w:t>15 y 6</w:t>
      </w:r>
      <w:r w:rsidR="002D19FB">
        <w:rPr>
          <w:rFonts w:ascii="Arial" w:hAnsi="Arial" w:cs="Arial"/>
          <w:sz w:val="18"/>
          <w:lang w:val="es-BO"/>
        </w:rPr>
        <w:t>4</w:t>
      </w:r>
      <w:r w:rsidRPr="00C243FD">
        <w:rPr>
          <w:rFonts w:ascii="Arial" w:hAnsi="Arial" w:cs="Arial"/>
          <w:sz w:val="18"/>
          <w:lang w:val="es-BO"/>
        </w:rPr>
        <w:t xml:space="preserve"> años</w:t>
      </w:r>
      <w:r w:rsidR="002D19FB">
        <w:rPr>
          <w:rFonts w:ascii="Arial" w:hAnsi="Arial" w:cs="Arial"/>
          <w:sz w:val="18"/>
          <w:lang w:val="es-BO"/>
        </w:rPr>
        <w:t xml:space="preserve"> de edad. El n</w:t>
      </w:r>
      <w:r w:rsidR="002D19FB" w:rsidRPr="002D19FB">
        <w:rPr>
          <w:rFonts w:ascii="Arial" w:hAnsi="Arial" w:cs="Arial"/>
          <w:sz w:val="18"/>
          <w:lang w:val="es-BO"/>
        </w:rPr>
        <w:t xml:space="preserve">ivel de </w:t>
      </w:r>
      <w:r w:rsidR="002D19FB">
        <w:rPr>
          <w:rFonts w:ascii="Arial" w:hAnsi="Arial" w:cs="Arial"/>
          <w:sz w:val="18"/>
          <w:lang w:val="es-BO"/>
        </w:rPr>
        <w:t>e</w:t>
      </w:r>
      <w:r w:rsidR="002D19FB" w:rsidRPr="002D19FB">
        <w:rPr>
          <w:rFonts w:ascii="Arial" w:hAnsi="Arial" w:cs="Arial"/>
          <w:sz w:val="18"/>
          <w:lang w:val="es-BO"/>
        </w:rPr>
        <w:t xml:space="preserve">ducación </w:t>
      </w:r>
      <w:r w:rsidR="002D19FB">
        <w:rPr>
          <w:rFonts w:ascii="Arial" w:hAnsi="Arial" w:cs="Arial"/>
          <w:sz w:val="18"/>
          <w:lang w:val="es-BO"/>
        </w:rPr>
        <w:t xml:space="preserve">es </w:t>
      </w:r>
      <w:r w:rsidR="002D19FB" w:rsidRPr="002D19FB">
        <w:rPr>
          <w:rFonts w:ascii="Arial" w:hAnsi="Arial" w:cs="Arial"/>
          <w:sz w:val="18"/>
          <w:lang w:val="es-BO"/>
        </w:rPr>
        <w:t>calculado en base al curso más alto alcanzado, Menos de 5 años Ninguno; Entre 6 y 11 Primaria; Entre 12 y 14 Secundaria, Mas de 15 Superior</w:t>
      </w:r>
      <w:r w:rsidR="002D19FB">
        <w:rPr>
          <w:rFonts w:ascii="Arial" w:hAnsi="Arial" w:cs="Arial"/>
          <w:sz w:val="18"/>
          <w:lang w:val="es-BO"/>
        </w:rPr>
        <w:t>.</w:t>
      </w:r>
    </w:p>
    <w:p w:rsidR="00C243FD" w:rsidRPr="00C243FD" w:rsidRDefault="00C243FD" w:rsidP="00883BA1">
      <w:pPr>
        <w:spacing w:line="276" w:lineRule="auto"/>
        <w:jc w:val="both"/>
        <w:rPr>
          <w:rFonts w:ascii="Arial" w:hAnsi="Arial" w:cs="Arial"/>
          <w:lang w:val="es-BO"/>
        </w:rPr>
      </w:pPr>
    </w:p>
    <w:p w:rsidR="00883BA1" w:rsidRPr="00076165" w:rsidRDefault="00883BA1" w:rsidP="00883BA1">
      <w:pPr>
        <w:spacing w:line="276" w:lineRule="auto"/>
        <w:jc w:val="both"/>
        <w:rPr>
          <w:rFonts w:ascii="Arial" w:hAnsi="Arial" w:cs="Arial"/>
          <w:i/>
          <w:lang w:val="es-BO"/>
        </w:rPr>
      </w:pPr>
      <w:r w:rsidRPr="00076165">
        <w:rPr>
          <w:rFonts w:ascii="Arial" w:hAnsi="Arial" w:cs="Arial"/>
          <w:i/>
          <w:lang w:val="es-BO"/>
        </w:rPr>
        <w:t>Falta de Acceso a Servicios de Cuidado Infantil</w:t>
      </w:r>
    </w:p>
    <w:p w:rsidR="00B72AB6" w:rsidRPr="00076165" w:rsidRDefault="00164FBE" w:rsidP="00883BA1">
      <w:pPr>
        <w:spacing w:line="276" w:lineRule="auto"/>
        <w:jc w:val="both"/>
        <w:rPr>
          <w:rFonts w:ascii="Arial" w:hAnsi="Arial" w:cs="Arial"/>
          <w:lang w:val="es-BO"/>
        </w:rPr>
      </w:pPr>
      <w:r>
        <w:rPr>
          <w:rFonts w:ascii="Arial" w:hAnsi="Arial" w:cs="Arial"/>
          <w:lang w:val="es-BO"/>
        </w:rPr>
        <w:t>L</w:t>
      </w:r>
      <w:r w:rsidR="00E04263" w:rsidRPr="00076165">
        <w:rPr>
          <w:rFonts w:ascii="Arial" w:hAnsi="Arial" w:cs="Arial"/>
          <w:lang w:val="es-BO"/>
        </w:rPr>
        <w:t>os programas que reducen los costos del cuidado infantil</w:t>
      </w:r>
      <w:r w:rsidR="00E04263" w:rsidRPr="00076165">
        <w:rPr>
          <w:rStyle w:val="FootnoteReference"/>
          <w:rFonts w:ascii="Arial" w:hAnsi="Arial" w:cs="Arial"/>
          <w:lang w:val="es-BO"/>
        </w:rPr>
        <w:footnoteReference w:id="5"/>
      </w:r>
      <w:r w:rsidR="00E04263" w:rsidRPr="00076165">
        <w:rPr>
          <w:rFonts w:ascii="Arial" w:hAnsi="Arial" w:cs="Arial"/>
          <w:lang w:val="es-BO"/>
        </w:rPr>
        <w:t xml:space="preserve"> han sido ampliamente implementados </w:t>
      </w:r>
      <w:r w:rsidR="00B72AB6" w:rsidRPr="00076165">
        <w:rPr>
          <w:rFonts w:ascii="Arial" w:hAnsi="Arial" w:cs="Arial"/>
          <w:lang w:val="es-BO"/>
        </w:rPr>
        <w:t xml:space="preserve">y estudiados </w:t>
      </w:r>
      <w:r w:rsidR="00E04263" w:rsidRPr="00076165">
        <w:rPr>
          <w:rFonts w:ascii="Arial" w:hAnsi="Arial" w:cs="Arial"/>
          <w:lang w:val="es-BO"/>
        </w:rPr>
        <w:t xml:space="preserve">en la región. La relación entre la imposibilidad de participación femenina en el mercado laboral y el cuidado de hijos menores </w:t>
      </w:r>
      <w:r w:rsidR="0003763D" w:rsidRPr="00076165">
        <w:rPr>
          <w:rFonts w:ascii="Arial" w:hAnsi="Arial" w:cs="Arial"/>
          <w:lang w:val="es-BO"/>
        </w:rPr>
        <w:t>están</w:t>
      </w:r>
      <w:r w:rsidR="00E04263" w:rsidRPr="00076165">
        <w:rPr>
          <w:rFonts w:ascii="Arial" w:hAnsi="Arial" w:cs="Arial"/>
          <w:lang w:val="es-BO"/>
        </w:rPr>
        <w:t xml:space="preserve"> arraigados </w:t>
      </w:r>
      <w:r w:rsidR="00E6227E" w:rsidRPr="00076165">
        <w:rPr>
          <w:rFonts w:ascii="Arial" w:hAnsi="Arial" w:cs="Arial"/>
          <w:lang w:val="es-BO"/>
        </w:rPr>
        <w:t>culturalmente</w:t>
      </w:r>
      <w:r w:rsidR="00B72AB6" w:rsidRPr="00076165">
        <w:rPr>
          <w:rFonts w:ascii="Arial" w:hAnsi="Arial" w:cs="Arial"/>
          <w:lang w:val="es-BO"/>
        </w:rPr>
        <w:t xml:space="preserve">, </w:t>
      </w:r>
      <w:r w:rsidR="00E6227E" w:rsidRPr="00076165">
        <w:rPr>
          <w:rFonts w:ascii="Arial" w:hAnsi="Arial" w:cs="Arial"/>
          <w:lang w:val="es-BO"/>
        </w:rPr>
        <w:t>las mujeres en la región y en Bolivia en particular tienen asignado el rol principal del cuidado de niños</w:t>
      </w:r>
      <w:r w:rsidR="00883BA1" w:rsidRPr="00076165">
        <w:rPr>
          <w:rFonts w:ascii="Arial" w:hAnsi="Arial" w:cs="Arial"/>
          <w:lang w:val="es-BO"/>
        </w:rPr>
        <w:t>,</w:t>
      </w:r>
      <w:r w:rsidR="00E6227E" w:rsidRPr="00076165">
        <w:rPr>
          <w:rFonts w:ascii="Arial" w:hAnsi="Arial" w:cs="Arial"/>
          <w:lang w:val="es-BO"/>
        </w:rPr>
        <w:t xml:space="preserve"> familiares ancianos y discapacitados (Farah, Sanchez &amp; Wanderley, 2009). </w:t>
      </w:r>
      <w:r w:rsidR="00883BA1" w:rsidRPr="00076165">
        <w:rPr>
          <w:rFonts w:ascii="Arial" w:hAnsi="Arial" w:cs="Arial"/>
          <w:lang w:val="es-BO"/>
        </w:rPr>
        <w:t xml:space="preserve">Este rol de las mujeres relacionado con el cuidado </w:t>
      </w:r>
      <w:r w:rsidR="00883BA1" w:rsidRPr="00076165">
        <w:rPr>
          <w:rFonts w:ascii="Arial" w:hAnsi="Arial" w:cs="Arial"/>
          <w:lang w:val="es-BO"/>
        </w:rPr>
        <w:lastRenderedPageBreak/>
        <w:t xml:space="preserve">familiar de cierta forma limita </w:t>
      </w:r>
      <w:r w:rsidR="00680FAB" w:rsidRPr="00076165">
        <w:rPr>
          <w:rFonts w:ascii="Arial" w:hAnsi="Arial" w:cs="Arial"/>
          <w:lang w:val="es-BO"/>
        </w:rPr>
        <w:t>la participación de las m</w:t>
      </w:r>
      <w:r w:rsidR="00883BA1" w:rsidRPr="00076165">
        <w:rPr>
          <w:rFonts w:ascii="Arial" w:hAnsi="Arial" w:cs="Arial"/>
          <w:lang w:val="es-BO"/>
        </w:rPr>
        <w:t>u</w:t>
      </w:r>
      <w:r w:rsidR="00680FAB" w:rsidRPr="00076165">
        <w:rPr>
          <w:rFonts w:ascii="Arial" w:hAnsi="Arial" w:cs="Arial"/>
          <w:lang w:val="es-BO"/>
        </w:rPr>
        <w:t>j</w:t>
      </w:r>
      <w:r w:rsidR="00883BA1" w:rsidRPr="00076165">
        <w:rPr>
          <w:rFonts w:ascii="Arial" w:hAnsi="Arial" w:cs="Arial"/>
          <w:lang w:val="es-BO"/>
        </w:rPr>
        <w:t>e</w:t>
      </w:r>
      <w:r w:rsidR="00680FAB" w:rsidRPr="00076165">
        <w:rPr>
          <w:rFonts w:ascii="Arial" w:hAnsi="Arial" w:cs="Arial"/>
          <w:lang w:val="es-BO"/>
        </w:rPr>
        <w:t>res en e</w:t>
      </w:r>
      <w:r w:rsidR="00B72AB6" w:rsidRPr="00076165">
        <w:rPr>
          <w:rFonts w:ascii="Arial" w:hAnsi="Arial" w:cs="Arial"/>
          <w:lang w:val="es-BO"/>
        </w:rPr>
        <w:t>l sector formal</w:t>
      </w:r>
      <w:r w:rsidR="00680FAB" w:rsidRPr="00076165">
        <w:rPr>
          <w:rFonts w:ascii="Arial" w:hAnsi="Arial" w:cs="Arial"/>
          <w:lang w:val="es-BO"/>
        </w:rPr>
        <w:t xml:space="preserve"> debido a que este tipo de empleo </w:t>
      </w:r>
      <w:r w:rsidR="00B72AB6" w:rsidRPr="00076165">
        <w:rPr>
          <w:rFonts w:ascii="Arial" w:hAnsi="Arial" w:cs="Arial"/>
          <w:lang w:val="es-BO"/>
        </w:rPr>
        <w:t xml:space="preserve">requiere largas horas de trabajo que no son factibles de efectuar ante la presencia de niños pequeños. </w:t>
      </w:r>
      <w:r w:rsidR="00680FAB" w:rsidRPr="00076165">
        <w:rPr>
          <w:rFonts w:ascii="Arial" w:hAnsi="Arial" w:cs="Arial"/>
          <w:lang w:val="es-BO"/>
        </w:rPr>
        <w:t>Mientras que l</w:t>
      </w:r>
      <w:r w:rsidR="00B72AB6" w:rsidRPr="00076165">
        <w:rPr>
          <w:rFonts w:ascii="Arial" w:hAnsi="Arial" w:cs="Arial"/>
          <w:lang w:val="es-BO"/>
        </w:rPr>
        <w:t>os sectores informales, típicamente pagan menos y no incluyen beneficios sociales, pero son flexibles en términos horarios y en permitir que las mujeres cuide</w:t>
      </w:r>
      <w:r w:rsidR="00076165" w:rsidRPr="00076165">
        <w:rPr>
          <w:rFonts w:ascii="Arial" w:hAnsi="Arial" w:cs="Arial"/>
          <w:lang w:val="es-BO"/>
        </w:rPr>
        <w:t>n a sus hijos mientras trabajan</w:t>
      </w:r>
      <w:r w:rsidR="00B72AB6" w:rsidRPr="00076165">
        <w:rPr>
          <w:rFonts w:ascii="Arial" w:hAnsi="Arial" w:cs="Arial"/>
          <w:lang w:val="es-BO"/>
        </w:rPr>
        <w:t xml:space="preserve">. </w:t>
      </w:r>
      <w:r w:rsidR="00680FAB" w:rsidRPr="00076165">
        <w:rPr>
          <w:rFonts w:ascii="Arial" w:hAnsi="Arial" w:cs="Arial"/>
          <w:lang w:val="es-BO"/>
        </w:rPr>
        <w:t xml:space="preserve">En este sentido, el acceso a servicios de cuidado infantiles </w:t>
      </w:r>
      <w:r w:rsidR="0099463E" w:rsidRPr="00076165">
        <w:rPr>
          <w:rFonts w:ascii="Arial" w:hAnsi="Arial" w:cs="Arial"/>
          <w:lang w:val="es-BO"/>
        </w:rPr>
        <w:t xml:space="preserve">para ser una </w:t>
      </w:r>
      <w:r w:rsidR="0003763D" w:rsidRPr="00076165">
        <w:rPr>
          <w:rFonts w:ascii="Arial" w:hAnsi="Arial" w:cs="Arial"/>
          <w:lang w:val="es-BO"/>
        </w:rPr>
        <w:t>opción</w:t>
      </w:r>
      <w:r w:rsidR="0099463E" w:rsidRPr="00076165">
        <w:rPr>
          <w:rFonts w:ascii="Arial" w:hAnsi="Arial" w:cs="Arial"/>
          <w:lang w:val="es-BO"/>
        </w:rPr>
        <w:t xml:space="preserve"> importante para no solo incrementar </w:t>
      </w:r>
      <w:r w:rsidR="00680FAB" w:rsidRPr="00076165">
        <w:rPr>
          <w:rFonts w:ascii="Arial" w:hAnsi="Arial" w:cs="Arial"/>
          <w:lang w:val="es-BO"/>
        </w:rPr>
        <w:t>el nivel de participación laboral femenina</w:t>
      </w:r>
      <w:r w:rsidR="0099463E" w:rsidRPr="00076165">
        <w:rPr>
          <w:rFonts w:ascii="Arial" w:hAnsi="Arial" w:cs="Arial"/>
          <w:lang w:val="es-BO"/>
        </w:rPr>
        <w:t xml:space="preserve"> sino también su participación en </w:t>
      </w:r>
      <w:r w:rsidR="0011441B" w:rsidRPr="00076165">
        <w:rPr>
          <w:rFonts w:ascii="Arial" w:hAnsi="Arial" w:cs="Arial"/>
          <w:lang w:val="es-BO"/>
        </w:rPr>
        <w:t>el sector formal</w:t>
      </w:r>
      <w:r w:rsidR="00680FAB" w:rsidRPr="00076165">
        <w:rPr>
          <w:rFonts w:ascii="Arial" w:hAnsi="Arial" w:cs="Arial"/>
          <w:lang w:val="es-BO"/>
        </w:rPr>
        <w:t>.</w:t>
      </w:r>
    </w:p>
    <w:p w:rsidR="00A2240B" w:rsidRPr="00076165" w:rsidRDefault="00E6227E" w:rsidP="00AA43C1">
      <w:pPr>
        <w:spacing w:line="276" w:lineRule="auto"/>
        <w:jc w:val="both"/>
        <w:rPr>
          <w:rFonts w:ascii="Arial" w:hAnsi="Arial" w:cs="Arial"/>
          <w:lang w:val="es-BO"/>
        </w:rPr>
      </w:pPr>
      <w:r w:rsidRPr="00076165">
        <w:rPr>
          <w:rFonts w:ascii="Arial" w:hAnsi="Arial" w:cs="Arial"/>
          <w:lang w:val="es-BO"/>
        </w:rPr>
        <w:t xml:space="preserve">La literatura ha </w:t>
      </w:r>
      <w:r w:rsidR="00E04263" w:rsidRPr="00076165">
        <w:rPr>
          <w:rFonts w:ascii="Arial" w:hAnsi="Arial" w:cs="Arial"/>
          <w:lang w:val="es-BO"/>
        </w:rPr>
        <w:t xml:space="preserve">documentado </w:t>
      </w:r>
      <w:r w:rsidRPr="00076165">
        <w:rPr>
          <w:rFonts w:ascii="Arial" w:hAnsi="Arial" w:cs="Arial"/>
          <w:lang w:val="es-BO"/>
        </w:rPr>
        <w:t xml:space="preserve">que </w:t>
      </w:r>
      <w:r w:rsidR="00361B39" w:rsidRPr="00076165">
        <w:rPr>
          <w:rFonts w:ascii="Arial" w:hAnsi="Arial" w:cs="Arial"/>
          <w:lang w:val="es-BO"/>
        </w:rPr>
        <w:t xml:space="preserve">las PAML que brindan </w:t>
      </w:r>
      <w:r w:rsidR="0003763D" w:rsidRPr="00076165">
        <w:rPr>
          <w:rFonts w:ascii="Arial" w:hAnsi="Arial" w:cs="Arial"/>
          <w:lang w:val="es-BO"/>
        </w:rPr>
        <w:t>además</w:t>
      </w:r>
      <w:r w:rsidR="00361B39" w:rsidRPr="00076165">
        <w:rPr>
          <w:rFonts w:ascii="Arial" w:hAnsi="Arial" w:cs="Arial"/>
          <w:lang w:val="es-BO"/>
        </w:rPr>
        <w:t xml:space="preserve"> </w:t>
      </w:r>
      <w:r w:rsidR="0099463E" w:rsidRPr="00076165">
        <w:rPr>
          <w:rFonts w:ascii="Arial" w:hAnsi="Arial" w:cs="Arial"/>
          <w:lang w:val="es-BO"/>
        </w:rPr>
        <w:t xml:space="preserve">acceso a </w:t>
      </w:r>
      <w:r w:rsidR="00254EBD" w:rsidRPr="00076165">
        <w:rPr>
          <w:rFonts w:ascii="Arial" w:hAnsi="Arial" w:cs="Arial"/>
          <w:lang w:val="es-BO"/>
        </w:rPr>
        <w:t xml:space="preserve">servicios de cuidado infantil </w:t>
      </w:r>
      <w:r w:rsidRPr="00076165">
        <w:rPr>
          <w:rFonts w:ascii="Arial" w:hAnsi="Arial" w:cs="Arial"/>
          <w:lang w:val="es-BO"/>
        </w:rPr>
        <w:t xml:space="preserve">ha </w:t>
      </w:r>
      <w:r w:rsidR="00254EBD" w:rsidRPr="00076165">
        <w:rPr>
          <w:rFonts w:ascii="Arial" w:hAnsi="Arial" w:cs="Arial"/>
          <w:lang w:val="es-BO"/>
        </w:rPr>
        <w:t>potencia</w:t>
      </w:r>
      <w:r w:rsidRPr="00076165">
        <w:rPr>
          <w:rFonts w:ascii="Arial" w:hAnsi="Arial" w:cs="Arial"/>
          <w:lang w:val="es-BO"/>
        </w:rPr>
        <w:t>do</w:t>
      </w:r>
      <w:r w:rsidR="00254EBD" w:rsidRPr="00076165">
        <w:rPr>
          <w:rFonts w:ascii="Arial" w:hAnsi="Arial" w:cs="Arial"/>
          <w:lang w:val="es-BO"/>
        </w:rPr>
        <w:t xml:space="preserve"> los niveles de </w:t>
      </w:r>
      <w:r w:rsidRPr="00076165">
        <w:rPr>
          <w:rFonts w:ascii="Arial" w:hAnsi="Arial" w:cs="Arial"/>
          <w:lang w:val="es-BO"/>
        </w:rPr>
        <w:t xml:space="preserve">participación en </w:t>
      </w:r>
      <w:r w:rsidR="00254EBD" w:rsidRPr="00076165">
        <w:rPr>
          <w:rFonts w:ascii="Arial" w:hAnsi="Arial" w:cs="Arial"/>
          <w:lang w:val="es-BO"/>
        </w:rPr>
        <w:t>empleo remunerado de las mujeres (</w:t>
      </w:r>
      <w:r w:rsidR="00A2240B" w:rsidRPr="00076165">
        <w:rPr>
          <w:rFonts w:ascii="Arial" w:hAnsi="Arial" w:cs="Arial"/>
          <w:lang w:val="es-BO"/>
        </w:rPr>
        <w:t>tanto en el margen</w:t>
      </w:r>
      <w:r w:rsidR="00254EBD" w:rsidRPr="00076165">
        <w:rPr>
          <w:rFonts w:ascii="Arial" w:hAnsi="Arial" w:cs="Arial"/>
          <w:lang w:val="es-BO"/>
        </w:rPr>
        <w:t xml:space="preserve"> extensivo </w:t>
      </w:r>
      <w:r w:rsidR="00A2240B" w:rsidRPr="00076165">
        <w:rPr>
          <w:rFonts w:ascii="Arial" w:hAnsi="Arial" w:cs="Arial"/>
          <w:lang w:val="es-BO"/>
        </w:rPr>
        <w:t xml:space="preserve">–más mujeres participan en el mercado laboral- </w:t>
      </w:r>
      <w:r w:rsidR="00254EBD" w:rsidRPr="00076165">
        <w:rPr>
          <w:rFonts w:ascii="Arial" w:hAnsi="Arial" w:cs="Arial"/>
          <w:lang w:val="es-BO"/>
        </w:rPr>
        <w:t>e intensivo</w:t>
      </w:r>
      <w:r w:rsidR="00A2240B" w:rsidRPr="00076165">
        <w:rPr>
          <w:rFonts w:ascii="Arial" w:hAnsi="Arial" w:cs="Arial"/>
          <w:lang w:val="es-BO"/>
        </w:rPr>
        <w:t xml:space="preserve"> –las mujeres participan una mayor cantidad de horas-</w:t>
      </w:r>
      <w:r w:rsidR="00254EBD" w:rsidRPr="00076165">
        <w:rPr>
          <w:rFonts w:ascii="Arial" w:hAnsi="Arial" w:cs="Arial"/>
          <w:lang w:val="es-BO"/>
        </w:rPr>
        <w:t>)</w:t>
      </w:r>
      <w:r w:rsidR="00A2240B" w:rsidRPr="00076165">
        <w:rPr>
          <w:rFonts w:ascii="Arial" w:hAnsi="Arial" w:cs="Arial"/>
          <w:lang w:val="es-BO"/>
        </w:rPr>
        <w:t xml:space="preserve">. </w:t>
      </w:r>
      <w:r w:rsidRPr="00076165">
        <w:rPr>
          <w:rFonts w:ascii="Arial" w:hAnsi="Arial" w:cs="Arial"/>
          <w:lang w:val="es-BO"/>
        </w:rPr>
        <w:t xml:space="preserve">En </w:t>
      </w:r>
      <w:r w:rsidR="00A2240B" w:rsidRPr="00076165">
        <w:rPr>
          <w:rFonts w:ascii="Arial" w:hAnsi="Arial" w:cs="Arial"/>
          <w:lang w:val="es-BO"/>
        </w:rPr>
        <w:t>Brasil y Argentina diversos estudios demostraron que el acceso a cuidado infantil elevó la participación de las madres en la fuerza laboral (Paes de Barros et al., 2011; Berlinski y Galiani, 2007).</w:t>
      </w:r>
      <w:r w:rsidR="00E04263" w:rsidRPr="00076165">
        <w:rPr>
          <w:rFonts w:ascii="Arial" w:hAnsi="Arial" w:cs="Arial"/>
          <w:lang w:val="es-BO"/>
        </w:rPr>
        <w:t xml:space="preserve"> </w:t>
      </w:r>
      <w:r w:rsidR="00E04263" w:rsidRPr="00076165">
        <w:rPr>
          <w:rFonts w:ascii="Arial" w:hAnsi="Arial" w:cs="Arial"/>
          <w:lang w:val="es-ES"/>
        </w:rPr>
        <w:t xml:space="preserve">En Colombia, Attanasio and Vera-Hernandez (2004) estudian el impacto de un programa comunitario de cuidado infantil que buscaba incrementar la nutrición de los niños y la participación laboral de las mujeres </w:t>
      </w:r>
      <w:r w:rsidR="00B72AB6" w:rsidRPr="00076165">
        <w:rPr>
          <w:rFonts w:ascii="Arial" w:hAnsi="Arial" w:cs="Arial"/>
          <w:lang w:val="es-ES"/>
        </w:rPr>
        <w:t xml:space="preserve">de </w:t>
      </w:r>
      <w:r w:rsidR="00E04263" w:rsidRPr="00076165">
        <w:rPr>
          <w:rFonts w:ascii="Arial" w:hAnsi="Arial" w:cs="Arial"/>
          <w:lang w:val="es-ES"/>
        </w:rPr>
        <w:t>hogares de bajos recursos económicos. Los autores identifican impactos significativos en la participación laboral e ingreso de las madres</w:t>
      </w:r>
      <w:r w:rsidR="0099463E" w:rsidRPr="00076165">
        <w:rPr>
          <w:rFonts w:ascii="Arial" w:hAnsi="Arial" w:cs="Arial"/>
          <w:lang w:val="es-ES"/>
        </w:rPr>
        <w:t xml:space="preserve">, pero también </w:t>
      </w:r>
      <w:r w:rsidR="00E04263" w:rsidRPr="00076165">
        <w:rPr>
          <w:rFonts w:ascii="Arial" w:hAnsi="Arial" w:cs="Arial"/>
          <w:lang w:val="es-ES"/>
        </w:rPr>
        <w:t xml:space="preserve">en el bienestar nutricional de los niños. </w:t>
      </w:r>
      <w:r w:rsidR="00E04263" w:rsidRPr="00076165">
        <w:rPr>
          <w:rFonts w:ascii="Arial" w:hAnsi="Arial" w:cs="Arial"/>
          <w:lang w:val="es-BO"/>
        </w:rPr>
        <w:t>En Guatemala un programa de cuidado comunitario de niños en la ciudad de Guatemala demostró un impacto en la nutrición de los niños y en el ingreso de la madre beneficiaria del programa, los autores calculan impacto</w:t>
      </w:r>
      <w:r w:rsidR="0099463E" w:rsidRPr="00076165">
        <w:rPr>
          <w:rFonts w:ascii="Arial" w:hAnsi="Arial" w:cs="Arial"/>
          <w:lang w:val="es-BO"/>
        </w:rPr>
        <w:t>s</w:t>
      </w:r>
      <w:r w:rsidR="00E04263" w:rsidRPr="00076165">
        <w:rPr>
          <w:rFonts w:ascii="Arial" w:hAnsi="Arial" w:cs="Arial"/>
          <w:lang w:val="es-BO"/>
        </w:rPr>
        <w:t xml:space="preserve"> en </w:t>
      </w:r>
      <w:r w:rsidR="0099463E" w:rsidRPr="00076165">
        <w:rPr>
          <w:rFonts w:ascii="Arial" w:hAnsi="Arial" w:cs="Arial"/>
          <w:lang w:val="es-BO"/>
        </w:rPr>
        <w:t xml:space="preserve">la </w:t>
      </w:r>
      <w:r w:rsidR="00E04263" w:rsidRPr="00076165">
        <w:rPr>
          <w:rFonts w:ascii="Arial" w:hAnsi="Arial" w:cs="Arial"/>
          <w:lang w:val="es-BO"/>
        </w:rPr>
        <w:t xml:space="preserve">participación, ingresos y formalidad </w:t>
      </w:r>
      <w:r w:rsidR="00B72AB6" w:rsidRPr="00076165">
        <w:rPr>
          <w:rFonts w:ascii="Arial" w:hAnsi="Arial" w:cs="Arial"/>
          <w:lang w:val="es-BO"/>
        </w:rPr>
        <w:t xml:space="preserve">de las madres </w:t>
      </w:r>
      <w:r w:rsidR="00E04263" w:rsidRPr="00076165">
        <w:rPr>
          <w:rFonts w:ascii="Arial" w:hAnsi="Arial" w:cs="Arial"/>
          <w:lang w:val="es-BO"/>
        </w:rPr>
        <w:t>(Ruel y Quisumbing, 2006)</w:t>
      </w:r>
      <w:r w:rsidR="00A2240B" w:rsidRPr="00076165">
        <w:rPr>
          <w:rFonts w:ascii="Arial" w:hAnsi="Arial" w:cs="Arial"/>
          <w:lang w:val="es-BO"/>
        </w:rPr>
        <w:t xml:space="preserve">. </w:t>
      </w:r>
      <w:r w:rsidR="00254EBD" w:rsidRPr="00076165">
        <w:rPr>
          <w:rFonts w:ascii="Arial" w:hAnsi="Arial" w:cs="Arial"/>
          <w:lang w:val="es-BO"/>
        </w:rPr>
        <w:t xml:space="preserve">En suma, la mayoría de los </w:t>
      </w:r>
      <w:r w:rsidR="00E04263" w:rsidRPr="00076165">
        <w:rPr>
          <w:rFonts w:ascii="Arial" w:hAnsi="Arial" w:cs="Arial"/>
          <w:lang w:val="es-BO"/>
        </w:rPr>
        <w:t xml:space="preserve">las evaluaciones a estos programas </w:t>
      </w:r>
      <w:r w:rsidR="0099463E" w:rsidRPr="00076165">
        <w:rPr>
          <w:rFonts w:ascii="Arial" w:hAnsi="Arial" w:cs="Arial"/>
          <w:lang w:val="es-BO"/>
        </w:rPr>
        <w:t xml:space="preserve">en la región </w:t>
      </w:r>
      <w:r w:rsidR="00254EBD" w:rsidRPr="00076165">
        <w:rPr>
          <w:rFonts w:ascii="Arial" w:hAnsi="Arial" w:cs="Arial"/>
          <w:lang w:val="es-BO"/>
        </w:rPr>
        <w:t>apunta</w:t>
      </w:r>
      <w:r w:rsidR="0099463E" w:rsidRPr="00076165">
        <w:rPr>
          <w:rFonts w:ascii="Arial" w:hAnsi="Arial" w:cs="Arial"/>
          <w:lang w:val="es-BO"/>
        </w:rPr>
        <w:t>n</w:t>
      </w:r>
      <w:r w:rsidR="00254EBD" w:rsidRPr="00076165">
        <w:rPr>
          <w:rFonts w:ascii="Arial" w:hAnsi="Arial" w:cs="Arial"/>
          <w:lang w:val="es-BO"/>
        </w:rPr>
        <w:t xml:space="preserve"> a un efecto positivo de los programas de cuidado infantil en la participación de las mujeres en la fuerza laboral, con </w:t>
      </w:r>
      <w:r w:rsidR="0099463E" w:rsidRPr="00076165">
        <w:rPr>
          <w:rFonts w:ascii="Arial" w:hAnsi="Arial" w:cs="Arial"/>
          <w:lang w:val="es-BO"/>
        </w:rPr>
        <w:t xml:space="preserve">resultados </w:t>
      </w:r>
      <w:r w:rsidR="0003763D" w:rsidRPr="00076165">
        <w:rPr>
          <w:rFonts w:ascii="Arial" w:hAnsi="Arial" w:cs="Arial"/>
          <w:lang w:val="es-BO"/>
        </w:rPr>
        <w:t>heterogéneos</w:t>
      </w:r>
      <w:r w:rsidR="0099463E" w:rsidRPr="00076165">
        <w:rPr>
          <w:rFonts w:ascii="Arial" w:hAnsi="Arial" w:cs="Arial"/>
          <w:lang w:val="es-BO"/>
        </w:rPr>
        <w:t xml:space="preserve"> </w:t>
      </w:r>
      <w:r w:rsidR="00254EBD" w:rsidRPr="00076165">
        <w:rPr>
          <w:rFonts w:ascii="Arial" w:hAnsi="Arial" w:cs="Arial"/>
          <w:lang w:val="es-BO"/>
        </w:rPr>
        <w:t xml:space="preserve">en </w:t>
      </w:r>
      <w:r w:rsidR="00E04263" w:rsidRPr="00076165">
        <w:rPr>
          <w:rFonts w:ascii="Arial" w:hAnsi="Arial" w:cs="Arial"/>
          <w:lang w:val="es-BO"/>
        </w:rPr>
        <w:t>relación a</w:t>
      </w:r>
      <w:r w:rsidR="00254EBD" w:rsidRPr="00076165">
        <w:rPr>
          <w:rFonts w:ascii="Arial" w:hAnsi="Arial" w:cs="Arial"/>
          <w:lang w:val="es-BO"/>
        </w:rPr>
        <w:t>l ingreso</w:t>
      </w:r>
      <w:r w:rsidR="00E04263" w:rsidRPr="00076165">
        <w:rPr>
          <w:rFonts w:ascii="Arial" w:hAnsi="Arial" w:cs="Arial"/>
          <w:lang w:val="es-BO"/>
        </w:rPr>
        <w:t xml:space="preserve"> laboral</w:t>
      </w:r>
      <w:r w:rsidR="0099463E" w:rsidRPr="00076165">
        <w:rPr>
          <w:rStyle w:val="FootnoteReference"/>
          <w:rFonts w:ascii="Arial" w:hAnsi="Arial" w:cs="Arial"/>
          <w:lang w:val="es-BO"/>
        </w:rPr>
        <w:footnoteReference w:id="6"/>
      </w:r>
      <w:r w:rsidR="00254EBD" w:rsidRPr="00076165">
        <w:rPr>
          <w:rFonts w:ascii="Arial" w:hAnsi="Arial" w:cs="Arial"/>
          <w:lang w:val="es-BO"/>
        </w:rPr>
        <w:t xml:space="preserve">. </w:t>
      </w:r>
    </w:p>
    <w:p w:rsidR="00254EBD" w:rsidRPr="00076165" w:rsidRDefault="00B72AB6" w:rsidP="00AA43C1">
      <w:pPr>
        <w:spacing w:line="276" w:lineRule="auto"/>
        <w:jc w:val="both"/>
        <w:rPr>
          <w:rFonts w:ascii="Arial" w:hAnsi="Arial" w:cs="Arial"/>
          <w:lang w:val="es-BO"/>
        </w:rPr>
      </w:pPr>
      <w:r w:rsidRPr="00076165">
        <w:rPr>
          <w:rFonts w:ascii="Arial" w:hAnsi="Arial" w:cs="Arial"/>
          <w:lang w:val="es-BO"/>
        </w:rPr>
        <w:t>Sin embargo, s</w:t>
      </w:r>
      <w:r w:rsidR="00A2240B" w:rsidRPr="00076165">
        <w:rPr>
          <w:rFonts w:ascii="Arial" w:hAnsi="Arial" w:cs="Arial"/>
          <w:lang w:val="es-BO"/>
        </w:rPr>
        <w:t>i bien los resultados son prometedores, es necesario considerar que para asegurar la efectividad</w:t>
      </w:r>
      <w:r w:rsidR="00E6227E" w:rsidRPr="00076165">
        <w:rPr>
          <w:rFonts w:ascii="Arial" w:hAnsi="Arial" w:cs="Arial"/>
          <w:lang w:val="es-BO"/>
        </w:rPr>
        <w:t xml:space="preserve"> de la intervención</w:t>
      </w:r>
      <w:r w:rsidR="00A2240B" w:rsidRPr="00076165">
        <w:rPr>
          <w:rFonts w:ascii="Arial" w:hAnsi="Arial" w:cs="Arial"/>
          <w:lang w:val="es-BO"/>
        </w:rPr>
        <w:t xml:space="preserve">, el diseño de los programas debe considerar </w:t>
      </w:r>
      <w:r w:rsidR="00E6227E" w:rsidRPr="00076165">
        <w:rPr>
          <w:rFonts w:ascii="Arial" w:hAnsi="Arial" w:cs="Arial"/>
          <w:lang w:val="es-BO"/>
        </w:rPr>
        <w:t xml:space="preserve">también </w:t>
      </w:r>
      <w:r w:rsidR="00A2240B" w:rsidRPr="00076165">
        <w:rPr>
          <w:rFonts w:ascii="Arial" w:hAnsi="Arial" w:cs="Arial"/>
          <w:lang w:val="es-BO"/>
        </w:rPr>
        <w:t xml:space="preserve">el diseño </w:t>
      </w:r>
      <w:r w:rsidR="00E6227E" w:rsidRPr="00076165">
        <w:rPr>
          <w:rFonts w:ascii="Arial" w:hAnsi="Arial" w:cs="Arial"/>
          <w:lang w:val="es-BO"/>
        </w:rPr>
        <w:t xml:space="preserve">en la </w:t>
      </w:r>
      <w:r w:rsidR="00A2240B" w:rsidRPr="00076165">
        <w:rPr>
          <w:rFonts w:ascii="Arial" w:hAnsi="Arial" w:cs="Arial"/>
          <w:lang w:val="es-BO"/>
        </w:rPr>
        <w:t xml:space="preserve">prestación de los servicios de cuidado para asegurar </w:t>
      </w:r>
      <w:r w:rsidRPr="00076165">
        <w:rPr>
          <w:rFonts w:ascii="Arial" w:hAnsi="Arial" w:cs="Arial"/>
          <w:lang w:val="es-BO"/>
        </w:rPr>
        <w:t xml:space="preserve">su </w:t>
      </w:r>
      <w:r w:rsidR="00A2240B" w:rsidRPr="00076165">
        <w:rPr>
          <w:rFonts w:ascii="Arial" w:hAnsi="Arial" w:cs="Arial"/>
          <w:lang w:val="es-BO"/>
        </w:rPr>
        <w:t>calidad, accesibilidad y eficacia.</w:t>
      </w:r>
      <w:r w:rsidRPr="00076165">
        <w:rPr>
          <w:rFonts w:ascii="Arial" w:hAnsi="Arial" w:cs="Arial"/>
          <w:lang w:val="es-BO"/>
        </w:rPr>
        <w:t xml:space="preserve"> Cuando los </w:t>
      </w:r>
      <w:r w:rsidR="00A2240B" w:rsidRPr="00076165">
        <w:rPr>
          <w:rFonts w:ascii="Arial" w:hAnsi="Arial" w:cs="Arial"/>
          <w:lang w:val="es-BO"/>
        </w:rPr>
        <w:t>costo</w:t>
      </w:r>
      <w:r w:rsidRPr="00076165">
        <w:rPr>
          <w:rFonts w:ascii="Arial" w:hAnsi="Arial" w:cs="Arial"/>
          <w:lang w:val="es-BO"/>
        </w:rPr>
        <w:t>s</w:t>
      </w:r>
      <w:r w:rsidR="00A2240B" w:rsidRPr="00076165">
        <w:rPr>
          <w:rFonts w:ascii="Arial" w:hAnsi="Arial" w:cs="Arial"/>
          <w:lang w:val="es-BO"/>
        </w:rPr>
        <w:t xml:space="preserve"> </w:t>
      </w:r>
      <w:r w:rsidRPr="00076165">
        <w:rPr>
          <w:rFonts w:ascii="Arial" w:hAnsi="Arial" w:cs="Arial"/>
          <w:lang w:val="es-BO"/>
        </w:rPr>
        <w:t xml:space="preserve">asociados al </w:t>
      </w:r>
      <w:r w:rsidR="00A2240B" w:rsidRPr="00076165">
        <w:rPr>
          <w:rFonts w:ascii="Arial" w:hAnsi="Arial" w:cs="Arial"/>
          <w:lang w:val="es-BO"/>
        </w:rPr>
        <w:t xml:space="preserve">servicio de cuidado infantil son </w:t>
      </w:r>
      <w:r w:rsidR="00E6227E" w:rsidRPr="00076165">
        <w:rPr>
          <w:rFonts w:ascii="Arial" w:hAnsi="Arial" w:cs="Arial"/>
          <w:lang w:val="es-BO"/>
        </w:rPr>
        <w:t xml:space="preserve">asignados </w:t>
      </w:r>
      <w:r w:rsidR="00A2240B" w:rsidRPr="00076165">
        <w:rPr>
          <w:rFonts w:ascii="Arial" w:hAnsi="Arial" w:cs="Arial"/>
          <w:lang w:val="es-BO"/>
        </w:rPr>
        <w:t xml:space="preserve">a los empleadores, </w:t>
      </w:r>
      <w:r w:rsidRPr="00076165">
        <w:rPr>
          <w:rFonts w:ascii="Arial" w:hAnsi="Arial" w:cs="Arial"/>
          <w:lang w:val="es-BO"/>
        </w:rPr>
        <w:t>existe evidencia de des</w:t>
      </w:r>
      <w:r w:rsidR="00254EBD" w:rsidRPr="00076165">
        <w:rPr>
          <w:rFonts w:ascii="Arial" w:hAnsi="Arial" w:cs="Arial"/>
          <w:lang w:val="es-BO"/>
        </w:rPr>
        <w:t>incentivos</w:t>
      </w:r>
      <w:r w:rsidRPr="00076165">
        <w:rPr>
          <w:rFonts w:ascii="Arial" w:hAnsi="Arial" w:cs="Arial"/>
          <w:lang w:val="es-BO"/>
        </w:rPr>
        <w:t>,</w:t>
      </w:r>
      <w:r w:rsidR="00254EBD" w:rsidRPr="00076165">
        <w:rPr>
          <w:rFonts w:ascii="Arial" w:hAnsi="Arial" w:cs="Arial"/>
          <w:lang w:val="es-BO"/>
        </w:rPr>
        <w:t xml:space="preserve"> </w:t>
      </w:r>
      <w:r w:rsidR="00A2240B" w:rsidRPr="00076165">
        <w:rPr>
          <w:rFonts w:ascii="Arial" w:hAnsi="Arial" w:cs="Arial"/>
          <w:lang w:val="es-BO"/>
        </w:rPr>
        <w:t xml:space="preserve">por parte de </w:t>
      </w:r>
      <w:r w:rsidR="00655658" w:rsidRPr="00076165">
        <w:rPr>
          <w:rFonts w:ascii="Arial" w:hAnsi="Arial" w:cs="Arial"/>
          <w:lang w:val="es-BO"/>
        </w:rPr>
        <w:t xml:space="preserve">los empleadores, </w:t>
      </w:r>
      <w:r w:rsidR="00254EBD" w:rsidRPr="00076165">
        <w:rPr>
          <w:rFonts w:ascii="Arial" w:hAnsi="Arial" w:cs="Arial"/>
          <w:lang w:val="es-BO"/>
        </w:rPr>
        <w:t xml:space="preserve">para </w:t>
      </w:r>
      <w:r w:rsidR="00A2240B" w:rsidRPr="00076165">
        <w:rPr>
          <w:rFonts w:ascii="Arial" w:hAnsi="Arial" w:cs="Arial"/>
          <w:lang w:val="es-BO"/>
        </w:rPr>
        <w:t xml:space="preserve">no </w:t>
      </w:r>
      <w:r w:rsidR="00254EBD" w:rsidRPr="00076165">
        <w:rPr>
          <w:rFonts w:ascii="Arial" w:hAnsi="Arial" w:cs="Arial"/>
          <w:lang w:val="es-BO"/>
        </w:rPr>
        <w:t>contratar mujeres</w:t>
      </w:r>
      <w:r w:rsidR="0099463E" w:rsidRPr="00076165">
        <w:rPr>
          <w:rFonts w:ascii="Arial" w:hAnsi="Arial" w:cs="Arial"/>
          <w:lang w:val="es-BO"/>
        </w:rPr>
        <w:t xml:space="preserve"> o para reducir su remuneración</w:t>
      </w:r>
      <w:r w:rsidR="00254EBD" w:rsidRPr="00076165">
        <w:rPr>
          <w:rFonts w:ascii="Arial" w:hAnsi="Arial" w:cs="Arial"/>
          <w:lang w:val="es-BO"/>
        </w:rPr>
        <w:t xml:space="preserve"> (Prada et al., 2013). En </w:t>
      </w:r>
      <w:r w:rsidR="00655658" w:rsidRPr="00076165">
        <w:rPr>
          <w:rFonts w:ascii="Arial" w:hAnsi="Arial" w:cs="Arial"/>
          <w:lang w:val="es-BO"/>
        </w:rPr>
        <w:t xml:space="preserve">este sentido, </w:t>
      </w:r>
      <w:r w:rsidR="00254EBD" w:rsidRPr="00076165">
        <w:rPr>
          <w:rFonts w:ascii="Arial" w:hAnsi="Arial" w:cs="Arial"/>
          <w:lang w:val="es-BO"/>
        </w:rPr>
        <w:t xml:space="preserve">en </w:t>
      </w:r>
      <w:r w:rsidR="0099463E" w:rsidRPr="00076165">
        <w:rPr>
          <w:rFonts w:ascii="Arial" w:hAnsi="Arial" w:cs="Arial"/>
          <w:lang w:val="es-BO"/>
        </w:rPr>
        <w:t xml:space="preserve">los </w:t>
      </w:r>
      <w:r w:rsidR="00254EBD" w:rsidRPr="00076165">
        <w:rPr>
          <w:rFonts w:ascii="Arial" w:hAnsi="Arial" w:cs="Arial"/>
          <w:lang w:val="es-BO"/>
        </w:rPr>
        <w:t xml:space="preserve">lugares donde existe una </w:t>
      </w:r>
      <w:r w:rsidR="00655658" w:rsidRPr="00076165">
        <w:rPr>
          <w:rFonts w:ascii="Arial" w:hAnsi="Arial" w:cs="Arial"/>
          <w:lang w:val="es-BO"/>
        </w:rPr>
        <w:t>oferta privada</w:t>
      </w:r>
      <w:r w:rsidR="0099463E" w:rsidRPr="00076165">
        <w:rPr>
          <w:rFonts w:ascii="Arial" w:hAnsi="Arial" w:cs="Arial"/>
          <w:lang w:val="es-BO"/>
        </w:rPr>
        <w:t xml:space="preserve"> de servicios de cuidado infantil</w:t>
      </w:r>
      <w:r w:rsidR="00655658" w:rsidRPr="00076165">
        <w:rPr>
          <w:rFonts w:ascii="Arial" w:hAnsi="Arial" w:cs="Arial"/>
          <w:lang w:val="es-BO"/>
        </w:rPr>
        <w:t xml:space="preserve">, se ve un potencial en </w:t>
      </w:r>
      <w:r w:rsidR="00254EBD" w:rsidRPr="00076165">
        <w:rPr>
          <w:rFonts w:ascii="Arial" w:hAnsi="Arial" w:cs="Arial"/>
          <w:lang w:val="es-BO"/>
        </w:rPr>
        <w:t xml:space="preserve">entregar vales </w:t>
      </w:r>
      <w:r w:rsidR="00655658" w:rsidRPr="00076165">
        <w:rPr>
          <w:rFonts w:ascii="Arial" w:hAnsi="Arial" w:cs="Arial"/>
          <w:lang w:val="es-BO"/>
        </w:rPr>
        <w:t xml:space="preserve">económicos </w:t>
      </w:r>
      <w:r w:rsidR="00254EBD" w:rsidRPr="00076165">
        <w:rPr>
          <w:rFonts w:ascii="Arial" w:hAnsi="Arial" w:cs="Arial"/>
          <w:lang w:val="es-BO"/>
        </w:rPr>
        <w:t>(vouchers) a las mujeres pobres para que accedan al servicio en vez de construir guarderías públicas (</w:t>
      </w:r>
      <w:r w:rsidR="00E04263" w:rsidRPr="00076165">
        <w:rPr>
          <w:rFonts w:ascii="Arial" w:hAnsi="Arial" w:cs="Arial"/>
          <w:lang w:val="es-ES"/>
        </w:rPr>
        <w:t>BID, 2015</w:t>
      </w:r>
      <w:r w:rsidR="00254EBD" w:rsidRPr="00076165">
        <w:rPr>
          <w:rFonts w:ascii="Arial" w:hAnsi="Arial" w:cs="Arial"/>
          <w:lang w:val="es-BO"/>
        </w:rPr>
        <w:t>)</w:t>
      </w:r>
      <w:r w:rsidR="00655658" w:rsidRPr="00076165">
        <w:rPr>
          <w:rFonts w:ascii="Arial" w:hAnsi="Arial" w:cs="Arial"/>
          <w:lang w:val="es-BO"/>
        </w:rPr>
        <w:t>.</w:t>
      </w:r>
    </w:p>
    <w:p w:rsidR="0068369F" w:rsidRPr="00076165" w:rsidRDefault="0068369F" w:rsidP="0068369F">
      <w:pPr>
        <w:spacing w:line="276" w:lineRule="auto"/>
        <w:jc w:val="both"/>
        <w:rPr>
          <w:rFonts w:ascii="Arial" w:hAnsi="Arial" w:cs="Arial"/>
          <w:i/>
          <w:lang w:val="es-BO"/>
        </w:rPr>
      </w:pPr>
      <w:r w:rsidRPr="00076165">
        <w:rPr>
          <w:rFonts w:ascii="Arial" w:hAnsi="Arial" w:cs="Arial"/>
          <w:i/>
          <w:lang w:val="es-BO"/>
        </w:rPr>
        <w:t>El caso del P</w:t>
      </w:r>
      <w:r w:rsidR="00C243FD">
        <w:rPr>
          <w:rFonts w:ascii="Arial" w:hAnsi="Arial" w:cs="Arial"/>
          <w:i/>
          <w:lang w:val="es-BO"/>
        </w:rPr>
        <w:t>rograma de Apoyo al Empleo (P</w:t>
      </w:r>
      <w:r w:rsidRPr="00076165">
        <w:rPr>
          <w:rFonts w:ascii="Arial" w:hAnsi="Arial" w:cs="Arial"/>
          <w:i/>
          <w:lang w:val="es-BO"/>
        </w:rPr>
        <w:t>AE</w:t>
      </w:r>
      <w:r w:rsidR="00C243FD">
        <w:rPr>
          <w:rFonts w:ascii="Arial" w:hAnsi="Arial" w:cs="Arial"/>
          <w:i/>
          <w:lang w:val="es-BO"/>
        </w:rPr>
        <w:t>)</w:t>
      </w:r>
    </w:p>
    <w:p w:rsidR="0099463E" w:rsidRPr="00076165" w:rsidRDefault="0099463E" w:rsidP="0099463E">
      <w:pPr>
        <w:spacing w:line="276" w:lineRule="auto"/>
        <w:jc w:val="both"/>
        <w:rPr>
          <w:rFonts w:ascii="Arial" w:hAnsi="Arial" w:cs="Arial"/>
          <w:lang w:val="es-ES_tradnl"/>
        </w:rPr>
      </w:pPr>
      <w:r w:rsidRPr="00076165">
        <w:rPr>
          <w:rFonts w:ascii="Arial" w:hAnsi="Arial" w:cs="Arial"/>
          <w:lang w:val="es-BO"/>
        </w:rPr>
        <w:t xml:space="preserve">En el caso del PAE, en particular, se ha detectado que el financiamiento de cuidado infantil se constituye en una barrera para participar de la capacitación in situ que es el </w:t>
      </w:r>
      <w:r w:rsidRPr="00076165">
        <w:rPr>
          <w:rFonts w:ascii="Arial" w:hAnsi="Arial" w:cs="Arial"/>
          <w:lang w:val="es-BO"/>
        </w:rPr>
        <w:lastRenderedPageBreak/>
        <w:t xml:space="preserve">camino que el programa tiene para apoyar la inserción laboral de personas que requieren una oportunidad de acceso a las empresas para experiencia y posiblemente prueba previa a contratación. </w:t>
      </w:r>
      <w:r w:rsidRPr="00076165">
        <w:rPr>
          <w:rFonts w:ascii="Arial" w:hAnsi="Arial" w:cs="Arial"/>
          <w:lang w:val="es-ES_tradnl"/>
        </w:rPr>
        <w:t xml:space="preserve">Si bien el PAE otorga apoyo económico de capacitación in situ, el costo de </w:t>
      </w:r>
      <w:r w:rsidR="0003763D" w:rsidRPr="00076165">
        <w:rPr>
          <w:rFonts w:ascii="Arial" w:hAnsi="Arial" w:cs="Arial"/>
          <w:lang w:val="es-ES_tradnl"/>
        </w:rPr>
        <w:t>guarderías</w:t>
      </w:r>
      <w:r w:rsidRPr="00076165">
        <w:rPr>
          <w:rFonts w:ascii="Arial" w:hAnsi="Arial" w:cs="Arial"/>
          <w:lang w:val="es-ES_tradnl"/>
        </w:rPr>
        <w:t xml:space="preserve"> se constituye en una barrera para la participación de mujeres madres debido a que este costo debe ser pagado por anticipado y el apoyo económico se tramita una vez terminado cada mes de capacitación, lo que requiere que las madres cuenten con recursos para pagar los dos primeros meses, ya que desde el tercer mes y una vez contratados este pago podría ser cubierto por el apoyo económico y después con ingresos laborales, si la persona es contratada una vez finalizada la fase de capacitación in situ.</w:t>
      </w:r>
    </w:p>
    <w:p w:rsidR="00E04263" w:rsidRPr="00076165" w:rsidRDefault="00361B39" w:rsidP="00AA43C1">
      <w:pPr>
        <w:spacing w:line="276" w:lineRule="auto"/>
        <w:jc w:val="both"/>
        <w:rPr>
          <w:rFonts w:ascii="Arial" w:hAnsi="Arial" w:cs="Arial"/>
          <w:b/>
          <w:lang w:val="es-BO"/>
        </w:rPr>
      </w:pPr>
      <w:r w:rsidRPr="00076165">
        <w:rPr>
          <w:rFonts w:ascii="Arial" w:hAnsi="Arial" w:cs="Arial"/>
          <w:b/>
          <w:lang w:val="es-BO"/>
        </w:rPr>
        <w:t>Segregación Ocupacional y Sectorial</w:t>
      </w:r>
    </w:p>
    <w:p w:rsidR="00794C19" w:rsidRPr="00076165" w:rsidRDefault="00137A8B" w:rsidP="00AA43C1">
      <w:pPr>
        <w:spacing w:line="276" w:lineRule="auto"/>
        <w:jc w:val="both"/>
        <w:rPr>
          <w:rFonts w:ascii="Arial" w:hAnsi="Arial" w:cs="Arial"/>
          <w:lang w:val="es-BO"/>
        </w:rPr>
      </w:pPr>
      <w:r w:rsidRPr="00076165">
        <w:rPr>
          <w:rFonts w:ascii="Arial" w:hAnsi="Arial" w:cs="Arial"/>
          <w:lang w:val="es-BO"/>
        </w:rPr>
        <w:t xml:space="preserve">Otra barrera de acceso identificada para el caso de las mujeres en Bolivia es la segregación ocupacional y sectorial. Este hecho </w:t>
      </w:r>
      <w:r w:rsidR="0003763D" w:rsidRPr="00076165">
        <w:rPr>
          <w:rFonts w:ascii="Arial" w:hAnsi="Arial" w:cs="Arial"/>
          <w:lang w:val="es-BO"/>
        </w:rPr>
        <w:t>está</w:t>
      </w:r>
      <w:r w:rsidRPr="00076165">
        <w:rPr>
          <w:rFonts w:ascii="Arial" w:hAnsi="Arial" w:cs="Arial"/>
          <w:lang w:val="es-BO"/>
        </w:rPr>
        <w:t xml:space="preserve"> ampliamente documentado e</w:t>
      </w:r>
      <w:r w:rsidR="00315FAF" w:rsidRPr="00076165">
        <w:rPr>
          <w:rFonts w:ascii="Arial" w:hAnsi="Arial" w:cs="Arial"/>
          <w:lang w:val="es-BO"/>
        </w:rPr>
        <w:t>n la región</w:t>
      </w:r>
      <w:r w:rsidR="00794C19" w:rsidRPr="00076165">
        <w:rPr>
          <w:rFonts w:ascii="Arial" w:hAnsi="Arial" w:cs="Arial"/>
          <w:lang w:val="es-BO"/>
        </w:rPr>
        <w:t>, donde se observan altos niveles de segregación ocupacional por género. A semejanza de lo que ocurre con la brecha salarial, se ha registrado una leve mejora en la última década, aunque a un ritmo muy lento</w:t>
      </w:r>
      <w:r w:rsidR="00794C19" w:rsidRPr="00076165">
        <w:rPr>
          <w:rStyle w:val="FootnoteReference"/>
          <w:rFonts w:ascii="Arial" w:hAnsi="Arial" w:cs="Arial"/>
          <w:lang w:val="es-BO"/>
        </w:rPr>
        <w:footnoteReference w:id="7"/>
      </w:r>
      <w:r w:rsidR="00794C19" w:rsidRPr="00076165">
        <w:rPr>
          <w:rFonts w:ascii="Arial" w:hAnsi="Arial" w:cs="Arial"/>
          <w:lang w:val="es-BO"/>
        </w:rPr>
        <w:t xml:space="preserve">.  </w:t>
      </w:r>
      <w:r w:rsidR="0003763D" w:rsidRPr="00076165">
        <w:rPr>
          <w:rFonts w:ascii="Arial" w:hAnsi="Arial" w:cs="Arial"/>
          <w:lang w:val="es-BO"/>
        </w:rPr>
        <w:t>Así</w:t>
      </w:r>
      <w:r w:rsidR="00794C19" w:rsidRPr="00076165">
        <w:rPr>
          <w:rFonts w:ascii="Arial" w:hAnsi="Arial" w:cs="Arial"/>
          <w:lang w:val="es-BO"/>
        </w:rPr>
        <w:t xml:space="preserve"> también se observa </w:t>
      </w:r>
      <w:r w:rsidR="00B0722C" w:rsidRPr="00076165">
        <w:rPr>
          <w:rFonts w:ascii="Arial" w:hAnsi="Arial" w:cs="Arial"/>
          <w:lang w:val="es-BO"/>
        </w:rPr>
        <w:t xml:space="preserve">concentración de mujeres con un nivel de instrucción superior a la secundaria en ciertas ocupaciones y sectores con </w:t>
      </w:r>
      <w:r w:rsidR="00CC6418" w:rsidRPr="00076165">
        <w:rPr>
          <w:rFonts w:ascii="Arial" w:hAnsi="Arial" w:cs="Arial"/>
          <w:lang w:val="es-BO"/>
        </w:rPr>
        <w:t xml:space="preserve">ingresos laborales </w:t>
      </w:r>
      <w:r w:rsidR="00794C19" w:rsidRPr="00076165">
        <w:rPr>
          <w:rFonts w:ascii="Arial" w:hAnsi="Arial" w:cs="Arial"/>
          <w:lang w:val="es-BO"/>
        </w:rPr>
        <w:t xml:space="preserve">promedio relativamente bajos (BID, 2015). </w:t>
      </w:r>
    </w:p>
    <w:p w:rsidR="00617617" w:rsidRPr="00076165" w:rsidRDefault="00CC6418" w:rsidP="00AA43C1">
      <w:pPr>
        <w:spacing w:line="276" w:lineRule="auto"/>
        <w:jc w:val="both"/>
        <w:rPr>
          <w:rFonts w:ascii="Arial" w:hAnsi="Arial" w:cs="Arial"/>
          <w:lang w:val="es-BO"/>
        </w:rPr>
      </w:pPr>
      <w:r w:rsidRPr="00076165">
        <w:rPr>
          <w:rFonts w:ascii="Arial" w:hAnsi="Arial" w:cs="Arial"/>
          <w:lang w:val="es-BO"/>
        </w:rPr>
        <w:t>En Bolivia existe evidencia consistente acerca de una sub-representación femenina en ciertas ocupaciones y sectores de actividad</w:t>
      </w:r>
      <w:r w:rsidR="00794C19" w:rsidRPr="00076165">
        <w:rPr>
          <w:rFonts w:ascii="Arial" w:hAnsi="Arial" w:cs="Arial"/>
          <w:lang w:val="es-BO"/>
        </w:rPr>
        <w:t xml:space="preserve"> que son </w:t>
      </w:r>
      <w:r w:rsidR="00617617" w:rsidRPr="00076165">
        <w:rPr>
          <w:rFonts w:ascii="Arial" w:hAnsi="Arial" w:cs="Arial"/>
          <w:lang w:val="es-BO"/>
        </w:rPr>
        <w:t xml:space="preserve">aquellos que </w:t>
      </w:r>
      <w:r w:rsidRPr="00076165">
        <w:rPr>
          <w:rFonts w:ascii="Arial" w:hAnsi="Arial" w:cs="Arial"/>
          <w:lang w:val="es-BO"/>
        </w:rPr>
        <w:t>en general</w:t>
      </w:r>
      <w:r w:rsidR="00794C19" w:rsidRPr="00076165">
        <w:rPr>
          <w:rFonts w:ascii="Arial" w:hAnsi="Arial" w:cs="Arial"/>
          <w:lang w:val="es-BO"/>
        </w:rPr>
        <w:t xml:space="preserve"> </w:t>
      </w:r>
      <w:r w:rsidRPr="00076165">
        <w:rPr>
          <w:rFonts w:ascii="Arial" w:hAnsi="Arial" w:cs="Arial"/>
          <w:lang w:val="es-BO"/>
        </w:rPr>
        <w:t xml:space="preserve">presentan mayores niveles de remuneración. En este sentido, se puede distinguir una </w:t>
      </w:r>
      <w:r w:rsidR="00617617" w:rsidRPr="00076165">
        <w:rPr>
          <w:rFonts w:ascii="Arial" w:hAnsi="Arial" w:cs="Arial"/>
          <w:lang w:val="es-BO"/>
        </w:rPr>
        <w:t>sub</w:t>
      </w:r>
      <w:r w:rsidR="0003763D" w:rsidRPr="00076165">
        <w:rPr>
          <w:rFonts w:ascii="Arial" w:hAnsi="Arial" w:cs="Arial"/>
          <w:lang w:val="es-BO"/>
        </w:rPr>
        <w:t>-</w:t>
      </w:r>
      <w:r w:rsidR="00617617" w:rsidRPr="00076165">
        <w:rPr>
          <w:rFonts w:ascii="Arial" w:hAnsi="Arial" w:cs="Arial"/>
          <w:lang w:val="es-BO"/>
        </w:rPr>
        <w:t xml:space="preserve">representación de las mujeres en </w:t>
      </w:r>
      <w:r w:rsidRPr="00076165">
        <w:rPr>
          <w:rFonts w:ascii="Arial" w:hAnsi="Arial" w:cs="Arial"/>
          <w:lang w:val="es-BO"/>
        </w:rPr>
        <w:t xml:space="preserve">ocupaciones como </w:t>
      </w:r>
      <w:r w:rsidR="00617617" w:rsidRPr="00076165">
        <w:rPr>
          <w:rFonts w:ascii="Arial" w:hAnsi="Arial" w:cs="Arial"/>
          <w:lang w:val="es-BO"/>
        </w:rPr>
        <w:t xml:space="preserve">“Directivos, </w:t>
      </w:r>
      <w:r w:rsidRPr="00076165">
        <w:rPr>
          <w:rFonts w:ascii="Arial" w:hAnsi="Arial" w:cs="Arial"/>
          <w:lang w:val="es-BO"/>
        </w:rPr>
        <w:t>Técnicos</w:t>
      </w:r>
      <w:r w:rsidR="00617617" w:rsidRPr="00076165">
        <w:rPr>
          <w:rFonts w:ascii="Arial" w:hAnsi="Arial" w:cs="Arial"/>
          <w:lang w:val="es-BO"/>
        </w:rPr>
        <w:t xml:space="preserve">, Construcción y Manufactura </w:t>
      </w:r>
      <w:r w:rsidRPr="00076165">
        <w:rPr>
          <w:rFonts w:ascii="Arial" w:hAnsi="Arial" w:cs="Arial"/>
          <w:lang w:val="es-BO"/>
        </w:rPr>
        <w:t xml:space="preserve">y </w:t>
      </w:r>
      <w:r w:rsidR="00617617" w:rsidRPr="00076165">
        <w:rPr>
          <w:rFonts w:ascii="Arial" w:hAnsi="Arial" w:cs="Arial"/>
          <w:lang w:val="es-BO"/>
        </w:rPr>
        <w:t>“</w:t>
      </w:r>
      <w:r w:rsidRPr="00076165">
        <w:rPr>
          <w:rFonts w:ascii="Arial" w:hAnsi="Arial" w:cs="Arial"/>
          <w:lang w:val="es-BO"/>
        </w:rPr>
        <w:t>Operadores</w:t>
      </w:r>
      <w:r w:rsidR="00F84B2E" w:rsidRPr="00076165">
        <w:rPr>
          <w:rFonts w:ascii="Arial" w:hAnsi="Arial" w:cs="Arial"/>
          <w:lang w:val="es-BO"/>
        </w:rPr>
        <w:t xml:space="preserve"> de Instalaciones, Maquinarias</w:t>
      </w:r>
      <w:r w:rsidRPr="00076165">
        <w:rPr>
          <w:rFonts w:ascii="Arial" w:hAnsi="Arial" w:cs="Arial"/>
          <w:lang w:val="es-BO"/>
        </w:rPr>
        <w:t xml:space="preserve"> y Ensambladores</w:t>
      </w:r>
      <w:r w:rsidR="00617617" w:rsidRPr="00076165">
        <w:rPr>
          <w:rFonts w:ascii="Arial" w:hAnsi="Arial" w:cs="Arial"/>
          <w:lang w:val="es-BO"/>
        </w:rPr>
        <w:t xml:space="preserve">” (Gráfico </w:t>
      </w:r>
      <w:r w:rsidR="002D19FB">
        <w:rPr>
          <w:rFonts w:ascii="Arial" w:hAnsi="Arial" w:cs="Arial"/>
          <w:lang w:val="es-BO"/>
        </w:rPr>
        <w:t>2</w:t>
      </w:r>
      <w:r w:rsidR="00617617" w:rsidRPr="00076165">
        <w:rPr>
          <w:rFonts w:ascii="Arial" w:hAnsi="Arial" w:cs="Arial"/>
          <w:lang w:val="es-BO"/>
        </w:rPr>
        <w:t xml:space="preserve">).  Este hecho tiende  a ser particularmente </w:t>
      </w:r>
      <w:r w:rsidR="00F84B2E" w:rsidRPr="00076165">
        <w:rPr>
          <w:rFonts w:ascii="Arial" w:hAnsi="Arial" w:cs="Arial"/>
          <w:lang w:val="es-BO"/>
        </w:rPr>
        <w:t xml:space="preserve">más complejo en las ocupaciones como “Trabajadores de la Construcción </w:t>
      </w:r>
      <w:r w:rsidR="0003763D" w:rsidRPr="00076165">
        <w:rPr>
          <w:rFonts w:ascii="Arial" w:hAnsi="Arial" w:cs="Arial"/>
          <w:lang w:val="es-BO"/>
        </w:rPr>
        <w:t>e</w:t>
      </w:r>
      <w:r w:rsidR="00F84B2E" w:rsidRPr="00076165">
        <w:rPr>
          <w:rFonts w:ascii="Arial" w:hAnsi="Arial" w:cs="Arial"/>
          <w:lang w:val="es-BO"/>
        </w:rPr>
        <w:t xml:space="preserve"> Industria Manufacturera” donde solamente existe 3 mujeres por cada 10 hombres y en ocupaciones como “Operadores de Instalaciones, Maquinarias y Ensambladores” donde la presencia de mujeres es menor al 1% (i.e. una mujer por cada 100 hombres ocupados en el sector).</w:t>
      </w:r>
    </w:p>
    <w:p w:rsidR="00794C19" w:rsidRPr="00076165" w:rsidRDefault="00794C19">
      <w:pPr>
        <w:rPr>
          <w:rFonts w:ascii="Arial" w:hAnsi="Arial" w:cs="Arial"/>
          <w:b/>
          <w:sz w:val="24"/>
          <w:szCs w:val="24"/>
          <w:lang w:val="es-BO"/>
        </w:rPr>
      </w:pPr>
      <w:r w:rsidRPr="00076165">
        <w:rPr>
          <w:rFonts w:ascii="Arial" w:hAnsi="Arial" w:cs="Arial"/>
          <w:b/>
          <w:sz w:val="24"/>
          <w:szCs w:val="24"/>
          <w:lang w:val="es-BO"/>
        </w:rPr>
        <w:br w:type="page"/>
      </w:r>
    </w:p>
    <w:p w:rsidR="00794C19" w:rsidRPr="00076165" w:rsidRDefault="00F84B2E" w:rsidP="00794C19">
      <w:pPr>
        <w:spacing w:after="0"/>
        <w:jc w:val="center"/>
        <w:rPr>
          <w:rFonts w:ascii="Arial" w:hAnsi="Arial" w:cs="Arial"/>
          <w:b/>
          <w:sz w:val="24"/>
          <w:szCs w:val="24"/>
          <w:lang w:val="es-BO"/>
        </w:rPr>
      </w:pPr>
      <w:r w:rsidRPr="00076165">
        <w:rPr>
          <w:rFonts w:ascii="Arial" w:hAnsi="Arial" w:cs="Arial"/>
          <w:b/>
          <w:sz w:val="24"/>
          <w:szCs w:val="24"/>
          <w:lang w:val="es-BO"/>
        </w:rPr>
        <w:lastRenderedPageBreak/>
        <w:t xml:space="preserve">Gráfico </w:t>
      </w:r>
      <w:r w:rsidR="002D19FB">
        <w:rPr>
          <w:rFonts w:ascii="Arial" w:hAnsi="Arial" w:cs="Arial"/>
          <w:b/>
          <w:sz w:val="24"/>
          <w:szCs w:val="24"/>
          <w:lang w:val="es-BO"/>
        </w:rPr>
        <w:t>2</w:t>
      </w:r>
    </w:p>
    <w:p w:rsidR="00794C19" w:rsidRPr="00076165" w:rsidRDefault="00794C19" w:rsidP="00794C19">
      <w:pPr>
        <w:spacing w:after="0"/>
        <w:jc w:val="center"/>
        <w:rPr>
          <w:rFonts w:ascii="Arial" w:hAnsi="Arial" w:cs="Arial"/>
          <w:sz w:val="24"/>
          <w:szCs w:val="24"/>
          <w:lang w:val="es-ES"/>
        </w:rPr>
      </w:pPr>
      <w:r w:rsidRPr="00076165">
        <w:rPr>
          <w:rFonts w:ascii="Arial" w:hAnsi="Arial" w:cs="Arial"/>
          <w:b/>
          <w:bCs/>
          <w:sz w:val="24"/>
          <w:szCs w:val="24"/>
          <w:lang w:val="es-ES"/>
        </w:rPr>
        <w:t>Ratio Mujeres/Hombres por ocupación</w:t>
      </w:r>
    </w:p>
    <w:p w:rsidR="00794C19" w:rsidRPr="00076165" w:rsidRDefault="0003763D" w:rsidP="00794C19">
      <w:pPr>
        <w:spacing w:after="0"/>
        <w:jc w:val="center"/>
        <w:rPr>
          <w:rFonts w:ascii="Arial" w:hAnsi="Arial" w:cs="Arial"/>
          <w:sz w:val="24"/>
          <w:szCs w:val="24"/>
          <w:lang w:val="es-ES"/>
        </w:rPr>
      </w:pPr>
      <w:r w:rsidRPr="00076165">
        <w:rPr>
          <w:rFonts w:ascii="Arial" w:hAnsi="Arial" w:cs="Arial"/>
          <w:b/>
          <w:bCs/>
          <w:sz w:val="24"/>
          <w:szCs w:val="24"/>
          <w:lang w:val="es-ES"/>
        </w:rPr>
        <w:t>Área</w:t>
      </w:r>
      <w:r w:rsidR="00794C19" w:rsidRPr="00076165">
        <w:rPr>
          <w:rFonts w:ascii="Arial" w:hAnsi="Arial" w:cs="Arial"/>
          <w:b/>
          <w:bCs/>
          <w:sz w:val="24"/>
          <w:szCs w:val="24"/>
          <w:lang w:val="es-ES"/>
        </w:rPr>
        <w:t xml:space="preserve"> Urbana</w:t>
      </w:r>
    </w:p>
    <w:p w:rsidR="00617617" w:rsidRPr="00076165" w:rsidRDefault="00617617" w:rsidP="00F84B2E">
      <w:pPr>
        <w:jc w:val="center"/>
        <w:rPr>
          <w:rFonts w:ascii="Arial" w:hAnsi="Arial" w:cs="Arial"/>
          <w:lang w:val="es-BO"/>
        </w:rPr>
      </w:pPr>
      <w:r w:rsidRPr="00076165">
        <w:rPr>
          <w:rFonts w:ascii="Arial" w:hAnsi="Arial" w:cs="Arial"/>
          <w:noProof/>
          <w:lang w:val="es-ES" w:eastAsia="es-ES"/>
        </w:rPr>
        <w:drawing>
          <wp:inline distT="0" distB="0" distL="0" distR="0" wp14:anchorId="105FA367" wp14:editId="400C5360">
            <wp:extent cx="5000625" cy="26289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4C19" w:rsidRPr="00076165" w:rsidRDefault="00794C19" w:rsidP="00794C19">
      <w:pPr>
        <w:spacing w:after="0" w:line="276" w:lineRule="auto"/>
        <w:jc w:val="both"/>
        <w:rPr>
          <w:rFonts w:ascii="Arial" w:hAnsi="Arial" w:cs="Arial"/>
          <w:sz w:val="18"/>
          <w:lang w:val="es-BO"/>
        </w:rPr>
      </w:pPr>
      <w:r w:rsidRPr="00076165">
        <w:rPr>
          <w:rFonts w:ascii="Arial" w:hAnsi="Arial" w:cs="Arial"/>
          <w:sz w:val="18"/>
          <w:lang w:val="es-BO"/>
        </w:rPr>
        <w:t>Fuente: Elaboración propia en base a datos de la Encuesta de Hogares 2013.</w:t>
      </w:r>
    </w:p>
    <w:p w:rsidR="00794C19" w:rsidRPr="00076165" w:rsidRDefault="00794C19" w:rsidP="00794C19">
      <w:pPr>
        <w:spacing w:after="0" w:line="276" w:lineRule="auto"/>
        <w:jc w:val="both"/>
        <w:rPr>
          <w:rFonts w:ascii="Arial" w:hAnsi="Arial" w:cs="Arial"/>
          <w:lang w:val="es-BO"/>
        </w:rPr>
      </w:pPr>
      <w:r w:rsidRPr="00076165">
        <w:rPr>
          <w:rFonts w:ascii="Arial" w:hAnsi="Arial" w:cs="Arial"/>
          <w:sz w:val="18"/>
          <w:lang w:val="es-BO"/>
        </w:rPr>
        <w:t xml:space="preserve">Nota: La línea horizontal establece la participación promedio en el mercado laboral de 75%. </w:t>
      </w:r>
    </w:p>
    <w:p w:rsidR="00794C19" w:rsidRPr="00076165" w:rsidRDefault="00794C19" w:rsidP="00F84B2E">
      <w:pPr>
        <w:jc w:val="center"/>
        <w:rPr>
          <w:rFonts w:ascii="Arial" w:hAnsi="Arial" w:cs="Arial"/>
          <w:lang w:val="es-BO"/>
        </w:rPr>
      </w:pPr>
    </w:p>
    <w:p w:rsidR="00F84B2E" w:rsidRPr="00076165" w:rsidRDefault="00F84B2E" w:rsidP="00AA43C1">
      <w:pPr>
        <w:spacing w:line="276" w:lineRule="auto"/>
        <w:jc w:val="both"/>
        <w:rPr>
          <w:rFonts w:ascii="Arial" w:hAnsi="Arial" w:cs="Arial"/>
          <w:lang w:val="es-BO"/>
        </w:rPr>
      </w:pPr>
      <w:r w:rsidRPr="00076165">
        <w:rPr>
          <w:rFonts w:ascii="Arial" w:hAnsi="Arial" w:cs="Arial"/>
          <w:lang w:val="es-BO"/>
        </w:rPr>
        <w:t>Cuando se analiza la relación entre el nivel de ingresos promedio por ocupación y la participación femenina en cada uno de estas ocupaciones (medida como el ratio Mujeres por Hombres) se observa una relación negativa entre el ingreso promedio de la ocupación y el nivel de participación femenina</w:t>
      </w:r>
      <w:r w:rsidR="00315FAF" w:rsidRPr="00076165">
        <w:rPr>
          <w:rFonts w:ascii="Arial" w:hAnsi="Arial" w:cs="Arial"/>
          <w:lang w:val="es-BO"/>
        </w:rPr>
        <w:t xml:space="preserve"> relativa</w:t>
      </w:r>
      <w:r w:rsidRPr="00076165">
        <w:rPr>
          <w:rFonts w:ascii="Arial" w:hAnsi="Arial" w:cs="Arial"/>
          <w:lang w:val="es-BO"/>
        </w:rPr>
        <w:t>.</w:t>
      </w:r>
      <w:r w:rsidRPr="00076165">
        <w:rPr>
          <w:rStyle w:val="FootnoteReference"/>
          <w:rFonts w:ascii="Arial" w:hAnsi="Arial" w:cs="Arial"/>
          <w:lang w:val="es-BO"/>
        </w:rPr>
        <w:footnoteReference w:id="8"/>
      </w:r>
      <w:r w:rsidRPr="00076165">
        <w:rPr>
          <w:rFonts w:ascii="Arial" w:hAnsi="Arial" w:cs="Arial"/>
          <w:lang w:val="es-BO"/>
        </w:rPr>
        <w:t xml:space="preserve"> Las mujeres en Bolivia participan mayoritariamente en ocupaciones con menores niveles de remuneración y minoritariamente en ocupaciones con altos promedios de remuneración (Gráfico </w:t>
      </w:r>
      <w:r w:rsidR="002D19FB">
        <w:rPr>
          <w:rFonts w:ascii="Arial" w:hAnsi="Arial" w:cs="Arial"/>
          <w:lang w:val="es-BO"/>
        </w:rPr>
        <w:t>3</w:t>
      </w:r>
      <w:r w:rsidRPr="00076165">
        <w:rPr>
          <w:rFonts w:ascii="Arial" w:hAnsi="Arial" w:cs="Arial"/>
          <w:lang w:val="es-BO"/>
        </w:rPr>
        <w:t xml:space="preserve">).  </w:t>
      </w:r>
    </w:p>
    <w:p w:rsidR="00794C19" w:rsidRPr="00076165" w:rsidRDefault="00794C19" w:rsidP="00794C19">
      <w:pPr>
        <w:spacing w:line="276" w:lineRule="auto"/>
        <w:jc w:val="both"/>
        <w:rPr>
          <w:rFonts w:ascii="Arial" w:hAnsi="Arial" w:cs="Arial"/>
          <w:lang w:val="es-BO"/>
        </w:rPr>
      </w:pPr>
      <w:r w:rsidRPr="00076165">
        <w:rPr>
          <w:rFonts w:ascii="Arial" w:hAnsi="Arial" w:cs="Arial"/>
          <w:lang w:val="es-BO"/>
        </w:rPr>
        <w:t>Replicando el análisis por Sector de Actividad, se observa la misma tendencia, a una menor participación femenina en aquellos sectores con menores niveles de ingreso.</w:t>
      </w:r>
    </w:p>
    <w:p w:rsidR="00794C19" w:rsidRPr="00076165" w:rsidRDefault="00794C19" w:rsidP="00794C19">
      <w:pPr>
        <w:rPr>
          <w:rFonts w:ascii="Arial" w:hAnsi="Arial" w:cs="Arial"/>
          <w:lang w:val="es-BO"/>
        </w:rPr>
      </w:pPr>
      <w:r w:rsidRPr="00076165">
        <w:rPr>
          <w:rFonts w:ascii="Arial" w:hAnsi="Arial" w:cs="Arial"/>
          <w:lang w:val="es-BO"/>
        </w:rPr>
        <w:br w:type="page"/>
      </w:r>
    </w:p>
    <w:p w:rsidR="00794C19" w:rsidRPr="00076165" w:rsidRDefault="00794C19" w:rsidP="00794C19">
      <w:pPr>
        <w:spacing w:after="0"/>
        <w:jc w:val="center"/>
        <w:rPr>
          <w:rFonts w:ascii="Arial" w:hAnsi="Arial" w:cs="Arial"/>
          <w:b/>
          <w:sz w:val="24"/>
          <w:szCs w:val="24"/>
          <w:lang w:val="es-BO"/>
        </w:rPr>
      </w:pPr>
      <w:r w:rsidRPr="00076165">
        <w:rPr>
          <w:rFonts w:ascii="Arial" w:hAnsi="Arial" w:cs="Arial"/>
          <w:b/>
          <w:sz w:val="24"/>
          <w:szCs w:val="24"/>
          <w:lang w:val="es-BO"/>
        </w:rPr>
        <w:lastRenderedPageBreak/>
        <w:t xml:space="preserve">Gráfico </w:t>
      </w:r>
      <w:r w:rsidR="002D19FB">
        <w:rPr>
          <w:rFonts w:ascii="Arial" w:hAnsi="Arial" w:cs="Arial"/>
          <w:b/>
          <w:sz w:val="24"/>
          <w:szCs w:val="24"/>
          <w:lang w:val="es-BO"/>
        </w:rPr>
        <w:t>3</w:t>
      </w:r>
    </w:p>
    <w:p w:rsidR="00794C19" w:rsidRPr="00076165" w:rsidRDefault="00794C19" w:rsidP="00794C19">
      <w:pPr>
        <w:spacing w:after="0"/>
        <w:jc w:val="center"/>
        <w:rPr>
          <w:rFonts w:ascii="Arial" w:hAnsi="Arial" w:cs="Arial"/>
          <w:sz w:val="24"/>
          <w:szCs w:val="24"/>
          <w:lang w:val="es-ES"/>
        </w:rPr>
      </w:pPr>
      <w:r w:rsidRPr="00076165">
        <w:rPr>
          <w:rFonts w:ascii="Arial" w:hAnsi="Arial" w:cs="Arial"/>
          <w:b/>
          <w:bCs/>
          <w:sz w:val="24"/>
          <w:szCs w:val="24"/>
          <w:lang w:val="es-ES"/>
        </w:rPr>
        <w:t>Relación Ingreso laboral y ratio Mujeres/Hombres por Ocupación</w:t>
      </w:r>
    </w:p>
    <w:p w:rsidR="00794C19" w:rsidRPr="00076165" w:rsidRDefault="0003763D" w:rsidP="00794C19">
      <w:pPr>
        <w:spacing w:after="0"/>
        <w:jc w:val="center"/>
        <w:rPr>
          <w:rFonts w:ascii="Arial" w:hAnsi="Arial" w:cs="Arial"/>
          <w:sz w:val="24"/>
          <w:szCs w:val="24"/>
          <w:lang w:val="es-ES"/>
        </w:rPr>
      </w:pPr>
      <w:r w:rsidRPr="00076165">
        <w:rPr>
          <w:rFonts w:ascii="Arial" w:hAnsi="Arial" w:cs="Arial"/>
          <w:b/>
          <w:bCs/>
          <w:sz w:val="24"/>
          <w:szCs w:val="24"/>
          <w:lang w:val="es-ES"/>
        </w:rPr>
        <w:t>Área</w:t>
      </w:r>
      <w:r w:rsidR="00794C19" w:rsidRPr="00076165">
        <w:rPr>
          <w:rFonts w:ascii="Arial" w:hAnsi="Arial" w:cs="Arial"/>
          <w:b/>
          <w:bCs/>
          <w:sz w:val="24"/>
          <w:szCs w:val="24"/>
          <w:lang w:val="es-ES"/>
        </w:rPr>
        <w:t xml:space="preserve"> Urbana</w:t>
      </w:r>
    </w:p>
    <w:p w:rsidR="00F84B2E" w:rsidRPr="00076165" w:rsidRDefault="00F84B2E" w:rsidP="00F84B2E">
      <w:pPr>
        <w:spacing w:line="276" w:lineRule="auto"/>
        <w:jc w:val="both"/>
        <w:rPr>
          <w:rFonts w:ascii="Arial" w:hAnsi="Arial" w:cs="Arial"/>
          <w:lang w:val="es-BO"/>
        </w:rPr>
      </w:pPr>
      <w:r w:rsidRPr="00076165">
        <w:rPr>
          <w:rFonts w:ascii="Arial" w:hAnsi="Arial" w:cs="Arial"/>
          <w:noProof/>
          <w:lang w:val="es-ES" w:eastAsia="es-ES"/>
        </w:rPr>
        <w:drawing>
          <wp:inline distT="0" distB="0" distL="0" distR="0" wp14:anchorId="33E7631E" wp14:editId="4ED23630">
            <wp:extent cx="5612130" cy="3805877"/>
            <wp:effectExtent l="0" t="0" r="7620"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4B2E" w:rsidRPr="00076165" w:rsidRDefault="00F84B2E" w:rsidP="00F84B2E">
      <w:pPr>
        <w:spacing w:after="0" w:line="276" w:lineRule="auto"/>
        <w:jc w:val="both"/>
        <w:rPr>
          <w:rFonts w:ascii="Arial" w:hAnsi="Arial" w:cs="Arial"/>
          <w:sz w:val="18"/>
          <w:lang w:val="es-BO"/>
        </w:rPr>
      </w:pPr>
      <w:r w:rsidRPr="00076165">
        <w:rPr>
          <w:rFonts w:ascii="Arial" w:hAnsi="Arial" w:cs="Arial"/>
          <w:sz w:val="18"/>
          <w:lang w:val="es-BO"/>
        </w:rPr>
        <w:t>Fuente: Elaboración propia en base a datos de la Encuesta de Hogares 2013.</w:t>
      </w:r>
    </w:p>
    <w:p w:rsidR="00F84B2E" w:rsidRPr="00076165" w:rsidRDefault="00F84B2E" w:rsidP="00794C19">
      <w:pPr>
        <w:spacing w:after="0" w:line="276" w:lineRule="auto"/>
        <w:jc w:val="both"/>
        <w:rPr>
          <w:rFonts w:ascii="Arial" w:hAnsi="Arial" w:cs="Arial"/>
          <w:lang w:val="es-BO"/>
        </w:rPr>
      </w:pPr>
      <w:r w:rsidRPr="00076165">
        <w:rPr>
          <w:rFonts w:ascii="Arial" w:hAnsi="Arial" w:cs="Arial"/>
          <w:sz w:val="18"/>
          <w:lang w:val="es-BO"/>
        </w:rPr>
        <w:t>Nota: La línea horizontal establece la participación promedio en el mercado laboral de 75%. La línea vertical mide el ingreso laboral promedio en el área rural. La amplitud de la burbuja en el gráfico representa la diferencia en ingreso laboral mensual observada dentro de cada ocupación</w:t>
      </w:r>
      <w:r w:rsidRPr="00076165">
        <w:rPr>
          <w:rFonts w:ascii="Arial" w:hAnsi="Arial" w:cs="Arial"/>
          <w:lang w:val="es-BO"/>
        </w:rPr>
        <w:t xml:space="preserve">. </w:t>
      </w:r>
    </w:p>
    <w:p w:rsidR="00794C19" w:rsidRDefault="00794C19" w:rsidP="00794C19">
      <w:pPr>
        <w:spacing w:after="0" w:line="276" w:lineRule="auto"/>
        <w:jc w:val="both"/>
        <w:rPr>
          <w:rFonts w:ascii="Arial" w:hAnsi="Arial" w:cs="Arial"/>
          <w:lang w:val="es-BO"/>
        </w:rPr>
      </w:pPr>
    </w:p>
    <w:p w:rsidR="00794643" w:rsidRPr="00076165" w:rsidRDefault="00794643" w:rsidP="00794643">
      <w:pPr>
        <w:jc w:val="both"/>
        <w:rPr>
          <w:rFonts w:ascii="Arial" w:hAnsi="Arial" w:cs="Arial"/>
          <w:b/>
          <w:i/>
          <w:lang w:val="es-ES"/>
        </w:rPr>
      </w:pPr>
      <w:r w:rsidRPr="00076165">
        <w:rPr>
          <w:rFonts w:ascii="Arial" w:hAnsi="Arial" w:cs="Arial"/>
          <w:lang w:val="es-ES"/>
        </w:rPr>
        <w:t xml:space="preserve">Otro resultado de la segregación ocupacional en Bolivia se refiere a una menor participación de mujeres en cargos relevantes. En base a la Encuesta de Demanda del Mercado Laboral e Bolivia (2015), se preguntó a las empresas acerca de las características de los puestos relevantes para su funcionamiento. Como se observa en el Gráfico </w:t>
      </w:r>
      <w:r w:rsidR="002D19FB">
        <w:rPr>
          <w:rFonts w:ascii="Arial" w:hAnsi="Arial" w:cs="Arial"/>
          <w:lang w:val="es-ES"/>
        </w:rPr>
        <w:t>4</w:t>
      </w:r>
      <w:bookmarkStart w:id="0" w:name="_GoBack"/>
      <w:bookmarkEnd w:id="0"/>
      <w:r w:rsidRPr="00076165">
        <w:rPr>
          <w:rFonts w:ascii="Arial" w:hAnsi="Arial" w:cs="Arial"/>
          <w:lang w:val="es-ES"/>
        </w:rPr>
        <w:t xml:space="preserve"> </w:t>
      </w:r>
      <w:r w:rsidRPr="00076165">
        <w:rPr>
          <w:rFonts w:ascii="Arial" w:hAnsi="Arial" w:cs="Arial"/>
          <w:lang w:val="es-BO"/>
        </w:rPr>
        <w:t>solamente el 30% de los cargos más relevantes son ocupados por mujeres y este dato no está asociado al tamaño de la empresa. Por cada mujer trabajando en cargos relevantes para la empresa, se tiene dos hombres trabajando en la empresa en los mismos</w:t>
      </w:r>
      <w:r w:rsidRPr="00076165">
        <w:rPr>
          <w:rFonts w:ascii="Arial" w:hAnsi="Arial" w:cs="Arial"/>
          <w:b/>
          <w:i/>
          <w:lang w:val="es-ES"/>
        </w:rPr>
        <w:t>.</w:t>
      </w:r>
    </w:p>
    <w:p w:rsidR="00794643" w:rsidRDefault="00794643">
      <w:pPr>
        <w:rPr>
          <w:rFonts w:ascii="Arial" w:hAnsi="Arial" w:cs="Arial"/>
          <w:lang w:val="es-ES"/>
        </w:rPr>
      </w:pPr>
      <w:r>
        <w:rPr>
          <w:rFonts w:ascii="Arial" w:hAnsi="Arial" w:cs="Arial"/>
          <w:lang w:val="es-ES"/>
        </w:rPr>
        <w:br w:type="page"/>
      </w:r>
    </w:p>
    <w:p w:rsidR="000C7EF0" w:rsidRPr="00076165" w:rsidRDefault="000C7EF0" w:rsidP="000C7EF0">
      <w:pPr>
        <w:spacing w:after="0"/>
        <w:jc w:val="center"/>
        <w:rPr>
          <w:rFonts w:ascii="Arial" w:hAnsi="Arial" w:cs="Arial"/>
          <w:b/>
          <w:sz w:val="24"/>
          <w:szCs w:val="24"/>
          <w:lang w:val="es-BO"/>
        </w:rPr>
      </w:pPr>
      <w:r w:rsidRPr="00076165">
        <w:rPr>
          <w:rFonts w:ascii="Arial" w:hAnsi="Arial" w:cs="Arial"/>
          <w:b/>
          <w:sz w:val="24"/>
          <w:szCs w:val="24"/>
          <w:lang w:val="es-BO"/>
        </w:rPr>
        <w:lastRenderedPageBreak/>
        <w:t xml:space="preserve">Gráfico </w:t>
      </w:r>
      <w:r w:rsidR="002D19FB">
        <w:rPr>
          <w:rFonts w:ascii="Arial" w:hAnsi="Arial" w:cs="Arial"/>
          <w:b/>
          <w:sz w:val="24"/>
          <w:szCs w:val="24"/>
          <w:lang w:val="es-BO"/>
        </w:rPr>
        <w:t>4</w:t>
      </w:r>
    </w:p>
    <w:p w:rsidR="000C7EF0" w:rsidRPr="00076165" w:rsidRDefault="006E31DD" w:rsidP="006E31DD">
      <w:pPr>
        <w:spacing w:after="0"/>
        <w:jc w:val="center"/>
        <w:rPr>
          <w:rFonts w:ascii="Arial" w:hAnsi="Arial" w:cs="Arial"/>
          <w:b/>
          <w:bCs/>
          <w:sz w:val="24"/>
          <w:szCs w:val="24"/>
          <w:lang w:val="es-ES"/>
        </w:rPr>
      </w:pPr>
      <w:r w:rsidRPr="00076165">
        <w:rPr>
          <w:rFonts w:ascii="Arial" w:hAnsi="Arial" w:cs="Arial"/>
          <w:b/>
          <w:bCs/>
          <w:sz w:val="24"/>
          <w:szCs w:val="24"/>
          <w:lang w:val="es-ES"/>
        </w:rPr>
        <w:t>Puestos Relevantes en la Empresa por Género</w:t>
      </w:r>
      <w:r w:rsidR="00794643">
        <w:rPr>
          <w:rFonts w:ascii="Arial" w:hAnsi="Arial" w:cs="Arial"/>
          <w:b/>
          <w:bCs/>
          <w:sz w:val="24"/>
          <w:szCs w:val="24"/>
          <w:lang w:val="es-ES"/>
        </w:rPr>
        <w:t xml:space="preserve"> (en %)</w:t>
      </w:r>
    </w:p>
    <w:p w:rsidR="006E31DD" w:rsidRPr="00076165" w:rsidRDefault="006E31DD" w:rsidP="006E31DD">
      <w:pPr>
        <w:spacing w:after="0"/>
        <w:jc w:val="center"/>
        <w:rPr>
          <w:rFonts w:ascii="Arial" w:hAnsi="Arial" w:cs="Arial"/>
          <w:sz w:val="24"/>
          <w:szCs w:val="24"/>
          <w:lang w:val="es-ES"/>
        </w:rPr>
      </w:pPr>
      <w:r w:rsidRPr="00076165">
        <w:rPr>
          <w:rFonts w:ascii="Arial" w:hAnsi="Arial" w:cs="Arial"/>
          <w:b/>
          <w:bCs/>
          <w:sz w:val="24"/>
          <w:szCs w:val="24"/>
          <w:lang w:val="es-ES"/>
        </w:rPr>
        <w:t xml:space="preserve">(Encuesta de  Demanda de </w:t>
      </w:r>
      <w:r w:rsidR="0003763D" w:rsidRPr="00076165">
        <w:rPr>
          <w:rFonts w:ascii="Arial" w:hAnsi="Arial" w:cs="Arial"/>
          <w:b/>
          <w:bCs/>
          <w:sz w:val="24"/>
          <w:szCs w:val="24"/>
          <w:lang w:val="es-ES"/>
        </w:rPr>
        <w:t>Mercado</w:t>
      </w:r>
      <w:r w:rsidRPr="00076165">
        <w:rPr>
          <w:rFonts w:ascii="Arial" w:hAnsi="Arial" w:cs="Arial"/>
          <w:b/>
          <w:bCs/>
          <w:sz w:val="24"/>
          <w:szCs w:val="24"/>
          <w:lang w:val="es-ES"/>
        </w:rPr>
        <w:t xml:space="preserve"> Laboral 2015)</w:t>
      </w:r>
    </w:p>
    <w:p w:rsidR="000C7EF0" w:rsidRPr="00076165" w:rsidRDefault="000C7EF0" w:rsidP="000C7EF0">
      <w:pPr>
        <w:jc w:val="center"/>
        <w:rPr>
          <w:rFonts w:ascii="Arial" w:hAnsi="Arial" w:cs="Arial"/>
          <w:lang w:val="es-ES"/>
        </w:rPr>
      </w:pPr>
      <w:r w:rsidRPr="00076165">
        <w:rPr>
          <w:rFonts w:ascii="Arial" w:hAnsi="Arial" w:cs="Arial"/>
          <w:noProof/>
          <w:lang w:val="es-ES" w:eastAsia="es-ES"/>
        </w:rPr>
        <w:drawing>
          <wp:inline distT="0" distB="0" distL="0" distR="0" wp14:anchorId="7175A36E" wp14:editId="490BA48D">
            <wp:extent cx="4057650" cy="2162175"/>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31DD" w:rsidRPr="00076165" w:rsidRDefault="006E31DD" w:rsidP="006E31DD">
      <w:pPr>
        <w:spacing w:after="0" w:line="276" w:lineRule="auto"/>
        <w:jc w:val="both"/>
        <w:rPr>
          <w:rFonts w:ascii="Arial" w:hAnsi="Arial" w:cs="Arial"/>
          <w:sz w:val="18"/>
          <w:lang w:val="es-BO"/>
        </w:rPr>
      </w:pPr>
      <w:r w:rsidRPr="00076165">
        <w:rPr>
          <w:rFonts w:ascii="Arial" w:hAnsi="Arial" w:cs="Arial"/>
          <w:sz w:val="18"/>
          <w:lang w:val="es-BO"/>
        </w:rPr>
        <w:t xml:space="preserve">Fuente: Elaboración propia en base a datos de la </w:t>
      </w:r>
      <w:r w:rsidR="00C243FD">
        <w:rPr>
          <w:rFonts w:ascii="Arial" w:hAnsi="Arial" w:cs="Arial"/>
          <w:sz w:val="18"/>
          <w:lang w:val="es-BO"/>
        </w:rPr>
        <w:t xml:space="preserve">Encuesta de Demanda del Mercado Laboral en Bolivia </w:t>
      </w:r>
      <w:r w:rsidRPr="00076165">
        <w:rPr>
          <w:rFonts w:ascii="Arial" w:hAnsi="Arial" w:cs="Arial"/>
          <w:sz w:val="18"/>
          <w:lang w:val="es-BO"/>
        </w:rPr>
        <w:t>201</w:t>
      </w:r>
      <w:r w:rsidR="00C243FD">
        <w:rPr>
          <w:rFonts w:ascii="Arial" w:hAnsi="Arial" w:cs="Arial"/>
          <w:sz w:val="18"/>
          <w:lang w:val="es-BO"/>
        </w:rPr>
        <w:t>5</w:t>
      </w:r>
      <w:r w:rsidRPr="00076165">
        <w:rPr>
          <w:rFonts w:ascii="Arial" w:hAnsi="Arial" w:cs="Arial"/>
          <w:sz w:val="18"/>
          <w:lang w:val="es-BO"/>
        </w:rPr>
        <w:t>.</w:t>
      </w:r>
    </w:p>
    <w:p w:rsidR="006E31DD" w:rsidRPr="00076165" w:rsidRDefault="006E31DD" w:rsidP="000C7EF0">
      <w:pPr>
        <w:jc w:val="center"/>
        <w:rPr>
          <w:rFonts w:ascii="Arial" w:hAnsi="Arial" w:cs="Arial"/>
          <w:lang w:val="es-BO"/>
        </w:rPr>
      </w:pPr>
    </w:p>
    <w:p w:rsidR="006E31DD" w:rsidRPr="00076165" w:rsidRDefault="000C7EF0" w:rsidP="006E31DD">
      <w:pPr>
        <w:jc w:val="both"/>
        <w:rPr>
          <w:rFonts w:ascii="Arial" w:hAnsi="Arial" w:cs="Arial"/>
          <w:lang w:val="es-ES"/>
        </w:rPr>
      </w:pPr>
      <w:r w:rsidRPr="00076165">
        <w:rPr>
          <w:rFonts w:ascii="Arial" w:hAnsi="Arial" w:cs="Arial"/>
          <w:lang w:val="es-BO"/>
        </w:rPr>
        <w:t xml:space="preserve">Así también, cuando se analiza la distribución de estos puestos relevantes por cargo, se observa </w:t>
      </w:r>
      <w:r w:rsidR="00794643">
        <w:rPr>
          <w:rFonts w:ascii="Arial" w:hAnsi="Arial" w:cs="Arial"/>
          <w:lang w:val="es-BO"/>
        </w:rPr>
        <w:t>que e</w:t>
      </w:r>
      <w:r w:rsidR="00794643" w:rsidRPr="00076165">
        <w:rPr>
          <w:rFonts w:ascii="Arial" w:hAnsi="Arial" w:cs="Arial"/>
          <w:lang w:val="es-ES"/>
        </w:rPr>
        <w:t>xisten más hombres ocupando cargos como gerentes y técnicos y existen más mujeres en cargos administrativos/profesionales</w:t>
      </w:r>
      <w:r w:rsidR="00794643">
        <w:rPr>
          <w:rFonts w:ascii="Arial" w:hAnsi="Arial" w:cs="Arial"/>
          <w:lang w:val="es-ES"/>
        </w:rPr>
        <w:t>. D</w:t>
      </w:r>
      <w:r w:rsidR="006E31DD" w:rsidRPr="00076165">
        <w:rPr>
          <w:rFonts w:ascii="Arial" w:hAnsi="Arial" w:cs="Arial"/>
          <w:lang w:val="es-ES"/>
        </w:rPr>
        <w:t>el total de trabajadores el 30% son gerentes o directivos, en proporción los hombres ocupan más cargos directivos (34%) que mujeres (22%). El 36% de los trabajadores descritos pertenecen al cargo administrativo/ profesional, el 26% de los hombres se encuentra en este cargo y el 58% de las mujeres relevantes en una empresa ocupan cargos administrativos/ profesionales.</w:t>
      </w:r>
      <w:r w:rsidR="00794643">
        <w:rPr>
          <w:rFonts w:ascii="Arial" w:hAnsi="Arial" w:cs="Arial"/>
          <w:lang w:val="es-ES"/>
        </w:rPr>
        <w:t xml:space="preserve"> </w:t>
      </w:r>
      <w:r w:rsidR="006E31DD" w:rsidRPr="00076165">
        <w:rPr>
          <w:rFonts w:ascii="Arial" w:hAnsi="Arial" w:cs="Arial"/>
          <w:lang w:val="es-ES"/>
        </w:rPr>
        <w:t xml:space="preserve">En relación a los técnicos, estos representan un tercio de los trabajadores </w:t>
      </w:r>
      <w:r w:rsidR="00794643">
        <w:rPr>
          <w:rFonts w:ascii="Arial" w:hAnsi="Arial" w:cs="Arial"/>
          <w:lang w:val="es-ES"/>
        </w:rPr>
        <w:t xml:space="preserve">relevantes </w:t>
      </w:r>
      <w:r w:rsidR="006E31DD" w:rsidRPr="00076165">
        <w:rPr>
          <w:rFonts w:ascii="Arial" w:hAnsi="Arial" w:cs="Arial"/>
          <w:lang w:val="es-ES"/>
        </w:rPr>
        <w:t xml:space="preserve">(31%), </w:t>
      </w:r>
      <w:r w:rsidR="00794643">
        <w:rPr>
          <w:rFonts w:ascii="Arial" w:hAnsi="Arial" w:cs="Arial"/>
          <w:lang w:val="es-ES"/>
        </w:rPr>
        <w:t xml:space="preserve">donde </w:t>
      </w:r>
      <w:r w:rsidR="006E31DD" w:rsidRPr="00076165">
        <w:rPr>
          <w:rFonts w:ascii="Arial" w:hAnsi="Arial" w:cs="Arial"/>
          <w:lang w:val="es-ES"/>
        </w:rPr>
        <w:t xml:space="preserve">las </w:t>
      </w:r>
      <w:r w:rsidR="00794643">
        <w:rPr>
          <w:rFonts w:ascii="Arial" w:hAnsi="Arial" w:cs="Arial"/>
          <w:lang w:val="es-ES"/>
        </w:rPr>
        <w:t xml:space="preserve">mujeres estan presentes en </w:t>
      </w:r>
      <w:r w:rsidR="006E31DD" w:rsidRPr="00076165">
        <w:rPr>
          <w:rFonts w:ascii="Arial" w:hAnsi="Arial" w:cs="Arial"/>
          <w:lang w:val="es-ES"/>
        </w:rPr>
        <w:t>18%</w:t>
      </w:r>
      <w:r w:rsidR="00794643">
        <w:rPr>
          <w:rFonts w:ascii="Arial" w:hAnsi="Arial" w:cs="Arial"/>
          <w:lang w:val="es-ES"/>
        </w:rPr>
        <w:t xml:space="preserve"> y</w:t>
      </w:r>
      <w:r w:rsidR="006E31DD" w:rsidRPr="00076165">
        <w:rPr>
          <w:rFonts w:ascii="Arial" w:hAnsi="Arial" w:cs="Arial"/>
          <w:lang w:val="es-ES"/>
        </w:rPr>
        <w:t xml:space="preserve"> en mayor proporción los hombres con el 37%. </w:t>
      </w:r>
      <w:r w:rsidR="00794643">
        <w:rPr>
          <w:rFonts w:ascii="Arial" w:hAnsi="Arial" w:cs="Arial"/>
          <w:lang w:val="es-ES"/>
        </w:rPr>
        <w:t xml:space="preserve">(Gráfico </w:t>
      </w:r>
      <w:r w:rsidR="002D19FB">
        <w:rPr>
          <w:rFonts w:ascii="Arial" w:hAnsi="Arial" w:cs="Arial"/>
          <w:lang w:val="es-ES"/>
        </w:rPr>
        <w:t>5</w:t>
      </w:r>
      <w:r w:rsidR="00794643">
        <w:rPr>
          <w:rFonts w:ascii="Arial" w:hAnsi="Arial" w:cs="Arial"/>
          <w:lang w:val="es-ES"/>
        </w:rPr>
        <w:t>)</w:t>
      </w:r>
      <w:r w:rsidR="006E31DD" w:rsidRPr="00076165">
        <w:rPr>
          <w:rFonts w:ascii="Arial" w:hAnsi="Arial" w:cs="Arial"/>
          <w:lang w:val="es-ES"/>
        </w:rPr>
        <w:t>.</w:t>
      </w:r>
    </w:p>
    <w:p w:rsidR="00794643" w:rsidRPr="00076165" w:rsidRDefault="00794643" w:rsidP="00794643">
      <w:pPr>
        <w:spacing w:line="276" w:lineRule="auto"/>
        <w:jc w:val="both"/>
        <w:rPr>
          <w:rFonts w:ascii="Arial" w:hAnsi="Arial" w:cs="Arial"/>
          <w:lang w:val="es-ES"/>
        </w:rPr>
      </w:pPr>
      <w:r w:rsidRPr="00076165">
        <w:rPr>
          <w:rFonts w:ascii="Arial" w:hAnsi="Arial" w:cs="Arial"/>
          <w:lang w:val="es-BO"/>
        </w:rPr>
        <w:t xml:space="preserve">En el marco de estos problemas de segregación ocupacional y sectorial identificados anteriormente, las PAML constituyen una herramienta de política han sido ampliamente utilizados para para fomentar el empleo y aumentar los ingreso laborales. Datos provenientes de distintas partes del mundo sobre el impacto de los programas de capacitación en el fomento de las competencias de los grupos desempleados o vulnerables indican que los resultados son mejores para las mujeres que para los hombres (Kluve, 2006; Card et al., 2010). </w:t>
      </w:r>
      <w:r w:rsidRPr="00076165">
        <w:rPr>
          <w:rFonts w:ascii="Arial" w:hAnsi="Arial" w:cs="Arial"/>
          <w:lang w:val="es-ES"/>
        </w:rPr>
        <w:t xml:space="preserve">La literatura existente ha identificado los siguientes factores de éxito en los programas de capacitación destinados a aumentar la empleabilidad y los ingresos de quienes enfrentan más dificultades, entre los que destacan: (i) orientación vocacional, (ii) capacitación orientada a la demanda; (iii) inclusión de un componente de intermediación laboral y (iv) capacitación en el empleo. La mayoría de los programas de capacitación en América Latina ha incorporado estos elementos (González et al., 2012; Urzúa y Puentes, 2010), lo que podría explicar su relativo éxito en el aumento de la inserción de personas vulnerables en el mercado de trabajo, incluidas mujeres jóvenes. </w:t>
      </w:r>
    </w:p>
    <w:p w:rsidR="00794643" w:rsidRDefault="00794643">
      <w:pPr>
        <w:rPr>
          <w:rFonts w:ascii="Arial" w:hAnsi="Arial" w:cs="Arial"/>
          <w:b/>
          <w:sz w:val="24"/>
          <w:szCs w:val="24"/>
          <w:lang w:val="es-BO"/>
        </w:rPr>
      </w:pPr>
    </w:p>
    <w:p w:rsidR="006E31DD" w:rsidRPr="00076165" w:rsidRDefault="006E31DD" w:rsidP="006E31DD">
      <w:pPr>
        <w:spacing w:after="0"/>
        <w:jc w:val="center"/>
        <w:rPr>
          <w:rFonts w:ascii="Arial" w:hAnsi="Arial" w:cs="Arial"/>
          <w:b/>
          <w:sz w:val="24"/>
          <w:szCs w:val="24"/>
          <w:lang w:val="es-BO"/>
        </w:rPr>
      </w:pPr>
      <w:r w:rsidRPr="00076165">
        <w:rPr>
          <w:rFonts w:ascii="Arial" w:hAnsi="Arial" w:cs="Arial"/>
          <w:b/>
          <w:sz w:val="24"/>
          <w:szCs w:val="24"/>
          <w:lang w:val="es-BO"/>
        </w:rPr>
        <w:lastRenderedPageBreak/>
        <w:t xml:space="preserve">Gráfico </w:t>
      </w:r>
      <w:r w:rsidR="002D19FB">
        <w:rPr>
          <w:rFonts w:ascii="Arial" w:hAnsi="Arial" w:cs="Arial"/>
          <w:b/>
          <w:sz w:val="24"/>
          <w:szCs w:val="24"/>
          <w:lang w:val="es-BO"/>
        </w:rPr>
        <w:t>5</w:t>
      </w:r>
    </w:p>
    <w:p w:rsidR="006E31DD" w:rsidRPr="00076165" w:rsidRDefault="006E31DD" w:rsidP="006E31DD">
      <w:pPr>
        <w:spacing w:after="0"/>
        <w:jc w:val="center"/>
        <w:rPr>
          <w:rFonts w:ascii="Arial" w:hAnsi="Arial" w:cs="Arial"/>
          <w:b/>
          <w:bCs/>
          <w:sz w:val="24"/>
          <w:szCs w:val="24"/>
          <w:lang w:val="es-ES"/>
        </w:rPr>
      </w:pPr>
      <w:r w:rsidRPr="00076165">
        <w:rPr>
          <w:rFonts w:ascii="Arial" w:hAnsi="Arial" w:cs="Arial"/>
          <w:b/>
          <w:bCs/>
          <w:sz w:val="24"/>
          <w:szCs w:val="24"/>
          <w:lang w:val="es-ES"/>
        </w:rPr>
        <w:t>Cargos Relevantes en la Empresa por Género</w:t>
      </w:r>
      <w:r w:rsidR="00794643">
        <w:rPr>
          <w:rFonts w:ascii="Arial" w:hAnsi="Arial" w:cs="Arial"/>
          <w:b/>
          <w:bCs/>
          <w:sz w:val="24"/>
          <w:szCs w:val="24"/>
          <w:lang w:val="es-ES"/>
        </w:rPr>
        <w:t xml:space="preserve"> (en %)</w:t>
      </w:r>
    </w:p>
    <w:p w:rsidR="006E31DD" w:rsidRPr="00076165" w:rsidRDefault="006E31DD" w:rsidP="006E31DD">
      <w:pPr>
        <w:spacing w:after="0"/>
        <w:jc w:val="center"/>
        <w:rPr>
          <w:rFonts w:ascii="Arial" w:hAnsi="Arial" w:cs="Arial"/>
          <w:sz w:val="24"/>
          <w:szCs w:val="24"/>
          <w:lang w:val="es-ES"/>
        </w:rPr>
      </w:pPr>
      <w:r w:rsidRPr="00076165">
        <w:rPr>
          <w:rFonts w:ascii="Arial" w:hAnsi="Arial" w:cs="Arial"/>
          <w:b/>
          <w:bCs/>
          <w:sz w:val="24"/>
          <w:szCs w:val="24"/>
          <w:lang w:val="es-ES"/>
        </w:rPr>
        <w:t xml:space="preserve">(Encuesta de  Demanda de </w:t>
      </w:r>
      <w:r w:rsidR="0003763D" w:rsidRPr="00076165">
        <w:rPr>
          <w:rFonts w:ascii="Arial" w:hAnsi="Arial" w:cs="Arial"/>
          <w:b/>
          <w:bCs/>
          <w:sz w:val="24"/>
          <w:szCs w:val="24"/>
          <w:lang w:val="es-ES"/>
        </w:rPr>
        <w:t>Mercado</w:t>
      </w:r>
      <w:r w:rsidRPr="00076165">
        <w:rPr>
          <w:rFonts w:ascii="Arial" w:hAnsi="Arial" w:cs="Arial"/>
          <w:b/>
          <w:bCs/>
          <w:sz w:val="24"/>
          <w:szCs w:val="24"/>
          <w:lang w:val="es-ES"/>
        </w:rPr>
        <w:t xml:space="preserve"> Laboral 2015)</w:t>
      </w:r>
    </w:p>
    <w:p w:rsidR="000C7EF0" w:rsidRDefault="00C243FD" w:rsidP="00C243FD">
      <w:pPr>
        <w:jc w:val="center"/>
        <w:rPr>
          <w:rFonts w:ascii="Arial" w:hAnsi="Arial" w:cs="Arial"/>
          <w:lang w:val="es-ES"/>
        </w:rPr>
      </w:pPr>
      <w:r>
        <w:rPr>
          <w:noProof/>
          <w:lang w:val="es-ES" w:eastAsia="es-ES"/>
        </w:rPr>
        <w:drawing>
          <wp:inline distT="0" distB="0" distL="0" distR="0" wp14:anchorId="36CF516C" wp14:editId="4A736E35">
            <wp:extent cx="4352925" cy="25241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43FD" w:rsidRPr="00076165" w:rsidRDefault="00C243FD" w:rsidP="00C243FD">
      <w:pPr>
        <w:spacing w:after="0" w:line="276" w:lineRule="auto"/>
        <w:jc w:val="both"/>
        <w:rPr>
          <w:rFonts w:ascii="Arial" w:hAnsi="Arial" w:cs="Arial"/>
          <w:sz w:val="18"/>
          <w:lang w:val="es-BO"/>
        </w:rPr>
      </w:pPr>
      <w:r w:rsidRPr="00076165">
        <w:rPr>
          <w:rFonts w:ascii="Arial" w:hAnsi="Arial" w:cs="Arial"/>
          <w:sz w:val="18"/>
          <w:lang w:val="es-BO"/>
        </w:rPr>
        <w:t xml:space="preserve">Fuente: Elaboración propia en base a datos de la </w:t>
      </w:r>
      <w:r>
        <w:rPr>
          <w:rFonts w:ascii="Arial" w:hAnsi="Arial" w:cs="Arial"/>
          <w:sz w:val="18"/>
          <w:lang w:val="es-BO"/>
        </w:rPr>
        <w:t xml:space="preserve">Encuesta de Demanda del Mercado Laboral en Bolivia </w:t>
      </w:r>
      <w:r w:rsidRPr="00076165">
        <w:rPr>
          <w:rFonts w:ascii="Arial" w:hAnsi="Arial" w:cs="Arial"/>
          <w:sz w:val="18"/>
          <w:lang w:val="es-BO"/>
        </w:rPr>
        <w:t>201</w:t>
      </w:r>
      <w:r>
        <w:rPr>
          <w:rFonts w:ascii="Arial" w:hAnsi="Arial" w:cs="Arial"/>
          <w:sz w:val="18"/>
          <w:lang w:val="es-BO"/>
        </w:rPr>
        <w:t>5</w:t>
      </w:r>
      <w:r w:rsidRPr="00076165">
        <w:rPr>
          <w:rFonts w:ascii="Arial" w:hAnsi="Arial" w:cs="Arial"/>
          <w:sz w:val="18"/>
          <w:lang w:val="es-BO"/>
        </w:rPr>
        <w:t>.</w:t>
      </w:r>
    </w:p>
    <w:p w:rsidR="00C243FD" w:rsidRPr="00C243FD" w:rsidRDefault="00C243FD" w:rsidP="000C7EF0">
      <w:pPr>
        <w:jc w:val="both"/>
        <w:rPr>
          <w:rFonts w:ascii="Arial" w:hAnsi="Arial" w:cs="Arial"/>
          <w:lang w:val="es-BO"/>
        </w:rPr>
      </w:pPr>
    </w:p>
    <w:p w:rsidR="0068369F" w:rsidRPr="00076165" w:rsidRDefault="0068369F" w:rsidP="00315FAF">
      <w:pPr>
        <w:spacing w:line="276" w:lineRule="auto"/>
        <w:jc w:val="both"/>
        <w:rPr>
          <w:rFonts w:ascii="Arial" w:hAnsi="Arial" w:cs="Arial"/>
          <w:i/>
          <w:lang w:val="es-BO"/>
        </w:rPr>
      </w:pPr>
      <w:r w:rsidRPr="00076165">
        <w:rPr>
          <w:rFonts w:ascii="Arial" w:hAnsi="Arial" w:cs="Arial"/>
          <w:i/>
          <w:lang w:val="es-BO"/>
        </w:rPr>
        <w:t>Orientación Vocacional</w:t>
      </w:r>
    </w:p>
    <w:p w:rsidR="000C7EF0" w:rsidRPr="00076165" w:rsidRDefault="00AA43C1" w:rsidP="00315FAF">
      <w:pPr>
        <w:spacing w:line="276" w:lineRule="auto"/>
        <w:jc w:val="both"/>
        <w:rPr>
          <w:rFonts w:ascii="Arial" w:hAnsi="Arial" w:cs="Arial"/>
          <w:lang w:val="es-BO"/>
        </w:rPr>
      </w:pPr>
      <w:r w:rsidRPr="00076165">
        <w:rPr>
          <w:rFonts w:ascii="Arial" w:hAnsi="Arial" w:cs="Arial"/>
          <w:lang w:val="es-BO"/>
        </w:rPr>
        <w:t>Las PAML</w:t>
      </w:r>
      <w:r w:rsidR="00315FAF" w:rsidRPr="00076165">
        <w:rPr>
          <w:rFonts w:ascii="Arial" w:hAnsi="Arial" w:cs="Arial"/>
          <w:lang w:val="es-BO"/>
        </w:rPr>
        <w:t xml:space="preserve"> </w:t>
      </w:r>
      <w:r w:rsidRPr="00076165">
        <w:rPr>
          <w:rFonts w:ascii="Arial" w:hAnsi="Arial" w:cs="Arial"/>
          <w:lang w:val="es-BO"/>
        </w:rPr>
        <w:t>relacionadas con la orientación vocacional provee</w:t>
      </w:r>
      <w:r w:rsidR="00315FAF" w:rsidRPr="00076165">
        <w:rPr>
          <w:rFonts w:ascii="Arial" w:hAnsi="Arial" w:cs="Arial"/>
          <w:lang w:val="es-BO"/>
        </w:rPr>
        <w:t>n</w:t>
      </w:r>
      <w:r w:rsidRPr="00076165">
        <w:rPr>
          <w:rFonts w:ascii="Arial" w:hAnsi="Arial" w:cs="Arial"/>
          <w:lang w:val="es-BO"/>
        </w:rPr>
        <w:t xml:space="preserve"> información sobre oportunidades de trabajo a mujeres que quieren entrar a la fuerza laboral o cambiar su trabajo. Existen motivos para pensar que, si bien las preferencias culturales y personales ejercen cierta influencia, es posible que algunas mujeres no estén conscientes de las diferencias en las oportunidades de empleo y los salarios vinculados con distintas profesiones. Por ejemplo, en Kenia, un programa con otorgamiento de vales educativos profesionales e información sobre rendimientos a jóvenes en desventaja, resulto en una visible preferencia por carreras con salarios más elevados y un nivel alto de interés de mujeres jóvenes después de la orientación (BID, 2015).</w:t>
      </w:r>
    </w:p>
    <w:p w:rsidR="0068369F" w:rsidRPr="00076165" w:rsidRDefault="0068369F" w:rsidP="00315FAF">
      <w:pPr>
        <w:spacing w:line="276" w:lineRule="auto"/>
        <w:jc w:val="both"/>
        <w:rPr>
          <w:rFonts w:ascii="Arial" w:hAnsi="Arial" w:cs="Arial"/>
          <w:lang w:val="es-BO"/>
        </w:rPr>
      </w:pPr>
      <w:r w:rsidRPr="00076165">
        <w:rPr>
          <w:rFonts w:ascii="Arial" w:hAnsi="Arial" w:cs="Arial"/>
          <w:i/>
          <w:lang w:val="es-BO"/>
        </w:rPr>
        <w:t>Capacitación Técnica</w:t>
      </w:r>
    </w:p>
    <w:p w:rsidR="00315FAF" w:rsidRPr="00076165" w:rsidRDefault="000C7EF0" w:rsidP="00315FAF">
      <w:pPr>
        <w:spacing w:line="276" w:lineRule="auto"/>
        <w:jc w:val="both"/>
        <w:rPr>
          <w:rFonts w:ascii="Arial" w:hAnsi="Arial" w:cs="Arial"/>
          <w:lang w:val="es-BO"/>
        </w:rPr>
      </w:pPr>
      <w:r w:rsidRPr="00076165">
        <w:rPr>
          <w:rFonts w:ascii="Arial" w:hAnsi="Arial" w:cs="Arial"/>
          <w:lang w:val="es-BO"/>
        </w:rPr>
        <w:t xml:space="preserve">La capacitación profesional </w:t>
      </w:r>
      <w:r w:rsidR="0068369F" w:rsidRPr="00076165">
        <w:rPr>
          <w:rFonts w:ascii="Arial" w:hAnsi="Arial" w:cs="Arial"/>
          <w:lang w:val="es-BO"/>
        </w:rPr>
        <w:t>en ocupaciones no tradicionales</w:t>
      </w:r>
      <w:r w:rsidRPr="00076165">
        <w:rPr>
          <w:rFonts w:ascii="Arial" w:hAnsi="Arial" w:cs="Arial"/>
          <w:lang w:val="es-BO"/>
        </w:rPr>
        <w:t xml:space="preserve"> también es una política que puede promover el empleo entre las mujeres. </w:t>
      </w:r>
      <w:r w:rsidR="00315FAF" w:rsidRPr="00076165">
        <w:rPr>
          <w:rFonts w:ascii="Arial" w:hAnsi="Arial" w:cs="Arial"/>
          <w:lang w:val="es-BO"/>
        </w:rPr>
        <w:t>En Perú, Ñopo et al. (2008) ha</w:t>
      </w:r>
      <w:r w:rsidR="0068369F" w:rsidRPr="00076165">
        <w:rPr>
          <w:rFonts w:ascii="Arial" w:hAnsi="Arial" w:cs="Arial"/>
          <w:lang w:val="es-BO"/>
        </w:rPr>
        <w:t xml:space="preserve"> encontrado</w:t>
      </w:r>
      <w:r w:rsidR="00315FAF" w:rsidRPr="00076165">
        <w:rPr>
          <w:rFonts w:ascii="Arial" w:hAnsi="Arial" w:cs="Arial"/>
          <w:lang w:val="es-BO"/>
        </w:rPr>
        <w:t xml:space="preserve"> que un programa de inserción y capacitación laboral</w:t>
      </w:r>
      <w:r w:rsidR="0068369F" w:rsidRPr="00076165">
        <w:rPr>
          <w:rFonts w:ascii="Arial" w:hAnsi="Arial" w:cs="Arial"/>
          <w:lang w:val="es-BO"/>
        </w:rPr>
        <w:t xml:space="preserve"> tuvo impacto en </w:t>
      </w:r>
      <w:r w:rsidR="00315FAF" w:rsidRPr="00076165">
        <w:rPr>
          <w:rFonts w:ascii="Arial" w:hAnsi="Arial" w:cs="Arial"/>
          <w:lang w:val="es-BO"/>
        </w:rPr>
        <w:t xml:space="preserve">la igualdad de oportunidades por género, promoviendo la capacitación en ocupaciones no tradicionales para mujeres </w:t>
      </w:r>
      <w:r w:rsidR="0068369F" w:rsidRPr="00076165">
        <w:rPr>
          <w:rFonts w:ascii="Arial" w:hAnsi="Arial" w:cs="Arial"/>
          <w:lang w:val="es-BO"/>
        </w:rPr>
        <w:t xml:space="preserve">con </w:t>
      </w:r>
      <w:r w:rsidR="00315FAF" w:rsidRPr="00076165">
        <w:rPr>
          <w:rFonts w:ascii="Arial" w:hAnsi="Arial" w:cs="Arial"/>
          <w:lang w:val="es-BO"/>
        </w:rPr>
        <w:t xml:space="preserve">impactos positivos en </w:t>
      </w:r>
      <w:r w:rsidR="0068369F" w:rsidRPr="00076165">
        <w:rPr>
          <w:rFonts w:ascii="Arial" w:hAnsi="Arial" w:cs="Arial"/>
          <w:lang w:val="es-BO"/>
        </w:rPr>
        <w:t xml:space="preserve">el incremento de </w:t>
      </w:r>
      <w:r w:rsidR="00315FAF" w:rsidRPr="00076165">
        <w:rPr>
          <w:rFonts w:ascii="Arial" w:hAnsi="Arial" w:cs="Arial"/>
          <w:lang w:val="es-BO"/>
        </w:rPr>
        <w:t xml:space="preserve">la tasa de empleo, ingresos y </w:t>
      </w:r>
      <w:r w:rsidR="0068369F" w:rsidRPr="00076165">
        <w:rPr>
          <w:rFonts w:ascii="Arial" w:hAnsi="Arial" w:cs="Arial"/>
          <w:lang w:val="es-BO"/>
        </w:rPr>
        <w:t xml:space="preserve">la </w:t>
      </w:r>
      <w:r w:rsidR="0003763D" w:rsidRPr="00076165">
        <w:rPr>
          <w:rFonts w:ascii="Arial" w:hAnsi="Arial" w:cs="Arial"/>
          <w:lang w:val="es-BO"/>
        </w:rPr>
        <w:t>reducción</w:t>
      </w:r>
      <w:r w:rsidR="0068369F" w:rsidRPr="00076165">
        <w:rPr>
          <w:rFonts w:ascii="Arial" w:hAnsi="Arial" w:cs="Arial"/>
          <w:lang w:val="es-BO"/>
        </w:rPr>
        <w:t xml:space="preserve"> de </w:t>
      </w:r>
      <w:r w:rsidR="00315FAF" w:rsidRPr="00076165">
        <w:rPr>
          <w:rFonts w:ascii="Arial" w:hAnsi="Arial" w:cs="Arial"/>
          <w:lang w:val="es-BO"/>
        </w:rPr>
        <w:t xml:space="preserve">la segregación ocupacional. </w:t>
      </w:r>
    </w:p>
    <w:p w:rsidR="0068369F" w:rsidRPr="00076165" w:rsidRDefault="0068369F" w:rsidP="0068369F">
      <w:pPr>
        <w:spacing w:line="276" w:lineRule="auto"/>
        <w:jc w:val="both"/>
        <w:rPr>
          <w:rFonts w:ascii="Arial" w:hAnsi="Arial" w:cs="Arial"/>
          <w:i/>
          <w:lang w:val="es-BO"/>
        </w:rPr>
      </w:pPr>
      <w:r w:rsidRPr="00076165">
        <w:rPr>
          <w:rFonts w:ascii="Arial" w:hAnsi="Arial" w:cs="Arial"/>
          <w:i/>
          <w:lang w:val="es-BO"/>
        </w:rPr>
        <w:t>El caso del PAE</w:t>
      </w:r>
    </w:p>
    <w:p w:rsidR="00620C7F" w:rsidRPr="00076165" w:rsidRDefault="0068369F" w:rsidP="00315FAF">
      <w:pPr>
        <w:spacing w:line="276" w:lineRule="auto"/>
        <w:jc w:val="both"/>
        <w:rPr>
          <w:rFonts w:ascii="Arial" w:hAnsi="Arial" w:cs="Arial"/>
          <w:lang w:val="es-ES_tradnl"/>
        </w:rPr>
      </w:pPr>
      <w:r w:rsidRPr="00076165">
        <w:rPr>
          <w:rFonts w:ascii="Arial" w:hAnsi="Arial" w:cs="Arial"/>
          <w:lang w:val="es-BO"/>
        </w:rPr>
        <w:t xml:space="preserve">En el caso del PAE, se </w:t>
      </w:r>
      <w:r w:rsidRPr="00076165">
        <w:rPr>
          <w:rFonts w:ascii="Arial" w:hAnsi="Arial" w:cs="Arial"/>
          <w:lang w:val="es-ES_tradnl"/>
        </w:rPr>
        <w:t xml:space="preserve">observa una mayor capacitación e inserción laboral de las mujeres en sectores de trabajo tradicionales como son comercio y servicios y una menor participación en capacitaciones en </w:t>
      </w:r>
      <w:r w:rsidR="0003763D" w:rsidRPr="00076165">
        <w:rPr>
          <w:rFonts w:ascii="Arial" w:hAnsi="Arial" w:cs="Arial"/>
          <w:lang w:val="es-ES_tradnl"/>
        </w:rPr>
        <w:t>rubros</w:t>
      </w:r>
      <w:r w:rsidRPr="00076165">
        <w:rPr>
          <w:rFonts w:ascii="Arial" w:hAnsi="Arial" w:cs="Arial"/>
          <w:lang w:val="es-ES_tradnl"/>
        </w:rPr>
        <w:t xml:space="preserve"> relacionados con producción.  De esta forma, se identifica que el programa actualmente no </w:t>
      </w:r>
      <w:r w:rsidR="0003763D" w:rsidRPr="00076165">
        <w:rPr>
          <w:rFonts w:ascii="Arial" w:hAnsi="Arial" w:cs="Arial"/>
          <w:lang w:val="es-ES_tradnl"/>
        </w:rPr>
        <w:t>está</w:t>
      </w:r>
      <w:r w:rsidRPr="00076165">
        <w:rPr>
          <w:rFonts w:ascii="Arial" w:hAnsi="Arial" w:cs="Arial"/>
          <w:lang w:val="es-ES_tradnl"/>
        </w:rPr>
        <w:t xml:space="preserve"> explotando una posibilidad de trabajo con </w:t>
      </w:r>
      <w:r w:rsidRPr="00076165">
        <w:rPr>
          <w:rFonts w:ascii="Arial" w:hAnsi="Arial" w:cs="Arial"/>
          <w:lang w:val="es-ES_tradnl"/>
        </w:rPr>
        <w:lastRenderedPageBreak/>
        <w:t>las mujeres en su inserción en rubros no tradicionales, que en definitiva se espera tenga impactos en la calidad y el ingreso obtenido una vez finalizada la capacitación.</w:t>
      </w:r>
    </w:p>
    <w:p w:rsidR="00620C7F" w:rsidRPr="00076165" w:rsidRDefault="00620C7F" w:rsidP="00315FAF">
      <w:pPr>
        <w:spacing w:line="276" w:lineRule="auto"/>
        <w:jc w:val="both"/>
        <w:rPr>
          <w:rFonts w:ascii="Arial" w:hAnsi="Arial" w:cs="Arial"/>
          <w:lang w:val="es-ES_tradnl"/>
        </w:rPr>
      </w:pPr>
      <w:r w:rsidRPr="00076165">
        <w:rPr>
          <w:rFonts w:ascii="Arial" w:hAnsi="Arial" w:cs="Arial"/>
          <w:lang w:val="es-ES_tradnl"/>
        </w:rPr>
        <w:t xml:space="preserve">En esta línea se observa que la promoción de la capacitación de mujeres a través del PAE en rubros no tradicionales puede llegar beneficiar a las mujeres en incrementar sus oportunidades laborales. Así como </w:t>
      </w:r>
      <w:r w:rsidR="00794643">
        <w:rPr>
          <w:rFonts w:ascii="Arial" w:hAnsi="Arial" w:cs="Arial"/>
          <w:lang w:val="es-ES_tradnl"/>
        </w:rPr>
        <w:t xml:space="preserve">también la </w:t>
      </w:r>
      <w:r w:rsidRPr="00076165">
        <w:rPr>
          <w:rFonts w:ascii="Arial" w:hAnsi="Arial" w:cs="Arial"/>
          <w:lang w:val="es-ES_tradnl"/>
        </w:rPr>
        <w:t xml:space="preserve">orientación </w:t>
      </w:r>
      <w:r w:rsidR="0003763D" w:rsidRPr="00076165">
        <w:rPr>
          <w:rFonts w:ascii="Arial" w:hAnsi="Arial" w:cs="Arial"/>
          <w:lang w:val="es-ES_tradnl"/>
        </w:rPr>
        <w:t>vocacional</w:t>
      </w:r>
      <w:r w:rsidRPr="00076165">
        <w:rPr>
          <w:rFonts w:ascii="Arial" w:hAnsi="Arial" w:cs="Arial"/>
          <w:lang w:val="es-ES_tradnl"/>
        </w:rPr>
        <w:t xml:space="preserve"> para promover el ingreso de mujeres en ocupaciones y sectores que tienen mayor ingreso.</w:t>
      </w:r>
    </w:p>
    <w:p w:rsidR="00E85E6C" w:rsidRPr="00076165" w:rsidRDefault="00E85E6C" w:rsidP="00E85E6C">
      <w:pPr>
        <w:spacing w:line="276" w:lineRule="auto"/>
        <w:jc w:val="both"/>
        <w:rPr>
          <w:rFonts w:ascii="Arial" w:hAnsi="Arial" w:cs="Arial"/>
          <w:b/>
          <w:lang w:val="es-BO"/>
        </w:rPr>
      </w:pPr>
      <w:r w:rsidRPr="00076165">
        <w:rPr>
          <w:rFonts w:ascii="Arial" w:hAnsi="Arial" w:cs="Arial"/>
          <w:b/>
          <w:lang w:val="es-BO"/>
        </w:rPr>
        <w:t xml:space="preserve">Líneas estratégicas </w:t>
      </w:r>
      <w:r w:rsidR="00620C7F" w:rsidRPr="00076165">
        <w:rPr>
          <w:rFonts w:ascii="Arial" w:hAnsi="Arial" w:cs="Arial"/>
          <w:b/>
          <w:lang w:val="es-BO"/>
        </w:rPr>
        <w:t xml:space="preserve">de trabajo </w:t>
      </w:r>
      <w:r w:rsidRPr="00076165">
        <w:rPr>
          <w:rFonts w:ascii="Arial" w:hAnsi="Arial" w:cs="Arial"/>
          <w:b/>
          <w:lang w:val="es-BO"/>
        </w:rPr>
        <w:t xml:space="preserve">del </w:t>
      </w:r>
      <w:r w:rsidR="006C7486" w:rsidRPr="00076165">
        <w:rPr>
          <w:rFonts w:ascii="Arial" w:hAnsi="Arial" w:cs="Arial"/>
          <w:b/>
          <w:lang w:val="es-BO"/>
        </w:rPr>
        <w:t xml:space="preserve">PAE II </w:t>
      </w:r>
      <w:r w:rsidR="00620C7F" w:rsidRPr="00076165">
        <w:rPr>
          <w:rFonts w:ascii="Arial" w:hAnsi="Arial" w:cs="Arial"/>
          <w:b/>
          <w:lang w:val="es-BO"/>
        </w:rPr>
        <w:t xml:space="preserve">con </w:t>
      </w:r>
      <w:r w:rsidRPr="00076165">
        <w:rPr>
          <w:rFonts w:ascii="Arial" w:hAnsi="Arial" w:cs="Arial"/>
          <w:b/>
          <w:lang w:val="es-BO"/>
        </w:rPr>
        <w:t xml:space="preserve">mujeres  </w:t>
      </w:r>
    </w:p>
    <w:p w:rsidR="00E85E6C" w:rsidRPr="00076165" w:rsidRDefault="006C7486" w:rsidP="00C02196">
      <w:pPr>
        <w:spacing w:line="276" w:lineRule="auto"/>
        <w:jc w:val="both"/>
        <w:rPr>
          <w:rFonts w:ascii="Arial" w:hAnsi="Arial" w:cs="Arial"/>
          <w:lang w:val="es-BO"/>
        </w:rPr>
      </w:pPr>
      <w:r w:rsidRPr="00076165">
        <w:rPr>
          <w:rFonts w:ascii="Arial" w:hAnsi="Arial" w:cs="Arial"/>
          <w:lang w:val="es-BO"/>
        </w:rPr>
        <w:t>C</w:t>
      </w:r>
      <w:r w:rsidR="00C02196" w:rsidRPr="00076165">
        <w:rPr>
          <w:rFonts w:ascii="Arial" w:hAnsi="Arial" w:cs="Arial"/>
          <w:lang w:val="es-BO"/>
        </w:rPr>
        <w:t>onsiderando los problemas de equidad de oportunidades entre homb</w:t>
      </w:r>
      <w:r w:rsidRPr="00076165">
        <w:rPr>
          <w:rFonts w:ascii="Arial" w:hAnsi="Arial" w:cs="Arial"/>
          <w:lang w:val="es-BO"/>
        </w:rPr>
        <w:t>r</w:t>
      </w:r>
      <w:r w:rsidR="00C02196" w:rsidRPr="00076165">
        <w:rPr>
          <w:rFonts w:ascii="Arial" w:hAnsi="Arial" w:cs="Arial"/>
          <w:lang w:val="es-BO"/>
        </w:rPr>
        <w:t>es</w:t>
      </w:r>
      <w:r w:rsidRPr="00076165">
        <w:rPr>
          <w:rFonts w:ascii="Arial" w:hAnsi="Arial" w:cs="Arial"/>
          <w:lang w:val="es-BO"/>
        </w:rPr>
        <w:t xml:space="preserve"> </w:t>
      </w:r>
      <w:r w:rsidR="00C02196" w:rsidRPr="00076165">
        <w:rPr>
          <w:rFonts w:ascii="Arial" w:hAnsi="Arial" w:cs="Arial"/>
          <w:lang w:val="es-BO"/>
        </w:rPr>
        <w:t>y muj</w:t>
      </w:r>
      <w:r w:rsidRPr="00076165">
        <w:rPr>
          <w:rFonts w:ascii="Arial" w:hAnsi="Arial" w:cs="Arial"/>
          <w:lang w:val="es-BO"/>
        </w:rPr>
        <w:t>e</w:t>
      </w:r>
      <w:r w:rsidR="00C02196" w:rsidRPr="00076165">
        <w:rPr>
          <w:rFonts w:ascii="Arial" w:hAnsi="Arial" w:cs="Arial"/>
          <w:lang w:val="es-BO"/>
        </w:rPr>
        <w:t xml:space="preserve">res </w:t>
      </w:r>
      <w:r w:rsidRPr="00076165">
        <w:rPr>
          <w:rFonts w:ascii="Arial" w:hAnsi="Arial" w:cs="Arial"/>
          <w:lang w:val="es-BO"/>
        </w:rPr>
        <w:t>en Bolivia y descritos anteriormente</w:t>
      </w:r>
      <w:r w:rsidR="00C02196" w:rsidRPr="00076165">
        <w:rPr>
          <w:rFonts w:ascii="Arial" w:hAnsi="Arial" w:cs="Arial"/>
          <w:lang w:val="es-BO"/>
        </w:rPr>
        <w:t xml:space="preserve">, el </w:t>
      </w:r>
      <w:r w:rsidR="00E85E6C" w:rsidRPr="00076165">
        <w:rPr>
          <w:rFonts w:ascii="Arial" w:hAnsi="Arial" w:cs="Arial"/>
          <w:lang w:val="es-BO"/>
        </w:rPr>
        <w:t xml:space="preserve">PAE II (BO-L1121) </w:t>
      </w:r>
      <w:r w:rsidR="00C02196" w:rsidRPr="00076165">
        <w:rPr>
          <w:rFonts w:ascii="Arial" w:hAnsi="Arial" w:cs="Arial"/>
          <w:lang w:val="es-BO"/>
        </w:rPr>
        <w:t xml:space="preserve">busca fortalecer </w:t>
      </w:r>
      <w:r w:rsidR="00E85E6C" w:rsidRPr="00076165">
        <w:rPr>
          <w:rFonts w:ascii="Arial" w:hAnsi="Arial" w:cs="Arial"/>
          <w:lang w:val="es-BO"/>
        </w:rPr>
        <w:t xml:space="preserve">las líneas de acción existentes </w:t>
      </w:r>
      <w:r w:rsidR="00C02196" w:rsidRPr="00076165">
        <w:rPr>
          <w:rFonts w:ascii="Arial" w:hAnsi="Arial" w:cs="Arial"/>
          <w:lang w:val="es-BO"/>
        </w:rPr>
        <w:t>en el programa anterio</w:t>
      </w:r>
      <w:r w:rsidRPr="00076165">
        <w:rPr>
          <w:rFonts w:ascii="Arial" w:hAnsi="Arial" w:cs="Arial"/>
          <w:lang w:val="es-BO"/>
        </w:rPr>
        <w:t xml:space="preserve">r </w:t>
      </w:r>
      <w:r w:rsidR="00E85E6C" w:rsidRPr="00076165">
        <w:rPr>
          <w:rFonts w:ascii="Arial" w:hAnsi="Arial" w:cs="Arial"/>
          <w:lang w:val="es-BO"/>
        </w:rPr>
        <w:t xml:space="preserve">(BO-L1051) con nuevas líneas </w:t>
      </w:r>
      <w:r w:rsidR="00C02196" w:rsidRPr="00076165">
        <w:rPr>
          <w:rFonts w:ascii="Arial" w:hAnsi="Arial" w:cs="Arial"/>
          <w:lang w:val="es-BO"/>
        </w:rPr>
        <w:t xml:space="preserve">orientadas a reducir estos problemas en base a las </w:t>
      </w:r>
      <w:r w:rsidR="00E85E6C" w:rsidRPr="00076165">
        <w:rPr>
          <w:rFonts w:ascii="Arial" w:hAnsi="Arial" w:cs="Arial"/>
          <w:lang w:val="es-BO"/>
        </w:rPr>
        <w:t xml:space="preserve">barreras </w:t>
      </w:r>
      <w:r w:rsidR="00C02196" w:rsidRPr="00076165">
        <w:rPr>
          <w:rFonts w:ascii="Arial" w:hAnsi="Arial" w:cs="Arial"/>
          <w:lang w:val="es-BO"/>
        </w:rPr>
        <w:t>identificadas</w:t>
      </w:r>
      <w:r w:rsidR="00E85E6C" w:rsidRPr="00076165">
        <w:rPr>
          <w:rFonts w:ascii="Arial" w:hAnsi="Arial" w:cs="Arial"/>
          <w:lang w:val="es-BO"/>
        </w:rPr>
        <w:t xml:space="preserve">. </w:t>
      </w:r>
    </w:p>
    <w:p w:rsidR="00620C7F" w:rsidRPr="00076165" w:rsidRDefault="00620C7F" w:rsidP="00C02196">
      <w:pPr>
        <w:spacing w:line="276" w:lineRule="auto"/>
        <w:jc w:val="both"/>
        <w:rPr>
          <w:rFonts w:ascii="Arial" w:hAnsi="Arial" w:cs="Arial"/>
          <w:lang w:val="es-BO"/>
        </w:rPr>
      </w:pPr>
      <w:r w:rsidRPr="00076165">
        <w:rPr>
          <w:rFonts w:ascii="Arial" w:hAnsi="Arial" w:cs="Arial"/>
          <w:lang w:val="es-BO"/>
        </w:rPr>
        <w:t>El PAE II continuara con el trabajo iniciado en el marco del PAE se financiará: (i) el desarrollo de un servicio de orientación vocacional y profesional; (ii) la continuación de los apoyos económicos de tres meses para la capacitación in situ en empresas que cuentan con vacantes reales, siguiendo el esquema desarrollado en el marco del PAE  ; iii) cursos cortos asociados a requerimientos específicos de una vacante (por ejemplo, un soldador que requiere habilidades más específicas en soldadura en frio, cursos de trabajo en equipo, cursos de paquetes computacionales).</w:t>
      </w:r>
    </w:p>
    <w:p w:rsidR="006C7486" w:rsidRPr="00076165" w:rsidRDefault="00620C7F" w:rsidP="006C7486">
      <w:pPr>
        <w:spacing w:line="276" w:lineRule="auto"/>
        <w:jc w:val="both"/>
        <w:rPr>
          <w:rFonts w:ascii="Arial" w:hAnsi="Arial" w:cs="Arial"/>
          <w:lang w:val="es-BO"/>
        </w:rPr>
      </w:pPr>
      <w:r w:rsidRPr="00076165">
        <w:rPr>
          <w:rFonts w:ascii="Arial" w:hAnsi="Arial" w:cs="Arial"/>
          <w:lang w:val="es-BO"/>
        </w:rPr>
        <w:t>P</w:t>
      </w:r>
      <w:r w:rsidR="006C7486" w:rsidRPr="00076165">
        <w:rPr>
          <w:rFonts w:ascii="Arial" w:hAnsi="Arial" w:cs="Arial"/>
          <w:lang w:val="es-BO"/>
        </w:rPr>
        <w:t xml:space="preserve">ara cumplir con el objetivo de mejorar el impacto del programa en las mujeres, el programa plantea como primer punto el fortalecimiento institucional del PAE a través de la incorporación de personal especializado en atención a buscadores de empleo que requieren apoyo adicional, especialmente a mujeres en situación vulnerable y personas con discapacidad, con el fin de responder de manera más eficiente a sus necesidades específicas. </w:t>
      </w:r>
    </w:p>
    <w:p w:rsidR="004556DC" w:rsidRPr="00076165" w:rsidRDefault="00620C7F" w:rsidP="00E85E6C">
      <w:pPr>
        <w:spacing w:line="276" w:lineRule="auto"/>
        <w:jc w:val="both"/>
        <w:rPr>
          <w:rFonts w:ascii="Arial" w:hAnsi="Arial" w:cs="Arial"/>
          <w:lang w:val="es-BO"/>
        </w:rPr>
      </w:pPr>
      <w:r w:rsidRPr="00076165">
        <w:rPr>
          <w:rFonts w:ascii="Arial" w:hAnsi="Arial" w:cs="Arial"/>
          <w:lang w:val="es-BO"/>
        </w:rPr>
        <w:t xml:space="preserve">Asimismo, se plantea el trabajo en el marco de las dos líneas de trabajo descritas </w:t>
      </w:r>
      <w:r w:rsidR="0003763D" w:rsidRPr="00076165">
        <w:rPr>
          <w:rFonts w:ascii="Arial" w:hAnsi="Arial" w:cs="Arial"/>
          <w:lang w:val="es-BO"/>
        </w:rPr>
        <w:t>anteriormente:</w:t>
      </w:r>
      <w:r w:rsidR="004556DC" w:rsidRPr="00076165">
        <w:rPr>
          <w:rFonts w:ascii="Arial" w:hAnsi="Arial" w:cs="Arial"/>
          <w:lang w:val="es-BO"/>
        </w:rPr>
        <w:t xml:space="preserve"> </w:t>
      </w:r>
    </w:p>
    <w:p w:rsidR="004556DC" w:rsidRPr="00076165" w:rsidRDefault="004556DC" w:rsidP="00E85E6C">
      <w:pPr>
        <w:spacing w:line="276" w:lineRule="auto"/>
        <w:jc w:val="both"/>
        <w:rPr>
          <w:rFonts w:ascii="Arial" w:hAnsi="Arial" w:cs="Arial"/>
          <w:b/>
          <w:lang w:val="es-BO"/>
        </w:rPr>
      </w:pPr>
      <w:r w:rsidRPr="00076165">
        <w:rPr>
          <w:rFonts w:ascii="Arial" w:hAnsi="Arial" w:cs="Arial"/>
          <w:b/>
          <w:lang w:val="es-BO"/>
        </w:rPr>
        <w:t xml:space="preserve">Pago de subsidio de </w:t>
      </w:r>
      <w:r w:rsidR="0003763D" w:rsidRPr="00076165">
        <w:rPr>
          <w:rFonts w:ascii="Arial" w:hAnsi="Arial" w:cs="Arial"/>
          <w:b/>
          <w:lang w:val="es-BO"/>
        </w:rPr>
        <w:t>guardería</w:t>
      </w:r>
      <w:r w:rsidRPr="00076165">
        <w:rPr>
          <w:rFonts w:ascii="Arial" w:hAnsi="Arial" w:cs="Arial"/>
          <w:b/>
          <w:lang w:val="es-BO"/>
        </w:rPr>
        <w:t xml:space="preserve"> para facilitar la inserción laboral de las mujeres</w:t>
      </w:r>
    </w:p>
    <w:p w:rsidR="004556DC" w:rsidRPr="00076165" w:rsidRDefault="00620C7F" w:rsidP="00E85E6C">
      <w:pPr>
        <w:spacing w:line="276" w:lineRule="auto"/>
        <w:jc w:val="both"/>
        <w:rPr>
          <w:rFonts w:ascii="Arial" w:hAnsi="Arial" w:cs="Arial"/>
          <w:lang w:val="es-BO"/>
        </w:rPr>
      </w:pPr>
      <w:r w:rsidRPr="00076165">
        <w:rPr>
          <w:rFonts w:ascii="Arial" w:hAnsi="Arial" w:cs="Arial"/>
          <w:lang w:val="es-BO"/>
        </w:rPr>
        <w:t>P</w:t>
      </w:r>
      <w:r w:rsidR="00C02196" w:rsidRPr="00076165">
        <w:rPr>
          <w:rFonts w:ascii="Arial" w:hAnsi="Arial" w:cs="Arial"/>
          <w:lang w:val="es-BO"/>
        </w:rPr>
        <w:t xml:space="preserve">ara </w:t>
      </w:r>
      <w:r w:rsidR="004556DC" w:rsidRPr="00076165">
        <w:rPr>
          <w:rFonts w:ascii="Arial" w:hAnsi="Arial" w:cs="Arial"/>
          <w:lang w:val="es-BO"/>
        </w:rPr>
        <w:t xml:space="preserve">poder </w:t>
      </w:r>
      <w:r w:rsidR="00C02196" w:rsidRPr="00076165">
        <w:rPr>
          <w:rFonts w:ascii="Arial" w:hAnsi="Arial" w:cs="Arial"/>
          <w:lang w:val="es-BO"/>
        </w:rPr>
        <w:t xml:space="preserve">responder </w:t>
      </w:r>
      <w:r w:rsidR="004556DC" w:rsidRPr="00076165">
        <w:rPr>
          <w:rFonts w:ascii="Arial" w:hAnsi="Arial" w:cs="Arial"/>
          <w:lang w:val="es-BO"/>
        </w:rPr>
        <w:t xml:space="preserve">a las barreras de acceso identificadas para las mujeres y relacionadas </w:t>
      </w:r>
      <w:r w:rsidR="0003763D" w:rsidRPr="00076165">
        <w:rPr>
          <w:rFonts w:ascii="Arial" w:hAnsi="Arial" w:cs="Arial"/>
          <w:lang w:val="es-BO"/>
        </w:rPr>
        <w:t>específicamente</w:t>
      </w:r>
      <w:r w:rsidR="004556DC" w:rsidRPr="00076165">
        <w:rPr>
          <w:rFonts w:ascii="Arial" w:hAnsi="Arial" w:cs="Arial"/>
          <w:lang w:val="es-BO"/>
        </w:rPr>
        <w:t xml:space="preserve"> con la responsabilidad del cuidado de sus hijos, el programa plantea otorgar un subsidio para el pago de</w:t>
      </w:r>
      <w:r w:rsidR="00E85E6C" w:rsidRPr="00076165">
        <w:rPr>
          <w:rFonts w:ascii="Arial" w:hAnsi="Arial" w:cs="Arial"/>
          <w:lang w:val="es-BO"/>
        </w:rPr>
        <w:t xml:space="preserve"> guardería durante el periodo de capacitación para</w:t>
      </w:r>
      <w:r w:rsidR="004556DC" w:rsidRPr="00076165">
        <w:rPr>
          <w:rFonts w:ascii="Arial" w:hAnsi="Arial" w:cs="Arial"/>
          <w:lang w:val="es-BO"/>
        </w:rPr>
        <w:t xml:space="preserve"> facilitar la inserción laboral de las mujeres. </w:t>
      </w:r>
    </w:p>
    <w:p w:rsidR="00620C7F" w:rsidRPr="00076165" w:rsidRDefault="004556DC" w:rsidP="00E85E6C">
      <w:pPr>
        <w:spacing w:line="276" w:lineRule="auto"/>
        <w:jc w:val="both"/>
        <w:rPr>
          <w:rFonts w:ascii="Arial" w:hAnsi="Arial" w:cs="Arial"/>
          <w:lang w:val="es-BO"/>
        </w:rPr>
      </w:pPr>
      <w:r w:rsidRPr="00076165">
        <w:rPr>
          <w:rFonts w:ascii="Arial" w:hAnsi="Arial" w:cs="Arial"/>
          <w:lang w:val="es-BO"/>
        </w:rPr>
        <w:t xml:space="preserve">El subsidio busca apoyar a las mujeres a enfrentar sus restricciones de </w:t>
      </w:r>
      <w:r w:rsidR="0003763D" w:rsidRPr="00076165">
        <w:rPr>
          <w:rFonts w:ascii="Arial" w:hAnsi="Arial" w:cs="Arial"/>
          <w:lang w:val="es-BO"/>
        </w:rPr>
        <w:t>liquidez</w:t>
      </w:r>
      <w:r w:rsidRPr="00076165">
        <w:rPr>
          <w:rFonts w:ascii="Arial" w:hAnsi="Arial" w:cs="Arial"/>
          <w:lang w:val="es-BO"/>
        </w:rPr>
        <w:t xml:space="preserve"> (por estar desempleadas) para el pago de un servicio de cuidado de sus hijos menores de 5 años</w:t>
      </w:r>
      <w:r w:rsidR="00620C7F" w:rsidRPr="00076165">
        <w:rPr>
          <w:rFonts w:ascii="Arial" w:hAnsi="Arial" w:cs="Arial"/>
          <w:lang w:val="es-BO"/>
        </w:rPr>
        <w:t xml:space="preserve">, que debe realizarse de forma adelantada y que se ha identificado como una restricción para la capacitación de las mujeres. </w:t>
      </w:r>
    </w:p>
    <w:p w:rsidR="004556DC" w:rsidRPr="00076165" w:rsidRDefault="004556DC" w:rsidP="00E85E6C">
      <w:pPr>
        <w:spacing w:line="276" w:lineRule="auto"/>
        <w:jc w:val="both"/>
        <w:rPr>
          <w:rFonts w:ascii="Arial" w:hAnsi="Arial" w:cs="Arial"/>
          <w:lang w:val="es-BO"/>
        </w:rPr>
      </w:pPr>
      <w:r w:rsidRPr="00076165">
        <w:rPr>
          <w:rFonts w:ascii="Arial" w:hAnsi="Arial" w:cs="Arial"/>
          <w:lang w:val="es-BO"/>
        </w:rPr>
        <w:t xml:space="preserve">Este subsidio, </w:t>
      </w:r>
      <w:r w:rsidR="0003763D" w:rsidRPr="00076165">
        <w:rPr>
          <w:rFonts w:ascii="Arial" w:hAnsi="Arial" w:cs="Arial"/>
          <w:lang w:val="es-BO"/>
        </w:rPr>
        <w:t>será</w:t>
      </w:r>
      <w:r w:rsidRPr="00076165">
        <w:rPr>
          <w:rFonts w:ascii="Arial" w:hAnsi="Arial" w:cs="Arial"/>
          <w:lang w:val="es-BO"/>
        </w:rPr>
        <w:t xml:space="preserve"> pagado al principio de la capacitación, </w:t>
      </w:r>
      <w:r w:rsidR="0003763D" w:rsidRPr="00076165">
        <w:rPr>
          <w:rFonts w:ascii="Arial" w:hAnsi="Arial" w:cs="Arial"/>
          <w:lang w:val="es-BO"/>
        </w:rPr>
        <w:t>permitirá</w:t>
      </w:r>
      <w:r w:rsidRPr="00076165">
        <w:rPr>
          <w:rFonts w:ascii="Arial" w:hAnsi="Arial" w:cs="Arial"/>
          <w:lang w:val="es-BO"/>
        </w:rPr>
        <w:t xml:space="preserve"> a las mujeres el acceso a un servicio de cuidado de su preferencia y que le permita contar con este servicio entre el inicio de la capacitación y el pago del </w:t>
      </w:r>
      <w:r w:rsidR="00E21C82" w:rsidRPr="00076165">
        <w:rPr>
          <w:rFonts w:ascii="Arial" w:hAnsi="Arial" w:cs="Arial"/>
          <w:lang w:val="es-BO"/>
        </w:rPr>
        <w:t xml:space="preserve">primer </w:t>
      </w:r>
      <w:r w:rsidRPr="00076165">
        <w:rPr>
          <w:rFonts w:ascii="Arial" w:hAnsi="Arial" w:cs="Arial"/>
          <w:lang w:val="es-BO"/>
        </w:rPr>
        <w:t>estipendio económico</w:t>
      </w:r>
      <w:r w:rsidR="00E21C82" w:rsidRPr="00076165">
        <w:rPr>
          <w:rFonts w:ascii="Arial" w:hAnsi="Arial" w:cs="Arial"/>
          <w:lang w:val="es-BO"/>
        </w:rPr>
        <w:t>, que se da al finalizar el primer mes de capacitación</w:t>
      </w:r>
      <w:r w:rsidRPr="00076165">
        <w:rPr>
          <w:rFonts w:ascii="Arial" w:hAnsi="Arial" w:cs="Arial"/>
          <w:lang w:val="es-BO"/>
        </w:rPr>
        <w:t>.</w:t>
      </w:r>
      <w:r w:rsidR="00E21C82" w:rsidRPr="00076165">
        <w:rPr>
          <w:rFonts w:ascii="Arial" w:hAnsi="Arial" w:cs="Arial"/>
          <w:lang w:val="es-BO"/>
        </w:rPr>
        <w:t xml:space="preserve"> El subsidio se realizará solamente por los </w:t>
      </w:r>
      <w:r w:rsidR="00E21C82" w:rsidRPr="00076165">
        <w:rPr>
          <w:rFonts w:ascii="Arial" w:hAnsi="Arial" w:cs="Arial"/>
          <w:lang w:val="es-BO"/>
        </w:rPr>
        <w:lastRenderedPageBreak/>
        <w:t>dos primeros meses, ya que desde el tercer mes este pago podría ser cubierto por el apoyo económico y posteriormente con los ingresos laborales, si la persona es contratada una vez finalizada la fase de capacitación in situ.</w:t>
      </w:r>
    </w:p>
    <w:p w:rsidR="004556DC" w:rsidRPr="00076165" w:rsidRDefault="004556DC" w:rsidP="004556DC">
      <w:pPr>
        <w:spacing w:line="276" w:lineRule="auto"/>
        <w:jc w:val="both"/>
        <w:rPr>
          <w:rFonts w:ascii="Arial" w:hAnsi="Arial" w:cs="Arial"/>
          <w:b/>
          <w:lang w:val="es-BO"/>
        </w:rPr>
      </w:pPr>
      <w:r w:rsidRPr="00076165">
        <w:rPr>
          <w:rFonts w:ascii="Arial" w:hAnsi="Arial" w:cs="Arial"/>
          <w:b/>
          <w:lang w:val="es-BO"/>
        </w:rPr>
        <w:t xml:space="preserve">Capacitación e inserción laboral de mujeres en ocupaciones </w:t>
      </w:r>
      <w:r w:rsidR="00E21C82" w:rsidRPr="00076165">
        <w:rPr>
          <w:rFonts w:ascii="Arial" w:hAnsi="Arial" w:cs="Arial"/>
          <w:b/>
          <w:lang w:val="es-BO"/>
        </w:rPr>
        <w:t xml:space="preserve">y sectores </w:t>
      </w:r>
      <w:r w:rsidRPr="00076165">
        <w:rPr>
          <w:rFonts w:ascii="Arial" w:hAnsi="Arial" w:cs="Arial"/>
          <w:b/>
          <w:lang w:val="es-BO"/>
        </w:rPr>
        <w:t xml:space="preserve">con baja participación femenina. </w:t>
      </w:r>
    </w:p>
    <w:p w:rsidR="00E21C82" w:rsidRPr="00076165" w:rsidRDefault="00E21C82" w:rsidP="00E85E6C">
      <w:pPr>
        <w:jc w:val="both"/>
        <w:rPr>
          <w:rFonts w:ascii="Arial" w:hAnsi="Arial" w:cs="Arial"/>
          <w:lang w:val="es-ES"/>
        </w:rPr>
      </w:pPr>
      <w:r w:rsidRPr="00076165">
        <w:rPr>
          <w:rFonts w:ascii="Arial" w:hAnsi="Arial" w:cs="Arial"/>
          <w:lang w:val="es-ES"/>
        </w:rPr>
        <w:t xml:space="preserve">Para enfrentar la segregación ocupacional y sectorial observada en Bolivia y para promover la inserción de </w:t>
      </w:r>
      <w:r w:rsidR="0003763D" w:rsidRPr="00076165">
        <w:rPr>
          <w:rFonts w:ascii="Arial" w:hAnsi="Arial" w:cs="Arial"/>
          <w:lang w:val="es-ES"/>
        </w:rPr>
        <w:t>mujeres</w:t>
      </w:r>
      <w:r w:rsidRPr="00076165">
        <w:rPr>
          <w:rFonts w:ascii="Arial" w:hAnsi="Arial" w:cs="Arial"/>
          <w:lang w:val="es-ES"/>
        </w:rPr>
        <w:t xml:space="preserve"> en </w:t>
      </w:r>
      <w:r w:rsidR="0003763D" w:rsidRPr="00076165">
        <w:rPr>
          <w:rFonts w:ascii="Arial" w:hAnsi="Arial" w:cs="Arial"/>
          <w:lang w:val="es-ES"/>
        </w:rPr>
        <w:t>ocupacionales</w:t>
      </w:r>
      <w:r w:rsidRPr="00076165">
        <w:rPr>
          <w:rFonts w:ascii="Arial" w:hAnsi="Arial" w:cs="Arial"/>
          <w:lang w:val="es-ES"/>
        </w:rPr>
        <w:t xml:space="preserve"> y sectores con mayores niveles de ingreso</w:t>
      </w:r>
      <w:r w:rsidR="00794643">
        <w:rPr>
          <w:rFonts w:ascii="Arial" w:hAnsi="Arial" w:cs="Arial"/>
          <w:lang w:val="es-ES"/>
        </w:rPr>
        <w:t xml:space="preserve"> el PAE  II contara con un programa piloto para evaluar el impacto de incentivar la capacitación laboral de muejres en rubros no tradicionales</w:t>
      </w:r>
      <w:r w:rsidRPr="00076165">
        <w:rPr>
          <w:rFonts w:ascii="Arial" w:hAnsi="Arial" w:cs="Arial"/>
          <w:lang w:val="es-ES"/>
        </w:rPr>
        <w:t xml:space="preserve">. Para ello apoyará, a través de un programa piloto, a aquellas que buscan insertarse laboralmente en rubros no tradicionales, mediante cursos para mejora de sus habilidades </w:t>
      </w:r>
      <w:r w:rsidRPr="00076165">
        <w:rPr>
          <w:rFonts w:ascii="Arial" w:hAnsi="Arial" w:cs="Arial"/>
          <w:lang w:val="es-ES_tradnl"/>
        </w:rPr>
        <w:t xml:space="preserve">y les proveerá apoyo económico de capacitación </w:t>
      </w:r>
      <w:r w:rsidRPr="00076165">
        <w:rPr>
          <w:rFonts w:ascii="Arial" w:hAnsi="Arial" w:cs="Arial"/>
          <w:i/>
          <w:lang w:val="es-ES_tradnl"/>
        </w:rPr>
        <w:t>in situ</w:t>
      </w:r>
      <w:r w:rsidRPr="00076165">
        <w:rPr>
          <w:rStyle w:val="FootnoteReference"/>
          <w:rFonts w:ascii="Arial" w:hAnsi="Arial" w:cs="Arial"/>
          <w:lang w:val="es-ES_tradnl"/>
        </w:rPr>
        <w:footnoteReference w:id="9"/>
      </w:r>
      <w:r w:rsidRPr="00076165">
        <w:rPr>
          <w:rFonts w:ascii="Arial" w:hAnsi="Arial" w:cs="Arial"/>
          <w:lang w:val="es-ES_tradnl"/>
        </w:rPr>
        <w:t>. El proceso de inserción estará unido a actividades de sensibilización en la empresa.</w:t>
      </w:r>
    </w:p>
    <w:p w:rsidR="006134B4" w:rsidRPr="00076165" w:rsidRDefault="006134B4">
      <w:pPr>
        <w:rPr>
          <w:rFonts w:ascii="Arial" w:hAnsi="Arial" w:cs="Arial"/>
          <w:lang w:val="es-ES_tradnl"/>
        </w:rPr>
      </w:pPr>
      <w:r w:rsidRPr="00076165">
        <w:rPr>
          <w:rFonts w:ascii="Arial" w:hAnsi="Arial" w:cs="Arial"/>
          <w:lang w:val="es-ES_tradnl"/>
        </w:rPr>
        <w:br w:type="page"/>
      </w:r>
    </w:p>
    <w:p w:rsidR="00794643" w:rsidRPr="00794643" w:rsidRDefault="00794643" w:rsidP="00794643">
      <w:pPr>
        <w:rPr>
          <w:rFonts w:ascii="Arial" w:hAnsi="Arial" w:cs="Arial"/>
          <w:b/>
          <w:sz w:val="24"/>
          <w:lang w:val="es-ES"/>
        </w:rPr>
      </w:pPr>
      <w:r w:rsidRPr="00794643">
        <w:rPr>
          <w:rFonts w:ascii="Arial" w:hAnsi="Arial" w:cs="Arial"/>
          <w:b/>
          <w:sz w:val="24"/>
          <w:lang w:val="es-ES"/>
        </w:rPr>
        <w:lastRenderedPageBreak/>
        <w:t>Bibliografía de Referencia</w:t>
      </w:r>
    </w:p>
    <w:p w:rsidR="00794643" w:rsidRPr="00794643" w:rsidRDefault="00794643" w:rsidP="00794643">
      <w:pPr>
        <w:jc w:val="both"/>
        <w:rPr>
          <w:rFonts w:ascii="Arial" w:hAnsi="Arial" w:cs="Arial"/>
          <w:sz w:val="24"/>
          <w:szCs w:val="24"/>
          <w:lang w:val="es-ES_tradnl"/>
        </w:rPr>
      </w:pPr>
      <w:r w:rsidRPr="00794643">
        <w:rPr>
          <w:rFonts w:ascii="Arial" w:hAnsi="Arial" w:cs="Arial"/>
          <w:sz w:val="24"/>
          <w:szCs w:val="24"/>
          <w:lang w:val="es-ES"/>
        </w:rPr>
        <w:t xml:space="preserve">Aguirre, D. et al. </w:t>
      </w:r>
      <w:r w:rsidR="00C243FD">
        <w:rPr>
          <w:rFonts w:ascii="Arial" w:hAnsi="Arial" w:cs="Arial"/>
          <w:sz w:val="24"/>
          <w:szCs w:val="24"/>
          <w:lang w:val="es-ES"/>
        </w:rPr>
        <w:t>(</w:t>
      </w:r>
      <w:r w:rsidRPr="00794643">
        <w:rPr>
          <w:rFonts w:ascii="Arial" w:hAnsi="Arial" w:cs="Arial"/>
          <w:sz w:val="24"/>
          <w:szCs w:val="24"/>
          <w:lang w:val="es-ES"/>
        </w:rPr>
        <w:t>2012</w:t>
      </w:r>
      <w:r w:rsidR="00C243FD">
        <w:rPr>
          <w:rFonts w:ascii="Arial" w:hAnsi="Arial" w:cs="Arial"/>
          <w:sz w:val="24"/>
          <w:szCs w:val="24"/>
          <w:lang w:val="es-ES"/>
        </w:rPr>
        <w:t>)</w:t>
      </w:r>
      <w:r w:rsidRPr="00794643">
        <w:rPr>
          <w:rFonts w:ascii="Arial" w:hAnsi="Arial" w:cs="Arial"/>
          <w:sz w:val="24"/>
          <w:szCs w:val="24"/>
          <w:lang w:val="es-ES"/>
        </w:rPr>
        <w:t xml:space="preserve">. </w:t>
      </w:r>
      <w:r w:rsidRPr="00794643">
        <w:rPr>
          <w:rFonts w:ascii="Arial" w:hAnsi="Arial" w:cs="Arial"/>
          <w:sz w:val="24"/>
          <w:szCs w:val="24"/>
        </w:rPr>
        <w:t xml:space="preserve">“Empowering the Third Billion Women and the World of Work in 2012.” </w:t>
      </w:r>
      <w:r w:rsidRPr="00794643">
        <w:rPr>
          <w:rFonts w:ascii="Arial" w:hAnsi="Arial" w:cs="Arial"/>
          <w:sz w:val="24"/>
          <w:szCs w:val="24"/>
          <w:lang w:val="es-ES_tradnl"/>
        </w:rPr>
        <w:t>Booz and Company.</w:t>
      </w:r>
    </w:p>
    <w:p w:rsidR="00794643" w:rsidRPr="00794643" w:rsidRDefault="00794643" w:rsidP="00794643">
      <w:pPr>
        <w:jc w:val="both"/>
        <w:rPr>
          <w:rFonts w:ascii="Arial" w:hAnsi="Arial" w:cs="Arial"/>
          <w:sz w:val="24"/>
          <w:szCs w:val="24"/>
          <w:lang w:val="es-ES"/>
        </w:rPr>
      </w:pPr>
      <w:r w:rsidRPr="00794643">
        <w:rPr>
          <w:rFonts w:ascii="Arial" w:hAnsi="Arial" w:cs="Arial"/>
          <w:sz w:val="24"/>
          <w:szCs w:val="24"/>
          <w:lang w:val="es-ES_tradnl"/>
        </w:rPr>
        <w:t xml:space="preserve">Arceo-Gómez, E. y Campos-Vázquez, R.M.. </w:t>
      </w:r>
      <w:r w:rsidR="00C243FD">
        <w:rPr>
          <w:rFonts w:ascii="Arial" w:hAnsi="Arial" w:cs="Arial"/>
          <w:sz w:val="24"/>
          <w:szCs w:val="24"/>
          <w:lang w:val="es-ES_tradnl"/>
        </w:rPr>
        <w:t>(</w:t>
      </w:r>
      <w:r w:rsidRPr="00794643">
        <w:rPr>
          <w:rFonts w:ascii="Arial" w:hAnsi="Arial" w:cs="Arial"/>
          <w:sz w:val="24"/>
          <w:szCs w:val="24"/>
        </w:rPr>
        <w:t>2014</w:t>
      </w:r>
      <w:r w:rsidR="00C243FD">
        <w:rPr>
          <w:rFonts w:ascii="Arial" w:hAnsi="Arial" w:cs="Arial"/>
          <w:sz w:val="24"/>
          <w:szCs w:val="24"/>
        </w:rPr>
        <w:t>)</w:t>
      </w:r>
      <w:r w:rsidRPr="00794643">
        <w:rPr>
          <w:rFonts w:ascii="Arial" w:hAnsi="Arial" w:cs="Arial"/>
          <w:sz w:val="24"/>
          <w:szCs w:val="24"/>
        </w:rPr>
        <w:t xml:space="preserve">. “Race and Marriage in the Labor Market: A Discrimination Correspondence Study in a Developing Country”, American Economic Review. </w:t>
      </w:r>
      <w:r w:rsidRPr="00794643">
        <w:rPr>
          <w:rFonts w:ascii="Arial" w:hAnsi="Arial" w:cs="Arial"/>
          <w:sz w:val="24"/>
          <w:szCs w:val="24"/>
          <w:lang w:val="es-ES"/>
        </w:rPr>
        <w:t>104(5): 376-80.</w:t>
      </w:r>
    </w:p>
    <w:p w:rsidR="00794643" w:rsidRPr="00794643" w:rsidRDefault="00794643" w:rsidP="00794643">
      <w:pPr>
        <w:jc w:val="both"/>
        <w:rPr>
          <w:rFonts w:ascii="Arial" w:hAnsi="Arial" w:cs="Arial"/>
          <w:sz w:val="24"/>
          <w:szCs w:val="24"/>
          <w:lang w:val="es-ES_tradnl"/>
        </w:rPr>
      </w:pPr>
      <w:r w:rsidRPr="00794643">
        <w:rPr>
          <w:rFonts w:ascii="Arial" w:hAnsi="Arial" w:cs="Arial"/>
          <w:sz w:val="24"/>
          <w:szCs w:val="24"/>
          <w:lang w:val="es-ES"/>
        </w:rPr>
        <w:t xml:space="preserve">BID. </w:t>
      </w:r>
      <w:r w:rsidR="00C243FD">
        <w:rPr>
          <w:rFonts w:ascii="Arial" w:hAnsi="Arial" w:cs="Arial"/>
          <w:sz w:val="24"/>
          <w:szCs w:val="24"/>
          <w:lang w:val="es-ES"/>
        </w:rPr>
        <w:t>(</w:t>
      </w:r>
      <w:r w:rsidRPr="00794643">
        <w:rPr>
          <w:rFonts w:ascii="Arial" w:hAnsi="Arial" w:cs="Arial"/>
          <w:sz w:val="24"/>
          <w:szCs w:val="24"/>
          <w:lang w:val="es-ES"/>
        </w:rPr>
        <w:t>2015</w:t>
      </w:r>
      <w:r w:rsidR="00C243FD">
        <w:rPr>
          <w:rFonts w:ascii="Arial" w:hAnsi="Arial" w:cs="Arial"/>
          <w:sz w:val="24"/>
          <w:szCs w:val="24"/>
          <w:lang w:val="es-ES"/>
        </w:rPr>
        <w:t>)</w:t>
      </w:r>
      <w:r w:rsidRPr="00794643">
        <w:rPr>
          <w:rFonts w:ascii="Arial" w:hAnsi="Arial" w:cs="Arial"/>
          <w:sz w:val="24"/>
          <w:szCs w:val="24"/>
          <w:lang w:val="es-ES"/>
        </w:rPr>
        <w:t xml:space="preserve">. </w:t>
      </w:r>
      <w:r w:rsidRPr="00794643">
        <w:rPr>
          <w:rFonts w:ascii="Arial" w:hAnsi="Arial" w:cs="Arial"/>
          <w:sz w:val="24"/>
          <w:szCs w:val="24"/>
          <w:lang w:val="es-ES_tradnl"/>
        </w:rPr>
        <w:t>“</w:t>
      </w:r>
      <w:r w:rsidRPr="00794643">
        <w:rPr>
          <w:rFonts w:ascii="Arial" w:hAnsi="Arial" w:cs="Arial"/>
          <w:color w:val="000000"/>
          <w:sz w:val="24"/>
          <w:szCs w:val="24"/>
          <w:lang w:val="es-ES_tradnl"/>
        </w:rPr>
        <w:t>La importancia del género y la diversidad en las estrategias de desarrollo en América Latín y el Caribe.” Washington, DC: Banco Interamericano del Desarrollo, División de Género y Diversidad.</w:t>
      </w:r>
    </w:p>
    <w:p w:rsidR="00794643" w:rsidRPr="00794643" w:rsidRDefault="00794643" w:rsidP="00794643">
      <w:pPr>
        <w:jc w:val="both"/>
        <w:rPr>
          <w:rFonts w:ascii="Arial" w:hAnsi="Arial" w:cs="Arial"/>
          <w:sz w:val="24"/>
          <w:szCs w:val="24"/>
        </w:rPr>
      </w:pPr>
      <w:r w:rsidRPr="00794643">
        <w:rPr>
          <w:rFonts w:ascii="Arial" w:hAnsi="Arial" w:cs="Arial"/>
          <w:sz w:val="24"/>
          <w:szCs w:val="24"/>
        </w:rPr>
        <w:t xml:space="preserve">Banco Mundial. </w:t>
      </w:r>
      <w:r w:rsidR="00C243FD">
        <w:rPr>
          <w:rFonts w:ascii="Arial" w:hAnsi="Arial" w:cs="Arial"/>
          <w:sz w:val="24"/>
          <w:szCs w:val="24"/>
        </w:rPr>
        <w:t>(</w:t>
      </w:r>
      <w:r w:rsidRPr="00794643">
        <w:rPr>
          <w:rFonts w:ascii="Arial" w:hAnsi="Arial" w:cs="Arial"/>
          <w:sz w:val="24"/>
          <w:szCs w:val="24"/>
        </w:rPr>
        <w:t>2014</w:t>
      </w:r>
      <w:r w:rsidR="00C243FD">
        <w:rPr>
          <w:rFonts w:ascii="Arial" w:hAnsi="Arial" w:cs="Arial"/>
          <w:sz w:val="24"/>
          <w:szCs w:val="24"/>
        </w:rPr>
        <w:t>)</w:t>
      </w:r>
      <w:r w:rsidRPr="00794643">
        <w:rPr>
          <w:rFonts w:ascii="Arial" w:hAnsi="Arial" w:cs="Arial"/>
          <w:sz w:val="24"/>
          <w:szCs w:val="24"/>
        </w:rPr>
        <w:t>. “Gender at Work: A Companion to the World Development Report on Jobs”. Washington, D.C.: Banco Mundial.</w:t>
      </w:r>
    </w:p>
    <w:p w:rsidR="00794643" w:rsidRPr="00794643" w:rsidRDefault="00794643" w:rsidP="00794643">
      <w:pPr>
        <w:jc w:val="both"/>
        <w:rPr>
          <w:rFonts w:ascii="Arial" w:hAnsi="Arial" w:cs="Arial"/>
          <w:sz w:val="24"/>
          <w:szCs w:val="24"/>
        </w:rPr>
      </w:pPr>
      <w:r w:rsidRPr="00794643">
        <w:rPr>
          <w:rFonts w:ascii="Arial" w:hAnsi="Arial" w:cs="Arial"/>
          <w:sz w:val="24"/>
          <w:szCs w:val="24"/>
        </w:rPr>
        <w:t xml:space="preserve">Banco Mundial. </w:t>
      </w:r>
      <w:r w:rsidR="00C243FD">
        <w:rPr>
          <w:rFonts w:ascii="Arial" w:hAnsi="Arial" w:cs="Arial"/>
          <w:sz w:val="24"/>
          <w:szCs w:val="24"/>
        </w:rPr>
        <w:t>(</w:t>
      </w:r>
      <w:r w:rsidRPr="00794643">
        <w:rPr>
          <w:rFonts w:ascii="Arial" w:hAnsi="Arial" w:cs="Arial"/>
          <w:sz w:val="24"/>
          <w:szCs w:val="24"/>
        </w:rPr>
        <w:t>2012</w:t>
      </w:r>
      <w:r w:rsidR="00C243FD">
        <w:rPr>
          <w:rFonts w:ascii="Arial" w:hAnsi="Arial" w:cs="Arial"/>
          <w:sz w:val="24"/>
          <w:szCs w:val="24"/>
        </w:rPr>
        <w:t>)</w:t>
      </w:r>
      <w:r w:rsidRPr="00794643">
        <w:rPr>
          <w:rFonts w:ascii="Arial" w:hAnsi="Arial" w:cs="Arial"/>
          <w:sz w:val="24"/>
          <w:szCs w:val="24"/>
        </w:rPr>
        <w:t>. “The Effects of Women’s Economic Power in Latin America and Caribbean”. Washington, DC: Banco Mundial.</w:t>
      </w:r>
    </w:p>
    <w:p w:rsidR="00794643" w:rsidRPr="00794643" w:rsidRDefault="00794643" w:rsidP="00794643">
      <w:pPr>
        <w:jc w:val="both"/>
        <w:rPr>
          <w:rFonts w:ascii="Arial" w:hAnsi="Arial" w:cs="Arial"/>
          <w:sz w:val="24"/>
          <w:szCs w:val="24"/>
        </w:rPr>
      </w:pPr>
      <w:r w:rsidRPr="00794643">
        <w:rPr>
          <w:rFonts w:ascii="Arial" w:hAnsi="Arial" w:cs="Arial"/>
          <w:sz w:val="24"/>
          <w:szCs w:val="24"/>
        </w:rPr>
        <w:t xml:space="preserve">Berlinski, S. y S. Galiani. </w:t>
      </w:r>
      <w:r w:rsidR="00C243FD">
        <w:rPr>
          <w:rFonts w:ascii="Arial" w:hAnsi="Arial" w:cs="Arial"/>
          <w:sz w:val="24"/>
          <w:szCs w:val="24"/>
        </w:rPr>
        <w:t>(</w:t>
      </w:r>
      <w:r w:rsidRPr="00794643">
        <w:rPr>
          <w:rFonts w:ascii="Arial" w:hAnsi="Arial" w:cs="Arial"/>
          <w:sz w:val="24"/>
          <w:szCs w:val="24"/>
        </w:rPr>
        <w:t>2007</w:t>
      </w:r>
      <w:r w:rsidR="00C243FD">
        <w:rPr>
          <w:rFonts w:ascii="Arial" w:hAnsi="Arial" w:cs="Arial"/>
          <w:sz w:val="24"/>
          <w:szCs w:val="24"/>
        </w:rPr>
        <w:t>)</w:t>
      </w:r>
      <w:r w:rsidRPr="00794643">
        <w:rPr>
          <w:rFonts w:ascii="Arial" w:hAnsi="Arial" w:cs="Arial"/>
          <w:sz w:val="24"/>
          <w:szCs w:val="24"/>
        </w:rPr>
        <w:t>. “The effect of a large expansion of preprimary school facilities on preschool attendance and maternal employment”. Labour Economics, Elsevier. 14(3): 665-680</w:t>
      </w:r>
      <w:r w:rsidRPr="00794643">
        <w:rPr>
          <w:rFonts w:ascii="Arial" w:hAnsi="Arial" w:cs="Arial"/>
          <w:color w:val="000000"/>
          <w:sz w:val="24"/>
          <w:szCs w:val="24"/>
        </w:rPr>
        <w:t>.</w:t>
      </w:r>
    </w:p>
    <w:p w:rsidR="00794643" w:rsidRPr="00794643" w:rsidRDefault="00794643" w:rsidP="00794643">
      <w:pPr>
        <w:jc w:val="both"/>
        <w:rPr>
          <w:rFonts w:ascii="Arial" w:hAnsi="Arial" w:cs="Arial"/>
          <w:sz w:val="24"/>
          <w:szCs w:val="24"/>
        </w:rPr>
      </w:pPr>
      <w:r w:rsidRPr="00794643">
        <w:rPr>
          <w:rFonts w:ascii="Arial" w:hAnsi="Arial" w:cs="Arial"/>
          <w:sz w:val="24"/>
          <w:szCs w:val="24"/>
        </w:rPr>
        <w:t xml:space="preserve">Blau, F. et al. </w:t>
      </w:r>
      <w:r w:rsidR="00C243FD">
        <w:rPr>
          <w:rFonts w:ascii="Arial" w:hAnsi="Arial" w:cs="Arial"/>
          <w:sz w:val="24"/>
          <w:szCs w:val="24"/>
        </w:rPr>
        <w:t>(</w:t>
      </w:r>
      <w:r w:rsidRPr="00794643">
        <w:rPr>
          <w:rFonts w:ascii="Arial" w:hAnsi="Arial" w:cs="Arial"/>
          <w:sz w:val="24"/>
          <w:szCs w:val="24"/>
        </w:rPr>
        <w:t>2014</w:t>
      </w:r>
      <w:r w:rsidR="00C243FD">
        <w:rPr>
          <w:rFonts w:ascii="Arial" w:hAnsi="Arial" w:cs="Arial"/>
          <w:sz w:val="24"/>
          <w:szCs w:val="24"/>
        </w:rPr>
        <w:t>)</w:t>
      </w:r>
      <w:r w:rsidRPr="00794643">
        <w:rPr>
          <w:rFonts w:ascii="Arial" w:hAnsi="Arial" w:cs="Arial"/>
          <w:sz w:val="24"/>
          <w:szCs w:val="24"/>
        </w:rPr>
        <w:t>. “The Economics of Women, Men, and Work.” Upper Saddle River, NJ: Prentice-Hall, 7a edición.</w:t>
      </w:r>
    </w:p>
    <w:p w:rsidR="00794643" w:rsidRPr="00794643" w:rsidRDefault="00794643" w:rsidP="00794643">
      <w:pPr>
        <w:jc w:val="both"/>
        <w:rPr>
          <w:rFonts w:ascii="Arial" w:hAnsi="Arial" w:cs="Arial"/>
          <w:sz w:val="24"/>
          <w:szCs w:val="24"/>
        </w:rPr>
      </w:pPr>
      <w:r w:rsidRPr="00794643">
        <w:rPr>
          <w:rFonts w:ascii="Arial" w:hAnsi="Arial" w:cs="Arial"/>
          <w:sz w:val="24"/>
          <w:szCs w:val="24"/>
        </w:rPr>
        <w:t xml:space="preserve">Card, D. et al. </w:t>
      </w:r>
      <w:r w:rsidR="00C243FD">
        <w:rPr>
          <w:rFonts w:ascii="Arial" w:hAnsi="Arial" w:cs="Arial"/>
          <w:sz w:val="24"/>
          <w:szCs w:val="24"/>
        </w:rPr>
        <w:t>(</w:t>
      </w:r>
      <w:r w:rsidRPr="00794643">
        <w:rPr>
          <w:rFonts w:ascii="Arial" w:hAnsi="Arial" w:cs="Arial"/>
          <w:sz w:val="24"/>
          <w:szCs w:val="24"/>
        </w:rPr>
        <w:t>2010</w:t>
      </w:r>
      <w:r w:rsidR="00C243FD">
        <w:rPr>
          <w:rFonts w:ascii="Arial" w:hAnsi="Arial" w:cs="Arial"/>
          <w:sz w:val="24"/>
          <w:szCs w:val="24"/>
        </w:rPr>
        <w:t>)</w:t>
      </w:r>
      <w:r w:rsidRPr="00794643">
        <w:rPr>
          <w:rFonts w:ascii="Arial" w:hAnsi="Arial" w:cs="Arial"/>
          <w:sz w:val="24"/>
          <w:szCs w:val="24"/>
        </w:rPr>
        <w:t>. “Active Labour Market Policy Evaluations: A Meta-Analysis”. Economic Journal, vol. 120, 548: F452-F477.</w:t>
      </w:r>
    </w:p>
    <w:p w:rsidR="00794643" w:rsidRPr="00794643" w:rsidRDefault="00C243FD" w:rsidP="00794643">
      <w:pPr>
        <w:jc w:val="both"/>
        <w:rPr>
          <w:rFonts w:ascii="Arial" w:hAnsi="Arial" w:cs="Arial"/>
          <w:sz w:val="24"/>
          <w:szCs w:val="24"/>
        </w:rPr>
      </w:pPr>
      <w:r>
        <w:rPr>
          <w:rFonts w:ascii="Arial" w:hAnsi="Arial" w:cs="Arial"/>
          <w:sz w:val="24"/>
          <w:szCs w:val="24"/>
        </w:rPr>
        <w:t>Chioda, L</w:t>
      </w:r>
      <w:r w:rsidR="00794643" w:rsidRPr="00794643">
        <w:rPr>
          <w:rFonts w:ascii="Arial" w:hAnsi="Arial" w:cs="Arial"/>
          <w:sz w:val="24"/>
          <w:szCs w:val="24"/>
        </w:rPr>
        <w:t xml:space="preserve">. </w:t>
      </w:r>
      <w:r>
        <w:rPr>
          <w:rFonts w:ascii="Arial" w:hAnsi="Arial" w:cs="Arial"/>
          <w:sz w:val="24"/>
          <w:szCs w:val="24"/>
        </w:rPr>
        <w:t>(</w:t>
      </w:r>
      <w:r w:rsidR="00794643" w:rsidRPr="00794643">
        <w:rPr>
          <w:rFonts w:ascii="Arial" w:hAnsi="Arial" w:cs="Arial"/>
          <w:sz w:val="24"/>
          <w:szCs w:val="24"/>
        </w:rPr>
        <w:t>2011</w:t>
      </w:r>
      <w:r>
        <w:rPr>
          <w:rFonts w:ascii="Arial" w:hAnsi="Arial" w:cs="Arial"/>
          <w:sz w:val="24"/>
          <w:szCs w:val="24"/>
        </w:rPr>
        <w:t>)</w:t>
      </w:r>
      <w:r w:rsidR="00794643" w:rsidRPr="00794643">
        <w:rPr>
          <w:rFonts w:ascii="Arial" w:hAnsi="Arial" w:cs="Arial"/>
          <w:sz w:val="24"/>
          <w:szCs w:val="24"/>
        </w:rPr>
        <w:t>. “Work and Family: Latin American and Caribbean Women in Search of a New Balance”. Washington, DC: Banco Mundial.</w:t>
      </w:r>
    </w:p>
    <w:p w:rsidR="00794643" w:rsidRPr="00794643" w:rsidRDefault="00C243FD" w:rsidP="00794643">
      <w:pPr>
        <w:jc w:val="both"/>
        <w:rPr>
          <w:rFonts w:ascii="Arial" w:hAnsi="Arial" w:cs="Arial"/>
          <w:sz w:val="24"/>
          <w:szCs w:val="24"/>
        </w:rPr>
      </w:pPr>
      <w:r w:rsidRPr="00C243FD">
        <w:rPr>
          <w:rFonts w:ascii="Arial" w:hAnsi="Arial" w:cs="Arial"/>
          <w:color w:val="000000"/>
          <w:sz w:val="24"/>
          <w:szCs w:val="24"/>
          <w:lang w:val="es-ES"/>
        </w:rPr>
        <w:t>Csillag, M.</w:t>
      </w:r>
      <w:r w:rsidR="00794643" w:rsidRPr="00C243FD">
        <w:rPr>
          <w:rFonts w:ascii="Arial" w:hAnsi="Arial" w:cs="Arial"/>
          <w:color w:val="000000"/>
          <w:sz w:val="24"/>
          <w:szCs w:val="24"/>
          <w:lang w:val="es-ES"/>
        </w:rPr>
        <w:t xml:space="preserve"> </w:t>
      </w:r>
      <w:r w:rsidRPr="00C243FD">
        <w:rPr>
          <w:rFonts w:ascii="Arial" w:hAnsi="Arial" w:cs="Arial"/>
          <w:color w:val="000000"/>
          <w:sz w:val="24"/>
          <w:szCs w:val="24"/>
          <w:lang w:val="es-ES"/>
        </w:rPr>
        <w:t xml:space="preserve">y </w:t>
      </w:r>
      <w:r w:rsidR="00794643" w:rsidRPr="00C243FD">
        <w:rPr>
          <w:rFonts w:ascii="Arial" w:hAnsi="Arial" w:cs="Arial"/>
          <w:color w:val="000000"/>
          <w:sz w:val="24"/>
          <w:szCs w:val="24"/>
          <w:lang w:val="es-ES"/>
        </w:rPr>
        <w:t>Fertig, M</w:t>
      </w:r>
      <w:r w:rsidRPr="00C243FD">
        <w:rPr>
          <w:rFonts w:ascii="Arial" w:hAnsi="Arial" w:cs="Arial"/>
          <w:color w:val="000000"/>
          <w:sz w:val="24"/>
          <w:szCs w:val="24"/>
          <w:lang w:val="es-ES"/>
        </w:rPr>
        <w:t>.</w:t>
      </w:r>
      <w:r>
        <w:rPr>
          <w:rFonts w:ascii="Arial" w:hAnsi="Arial" w:cs="Arial"/>
          <w:color w:val="000000"/>
          <w:sz w:val="24"/>
          <w:szCs w:val="24"/>
          <w:lang w:val="es-ES"/>
        </w:rPr>
        <w:t xml:space="preserve"> </w:t>
      </w:r>
      <w:r w:rsidR="00794643" w:rsidRPr="00C243FD">
        <w:rPr>
          <w:rFonts w:ascii="Arial" w:hAnsi="Arial" w:cs="Arial"/>
          <w:color w:val="000000"/>
          <w:sz w:val="24"/>
          <w:szCs w:val="24"/>
          <w:lang w:val="es-ES"/>
        </w:rPr>
        <w:t xml:space="preserve"> </w:t>
      </w:r>
      <w:r>
        <w:rPr>
          <w:rFonts w:ascii="Arial" w:hAnsi="Arial" w:cs="Arial"/>
          <w:color w:val="000000"/>
          <w:sz w:val="24"/>
          <w:szCs w:val="24"/>
          <w:lang w:val="es-ES"/>
        </w:rPr>
        <w:t>(</w:t>
      </w:r>
      <w:r w:rsidR="00794643" w:rsidRPr="00C243FD">
        <w:rPr>
          <w:rFonts w:ascii="Arial" w:hAnsi="Arial" w:cs="Arial"/>
          <w:color w:val="000000"/>
          <w:sz w:val="24"/>
          <w:szCs w:val="24"/>
          <w:lang w:val="es-ES"/>
        </w:rPr>
        <w:t>2015</w:t>
      </w:r>
      <w:r>
        <w:rPr>
          <w:rFonts w:ascii="Arial" w:hAnsi="Arial" w:cs="Arial"/>
          <w:color w:val="000000"/>
          <w:sz w:val="24"/>
          <w:szCs w:val="24"/>
          <w:lang w:val="es-ES"/>
        </w:rPr>
        <w:t>)</w:t>
      </w:r>
      <w:r w:rsidR="00794643" w:rsidRPr="00C243FD">
        <w:rPr>
          <w:rFonts w:ascii="Arial" w:hAnsi="Arial" w:cs="Arial"/>
          <w:color w:val="000000"/>
          <w:sz w:val="24"/>
          <w:szCs w:val="24"/>
          <w:lang w:val="es-ES"/>
        </w:rPr>
        <w:t xml:space="preserve">. </w:t>
      </w:r>
      <w:r w:rsidR="00794643" w:rsidRPr="00794643">
        <w:rPr>
          <w:rFonts w:ascii="Arial" w:hAnsi="Arial" w:cs="Arial"/>
          <w:color w:val="000000"/>
          <w:sz w:val="24"/>
          <w:szCs w:val="24"/>
        </w:rPr>
        <w:t>“Cost–benefit Analysis of Remedial Interventions for the Long-Term Unemployed.” Brussels: European Commission, DG Employment, Social Affairs and Inclusion.</w:t>
      </w:r>
    </w:p>
    <w:p w:rsidR="00794643" w:rsidRPr="00794643" w:rsidRDefault="00794643" w:rsidP="00794643">
      <w:pPr>
        <w:jc w:val="both"/>
        <w:rPr>
          <w:rFonts w:ascii="Arial" w:hAnsi="Arial" w:cs="Arial"/>
          <w:sz w:val="24"/>
          <w:szCs w:val="24"/>
          <w:lang w:val="es-ES_tradnl"/>
        </w:rPr>
      </w:pPr>
      <w:r w:rsidRPr="00794643">
        <w:rPr>
          <w:rFonts w:ascii="Arial" w:hAnsi="Arial" w:cs="Arial"/>
          <w:sz w:val="24"/>
          <w:szCs w:val="24"/>
        </w:rPr>
        <w:t xml:space="preserve">FMI. </w:t>
      </w:r>
      <w:r w:rsidR="00C243FD">
        <w:rPr>
          <w:rFonts w:ascii="Arial" w:hAnsi="Arial" w:cs="Arial"/>
          <w:sz w:val="24"/>
          <w:szCs w:val="24"/>
        </w:rPr>
        <w:t>(</w:t>
      </w:r>
      <w:r w:rsidRPr="00794643">
        <w:rPr>
          <w:rFonts w:ascii="Arial" w:hAnsi="Arial" w:cs="Arial"/>
          <w:sz w:val="24"/>
          <w:szCs w:val="24"/>
        </w:rPr>
        <w:t>2013</w:t>
      </w:r>
      <w:r w:rsidR="00C243FD">
        <w:rPr>
          <w:rFonts w:ascii="Arial" w:hAnsi="Arial" w:cs="Arial"/>
          <w:sz w:val="24"/>
          <w:szCs w:val="24"/>
        </w:rPr>
        <w:t>)</w:t>
      </w:r>
      <w:r w:rsidRPr="00794643">
        <w:rPr>
          <w:rFonts w:ascii="Arial" w:hAnsi="Arial" w:cs="Arial"/>
          <w:sz w:val="24"/>
          <w:szCs w:val="24"/>
        </w:rPr>
        <w:t xml:space="preserve">. “Women, Work, and the Economy: Macroeconomic Gains from Gender Equity.” </w:t>
      </w:r>
      <w:r w:rsidRPr="00794643">
        <w:rPr>
          <w:rFonts w:ascii="Arial" w:hAnsi="Arial" w:cs="Arial"/>
          <w:sz w:val="24"/>
          <w:szCs w:val="24"/>
          <w:lang w:val="es-ES_tradnl"/>
        </w:rPr>
        <w:t xml:space="preserve">Washington, DC: Fondo Monetario Internacional. </w:t>
      </w:r>
    </w:p>
    <w:p w:rsidR="00794643" w:rsidRPr="00794643" w:rsidRDefault="00C243FD" w:rsidP="00794643">
      <w:pPr>
        <w:jc w:val="both"/>
        <w:rPr>
          <w:rFonts w:ascii="Arial" w:hAnsi="Arial" w:cs="Arial"/>
          <w:sz w:val="24"/>
          <w:szCs w:val="24"/>
          <w:lang w:val="es-ES_tradnl"/>
        </w:rPr>
      </w:pPr>
      <w:r>
        <w:rPr>
          <w:rFonts w:ascii="Arial" w:hAnsi="Arial" w:cs="Arial"/>
          <w:sz w:val="24"/>
          <w:szCs w:val="24"/>
          <w:lang w:val="es-ES_tradnl"/>
        </w:rPr>
        <w:t>Galarza, F. y</w:t>
      </w:r>
      <w:r w:rsidR="00794643" w:rsidRPr="00794643">
        <w:rPr>
          <w:rFonts w:ascii="Arial" w:hAnsi="Arial" w:cs="Arial"/>
          <w:sz w:val="24"/>
          <w:szCs w:val="24"/>
          <w:lang w:val="es-ES_tradnl"/>
        </w:rPr>
        <w:t xml:space="preserve"> Yamada, G. </w:t>
      </w:r>
      <w:r>
        <w:rPr>
          <w:rFonts w:ascii="Arial" w:hAnsi="Arial" w:cs="Arial"/>
          <w:sz w:val="24"/>
          <w:szCs w:val="24"/>
          <w:lang w:val="es-ES_tradnl"/>
        </w:rPr>
        <w:t>(</w:t>
      </w:r>
      <w:r w:rsidR="00794643" w:rsidRPr="00C243FD">
        <w:rPr>
          <w:rFonts w:ascii="Arial" w:hAnsi="Arial" w:cs="Arial"/>
          <w:sz w:val="24"/>
          <w:szCs w:val="24"/>
          <w:lang w:val="es-ES"/>
        </w:rPr>
        <w:t>2012</w:t>
      </w:r>
      <w:r>
        <w:rPr>
          <w:rFonts w:ascii="Arial" w:hAnsi="Arial" w:cs="Arial"/>
          <w:sz w:val="24"/>
          <w:szCs w:val="24"/>
          <w:lang w:val="es-ES"/>
        </w:rPr>
        <w:t>)</w:t>
      </w:r>
      <w:r w:rsidR="00794643" w:rsidRPr="00C243FD">
        <w:rPr>
          <w:rFonts w:ascii="Arial" w:hAnsi="Arial" w:cs="Arial"/>
          <w:sz w:val="24"/>
          <w:szCs w:val="24"/>
          <w:lang w:val="es-ES"/>
        </w:rPr>
        <w:t xml:space="preserve">. </w:t>
      </w:r>
      <w:r w:rsidR="00794643" w:rsidRPr="00794643">
        <w:rPr>
          <w:rFonts w:ascii="Arial" w:hAnsi="Arial" w:cs="Arial"/>
          <w:sz w:val="24"/>
          <w:szCs w:val="24"/>
        </w:rPr>
        <w:t xml:space="preserve">“Labor Market Discrimination in Lima, Peru: Evidence from a Field Experiment”. </w:t>
      </w:r>
      <w:r w:rsidR="00794643" w:rsidRPr="00794643">
        <w:rPr>
          <w:rFonts w:ascii="Arial" w:hAnsi="Arial" w:cs="Arial"/>
          <w:sz w:val="24"/>
          <w:szCs w:val="24"/>
          <w:lang w:val="es-ES_tradnl"/>
        </w:rPr>
        <w:t xml:space="preserve">No 12-03, Documentos de trabajo. Lima: Universidad del Pacífico, Departamento de Economía. </w:t>
      </w:r>
    </w:p>
    <w:p w:rsidR="00794643" w:rsidRPr="00794643" w:rsidRDefault="00794643" w:rsidP="00794643">
      <w:pPr>
        <w:jc w:val="both"/>
        <w:rPr>
          <w:rFonts w:ascii="Arial" w:hAnsi="Arial" w:cs="Arial"/>
          <w:sz w:val="24"/>
          <w:szCs w:val="24"/>
          <w:lang w:val="es-ES_tradnl"/>
        </w:rPr>
      </w:pPr>
      <w:r w:rsidRPr="00C243FD">
        <w:rPr>
          <w:rFonts w:ascii="Arial" w:hAnsi="Arial" w:cs="Arial"/>
          <w:sz w:val="24"/>
          <w:szCs w:val="24"/>
          <w:lang w:val="fr-FR"/>
        </w:rPr>
        <w:t>Gasparini, L</w:t>
      </w:r>
      <w:r w:rsidR="00C243FD" w:rsidRPr="00C243FD">
        <w:rPr>
          <w:rFonts w:ascii="Arial" w:hAnsi="Arial" w:cs="Arial"/>
          <w:sz w:val="24"/>
          <w:szCs w:val="24"/>
          <w:lang w:val="fr-FR"/>
        </w:rPr>
        <w:t>. y</w:t>
      </w:r>
      <w:r w:rsidRPr="00C243FD">
        <w:rPr>
          <w:rFonts w:ascii="Arial" w:hAnsi="Arial" w:cs="Arial"/>
          <w:sz w:val="24"/>
          <w:szCs w:val="24"/>
          <w:lang w:val="fr-FR"/>
        </w:rPr>
        <w:t xml:space="preserve"> Marchionni, M</w:t>
      </w:r>
      <w:r w:rsidR="00C243FD" w:rsidRPr="00C243FD">
        <w:rPr>
          <w:rFonts w:ascii="Arial" w:hAnsi="Arial" w:cs="Arial"/>
          <w:sz w:val="24"/>
          <w:szCs w:val="24"/>
          <w:lang w:val="fr-FR"/>
        </w:rPr>
        <w:t>.</w:t>
      </w:r>
      <w:r w:rsidRPr="00C243FD">
        <w:rPr>
          <w:rFonts w:ascii="Arial" w:hAnsi="Arial" w:cs="Arial"/>
          <w:sz w:val="24"/>
          <w:szCs w:val="24"/>
          <w:lang w:val="fr-FR"/>
        </w:rPr>
        <w:t xml:space="preserve"> </w:t>
      </w:r>
      <w:r w:rsidR="00C243FD">
        <w:rPr>
          <w:rFonts w:ascii="Arial" w:hAnsi="Arial" w:cs="Arial"/>
          <w:sz w:val="24"/>
          <w:szCs w:val="24"/>
          <w:lang w:val="fr-FR"/>
        </w:rPr>
        <w:t>(</w:t>
      </w:r>
      <w:r w:rsidRPr="00C243FD">
        <w:rPr>
          <w:rFonts w:ascii="Arial" w:hAnsi="Arial" w:cs="Arial"/>
          <w:sz w:val="24"/>
          <w:szCs w:val="24"/>
          <w:lang w:val="fr-FR"/>
        </w:rPr>
        <w:t>2015</w:t>
      </w:r>
      <w:r w:rsidR="00C243FD">
        <w:rPr>
          <w:rFonts w:ascii="Arial" w:hAnsi="Arial" w:cs="Arial"/>
          <w:sz w:val="24"/>
          <w:szCs w:val="24"/>
          <w:lang w:val="fr-FR"/>
        </w:rPr>
        <w:t>)</w:t>
      </w:r>
      <w:r w:rsidRPr="00C243FD">
        <w:rPr>
          <w:rFonts w:ascii="Arial" w:hAnsi="Arial" w:cs="Arial"/>
          <w:sz w:val="24"/>
          <w:szCs w:val="24"/>
          <w:lang w:val="fr-FR"/>
        </w:rPr>
        <w:t xml:space="preserve">. </w:t>
      </w:r>
      <w:r w:rsidRPr="00794643">
        <w:rPr>
          <w:rFonts w:ascii="Arial" w:hAnsi="Arial" w:cs="Arial"/>
          <w:sz w:val="24"/>
          <w:szCs w:val="24"/>
        </w:rPr>
        <w:t xml:space="preserve">“Bridging Gender Gaps? The Rise and Deceleration of Female Labor Force Participation in Latin America. </w:t>
      </w:r>
      <w:r w:rsidRPr="00794643">
        <w:rPr>
          <w:rFonts w:ascii="Arial" w:hAnsi="Arial" w:cs="Arial"/>
          <w:sz w:val="24"/>
          <w:szCs w:val="24"/>
          <w:lang w:val="es-ES_tradnl"/>
        </w:rPr>
        <w:t>An Overview”. La Plata: Universidad Nacional de La Plata, Centro de Estudios Distributivo, Laborales y Sociales.</w:t>
      </w:r>
    </w:p>
    <w:p w:rsidR="00794643" w:rsidRPr="00794643" w:rsidRDefault="00794643" w:rsidP="00794643">
      <w:pPr>
        <w:jc w:val="both"/>
        <w:rPr>
          <w:rFonts w:ascii="Arial" w:hAnsi="Arial" w:cs="Arial"/>
          <w:sz w:val="24"/>
          <w:szCs w:val="24"/>
          <w:lang w:val="es-ES_tradnl"/>
        </w:rPr>
      </w:pPr>
      <w:r w:rsidRPr="00794643">
        <w:rPr>
          <w:rFonts w:ascii="Arial" w:hAnsi="Arial" w:cs="Arial"/>
          <w:sz w:val="24"/>
          <w:szCs w:val="24"/>
          <w:lang w:val="es-ES_tradnl"/>
        </w:rPr>
        <w:lastRenderedPageBreak/>
        <w:t xml:space="preserve">González, </w:t>
      </w:r>
      <w:r w:rsidR="00C243FD">
        <w:rPr>
          <w:rFonts w:ascii="Arial" w:hAnsi="Arial" w:cs="Arial"/>
          <w:sz w:val="24"/>
          <w:szCs w:val="24"/>
          <w:lang w:val="es-ES_tradnl"/>
        </w:rPr>
        <w:t>C.</w:t>
      </w:r>
      <w:r w:rsidRPr="00794643">
        <w:rPr>
          <w:rFonts w:ascii="Arial" w:hAnsi="Arial" w:cs="Arial"/>
          <w:sz w:val="24"/>
          <w:szCs w:val="24"/>
          <w:lang w:val="es-ES_tradnl"/>
        </w:rPr>
        <w:t xml:space="preserve"> et al. </w:t>
      </w:r>
      <w:r w:rsidR="00C243FD">
        <w:rPr>
          <w:rFonts w:ascii="Arial" w:hAnsi="Arial" w:cs="Arial"/>
          <w:sz w:val="24"/>
          <w:szCs w:val="24"/>
          <w:lang w:val="es-ES_tradnl"/>
        </w:rPr>
        <w:t>(</w:t>
      </w:r>
      <w:r w:rsidRPr="00794643">
        <w:rPr>
          <w:rFonts w:ascii="Arial" w:hAnsi="Arial" w:cs="Arial"/>
          <w:sz w:val="24"/>
          <w:szCs w:val="24"/>
          <w:lang w:val="es-ES_tradnl"/>
        </w:rPr>
        <w:t>2012</w:t>
      </w:r>
      <w:r w:rsidR="00C243FD">
        <w:rPr>
          <w:rFonts w:ascii="Arial" w:hAnsi="Arial" w:cs="Arial"/>
          <w:sz w:val="24"/>
          <w:szCs w:val="24"/>
          <w:lang w:val="es-ES_tradnl"/>
        </w:rPr>
        <w:t>)</w:t>
      </w:r>
      <w:r w:rsidRPr="00794643">
        <w:rPr>
          <w:rFonts w:ascii="Arial" w:hAnsi="Arial" w:cs="Arial"/>
          <w:sz w:val="24"/>
          <w:szCs w:val="24"/>
          <w:lang w:val="es-ES_tradnl"/>
        </w:rPr>
        <w:t>. “¿Cómo mejorar las oportunidades de inserción laboral de los jóvenes en América Latina?” Publicaciones del BID 78338. Washington, DC: Banco Interamericano del Desarrollo.</w:t>
      </w:r>
    </w:p>
    <w:p w:rsidR="00794643" w:rsidRPr="00794643" w:rsidRDefault="00794643" w:rsidP="00794643">
      <w:pPr>
        <w:jc w:val="both"/>
        <w:rPr>
          <w:rFonts w:ascii="Arial" w:hAnsi="Arial" w:cs="Arial"/>
          <w:color w:val="000000"/>
          <w:sz w:val="24"/>
          <w:szCs w:val="24"/>
        </w:rPr>
      </w:pPr>
      <w:r w:rsidRPr="00794643">
        <w:rPr>
          <w:rFonts w:ascii="Arial" w:hAnsi="Arial" w:cs="Arial"/>
          <w:sz w:val="24"/>
          <w:szCs w:val="24"/>
          <w:lang w:val="es-ES"/>
        </w:rPr>
        <w:t xml:space="preserve">Kluve, J. </w:t>
      </w:r>
      <w:r w:rsidR="00C243FD">
        <w:rPr>
          <w:rFonts w:ascii="Arial" w:hAnsi="Arial" w:cs="Arial"/>
          <w:sz w:val="24"/>
          <w:szCs w:val="24"/>
          <w:lang w:val="es-ES"/>
        </w:rPr>
        <w:t>(</w:t>
      </w:r>
      <w:r w:rsidRPr="00794643">
        <w:rPr>
          <w:rFonts w:ascii="Arial" w:hAnsi="Arial" w:cs="Arial"/>
          <w:sz w:val="24"/>
          <w:szCs w:val="24"/>
          <w:lang w:val="es-ES"/>
        </w:rPr>
        <w:t>2006</w:t>
      </w:r>
      <w:r w:rsidR="00C243FD">
        <w:rPr>
          <w:rFonts w:ascii="Arial" w:hAnsi="Arial" w:cs="Arial"/>
          <w:sz w:val="24"/>
          <w:szCs w:val="24"/>
          <w:lang w:val="es-ES"/>
        </w:rPr>
        <w:t>)</w:t>
      </w:r>
      <w:r w:rsidRPr="00794643">
        <w:rPr>
          <w:rFonts w:ascii="Arial" w:hAnsi="Arial" w:cs="Arial"/>
          <w:sz w:val="24"/>
          <w:szCs w:val="24"/>
          <w:lang w:val="es-ES"/>
        </w:rPr>
        <w:t xml:space="preserve">. </w:t>
      </w:r>
      <w:r w:rsidRPr="00794643">
        <w:rPr>
          <w:rFonts w:ascii="Arial" w:hAnsi="Arial" w:cs="Arial"/>
          <w:sz w:val="24"/>
          <w:szCs w:val="24"/>
        </w:rPr>
        <w:t>“The Effectiveness of European Active Labor Market Policy”. IZA Discussion Papers No. 2018. Bonn: Institute for the Study of Labor (IZA).</w:t>
      </w:r>
    </w:p>
    <w:p w:rsidR="00794643" w:rsidRPr="00794643" w:rsidRDefault="00794643" w:rsidP="00794643">
      <w:pPr>
        <w:jc w:val="both"/>
        <w:rPr>
          <w:rFonts w:ascii="Arial" w:hAnsi="Arial" w:cs="Arial"/>
          <w:color w:val="000000"/>
          <w:sz w:val="24"/>
          <w:szCs w:val="24"/>
        </w:rPr>
      </w:pPr>
      <w:r w:rsidRPr="00794643">
        <w:rPr>
          <w:rFonts w:ascii="Arial" w:hAnsi="Arial" w:cs="Arial"/>
          <w:sz w:val="24"/>
          <w:szCs w:val="24"/>
          <w:lang w:val="es-ES_tradnl"/>
        </w:rPr>
        <w:t>Liu, Y</w:t>
      </w:r>
      <w:r w:rsidR="00C243FD">
        <w:rPr>
          <w:rFonts w:ascii="Arial" w:hAnsi="Arial" w:cs="Arial"/>
          <w:sz w:val="24"/>
          <w:szCs w:val="24"/>
          <w:lang w:val="es-ES_tradnl"/>
        </w:rPr>
        <w:t>.</w:t>
      </w:r>
      <w:r w:rsidRPr="00794643">
        <w:rPr>
          <w:rFonts w:ascii="Arial" w:hAnsi="Arial" w:cs="Arial"/>
          <w:sz w:val="24"/>
          <w:szCs w:val="24"/>
          <w:lang w:val="es-ES_tradnl"/>
        </w:rPr>
        <w:t xml:space="preserve"> y Deininger, K</w:t>
      </w:r>
      <w:r w:rsidR="00C243FD">
        <w:rPr>
          <w:rFonts w:ascii="Arial" w:hAnsi="Arial" w:cs="Arial"/>
          <w:sz w:val="24"/>
          <w:szCs w:val="24"/>
          <w:lang w:val="es-ES_tradnl"/>
        </w:rPr>
        <w:t>.</w:t>
      </w:r>
      <w:r w:rsidRPr="00794643">
        <w:rPr>
          <w:rFonts w:ascii="Arial" w:hAnsi="Arial" w:cs="Arial"/>
          <w:sz w:val="24"/>
          <w:szCs w:val="24"/>
          <w:lang w:val="es-ES_tradnl"/>
        </w:rPr>
        <w:t xml:space="preserve"> </w:t>
      </w:r>
      <w:r w:rsidR="00C243FD">
        <w:rPr>
          <w:rFonts w:ascii="Arial" w:hAnsi="Arial" w:cs="Arial"/>
          <w:sz w:val="24"/>
          <w:szCs w:val="24"/>
          <w:lang w:val="es-ES_tradnl"/>
        </w:rPr>
        <w:t>(</w:t>
      </w:r>
      <w:r w:rsidRPr="00C243FD">
        <w:rPr>
          <w:rFonts w:ascii="Arial" w:hAnsi="Arial" w:cs="Arial"/>
          <w:sz w:val="24"/>
          <w:szCs w:val="24"/>
          <w:lang w:val="es-ES"/>
        </w:rPr>
        <w:t>2013</w:t>
      </w:r>
      <w:r w:rsidR="00C243FD">
        <w:rPr>
          <w:rFonts w:ascii="Arial" w:hAnsi="Arial" w:cs="Arial"/>
          <w:sz w:val="24"/>
          <w:szCs w:val="24"/>
          <w:lang w:val="es-ES"/>
        </w:rPr>
        <w:t>)</w:t>
      </w:r>
      <w:r w:rsidRPr="00C243FD">
        <w:rPr>
          <w:rFonts w:ascii="Arial" w:hAnsi="Arial" w:cs="Arial"/>
          <w:sz w:val="24"/>
          <w:szCs w:val="24"/>
          <w:lang w:val="es-ES"/>
        </w:rPr>
        <w:t xml:space="preserve">. </w:t>
      </w:r>
      <w:r w:rsidRPr="00794643">
        <w:rPr>
          <w:rFonts w:ascii="Arial" w:hAnsi="Arial" w:cs="Arial"/>
          <w:sz w:val="24"/>
          <w:szCs w:val="24"/>
        </w:rPr>
        <w:t>“Welfare &amp; Poverty Impacts. The Mahatma Gandhi National Rural Employment Guarantee Scheme”. Project Note 2. New Delhi: Indian Institute of Public Administration.</w:t>
      </w:r>
    </w:p>
    <w:p w:rsidR="00794643" w:rsidRPr="00794643" w:rsidRDefault="00C243FD" w:rsidP="00794643">
      <w:pPr>
        <w:jc w:val="both"/>
        <w:rPr>
          <w:rFonts w:ascii="Arial" w:hAnsi="Arial" w:cs="Arial"/>
          <w:color w:val="000000"/>
          <w:sz w:val="24"/>
          <w:szCs w:val="24"/>
          <w:lang w:val="es-ES_tradnl"/>
        </w:rPr>
      </w:pPr>
      <w:r>
        <w:rPr>
          <w:rFonts w:ascii="Arial" w:hAnsi="Arial" w:cs="Arial"/>
          <w:color w:val="000000"/>
          <w:sz w:val="24"/>
          <w:szCs w:val="24"/>
        </w:rPr>
        <w:t>Muriel</w:t>
      </w:r>
      <w:r w:rsidR="00794643" w:rsidRPr="00794643">
        <w:rPr>
          <w:rFonts w:ascii="Arial" w:hAnsi="Arial" w:cs="Arial"/>
          <w:color w:val="000000"/>
          <w:sz w:val="24"/>
          <w:szCs w:val="24"/>
        </w:rPr>
        <w:t>, B</w:t>
      </w:r>
      <w:r>
        <w:rPr>
          <w:rFonts w:ascii="Arial" w:hAnsi="Arial" w:cs="Arial"/>
          <w:color w:val="000000"/>
          <w:sz w:val="24"/>
          <w:szCs w:val="24"/>
        </w:rPr>
        <w:t>.</w:t>
      </w:r>
      <w:r w:rsidR="00794643" w:rsidRPr="00794643">
        <w:rPr>
          <w:rFonts w:ascii="Arial" w:hAnsi="Arial" w:cs="Arial"/>
          <w:color w:val="000000"/>
          <w:sz w:val="24"/>
          <w:szCs w:val="24"/>
        </w:rPr>
        <w:t xml:space="preserve"> </w:t>
      </w:r>
      <w:r>
        <w:rPr>
          <w:rFonts w:ascii="Arial" w:hAnsi="Arial" w:cs="Arial"/>
          <w:color w:val="000000"/>
          <w:sz w:val="24"/>
          <w:szCs w:val="24"/>
        </w:rPr>
        <w:t>(</w:t>
      </w:r>
      <w:r w:rsidR="00794643" w:rsidRPr="00794643">
        <w:rPr>
          <w:rFonts w:ascii="Arial" w:hAnsi="Arial" w:cs="Arial"/>
          <w:color w:val="000000"/>
          <w:sz w:val="24"/>
          <w:szCs w:val="24"/>
        </w:rPr>
        <w:t>2005</w:t>
      </w:r>
      <w:r>
        <w:rPr>
          <w:rFonts w:ascii="Arial" w:hAnsi="Arial" w:cs="Arial"/>
          <w:color w:val="000000"/>
          <w:sz w:val="24"/>
          <w:szCs w:val="24"/>
        </w:rPr>
        <w:t>)</w:t>
      </w:r>
      <w:r w:rsidR="00794643" w:rsidRPr="00794643">
        <w:rPr>
          <w:rFonts w:ascii="Arial" w:hAnsi="Arial" w:cs="Arial"/>
          <w:color w:val="000000"/>
          <w:sz w:val="24"/>
          <w:szCs w:val="24"/>
        </w:rPr>
        <w:t xml:space="preserve">. “Female Labor Market Conditions in Urban Bolivia.” </w:t>
      </w:r>
      <w:r w:rsidR="00794643" w:rsidRPr="00794643">
        <w:rPr>
          <w:rFonts w:ascii="Arial" w:hAnsi="Arial" w:cs="Arial"/>
          <w:color w:val="000000"/>
          <w:sz w:val="24"/>
          <w:szCs w:val="24"/>
          <w:lang w:val="es-ES_tradnl"/>
        </w:rPr>
        <w:t>Documento de trabajar, las Maestrías para el Desarrollo. La Paz: Universidad Católica Boliviana.</w:t>
      </w:r>
    </w:p>
    <w:p w:rsidR="00794643" w:rsidRPr="00794643" w:rsidRDefault="00794643" w:rsidP="00794643">
      <w:pPr>
        <w:jc w:val="both"/>
        <w:rPr>
          <w:rFonts w:ascii="Arial" w:eastAsia="Times New Roman" w:hAnsi="Arial" w:cs="Arial"/>
          <w:color w:val="000000"/>
          <w:sz w:val="24"/>
          <w:szCs w:val="24"/>
          <w:lang w:val="es-ES"/>
        </w:rPr>
      </w:pPr>
      <w:r w:rsidRPr="00794643">
        <w:rPr>
          <w:rFonts w:ascii="Arial" w:eastAsia="Times New Roman" w:hAnsi="Arial" w:cs="Arial"/>
          <w:color w:val="000000"/>
          <w:sz w:val="24"/>
          <w:szCs w:val="24"/>
        </w:rPr>
        <w:t xml:space="preserve">Ñopo, Hugo. 2012. “New century, Old Disparities: gender and ethnic earnings gaps in Latin America and the Caribbean”. </w:t>
      </w:r>
      <w:r w:rsidRPr="00794643">
        <w:rPr>
          <w:rFonts w:ascii="Arial" w:eastAsia="Times New Roman" w:hAnsi="Arial" w:cs="Arial"/>
          <w:color w:val="000000"/>
          <w:sz w:val="24"/>
          <w:szCs w:val="24"/>
          <w:lang w:val="es-ES"/>
        </w:rPr>
        <w:t xml:space="preserve">Washington, DC: </w:t>
      </w:r>
      <w:r w:rsidRPr="00794643">
        <w:rPr>
          <w:rFonts w:ascii="Arial" w:hAnsi="Arial" w:cs="Arial"/>
          <w:sz w:val="24"/>
          <w:szCs w:val="24"/>
          <w:lang w:val="es-ES"/>
        </w:rPr>
        <w:t>Banco Interamericano del Desarrollo</w:t>
      </w:r>
      <w:r w:rsidRPr="00794643">
        <w:rPr>
          <w:rFonts w:ascii="Arial" w:eastAsia="Times New Roman" w:hAnsi="Arial" w:cs="Arial"/>
          <w:color w:val="000000"/>
          <w:sz w:val="24"/>
          <w:szCs w:val="24"/>
          <w:lang w:val="es-ES"/>
        </w:rPr>
        <w:t>.</w:t>
      </w:r>
    </w:p>
    <w:p w:rsidR="00794643" w:rsidRPr="00794643" w:rsidRDefault="00794643" w:rsidP="00794643">
      <w:pPr>
        <w:jc w:val="both"/>
        <w:rPr>
          <w:rFonts w:ascii="Arial" w:hAnsi="Arial" w:cs="Arial"/>
          <w:sz w:val="24"/>
          <w:szCs w:val="24"/>
          <w:lang w:val="es-ES_tradnl"/>
        </w:rPr>
      </w:pPr>
      <w:r w:rsidRPr="00794643">
        <w:rPr>
          <w:rFonts w:ascii="Arial" w:hAnsi="Arial" w:cs="Arial"/>
          <w:color w:val="000000"/>
          <w:sz w:val="24"/>
          <w:szCs w:val="24"/>
          <w:lang w:val="es-ES"/>
        </w:rPr>
        <w:t xml:space="preserve">OCDE. </w:t>
      </w:r>
      <w:r w:rsidR="00C243FD">
        <w:rPr>
          <w:rFonts w:ascii="Arial" w:hAnsi="Arial" w:cs="Arial"/>
          <w:color w:val="000000"/>
          <w:sz w:val="24"/>
          <w:szCs w:val="24"/>
          <w:lang w:val="es-ES"/>
        </w:rPr>
        <w:t>(</w:t>
      </w:r>
      <w:r w:rsidRPr="00794643">
        <w:rPr>
          <w:rFonts w:ascii="Arial" w:hAnsi="Arial" w:cs="Arial"/>
          <w:color w:val="000000"/>
          <w:sz w:val="24"/>
          <w:szCs w:val="24"/>
          <w:lang w:val="es-ES"/>
        </w:rPr>
        <w:t>2015</w:t>
      </w:r>
      <w:r w:rsidR="00C243FD">
        <w:rPr>
          <w:rFonts w:ascii="Arial" w:hAnsi="Arial" w:cs="Arial"/>
          <w:color w:val="000000"/>
          <w:sz w:val="24"/>
          <w:szCs w:val="24"/>
          <w:lang w:val="es-ES"/>
        </w:rPr>
        <w:t>)</w:t>
      </w:r>
      <w:r w:rsidRPr="00794643">
        <w:rPr>
          <w:rFonts w:ascii="Arial" w:hAnsi="Arial" w:cs="Arial"/>
          <w:color w:val="000000"/>
          <w:sz w:val="24"/>
          <w:szCs w:val="24"/>
          <w:lang w:val="es-ES"/>
        </w:rPr>
        <w:t xml:space="preserve">. “The local implementation of Youth Guarantees: emerging lessons from European experiences”. </w:t>
      </w:r>
      <w:r w:rsidRPr="00794643">
        <w:rPr>
          <w:rFonts w:ascii="Arial" w:hAnsi="Arial" w:cs="Arial"/>
          <w:color w:val="000000"/>
          <w:sz w:val="24"/>
          <w:szCs w:val="24"/>
          <w:lang w:val="es-ES_tradnl"/>
        </w:rPr>
        <w:t>Paris:</w:t>
      </w:r>
      <w:r w:rsidRPr="00794643">
        <w:rPr>
          <w:rFonts w:ascii="Arial" w:hAnsi="Arial" w:cs="Arial"/>
          <w:color w:val="212121"/>
          <w:sz w:val="24"/>
          <w:szCs w:val="24"/>
          <w:lang w:val="es-ES_tradnl"/>
        </w:rPr>
        <w:t xml:space="preserve"> </w:t>
      </w:r>
      <w:r w:rsidRPr="00794643">
        <w:rPr>
          <w:rStyle w:val="Strong"/>
          <w:rFonts w:ascii="Arial" w:hAnsi="Arial" w:cs="Arial"/>
          <w:b w:val="0"/>
          <w:color w:val="212121"/>
          <w:sz w:val="24"/>
          <w:szCs w:val="24"/>
          <w:lang w:val="es-ES_tradnl"/>
        </w:rPr>
        <w:t>Organización para la Cooperación y el Desarrollo Económico.</w:t>
      </w:r>
    </w:p>
    <w:p w:rsidR="00794643" w:rsidRPr="00794643" w:rsidRDefault="00794643" w:rsidP="00794643">
      <w:pPr>
        <w:jc w:val="both"/>
        <w:rPr>
          <w:rFonts w:ascii="Arial" w:hAnsi="Arial" w:cs="Arial"/>
          <w:color w:val="000000"/>
          <w:sz w:val="24"/>
          <w:szCs w:val="24"/>
          <w:lang w:val="es-ES"/>
        </w:rPr>
      </w:pPr>
      <w:r w:rsidRPr="00794643">
        <w:rPr>
          <w:rFonts w:ascii="Arial" w:hAnsi="Arial" w:cs="Arial"/>
          <w:sz w:val="24"/>
          <w:szCs w:val="24"/>
        </w:rPr>
        <w:t xml:space="preserve">Paes de Barros, R. et al. </w:t>
      </w:r>
      <w:r w:rsidR="00C243FD">
        <w:rPr>
          <w:rFonts w:ascii="Arial" w:hAnsi="Arial" w:cs="Arial"/>
          <w:sz w:val="24"/>
          <w:szCs w:val="24"/>
        </w:rPr>
        <w:t>(</w:t>
      </w:r>
      <w:r w:rsidRPr="00794643">
        <w:rPr>
          <w:rFonts w:ascii="Arial" w:hAnsi="Arial" w:cs="Arial"/>
          <w:sz w:val="24"/>
          <w:szCs w:val="24"/>
        </w:rPr>
        <w:t>2011</w:t>
      </w:r>
      <w:r w:rsidR="00C243FD">
        <w:rPr>
          <w:rFonts w:ascii="Arial" w:hAnsi="Arial" w:cs="Arial"/>
          <w:sz w:val="24"/>
          <w:szCs w:val="24"/>
        </w:rPr>
        <w:t>)</w:t>
      </w:r>
      <w:r w:rsidRPr="00794643">
        <w:rPr>
          <w:rFonts w:ascii="Arial" w:hAnsi="Arial" w:cs="Arial"/>
          <w:sz w:val="24"/>
          <w:szCs w:val="24"/>
        </w:rPr>
        <w:t xml:space="preserve">. “The Impact of Access to Free Childcare on Women’s Labor Market Outcomes: Evidence from a Randomized Trial in Low-Income Neighborhoods of Rio de Janeiro”. </w:t>
      </w:r>
      <w:r w:rsidRPr="00794643">
        <w:rPr>
          <w:rFonts w:ascii="Arial" w:hAnsi="Arial" w:cs="Arial"/>
          <w:sz w:val="24"/>
          <w:szCs w:val="24"/>
          <w:lang w:val="es-ES"/>
        </w:rPr>
        <w:t>Documento de trabajo preparado para el Foro de Economistas.</w:t>
      </w:r>
      <w:r w:rsidRPr="00794643">
        <w:rPr>
          <w:rFonts w:ascii="Arial" w:hAnsi="Arial" w:cs="Arial"/>
          <w:color w:val="000000"/>
          <w:sz w:val="24"/>
          <w:szCs w:val="24"/>
          <w:lang w:val="es-ES"/>
        </w:rPr>
        <w:t xml:space="preserve"> </w:t>
      </w:r>
      <w:r w:rsidRPr="00794643">
        <w:rPr>
          <w:rFonts w:ascii="Arial" w:hAnsi="Arial" w:cs="Arial"/>
          <w:sz w:val="24"/>
          <w:szCs w:val="24"/>
          <w:lang w:val="es-ES"/>
        </w:rPr>
        <w:t xml:space="preserve">Washington, D.C.: Banco Mundial. </w:t>
      </w:r>
    </w:p>
    <w:p w:rsidR="00794643" w:rsidRPr="00794643" w:rsidRDefault="00794643" w:rsidP="00794643">
      <w:pPr>
        <w:jc w:val="both"/>
        <w:rPr>
          <w:rFonts w:ascii="Arial" w:hAnsi="Arial" w:cs="Arial"/>
          <w:sz w:val="24"/>
          <w:szCs w:val="24"/>
          <w:lang w:val="es-ES_tradnl"/>
        </w:rPr>
      </w:pPr>
      <w:r w:rsidRPr="00794643">
        <w:rPr>
          <w:rFonts w:ascii="Arial" w:hAnsi="Arial" w:cs="Arial"/>
          <w:sz w:val="24"/>
          <w:szCs w:val="24"/>
          <w:lang w:val="es-ES"/>
        </w:rPr>
        <w:t xml:space="preserve">PAE. </w:t>
      </w:r>
      <w:r w:rsidR="00C243FD">
        <w:rPr>
          <w:rFonts w:ascii="Arial" w:hAnsi="Arial" w:cs="Arial"/>
          <w:sz w:val="24"/>
          <w:szCs w:val="24"/>
          <w:lang w:val="es-ES"/>
        </w:rPr>
        <w:t>(</w:t>
      </w:r>
      <w:r w:rsidRPr="00794643">
        <w:rPr>
          <w:rFonts w:ascii="Arial" w:hAnsi="Arial" w:cs="Arial"/>
          <w:sz w:val="24"/>
          <w:szCs w:val="24"/>
          <w:lang w:val="es-ES"/>
        </w:rPr>
        <w:t>2016</w:t>
      </w:r>
      <w:r w:rsidR="00C243FD">
        <w:rPr>
          <w:rFonts w:ascii="Arial" w:hAnsi="Arial" w:cs="Arial"/>
          <w:sz w:val="24"/>
          <w:szCs w:val="24"/>
          <w:lang w:val="es-ES"/>
        </w:rPr>
        <w:t>)</w:t>
      </w:r>
      <w:r w:rsidRPr="00794643">
        <w:rPr>
          <w:rFonts w:ascii="Arial" w:hAnsi="Arial" w:cs="Arial"/>
          <w:sz w:val="24"/>
          <w:szCs w:val="24"/>
          <w:lang w:val="es-ES"/>
        </w:rPr>
        <w:t xml:space="preserve">. </w:t>
      </w:r>
      <w:r w:rsidRPr="00794643">
        <w:rPr>
          <w:rFonts w:ascii="Arial" w:hAnsi="Arial" w:cs="Arial"/>
          <w:sz w:val="24"/>
          <w:szCs w:val="24"/>
          <w:lang w:val="es-ES_tradnl"/>
        </w:rPr>
        <w:t>“Data de Encuesta: Año 1” La Paz: Programa de Apoyo al Empleo.</w:t>
      </w:r>
    </w:p>
    <w:p w:rsidR="00794643" w:rsidRPr="00794643" w:rsidRDefault="00794643" w:rsidP="00794643">
      <w:pPr>
        <w:jc w:val="both"/>
        <w:rPr>
          <w:rFonts w:ascii="Arial" w:hAnsi="Arial" w:cs="Arial"/>
          <w:sz w:val="24"/>
          <w:szCs w:val="24"/>
        </w:rPr>
      </w:pPr>
      <w:r w:rsidRPr="00794643">
        <w:rPr>
          <w:rFonts w:ascii="Arial" w:hAnsi="Arial" w:cs="Arial"/>
          <w:sz w:val="24"/>
          <w:szCs w:val="24"/>
        </w:rPr>
        <w:t xml:space="preserve">Prada, M. et al. </w:t>
      </w:r>
      <w:r w:rsidR="00C243FD">
        <w:rPr>
          <w:rFonts w:ascii="Arial" w:hAnsi="Arial" w:cs="Arial"/>
          <w:sz w:val="24"/>
          <w:szCs w:val="24"/>
        </w:rPr>
        <w:t>(</w:t>
      </w:r>
      <w:r w:rsidRPr="00794643">
        <w:rPr>
          <w:rFonts w:ascii="Arial" w:hAnsi="Arial" w:cs="Arial"/>
          <w:sz w:val="24"/>
          <w:szCs w:val="24"/>
        </w:rPr>
        <w:t>2013</w:t>
      </w:r>
      <w:r w:rsidR="00C243FD">
        <w:rPr>
          <w:rFonts w:ascii="Arial" w:hAnsi="Arial" w:cs="Arial"/>
          <w:sz w:val="24"/>
          <w:szCs w:val="24"/>
        </w:rPr>
        <w:t>)</w:t>
      </w:r>
      <w:r w:rsidRPr="00794643">
        <w:rPr>
          <w:rFonts w:ascii="Arial" w:hAnsi="Arial" w:cs="Arial"/>
          <w:sz w:val="24"/>
          <w:szCs w:val="24"/>
        </w:rPr>
        <w:t>. “The effect of mandated childcare on female wages”. Mimeo.</w:t>
      </w:r>
    </w:p>
    <w:p w:rsidR="00794643" w:rsidRPr="00794643" w:rsidRDefault="00794643" w:rsidP="00794643">
      <w:pPr>
        <w:jc w:val="both"/>
        <w:rPr>
          <w:rFonts w:ascii="Arial" w:hAnsi="Arial" w:cs="Arial"/>
          <w:sz w:val="24"/>
          <w:szCs w:val="24"/>
        </w:rPr>
      </w:pPr>
      <w:r w:rsidRPr="00794643">
        <w:rPr>
          <w:rFonts w:ascii="Arial" w:hAnsi="Arial" w:cs="Arial"/>
          <w:sz w:val="24"/>
          <w:szCs w:val="24"/>
        </w:rPr>
        <w:t xml:space="preserve">Ruhm, C.J. </w:t>
      </w:r>
      <w:r w:rsidR="00C243FD">
        <w:rPr>
          <w:rFonts w:ascii="Arial" w:hAnsi="Arial" w:cs="Arial"/>
          <w:sz w:val="24"/>
          <w:szCs w:val="24"/>
        </w:rPr>
        <w:t>(</w:t>
      </w:r>
      <w:r w:rsidRPr="00794643">
        <w:rPr>
          <w:rFonts w:ascii="Arial" w:hAnsi="Arial" w:cs="Arial"/>
          <w:sz w:val="24"/>
          <w:szCs w:val="24"/>
        </w:rPr>
        <w:t>1998</w:t>
      </w:r>
      <w:r w:rsidR="00C243FD">
        <w:rPr>
          <w:rFonts w:ascii="Arial" w:hAnsi="Arial" w:cs="Arial"/>
          <w:sz w:val="24"/>
          <w:szCs w:val="24"/>
        </w:rPr>
        <w:t>)</w:t>
      </w:r>
      <w:r w:rsidRPr="00794643">
        <w:rPr>
          <w:rFonts w:ascii="Arial" w:hAnsi="Arial" w:cs="Arial"/>
          <w:sz w:val="24"/>
          <w:szCs w:val="24"/>
        </w:rPr>
        <w:t>. “The Economic Consequences of Parental Leave Mandates: Lessons from Europe”. Quarterly Journal of Economics 113(1): 285-317.</w:t>
      </w:r>
    </w:p>
    <w:p w:rsidR="00794643" w:rsidRPr="00794643" w:rsidRDefault="00794643" w:rsidP="00794643">
      <w:pPr>
        <w:jc w:val="both"/>
        <w:rPr>
          <w:rFonts w:ascii="Arial" w:hAnsi="Arial" w:cs="Arial"/>
          <w:color w:val="000000"/>
          <w:sz w:val="24"/>
          <w:szCs w:val="24"/>
        </w:rPr>
      </w:pPr>
      <w:r w:rsidRPr="00794643">
        <w:rPr>
          <w:rFonts w:ascii="Arial" w:hAnsi="Arial" w:cs="Arial"/>
          <w:color w:val="000000"/>
          <w:sz w:val="24"/>
          <w:szCs w:val="24"/>
        </w:rPr>
        <w:t xml:space="preserve">STEP. </w:t>
      </w:r>
      <w:r w:rsidR="00C243FD">
        <w:rPr>
          <w:rFonts w:ascii="Arial" w:hAnsi="Arial" w:cs="Arial"/>
          <w:color w:val="000000"/>
          <w:sz w:val="24"/>
          <w:szCs w:val="24"/>
        </w:rPr>
        <w:t>(</w:t>
      </w:r>
      <w:r w:rsidRPr="00794643">
        <w:rPr>
          <w:rFonts w:ascii="Arial" w:hAnsi="Arial" w:cs="Arial"/>
          <w:color w:val="000000"/>
          <w:sz w:val="24"/>
          <w:szCs w:val="24"/>
        </w:rPr>
        <w:t>2014</w:t>
      </w:r>
      <w:r w:rsidR="00C243FD">
        <w:rPr>
          <w:rFonts w:ascii="Arial" w:hAnsi="Arial" w:cs="Arial"/>
          <w:color w:val="000000"/>
          <w:sz w:val="24"/>
          <w:szCs w:val="24"/>
        </w:rPr>
        <w:t>)</w:t>
      </w:r>
      <w:r w:rsidRPr="00794643">
        <w:rPr>
          <w:rFonts w:ascii="Arial" w:hAnsi="Arial" w:cs="Arial"/>
          <w:color w:val="000000"/>
          <w:sz w:val="24"/>
          <w:szCs w:val="24"/>
        </w:rPr>
        <w:t>. “Skills Measurement Snapshot 2014.” Washington, DC: Banco Mundial.</w:t>
      </w:r>
    </w:p>
    <w:p w:rsidR="00794643" w:rsidRPr="00794643" w:rsidRDefault="00794643" w:rsidP="00794643">
      <w:pPr>
        <w:jc w:val="both"/>
        <w:rPr>
          <w:rFonts w:ascii="Arial" w:hAnsi="Arial" w:cs="Arial"/>
          <w:color w:val="000000"/>
          <w:sz w:val="24"/>
          <w:szCs w:val="24"/>
        </w:rPr>
      </w:pPr>
      <w:r w:rsidRPr="00794643">
        <w:rPr>
          <w:rFonts w:ascii="Arial" w:hAnsi="Arial" w:cs="Arial"/>
          <w:color w:val="000000"/>
          <w:sz w:val="24"/>
          <w:szCs w:val="24"/>
        </w:rPr>
        <w:t>Todd, P</w:t>
      </w:r>
      <w:r w:rsidR="00C243FD">
        <w:rPr>
          <w:rFonts w:ascii="Arial" w:hAnsi="Arial" w:cs="Arial"/>
          <w:color w:val="000000"/>
          <w:sz w:val="24"/>
          <w:szCs w:val="24"/>
        </w:rPr>
        <w:t>. (</w:t>
      </w:r>
      <w:r w:rsidRPr="00794643">
        <w:rPr>
          <w:rFonts w:ascii="Arial" w:hAnsi="Arial" w:cs="Arial"/>
          <w:color w:val="000000"/>
          <w:sz w:val="24"/>
          <w:szCs w:val="24"/>
        </w:rPr>
        <w:t>2012</w:t>
      </w:r>
      <w:r w:rsidR="00C243FD">
        <w:rPr>
          <w:rFonts w:ascii="Arial" w:hAnsi="Arial" w:cs="Arial"/>
          <w:color w:val="000000"/>
          <w:sz w:val="24"/>
          <w:szCs w:val="24"/>
        </w:rPr>
        <w:t>)</w:t>
      </w:r>
      <w:r w:rsidRPr="00794643">
        <w:rPr>
          <w:rFonts w:ascii="Arial" w:hAnsi="Arial" w:cs="Arial"/>
          <w:color w:val="000000"/>
          <w:sz w:val="24"/>
          <w:szCs w:val="24"/>
        </w:rPr>
        <w:t>. “Effectiveness of Interventions Aimed at Improving Women’s Employability and Quality of Work: A Critical Review.”</w:t>
      </w:r>
    </w:p>
    <w:p w:rsidR="00794643" w:rsidRPr="00794643" w:rsidRDefault="00794643" w:rsidP="00794643">
      <w:pPr>
        <w:jc w:val="both"/>
        <w:rPr>
          <w:rFonts w:ascii="Arial" w:hAnsi="Arial" w:cs="Arial"/>
          <w:color w:val="000000"/>
          <w:sz w:val="24"/>
          <w:szCs w:val="24"/>
        </w:rPr>
      </w:pPr>
      <w:r w:rsidRPr="00C243FD">
        <w:rPr>
          <w:rFonts w:ascii="Arial" w:hAnsi="Arial" w:cs="Arial"/>
          <w:color w:val="000000"/>
          <w:sz w:val="24"/>
          <w:szCs w:val="24"/>
          <w:lang w:val="es-ES"/>
        </w:rPr>
        <w:t>Urquidi M</w:t>
      </w:r>
      <w:r w:rsidR="00C243FD" w:rsidRPr="00C243FD">
        <w:rPr>
          <w:rFonts w:ascii="Arial" w:hAnsi="Arial" w:cs="Arial"/>
          <w:color w:val="000000"/>
          <w:sz w:val="24"/>
          <w:szCs w:val="24"/>
          <w:lang w:val="es-ES"/>
        </w:rPr>
        <w:t>.</w:t>
      </w:r>
      <w:r w:rsidRPr="00C243FD">
        <w:rPr>
          <w:rFonts w:ascii="Arial" w:hAnsi="Arial" w:cs="Arial"/>
          <w:color w:val="000000"/>
          <w:sz w:val="24"/>
          <w:szCs w:val="24"/>
          <w:lang w:val="es-ES"/>
        </w:rPr>
        <w:t xml:space="preserve"> </w:t>
      </w:r>
      <w:r w:rsidR="00C243FD" w:rsidRPr="00C243FD">
        <w:rPr>
          <w:rFonts w:ascii="Arial" w:hAnsi="Arial" w:cs="Arial"/>
          <w:color w:val="000000"/>
          <w:sz w:val="24"/>
          <w:szCs w:val="24"/>
          <w:lang w:val="es-ES"/>
        </w:rPr>
        <w:t xml:space="preserve">y </w:t>
      </w:r>
      <w:r w:rsidRPr="00C243FD">
        <w:rPr>
          <w:rFonts w:ascii="Arial" w:hAnsi="Arial" w:cs="Arial"/>
          <w:color w:val="000000"/>
          <w:sz w:val="24"/>
          <w:szCs w:val="24"/>
          <w:lang w:val="es-ES"/>
        </w:rPr>
        <w:t>Valenci</w:t>
      </w:r>
      <w:r w:rsidR="00C243FD">
        <w:rPr>
          <w:rFonts w:ascii="Arial" w:hAnsi="Arial" w:cs="Arial"/>
          <w:color w:val="000000"/>
          <w:sz w:val="24"/>
          <w:szCs w:val="24"/>
          <w:lang w:val="es-ES"/>
        </w:rPr>
        <w:t>a</w:t>
      </w:r>
      <w:r w:rsidRPr="00C243FD">
        <w:rPr>
          <w:rFonts w:ascii="Arial" w:hAnsi="Arial" w:cs="Arial"/>
          <w:color w:val="000000"/>
          <w:sz w:val="24"/>
          <w:szCs w:val="24"/>
          <w:lang w:val="es-ES"/>
        </w:rPr>
        <w:t xml:space="preserve"> H</w:t>
      </w:r>
      <w:r w:rsidR="00C243FD">
        <w:rPr>
          <w:rFonts w:ascii="Arial" w:hAnsi="Arial" w:cs="Arial"/>
          <w:color w:val="000000"/>
          <w:sz w:val="24"/>
          <w:szCs w:val="24"/>
          <w:lang w:val="es-ES"/>
        </w:rPr>
        <w:t>. (forthcoming)</w:t>
      </w:r>
      <w:r w:rsidRPr="00C243FD">
        <w:rPr>
          <w:rFonts w:ascii="Arial" w:hAnsi="Arial" w:cs="Arial"/>
          <w:color w:val="000000"/>
          <w:sz w:val="24"/>
          <w:szCs w:val="24"/>
          <w:lang w:val="es-ES"/>
        </w:rPr>
        <w:t xml:space="preserve">. </w:t>
      </w:r>
      <w:r w:rsidRPr="00794643">
        <w:rPr>
          <w:rFonts w:ascii="Arial" w:hAnsi="Arial" w:cs="Arial"/>
          <w:color w:val="000000"/>
          <w:sz w:val="24"/>
          <w:szCs w:val="24"/>
        </w:rPr>
        <w:t>“The Evolution of the Gender Earning Gap in Bolivia from 1993 to 2013.”</w:t>
      </w:r>
    </w:p>
    <w:p w:rsidR="00794643" w:rsidRPr="00794643" w:rsidRDefault="00794643" w:rsidP="00794643">
      <w:pPr>
        <w:jc w:val="both"/>
        <w:rPr>
          <w:rFonts w:ascii="Arial" w:hAnsi="Arial" w:cs="Arial"/>
          <w:sz w:val="24"/>
          <w:szCs w:val="24"/>
        </w:rPr>
      </w:pPr>
      <w:r w:rsidRPr="00794643">
        <w:rPr>
          <w:rFonts w:ascii="Arial" w:hAnsi="Arial" w:cs="Arial"/>
          <w:sz w:val="24"/>
          <w:szCs w:val="24"/>
          <w:lang w:val="es-ES_tradnl"/>
        </w:rPr>
        <w:t xml:space="preserve">Urzúa, S. y Puentes, E. </w:t>
      </w:r>
      <w:r w:rsidR="00C243FD">
        <w:rPr>
          <w:rFonts w:ascii="Arial" w:hAnsi="Arial" w:cs="Arial"/>
          <w:sz w:val="24"/>
          <w:szCs w:val="24"/>
          <w:lang w:val="es-ES_tradnl"/>
        </w:rPr>
        <w:t>(</w:t>
      </w:r>
      <w:r w:rsidRPr="00794643">
        <w:rPr>
          <w:rFonts w:ascii="Arial" w:hAnsi="Arial" w:cs="Arial"/>
          <w:sz w:val="24"/>
          <w:szCs w:val="24"/>
          <w:lang w:val="es-ES_tradnl"/>
        </w:rPr>
        <w:t>2010</w:t>
      </w:r>
      <w:r w:rsidR="00C243FD">
        <w:rPr>
          <w:rFonts w:ascii="Arial" w:hAnsi="Arial" w:cs="Arial"/>
          <w:sz w:val="24"/>
          <w:szCs w:val="24"/>
          <w:lang w:val="es-ES_tradnl"/>
        </w:rPr>
        <w:t>)</w:t>
      </w:r>
      <w:r w:rsidRPr="00794643">
        <w:rPr>
          <w:rFonts w:ascii="Arial" w:hAnsi="Arial" w:cs="Arial"/>
          <w:sz w:val="24"/>
          <w:szCs w:val="24"/>
          <w:lang w:val="es-ES_tradnl"/>
        </w:rPr>
        <w:t xml:space="preserve">. “La evidencia del impacto de los programas de capacitación en el desempeño en el mercado laboral”. </w:t>
      </w:r>
      <w:r w:rsidRPr="00794643">
        <w:rPr>
          <w:rFonts w:ascii="Arial" w:hAnsi="Arial" w:cs="Arial"/>
          <w:sz w:val="24"/>
          <w:szCs w:val="24"/>
        </w:rPr>
        <w:t>Washington, D.C.: Banco Interamericano del Desarrollo.</w:t>
      </w:r>
    </w:p>
    <w:p w:rsidR="00794643" w:rsidRPr="00794643" w:rsidRDefault="00C243FD" w:rsidP="00794643">
      <w:pPr>
        <w:jc w:val="both"/>
        <w:rPr>
          <w:rFonts w:ascii="Arial" w:hAnsi="Arial" w:cs="Arial"/>
          <w:sz w:val="24"/>
          <w:szCs w:val="24"/>
          <w:lang w:val="es-ES_tradnl"/>
        </w:rPr>
      </w:pPr>
      <w:r>
        <w:rPr>
          <w:rFonts w:ascii="Arial" w:hAnsi="Arial" w:cs="Arial"/>
          <w:sz w:val="24"/>
          <w:szCs w:val="24"/>
        </w:rPr>
        <w:lastRenderedPageBreak/>
        <w:t>Valdivia, M</w:t>
      </w:r>
      <w:r w:rsidR="00794643" w:rsidRPr="00794643">
        <w:rPr>
          <w:rFonts w:ascii="Arial" w:hAnsi="Arial" w:cs="Arial"/>
          <w:sz w:val="24"/>
          <w:szCs w:val="24"/>
        </w:rPr>
        <w:t xml:space="preserve">. </w:t>
      </w:r>
      <w:r>
        <w:rPr>
          <w:rFonts w:ascii="Arial" w:hAnsi="Arial" w:cs="Arial"/>
          <w:sz w:val="24"/>
          <w:szCs w:val="24"/>
        </w:rPr>
        <w:t>(</w:t>
      </w:r>
      <w:r w:rsidR="00794643" w:rsidRPr="00794643">
        <w:rPr>
          <w:rFonts w:ascii="Arial" w:hAnsi="Arial" w:cs="Arial"/>
          <w:sz w:val="24"/>
          <w:szCs w:val="24"/>
        </w:rPr>
        <w:t>2012</w:t>
      </w:r>
      <w:r>
        <w:rPr>
          <w:rFonts w:ascii="Arial" w:hAnsi="Arial" w:cs="Arial"/>
          <w:sz w:val="24"/>
          <w:szCs w:val="24"/>
        </w:rPr>
        <w:t>)</w:t>
      </w:r>
      <w:r w:rsidR="00794643" w:rsidRPr="00794643">
        <w:rPr>
          <w:rFonts w:ascii="Arial" w:hAnsi="Arial" w:cs="Arial"/>
          <w:sz w:val="24"/>
          <w:szCs w:val="24"/>
        </w:rPr>
        <w:t xml:space="preserve">. “Training or technical assistance for female entrepreneurship? Evidence from a field experiment in Peru.” </w:t>
      </w:r>
      <w:r w:rsidR="00794643" w:rsidRPr="00794643">
        <w:rPr>
          <w:rFonts w:ascii="Arial" w:hAnsi="Arial" w:cs="Arial"/>
          <w:sz w:val="24"/>
          <w:szCs w:val="24"/>
          <w:lang w:val="es-ES_tradnl"/>
        </w:rPr>
        <w:t>Documento de trabajar. Lima: Grupo de Análisis para el Desarrollo.</w:t>
      </w:r>
    </w:p>
    <w:p w:rsidR="00794643" w:rsidRDefault="00794643">
      <w:pPr>
        <w:rPr>
          <w:rFonts w:ascii="Arial" w:hAnsi="Arial" w:cs="Arial"/>
          <w:b/>
          <w:sz w:val="24"/>
          <w:lang w:val="es-ES_tradnl"/>
        </w:rPr>
      </w:pPr>
      <w:r>
        <w:rPr>
          <w:rFonts w:ascii="Arial" w:hAnsi="Arial" w:cs="Arial"/>
          <w:b/>
          <w:sz w:val="24"/>
          <w:lang w:val="es-ES_tradnl"/>
        </w:rPr>
        <w:br w:type="page"/>
      </w:r>
    </w:p>
    <w:p w:rsidR="006134B4" w:rsidRPr="00076165" w:rsidRDefault="006134B4" w:rsidP="006134B4">
      <w:pPr>
        <w:rPr>
          <w:rFonts w:ascii="Arial" w:hAnsi="Arial" w:cs="Arial"/>
          <w:b/>
          <w:sz w:val="24"/>
          <w:lang w:val="es-ES_tradnl"/>
        </w:rPr>
      </w:pPr>
      <w:r w:rsidRPr="00076165">
        <w:rPr>
          <w:rFonts w:ascii="Arial" w:hAnsi="Arial" w:cs="Arial"/>
          <w:b/>
          <w:sz w:val="24"/>
          <w:lang w:val="es-ES_tradnl"/>
        </w:rPr>
        <w:lastRenderedPageBreak/>
        <w:t>Anexo</w:t>
      </w:r>
    </w:p>
    <w:p w:rsidR="006134B4" w:rsidRPr="00076165" w:rsidRDefault="006134B4" w:rsidP="006134B4">
      <w:pPr>
        <w:rPr>
          <w:rFonts w:ascii="Arial" w:hAnsi="Arial" w:cs="Arial"/>
          <w:b/>
          <w:sz w:val="24"/>
          <w:lang w:val="es-ES"/>
        </w:rPr>
      </w:pPr>
      <w:r w:rsidRPr="00076165">
        <w:rPr>
          <w:rFonts w:ascii="Arial" w:hAnsi="Arial" w:cs="Arial"/>
          <w:b/>
          <w:sz w:val="24"/>
          <w:lang w:val="es-ES"/>
        </w:rPr>
        <w:t>Participación Laboral Femenina</w:t>
      </w:r>
    </w:p>
    <w:p w:rsidR="006134B4" w:rsidRPr="00076165" w:rsidRDefault="006134B4" w:rsidP="006134B4">
      <w:pPr>
        <w:jc w:val="both"/>
        <w:rPr>
          <w:rFonts w:ascii="Arial" w:hAnsi="Arial" w:cs="Arial"/>
          <w:lang w:val="es-ES"/>
        </w:rPr>
      </w:pPr>
      <w:r w:rsidRPr="00076165">
        <w:rPr>
          <w:rFonts w:ascii="Arial" w:hAnsi="Arial" w:cs="Arial"/>
          <w:lang w:val="es-ES"/>
        </w:rPr>
        <w:t xml:space="preserve">Como se pudo observar anteriormente, uno de los mayores determinantes de la menor participación laboral por parte de las mujeres se explica porque realizan en actividades relacionadas a las tareas del hogar. A continuación se presenta los resultados del análisis mediante un modelo logit, para determinar la participación (correlación) entre el hecho de ser mujer con la probabilidad de participar en el mercado laboral. </w:t>
      </w:r>
      <w:r w:rsidR="00794643">
        <w:rPr>
          <w:rFonts w:ascii="Arial" w:hAnsi="Arial" w:cs="Arial"/>
          <w:lang w:val="es-ES"/>
        </w:rPr>
        <w:t>Para esto se utiliza la encuesta de Hogares 2013.</w:t>
      </w:r>
    </w:p>
    <w:p w:rsidR="006134B4" w:rsidRPr="00076165" w:rsidRDefault="006134B4" w:rsidP="006134B4">
      <w:pPr>
        <w:jc w:val="both"/>
        <w:rPr>
          <w:rFonts w:ascii="Arial" w:hAnsi="Arial" w:cs="Arial"/>
          <w:lang w:val="es-ES"/>
        </w:rPr>
      </w:pPr>
      <w:r w:rsidRPr="00076165">
        <w:rPr>
          <w:rFonts w:ascii="Arial" w:hAnsi="Arial" w:cs="Arial"/>
          <w:lang w:val="es-ES"/>
        </w:rPr>
        <w:t>Como se esperaban el hecho de estar casado tiene un efecto con la participación laboral de forma distinta. Mientras que para un hombre incrementa la probabilidad de participación laboral en 11% (ec 1), para las mujeres reduce su participación en 6%(2), ambos significativos a los niveles estadísticos usuales. Otra variable importante para destacar es el hecho a medida que incrementa los miembros en el hogar, la probabilidad de participación de una mujer se reduce en 0.9% por cada miembro adicional, esto puede estar relacionado al hecho de que las mujeres se deben hacer cargo del cuidado y atención tanto de niños y  adultos mayores, mientras el hombre trabaja.</w:t>
      </w:r>
    </w:p>
    <w:p w:rsidR="006134B4" w:rsidRPr="00076165" w:rsidRDefault="006134B4" w:rsidP="006134B4">
      <w:pPr>
        <w:jc w:val="both"/>
        <w:rPr>
          <w:rFonts w:ascii="Arial" w:hAnsi="Arial" w:cs="Arial"/>
          <w:lang w:val="es-ES"/>
        </w:rPr>
      </w:pPr>
      <w:r w:rsidRPr="00076165">
        <w:rPr>
          <w:rFonts w:ascii="Arial" w:hAnsi="Arial" w:cs="Arial"/>
          <w:lang w:val="es-ES"/>
        </w:rPr>
        <w:t xml:space="preserve">Con relación a esto último, se observa que la presencia de niños menores a 1 año en el hogar reduce en 6% la probabilidad de una mujer a participar en el mercado laboral, mientras que la presencia de niños de 6 años, aumentan dicha probabilidad. </w:t>
      </w:r>
    </w:p>
    <w:tbl>
      <w:tblPr>
        <w:tblW w:w="7565" w:type="dxa"/>
        <w:tblInd w:w="1150" w:type="dxa"/>
        <w:tblCellMar>
          <w:left w:w="70" w:type="dxa"/>
          <w:right w:w="70" w:type="dxa"/>
        </w:tblCellMar>
        <w:tblLook w:val="04A0" w:firstRow="1" w:lastRow="0" w:firstColumn="1" w:lastColumn="0" w:noHBand="0" w:noVBand="1"/>
      </w:tblPr>
      <w:tblGrid>
        <w:gridCol w:w="2225"/>
        <w:gridCol w:w="1300"/>
        <w:gridCol w:w="1460"/>
        <w:gridCol w:w="1180"/>
        <w:gridCol w:w="1400"/>
      </w:tblGrid>
      <w:tr w:rsidR="006134B4" w:rsidRPr="00076165" w:rsidTr="00DA3C95">
        <w:trPr>
          <w:trHeight w:val="300"/>
        </w:trPr>
        <w:tc>
          <w:tcPr>
            <w:tcW w:w="2225" w:type="dxa"/>
            <w:tcBorders>
              <w:top w:val="nil"/>
              <w:left w:val="nil"/>
              <w:bottom w:val="nil"/>
              <w:right w:val="nil"/>
            </w:tcBorders>
            <w:shd w:val="clear" w:color="000000" w:fill="FFFFFF"/>
            <w:noWrap/>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 </w:t>
            </w:r>
          </w:p>
        </w:tc>
        <w:tc>
          <w:tcPr>
            <w:tcW w:w="5340" w:type="dxa"/>
            <w:gridSpan w:val="4"/>
            <w:tcBorders>
              <w:top w:val="nil"/>
              <w:left w:val="nil"/>
              <w:bottom w:val="single" w:sz="4" w:space="0" w:color="000000"/>
              <w:right w:val="nil"/>
            </w:tcBorders>
            <w:shd w:val="clear" w:color="000000" w:fill="FFFFFF"/>
            <w:noWrap/>
            <w:vAlign w:val="center"/>
            <w:hideMark/>
          </w:tcPr>
          <w:p w:rsidR="006134B4" w:rsidRPr="00076165" w:rsidRDefault="006134B4" w:rsidP="00DA3C95">
            <w:pPr>
              <w:spacing w:after="0" w:line="240" w:lineRule="auto"/>
              <w:jc w:val="center"/>
              <w:rPr>
                <w:rFonts w:ascii="Arial" w:eastAsia="Times New Roman" w:hAnsi="Arial" w:cs="Arial"/>
                <w:b/>
                <w:color w:val="000000"/>
                <w:sz w:val="28"/>
                <w:szCs w:val="28"/>
                <w:lang w:eastAsia="es-ES"/>
              </w:rPr>
            </w:pPr>
            <w:r w:rsidRPr="00076165">
              <w:rPr>
                <w:rFonts w:ascii="Arial" w:eastAsia="Times New Roman" w:hAnsi="Arial" w:cs="Arial"/>
                <w:b/>
                <w:color w:val="000000"/>
                <w:sz w:val="28"/>
                <w:szCs w:val="28"/>
                <w:lang w:eastAsia="es-ES"/>
              </w:rPr>
              <w:t xml:space="preserve">Participación Laboral </w:t>
            </w:r>
          </w:p>
        </w:tc>
      </w:tr>
      <w:tr w:rsidR="006134B4" w:rsidRPr="00076165" w:rsidTr="00DA3C95">
        <w:trPr>
          <w:trHeight w:val="300"/>
        </w:trPr>
        <w:tc>
          <w:tcPr>
            <w:tcW w:w="2225"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 </w:t>
            </w:r>
          </w:p>
        </w:tc>
        <w:tc>
          <w:tcPr>
            <w:tcW w:w="2760" w:type="dxa"/>
            <w:gridSpan w:val="2"/>
            <w:tcBorders>
              <w:top w:val="single" w:sz="4" w:space="0" w:color="000000"/>
              <w:left w:val="nil"/>
              <w:bottom w:val="single" w:sz="4" w:space="0" w:color="auto"/>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Total</w:t>
            </w:r>
          </w:p>
        </w:tc>
        <w:tc>
          <w:tcPr>
            <w:tcW w:w="2580" w:type="dxa"/>
            <w:gridSpan w:val="2"/>
            <w:tcBorders>
              <w:top w:val="single" w:sz="4" w:space="0" w:color="000000"/>
              <w:left w:val="nil"/>
              <w:bottom w:val="single" w:sz="4" w:space="0" w:color="auto"/>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Casados/ Convivientes</w:t>
            </w:r>
          </w:p>
        </w:tc>
      </w:tr>
      <w:tr w:rsidR="006134B4" w:rsidRPr="00076165" w:rsidTr="00DA3C95">
        <w:trPr>
          <w:trHeight w:val="300"/>
        </w:trPr>
        <w:tc>
          <w:tcPr>
            <w:tcW w:w="2225" w:type="dxa"/>
            <w:tcBorders>
              <w:top w:val="nil"/>
              <w:left w:val="nil"/>
              <w:bottom w:val="nil"/>
              <w:right w:val="nil"/>
            </w:tcBorders>
            <w:shd w:val="clear" w:color="000000" w:fill="FFFFFF"/>
            <w:vAlign w:val="center"/>
          </w:tcPr>
          <w:p w:rsidR="006134B4" w:rsidRPr="00076165" w:rsidRDefault="006134B4" w:rsidP="00DA3C95">
            <w:pPr>
              <w:spacing w:after="0" w:line="240" w:lineRule="auto"/>
              <w:rPr>
                <w:rFonts w:ascii="Arial" w:eastAsia="Times New Roman" w:hAnsi="Arial" w:cs="Arial"/>
                <w:color w:val="000000"/>
                <w:sz w:val="20"/>
                <w:lang w:val="es-ES" w:eastAsia="es-ES"/>
              </w:rPr>
            </w:pPr>
          </w:p>
        </w:tc>
        <w:tc>
          <w:tcPr>
            <w:tcW w:w="1300" w:type="dxa"/>
            <w:tcBorders>
              <w:top w:val="single" w:sz="4" w:space="0" w:color="auto"/>
              <w:left w:val="nil"/>
              <w:bottom w:val="single" w:sz="4" w:space="0" w:color="auto"/>
              <w:right w:val="nil"/>
            </w:tcBorders>
            <w:shd w:val="clear" w:color="000000" w:fill="FFFFFF"/>
            <w:vAlign w:val="center"/>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(1)</w:t>
            </w:r>
          </w:p>
        </w:tc>
        <w:tc>
          <w:tcPr>
            <w:tcW w:w="1460" w:type="dxa"/>
            <w:tcBorders>
              <w:top w:val="single" w:sz="4" w:space="0" w:color="auto"/>
              <w:left w:val="nil"/>
              <w:bottom w:val="single" w:sz="4" w:space="0" w:color="auto"/>
              <w:right w:val="dotDotDash" w:sz="4" w:space="0" w:color="000000"/>
            </w:tcBorders>
            <w:shd w:val="clear" w:color="000000" w:fill="FFFFFF"/>
            <w:vAlign w:val="center"/>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(2)</w:t>
            </w:r>
          </w:p>
        </w:tc>
        <w:tc>
          <w:tcPr>
            <w:tcW w:w="1180" w:type="dxa"/>
            <w:tcBorders>
              <w:top w:val="single" w:sz="4" w:space="0" w:color="auto"/>
              <w:left w:val="nil"/>
              <w:bottom w:val="single" w:sz="4" w:space="0" w:color="auto"/>
              <w:right w:val="nil"/>
            </w:tcBorders>
            <w:shd w:val="clear" w:color="000000" w:fill="FFFFFF"/>
            <w:vAlign w:val="center"/>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(3)</w:t>
            </w:r>
          </w:p>
        </w:tc>
        <w:tc>
          <w:tcPr>
            <w:tcW w:w="1400" w:type="dxa"/>
            <w:tcBorders>
              <w:top w:val="single" w:sz="4" w:space="0" w:color="auto"/>
              <w:left w:val="nil"/>
              <w:bottom w:val="single" w:sz="4" w:space="0" w:color="auto"/>
              <w:right w:val="nil"/>
            </w:tcBorders>
            <w:shd w:val="clear" w:color="000000" w:fill="FFFFFF"/>
            <w:vAlign w:val="center"/>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(4)</w:t>
            </w:r>
          </w:p>
        </w:tc>
      </w:tr>
      <w:tr w:rsidR="006134B4" w:rsidRPr="00076165" w:rsidTr="00DA3C95">
        <w:trPr>
          <w:trHeight w:val="300"/>
        </w:trPr>
        <w:tc>
          <w:tcPr>
            <w:tcW w:w="2225"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 </w:t>
            </w:r>
          </w:p>
        </w:tc>
        <w:tc>
          <w:tcPr>
            <w:tcW w:w="1300" w:type="dxa"/>
            <w:tcBorders>
              <w:top w:val="nil"/>
              <w:left w:val="nil"/>
              <w:bottom w:val="single" w:sz="4" w:space="0" w:color="auto"/>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Hombre</w:t>
            </w:r>
          </w:p>
        </w:tc>
        <w:tc>
          <w:tcPr>
            <w:tcW w:w="1460" w:type="dxa"/>
            <w:tcBorders>
              <w:top w:val="nil"/>
              <w:left w:val="nil"/>
              <w:bottom w:val="single" w:sz="4" w:space="0" w:color="auto"/>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Mujer</w:t>
            </w:r>
          </w:p>
        </w:tc>
        <w:tc>
          <w:tcPr>
            <w:tcW w:w="1180" w:type="dxa"/>
            <w:tcBorders>
              <w:top w:val="nil"/>
              <w:left w:val="nil"/>
              <w:bottom w:val="single" w:sz="4" w:space="0" w:color="auto"/>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Hombre</w:t>
            </w:r>
          </w:p>
        </w:tc>
        <w:tc>
          <w:tcPr>
            <w:tcW w:w="1400" w:type="dxa"/>
            <w:tcBorders>
              <w:top w:val="nil"/>
              <w:left w:val="nil"/>
              <w:bottom w:val="single" w:sz="4" w:space="0" w:color="auto"/>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Mujer</w:t>
            </w:r>
          </w:p>
        </w:tc>
      </w:tr>
      <w:tr w:rsidR="006134B4" w:rsidRPr="00076165" w:rsidTr="00DA3C95">
        <w:trPr>
          <w:trHeight w:val="300"/>
        </w:trPr>
        <w:tc>
          <w:tcPr>
            <w:tcW w:w="2225" w:type="dxa"/>
            <w:vMerge w:val="restart"/>
            <w:tcBorders>
              <w:top w:val="nil"/>
              <w:left w:val="nil"/>
              <w:bottom w:val="nil"/>
              <w:right w:val="nil"/>
            </w:tcBorders>
            <w:shd w:val="clear" w:color="000000" w:fill="FFFFFF"/>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Cónyuge (1=Si, 0=No)</w:t>
            </w:r>
          </w:p>
        </w:tc>
        <w:tc>
          <w:tcPr>
            <w:tcW w:w="13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-0.044</w:t>
            </w:r>
          </w:p>
        </w:tc>
        <w:tc>
          <w:tcPr>
            <w:tcW w:w="1460" w:type="dxa"/>
            <w:tcBorders>
              <w:top w:val="nil"/>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-0.021</w:t>
            </w:r>
          </w:p>
        </w:tc>
        <w:tc>
          <w:tcPr>
            <w:tcW w:w="118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-0.01</w:t>
            </w:r>
          </w:p>
        </w:tc>
        <w:tc>
          <w:tcPr>
            <w:tcW w:w="14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-0.064**</w:t>
            </w:r>
          </w:p>
        </w:tc>
      </w:tr>
      <w:tr w:rsidR="006134B4" w:rsidRPr="00076165" w:rsidTr="00DA3C95">
        <w:trPr>
          <w:trHeight w:val="300"/>
        </w:trPr>
        <w:tc>
          <w:tcPr>
            <w:tcW w:w="2225" w:type="dxa"/>
            <w:vMerge/>
            <w:tcBorders>
              <w:top w:val="nil"/>
              <w:left w:val="nil"/>
              <w:bottom w:val="nil"/>
              <w:right w:val="nil"/>
            </w:tcBorders>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p>
        </w:tc>
        <w:tc>
          <w:tcPr>
            <w:tcW w:w="13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(-1.15)</w:t>
            </w:r>
          </w:p>
        </w:tc>
        <w:tc>
          <w:tcPr>
            <w:tcW w:w="1460" w:type="dxa"/>
            <w:tcBorders>
              <w:top w:val="nil"/>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(-0.97)</w:t>
            </w:r>
          </w:p>
        </w:tc>
        <w:tc>
          <w:tcPr>
            <w:tcW w:w="118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(-0.78)</w:t>
            </w:r>
          </w:p>
        </w:tc>
        <w:tc>
          <w:tcPr>
            <w:tcW w:w="14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(-2.53)</w:t>
            </w:r>
          </w:p>
        </w:tc>
      </w:tr>
      <w:tr w:rsidR="006134B4" w:rsidRPr="00076165" w:rsidTr="00DA3C95">
        <w:trPr>
          <w:trHeight w:val="300"/>
        </w:trPr>
        <w:tc>
          <w:tcPr>
            <w:tcW w:w="2225" w:type="dxa"/>
            <w:vMerge w:val="restart"/>
            <w:tcBorders>
              <w:top w:val="nil"/>
              <w:left w:val="nil"/>
              <w:bottom w:val="nil"/>
              <w:right w:val="nil"/>
            </w:tcBorders>
            <w:shd w:val="clear" w:color="000000" w:fill="FFFFFF"/>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Edad</w:t>
            </w:r>
          </w:p>
        </w:tc>
        <w:tc>
          <w:tcPr>
            <w:tcW w:w="13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0.057***</w:t>
            </w:r>
          </w:p>
        </w:tc>
        <w:tc>
          <w:tcPr>
            <w:tcW w:w="1460" w:type="dxa"/>
            <w:tcBorders>
              <w:top w:val="nil"/>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0.062***</w:t>
            </w:r>
          </w:p>
        </w:tc>
        <w:tc>
          <w:tcPr>
            <w:tcW w:w="118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w:t>
            </w:r>
          </w:p>
        </w:tc>
        <w:tc>
          <w:tcPr>
            <w:tcW w:w="14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0.042***</w:t>
            </w:r>
          </w:p>
        </w:tc>
      </w:tr>
      <w:tr w:rsidR="006134B4" w:rsidRPr="00076165" w:rsidTr="00DA3C95">
        <w:trPr>
          <w:trHeight w:val="300"/>
        </w:trPr>
        <w:tc>
          <w:tcPr>
            <w:tcW w:w="2225" w:type="dxa"/>
            <w:vMerge/>
            <w:tcBorders>
              <w:top w:val="nil"/>
              <w:left w:val="nil"/>
              <w:bottom w:val="nil"/>
              <w:right w:val="nil"/>
            </w:tcBorders>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p>
        </w:tc>
        <w:tc>
          <w:tcPr>
            <w:tcW w:w="13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(36.65)</w:t>
            </w:r>
          </w:p>
        </w:tc>
        <w:tc>
          <w:tcPr>
            <w:tcW w:w="1460" w:type="dxa"/>
            <w:tcBorders>
              <w:top w:val="nil"/>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(36.92)</w:t>
            </w:r>
          </w:p>
        </w:tc>
        <w:tc>
          <w:tcPr>
            <w:tcW w:w="118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(-0.09)</w:t>
            </w:r>
          </w:p>
        </w:tc>
        <w:tc>
          <w:tcPr>
            <w:tcW w:w="14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(13.5)</w:t>
            </w:r>
          </w:p>
        </w:tc>
      </w:tr>
      <w:tr w:rsidR="006134B4" w:rsidRPr="00076165" w:rsidTr="00DA3C95">
        <w:trPr>
          <w:trHeight w:val="600"/>
        </w:trPr>
        <w:tc>
          <w:tcPr>
            <w:tcW w:w="2225" w:type="dxa"/>
            <w:vMerge w:val="restart"/>
            <w:tcBorders>
              <w:top w:val="nil"/>
              <w:left w:val="nil"/>
              <w:bottom w:val="nil"/>
              <w:right w:val="nil"/>
            </w:tcBorders>
            <w:shd w:val="clear" w:color="000000" w:fill="FFFFFF"/>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Edad al Cuadrado</w:t>
            </w:r>
          </w:p>
        </w:tc>
        <w:tc>
          <w:tcPr>
            <w:tcW w:w="13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-0.001***</w:t>
            </w:r>
          </w:p>
        </w:tc>
        <w:tc>
          <w:tcPr>
            <w:tcW w:w="1460" w:type="dxa"/>
            <w:tcBorders>
              <w:top w:val="nil"/>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-0.001***</w:t>
            </w:r>
          </w:p>
        </w:tc>
        <w:tc>
          <w:tcPr>
            <w:tcW w:w="118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-0.000***</w:t>
            </w:r>
          </w:p>
        </w:tc>
        <w:tc>
          <w:tcPr>
            <w:tcW w:w="14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-0.000***</w:t>
            </w:r>
          </w:p>
        </w:tc>
      </w:tr>
      <w:tr w:rsidR="006134B4" w:rsidRPr="00076165" w:rsidTr="00DA3C95">
        <w:trPr>
          <w:trHeight w:val="300"/>
        </w:trPr>
        <w:tc>
          <w:tcPr>
            <w:tcW w:w="2225" w:type="dxa"/>
            <w:vMerge/>
            <w:tcBorders>
              <w:top w:val="nil"/>
              <w:left w:val="nil"/>
              <w:bottom w:val="nil"/>
              <w:right w:val="nil"/>
            </w:tcBorders>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p>
        </w:tc>
        <w:tc>
          <w:tcPr>
            <w:tcW w:w="13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(-37.64)</w:t>
            </w:r>
          </w:p>
        </w:tc>
        <w:tc>
          <w:tcPr>
            <w:tcW w:w="1460" w:type="dxa"/>
            <w:tcBorders>
              <w:top w:val="nil"/>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(-35.71)</w:t>
            </w:r>
          </w:p>
        </w:tc>
        <w:tc>
          <w:tcPr>
            <w:tcW w:w="118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(-3.27)</w:t>
            </w:r>
          </w:p>
        </w:tc>
        <w:tc>
          <w:tcPr>
            <w:tcW w:w="14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(-13.61)</w:t>
            </w:r>
          </w:p>
        </w:tc>
      </w:tr>
      <w:tr w:rsidR="006134B4" w:rsidRPr="00076165" w:rsidTr="00DA3C95">
        <w:trPr>
          <w:trHeight w:val="600"/>
        </w:trPr>
        <w:tc>
          <w:tcPr>
            <w:tcW w:w="2225" w:type="dxa"/>
            <w:vMerge w:val="restart"/>
            <w:tcBorders>
              <w:top w:val="nil"/>
              <w:left w:val="nil"/>
              <w:bottom w:val="nil"/>
              <w:right w:val="nil"/>
            </w:tcBorders>
            <w:shd w:val="clear" w:color="000000" w:fill="FFFFFF"/>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Casado/Conviviente (1=Si, 0=No)</w:t>
            </w:r>
          </w:p>
        </w:tc>
        <w:tc>
          <w:tcPr>
            <w:tcW w:w="13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0.111***</w:t>
            </w:r>
          </w:p>
        </w:tc>
        <w:tc>
          <w:tcPr>
            <w:tcW w:w="1460" w:type="dxa"/>
            <w:tcBorders>
              <w:top w:val="nil"/>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-0.069***</w:t>
            </w:r>
          </w:p>
        </w:tc>
        <w:tc>
          <w:tcPr>
            <w:tcW w:w="118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 </w:t>
            </w:r>
          </w:p>
        </w:tc>
        <w:tc>
          <w:tcPr>
            <w:tcW w:w="14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 </w:t>
            </w:r>
          </w:p>
        </w:tc>
      </w:tr>
      <w:tr w:rsidR="006134B4" w:rsidRPr="00076165" w:rsidTr="00DA3C95">
        <w:trPr>
          <w:trHeight w:val="300"/>
        </w:trPr>
        <w:tc>
          <w:tcPr>
            <w:tcW w:w="2225" w:type="dxa"/>
            <w:vMerge/>
            <w:tcBorders>
              <w:top w:val="nil"/>
              <w:left w:val="nil"/>
              <w:bottom w:val="nil"/>
              <w:right w:val="nil"/>
            </w:tcBorders>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p>
        </w:tc>
        <w:tc>
          <w:tcPr>
            <w:tcW w:w="13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(8.03)</w:t>
            </w:r>
          </w:p>
        </w:tc>
        <w:tc>
          <w:tcPr>
            <w:tcW w:w="1460" w:type="dxa"/>
            <w:tcBorders>
              <w:top w:val="nil"/>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(-3.52)</w:t>
            </w:r>
          </w:p>
        </w:tc>
        <w:tc>
          <w:tcPr>
            <w:tcW w:w="118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 </w:t>
            </w:r>
          </w:p>
        </w:tc>
        <w:tc>
          <w:tcPr>
            <w:tcW w:w="14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 </w:t>
            </w:r>
          </w:p>
        </w:tc>
      </w:tr>
      <w:tr w:rsidR="006134B4" w:rsidRPr="00076165" w:rsidTr="00DA3C95">
        <w:trPr>
          <w:trHeight w:val="300"/>
        </w:trPr>
        <w:tc>
          <w:tcPr>
            <w:tcW w:w="2225" w:type="dxa"/>
            <w:vMerge w:val="restart"/>
            <w:tcBorders>
              <w:top w:val="nil"/>
              <w:left w:val="nil"/>
              <w:bottom w:val="nil"/>
              <w:right w:val="nil"/>
            </w:tcBorders>
            <w:shd w:val="clear" w:color="000000" w:fill="FFFFFF"/>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Jefe del Hogar</w:t>
            </w:r>
          </w:p>
        </w:tc>
        <w:tc>
          <w:tcPr>
            <w:tcW w:w="13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0.148***</w:t>
            </w:r>
          </w:p>
        </w:tc>
        <w:tc>
          <w:tcPr>
            <w:tcW w:w="1460" w:type="dxa"/>
            <w:tcBorders>
              <w:top w:val="nil"/>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0.133***</w:t>
            </w:r>
          </w:p>
        </w:tc>
        <w:tc>
          <w:tcPr>
            <w:tcW w:w="118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0.036**</w:t>
            </w:r>
          </w:p>
        </w:tc>
        <w:tc>
          <w:tcPr>
            <w:tcW w:w="14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0.029</w:t>
            </w:r>
          </w:p>
        </w:tc>
      </w:tr>
      <w:tr w:rsidR="006134B4" w:rsidRPr="00076165" w:rsidTr="00DA3C95">
        <w:trPr>
          <w:trHeight w:val="300"/>
        </w:trPr>
        <w:tc>
          <w:tcPr>
            <w:tcW w:w="2225" w:type="dxa"/>
            <w:vMerge/>
            <w:tcBorders>
              <w:top w:val="nil"/>
              <w:left w:val="nil"/>
              <w:bottom w:val="nil"/>
              <w:right w:val="nil"/>
            </w:tcBorders>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p>
        </w:tc>
        <w:tc>
          <w:tcPr>
            <w:tcW w:w="13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(9.060</w:t>
            </w:r>
          </w:p>
        </w:tc>
        <w:tc>
          <w:tcPr>
            <w:tcW w:w="1460" w:type="dxa"/>
            <w:tcBorders>
              <w:top w:val="nil"/>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(7.24)</w:t>
            </w:r>
          </w:p>
        </w:tc>
        <w:tc>
          <w:tcPr>
            <w:tcW w:w="118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(2.42)</w:t>
            </w:r>
          </w:p>
        </w:tc>
        <w:tc>
          <w:tcPr>
            <w:tcW w:w="14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(0.86)</w:t>
            </w:r>
          </w:p>
        </w:tc>
      </w:tr>
      <w:tr w:rsidR="006134B4" w:rsidRPr="00076165" w:rsidTr="00DA3C95">
        <w:trPr>
          <w:trHeight w:val="600"/>
        </w:trPr>
        <w:tc>
          <w:tcPr>
            <w:tcW w:w="2225" w:type="dxa"/>
            <w:vMerge w:val="restart"/>
            <w:tcBorders>
              <w:top w:val="nil"/>
              <w:left w:val="nil"/>
              <w:bottom w:val="nil"/>
              <w:right w:val="nil"/>
            </w:tcBorders>
            <w:shd w:val="clear" w:color="000000" w:fill="FFFFFF"/>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 Miembros en el Hogar</w:t>
            </w:r>
          </w:p>
        </w:tc>
        <w:tc>
          <w:tcPr>
            <w:tcW w:w="13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-0.002</w:t>
            </w:r>
          </w:p>
        </w:tc>
        <w:tc>
          <w:tcPr>
            <w:tcW w:w="1460" w:type="dxa"/>
            <w:tcBorders>
              <w:top w:val="nil"/>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-0.009***</w:t>
            </w:r>
          </w:p>
        </w:tc>
        <w:tc>
          <w:tcPr>
            <w:tcW w:w="118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-0.001</w:t>
            </w:r>
          </w:p>
        </w:tc>
        <w:tc>
          <w:tcPr>
            <w:tcW w:w="14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-0.013***</w:t>
            </w:r>
          </w:p>
        </w:tc>
      </w:tr>
      <w:tr w:rsidR="006134B4" w:rsidRPr="00076165" w:rsidTr="00DA3C95">
        <w:trPr>
          <w:trHeight w:val="300"/>
        </w:trPr>
        <w:tc>
          <w:tcPr>
            <w:tcW w:w="2225" w:type="dxa"/>
            <w:vMerge/>
            <w:tcBorders>
              <w:top w:val="nil"/>
              <w:left w:val="nil"/>
              <w:bottom w:val="nil"/>
              <w:right w:val="nil"/>
            </w:tcBorders>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p>
        </w:tc>
        <w:tc>
          <w:tcPr>
            <w:tcW w:w="13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(-0.71)</w:t>
            </w:r>
          </w:p>
        </w:tc>
        <w:tc>
          <w:tcPr>
            <w:tcW w:w="1460" w:type="dxa"/>
            <w:tcBorders>
              <w:top w:val="nil"/>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(-3.43)</w:t>
            </w:r>
          </w:p>
        </w:tc>
        <w:tc>
          <w:tcPr>
            <w:tcW w:w="118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(-0.61)</w:t>
            </w:r>
          </w:p>
        </w:tc>
        <w:tc>
          <w:tcPr>
            <w:tcW w:w="14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(-3.13)</w:t>
            </w:r>
          </w:p>
        </w:tc>
      </w:tr>
      <w:tr w:rsidR="006134B4" w:rsidRPr="00076165" w:rsidTr="00DA3C95">
        <w:trPr>
          <w:trHeight w:val="600"/>
        </w:trPr>
        <w:tc>
          <w:tcPr>
            <w:tcW w:w="2225" w:type="dxa"/>
            <w:vMerge w:val="restart"/>
            <w:tcBorders>
              <w:top w:val="nil"/>
              <w:left w:val="nil"/>
              <w:bottom w:val="nil"/>
              <w:right w:val="nil"/>
            </w:tcBorders>
            <w:shd w:val="clear" w:color="000000" w:fill="FFFFFF"/>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 Mayores de 65 años</w:t>
            </w:r>
          </w:p>
        </w:tc>
        <w:tc>
          <w:tcPr>
            <w:tcW w:w="13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0.013</w:t>
            </w:r>
          </w:p>
        </w:tc>
        <w:tc>
          <w:tcPr>
            <w:tcW w:w="1460" w:type="dxa"/>
            <w:tcBorders>
              <w:top w:val="nil"/>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0.046***</w:t>
            </w:r>
          </w:p>
        </w:tc>
        <w:tc>
          <w:tcPr>
            <w:tcW w:w="118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-0.015***</w:t>
            </w:r>
          </w:p>
        </w:tc>
        <w:tc>
          <w:tcPr>
            <w:tcW w:w="14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-0.030+</w:t>
            </w:r>
          </w:p>
        </w:tc>
      </w:tr>
      <w:tr w:rsidR="006134B4" w:rsidRPr="00076165" w:rsidTr="00DA3C95">
        <w:trPr>
          <w:trHeight w:val="300"/>
        </w:trPr>
        <w:tc>
          <w:tcPr>
            <w:tcW w:w="2225" w:type="dxa"/>
            <w:vMerge/>
            <w:tcBorders>
              <w:top w:val="nil"/>
              <w:left w:val="nil"/>
              <w:bottom w:val="nil"/>
              <w:right w:val="nil"/>
            </w:tcBorders>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p>
        </w:tc>
        <w:tc>
          <w:tcPr>
            <w:tcW w:w="13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(1.06)</w:t>
            </w:r>
          </w:p>
        </w:tc>
        <w:tc>
          <w:tcPr>
            <w:tcW w:w="1460" w:type="dxa"/>
            <w:tcBorders>
              <w:top w:val="nil"/>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(3.23)</w:t>
            </w:r>
          </w:p>
        </w:tc>
        <w:tc>
          <w:tcPr>
            <w:tcW w:w="118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(-3.12)</w:t>
            </w:r>
          </w:p>
        </w:tc>
        <w:tc>
          <w:tcPr>
            <w:tcW w:w="14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(-1.44)</w:t>
            </w:r>
          </w:p>
        </w:tc>
      </w:tr>
      <w:tr w:rsidR="006134B4" w:rsidRPr="00076165" w:rsidTr="00DA3C95">
        <w:trPr>
          <w:trHeight w:val="600"/>
        </w:trPr>
        <w:tc>
          <w:tcPr>
            <w:tcW w:w="2225" w:type="dxa"/>
            <w:vMerge w:val="restart"/>
            <w:tcBorders>
              <w:top w:val="nil"/>
              <w:left w:val="nil"/>
              <w:bottom w:val="nil"/>
              <w:right w:val="nil"/>
            </w:tcBorders>
            <w:shd w:val="clear" w:color="000000" w:fill="FFFFFF"/>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lastRenderedPageBreak/>
              <w:t>*# Menores de 1 año</w:t>
            </w:r>
          </w:p>
        </w:tc>
        <w:tc>
          <w:tcPr>
            <w:tcW w:w="13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0.012</w:t>
            </w:r>
          </w:p>
        </w:tc>
        <w:tc>
          <w:tcPr>
            <w:tcW w:w="1460" w:type="dxa"/>
            <w:tcBorders>
              <w:top w:val="nil"/>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-0.065***</w:t>
            </w:r>
          </w:p>
        </w:tc>
        <w:tc>
          <w:tcPr>
            <w:tcW w:w="118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-0.001</w:t>
            </w:r>
          </w:p>
        </w:tc>
        <w:tc>
          <w:tcPr>
            <w:tcW w:w="14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-0.074***</w:t>
            </w:r>
          </w:p>
        </w:tc>
      </w:tr>
      <w:tr w:rsidR="006134B4" w:rsidRPr="00076165" w:rsidTr="00DA3C95">
        <w:trPr>
          <w:trHeight w:val="300"/>
        </w:trPr>
        <w:tc>
          <w:tcPr>
            <w:tcW w:w="2225" w:type="dxa"/>
            <w:vMerge/>
            <w:tcBorders>
              <w:top w:val="nil"/>
              <w:left w:val="nil"/>
              <w:bottom w:val="nil"/>
              <w:right w:val="nil"/>
            </w:tcBorders>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p>
        </w:tc>
        <w:tc>
          <w:tcPr>
            <w:tcW w:w="13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(0.67)</w:t>
            </w:r>
          </w:p>
        </w:tc>
        <w:tc>
          <w:tcPr>
            <w:tcW w:w="1460" w:type="dxa"/>
            <w:tcBorders>
              <w:top w:val="nil"/>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(-3.46)</w:t>
            </w:r>
          </w:p>
        </w:tc>
        <w:tc>
          <w:tcPr>
            <w:tcW w:w="118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(-0.11)</w:t>
            </w:r>
          </w:p>
        </w:tc>
        <w:tc>
          <w:tcPr>
            <w:tcW w:w="14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(-3.37)</w:t>
            </w:r>
          </w:p>
        </w:tc>
      </w:tr>
      <w:tr w:rsidR="006134B4" w:rsidRPr="00076165" w:rsidTr="00DA3C95">
        <w:trPr>
          <w:trHeight w:val="300"/>
        </w:trPr>
        <w:tc>
          <w:tcPr>
            <w:tcW w:w="2225" w:type="dxa"/>
            <w:vMerge w:val="restart"/>
            <w:tcBorders>
              <w:top w:val="nil"/>
              <w:left w:val="nil"/>
              <w:bottom w:val="nil"/>
              <w:right w:val="nil"/>
            </w:tcBorders>
            <w:shd w:val="clear" w:color="000000" w:fill="FFFFFF"/>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 Menores de 6 años</w:t>
            </w:r>
          </w:p>
        </w:tc>
        <w:tc>
          <w:tcPr>
            <w:tcW w:w="13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0.040***</w:t>
            </w:r>
          </w:p>
        </w:tc>
        <w:tc>
          <w:tcPr>
            <w:tcW w:w="1460" w:type="dxa"/>
            <w:tcBorders>
              <w:top w:val="nil"/>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0.020**</w:t>
            </w:r>
          </w:p>
        </w:tc>
        <w:tc>
          <w:tcPr>
            <w:tcW w:w="118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-0.004</w:t>
            </w:r>
          </w:p>
        </w:tc>
        <w:tc>
          <w:tcPr>
            <w:tcW w:w="14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-0.018*</w:t>
            </w:r>
          </w:p>
        </w:tc>
      </w:tr>
      <w:tr w:rsidR="006134B4" w:rsidRPr="00076165" w:rsidTr="00DA3C95">
        <w:trPr>
          <w:trHeight w:val="300"/>
        </w:trPr>
        <w:tc>
          <w:tcPr>
            <w:tcW w:w="2225" w:type="dxa"/>
            <w:vMerge/>
            <w:tcBorders>
              <w:top w:val="nil"/>
              <w:left w:val="nil"/>
              <w:bottom w:val="nil"/>
              <w:right w:val="nil"/>
            </w:tcBorders>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p>
        </w:tc>
        <w:tc>
          <w:tcPr>
            <w:tcW w:w="13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(5.47)</w:t>
            </w:r>
          </w:p>
        </w:tc>
        <w:tc>
          <w:tcPr>
            <w:tcW w:w="1460" w:type="dxa"/>
            <w:tcBorders>
              <w:top w:val="nil"/>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(2.53)</w:t>
            </w:r>
          </w:p>
        </w:tc>
        <w:tc>
          <w:tcPr>
            <w:tcW w:w="118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(-1.12)</w:t>
            </w:r>
          </w:p>
        </w:tc>
        <w:tc>
          <w:tcPr>
            <w:tcW w:w="14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(-1.72)</w:t>
            </w:r>
          </w:p>
        </w:tc>
      </w:tr>
      <w:tr w:rsidR="006134B4" w:rsidRPr="00076165" w:rsidTr="00DA3C95">
        <w:trPr>
          <w:trHeight w:val="300"/>
        </w:trPr>
        <w:tc>
          <w:tcPr>
            <w:tcW w:w="2225" w:type="dxa"/>
            <w:vMerge w:val="restart"/>
            <w:tcBorders>
              <w:top w:val="nil"/>
              <w:left w:val="nil"/>
              <w:bottom w:val="nil"/>
              <w:right w:val="nil"/>
            </w:tcBorders>
            <w:shd w:val="clear" w:color="000000" w:fill="FFFFFF"/>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Existe alguna mujer mayor a 65 en el hogar</w:t>
            </w:r>
          </w:p>
        </w:tc>
        <w:tc>
          <w:tcPr>
            <w:tcW w:w="13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0.044***</w:t>
            </w:r>
          </w:p>
        </w:tc>
        <w:tc>
          <w:tcPr>
            <w:tcW w:w="1460" w:type="dxa"/>
            <w:tcBorders>
              <w:top w:val="nil"/>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0.051**</w:t>
            </w:r>
          </w:p>
        </w:tc>
        <w:tc>
          <w:tcPr>
            <w:tcW w:w="118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0.022***</w:t>
            </w:r>
          </w:p>
        </w:tc>
        <w:tc>
          <w:tcPr>
            <w:tcW w:w="14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0.128***</w:t>
            </w:r>
          </w:p>
        </w:tc>
      </w:tr>
      <w:tr w:rsidR="006134B4" w:rsidRPr="00076165" w:rsidTr="00DA3C95">
        <w:trPr>
          <w:trHeight w:val="300"/>
        </w:trPr>
        <w:tc>
          <w:tcPr>
            <w:tcW w:w="2225" w:type="dxa"/>
            <w:vMerge/>
            <w:tcBorders>
              <w:top w:val="nil"/>
              <w:left w:val="nil"/>
              <w:bottom w:val="nil"/>
              <w:right w:val="nil"/>
            </w:tcBorders>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p>
        </w:tc>
        <w:tc>
          <w:tcPr>
            <w:tcW w:w="13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(2.75)</w:t>
            </w:r>
          </w:p>
        </w:tc>
        <w:tc>
          <w:tcPr>
            <w:tcW w:w="1460" w:type="dxa"/>
            <w:tcBorders>
              <w:top w:val="nil"/>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(2.17)</w:t>
            </w:r>
          </w:p>
        </w:tc>
        <w:tc>
          <w:tcPr>
            <w:tcW w:w="118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(5.36)</w:t>
            </w:r>
          </w:p>
        </w:tc>
        <w:tc>
          <w:tcPr>
            <w:tcW w:w="14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(3.95)</w:t>
            </w:r>
          </w:p>
        </w:tc>
      </w:tr>
      <w:tr w:rsidR="006134B4" w:rsidRPr="00076165" w:rsidTr="00DA3C95">
        <w:trPr>
          <w:trHeight w:val="600"/>
        </w:trPr>
        <w:tc>
          <w:tcPr>
            <w:tcW w:w="2225" w:type="dxa"/>
            <w:vMerge w:val="restart"/>
            <w:tcBorders>
              <w:top w:val="nil"/>
              <w:left w:val="nil"/>
              <w:bottom w:val="nil"/>
              <w:right w:val="nil"/>
            </w:tcBorders>
            <w:shd w:val="clear" w:color="000000" w:fill="FFFFFF"/>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Años de educación</w:t>
            </w:r>
          </w:p>
        </w:tc>
        <w:tc>
          <w:tcPr>
            <w:tcW w:w="13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-0.012***</w:t>
            </w:r>
          </w:p>
        </w:tc>
        <w:tc>
          <w:tcPr>
            <w:tcW w:w="1460" w:type="dxa"/>
            <w:tcBorders>
              <w:top w:val="nil"/>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-0.004***</w:t>
            </w:r>
          </w:p>
        </w:tc>
        <w:tc>
          <w:tcPr>
            <w:tcW w:w="118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-0.002***</w:t>
            </w:r>
          </w:p>
        </w:tc>
        <w:tc>
          <w:tcPr>
            <w:tcW w:w="14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-0.003**</w:t>
            </w:r>
          </w:p>
        </w:tc>
      </w:tr>
      <w:tr w:rsidR="006134B4" w:rsidRPr="00076165" w:rsidTr="00DA3C95">
        <w:trPr>
          <w:trHeight w:val="300"/>
        </w:trPr>
        <w:tc>
          <w:tcPr>
            <w:tcW w:w="2225" w:type="dxa"/>
            <w:vMerge/>
            <w:tcBorders>
              <w:top w:val="nil"/>
              <w:left w:val="nil"/>
              <w:bottom w:val="nil"/>
              <w:right w:val="nil"/>
            </w:tcBorders>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p>
        </w:tc>
        <w:tc>
          <w:tcPr>
            <w:tcW w:w="13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(-11.70)</w:t>
            </w:r>
          </w:p>
        </w:tc>
        <w:tc>
          <w:tcPr>
            <w:tcW w:w="1460" w:type="dxa"/>
            <w:tcBorders>
              <w:top w:val="nil"/>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(-4.20)</w:t>
            </w:r>
          </w:p>
        </w:tc>
        <w:tc>
          <w:tcPr>
            <w:tcW w:w="118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(-6.30)</w:t>
            </w:r>
          </w:p>
        </w:tc>
        <w:tc>
          <w:tcPr>
            <w:tcW w:w="1400" w:type="dxa"/>
            <w:tcBorders>
              <w:top w:val="nil"/>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(-2.38)</w:t>
            </w:r>
          </w:p>
        </w:tc>
      </w:tr>
      <w:tr w:rsidR="006134B4" w:rsidRPr="00076165" w:rsidTr="00DA3C95">
        <w:trPr>
          <w:trHeight w:val="300"/>
        </w:trPr>
        <w:tc>
          <w:tcPr>
            <w:tcW w:w="2225" w:type="dxa"/>
            <w:tcBorders>
              <w:top w:val="single" w:sz="4" w:space="0" w:color="auto"/>
              <w:left w:val="nil"/>
              <w:bottom w:val="nil"/>
              <w:right w:val="nil"/>
            </w:tcBorders>
            <w:shd w:val="clear" w:color="000000" w:fill="FFFFFF"/>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Observations</w:t>
            </w:r>
          </w:p>
        </w:tc>
        <w:tc>
          <w:tcPr>
            <w:tcW w:w="1300" w:type="dxa"/>
            <w:tcBorders>
              <w:top w:val="single" w:sz="4" w:space="0" w:color="auto"/>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13595</w:t>
            </w:r>
          </w:p>
        </w:tc>
        <w:tc>
          <w:tcPr>
            <w:tcW w:w="1460" w:type="dxa"/>
            <w:tcBorders>
              <w:top w:val="single" w:sz="4" w:space="0" w:color="auto"/>
              <w:left w:val="nil"/>
              <w:bottom w:val="nil"/>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14680</w:t>
            </w:r>
          </w:p>
        </w:tc>
        <w:tc>
          <w:tcPr>
            <w:tcW w:w="1180" w:type="dxa"/>
            <w:tcBorders>
              <w:top w:val="single" w:sz="4" w:space="0" w:color="auto"/>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6577</w:t>
            </w:r>
          </w:p>
        </w:tc>
        <w:tc>
          <w:tcPr>
            <w:tcW w:w="1400" w:type="dxa"/>
            <w:tcBorders>
              <w:top w:val="single" w:sz="4" w:space="0" w:color="auto"/>
              <w:left w:val="nil"/>
              <w:bottom w:val="nil"/>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6817</w:t>
            </w:r>
          </w:p>
        </w:tc>
      </w:tr>
      <w:tr w:rsidR="006134B4" w:rsidRPr="00076165" w:rsidTr="00DA3C95">
        <w:trPr>
          <w:trHeight w:val="300"/>
        </w:trPr>
        <w:tc>
          <w:tcPr>
            <w:tcW w:w="2225" w:type="dxa"/>
            <w:tcBorders>
              <w:top w:val="nil"/>
              <w:left w:val="nil"/>
              <w:bottom w:val="single" w:sz="4" w:space="0" w:color="auto"/>
              <w:right w:val="nil"/>
            </w:tcBorders>
            <w:shd w:val="clear" w:color="000000" w:fill="FFFFFF"/>
            <w:vAlign w:val="center"/>
            <w:hideMark/>
          </w:tcPr>
          <w:p w:rsidR="006134B4" w:rsidRPr="00076165" w:rsidRDefault="006134B4" w:rsidP="00DA3C95">
            <w:pPr>
              <w:spacing w:after="0" w:line="240" w:lineRule="auto"/>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 xml:space="preserve">Pseudo </w:t>
            </w:r>
            <w:r w:rsidRPr="00076165">
              <w:rPr>
                <w:rFonts w:ascii="Arial" w:eastAsia="Times New Roman" w:hAnsi="Arial" w:cs="Arial"/>
                <w:i/>
                <w:iCs/>
                <w:color w:val="000000"/>
                <w:sz w:val="20"/>
                <w:lang w:val="es-ES" w:eastAsia="es-ES"/>
              </w:rPr>
              <w:t>R</w:t>
            </w:r>
          </w:p>
        </w:tc>
        <w:tc>
          <w:tcPr>
            <w:tcW w:w="1300" w:type="dxa"/>
            <w:tcBorders>
              <w:top w:val="nil"/>
              <w:left w:val="nil"/>
              <w:bottom w:val="single" w:sz="4" w:space="0" w:color="auto"/>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0.4</w:t>
            </w:r>
          </w:p>
        </w:tc>
        <w:tc>
          <w:tcPr>
            <w:tcW w:w="1460" w:type="dxa"/>
            <w:tcBorders>
              <w:top w:val="nil"/>
              <w:left w:val="nil"/>
              <w:bottom w:val="single" w:sz="4" w:space="0" w:color="auto"/>
              <w:right w:val="dotDotDash" w:sz="4" w:space="0" w:color="000000"/>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0.14</w:t>
            </w:r>
          </w:p>
        </w:tc>
        <w:tc>
          <w:tcPr>
            <w:tcW w:w="1180" w:type="dxa"/>
            <w:tcBorders>
              <w:top w:val="nil"/>
              <w:left w:val="nil"/>
              <w:bottom w:val="single" w:sz="4" w:space="0" w:color="auto"/>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0.33</w:t>
            </w:r>
          </w:p>
        </w:tc>
        <w:tc>
          <w:tcPr>
            <w:tcW w:w="1400" w:type="dxa"/>
            <w:tcBorders>
              <w:top w:val="nil"/>
              <w:left w:val="nil"/>
              <w:bottom w:val="single" w:sz="4" w:space="0" w:color="auto"/>
              <w:right w:val="nil"/>
            </w:tcBorders>
            <w:shd w:val="clear" w:color="000000" w:fill="FFFFFF"/>
            <w:vAlign w:val="center"/>
            <w:hideMark/>
          </w:tcPr>
          <w:p w:rsidR="006134B4" w:rsidRPr="00076165" w:rsidRDefault="006134B4" w:rsidP="00DA3C95">
            <w:pPr>
              <w:spacing w:after="0" w:line="240" w:lineRule="auto"/>
              <w:jc w:val="center"/>
              <w:rPr>
                <w:rFonts w:ascii="Arial" w:eastAsia="Times New Roman" w:hAnsi="Arial" w:cs="Arial"/>
                <w:color w:val="000000"/>
                <w:sz w:val="20"/>
                <w:lang w:val="es-ES" w:eastAsia="es-ES"/>
              </w:rPr>
            </w:pPr>
            <w:r w:rsidRPr="00076165">
              <w:rPr>
                <w:rFonts w:ascii="Arial" w:eastAsia="Times New Roman" w:hAnsi="Arial" w:cs="Arial"/>
                <w:color w:val="000000"/>
                <w:sz w:val="20"/>
                <w:lang w:val="es-ES" w:eastAsia="es-ES"/>
              </w:rPr>
              <w:t>0.04</w:t>
            </w:r>
          </w:p>
        </w:tc>
      </w:tr>
      <w:tr w:rsidR="006134B4" w:rsidRPr="00076165" w:rsidTr="00DA3C95">
        <w:trPr>
          <w:trHeight w:val="300"/>
        </w:trPr>
        <w:tc>
          <w:tcPr>
            <w:tcW w:w="7565" w:type="dxa"/>
            <w:gridSpan w:val="5"/>
            <w:tcBorders>
              <w:top w:val="nil"/>
              <w:left w:val="nil"/>
              <w:bottom w:val="nil"/>
              <w:right w:val="nil"/>
            </w:tcBorders>
            <w:shd w:val="clear" w:color="000000" w:fill="FFFFFF"/>
            <w:vAlign w:val="center"/>
            <w:hideMark/>
          </w:tcPr>
          <w:p w:rsidR="006134B4" w:rsidRPr="00076165" w:rsidRDefault="006134B4" w:rsidP="00DA3C95">
            <w:pPr>
              <w:spacing w:after="0" w:line="240" w:lineRule="auto"/>
              <w:rPr>
                <w:rFonts w:ascii="Arial" w:eastAsia="Times New Roman" w:hAnsi="Arial" w:cs="Arial"/>
                <w:color w:val="000000"/>
                <w:sz w:val="18"/>
                <w:szCs w:val="18"/>
                <w:lang w:eastAsia="es-ES"/>
              </w:rPr>
            </w:pPr>
            <w:r w:rsidRPr="00076165">
              <w:rPr>
                <w:rFonts w:ascii="Arial" w:eastAsia="Times New Roman" w:hAnsi="Arial" w:cs="Arial"/>
                <w:color w:val="000000"/>
                <w:sz w:val="18"/>
                <w:szCs w:val="18"/>
                <w:lang w:eastAsia="es-ES"/>
              </w:rPr>
              <w:t xml:space="preserve">Marginal effects; </w:t>
            </w:r>
            <w:r w:rsidRPr="00076165">
              <w:rPr>
                <w:rFonts w:ascii="Arial" w:eastAsia="Times New Roman" w:hAnsi="Arial" w:cs="Arial"/>
                <w:i/>
                <w:iCs/>
                <w:color w:val="000000"/>
                <w:sz w:val="18"/>
                <w:szCs w:val="18"/>
                <w:lang w:eastAsia="es-ES"/>
              </w:rPr>
              <w:t>t</w:t>
            </w:r>
            <w:r w:rsidRPr="00076165">
              <w:rPr>
                <w:rFonts w:ascii="Arial" w:eastAsia="Times New Roman" w:hAnsi="Arial" w:cs="Arial"/>
                <w:color w:val="000000"/>
                <w:sz w:val="18"/>
                <w:szCs w:val="18"/>
                <w:lang w:eastAsia="es-ES"/>
              </w:rPr>
              <w:t xml:space="preserve"> statistics in parentheses</w:t>
            </w:r>
          </w:p>
        </w:tc>
      </w:tr>
      <w:tr w:rsidR="006134B4" w:rsidRPr="00076165" w:rsidTr="00DA3C95">
        <w:trPr>
          <w:trHeight w:val="300"/>
        </w:trPr>
        <w:tc>
          <w:tcPr>
            <w:tcW w:w="7565" w:type="dxa"/>
            <w:gridSpan w:val="5"/>
            <w:tcBorders>
              <w:top w:val="nil"/>
              <w:left w:val="nil"/>
              <w:bottom w:val="nil"/>
              <w:right w:val="nil"/>
            </w:tcBorders>
            <w:shd w:val="clear" w:color="000000" w:fill="FFFFFF"/>
            <w:vAlign w:val="center"/>
            <w:hideMark/>
          </w:tcPr>
          <w:p w:rsidR="006134B4" w:rsidRPr="00076165" w:rsidRDefault="006134B4" w:rsidP="00DA3C95">
            <w:pPr>
              <w:spacing w:after="0" w:line="240" w:lineRule="auto"/>
              <w:rPr>
                <w:rFonts w:ascii="Arial" w:eastAsia="Times New Roman" w:hAnsi="Arial" w:cs="Arial"/>
                <w:color w:val="000000"/>
                <w:sz w:val="18"/>
                <w:szCs w:val="18"/>
                <w:lang w:eastAsia="es-ES"/>
              </w:rPr>
            </w:pPr>
            <w:r w:rsidRPr="00076165">
              <w:rPr>
                <w:rFonts w:ascii="Arial" w:eastAsia="Times New Roman" w:hAnsi="Arial" w:cs="Arial"/>
                <w:color w:val="000000"/>
                <w:sz w:val="18"/>
                <w:szCs w:val="18"/>
                <w:lang w:eastAsia="es-ES"/>
              </w:rPr>
              <w:t>(d) for discrete change of dummy variable from 0 to 1</w:t>
            </w:r>
          </w:p>
        </w:tc>
      </w:tr>
      <w:tr w:rsidR="006134B4" w:rsidRPr="00076165" w:rsidTr="00DA3C95">
        <w:trPr>
          <w:trHeight w:val="300"/>
        </w:trPr>
        <w:tc>
          <w:tcPr>
            <w:tcW w:w="7565" w:type="dxa"/>
            <w:gridSpan w:val="5"/>
            <w:tcBorders>
              <w:top w:val="nil"/>
              <w:left w:val="nil"/>
              <w:bottom w:val="nil"/>
              <w:right w:val="nil"/>
            </w:tcBorders>
            <w:shd w:val="clear" w:color="000000" w:fill="FFFFFF"/>
            <w:vAlign w:val="center"/>
            <w:hideMark/>
          </w:tcPr>
          <w:p w:rsidR="006134B4" w:rsidRPr="00076165" w:rsidRDefault="006134B4" w:rsidP="00DA3C95">
            <w:pPr>
              <w:spacing w:after="0" w:line="240" w:lineRule="auto"/>
              <w:rPr>
                <w:rFonts w:ascii="Arial" w:eastAsia="Times New Roman" w:hAnsi="Arial" w:cs="Arial"/>
                <w:color w:val="000000"/>
                <w:sz w:val="18"/>
                <w:szCs w:val="18"/>
                <w:lang w:eastAsia="es-ES"/>
              </w:rPr>
            </w:pPr>
            <w:r w:rsidRPr="00076165">
              <w:rPr>
                <w:rFonts w:ascii="Arial" w:eastAsia="Times New Roman" w:hAnsi="Arial" w:cs="Arial"/>
                <w:color w:val="000000"/>
                <w:sz w:val="18"/>
                <w:szCs w:val="18"/>
                <w:lang w:eastAsia="es-ES"/>
              </w:rPr>
              <w:t xml:space="preserve">+ </w:t>
            </w:r>
            <w:r w:rsidRPr="00076165">
              <w:rPr>
                <w:rFonts w:ascii="Arial" w:eastAsia="Times New Roman" w:hAnsi="Arial" w:cs="Arial"/>
                <w:i/>
                <w:iCs/>
                <w:color w:val="000000"/>
                <w:sz w:val="18"/>
                <w:szCs w:val="18"/>
                <w:lang w:eastAsia="es-ES"/>
              </w:rPr>
              <w:t>p</w:t>
            </w:r>
            <w:r w:rsidRPr="00076165">
              <w:rPr>
                <w:rFonts w:ascii="Arial" w:eastAsia="Times New Roman" w:hAnsi="Arial" w:cs="Arial"/>
                <w:color w:val="000000"/>
                <w:sz w:val="18"/>
                <w:szCs w:val="18"/>
                <w:lang w:eastAsia="es-ES"/>
              </w:rPr>
              <w:t xml:space="preserve"> &lt; 0.15, * </w:t>
            </w:r>
            <w:r w:rsidRPr="00076165">
              <w:rPr>
                <w:rFonts w:ascii="Arial" w:eastAsia="Times New Roman" w:hAnsi="Arial" w:cs="Arial"/>
                <w:i/>
                <w:iCs/>
                <w:color w:val="000000"/>
                <w:sz w:val="18"/>
                <w:szCs w:val="18"/>
                <w:lang w:eastAsia="es-ES"/>
              </w:rPr>
              <w:t>p</w:t>
            </w:r>
            <w:r w:rsidRPr="00076165">
              <w:rPr>
                <w:rFonts w:ascii="Arial" w:eastAsia="Times New Roman" w:hAnsi="Arial" w:cs="Arial"/>
                <w:color w:val="000000"/>
                <w:sz w:val="18"/>
                <w:szCs w:val="18"/>
                <w:lang w:eastAsia="es-ES"/>
              </w:rPr>
              <w:t xml:space="preserve"> &lt; 0.10, ** </w:t>
            </w:r>
            <w:r w:rsidRPr="00076165">
              <w:rPr>
                <w:rFonts w:ascii="Arial" w:eastAsia="Times New Roman" w:hAnsi="Arial" w:cs="Arial"/>
                <w:i/>
                <w:iCs/>
                <w:color w:val="000000"/>
                <w:sz w:val="18"/>
                <w:szCs w:val="18"/>
                <w:lang w:eastAsia="es-ES"/>
              </w:rPr>
              <w:t>p</w:t>
            </w:r>
            <w:r w:rsidRPr="00076165">
              <w:rPr>
                <w:rFonts w:ascii="Arial" w:eastAsia="Times New Roman" w:hAnsi="Arial" w:cs="Arial"/>
                <w:color w:val="000000"/>
                <w:sz w:val="18"/>
                <w:szCs w:val="18"/>
                <w:lang w:eastAsia="es-ES"/>
              </w:rPr>
              <w:t xml:space="preserve"> &lt; 0.05, *** </w:t>
            </w:r>
            <w:r w:rsidRPr="00076165">
              <w:rPr>
                <w:rFonts w:ascii="Arial" w:eastAsia="Times New Roman" w:hAnsi="Arial" w:cs="Arial"/>
                <w:i/>
                <w:iCs/>
                <w:color w:val="000000"/>
                <w:sz w:val="18"/>
                <w:szCs w:val="18"/>
                <w:lang w:eastAsia="es-ES"/>
              </w:rPr>
              <w:t>p</w:t>
            </w:r>
            <w:r w:rsidRPr="00076165">
              <w:rPr>
                <w:rFonts w:ascii="Arial" w:eastAsia="Times New Roman" w:hAnsi="Arial" w:cs="Arial"/>
                <w:color w:val="000000"/>
                <w:sz w:val="18"/>
                <w:szCs w:val="18"/>
                <w:lang w:eastAsia="es-ES"/>
              </w:rPr>
              <w:t xml:space="preserve"> &lt; 0.01</w:t>
            </w:r>
          </w:p>
        </w:tc>
      </w:tr>
    </w:tbl>
    <w:p w:rsidR="006134B4" w:rsidRPr="00076165" w:rsidRDefault="006134B4" w:rsidP="006134B4">
      <w:pPr>
        <w:jc w:val="center"/>
        <w:rPr>
          <w:rFonts w:ascii="Arial" w:hAnsi="Arial" w:cs="Arial"/>
        </w:rPr>
      </w:pPr>
    </w:p>
    <w:p w:rsidR="006134B4" w:rsidRPr="00076165" w:rsidRDefault="006134B4" w:rsidP="006134B4">
      <w:pPr>
        <w:jc w:val="both"/>
        <w:rPr>
          <w:rFonts w:ascii="Arial" w:hAnsi="Arial" w:cs="Arial"/>
          <w:lang w:val="es-ES"/>
        </w:rPr>
      </w:pPr>
      <w:r w:rsidRPr="00076165">
        <w:rPr>
          <w:rFonts w:ascii="Arial" w:hAnsi="Arial" w:cs="Arial"/>
          <w:lang w:val="es-ES"/>
        </w:rPr>
        <w:t xml:space="preserve">Ahondado el análisis, se presentan las estimaciones (3) y (4) que replican lo realizado en las regresiones (1) y (2) pero acotando el análisis a personas que tengan alguna relación de convivencia. Como se puede observar, el hecho de ser cónyuge (no ser la jefa del hogar) reduce la participación laboral en 6%, asimismo la presencia de niños menores a 1 año y 6 años reduce la probabilidad de trabajar en 7% y 1%, respectivamente. La presencia de niños no tiene ningún impacto sobre la probabilidad de trabajar para los hombres.  </w:t>
      </w:r>
    </w:p>
    <w:p w:rsidR="00E85E6C" w:rsidRPr="00076165" w:rsidRDefault="006134B4" w:rsidP="006134B4">
      <w:pPr>
        <w:jc w:val="both"/>
        <w:rPr>
          <w:rFonts w:ascii="Arial" w:hAnsi="Arial" w:cs="Arial"/>
          <w:lang w:val="es-ES_tradnl"/>
        </w:rPr>
      </w:pPr>
      <w:r w:rsidRPr="00076165">
        <w:rPr>
          <w:rFonts w:ascii="Arial" w:hAnsi="Arial" w:cs="Arial"/>
          <w:lang w:val="es-ES"/>
        </w:rPr>
        <w:t>Adicionalmente, vale la pena resaltar el hecho que la presencia de alguna mujer mayor a 65 años en el hogar aumenta la probabilidad de participar en el mercado laboral en 12%, esto se explica en el hecho que son muchas veces las abuelas (especialmente pero no exclusivamente) las encargadas del cuidado de niños hecho que permite la participación de las mujeres en el mercado laboral.</w:t>
      </w:r>
    </w:p>
    <w:sectPr w:rsidR="00E85E6C" w:rsidRPr="00076165">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F047A3" w15:done="0"/>
  <w15:commentEx w15:paraId="6EF926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983" w:rsidRDefault="000A1983" w:rsidP="00E6227E">
      <w:pPr>
        <w:spacing w:after="0" w:line="240" w:lineRule="auto"/>
      </w:pPr>
      <w:r>
        <w:separator/>
      </w:r>
    </w:p>
  </w:endnote>
  <w:endnote w:type="continuationSeparator" w:id="0">
    <w:p w:rsidR="000A1983" w:rsidRDefault="000A1983" w:rsidP="00E6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983" w:rsidRDefault="000A1983" w:rsidP="00E6227E">
      <w:pPr>
        <w:spacing w:after="0" w:line="240" w:lineRule="auto"/>
      </w:pPr>
      <w:r>
        <w:separator/>
      </w:r>
    </w:p>
  </w:footnote>
  <w:footnote w:type="continuationSeparator" w:id="0">
    <w:p w:rsidR="000A1983" w:rsidRDefault="000A1983" w:rsidP="00E6227E">
      <w:pPr>
        <w:spacing w:after="0" w:line="240" w:lineRule="auto"/>
      </w:pPr>
      <w:r>
        <w:continuationSeparator/>
      </w:r>
    </w:p>
  </w:footnote>
  <w:footnote w:id="1">
    <w:p w:rsidR="0011441B" w:rsidRPr="00E85E6C" w:rsidRDefault="0011441B">
      <w:pPr>
        <w:pStyle w:val="FootnoteText"/>
        <w:rPr>
          <w:lang w:val="es-ES"/>
        </w:rPr>
      </w:pPr>
      <w:r>
        <w:rPr>
          <w:rStyle w:val="FootnoteReference"/>
        </w:rPr>
        <w:footnoteRef/>
      </w:r>
      <w:r w:rsidRPr="00E85E6C">
        <w:rPr>
          <w:lang w:val="es-ES"/>
        </w:rPr>
        <w:t xml:space="preserve"> </w:t>
      </w:r>
      <w:r>
        <w:rPr>
          <w:lang w:val="es-ES"/>
        </w:rPr>
        <w:t xml:space="preserve">El </w:t>
      </w:r>
      <w:r w:rsidR="0003763D">
        <w:rPr>
          <w:lang w:val="es-ES"/>
        </w:rPr>
        <w:t>cálculo</w:t>
      </w:r>
      <w:r>
        <w:rPr>
          <w:lang w:val="es-ES"/>
        </w:rPr>
        <w:t xml:space="preserve"> de Gasparini y Marchioni (2015) se realiza exclusivamente para hombres y mujeres entre 25 y 54 años de edad.</w:t>
      </w:r>
    </w:p>
  </w:footnote>
  <w:footnote w:id="2">
    <w:p w:rsidR="00B13702" w:rsidRPr="00B13702" w:rsidRDefault="00B13702">
      <w:pPr>
        <w:pStyle w:val="FootnoteText"/>
        <w:rPr>
          <w:lang w:val="es-ES"/>
        </w:rPr>
      </w:pPr>
      <w:r>
        <w:rPr>
          <w:rStyle w:val="FootnoteReference"/>
        </w:rPr>
        <w:footnoteRef/>
      </w:r>
      <w:r w:rsidRPr="00B13702">
        <w:rPr>
          <w:lang w:val="es-ES"/>
        </w:rPr>
        <w:t xml:space="preserve"> Sistema de Indicadores de Mercado Laboral y Seguridad Social (SIMS). Base de datos de uso interno. Washington, D.C</w:t>
      </w:r>
      <w:r>
        <w:rPr>
          <w:lang w:val="es-ES"/>
        </w:rPr>
        <w:t>.</w:t>
      </w:r>
    </w:p>
  </w:footnote>
  <w:footnote w:id="3">
    <w:p w:rsidR="00361B39" w:rsidRPr="00361B39" w:rsidRDefault="00361B39" w:rsidP="00361B39">
      <w:pPr>
        <w:pStyle w:val="FootnoteText"/>
        <w:jc w:val="both"/>
        <w:rPr>
          <w:lang w:val="es-ES"/>
        </w:rPr>
      </w:pPr>
      <w:r>
        <w:rPr>
          <w:rStyle w:val="FootnoteReference"/>
        </w:rPr>
        <w:footnoteRef/>
      </w:r>
      <w:r w:rsidRPr="00361B39">
        <w:rPr>
          <w:lang w:val="es-ES"/>
        </w:rPr>
        <w:t xml:space="preserve"> Estudios realizados para Bolivia sobre las explicaciones detrás de estas diferencias encuentra que la parte que no se puede explicar por diferencias en educación, experiencia y otras variables relacionadas al mercado laboral </w:t>
      </w:r>
      <w:r w:rsidR="0003763D" w:rsidRPr="00361B39">
        <w:rPr>
          <w:lang w:val="es-ES"/>
        </w:rPr>
        <w:t>está</w:t>
      </w:r>
      <w:r w:rsidRPr="00361B39">
        <w:rPr>
          <w:lang w:val="es-ES"/>
        </w:rPr>
        <w:t xml:space="preserve"> entre 20 % (Ñopo, 2012) y 10 % (Urquidi y Valencia, fothcoming) .</w:t>
      </w:r>
    </w:p>
  </w:footnote>
  <w:footnote w:id="4">
    <w:p w:rsidR="00770EB5" w:rsidRPr="00770EB5" w:rsidRDefault="00770EB5" w:rsidP="00770EB5">
      <w:pPr>
        <w:pStyle w:val="FootnoteText"/>
        <w:rPr>
          <w:rFonts w:ascii="Arial" w:hAnsi="Arial" w:cs="Arial"/>
          <w:sz w:val="18"/>
          <w:szCs w:val="18"/>
          <w:lang w:val="es-ES_tradnl"/>
        </w:rPr>
      </w:pPr>
      <w:r w:rsidRPr="001834BD">
        <w:rPr>
          <w:rStyle w:val="FootnoteReference"/>
          <w:rFonts w:ascii="Arial" w:hAnsi="Arial" w:cs="Arial"/>
          <w:sz w:val="18"/>
          <w:szCs w:val="18"/>
        </w:rPr>
        <w:footnoteRef/>
      </w:r>
      <w:r w:rsidRPr="00770EB5">
        <w:rPr>
          <w:rFonts w:ascii="Arial" w:hAnsi="Arial" w:cs="Arial"/>
          <w:sz w:val="18"/>
          <w:szCs w:val="18"/>
          <w:lang w:val="es-ES_tradnl"/>
        </w:rPr>
        <w:t xml:space="preserve"> </w:t>
      </w:r>
      <w:r w:rsidRPr="00770EB5">
        <w:rPr>
          <w:rFonts w:ascii="Arial" w:hAnsi="Arial" w:cs="Arial"/>
          <w:sz w:val="18"/>
          <w:szCs w:val="18"/>
          <w:lang w:val="es-ES_tradnl"/>
        </w:rPr>
        <w:tab/>
        <w:t>Fuente: Encuesta de Demanda del Mercado Laboral en Bolivia (BID, 2015).</w:t>
      </w:r>
    </w:p>
  </w:footnote>
  <w:footnote w:id="5">
    <w:p w:rsidR="0011441B" w:rsidRPr="00E6227E" w:rsidRDefault="0011441B" w:rsidP="00E04263">
      <w:pPr>
        <w:pStyle w:val="FootnoteText"/>
        <w:jc w:val="both"/>
        <w:rPr>
          <w:lang w:val="es-BO"/>
        </w:rPr>
      </w:pPr>
      <w:r>
        <w:rPr>
          <w:rStyle w:val="FootnoteReference"/>
        </w:rPr>
        <w:footnoteRef/>
      </w:r>
      <w:r w:rsidRPr="00E6227E">
        <w:rPr>
          <w:lang w:val="es-BO"/>
        </w:rPr>
        <w:t xml:space="preserve"> Uno de los principales escollos que siguen confrontando las mujeres</w:t>
      </w:r>
      <w:r>
        <w:rPr>
          <w:lang w:val="es-BO"/>
        </w:rPr>
        <w:t xml:space="preserve"> en el mercado de trabajo es la </w:t>
      </w:r>
      <w:r w:rsidRPr="00E6227E">
        <w:rPr>
          <w:lang w:val="es-BO"/>
        </w:rPr>
        <w:t>expectativa cultural sobre su papel como principales responsables del cuidado de los niños y de los adultos mayores. Según los datos de la Encuesta Mundial de Valores en la región, esta percepción ha cambiado muy poco a lo largo del tiempo. La experiencia laboral es un componente valioso del capital humano y las diferencias por razón de género en esa experiencia pueden reducir la capacidad de las mujeres de percibir ingresos y desalentar la actividad laboral. Los datos comparables sobre la experiencia laboral real son limitados, pero la información disponible en las encuestas de empresas en diferentes países apunta a una clara brecha de género en cuanto a los años de experiencia entre los gerentes en América Latina y el Caribe (Amin y Kushnir, 2012).</w:t>
      </w:r>
    </w:p>
  </w:footnote>
  <w:footnote w:id="6">
    <w:p w:rsidR="0099463E" w:rsidRPr="0099463E" w:rsidRDefault="0099463E" w:rsidP="0099463E">
      <w:pPr>
        <w:pStyle w:val="FootnoteText"/>
        <w:jc w:val="both"/>
        <w:rPr>
          <w:lang w:val="es-ES"/>
        </w:rPr>
      </w:pPr>
      <w:r>
        <w:rPr>
          <w:rStyle w:val="FootnoteReference"/>
        </w:rPr>
        <w:footnoteRef/>
      </w:r>
      <w:r w:rsidRPr="0099463E">
        <w:rPr>
          <w:lang w:val="es-ES"/>
        </w:rPr>
        <w:t xml:space="preserve"> Es importante destacar el hecho que el acceso a servicios de cuidado infantil no sólo incentiva la participación laboral de las madres, además brinda los conocidos beneficios de la educación temprana en el desarrollo cognitivo y el futuro desempeño académico de los niños. Al respecto, en LAC se ha experimentado avances en la asistencia al nivel preescolar en las últimas dos décadas (de 33% al 53%).</w:t>
      </w:r>
    </w:p>
  </w:footnote>
  <w:footnote w:id="7">
    <w:p w:rsidR="00794C19" w:rsidRPr="00076165" w:rsidRDefault="00794C19" w:rsidP="00076165">
      <w:pPr>
        <w:pStyle w:val="FootnoteText"/>
        <w:jc w:val="both"/>
        <w:rPr>
          <w:lang w:val="es-ES"/>
        </w:rPr>
      </w:pPr>
      <w:r w:rsidRPr="00076165">
        <w:rPr>
          <w:rStyle w:val="FootnoteReference"/>
        </w:rPr>
        <w:footnoteRef/>
      </w:r>
      <w:r w:rsidRPr="00076165">
        <w:rPr>
          <w:lang w:val="es-ES"/>
        </w:rPr>
        <w:t xml:space="preserve"> El Índice de Duncan para la región pasó de 0,37 en 2000 a 0,36 en 2010 (CEPAL et al., 2013). El </w:t>
      </w:r>
      <w:r w:rsidR="0003763D" w:rsidRPr="00076165">
        <w:rPr>
          <w:lang w:val="es-ES"/>
        </w:rPr>
        <w:t>índice</w:t>
      </w:r>
      <w:r w:rsidRPr="00076165">
        <w:rPr>
          <w:lang w:val="es-ES"/>
        </w:rPr>
        <w:t xml:space="preserve"> de Dundan es un </w:t>
      </w:r>
      <w:r w:rsidR="0003763D" w:rsidRPr="00076165">
        <w:rPr>
          <w:lang w:val="es-ES"/>
        </w:rPr>
        <w:t>índice</w:t>
      </w:r>
      <w:r w:rsidRPr="00076165">
        <w:rPr>
          <w:lang w:val="es-ES"/>
        </w:rPr>
        <w:t xml:space="preserve"> de segregación que </w:t>
      </w:r>
      <w:r w:rsidR="00076165" w:rsidRPr="00076165">
        <w:rPr>
          <w:lang w:val="es-ES"/>
        </w:rPr>
        <w:t xml:space="preserve">toma valores entre 0 y 1. Cuando el ID es 0 significa que no hay segregación, es decir, </w:t>
      </w:r>
      <w:r w:rsidR="00076165">
        <w:rPr>
          <w:lang w:val="es-ES"/>
        </w:rPr>
        <w:t xml:space="preserve">las mujeres </w:t>
      </w:r>
      <w:r w:rsidR="00076165" w:rsidRPr="00076165">
        <w:rPr>
          <w:lang w:val="es-ES"/>
        </w:rPr>
        <w:t xml:space="preserve">se distribuyen entre ocupaciones en las mismas proporciones que los </w:t>
      </w:r>
      <w:r w:rsidR="00076165">
        <w:rPr>
          <w:lang w:val="es-ES"/>
        </w:rPr>
        <w:t>hombres</w:t>
      </w:r>
      <w:r w:rsidR="00076165" w:rsidRPr="00076165">
        <w:rPr>
          <w:lang w:val="es-ES"/>
        </w:rPr>
        <w:t xml:space="preserve">. Cuando el ID es igual a 1 resulta una segregación completa, es decir, cada ocupación es completamente </w:t>
      </w:r>
      <w:r w:rsidR="00076165">
        <w:rPr>
          <w:lang w:val="es-ES"/>
        </w:rPr>
        <w:t>para homres o mujeres.</w:t>
      </w:r>
    </w:p>
  </w:footnote>
  <w:footnote w:id="8">
    <w:p w:rsidR="0011441B" w:rsidRPr="00F84B2E" w:rsidRDefault="0011441B" w:rsidP="00F84B2E">
      <w:pPr>
        <w:pStyle w:val="FootnoteText"/>
        <w:jc w:val="both"/>
        <w:rPr>
          <w:lang w:val="es-ES"/>
        </w:rPr>
      </w:pPr>
      <w:r>
        <w:rPr>
          <w:rStyle w:val="FootnoteReference"/>
        </w:rPr>
        <w:footnoteRef/>
      </w:r>
      <w:r w:rsidRPr="00F84B2E">
        <w:rPr>
          <w:lang w:val="es-ES"/>
        </w:rPr>
        <w:t xml:space="preserve"> Resalta el hecho que para los trabajadores que desempeñan sus funciones como </w:t>
      </w:r>
      <w:r>
        <w:rPr>
          <w:lang w:val="es-ES"/>
        </w:rPr>
        <w:t>“</w:t>
      </w:r>
      <w:r w:rsidRPr="00F84B2E">
        <w:rPr>
          <w:lang w:val="es-ES"/>
        </w:rPr>
        <w:t>Profesionales, Científicos o Intelectuales</w:t>
      </w:r>
      <w:r>
        <w:rPr>
          <w:lang w:val="es-ES"/>
        </w:rPr>
        <w:t>”</w:t>
      </w:r>
      <w:r w:rsidRPr="00F84B2E">
        <w:rPr>
          <w:lang w:val="es-ES"/>
        </w:rPr>
        <w:t xml:space="preserve"> presenta</w:t>
      </w:r>
      <w:r>
        <w:rPr>
          <w:lang w:val="es-ES"/>
        </w:rPr>
        <w:t>n</w:t>
      </w:r>
      <w:r w:rsidRPr="00F84B2E">
        <w:rPr>
          <w:lang w:val="es-ES"/>
        </w:rPr>
        <w:t xml:space="preserve"> paridad en cuanto a su participación en el mercado laboral donde existen 9 mujeres por cada 10 hombres</w:t>
      </w:r>
      <w:r>
        <w:rPr>
          <w:lang w:val="es-ES"/>
        </w:rPr>
        <w:t>.</w:t>
      </w:r>
    </w:p>
  </w:footnote>
  <w:footnote w:id="9">
    <w:p w:rsidR="00E21C82" w:rsidRPr="00E21C82" w:rsidRDefault="00E21C82" w:rsidP="007B41F3">
      <w:pPr>
        <w:pStyle w:val="FootnoteText"/>
        <w:jc w:val="both"/>
        <w:rPr>
          <w:rFonts w:ascii="Arial" w:hAnsi="Arial" w:cs="Arial"/>
          <w:sz w:val="18"/>
          <w:szCs w:val="18"/>
          <w:lang w:val="es-ES"/>
        </w:rPr>
      </w:pPr>
      <w:r>
        <w:rPr>
          <w:rStyle w:val="FootnoteReference"/>
        </w:rPr>
        <w:footnoteRef/>
      </w:r>
      <w:r w:rsidRPr="00E21C82">
        <w:rPr>
          <w:lang w:val="es-ES"/>
        </w:rPr>
        <w:t xml:space="preserve">  </w:t>
      </w:r>
      <w:r w:rsidRPr="00E21C82">
        <w:rPr>
          <w:rFonts w:ascii="Arial" w:hAnsi="Arial" w:cs="Arial"/>
          <w:sz w:val="18"/>
          <w:szCs w:val="18"/>
          <w:lang w:val="es-ES"/>
        </w:rPr>
        <w:t>El proceso de inserción estará unido además a un proceso de sensibilización en la empresa y estará coordinado con  la división de transporte a fin de buscar oportunidades laborales en el sector transporte para mujeres que puedan identificarse en los préstamos de infraestructura que se ejecutan en el país.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B4991"/>
    <w:multiLevelType w:val="multilevel"/>
    <w:tmpl w:val="BC5EEE86"/>
    <w:lvl w:ilvl="0">
      <w:start w:val="1"/>
      <w:numFmt w:val="upperRoman"/>
      <w:lvlRestart w:val="0"/>
      <w:pStyle w:val="Chapter"/>
      <w:lvlText w:val="%1."/>
      <w:lvlJc w:val="center"/>
      <w:pPr>
        <w:tabs>
          <w:tab w:val="num" w:pos="990"/>
        </w:tabs>
        <w:ind w:left="342" w:firstLine="288"/>
      </w:pPr>
      <w:rPr>
        <w:b/>
        <w:i w:val="0"/>
      </w:rPr>
    </w:lvl>
    <w:lvl w:ilvl="1">
      <w:start w:val="1"/>
      <w:numFmt w:val="decimal"/>
      <w:pStyle w:val="Paragraph"/>
      <w:isLgl/>
      <w:lvlText w:val="%1.%2"/>
      <w:lvlJc w:val="left"/>
      <w:pPr>
        <w:tabs>
          <w:tab w:val="num" w:pos="1566"/>
        </w:tabs>
        <w:ind w:left="1566" w:hanging="1296"/>
      </w:pPr>
      <w:rPr>
        <w:rFonts w:ascii="Arial" w:hAnsi="Arial" w:cs="Arial" w:hint="default"/>
        <w:b/>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D3"/>
    <w:rsid w:val="000314B4"/>
    <w:rsid w:val="0003763D"/>
    <w:rsid w:val="00040EA5"/>
    <w:rsid w:val="00076165"/>
    <w:rsid w:val="000A1983"/>
    <w:rsid w:val="000B4F80"/>
    <w:rsid w:val="000C7EF0"/>
    <w:rsid w:val="00103C1E"/>
    <w:rsid w:val="0011441B"/>
    <w:rsid w:val="00137A8B"/>
    <w:rsid w:val="00144089"/>
    <w:rsid w:val="00164FBE"/>
    <w:rsid w:val="00182B39"/>
    <w:rsid w:val="001901EF"/>
    <w:rsid w:val="001A40F3"/>
    <w:rsid w:val="001B2764"/>
    <w:rsid w:val="00254EBD"/>
    <w:rsid w:val="002D19FB"/>
    <w:rsid w:val="00315FAF"/>
    <w:rsid w:val="00326AD3"/>
    <w:rsid w:val="00351A54"/>
    <w:rsid w:val="00361B39"/>
    <w:rsid w:val="003F23EF"/>
    <w:rsid w:val="00437E53"/>
    <w:rsid w:val="004556DC"/>
    <w:rsid w:val="00463771"/>
    <w:rsid w:val="0058420B"/>
    <w:rsid w:val="005901F1"/>
    <w:rsid w:val="005E0FEB"/>
    <w:rsid w:val="005F1F7F"/>
    <w:rsid w:val="006134B4"/>
    <w:rsid w:val="00617617"/>
    <w:rsid w:val="00620C7F"/>
    <w:rsid w:val="00655658"/>
    <w:rsid w:val="00666C35"/>
    <w:rsid w:val="00680FAB"/>
    <w:rsid w:val="006825E6"/>
    <w:rsid w:val="0068369F"/>
    <w:rsid w:val="006A63C3"/>
    <w:rsid w:val="006C73C9"/>
    <w:rsid w:val="006C7486"/>
    <w:rsid w:val="006E31DD"/>
    <w:rsid w:val="00770EB5"/>
    <w:rsid w:val="00794643"/>
    <w:rsid w:val="00794C19"/>
    <w:rsid w:val="007B41F3"/>
    <w:rsid w:val="007B52FC"/>
    <w:rsid w:val="00843094"/>
    <w:rsid w:val="00883BA1"/>
    <w:rsid w:val="0099463E"/>
    <w:rsid w:val="00A2240B"/>
    <w:rsid w:val="00AA43C1"/>
    <w:rsid w:val="00AC054C"/>
    <w:rsid w:val="00AE5903"/>
    <w:rsid w:val="00B0722C"/>
    <w:rsid w:val="00B13702"/>
    <w:rsid w:val="00B72AB6"/>
    <w:rsid w:val="00BF30E6"/>
    <w:rsid w:val="00C02196"/>
    <w:rsid w:val="00C243FD"/>
    <w:rsid w:val="00C45BA7"/>
    <w:rsid w:val="00CC6418"/>
    <w:rsid w:val="00D164E1"/>
    <w:rsid w:val="00DD2639"/>
    <w:rsid w:val="00E04263"/>
    <w:rsid w:val="00E21C82"/>
    <w:rsid w:val="00E6227E"/>
    <w:rsid w:val="00E752E5"/>
    <w:rsid w:val="00E85E6C"/>
    <w:rsid w:val="00F66D41"/>
    <w:rsid w:val="00F84B2E"/>
    <w:rsid w:val="00FE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29"/>
    <w:lsdException w:name="caption" w:uiPriority="35" w:qFormat="1"/>
    <w:lsdException w:name="footnote reference" w:qFormat="1"/>
    <w:lsdException w:name="annotation reference" w:uiPriority="2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29"/>
    <w:semiHidden/>
    <w:unhideWhenUsed/>
    <w:rsid w:val="00326AD3"/>
    <w:rPr>
      <w:sz w:val="16"/>
      <w:szCs w:val="16"/>
    </w:rPr>
  </w:style>
  <w:style w:type="paragraph" w:styleId="CommentText">
    <w:name w:val="annotation text"/>
    <w:basedOn w:val="Normal"/>
    <w:link w:val="CommentTextChar"/>
    <w:uiPriority w:val="29"/>
    <w:unhideWhenUsed/>
    <w:rsid w:val="00326AD3"/>
    <w:pPr>
      <w:spacing w:before="120" w:after="120" w:line="240" w:lineRule="auto"/>
      <w:jc w:val="both"/>
    </w:pPr>
    <w:rPr>
      <w:rFonts w:ascii="Verdana" w:eastAsia="Times New Roman" w:hAnsi="Verdana" w:cs="Times New Roman"/>
      <w:color w:val="333333"/>
      <w:sz w:val="20"/>
      <w:szCs w:val="20"/>
      <w:lang w:val="en-GB" w:eastAsia="en-GB"/>
    </w:rPr>
  </w:style>
  <w:style w:type="character" w:customStyle="1" w:styleId="CommentTextChar">
    <w:name w:val="Comment Text Char"/>
    <w:basedOn w:val="DefaultParagraphFont"/>
    <w:link w:val="CommentText"/>
    <w:uiPriority w:val="29"/>
    <w:rsid w:val="00326AD3"/>
    <w:rPr>
      <w:rFonts w:ascii="Verdana" w:eastAsia="Times New Roman" w:hAnsi="Verdana" w:cs="Times New Roman"/>
      <w:color w:val="333333"/>
      <w:sz w:val="20"/>
      <w:szCs w:val="20"/>
      <w:lang w:val="en-GB" w:eastAsia="en-GB"/>
    </w:rPr>
  </w:style>
  <w:style w:type="paragraph" w:styleId="BalloonText">
    <w:name w:val="Balloon Text"/>
    <w:basedOn w:val="Normal"/>
    <w:link w:val="BalloonTextChar"/>
    <w:uiPriority w:val="99"/>
    <w:semiHidden/>
    <w:unhideWhenUsed/>
    <w:rsid w:val="00326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D3"/>
    <w:rPr>
      <w:rFonts w:ascii="Segoe UI" w:hAnsi="Segoe UI" w:cs="Segoe UI"/>
      <w:sz w:val="18"/>
      <w:szCs w:val="18"/>
    </w:rPr>
  </w:style>
  <w:style w:type="paragraph" w:styleId="FootnoteText">
    <w:name w:val="footnote text"/>
    <w:aliases w:val="fn,ft,footnote,texto de nota al pie,Texto nota pie Car Car Car Car Car Car Car Car,Texto nota pie Car Car Car,Footnote Text Char Char Char Char Char Char,Texto nota pie Car Car Car Car Car,Texto nota pie Car1,Texto nota pie Car Car,Texto"/>
    <w:basedOn w:val="Normal"/>
    <w:link w:val="FootnoteTextChar"/>
    <w:unhideWhenUsed/>
    <w:qFormat/>
    <w:rsid w:val="00E6227E"/>
    <w:pPr>
      <w:spacing w:after="0" w:line="240" w:lineRule="auto"/>
    </w:pPr>
    <w:rPr>
      <w:sz w:val="20"/>
      <w:szCs w:val="20"/>
    </w:rPr>
  </w:style>
  <w:style w:type="character" w:customStyle="1" w:styleId="FootnoteTextChar">
    <w:name w:val="Footnote Text Char"/>
    <w:aliases w:val="fn Char,ft Char,footnote Char,texto de nota al pie Char,Texto nota pie Car Car Car Car Car Car Car Car Char,Texto nota pie Car Car Car Char,Footnote Text Char Char Char Char Char Char Char,Texto nota pie Car Car Car Car Car Char"/>
    <w:basedOn w:val="DefaultParagraphFont"/>
    <w:link w:val="FootnoteText"/>
    <w:rsid w:val="00E6227E"/>
    <w:rPr>
      <w:sz w:val="20"/>
      <w:szCs w:val="20"/>
    </w:rPr>
  </w:style>
  <w:style w:type="character" w:styleId="FootnoteReference">
    <w:name w:val="footnote reference"/>
    <w:aliases w:val="Stinking Styles11,titulo 2,FC,referencia nota al pie,Texto de nota al pie,Footnote symbol,Footnote,BVI fnr,ftref,16 Point,Superscript 6 Point,Ref,de nota al pie,Style 24,pie pddes,Footnote Reference.SES,Fußnotenzeichen DISS,fr,SUPERS"/>
    <w:basedOn w:val="DefaultParagraphFont"/>
    <w:uiPriority w:val="99"/>
    <w:semiHidden/>
    <w:unhideWhenUsed/>
    <w:qFormat/>
    <w:rsid w:val="00E6227E"/>
    <w:rPr>
      <w:vertAlign w:val="superscript"/>
    </w:rPr>
  </w:style>
  <w:style w:type="paragraph" w:customStyle="1" w:styleId="Chapter">
    <w:name w:val="Chapter"/>
    <w:basedOn w:val="Normal"/>
    <w:next w:val="Normal"/>
    <w:rsid w:val="00AC054C"/>
    <w:pPr>
      <w:keepNext/>
      <w:numPr>
        <w:numId w:val="1"/>
      </w:numPr>
      <w:tabs>
        <w:tab w:val="num" w:pos="648"/>
        <w:tab w:val="left" w:pos="1440"/>
      </w:tabs>
      <w:spacing w:before="240" w:after="240" w:line="240" w:lineRule="auto"/>
      <w:ind w:left="0"/>
      <w:jc w:val="center"/>
    </w:pPr>
    <w:rPr>
      <w:rFonts w:ascii="Times New Roman" w:eastAsia="Times New Roman" w:hAnsi="Times New Roman" w:cs="Times New Roman"/>
      <w:b/>
      <w:smallCaps/>
      <w:sz w:val="24"/>
      <w:szCs w:val="20"/>
      <w:lang w:val="es-ES"/>
    </w:rPr>
  </w:style>
  <w:style w:type="paragraph" w:customStyle="1" w:styleId="Newpage">
    <w:name w:val="Newpage"/>
    <w:basedOn w:val="Chapter"/>
    <w:rsid w:val="00AC054C"/>
    <w:pPr>
      <w:numPr>
        <w:numId w:val="0"/>
      </w:numPr>
      <w:tabs>
        <w:tab w:val="clear" w:pos="1440"/>
        <w:tab w:val="num" w:pos="990"/>
        <w:tab w:val="left" w:pos="3060"/>
      </w:tabs>
      <w:spacing w:after="0"/>
    </w:pPr>
  </w:style>
  <w:style w:type="paragraph" w:customStyle="1" w:styleId="Paragraph">
    <w:name w:val="Paragraph"/>
    <w:aliases w:val="p,PARAGRAPH,PG,pa,at,paragraph+1,paragraph"/>
    <w:basedOn w:val="BodyTextIndent"/>
    <w:qFormat/>
    <w:rsid w:val="00AC054C"/>
    <w:pPr>
      <w:numPr>
        <w:ilvl w:val="1"/>
        <w:numId w:val="1"/>
      </w:numPr>
      <w:tabs>
        <w:tab w:val="clear" w:pos="1566"/>
        <w:tab w:val="num" w:pos="360"/>
        <w:tab w:val="num" w:pos="720"/>
      </w:tabs>
      <w:spacing w:before="120" w:line="240" w:lineRule="auto"/>
      <w:ind w:left="720" w:hanging="720"/>
      <w:jc w:val="both"/>
      <w:outlineLvl w:val="1"/>
    </w:pPr>
    <w:rPr>
      <w:rFonts w:ascii="Times New Roman" w:eastAsia="Times New Roman" w:hAnsi="Times New Roman" w:cs="Times New Roman"/>
      <w:sz w:val="24"/>
      <w:szCs w:val="20"/>
      <w:lang w:val="es-ES"/>
    </w:rPr>
  </w:style>
  <w:style w:type="paragraph" w:customStyle="1" w:styleId="subpar">
    <w:name w:val="subpar"/>
    <w:basedOn w:val="BodyTextIndent3"/>
    <w:rsid w:val="00AC054C"/>
    <w:pPr>
      <w:numPr>
        <w:ilvl w:val="2"/>
        <w:numId w:val="1"/>
      </w:numPr>
      <w:tabs>
        <w:tab w:val="clear" w:pos="2304"/>
        <w:tab w:val="num" w:pos="360"/>
        <w:tab w:val="num" w:pos="1152"/>
      </w:tabs>
      <w:spacing w:before="120" w:line="240" w:lineRule="auto"/>
      <w:ind w:left="1152"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AC054C"/>
    <w:pPr>
      <w:numPr>
        <w:ilvl w:val="3"/>
      </w:numPr>
      <w:tabs>
        <w:tab w:val="clear" w:pos="2736"/>
        <w:tab w:val="left" w:pos="0"/>
        <w:tab w:val="num" w:pos="360"/>
        <w:tab w:val="num" w:pos="1152"/>
        <w:tab w:val="num" w:pos="1296"/>
      </w:tabs>
      <w:ind w:left="1296"/>
    </w:pPr>
  </w:style>
  <w:style w:type="paragraph" w:styleId="BodyTextIndent">
    <w:name w:val="Body Text Indent"/>
    <w:basedOn w:val="Normal"/>
    <w:link w:val="BodyTextIndentChar"/>
    <w:uiPriority w:val="99"/>
    <w:semiHidden/>
    <w:unhideWhenUsed/>
    <w:rsid w:val="00AC054C"/>
    <w:pPr>
      <w:spacing w:after="120"/>
      <w:ind w:left="360"/>
    </w:pPr>
  </w:style>
  <w:style w:type="character" w:customStyle="1" w:styleId="BodyTextIndentChar">
    <w:name w:val="Body Text Indent Char"/>
    <w:basedOn w:val="DefaultParagraphFont"/>
    <w:link w:val="BodyTextIndent"/>
    <w:uiPriority w:val="99"/>
    <w:semiHidden/>
    <w:rsid w:val="00AC054C"/>
  </w:style>
  <w:style w:type="paragraph" w:styleId="BodyTextIndent3">
    <w:name w:val="Body Text Indent 3"/>
    <w:basedOn w:val="Normal"/>
    <w:link w:val="BodyTextIndent3Char"/>
    <w:uiPriority w:val="99"/>
    <w:semiHidden/>
    <w:unhideWhenUsed/>
    <w:rsid w:val="00AC05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C054C"/>
    <w:rPr>
      <w:sz w:val="16"/>
      <w:szCs w:val="16"/>
    </w:rPr>
  </w:style>
  <w:style w:type="paragraph" w:styleId="NormalWeb">
    <w:name w:val="Normal (Web)"/>
    <w:basedOn w:val="Normal"/>
    <w:uiPriority w:val="99"/>
    <w:semiHidden/>
    <w:unhideWhenUsed/>
    <w:rsid w:val="00794C1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CommentSubject">
    <w:name w:val="annotation subject"/>
    <w:basedOn w:val="CommentText"/>
    <w:next w:val="CommentText"/>
    <w:link w:val="CommentSubjectChar"/>
    <w:uiPriority w:val="99"/>
    <w:semiHidden/>
    <w:unhideWhenUsed/>
    <w:rsid w:val="00040EA5"/>
    <w:pPr>
      <w:spacing w:before="0" w:after="160"/>
      <w:jc w:val="left"/>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040EA5"/>
    <w:rPr>
      <w:rFonts w:ascii="Verdana" w:eastAsia="Times New Roman" w:hAnsi="Verdana" w:cs="Times New Roman"/>
      <w:b/>
      <w:bCs/>
      <w:color w:val="333333"/>
      <w:sz w:val="20"/>
      <w:szCs w:val="20"/>
      <w:lang w:val="en-GB" w:eastAsia="en-GB"/>
    </w:rPr>
  </w:style>
  <w:style w:type="paragraph" w:styleId="Revision">
    <w:name w:val="Revision"/>
    <w:hidden/>
    <w:uiPriority w:val="99"/>
    <w:semiHidden/>
    <w:rsid w:val="00040EA5"/>
    <w:pPr>
      <w:spacing w:after="0" w:line="240" w:lineRule="auto"/>
    </w:pPr>
  </w:style>
  <w:style w:type="character" w:styleId="Strong">
    <w:name w:val="Strong"/>
    <w:basedOn w:val="DefaultParagraphFont"/>
    <w:uiPriority w:val="22"/>
    <w:qFormat/>
    <w:rsid w:val="007946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29"/>
    <w:lsdException w:name="caption" w:uiPriority="35" w:qFormat="1"/>
    <w:lsdException w:name="footnote reference" w:qFormat="1"/>
    <w:lsdException w:name="annotation reference" w:uiPriority="2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29"/>
    <w:semiHidden/>
    <w:unhideWhenUsed/>
    <w:rsid w:val="00326AD3"/>
    <w:rPr>
      <w:sz w:val="16"/>
      <w:szCs w:val="16"/>
    </w:rPr>
  </w:style>
  <w:style w:type="paragraph" w:styleId="CommentText">
    <w:name w:val="annotation text"/>
    <w:basedOn w:val="Normal"/>
    <w:link w:val="CommentTextChar"/>
    <w:uiPriority w:val="29"/>
    <w:unhideWhenUsed/>
    <w:rsid w:val="00326AD3"/>
    <w:pPr>
      <w:spacing w:before="120" w:after="120" w:line="240" w:lineRule="auto"/>
      <w:jc w:val="both"/>
    </w:pPr>
    <w:rPr>
      <w:rFonts w:ascii="Verdana" w:eastAsia="Times New Roman" w:hAnsi="Verdana" w:cs="Times New Roman"/>
      <w:color w:val="333333"/>
      <w:sz w:val="20"/>
      <w:szCs w:val="20"/>
      <w:lang w:val="en-GB" w:eastAsia="en-GB"/>
    </w:rPr>
  </w:style>
  <w:style w:type="character" w:customStyle="1" w:styleId="CommentTextChar">
    <w:name w:val="Comment Text Char"/>
    <w:basedOn w:val="DefaultParagraphFont"/>
    <w:link w:val="CommentText"/>
    <w:uiPriority w:val="29"/>
    <w:rsid w:val="00326AD3"/>
    <w:rPr>
      <w:rFonts w:ascii="Verdana" w:eastAsia="Times New Roman" w:hAnsi="Verdana" w:cs="Times New Roman"/>
      <w:color w:val="333333"/>
      <w:sz w:val="20"/>
      <w:szCs w:val="20"/>
      <w:lang w:val="en-GB" w:eastAsia="en-GB"/>
    </w:rPr>
  </w:style>
  <w:style w:type="paragraph" w:styleId="BalloonText">
    <w:name w:val="Balloon Text"/>
    <w:basedOn w:val="Normal"/>
    <w:link w:val="BalloonTextChar"/>
    <w:uiPriority w:val="99"/>
    <w:semiHidden/>
    <w:unhideWhenUsed/>
    <w:rsid w:val="00326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D3"/>
    <w:rPr>
      <w:rFonts w:ascii="Segoe UI" w:hAnsi="Segoe UI" w:cs="Segoe UI"/>
      <w:sz w:val="18"/>
      <w:szCs w:val="18"/>
    </w:rPr>
  </w:style>
  <w:style w:type="paragraph" w:styleId="FootnoteText">
    <w:name w:val="footnote text"/>
    <w:aliases w:val="fn,ft,footnote,texto de nota al pie,Texto nota pie Car Car Car Car Car Car Car Car,Texto nota pie Car Car Car,Footnote Text Char Char Char Char Char Char,Texto nota pie Car Car Car Car Car,Texto nota pie Car1,Texto nota pie Car Car,Texto"/>
    <w:basedOn w:val="Normal"/>
    <w:link w:val="FootnoteTextChar"/>
    <w:unhideWhenUsed/>
    <w:qFormat/>
    <w:rsid w:val="00E6227E"/>
    <w:pPr>
      <w:spacing w:after="0" w:line="240" w:lineRule="auto"/>
    </w:pPr>
    <w:rPr>
      <w:sz w:val="20"/>
      <w:szCs w:val="20"/>
    </w:rPr>
  </w:style>
  <w:style w:type="character" w:customStyle="1" w:styleId="FootnoteTextChar">
    <w:name w:val="Footnote Text Char"/>
    <w:aliases w:val="fn Char,ft Char,footnote Char,texto de nota al pie Char,Texto nota pie Car Car Car Car Car Car Car Car Char,Texto nota pie Car Car Car Char,Footnote Text Char Char Char Char Char Char Char,Texto nota pie Car Car Car Car Car Char"/>
    <w:basedOn w:val="DefaultParagraphFont"/>
    <w:link w:val="FootnoteText"/>
    <w:rsid w:val="00E6227E"/>
    <w:rPr>
      <w:sz w:val="20"/>
      <w:szCs w:val="20"/>
    </w:rPr>
  </w:style>
  <w:style w:type="character" w:styleId="FootnoteReference">
    <w:name w:val="footnote reference"/>
    <w:aliases w:val="Stinking Styles11,titulo 2,FC,referencia nota al pie,Texto de nota al pie,Footnote symbol,Footnote,BVI fnr,ftref,16 Point,Superscript 6 Point,Ref,de nota al pie,Style 24,pie pddes,Footnote Reference.SES,Fußnotenzeichen DISS,fr,SUPERS"/>
    <w:basedOn w:val="DefaultParagraphFont"/>
    <w:uiPriority w:val="99"/>
    <w:semiHidden/>
    <w:unhideWhenUsed/>
    <w:qFormat/>
    <w:rsid w:val="00E6227E"/>
    <w:rPr>
      <w:vertAlign w:val="superscript"/>
    </w:rPr>
  </w:style>
  <w:style w:type="paragraph" w:customStyle="1" w:styleId="Chapter">
    <w:name w:val="Chapter"/>
    <w:basedOn w:val="Normal"/>
    <w:next w:val="Normal"/>
    <w:rsid w:val="00AC054C"/>
    <w:pPr>
      <w:keepNext/>
      <w:numPr>
        <w:numId w:val="1"/>
      </w:numPr>
      <w:tabs>
        <w:tab w:val="num" w:pos="648"/>
        <w:tab w:val="left" w:pos="1440"/>
      </w:tabs>
      <w:spacing w:before="240" w:after="240" w:line="240" w:lineRule="auto"/>
      <w:ind w:left="0"/>
      <w:jc w:val="center"/>
    </w:pPr>
    <w:rPr>
      <w:rFonts w:ascii="Times New Roman" w:eastAsia="Times New Roman" w:hAnsi="Times New Roman" w:cs="Times New Roman"/>
      <w:b/>
      <w:smallCaps/>
      <w:sz w:val="24"/>
      <w:szCs w:val="20"/>
      <w:lang w:val="es-ES"/>
    </w:rPr>
  </w:style>
  <w:style w:type="paragraph" w:customStyle="1" w:styleId="Newpage">
    <w:name w:val="Newpage"/>
    <w:basedOn w:val="Chapter"/>
    <w:rsid w:val="00AC054C"/>
    <w:pPr>
      <w:numPr>
        <w:numId w:val="0"/>
      </w:numPr>
      <w:tabs>
        <w:tab w:val="clear" w:pos="1440"/>
        <w:tab w:val="num" w:pos="990"/>
        <w:tab w:val="left" w:pos="3060"/>
      </w:tabs>
      <w:spacing w:after="0"/>
    </w:pPr>
  </w:style>
  <w:style w:type="paragraph" w:customStyle="1" w:styleId="Paragraph">
    <w:name w:val="Paragraph"/>
    <w:aliases w:val="p,PARAGRAPH,PG,pa,at,paragraph+1,paragraph"/>
    <w:basedOn w:val="BodyTextIndent"/>
    <w:qFormat/>
    <w:rsid w:val="00AC054C"/>
    <w:pPr>
      <w:numPr>
        <w:ilvl w:val="1"/>
        <w:numId w:val="1"/>
      </w:numPr>
      <w:tabs>
        <w:tab w:val="clear" w:pos="1566"/>
        <w:tab w:val="num" w:pos="360"/>
        <w:tab w:val="num" w:pos="720"/>
      </w:tabs>
      <w:spacing w:before="120" w:line="240" w:lineRule="auto"/>
      <w:ind w:left="720" w:hanging="720"/>
      <w:jc w:val="both"/>
      <w:outlineLvl w:val="1"/>
    </w:pPr>
    <w:rPr>
      <w:rFonts w:ascii="Times New Roman" w:eastAsia="Times New Roman" w:hAnsi="Times New Roman" w:cs="Times New Roman"/>
      <w:sz w:val="24"/>
      <w:szCs w:val="20"/>
      <w:lang w:val="es-ES"/>
    </w:rPr>
  </w:style>
  <w:style w:type="paragraph" w:customStyle="1" w:styleId="subpar">
    <w:name w:val="subpar"/>
    <w:basedOn w:val="BodyTextIndent3"/>
    <w:rsid w:val="00AC054C"/>
    <w:pPr>
      <w:numPr>
        <w:ilvl w:val="2"/>
        <w:numId w:val="1"/>
      </w:numPr>
      <w:tabs>
        <w:tab w:val="clear" w:pos="2304"/>
        <w:tab w:val="num" w:pos="360"/>
        <w:tab w:val="num" w:pos="1152"/>
      </w:tabs>
      <w:spacing w:before="120" w:line="240" w:lineRule="auto"/>
      <w:ind w:left="1152"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AC054C"/>
    <w:pPr>
      <w:numPr>
        <w:ilvl w:val="3"/>
      </w:numPr>
      <w:tabs>
        <w:tab w:val="clear" w:pos="2736"/>
        <w:tab w:val="left" w:pos="0"/>
        <w:tab w:val="num" w:pos="360"/>
        <w:tab w:val="num" w:pos="1152"/>
        <w:tab w:val="num" w:pos="1296"/>
      </w:tabs>
      <w:ind w:left="1296"/>
    </w:pPr>
  </w:style>
  <w:style w:type="paragraph" w:styleId="BodyTextIndent">
    <w:name w:val="Body Text Indent"/>
    <w:basedOn w:val="Normal"/>
    <w:link w:val="BodyTextIndentChar"/>
    <w:uiPriority w:val="99"/>
    <w:semiHidden/>
    <w:unhideWhenUsed/>
    <w:rsid w:val="00AC054C"/>
    <w:pPr>
      <w:spacing w:after="120"/>
      <w:ind w:left="360"/>
    </w:pPr>
  </w:style>
  <w:style w:type="character" w:customStyle="1" w:styleId="BodyTextIndentChar">
    <w:name w:val="Body Text Indent Char"/>
    <w:basedOn w:val="DefaultParagraphFont"/>
    <w:link w:val="BodyTextIndent"/>
    <w:uiPriority w:val="99"/>
    <w:semiHidden/>
    <w:rsid w:val="00AC054C"/>
  </w:style>
  <w:style w:type="paragraph" w:styleId="BodyTextIndent3">
    <w:name w:val="Body Text Indent 3"/>
    <w:basedOn w:val="Normal"/>
    <w:link w:val="BodyTextIndent3Char"/>
    <w:uiPriority w:val="99"/>
    <w:semiHidden/>
    <w:unhideWhenUsed/>
    <w:rsid w:val="00AC05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C054C"/>
    <w:rPr>
      <w:sz w:val="16"/>
      <w:szCs w:val="16"/>
    </w:rPr>
  </w:style>
  <w:style w:type="paragraph" w:styleId="NormalWeb">
    <w:name w:val="Normal (Web)"/>
    <w:basedOn w:val="Normal"/>
    <w:uiPriority w:val="99"/>
    <w:semiHidden/>
    <w:unhideWhenUsed/>
    <w:rsid w:val="00794C1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CommentSubject">
    <w:name w:val="annotation subject"/>
    <w:basedOn w:val="CommentText"/>
    <w:next w:val="CommentText"/>
    <w:link w:val="CommentSubjectChar"/>
    <w:uiPriority w:val="99"/>
    <w:semiHidden/>
    <w:unhideWhenUsed/>
    <w:rsid w:val="00040EA5"/>
    <w:pPr>
      <w:spacing w:before="0" w:after="160"/>
      <w:jc w:val="left"/>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040EA5"/>
    <w:rPr>
      <w:rFonts w:ascii="Verdana" w:eastAsia="Times New Roman" w:hAnsi="Verdana" w:cs="Times New Roman"/>
      <w:b/>
      <w:bCs/>
      <w:color w:val="333333"/>
      <w:sz w:val="20"/>
      <w:szCs w:val="20"/>
      <w:lang w:val="en-GB" w:eastAsia="en-GB"/>
    </w:rPr>
  </w:style>
  <w:style w:type="paragraph" w:styleId="Revision">
    <w:name w:val="Revision"/>
    <w:hidden/>
    <w:uiPriority w:val="99"/>
    <w:semiHidden/>
    <w:rsid w:val="00040EA5"/>
    <w:pPr>
      <w:spacing w:after="0" w:line="240" w:lineRule="auto"/>
    </w:pPr>
  </w:style>
  <w:style w:type="character" w:styleId="Strong">
    <w:name w:val="Strong"/>
    <w:basedOn w:val="DefaultParagraphFont"/>
    <w:uiPriority w:val="22"/>
    <w:qFormat/>
    <w:rsid w:val="00794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2179">
      <w:bodyDiv w:val="1"/>
      <w:marLeft w:val="0"/>
      <w:marRight w:val="0"/>
      <w:marTop w:val="0"/>
      <w:marBottom w:val="0"/>
      <w:divBdr>
        <w:top w:val="none" w:sz="0" w:space="0" w:color="auto"/>
        <w:left w:val="none" w:sz="0" w:space="0" w:color="auto"/>
        <w:bottom w:val="none" w:sz="0" w:space="0" w:color="auto"/>
        <w:right w:val="none" w:sz="0" w:space="0" w:color="auto"/>
      </w:divBdr>
    </w:div>
    <w:div w:id="132751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jvalencia\Desktop\Inforgrafias%20Genero.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ATA.IDB\Horacio\Infografias%20Genero\Infografia2.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D:\DATA.IDB\Horacio\Demanda%20Laboral-UPB\Analisis%20de%20Datos\ParteC.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'Urb-EducationA'!$A$4</c:f>
              <c:strCache>
                <c:ptCount val="1"/>
                <c:pt idx="0">
                  <c:v>Ninguno</c:v>
                </c:pt>
              </c:strCache>
            </c:strRef>
          </c:tx>
          <c:spPr>
            <a:solidFill>
              <a:schemeClr val="tx2">
                <a:lumMod val="75000"/>
              </a:schemeClr>
            </a:solidFill>
          </c:spPr>
          <c:invertIfNegative val="0"/>
          <c:dLbls>
            <c:numFmt formatCode="#,##0" sourceLinked="0"/>
            <c:txPr>
              <a:bodyPr/>
              <a:lstStyle/>
              <a:p>
                <a:pPr>
                  <a:defRPr>
                    <a:solidFill>
                      <a:schemeClr val="bg1"/>
                    </a:solidFill>
                  </a:defRPr>
                </a:pPr>
                <a:endParaRPr lang="es-ES"/>
              </a:p>
            </c:txPr>
            <c:showLegendKey val="0"/>
            <c:showVal val="1"/>
            <c:showCatName val="0"/>
            <c:showSerName val="0"/>
            <c:showPercent val="0"/>
            <c:showBubbleSize val="0"/>
            <c:showLeaderLines val="0"/>
          </c:dLbls>
          <c:cat>
            <c:multiLvlStrRef>
              <c:f>'Urb-EducationA'!$B$2:$I$3</c:f>
              <c:multiLvlStrCache>
                <c:ptCount val="8"/>
                <c:lvl>
                  <c:pt idx="0">
                    <c:v>Hombre</c:v>
                  </c:pt>
                  <c:pt idx="1">
                    <c:v>Mujer</c:v>
                  </c:pt>
                  <c:pt idx="2">
                    <c:v>Hombre</c:v>
                  </c:pt>
                  <c:pt idx="3">
                    <c:v>Mujer</c:v>
                  </c:pt>
                  <c:pt idx="4">
                    <c:v>Hombre</c:v>
                  </c:pt>
                  <c:pt idx="5">
                    <c:v>Mujer</c:v>
                  </c:pt>
                  <c:pt idx="6">
                    <c:v>Hombre</c:v>
                  </c:pt>
                  <c:pt idx="7">
                    <c:v>Mujer</c:v>
                  </c:pt>
                </c:lvl>
                <c:lvl>
                  <c:pt idx="0">
                    <c:v>1993</c:v>
                  </c:pt>
                  <c:pt idx="2">
                    <c:v>1999</c:v>
                  </c:pt>
                  <c:pt idx="4">
                    <c:v>2006</c:v>
                  </c:pt>
                  <c:pt idx="6">
                    <c:v>2013</c:v>
                  </c:pt>
                </c:lvl>
              </c:multiLvlStrCache>
            </c:multiLvlStrRef>
          </c:cat>
          <c:val>
            <c:numRef>
              <c:f>'Urb-EducationA'!$B$4:$I$4</c:f>
              <c:numCache>
                <c:formatCode>0.0</c:formatCode>
                <c:ptCount val="8"/>
                <c:pt idx="0">
                  <c:v>10.8</c:v>
                </c:pt>
                <c:pt idx="1">
                  <c:v>26.27</c:v>
                </c:pt>
                <c:pt idx="2">
                  <c:v>15.8</c:v>
                </c:pt>
                <c:pt idx="3">
                  <c:v>30.56</c:v>
                </c:pt>
                <c:pt idx="4">
                  <c:v>17.600000000000001</c:v>
                </c:pt>
                <c:pt idx="5">
                  <c:v>26.74</c:v>
                </c:pt>
                <c:pt idx="6">
                  <c:v>10.32</c:v>
                </c:pt>
                <c:pt idx="7">
                  <c:v>18.36</c:v>
                </c:pt>
              </c:numCache>
            </c:numRef>
          </c:val>
        </c:ser>
        <c:ser>
          <c:idx val="1"/>
          <c:order val="1"/>
          <c:tx>
            <c:strRef>
              <c:f>'Urb-EducationA'!$A$5</c:f>
              <c:strCache>
                <c:ptCount val="1"/>
                <c:pt idx="0">
                  <c:v>Primaria</c:v>
                </c:pt>
              </c:strCache>
            </c:strRef>
          </c:tx>
          <c:spPr>
            <a:solidFill>
              <a:schemeClr val="bg1">
                <a:lumMod val="75000"/>
              </a:schemeClr>
            </a:solidFill>
          </c:spPr>
          <c:invertIfNegative val="0"/>
          <c:dLbls>
            <c:numFmt formatCode="#,##0" sourceLinked="0"/>
            <c:showLegendKey val="0"/>
            <c:showVal val="1"/>
            <c:showCatName val="0"/>
            <c:showSerName val="0"/>
            <c:showPercent val="0"/>
            <c:showBubbleSize val="0"/>
            <c:showLeaderLines val="0"/>
          </c:dLbls>
          <c:cat>
            <c:multiLvlStrRef>
              <c:f>'Urb-EducationA'!$B$2:$I$3</c:f>
              <c:multiLvlStrCache>
                <c:ptCount val="8"/>
                <c:lvl>
                  <c:pt idx="0">
                    <c:v>Hombre</c:v>
                  </c:pt>
                  <c:pt idx="1">
                    <c:v>Mujer</c:v>
                  </c:pt>
                  <c:pt idx="2">
                    <c:v>Hombre</c:v>
                  </c:pt>
                  <c:pt idx="3">
                    <c:v>Mujer</c:v>
                  </c:pt>
                  <c:pt idx="4">
                    <c:v>Hombre</c:v>
                  </c:pt>
                  <c:pt idx="5">
                    <c:v>Mujer</c:v>
                  </c:pt>
                  <c:pt idx="6">
                    <c:v>Hombre</c:v>
                  </c:pt>
                  <c:pt idx="7">
                    <c:v>Mujer</c:v>
                  </c:pt>
                </c:lvl>
                <c:lvl>
                  <c:pt idx="0">
                    <c:v>1993</c:v>
                  </c:pt>
                  <c:pt idx="2">
                    <c:v>1999</c:v>
                  </c:pt>
                  <c:pt idx="4">
                    <c:v>2006</c:v>
                  </c:pt>
                  <c:pt idx="6">
                    <c:v>2013</c:v>
                  </c:pt>
                </c:lvl>
              </c:multiLvlStrCache>
            </c:multiLvlStrRef>
          </c:cat>
          <c:val>
            <c:numRef>
              <c:f>'Urb-EducationA'!$B$5:$I$5</c:f>
              <c:numCache>
                <c:formatCode>0.0</c:formatCode>
                <c:ptCount val="8"/>
                <c:pt idx="0">
                  <c:v>43.92</c:v>
                </c:pt>
                <c:pt idx="1">
                  <c:v>36.799999999999997</c:v>
                </c:pt>
                <c:pt idx="2">
                  <c:v>37.479999999999997</c:v>
                </c:pt>
                <c:pt idx="3">
                  <c:v>28.34</c:v>
                </c:pt>
                <c:pt idx="4">
                  <c:v>27.92</c:v>
                </c:pt>
                <c:pt idx="5">
                  <c:v>23.85</c:v>
                </c:pt>
                <c:pt idx="6">
                  <c:v>20.079999999999998</c:v>
                </c:pt>
                <c:pt idx="7">
                  <c:v>18.329999999999998</c:v>
                </c:pt>
              </c:numCache>
            </c:numRef>
          </c:val>
        </c:ser>
        <c:ser>
          <c:idx val="2"/>
          <c:order val="2"/>
          <c:tx>
            <c:strRef>
              <c:f>'Urb-EducationA'!$A$6</c:f>
              <c:strCache>
                <c:ptCount val="1"/>
                <c:pt idx="0">
                  <c:v>Secundaria</c:v>
                </c:pt>
              </c:strCache>
            </c:strRef>
          </c:tx>
          <c:spPr>
            <a:solidFill>
              <a:srgbClr val="FFC000"/>
            </a:solidFill>
          </c:spPr>
          <c:invertIfNegative val="0"/>
          <c:dLbls>
            <c:numFmt formatCode="#,##0" sourceLinked="0"/>
            <c:showLegendKey val="0"/>
            <c:showVal val="1"/>
            <c:showCatName val="0"/>
            <c:showSerName val="0"/>
            <c:showPercent val="0"/>
            <c:showBubbleSize val="0"/>
            <c:showLeaderLines val="0"/>
          </c:dLbls>
          <c:cat>
            <c:multiLvlStrRef>
              <c:f>'Urb-EducationA'!$B$2:$I$3</c:f>
              <c:multiLvlStrCache>
                <c:ptCount val="8"/>
                <c:lvl>
                  <c:pt idx="0">
                    <c:v>Hombre</c:v>
                  </c:pt>
                  <c:pt idx="1">
                    <c:v>Mujer</c:v>
                  </c:pt>
                  <c:pt idx="2">
                    <c:v>Hombre</c:v>
                  </c:pt>
                  <c:pt idx="3">
                    <c:v>Mujer</c:v>
                  </c:pt>
                  <c:pt idx="4">
                    <c:v>Hombre</c:v>
                  </c:pt>
                  <c:pt idx="5">
                    <c:v>Mujer</c:v>
                  </c:pt>
                  <c:pt idx="6">
                    <c:v>Hombre</c:v>
                  </c:pt>
                  <c:pt idx="7">
                    <c:v>Mujer</c:v>
                  </c:pt>
                </c:lvl>
                <c:lvl>
                  <c:pt idx="0">
                    <c:v>1993</c:v>
                  </c:pt>
                  <c:pt idx="2">
                    <c:v>1999</c:v>
                  </c:pt>
                  <c:pt idx="4">
                    <c:v>2006</c:v>
                  </c:pt>
                  <c:pt idx="6">
                    <c:v>2013</c:v>
                  </c:pt>
                </c:lvl>
              </c:multiLvlStrCache>
            </c:multiLvlStrRef>
          </c:cat>
          <c:val>
            <c:numRef>
              <c:f>'Urb-EducationA'!$B$6:$I$6</c:f>
              <c:numCache>
                <c:formatCode>0.0</c:formatCode>
                <c:ptCount val="8"/>
                <c:pt idx="0">
                  <c:v>27.21</c:v>
                </c:pt>
                <c:pt idx="1">
                  <c:v>16.66</c:v>
                </c:pt>
                <c:pt idx="2">
                  <c:v>31.49</c:v>
                </c:pt>
                <c:pt idx="3">
                  <c:v>26.65</c:v>
                </c:pt>
                <c:pt idx="4">
                  <c:v>33.229999999999997</c:v>
                </c:pt>
                <c:pt idx="5">
                  <c:v>29.89</c:v>
                </c:pt>
                <c:pt idx="6">
                  <c:v>42.89</c:v>
                </c:pt>
                <c:pt idx="7">
                  <c:v>35.68</c:v>
                </c:pt>
              </c:numCache>
            </c:numRef>
          </c:val>
        </c:ser>
        <c:ser>
          <c:idx val="3"/>
          <c:order val="3"/>
          <c:tx>
            <c:strRef>
              <c:f>'Urb-EducationA'!$A$7</c:f>
              <c:strCache>
                <c:ptCount val="1"/>
                <c:pt idx="0">
                  <c:v>Superior</c:v>
                </c:pt>
              </c:strCache>
            </c:strRef>
          </c:tx>
          <c:spPr>
            <a:solidFill>
              <a:schemeClr val="accent1">
                <a:lumMod val="20000"/>
                <a:lumOff val="80000"/>
              </a:schemeClr>
            </a:solidFill>
          </c:spPr>
          <c:invertIfNegative val="0"/>
          <c:dLbls>
            <c:numFmt formatCode="#,##0" sourceLinked="0"/>
            <c:showLegendKey val="0"/>
            <c:showVal val="1"/>
            <c:showCatName val="0"/>
            <c:showSerName val="0"/>
            <c:showPercent val="0"/>
            <c:showBubbleSize val="0"/>
            <c:showLeaderLines val="0"/>
          </c:dLbls>
          <c:cat>
            <c:multiLvlStrRef>
              <c:f>'Urb-EducationA'!$B$2:$I$3</c:f>
              <c:multiLvlStrCache>
                <c:ptCount val="8"/>
                <c:lvl>
                  <c:pt idx="0">
                    <c:v>Hombre</c:v>
                  </c:pt>
                  <c:pt idx="1">
                    <c:v>Mujer</c:v>
                  </c:pt>
                  <c:pt idx="2">
                    <c:v>Hombre</c:v>
                  </c:pt>
                  <c:pt idx="3">
                    <c:v>Mujer</c:v>
                  </c:pt>
                  <c:pt idx="4">
                    <c:v>Hombre</c:v>
                  </c:pt>
                  <c:pt idx="5">
                    <c:v>Mujer</c:v>
                  </c:pt>
                  <c:pt idx="6">
                    <c:v>Hombre</c:v>
                  </c:pt>
                  <c:pt idx="7">
                    <c:v>Mujer</c:v>
                  </c:pt>
                </c:lvl>
                <c:lvl>
                  <c:pt idx="0">
                    <c:v>1993</c:v>
                  </c:pt>
                  <c:pt idx="2">
                    <c:v>1999</c:v>
                  </c:pt>
                  <c:pt idx="4">
                    <c:v>2006</c:v>
                  </c:pt>
                  <c:pt idx="6">
                    <c:v>2013</c:v>
                  </c:pt>
                </c:lvl>
              </c:multiLvlStrCache>
            </c:multiLvlStrRef>
          </c:cat>
          <c:val>
            <c:numRef>
              <c:f>'Urb-EducationA'!$B$7:$I$7</c:f>
              <c:numCache>
                <c:formatCode>0.0</c:formatCode>
                <c:ptCount val="8"/>
                <c:pt idx="0">
                  <c:v>18.079999999999998</c:v>
                </c:pt>
                <c:pt idx="1">
                  <c:v>20.260000000000002</c:v>
                </c:pt>
                <c:pt idx="2">
                  <c:v>15.23</c:v>
                </c:pt>
                <c:pt idx="3">
                  <c:v>14.45</c:v>
                </c:pt>
                <c:pt idx="4">
                  <c:v>21.25</c:v>
                </c:pt>
                <c:pt idx="5">
                  <c:v>19.52</c:v>
                </c:pt>
                <c:pt idx="6">
                  <c:v>26.71</c:v>
                </c:pt>
                <c:pt idx="7">
                  <c:v>27.63</c:v>
                </c:pt>
              </c:numCache>
            </c:numRef>
          </c:val>
        </c:ser>
        <c:dLbls>
          <c:showLegendKey val="0"/>
          <c:showVal val="0"/>
          <c:showCatName val="0"/>
          <c:showSerName val="0"/>
          <c:showPercent val="0"/>
          <c:showBubbleSize val="0"/>
        </c:dLbls>
        <c:gapWidth val="150"/>
        <c:overlap val="100"/>
        <c:axId val="181032832"/>
        <c:axId val="181034368"/>
      </c:barChart>
      <c:catAx>
        <c:axId val="181032832"/>
        <c:scaling>
          <c:orientation val="minMax"/>
        </c:scaling>
        <c:delete val="0"/>
        <c:axPos val="b"/>
        <c:majorTickMark val="out"/>
        <c:minorTickMark val="none"/>
        <c:tickLblPos val="nextTo"/>
        <c:crossAx val="181034368"/>
        <c:crosses val="autoZero"/>
        <c:auto val="1"/>
        <c:lblAlgn val="ctr"/>
        <c:lblOffset val="100"/>
        <c:noMultiLvlLbl val="0"/>
      </c:catAx>
      <c:valAx>
        <c:axId val="181034368"/>
        <c:scaling>
          <c:orientation val="minMax"/>
        </c:scaling>
        <c:delete val="0"/>
        <c:axPos val="l"/>
        <c:numFmt formatCode="0%" sourceLinked="1"/>
        <c:majorTickMark val="out"/>
        <c:minorTickMark val="none"/>
        <c:tickLblPos val="nextTo"/>
        <c:crossAx val="181032832"/>
        <c:crosses val="autoZero"/>
        <c:crossBetween val="between"/>
      </c:valAx>
    </c:plotArea>
    <c:legend>
      <c:legendPos val="b"/>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9364189065072"/>
          <c:y val="6.7950596242185815E-2"/>
          <c:w val="0.87273382489283757"/>
          <c:h val="0.70787051359128661"/>
        </c:manualLayout>
      </c:layout>
      <c:barChart>
        <c:barDir val="col"/>
        <c:grouping val="clustered"/>
        <c:varyColors val="0"/>
        <c:ser>
          <c:idx val="0"/>
          <c:order val="0"/>
          <c:tx>
            <c:strRef>
              <c:f>Ocupación!$B$32</c:f>
              <c:strCache>
                <c:ptCount val="1"/>
                <c:pt idx="0">
                  <c:v>Urbano</c:v>
                </c:pt>
              </c:strCache>
            </c:strRef>
          </c:tx>
          <c:spPr>
            <a:solidFill>
              <a:schemeClr val="bg1">
                <a:lumMod val="65000"/>
              </a:schemeClr>
            </a:solidFill>
          </c:spPr>
          <c:invertIfNegative val="0"/>
          <c:dLbls>
            <c:dLbl>
              <c:idx val="0"/>
              <c:layout>
                <c:manualLayout>
                  <c:x val="0"/>
                  <c:y val="-5.0406380361875053E-3"/>
                </c:manualLayout>
              </c:layout>
              <c:showLegendKey val="0"/>
              <c:showVal val="1"/>
              <c:showCatName val="0"/>
              <c:showSerName val="0"/>
              <c:showPercent val="0"/>
              <c:showBubbleSize val="0"/>
            </c:dLbl>
            <c:dLbl>
              <c:idx val="1"/>
              <c:layout>
                <c:manualLayout>
                  <c:x val="0"/>
                  <c:y val="-1.9363485361431211E-2"/>
                </c:manualLayout>
              </c:layout>
              <c:showLegendKey val="0"/>
              <c:showVal val="1"/>
              <c:showCatName val="0"/>
              <c:showSerName val="0"/>
              <c:showPercent val="0"/>
              <c:showBubbleSize val="0"/>
            </c:dLbl>
            <c:dLbl>
              <c:idx val="2"/>
              <c:layout>
                <c:manualLayout>
                  <c:x val="8.9976988562295249E-3"/>
                  <c:y val="-1.7926426966554186E-2"/>
                </c:manualLayout>
              </c:layout>
              <c:showLegendKey val="0"/>
              <c:showVal val="1"/>
              <c:showCatName val="0"/>
              <c:showSerName val="0"/>
              <c:showPercent val="0"/>
              <c:showBubbleSize val="0"/>
            </c:dLbl>
            <c:dLbl>
              <c:idx val="3"/>
              <c:layout>
                <c:manualLayout>
                  <c:x val="4.7484420440794362E-17"/>
                  <c:y val="-5.5170361581040939E-2"/>
                </c:manualLayout>
              </c:layout>
              <c:showLegendKey val="0"/>
              <c:showVal val="1"/>
              <c:showCatName val="0"/>
              <c:showSerName val="0"/>
              <c:showPercent val="0"/>
              <c:showBubbleSize val="0"/>
            </c:dLbl>
            <c:dLbl>
              <c:idx val="4"/>
              <c:layout>
                <c:manualLayout>
                  <c:x val="-2.5901254501753922E-3"/>
                  <c:y val="-7.2333422090354649E-2"/>
                </c:manualLayout>
              </c:layout>
              <c:showLegendKey val="0"/>
              <c:showVal val="1"/>
              <c:showCatName val="0"/>
              <c:showSerName val="0"/>
              <c:showPercent val="0"/>
              <c:showBubbleSize val="0"/>
            </c:dLbl>
            <c:dLbl>
              <c:idx val="5"/>
              <c:layout>
                <c:manualLayout>
                  <c:x val="0"/>
                  <c:y val="-3.724675719882841E-2"/>
                </c:manualLayout>
              </c:layout>
              <c:showLegendKey val="0"/>
              <c:showVal val="1"/>
              <c:showCatName val="0"/>
              <c:showSerName val="0"/>
              <c:showPercent val="0"/>
              <c:showBubbleSize val="0"/>
            </c:dLbl>
            <c:dLbl>
              <c:idx val="6"/>
              <c:layout>
                <c:manualLayout>
                  <c:x val="-7.0909933734465804E-3"/>
                  <c:y val="-2.1143697617507957E-2"/>
                </c:manualLayout>
              </c:layout>
              <c:showLegendKey val="0"/>
              <c:showVal val="1"/>
              <c:showCatName val="0"/>
              <c:showSerName val="0"/>
              <c:showPercent val="0"/>
              <c:showBubbleSize val="0"/>
            </c:dLbl>
            <c:dLbl>
              <c:idx val="7"/>
              <c:layout>
                <c:manualLayout>
                  <c:x val="-1.0360356869426369E-2"/>
                  <c:y val="-7.8814358983269953E-3"/>
                </c:manualLayout>
              </c:layout>
              <c:showLegendKey val="0"/>
              <c:showVal val="1"/>
              <c:showCatName val="0"/>
              <c:showSerName val="0"/>
              <c:showPercent val="0"/>
              <c:showBubbleSize val="0"/>
            </c:dLbl>
            <c:dLbl>
              <c:idx val="8"/>
              <c:layout>
                <c:manualLayout>
                  <c:x val="-1.8475798750650078E-2"/>
                  <c:y val="-2.6775752431181807E-3"/>
                </c:manualLayout>
              </c:layout>
              <c:showLegendKey val="0"/>
              <c:showVal val="1"/>
              <c:showCatName val="0"/>
              <c:showSerName val="0"/>
              <c:showPercent val="0"/>
              <c:showBubbleSize val="0"/>
            </c:dLbl>
            <c:dLbl>
              <c:idx val="9"/>
              <c:layout>
                <c:manualLayout>
                  <c:x val="-1.5731242189930956E-2"/>
                  <c:y val="-3.2206119162640902E-3"/>
                </c:manualLayout>
              </c:layout>
              <c:showLegendKey val="0"/>
              <c:showVal val="1"/>
              <c:showCatName val="0"/>
              <c:showSerName val="0"/>
              <c:showPercent val="0"/>
              <c:showBubbleSize val="0"/>
            </c:dLbl>
            <c:spPr>
              <a:noFill/>
            </c:spPr>
            <c:txPr>
              <a:bodyPr/>
              <a:lstStyle/>
              <a:p>
                <a:pPr>
                  <a:defRPr sz="800"/>
                </a:pPr>
                <a:endParaRPr lang="es-ES"/>
              </a:p>
            </c:txPr>
            <c:showLegendKey val="0"/>
            <c:showVal val="1"/>
            <c:showCatName val="0"/>
            <c:showSerName val="0"/>
            <c:showPercent val="0"/>
            <c:showBubbleSize val="0"/>
            <c:showLeaderLines val="0"/>
          </c:dLbls>
          <c:cat>
            <c:strRef>
              <c:f>Ocupación!$A$33:$A$42</c:f>
              <c:strCache>
                <c:ptCount val="10"/>
                <c:pt idx="0">
                  <c:v>Ser. &amp; Vent.</c:v>
                </c:pt>
                <c:pt idx="1">
                  <c:v>No Calif.</c:v>
                </c:pt>
                <c:pt idx="2">
                  <c:v>Emp. de oficina</c:v>
                </c:pt>
                <c:pt idx="3">
                  <c:v>Prof.</c:v>
                </c:pt>
                <c:pt idx="4">
                  <c:v>Direct.</c:v>
                </c:pt>
                <c:pt idx="5">
                  <c:v>Téc.</c:v>
                </c:pt>
                <c:pt idx="6">
                  <c:v>Agrop.</c:v>
                </c:pt>
                <c:pt idx="7">
                  <c:v>Const. &amp; Manuf.</c:v>
                </c:pt>
                <c:pt idx="8">
                  <c:v>Mil.</c:v>
                </c:pt>
                <c:pt idx="9">
                  <c:v>Op. &amp; Ens.</c:v>
                </c:pt>
              </c:strCache>
            </c:strRef>
          </c:cat>
          <c:val>
            <c:numRef>
              <c:f>Ocupación!$B$33:$B$42</c:f>
              <c:numCache>
                <c:formatCode>0%</c:formatCode>
                <c:ptCount val="10"/>
                <c:pt idx="0">
                  <c:v>2.4620427838719361</c:v>
                </c:pt>
                <c:pt idx="1">
                  <c:v>2.0607721278406772</c:v>
                </c:pt>
                <c:pt idx="2">
                  <c:v>1.6442466576535977</c:v>
                </c:pt>
                <c:pt idx="3">
                  <c:v>0.89693333333333336</c:v>
                </c:pt>
                <c:pt idx="4">
                  <c:v>0.52552406259226458</c:v>
                </c:pt>
                <c:pt idx="5">
                  <c:v>0.51423543322242693</c:v>
                </c:pt>
                <c:pt idx="6">
                  <c:v>0.40576639884258664</c:v>
                </c:pt>
                <c:pt idx="7">
                  <c:v>0.29607132862171315</c:v>
                </c:pt>
                <c:pt idx="8">
                  <c:v>9.5014111006585134E-2</c:v>
                </c:pt>
                <c:pt idx="9">
                  <c:v>1.279218141871688E-2</c:v>
                </c:pt>
              </c:numCache>
            </c:numRef>
          </c:val>
        </c:ser>
        <c:dLbls>
          <c:showLegendKey val="0"/>
          <c:showVal val="0"/>
          <c:showCatName val="0"/>
          <c:showSerName val="0"/>
          <c:showPercent val="0"/>
          <c:showBubbleSize val="0"/>
        </c:dLbls>
        <c:gapWidth val="150"/>
        <c:axId val="181073024"/>
        <c:axId val="181074560"/>
      </c:barChart>
      <c:catAx>
        <c:axId val="181073024"/>
        <c:scaling>
          <c:orientation val="minMax"/>
        </c:scaling>
        <c:delete val="0"/>
        <c:axPos val="b"/>
        <c:majorTickMark val="out"/>
        <c:minorTickMark val="none"/>
        <c:tickLblPos val="nextTo"/>
        <c:txPr>
          <a:bodyPr rot="-5400000" vert="horz"/>
          <a:lstStyle/>
          <a:p>
            <a:pPr>
              <a:defRPr sz="800"/>
            </a:pPr>
            <a:endParaRPr lang="es-ES"/>
          </a:p>
        </c:txPr>
        <c:crossAx val="181074560"/>
        <c:crosses val="autoZero"/>
        <c:auto val="1"/>
        <c:lblAlgn val="ctr"/>
        <c:lblOffset val="100"/>
        <c:noMultiLvlLbl val="0"/>
      </c:catAx>
      <c:valAx>
        <c:axId val="181074560"/>
        <c:scaling>
          <c:orientation val="minMax"/>
        </c:scaling>
        <c:delete val="0"/>
        <c:axPos val="l"/>
        <c:numFmt formatCode="0%" sourceLinked="1"/>
        <c:majorTickMark val="out"/>
        <c:minorTickMark val="none"/>
        <c:tickLblPos val="nextTo"/>
        <c:txPr>
          <a:bodyPr/>
          <a:lstStyle/>
          <a:p>
            <a:pPr>
              <a:defRPr sz="800"/>
            </a:pPr>
            <a:endParaRPr lang="es-ES"/>
          </a:p>
        </c:txPr>
        <c:crossAx val="181073024"/>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17088959925266"/>
          <c:y val="0.1911123588387616"/>
          <c:w val="0.82315303922053429"/>
          <c:h val="0.66345224283974347"/>
        </c:manualLayout>
      </c:layout>
      <c:bubbleChart>
        <c:varyColors val="0"/>
        <c:ser>
          <c:idx val="0"/>
          <c:order val="0"/>
          <c:tx>
            <c:strRef>
              <c:f>'Relación Ocupación'!$A$18</c:f>
              <c:strCache>
                <c:ptCount val="1"/>
                <c:pt idx="0">
                  <c:v>Militares</c:v>
                </c:pt>
              </c:strCache>
            </c:strRef>
          </c:tx>
          <c:spPr>
            <a:ln w="28575">
              <a:noFill/>
            </a:ln>
          </c:spPr>
          <c:invertIfNegative val="0"/>
          <c:dLbls>
            <c:dLbl>
              <c:idx val="0"/>
              <c:layout>
                <c:manualLayout>
                  <c:x val="-8.0833935956609163E-2"/>
                  <c:y val="-3.0406685831657573E-3"/>
                </c:manualLayout>
              </c:layout>
              <c:showLegendKey val="0"/>
              <c:showVal val="0"/>
              <c:showCatName val="0"/>
              <c:showSerName val="0"/>
              <c:showPercent val="0"/>
              <c:showBubbleSize val="1"/>
            </c:dLbl>
            <c:showLegendKey val="0"/>
            <c:showVal val="0"/>
            <c:showCatName val="0"/>
            <c:showSerName val="0"/>
            <c:showPercent val="0"/>
            <c:showBubbleSize val="1"/>
            <c:showLeaderLines val="0"/>
          </c:dLbls>
          <c:xVal>
            <c:numRef>
              <c:f>'Relación Ocupación'!$B$18</c:f>
              <c:numCache>
                <c:formatCode>General</c:formatCode>
                <c:ptCount val="1"/>
                <c:pt idx="0">
                  <c:v>5519.3810000000003</c:v>
                </c:pt>
              </c:numCache>
            </c:numRef>
          </c:xVal>
          <c:yVal>
            <c:numRef>
              <c:f>'Relación Ocupación'!$C$18</c:f>
              <c:numCache>
                <c:formatCode>0%</c:formatCode>
                <c:ptCount val="1"/>
                <c:pt idx="0">
                  <c:v>9.5014111006585134E-2</c:v>
                </c:pt>
              </c:numCache>
            </c:numRef>
          </c:yVal>
          <c:bubbleSize>
            <c:numRef>
              <c:f>'Relación Ocupación'!$D$18</c:f>
              <c:numCache>
                <c:formatCode>0%</c:formatCode>
                <c:ptCount val="1"/>
                <c:pt idx="0">
                  <c:v>0.6003716244632612</c:v>
                </c:pt>
              </c:numCache>
            </c:numRef>
          </c:bubbleSize>
          <c:bubble3D val="0"/>
        </c:ser>
        <c:ser>
          <c:idx val="1"/>
          <c:order val="1"/>
          <c:tx>
            <c:strRef>
              <c:f>'Relación Ocupación'!$A$19</c:f>
              <c:strCache>
                <c:ptCount val="1"/>
                <c:pt idx="0">
                  <c:v>Directivos adm. Pública</c:v>
                </c:pt>
              </c:strCache>
            </c:strRef>
          </c:tx>
          <c:spPr>
            <a:ln w="28575">
              <a:noFill/>
            </a:ln>
          </c:spPr>
          <c:invertIfNegative val="0"/>
          <c:dLbls>
            <c:dLbl>
              <c:idx val="0"/>
              <c:layout>
                <c:manualLayout>
                  <c:x val="-9.1061313837878757E-2"/>
                  <c:y val="0"/>
                </c:manualLayout>
              </c:layout>
              <c:showLegendKey val="0"/>
              <c:showVal val="0"/>
              <c:showCatName val="0"/>
              <c:showSerName val="0"/>
              <c:showPercent val="0"/>
              <c:showBubbleSize val="1"/>
            </c:dLbl>
            <c:showLegendKey val="0"/>
            <c:showVal val="0"/>
            <c:showCatName val="0"/>
            <c:showSerName val="0"/>
            <c:showPercent val="0"/>
            <c:showBubbleSize val="1"/>
            <c:showLeaderLines val="0"/>
          </c:dLbls>
          <c:xVal>
            <c:numRef>
              <c:f>'Relación Ocupación'!$B$19</c:f>
              <c:numCache>
                <c:formatCode>General</c:formatCode>
                <c:ptCount val="1"/>
                <c:pt idx="0">
                  <c:v>6262.2470000000003</c:v>
                </c:pt>
              </c:numCache>
            </c:numRef>
          </c:xVal>
          <c:yVal>
            <c:numRef>
              <c:f>'Relación Ocupación'!$C$19</c:f>
              <c:numCache>
                <c:formatCode>0%</c:formatCode>
                <c:ptCount val="1"/>
                <c:pt idx="0">
                  <c:v>0.52552406259226458</c:v>
                </c:pt>
              </c:numCache>
            </c:numRef>
          </c:yVal>
          <c:bubbleSize>
            <c:numRef>
              <c:f>'Relación Ocupación'!$D$19</c:f>
              <c:numCache>
                <c:formatCode>0%</c:formatCode>
                <c:ptCount val="1"/>
                <c:pt idx="0">
                  <c:v>0.73892457972310144</c:v>
                </c:pt>
              </c:numCache>
            </c:numRef>
          </c:bubbleSize>
          <c:bubble3D val="0"/>
        </c:ser>
        <c:ser>
          <c:idx val="2"/>
          <c:order val="2"/>
          <c:tx>
            <c:strRef>
              <c:f>'Relación Ocupación'!$A$20</c:f>
              <c:strCache>
                <c:ptCount val="1"/>
                <c:pt idx="0">
                  <c:v>Profesionales </c:v>
                </c:pt>
              </c:strCache>
            </c:strRef>
          </c:tx>
          <c:spPr>
            <a:ln w="28575">
              <a:noFill/>
            </a:ln>
          </c:spPr>
          <c:invertIfNegative val="0"/>
          <c:dLbls>
            <c:dLbl>
              <c:idx val="0"/>
              <c:layout>
                <c:manualLayout>
                  <c:x val="-8.6818878616412867E-2"/>
                  <c:y val="-6.0813371663315146E-3"/>
                </c:manualLayout>
              </c:layout>
              <c:showLegendKey val="0"/>
              <c:showVal val="0"/>
              <c:showCatName val="0"/>
              <c:showSerName val="0"/>
              <c:showPercent val="0"/>
              <c:showBubbleSize val="1"/>
            </c:dLbl>
            <c:showLegendKey val="0"/>
            <c:showVal val="0"/>
            <c:showCatName val="0"/>
            <c:showSerName val="0"/>
            <c:showPercent val="0"/>
            <c:showBubbleSize val="1"/>
            <c:showLeaderLines val="0"/>
          </c:dLbls>
          <c:xVal>
            <c:numRef>
              <c:f>'Relación Ocupación'!$B$20</c:f>
              <c:numCache>
                <c:formatCode>General</c:formatCode>
                <c:ptCount val="1"/>
                <c:pt idx="0">
                  <c:v>3933.6439999999998</c:v>
                </c:pt>
              </c:numCache>
            </c:numRef>
          </c:xVal>
          <c:yVal>
            <c:numRef>
              <c:f>'Relación Ocupación'!$C$20</c:f>
              <c:numCache>
                <c:formatCode>0%</c:formatCode>
                <c:ptCount val="1"/>
                <c:pt idx="0">
                  <c:v>0.89693333333333336</c:v>
                </c:pt>
              </c:numCache>
            </c:numRef>
          </c:yVal>
          <c:bubbleSize>
            <c:numRef>
              <c:f>'Relación Ocupación'!$D$20</c:f>
              <c:numCache>
                <c:formatCode>0%</c:formatCode>
                <c:ptCount val="1"/>
                <c:pt idx="0">
                  <c:v>0.8131505975672747</c:v>
                </c:pt>
              </c:numCache>
            </c:numRef>
          </c:bubbleSize>
          <c:bubble3D val="0"/>
        </c:ser>
        <c:ser>
          <c:idx val="3"/>
          <c:order val="3"/>
          <c:tx>
            <c:strRef>
              <c:f>'Relación Ocupación'!$A$21</c:f>
              <c:strCache>
                <c:ptCount val="1"/>
                <c:pt idx="0">
                  <c:v>Técnicos </c:v>
                </c:pt>
              </c:strCache>
            </c:strRef>
          </c:tx>
          <c:spPr>
            <a:ln w="28575">
              <a:noFill/>
            </a:ln>
          </c:spPr>
          <c:invertIfNegative val="0"/>
          <c:dLbls>
            <c:dLbl>
              <c:idx val="0"/>
              <c:layout>
                <c:manualLayout>
                  <c:x val="-7.2018907927486747E-2"/>
                  <c:y val="-1.2162674332663029E-2"/>
                </c:manualLayout>
              </c:layout>
              <c:showLegendKey val="0"/>
              <c:showVal val="0"/>
              <c:showCatName val="0"/>
              <c:showSerName val="0"/>
              <c:showPercent val="0"/>
              <c:showBubbleSize val="1"/>
            </c:dLbl>
            <c:showLegendKey val="0"/>
            <c:showVal val="0"/>
            <c:showCatName val="0"/>
            <c:showSerName val="0"/>
            <c:showPercent val="0"/>
            <c:showBubbleSize val="1"/>
            <c:showLeaderLines val="0"/>
          </c:dLbls>
          <c:xVal>
            <c:numRef>
              <c:f>'Relación Ocupación'!$B$21</c:f>
              <c:numCache>
                <c:formatCode>General</c:formatCode>
                <c:ptCount val="1"/>
                <c:pt idx="0">
                  <c:v>3113.4389999999999</c:v>
                </c:pt>
              </c:numCache>
            </c:numRef>
          </c:xVal>
          <c:yVal>
            <c:numRef>
              <c:f>'Relación Ocupación'!$C$21</c:f>
              <c:numCache>
                <c:formatCode>0%</c:formatCode>
                <c:ptCount val="1"/>
                <c:pt idx="0">
                  <c:v>0.51423543322242693</c:v>
                </c:pt>
              </c:numCache>
            </c:numRef>
          </c:yVal>
          <c:bubbleSize>
            <c:numRef>
              <c:f>'Relación Ocupación'!$D$21</c:f>
              <c:numCache>
                <c:formatCode>0%</c:formatCode>
                <c:ptCount val="1"/>
                <c:pt idx="0">
                  <c:v>0.75430552371223181</c:v>
                </c:pt>
              </c:numCache>
            </c:numRef>
          </c:bubbleSize>
          <c:bubble3D val="0"/>
        </c:ser>
        <c:ser>
          <c:idx val="4"/>
          <c:order val="4"/>
          <c:tx>
            <c:strRef>
              <c:f>'Relación Ocupación'!$A$22</c:f>
              <c:strCache>
                <c:ptCount val="1"/>
                <c:pt idx="0">
                  <c:v>Emp. de oficina</c:v>
                </c:pt>
              </c:strCache>
            </c:strRef>
          </c:tx>
          <c:spPr>
            <a:ln w="28575">
              <a:noFill/>
            </a:ln>
          </c:spPr>
          <c:invertIfNegative val="0"/>
          <c:dLbls>
            <c:dLbl>
              <c:idx val="0"/>
              <c:layout>
                <c:manualLayout>
                  <c:x val="-9.3269926103779807E-2"/>
                  <c:y val="-2.1284680082160303E-2"/>
                </c:manualLayout>
              </c:layout>
              <c:showLegendKey val="0"/>
              <c:showVal val="0"/>
              <c:showCatName val="0"/>
              <c:showSerName val="0"/>
              <c:showPercent val="0"/>
              <c:showBubbleSize val="1"/>
            </c:dLbl>
            <c:showLegendKey val="0"/>
            <c:showVal val="0"/>
            <c:showCatName val="0"/>
            <c:showSerName val="0"/>
            <c:showPercent val="0"/>
            <c:showBubbleSize val="1"/>
            <c:showLeaderLines val="0"/>
          </c:dLbls>
          <c:xVal>
            <c:numRef>
              <c:f>'Relación Ocupación'!$B$22</c:f>
              <c:numCache>
                <c:formatCode>General</c:formatCode>
                <c:ptCount val="1"/>
                <c:pt idx="0">
                  <c:v>2335.7890000000002</c:v>
                </c:pt>
              </c:numCache>
            </c:numRef>
          </c:xVal>
          <c:yVal>
            <c:numRef>
              <c:f>'Relación Ocupación'!$C$22</c:f>
              <c:numCache>
                <c:formatCode>0%</c:formatCode>
                <c:ptCount val="1"/>
                <c:pt idx="0">
                  <c:v>1.6442466576535977</c:v>
                </c:pt>
              </c:numCache>
            </c:numRef>
          </c:yVal>
          <c:bubbleSize>
            <c:numRef>
              <c:f>'Relación Ocupación'!$D$22</c:f>
              <c:numCache>
                <c:formatCode>0%</c:formatCode>
                <c:ptCount val="1"/>
                <c:pt idx="0">
                  <c:v>0.80842995455846556</c:v>
                </c:pt>
              </c:numCache>
            </c:numRef>
          </c:bubbleSize>
          <c:bubble3D val="0"/>
        </c:ser>
        <c:ser>
          <c:idx val="5"/>
          <c:order val="5"/>
          <c:tx>
            <c:strRef>
              <c:f>'Relación Ocupación'!$A$23</c:f>
              <c:strCache>
                <c:ptCount val="1"/>
                <c:pt idx="0">
                  <c:v>Servicios y Ventas</c:v>
                </c:pt>
              </c:strCache>
            </c:strRef>
          </c:tx>
          <c:spPr>
            <a:ln w="28575">
              <a:noFill/>
            </a:ln>
          </c:spPr>
          <c:invertIfNegative val="0"/>
          <c:dLbls>
            <c:dLbl>
              <c:idx val="0"/>
              <c:layout>
                <c:manualLayout>
                  <c:x val="-7.3703152262379154E-2"/>
                  <c:y val="0"/>
                </c:manualLayout>
              </c:layout>
              <c:showLegendKey val="0"/>
              <c:showVal val="0"/>
              <c:showCatName val="0"/>
              <c:showSerName val="0"/>
              <c:showPercent val="0"/>
              <c:showBubbleSize val="1"/>
            </c:dLbl>
            <c:showLegendKey val="0"/>
            <c:showVal val="0"/>
            <c:showCatName val="0"/>
            <c:showSerName val="0"/>
            <c:showPercent val="0"/>
            <c:showBubbleSize val="1"/>
            <c:showLeaderLines val="0"/>
          </c:dLbls>
          <c:xVal>
            <c:numRef>
              <c:f>'Relación Ocupación'!$B$23</c:f>
              <c:numCache>
                <c:formatCode>General</c:formatCode>
                <c:ptCount val="1"/>
                <c:pt idx="0">
                  <c:v>2147.9630000000002</c:v>
                </c:pt>
              </c:numCache>
            </c:numRef>
          </c:xVal>
          <c:yVal>
            <c:numRef>
              <c:f>'Relación Ocupación'!$C$23</c:f>
              <c:numCache>
                <c:formatCode>0%</c:formatCode>
                <c:ptCount val="1"/>
                <c:pt idx="0">
                  <c:v>2.4620427838719361</c:v>
                </c:pt>
              </c:numCache>
            </c:numRef>
          </c:yVal>
          <c:bubbleSize>
            <c:numRef>
              <c:f>'Relación Ocupación'!$D$23</c:f>
              <c:numCache>
                <c:formatCode>0%</c:formatCode>
                <c:ptCount val="1"/>
                <c:pt idx="0">
                  <c:v>0.62975833621605182</c:v>
                </c:pt>
              </c:numCache>
            </c:numRef>
          </c:bubbleSize>
          <c:bubble3D val="0"/>
        </c:ser>
        <c:ser>
          <c:idx val="6"/>
          <c:order val="6"/>
          <c:tx>
            <c:strRef>
              <c:f>'Relación Ocupación'!$A$24</c:f>
              <c:strCache>
                <c:ptCount val="1"/>
                <c:pt idx="0">
                  <c:v>Agropecuarios</c:v>
                </c:pt>
              </c:strCache>
            </c:strRef>
          </c:tx>
          <c:spPr>
            <a:ln w="28575">
              <a:noFill/>
            </a:ln>
          </c:spPr>
          <c:invertIfNegative val="0"/>
          <c:dLbls>
            <c:dLbl>
              <c:idx val="0"/>
              <c:layout>
                <c:manualLayout>
                  <c:x val="-6.5703807681492421E-2"/>
                  <c:y val="-3.0406685831657573E-3"/>
                </c:manualLayout>
              </c:layout>
              <c:showLegendKey val="0"/>
              <c:showVal val="0"/>
              <c:showCatName val="0"/>
              <c:showSerName val="0"/>
              <c:showPercent val="0"/>
              <c:showBubbleSize val="1"/>
            </c:dLbl>
            <c:showLegendKey val="0"/>
            <c:showVal val="0"/>
            <c:showCatName val="0"/>
            <c:showSerName val="0"/>
            <c:showPercent val="0"/>
            <c:showBubbleSize val="1"/>
            <c:showLeaderLines val="0"/>
          </c:dLbls>
          <c:xVal>
            <c:numRef>
              <c:f>'Relación Ocupación'!$B$24</c:f>
              <c:numCache>
                <c:formatCode>General</c:formatCode>
                <c:ptCount val="1"/>
                <c:pt idx="0">
                  <c:v>1727.154</c:v>
                </c:pt>
              </c:numCache>
            </c:numRef>
          </c:xVal>
          <c:yVal>
            <c:numRef>
              <c:f>'Relación Ocupación'!$C$24</c:f>
              <c:numCache>
                <c:formatCode>0%</c:formatCode>
                <c:ptCount val="1"/>
                <c:pt idx="0">
                  <c:v>0.40576639884258664</c:v>
                </c:pt>
              </c:numCache>
            </c:numRef>
          </c:yVal>
          <c:bubbleSize>
            <c:numRef>
              <c:f>'Relación Ocupación'!$D$24</c:f>
              <c:numCache>
                <c:formatCode>0%</c:formatCode>
                <c:ptCount val="1"/>
                <c:pt idx="0">
                  <c:v>0.39546574368706405</c:v>
                </c:pt>
              </c:numCache>
            </c:numRef>
          </c:bubbleSize>
          <c:bubble3D val="0"/>
        </c:ser>
        <c:ser>
          <c:idx val="7"/>
          <c:order val="7"/>
          <c:tx>
            <c:strRef>
              <c:f>'Relación Ocupación'!$A$25</c:f>
              <c:strCache>
                <c:ptCount val="1"/>
                <c:pt idx="0">
                  <c:v>Construcción &amp; Manufactura</c:v>
                </c:pt>
              </c:strCache>
            </c:strRef>
          </c:tx>
          <c:spPr>
            <a:ln w="28575">
              <a:noFill/>
            </a:ln>
          </c:spPr>
          <c:invertIfNegative val="0"/>
          <c:dLbls>
            <c:dLbl>
              <c:idx val="0"/>
              <c:layout>
                <c:manualLayout>
                  <c:x val="-6.9713190489176652E-2"/>
                  <c:y val="-6.0813371663315146E-3"/>
                </c:manualLayout>
              </c:layout>
              <c:showLegendKey val="0"/>
              <c:showVal val="0"/>
              <c:showCatName val="0"/>
              <c:showSerName val="0"/>
              <c:showPercent val="0"/>
              <c:showBubbleSize val="1"/>
            </c:dLbl>
            <c:showLegendKey val="0"/>
            <c:showVal val="0"/>
            <c:showCatName val="0"/>
            <c:showSerName val="0"/>
            <c:showPercent val="0"/>
            <c:showBubbleSize val="1"/>
            <c:showLeaderLines val="0"/>
          </c:dLbls>
          <c:xVal>
            <c:numRef>
              <c:f>'Relación Ocupación'!$B$25</c:f>
              <c:numCache>
                <c:formatCode>General</c:formatCode>
                <c:ptCount val="1"/>
                <c:pt idx="0">
                  <c:v>2246.6129999999998</c:v>
                </c:pt>
              </c:numCache>
            </c:numRef>
          </c:xVal>
          <c:yVal>
            <c:numRef>
              <c:f>'Relación Ocupación'!$C$25</c:f>
              <c:numCache>
                <c:formatCode>0%</c:formatCode>
                <c:ptCount val="1"/>
                <c:pt idx="0">
                  <c:v>0.29607132862171315</c:v>
                </c:pt>
              </c:numCache>
            </c:numRef>
          </c:yVal>
          <c:bubbleSize>
            <c:numRef>
              <c:f>'Relación Ocupación'!$D$25</c:f>
              <c:numCache>
                <c:formatCode>0%</c:formatCode>
                <c:ptCount val="1"/>
                <c:pt idx="0">
                  <c:v>0.47587620134644992</c:v>
                </c:pt>
              </c:numCache>
            </c:numRef>
          </c:bubbleSize>
          <c:bubble3D val="0"/>
        </c:ser>
        <c:ser>
          <c:idx val="8"/>
          <c:order val="8"/>
          <c:tx>
            <c:strRef>
              <c:f>'Relación Ocupación'!$A$26</c:f>
              <c:strCache>
                <c:ptCount val="1"/>
                <c:pt idx="0">
                  <c:v>Operadores &amp; Ensambladores</c:v>
                </c:pt>
              </c:strCache>
            </c:strRef>
          </c:tx>
          <c:spPr>
            <a:ln w="28575">
              <a:noFill/>
            </a:ln>
          </c:spPr>
          <c:invertIfNegative val="0"/>
          <c:dLbls>
            <c:dLbl>
              <c:idx val="0"/>
              <c:layout>
                <c:manualLayout>
                  <c:x val="-6.413608955349083E-2"/>
                  <c:y val="-2.1284919504883384E-2"/>
                </c:manualLayout>
              </c:layout>
              <c:showLegendKey val="0"/>
              <c:showVal val="0"/>
              <c:showCatName val="0"/>
              <c:showSerName val="0"/>
              <c:showPercent val="0"/>
              <c:showBubbleSize val="1"/>
            </c:dLbl>
            <c:showLegendKey val="0"/>
            <c:showVal val="0"/>
            <c:showCatName val="0"/>
            <c:showSerName val="0"/>
            <c:showPercent val="0"/>
            <c:showBubbleSize val="1"/>
            <c:showLeaderLines val="0"/>
          </c:dLbls>
          <c:xVal>
            <c:numRef>
              <c:f>'Relación Ocupación'!$B$26</c:f>
              <c:numCache>
                <c:formatCode>General</c:formatCode>
                <c:ptCount val="1"/>
                <c:pt idx="0">
                  <c:v>3412.0729999999999</c:v>
                </c:pt>
              </c:numCache>
            </c:numRef>
          </c:xVal>
          <c:yVal>
            <c:numRef>
              <c:f>'Relación Ocupación'!$C$26</c:f>
              <c:numCache>
                <c:formatCode>0%</c:formatCode>
                <c:ptCount val="1"/>
                <c:pt idx="0">
                  <c:v>1.279218141871688E-2</c:v>
                </c:pt>
              </c:numCache>
            </c:numRef>
          </c:yVal>
          <c:bubbleSize>
            <c:numRef>
              <c:f>'Relación Ocupación'!$D$26</c:f>
              <c:numCache>
                <c:formatCode>0%</c:formatCode>
                <c:ptCount val="1"/>
                <c:pt idx="0">
                  <c:v>0.46762172519083106</c:v>
                </c:pt>
              </c:numCache>
            </c:numRef>
          </c:bubbleSize>
          <c:bubble3D val="0"/>
        </c:ser>
        <c:ser>
          <c:idx val="9"/>
          <c:order val="9"/>
          <c:tx>
            <c:strRef>
              <c:f>'Relación Ocupación'!$A$27</c:f>
              <c:strCache>
                <c:ptCount val="1"/>
                <c:pt idx="0">
                  <c:v>No Calificados</c:v>
                </c:pt>
              </c:strCache>
            </c:strRef>
          </c:tx>
          <c:spPr>
            <a:ln w="28575">
              <a:noFill/>
            </a:ln>
          </c:spPr>
          <c:invertIfNegative val="0"/>
          <c:dLbls>
            <c:dLbl>
              <c:idx val="0"/>
              <c:layout>
                <c:manualLayout>
                  <c:x val="-8.447431910913919E-2"/>
                  <c:y val="-3.0406685831657573E-3"/>
                </c:manualLayout>
              </c:layout>
              <c:showLegendKey val="0"/>
              <c:showVal val="0"/>
              <c:showCatName val="0"/>
              <c:showSerName val="0"/>
              <c:showPercent val="0"/>
              <c:showBubbleSize val="1"/>
            </c:dLbl>
            <c:showLegendKey val="0"/>
            <c:showVal val="0"/>
            <c:showCatName val="0"/>
            <c:showSerName val="0"/>
            <c:showPercent val="0"/>
            <c:showBubbleSize val="1"/>
            <c:showLeaderLines val="0"/>
          </c:dLbls>
          <c:xVal>
            <c:numRef>
              <c:f>'Relación Ocupación'!$B$27</c:f>
              <c:numCache>
                <c:formatCode>General</c:formatCode>
                <c:ptCount val="1"/>
                <c:pt idx="0">
                  <c:v>1428.605</c:v>
                </c:pt>
              </c:numCache>
            </c:numRef>
          </c:xVal>
          <c:yVal>
            <c:numRef>
              <c:f>'Relación Ocupación'!$C$27</c:f>
              <c:numCache>
                <c:formatCode>0%</c:formatCode>
                <c:ptCount val="1"/>
                <c:pt idx="0">
                  <c:v>2.0607721278406772</c:v>
                </c:pt>
              </c:numCache>
            </c:numRef>
          </c:yVal>
          <c:bubbleSize>
            <c:numRef>
              <c:f>'Relación Ocupación'!$D$27</c:f>
              <c:numCache>
                <c:formatCode>0%</c:formatCode>
                <c:ptCount val="1"/>
                <c:pt idx="0">
                  <c:v>0.69416289017148058</c:v>
                </c:pt>
              </c:numCache>
            </c:numRef>
          </c:bubbleSize>
          <c:bubble3D val="0"/>
        </c:ser>
        <c:dLbls>
          <c:showLegendKey val="0"/>
          <c:showVal val="0"/>
          <c:showCatName val="0"/>
          <c:showSerName val="0"/>
          <c:showPercent val="0"/>
          <c:showBubbleSize val="0"/>
        </c:dLbls>
        <c:bubbleScale val="100"/>
        <c:showNegBubbles val="0"/>
        <c:sizeRepresents val="w"/>
        <c:axId val="180943872"/>
        <c:axId val="181294208"/>
      </c:bubbleChart>
      <c:valAx>
        <c:axId val="180943872"/>
        <c:scaling>
          <c:orientation val="minMax"/>
        </c:scaling>
        <c:delete val="0"/>
        <c:axPos val="b"/>
        <c:title>
          <c:tx>
            <c:rich>
              <a:bodyPr/>
              <a:lstStyle/>
              <a:p>
                <a:pPr>
                  <a:defRPr/>
                </a:pPr>
                <a:r>
                  <a:rPr lang="en-US"/>
                  <a:t>Ingreso Mensual A precios Corrientes
</a:t>
                </a:r>
              </a:p>
            </c:rich>
          </c:tx>
          <c:layout/>
          <c:overlay val="0"/>
        </c:title>
        <c:numFmt formatCode="#,##0" sourceLinked="0"/>
        <c:majorTickMark val="out"/>
        <c:minorTickMark val="none"/>
        <c:tickLblPos val="nextTo"/>
        <c:txPr>
          <a:bodyPr/>
          <a:lstStyle/>
          <a:p>
            <a:pPr>
              <a:defRPr sz="800"/>
            </a:pPr>
            <a:endParaRPr lang="es-ES"/>
          </a:p>
        </c:txPr>
        <c:crossAx val="181294208"/>
        <c:crosses val="autoZero"/>
        <c:crossBetween val="midCat"/>
      </c:valAx>
      <c:valAx>
        <c:axId val="181294208"/>
        <c:scaling>
          <c:orientation val="minMax"/>
          <c:min val="0"/>
        </c:scaling>
        <c:delete val="0"/>
        <c:axPos val="l"/>
        <c:title>
          <c:tx>
            <c:rich>
              <a:bodyPr rot="-5400000" vert="horz"/>
              <a:lstStyle/>
              <a:p>
                <a:pPr>
                  <a:defRPr/>
                </a:pPr>
                <a:r>
                  <a:rPr lang="en-US"/>
                  <a:t>Ratio Mujeres/Hombres
</a:t>
                </a:r>
              </a:p>
            </c:rich>
          </c:tx>
          <c:layout/>
          <c:overlay val="0"/>
        </c:title>
        <c:numFmt formatCode="0%" sourceLinked="1"/>
        <c:majorTickMark val="out"/>
        <c:minorTickMark val="none"/>
        <c:tickLblPos val="nextTo"/>
        <c:txPr>
          <a:bodyPr/>
          <a:lstStyle/>
          <a:p>
            <a:pPr>
              <a:defRPr sz="800"/>
            </a:pPr>
            <a:endParaRPr lang="es-ES"/>
          </a:p>
        </c:txPr>
        <c:crossAx val="180943872"/>
        <c:crosses val="autoZero"/>
        <c:crossBetween val="midCat"/>
      </c:valAx>
    </c:plotArea>
    <c:legend>
      <c:legendPos val="t"/>
      <c:layout/>
      <c:overlay val="0"/>
      <c:txPr>
        <a:bodyPr/>
        <a:lstStyle/>
        <a:p>
          <a:pPr>
            <a:defRPr sz="700"/>
          </a:pPr>
          <a:endParaRPr lang="es-ES"/>
        </a:p>
      </c:txPr>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'C1'!$A$4:$A$6</c:f>
              <c:strCache>
                <c:ptCount val="1"/>
                <c:pt idx="0">
                  <c:v>Hombre</c:v>
                </c:pt>
              </c:strCache>
            </c:strRef>
          </c:tx>
          <c:spPr>
            <a:solidFill>
              <a:schemeClr val="accent3"/>
            </a:solidFill>
          </c:spPr>
          <c:invertIfNegative val="0"/>
          <c:dPt>
            <c:idx val="3"/>
            <c:invertIfNegative val="0"/>
            <c:bubble3D val="0"/>
            <c:spPr>
              <a:solidFill>
                <a:srgbClr val="70AD47">
                  <a:lumMod val="50000"/>
                </a:srgbClr>
              </a:solidFill>
            </c:spPr>
            <c:extLst xmlns:c16r2="http://schemas.microsoft.com/office/drawing/2015/06/chart">
              <c:ext xmlns:c16="http://schemas.microsoft.com/office/drawing/2014/chart" uri="{C3380CC4-5D6E-409C-BE32-E72D297353CC}">
                <c16:uniqueId val="{00000001-35CD-43B0-A22D-0C56FE53FF70}"/>
              </c:ext>
            </c:extLst>
          </c:dPt>
          <c:dLbls>
            <c:dLbl>
              <c:idx val="3"/>
              <c:numFmt formatCode="#,##0" sourceLinked="0"/>
              <c:spPr>
                <a:noFill/>
                <a:ln>
                  <a:noFill/>
                </a:ln>
                <a:effectLst/>
              </c:spPr>
              <c:txPr>
                <a:bodyPr/>
                <a:lstStyle/>
                <a:p>
                  <a:pPr>
                    <a:defRPr sz="1100">
                      <a:solidFill>
                        <a:schemeClr val="bg1"/>
                      </a:solidFill>
                    </a:defRPr>
                  </a:pPr>
                  <a:endParaRPr lang="es-ES"/>
                </a:p>
              </c:txPr>
              <c:showLegendKey val="0"/>
              <c:showVal val="1"/>
              <c:showCatName val="0"/>
              <c:showSerName val="0"/>
              <c:showPercent val="0"/>
              <c:showBubbleSize val="0"/>
            </c:dLbl>
            <c:numFmt formatCode="#,##0" sourceLinked="0"/>
            <c:spPr>
              <a:noFill/>
              <a:ln>
                <a:noFill/>
              </a:ln>
              <a:effectLst/>
            </c:spPr>
            <c:txPr>
              <a:bodyPr/>
              <a:lstStyle/>
              <a:p>
                <a:pPr>
                  <a:defRPr sz="1100"/>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'C1'!$H$3:$K$3</c:f>
              <c:strCache>
                <c:ptCount val="4"/>
                <c:pt idx="0">
                  <c:v>Pequeña</c:v>
                </c:pt>
                <c:pt idx="1">
                  <c:v>Mediana</c:v>
                </c:pt>
                <c:pt idx="2">
                  <c:v>Grande</c:v>
                </c:pt>
                <c:pt idx="3">
                  <c:v>Total</c:v>
                </c:pt>
              </c:strCache>
            </c:strRef>
          </c:cat>
          <c:val>
            <c:numRef>
              <c:f>'C1'!$H$6:$K$6</c:f>
              <c:numCache>
                <c:formatCode>General</c:formatCode>
                <c:ptCount val="4"/>
                <c:pt idx="0">
                  <c:v>70.45</c:v>
                </c:pt>
                <c:pt idx="1">
                  <c:v>67.16</c:v>
                </c:pt>
                <c:pt idx="2">
                  <c:v>71.05</c:v>
                </c:pt>
                <c:pt idx="3">
                  <c:v>69.94</c:v>
                </c:pt>
              </c:numCache>
            </c:numRef>
          </c:val>
          <c:extLst xmlns:c16r2="http://schemas.microsoft.com/office/drawing/2015/06/chart">
            <c:ext xmlns:c16="http://schemas.microsoft.com/office/drawing/2014/chart" uri="{C3380CC4-5D6E-409C-BE32-E72D297353CC}">
              <c16:uniqueId val="{00000002-35CD-43B0-A22D-0C56FE53FF70}"/>
            </c:ext>
          </c:extLst>
        </c:ser>
        <c:ser>
          <c:idx val="1"/>
          <c:order val="1"/>
          <c:tx>
            <c:strRef>
              <c:f>'C1'!$A$7:$A$9</c:f>
              <c:strCache>
                <c:ptCount val="1"/>
                <c:pt idx="0">
                  <c:v>Mujer</c:v>
                </c:pt>
              </c:strCache>
            </c:strRef>
          </c:tx>
          <c:spPr>
            <a:solidFill>
              <a:schemeClr val="accent3">
                <a:lumMod val="40000"/>
                <a:lumOff val="60000"/>
              </a:schemeClr>
            </a:solidFill>
          </c:spPr>
          <c:invertIfNegative val="0"/>
          <c:dPt>
            <c:idx val="3"/>
            <c:invertIfNegative val="0"/>
            <c:bubble3D val="0"/>
            <c:spPr>
              <a:solidFill>
                <a:srgbClr val="70AD47">
                  <a:lumMod val="60000"/>
                  <a:lumOff val="40000"/>
                </a:srgbClr>
              </a:solidFill>
            </c:spPr>
            <c:extLst xmlns:c16r2="http://schemas.microsoft.com/office/drawing/2015/06/chart">
              <c:ext xmlns:c16="http://schemas.microsoft.com/office/drawing/2014/chart" uri="{C3380CC4-5D6E-409C-BE32-E72D297353CC}">
                <c16:uniqueId val="{00000004-35CD-43B0-A22D-0C56FE53FF70}"/>
              </c:ext>
            </c:extLst>
          </c:dPt>
          <c:dLbls>
            <c:numFmt formatCode="#,##0" sourceLinked="0"/>
            <c:spPr>
              <a:noFill/>
              <a:ln>
                <a:noFill/>
              </a:ln>
              <a:effectLst/>
            </c:spPr>
            <c:txPr>
              <a:bodyPr/>
              <a:lstStyle/>
              <a:p>
                <a:pPr>
                  <a:defRPr sz="1100"/>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'C1'!$H$3:$K$3</c:f>
              <c:strCache>
                <c:ptCount val="4"/>
                <c:pt idx="0">
                  <c:v>Pequeña</c:v>
                </c:pt>
                <c:pt idx="1">
                  <c:v>Mediana</c:v>
                </c:pt>
                <c:pt idx="2">
                  <c:v>Grande</c:v>
                </c:pt>
                <c:pt idx="3">
                  <c:v>Total</c:v>
                </c:pt>
              </c:strCache>
            </c:strRef>
          </c:cat>
          <c:val>
            <c:numRef>
              <c:f>'C1'!$H$9:$K$9</c:f>
              <c:numCache>
                <c:formatCode>General</c:formatCode>
                <c:ptCount val="4"/>
                <c:pt idx="0">
                  <c:v>29.5</c:v>
                </c:pt>
                <c:pt idx="1">
                  <c:v>32.840000000000003</c:v>
                </c:pt>
                <c:pt idx="2">
                  <c:v>28.95</c:v>
                </c:pt>
                <c:pt idx="3">
                  <c:v>30.04</c:v>
                </c:pt>
              </c:numCache>
            </c:numRef>
          </c:val>
          <c:extLst xmlns:c16r2="http://schemas.microsoft.com/office/drawing/2015/06/chart">
            <c:ext xmlns:c16="http://schemas.microsoft.com/office/drawing/2014/chart" uri="{C3380CC4-5D6E-409C-BE32-E72D297353CC}">
              <c16:uniqueId val="{00000005-35CD-43B0-A22D-0C56FE53FF70}"/>
            </c:ext>
          </c:extLst>
        </c:ser>
        <c:dLbls>
          <c:showLegendKey val="0"/>
          <c:showVal val="0"/>
          <c:showCatName val="0"/>
          <c:showSerName val="0"/>
          <c:showPercent val="0"/>
          <c:showBubbleSize val="0"/>
        </c:dLbls>
        <c:gapWidth val="150"/>
        <c:overlap val="100"/>
        <c:axId val="181332992"/>
        <c:axId val="181351168"/>
      </c:barChart>
      <c:catAx>
        <c:axId val="181332992"/>
        <c:scaling>
          <c:orientation val="minMax"/>
        </c:scaling>
        <c:delete val="0"/>
        <c:axPos val="b"/>
        <c:numFmt formatCode="General" sourceLinked="0"/>
        <c:majorTickMark val="out"/>
        <c:minorTickMark val="none"/>
        <c:tickLblPos val="nextTo"/>
        <c:txPr>
          <a:bodyPr/>
          <a:lstStyle/>
          <a:p>
            <a:pPr>
              <a:defRPr sz="1100"/>
            </a:pPr>
            <a:endParaRPr lang="es-ES"/>
          </a:p>
        </c:txPr>
        <c:crossAx val="181351168"/>
        <c:crosses val="autoZero"/>
        <c:auto val="1"/>
        <c:lblAlgn val="ctr"/>
        <c:lblOffset val="100"/>
        <c:noMultiLvlLbl val="0"/>
      </c:catAx>
      <c:valAx>
        <c:axId val="181351168"/>
        <c:scaling>
          <c:orientation val="minMax"/>
        </c:scaling>
        <c:delete val="0"/>
        <c:axPos val="l"/>
        <c:numFmt formatCode="0%" sourceLinked="1"/>
        <c:majorTickMark val="out"/>
        <c:minorTickMark val="none"/>
        <c:tickLblPos val="nextTo"/>
        <c:txPr>
          <a:bodyPr/>
          <a:lstStyle/>
          <a:p>
            <a:pPr>
              <a:defRPr sz="1100"/>
            </a:pPr>
            <a:endParaRPr lang="es-ES"/>
          </a:p>
        </c:txPr>
        <c:crossAx val="181332992"/>
        <c:crosses val="autoZero"/>
        <c:crossBetween val="between"/>
      </c:valAx>
    </c:plotArea>
    <c:legend>
      <c:legendPos val="b"/>
      <c:layout/>
      <c:overlay val="0"/>
      <c:txPr>
        <a:bodyPr/>
        <a:lstStyle/>
        <a:p>
          <a:pPr>
            <a:defRPr sz="1100"/>
          </a:pPr>
          <a:endParaRPr lang="es-ES"/>
        </a:p>
      </c:txPr>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s-E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977089402286243E-2"/>
          <c:y val="8.5430228864704014E-2"/>
          <c:w val="0.88216088373568691"/>
          <c:h val="0.73100011851921098"/>
        </c:manualLayout>
      </c:layout>
      <c:barChart>
        <c:barDir val="col"/>
        <c:grouping val="percentStacked"/>
        <c:varyColors val="0"/>
        <c:ser>
          <c:idx val="0"/>
          <c:order val="0"/>
          <c:tx>
            <c:strRef>
              <c:f>'C1'!$N$3</c:f>
              <c:strCache>
                <c:ptCount val="1"/>
                <c:pt idx="0">
                  <c:v>Gerente</c:v>
                </c:pt>
              </c:strCache>
            </c:strRef>
          </c:tx>
          <c:spPr>
            <a:solidFill>
              <a:schemeClr val="tx2">
                <a:lumMod val="75000"/>
              </a:schemeClr>
            </a:solidFill>
          </c:spPr>
          <c:invertIfNegative val="0"/>
          <c:dLbls>
            <c:numFmt formatCode="#,##0" sourceLinked="0"/>
            <c:txPr>
              <a:bodyPr/>
              <a:lstStyle/>
              <a:p>
                <a:pPr>
                  <a:defRPr>
                    <a:solidFill>
                      <a:schemeClr val="bg1"/>
                    </a:solidFill>
                  </a:defRPr>
                </a:pPr>
                <a:endParaRPr lang="es-ES"/>
              </a:p>
            </c:txPr>
            <c:showLegendKey val="0"/>
            <c:showVal val="1"/>
            <c:showCatName val="0"/>
            <c:showSerName val="0"/>
            <c:showPercent val="0"/>
            <c:showBubbleSize val="0"/>
            <c:showLeaderLines val="0"/>
          </c:dLbls>
          <c:cat>
            <c:strRef>
              <c:f>'C1'!$A$57:$A$59</c:f>
              <c:strCache>
                <c:ptCount val="3"/>
                <c:pt idx="0">
                  <c:v>Hombre</c:v>
                </c:pt>
                <c:pt idx="1">
                  <c:v>Mujer</c:v>
                </c:pt>
                <c:pt idx="2">
                  <c:v>Total</c:v>
                </c:pt>
              </c:strCache>
            </c:strRef>
          </c:cat>
          <c:val>
            <c:numRef>
              <c:f>('C1'!$N$5,'C1'!$N$8,'C1'!$N$14)</c:f>
              <c:numCache>
                <c:formatCode>General</c:formatCode>
                <c:ptCount val="3"/>
                <c:pt idx="0">
                  <c:v>33.74</c:v>
                </c:pt>
                <c:pt idx="1">
                  <c:v>22.09</c:v>
                </c:pt>
                <c:pt idx="2">
                  <c:v>30.26</c:v>
                </c:pt>
              </c:numCache>
            </c:numRef>
          </c:val>
        </c:ser>
        <c:ser>
          <c:idx val="1"/>
          <c:order val="1"/>
          <c:tx>
            <c:strRef>
              <c:f>'C1'!$O$3</c:f>
              <c:strCache>
                <c:ptCount val="1"/>
                <c:pt idx="0">
                  <c:v>Administrativo</c:v>
                </c:pt>
              </c:strCache>
            </c:strRef>
          </c:tx>
          <c:spPr>
            <a:solidFill>
              <a:schemeClr val="accent1">
                <a:lumMod val="60000"/>
                <a:lumOff val="40000"/>
              </a:schemeClr>
            </a:solidFill>
          </c:spPr>
          <c:invertIfNegative val="0"/>
          <c:dLbls>
            <c:numFmt formatCode="#,##0" sourceLinked="0"/>
            <c:showLegendKey val="0"/>
            <c:showVal val="1"/>
            <c:showCatName val="0"/>
            <c:showSerName val="0"/>
            <c:showPercent val="0"/>
            <c:showBubbleSize val="0"/>
            <c:showLeaderLines val="0"/>
          </c:dLbls>
          <c:cat>
            <c:strRef>
              <c:f>'C1'!$A$57:$A$59</c:f>
              <c:strCache>
                <c:ptCount val="3"/>
                <c:pt idx="0">
                  <c:v>Hombre</c:v>
                </c:pt>
                <c:pt idx="1">
                  <c:v>Mujer</c:v>
                </c:pt>
                <c:pt idx="2">
                  <c:v>Total</c:v>
                </c:pt>
              </c:strCache>
            </c:strRef>
          </c:cat>
          <c:val>
            <c:numRef>
              <c:f>('C1'!$O$5,'C1'!$O$8,'C1'!$O$14)</c:f>
              <c:numCache>
                <c:formatCode>General</c:formatCode>
                <c:ptCount val="3"/>
                <c:pt idx="0">
                  <c:v>26.25</c:v>
                </c:pt>
                <c:pt idx="1">
                  <c:v>57.74</c:v>
                </c:pt>
                <c:pt idx="2">
                  <c:v>35.700000000000003</c:v>
                </c:pt>
              </c:numCache>
            </c:numRef>
          </c:val>
        </c:ser>
        <c:ser>
          <c:idx val="2"/>
          <c:order val="2"/>
          <c:tx>
            <c:strRef>
              <c:f>'C1'!$P$3</c:f>
              <c:strCache>
                <c:ptCount val="1"/>
                <c:pt idx="0">
                  <c:v>Consultor</c:v>
                </c:pt>
              </c:strCache>
            </c:strRef>
          </c:tx>
          <c:spPr>
            <a:solidFill>
              <a:schemeClr val="bg1">
                <a:lumMod val="50000"/>
              </a:schemeClr>
            </a:solidFill>
          </c:spPr>
          <c:invertIfNegative val="0"/>
          <c:dLbls>
            <c:numFmt formatCode="#,##0" sourceLinked="0"/>
            <c:showLegendKey val="0"/>
            <c:showVal val="1"/>
            <c:showCatName val="0"/>
            <c:showSerName val="0"/>
            <c:showPercent val="0"/>
            <c:showBubbleSize val="0"/>
            <c:showLeaderLines val="0"/>
          </c:dLbls>
          <c:cat>
            <c:strRef>
              <c:f>'C1'!$A$57:$A$59</c:f>
              <c:strCache>
                <c:ptCount val="3"/>
                <c:pt idx="0">
                  <c:v>Hombre</c:v>
                </c:pt>
                <c:pt idx="1">
                  <c:v>Mujer</c:v>
                </c:pt>
                <c:pt idx="2">
                  <c:v>Total</c:v>
                </c:pt>
              </c:strCache>
            </c:strRef>
          </c:cat>
          <c:val>
            <c:numRef>
              <c:f>('C1'!$P$5,'C1'!$P$8,'C1'!$P$14)</c:f>
              <c:numCache>
                <c:formatCode>General</c:formatCode>
                <c:ptCount val="3"/>
                <c:pt idx="0">
                  <c:v>3.32</c:v>
                </c:pt>
                <c:pt idx="1">
                  <c:v>2.59</c:v>
                </c:pt>
                <c:pt idx="2">
                  <c:v>3.1</c:v>
                </c:pt>
              </c:numCache>
            </c:numRef>
          </c:val>
        </c:ser>
        <c:ser>
          <c:idx val="3"/>
          <c:order val="3"/>
          <c:tx>
            <c:strRef>
              <c:f>'C1'!$Q$3</c:f>
              <c:strCache>
                <c:ptCount val="1"/>
                <c:pt idx="0">
                  <c:v>Técnico</c:v>
                </c:pt>
              </c:strCache>
            </c:strRef>
          </c:tx>
          <c:spPr>
            <a:solidFill>
              <a:schemeClr val="accent4">
                <a:lumMod val="60000"/>
                <a:lumOff val="40000"/>
              </a:schemeClr>
            </a:solidFill>
          </c:spPr>
          <c:invertIfNegative val="0"/>
          <c:dLbls>
            <c:numFmt formatCode="#,##0" sourceLinked="0"/>
            <c:showLegendKey val="0"/>
            <c:showVal val="1"/>
            <c:showCatName val="0"/>
            <c:showSerName val="0"/>
            <c:showPercent val="0"/>
            <c:showBubbleSize val="0"/>
            <c:showLeaderLines val="0"/>
          </c:dLbls>
          <c:val>
            <c:numRef>
              <c:f>('C1'!$Q$5,'C1'!$Q$8,'C1'!$Q$14)</c:f>
              <c:numCache>
                <c:formatCode>General</c:formatCode>
                <c:ptCount val="3"/>
                <c:pt idx="0">
                  <c:v>36.68</c:v>
                </c:pt>
                <c:pt idx="1">
                  <c:v>17.579999999999998</c:v>
                </c:pt>
                <c:pt idx="2">
                  <c:v>30.94</c:v>
                </c:pt>
              </c:numCache>
            </c:numRef>
          </c:val>
        </c:ser>
        <c:dLbls>
          <c:showLegendKey val="0"/>
          <c:showVal val="0"/>
          <c:showCatName val="0"/>
          <c:showSerName val="0"/>
          <c:showPercent val="0"/>
          <c:showBubbleSize val="0"/>
        </c:dLbls>
        <c:gapWidth val="150"/>
        <c:overlap val="100"/>
        <c:axId val="224660480"/>
        <c:axId val="234445056"/>
      </c:barChart>
      <c:catAx>
        <c:axId val="224660480"/>
        <c:scaling>
          <c:orientation val="minMax"/>
        </c:scaling>
        <c:delete val="0"/>
        <c:axPos val="b"/>
        <c:majorTickMark val="out"/>
        <c:minorTickMark val="none"/>
        <c:tickLblPos val="nextTo"/>
        <c:crossAx val="234445056"/>
        <c:crosses val="autoZero"/>
        <c:auto val="1"/>
        <c:lblAlgn val="ctr"/>
        <c:lblOffset val="100"/>
        <c:noMultiLvlLbl val="0"/>
      </c:catAx>
      <c:valAx>
        <c:axId val="234445056"/>
        <c:scaling>
          <c:orientation val="minMax"/>
        </c:scaling>
        <c:delete val="0"/>
        <c:axPos val="l"/>
        <c:numFmt formatCode="0%" sourceLinked="1"/>
        <c:majorTickMark val="out"/>
        <c:minorTickMark val="none"/>
        <c:tickLblPos val="nextTo"/>
        <c:crossAx val="224660480"/>
        <c:crosses val="autoZero"/>
        <c:crossBetween val="between"/>
      </c:valAx>
    </c:plotArea>
    <c:legend>
      <c:legendPos val="b"/>
      <c:layou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s-E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0.45415</cdr:x>
      <cdr:y>0.03776</cdr:y>
    </cdr:from>
    <cdr:to>
      <cdr:x>0.4559</cdr:x>
      <cdr:y>0.80518</cdr:y>
    </cdr:to>
    <cdr:cxnSp macro="">
      <cdr:nvCxnSpPr>
        <cdr:cNvPr id="4" name="Straight Connector 3"/>
        <cdr:cNvCxnSpPr/>
      </cdr:nvCxnSpPr>
      <cdr:spPr>
        <a:xfrm xmlns:a="http://schemas.openxmlformats.org/drawingml/2006/main" flipV="1">
          <a:off x="2271055" y="99267"/>
          <a:ext cx="8751" cy="2017471"/>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0.51968</cdr:x>
      <cdr:y>0.04101</cdr:y>
    </cdr:from>
    <cdr:to>
      <cdr:x>0.75833</cdr:x>
      <cdr:y>0.10957</cdr:y>
    </cdr:to>
    <cdr:sp macro="" textlink="">
      <cdr:nvSpPr>
        <cdr:cNvPr id="6" name="TextBox 5"/>
        <cdr:cNvSpPr txBox="1"/>
      </cdr:nvSpPr>
      <cdr:spPr>
        <a:xfrm xmlns:a="http://schemas.openxmlformats.org/drawingml/2006/main">
          <a:off x="2599060" y="140504"/>
          <a:ext cx="1193551" cy="2349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000">
              <a:latin typeface="Times New Roman" panose="02020603050405020304" pitchFamily="18" charset="0"/>
              <a:cs typeface="Times New Roman" panose="02020603050405020304" pitchFamily="18" charset="0"/>
            </a:rPr>
            <a:t>Sub-representada</a:t>
          </a:r>
          <a:r>
            <a:rPr lang="es-ES" sz="1100"/>
            <a:t>s</a:t>
          </a:r>
        </a:p>
      </cdr:txBody>
    </cdr:sp>
  </cdr:relSizeAnchor>
  <cdr:relSizeAnchor xmlns:cdr="http://schemas.openxmlformats.org/drawingml/2006/chartDrawing">
    <cdr:from>
      <cdr:x>0.15471</cdr:x>
      <cdr:y>0.02481</cdr:y>
    </cdr:from>
    <cdr:to>
      <cdr:x>0.40674</cdr:x>
      <cdr:y>0.09336</cdr:y>
    </cdr:to>
    <cdr:sp macro="" textlink="">
      <cdr:nvSpPr>
        <cdr:cNvPr id="7" name="TextBox 1"/>
        <cdr:cNvSpPr txBox="1"/>
      </cdr:nvSpPr>
      <cdr:spPr>
        <a:xfrm xmlns:a="http://schemas.openxmlformats.org/drawingml/2006/main">
          <a:off x="773769" y="85020"/>
          <a:ext cx="1260467" cy="2348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000">
              <a:latin typeface="Times New Roman" panose="02020603050405020304" pitchFamily="18" charset="0"/>
              <a:cs typeface="Times New Roman" panose="02020603050405020304" pitchFamily="18" charset="0"/>
            </a:rPr>
            <a:t>Sobre-representadas</a:t>
          </a:r>
        </a:p>
      </cdr:txBody>
    </cdr:sp>
  </cdr:relSizeAnchor>
</c:userShapes>
</file>

<file path=word/drawings/drawing2.xml><?xml version="1.0" encoding="utf-8"?>
<c:userShapes xmlns:c="http://schemas.openxmlformats.org/drawingml/2006/chart">
  <cdr:relSizeAnchor xmlns:cdr="http://schemas.openxmlformats.org/drawingml/2006/chartDrawing">
    <cdr:from>
      <cdr:x>0.12626</cdr:x>
      <cdr:y>0.67923</cdr:y>
    </cdr:from>
    <cdr:to>
      <cdr:x>0.96851</cdr:x>
      <cdr:y>0.67923</cdr:y>
    </cdr:to>
    <cdr:cxnSp macro="">
      <cdr:nvCxnSpPr>
        <cdr:cNvPr id="2" name="Straight Connector 1"/>
        <cdr:cNvCxnSpPr/>
      </cdr:nvCxnSpPr>
      <cdr:spPr>
        <a:xfrm xmlns:a="http://schemas.openxmlformats.org/drawingml/2006/main" flipV="1">
          <a:off x="773626" y="2836969"/>
          <a:ext cx="5160799" cy="0"/>
        </a:xfrm>
        <a:prstGeom xmlns:a="http://schemas.openxmlformats.org/drawingml/2006/main" prst="line">
          <a:avLst/>
        </a:prstGeom>
        <a:ln xmlns:a="http://schemas.openxmlformats.org/drawingml/2006/main" w="6350">
          <a:solidFill>
            <a:schemeClr val="bg1">
              <a:lumMod val="5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0.13997</cdr:x>
      <cdr:y>0.57021</cdr:y>
    </cdr:from>
    <cdr:to>
      <cdr:x>0.40579</cdr:x>
      <cdr:y>0.66828</cdr:y>
    </cdr:to>
    <cdr:sp macro="" textlink="">
      <cdr:nvSpPr>
        <cdr:cNvPr id="3" name="TextBox 1"/>
        <cdr:cNvSpPr txBox="1"/>
      </cdr:nvSpPr>
      <cdr:spPr>
        <a:xfrm xmlns:a="http://schemas.openxmlformats.org/drawingml/2006/main">
          <a:off x="785529" y="2169966"/>
          <a:ext cx="1491843" cy="3732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s-ES" sz="1000">
              <a:latin typeface="Times New Roman" panose="02020603050405020304" pitchFamily="18" charset="0"/>
              <a:cs typeface="Times New Roman" panose="02020603050405020304" pitchFamily="18" charset="0"/>
            </a:rPr>
            <a:t>Participacón</a:t>
          </a:r>
          <a:r>
            <a:rPr lang="es-ES" sz="1000" baseline="0">
              <a:latin typeface="Times New Roman" panose="02020603050405020304" pitchFamily="18" charset="0"/>
              <a:cs typeface="Times New Roman" panose="02020603050405020304" pitchFamily="18" charset="0"/>
            </a:rPr>
            <a:t> Promedio M/H : 75%</a:t>
          </a:r>
          <a:endParaRPr lang="es-ES"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0.40697</cdr:x>
      <cdr:y>0.18244</cdr:y>
    </cdr:from>
    <cdr:to>
      <cdr:x>0.40783</cdr:x>
      <cdr:y>0.8699</cdr:y>
    </cdr:to>
    <cdr:cxnSp macro="">
      <cdr:nvCxnSpPr>
        <cdr:cNvPr id="4" name="Straight Connector 3"/>
        <cdr:cNvCxnSpPr/>
      </cdr:nvCxnSpPr>
      <cdr:spPr>
        <a:xfrm xmlns:a="http://schemas.openxmlformats.org/drawingml/2006/main" flipV="1">
          <a:off x="2493682" y="762000"/>
          <a:ext cx="5230" cy="2871313"/>
        </a:xfrm>
        <a:prstGeom xmlns:a="http://schemas.openxmlformats.org/drawingml/2006/main" prst="line">
          <a:avLst/>
        </a:prstGeom>
        <a:ln xmlns:a="http://schemas.openxmlformats.org/drawingml/2006/main" w="6350">
          <a:solidFill>
            <a:schemeClr val="bg1">
              <a:lumMod val="5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0.42343</cdr:x>
      <cdr:y>0.18387</cdr:y>
    </cdr:from>
    <cdr:to>
      <cdr:x>0.6721</cdr:x>
      <cdr:y>0.28193</cdr:y>
    </cdr:to>
    <cdr:sp macro="" textlink="">
      <cdr:nvSpPr>
        <cdr:cNvPr id="6" name="TextBox 1"/>
        <cdr:cNvSpPr txBox="1"/>
      </cdr:nvSpPr>
      <cdr:spPr>
        <a:xfrm xmlns:a="http://schemas.openxmlformats.org/drawingml/2006/main">
          <a:off x="2376344" y="699727"/>
          <a:ext cx="1395556" cy="3731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000">
              <a:latin typeface="Times New Roman" panose="02020603050405020304" pitchFamily="18" charset="0"/>
              <a:cs typeface="Times New Roman" panose="02020603050405020304" pitchFamily="18" charset="0"/>
            </a:rPr>
            <a:t>Ingreso</a:t>
          </a:r>
          <a:r>
            <a:rPr lang="es-ES" sz="1000" baseline="0">
              <a:latin typeface="Times New Roman" panose="02020603050405020304" pitchFamily="18" charset="0"/>
              <a:cs typeface="Times New Roman" panose="02020603050405020304" pitchFamily="18" charset="0"/>
            </a:rPr>
            <a:t> Lab. Prom.:</a:t>
          </a:r>
        </a:p>
        <a:p xmlns:a="http://schemas.openxmlformats.org/drawingml/2006/main">
          <a:r>
            <a:rPr lang="es-ES" sz="1000" baseline="0">
              <a:latin typeface="Times New Roman" panose="02020603050405020304" pitchFamily="18" charset="0"/>
              <a:cs typeface="Times New Roman" panose="02020603050405020304" pitchFamily="18" charset="0"/>
            </a:rPr>
            <a:t>Bs2,763</a:t>
          </a:r>
          <a:endParaRPr lang="es-ES" sz="10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1B868DD694CFEF4797BDF2F70D98684A" ma:contentTypeVersion="0" ma:contentTypeDescription="A content type to manage public (operations) IDB documents" ma:contentTypeScope="" ma:versionID="5001551c3a4f37475d6289de5f8c3293">
  <xsd:schema xmlns:xsd="http://www.w3.org/2001/XMLSchema" xmlns:xs="http://www.w3.org/2001/XMLSchema" xmlns:p="http://schemas.microsoft.com/office/2006/metadata/properties" xmlns:ns2="9c571b2f-e523-4ab2-ba2e-09e151a03ef4" targetNamespace="http://schemas.microsoft.com/office/2006/metadata/properties" ma:root="true" ma:fieldsID="b8b222a5f0b75ad5f19cc3b3d192848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c4ff23e-f1e5-4a3c-b68a-ce854a860959}" ma:internalName="TaxCatchAll" ma:showField="CatchAllData"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4ff23e-f1e5-4a3c-b68a-ce854a860959}" ma:internalName="TaxCatchAllLabel" ma:readOnly="true" ma:showField="CatchAllDataLabel"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SCL/LMK</Division_x0020_or_x0020_Unit>
    <Other_x0020_Author xmlns="9c571b2f-e523-4ab2-ba2e-09e151a03ef4" xsi:nil="true"/>
    <Region xmlns="9c571b2f-e523-4ab2-ba2e-09e151a03ef4" xsi:nil="true"/>
    <IDBDocs_x0020_Number xmlns="9c571b2f-e523-4ab2-ba2e-09e151a03ef4">40415596</IDBDocs_x0020_Number>
    <Document_x0020_Author xmlns="9c571b2f-e523-4ab2-ba2e-09e151a03ef4">Urquidi Zijderveld, Manuel Enrique</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BO-L1121</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Proposal&lt;/USER_STAGE&gt;&lt;APPROVAL_CODE&gt;CG&lt;/APPROVAL_CODE&gt;&lt;APPROVAL_DESC&gt;Committee of the Whole&lt;/APPROVAL_DESC&gt;&lt;PD_OBJ_TYPE&gt;0&lt;/PD_OBJ_TYPE&gt;&lt;DTAPPROVAL&gt;Nov 30 2016 12:00AM&lt;/DTAPPROVAL&gt;&lt;MAKERECORD&gt;Y&lt;/MAKERECORD&gt;&lt;/Data&gt;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TC-AML</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30F2BCE3-F3E1-416B-BBD8-9980A92ED525}"/>
</file>

<file path=customXml/itemProps2.xml><?xml version="1.0" encoding="utf-8"?>
<ds:datastoreItem xmlns:ds="http://schemas.openxmlformats.org/officeDocument/2006/customXml" ds:itemID="{02A92343-7D7B-46D8-8DEA-B2341321A59D}"/>
</file>

<file path=customXml/itemProps3.xml><?xml version="1.0" encoding="utf-8"?>
<ds:datastoreItem xmlns:ds="http://schemas.openxmlformats.org/officeDocument/2006/customXml" ds:itemID="{C82445C0-6EF4-4EF2-AC51-3443DD099C23}"/>
</file>

<file path=customXml/itemProps4.xml><?xml version="1.0" encoding="utf-8"?>
<ds:datastoreItem xmlns:ds="http://schemas.openxmlformats.org/officeDocument/2006/customXml" ds:itemID="{E250A02A-9A8D-40FB-96D9-A98EC6081194}"/>
</file>

<file path=customXml/itemProps5.xml><?xml version="1.0" encoding="utf-8"?>
<ds:datastoreItem xmlns:ds="http://schemas.openxmlformats.org/officeDocument/2006/customXml" ds:itemID="{305A3C47-6876-4580-B3B7-E77B920774C1}"/>
</file>

<file path=customXml/itemProps6.xml><?xml version="1.0" encoding="utf-8"?>
<ds:datastoreItem xmlns:ds="http://schemas.openxmlformats.org/officeDocument/2006/customXml" ds:itemID="{BF53A7AA-2B29-49F7-8DAA-310A184E6D67}"/>
</file>

<file path=docProps/app.xml><?xml version="1.0" encoding="utf-8"?>
<Properties xmlns="http://schemas.openxmlformats.org/officeDocument/2006/extended-properties" xmlns:vt="http://schemas.openxmlformats.org/officeDocument/2006/docPropsVTypes">
  <Template>Normal.dotm</Template>
  <TotalTime>78</TotalTime>
  <Pages>18</Pages>
  <Words>5072</Words>
  <Characters>27900</Characters>
  <Application>Microsoft Office Word</Application>
  <DocSecurity>0</DocSecurity>
  <Lines>232</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32907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 Elink  Enlace Analisis de Genero BOL1121 POD QRR</dc:title>
  <dc:creator>DELL</dc:creator>
  <cp:lastModifiedBy>Test</cp:lastModifiedBy>
  <cp:revision>6</cp:revision>
  <cp:lastPrinted>2016-07-29T16:57:00Z</cp:lastPrinted>
  <dcterms:created xsi:type="dcterms:W3CDTF">2016-07-29T19:34:00Z</dcterms:created>
  <dcterms:modified xsi:type="dcterms:W3CDTF">2016-08-04T15:06:00Z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0x01010046CF21643EE8D14686A648AA6DAD0892001B868DD694CFEF4797BDF2F70D98684A</vt:lpwstr>
  </property>
  <property fmtid="{D5CDD505-2E9C-101B-9397-08002B2CF9AE}" pid="5" name="TaxKeywordTaxHTField">
    <vt:lpwstr/>
  </property>
  <property fmtid="{D5CDD505-2E9C-101B-9397-08002B2CF9AE}" pid="6" name="Series Operations IDB">
    <vt:lpwstr>3;#Unclassified|a6dff32e-d477-44cd-a56b-85efe9e0a56c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3;#Unclassified|a6dff32e-d477-44cd-a56b-85efe9e0a56c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