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hart7.xml" ContentType="application/vnd.openxmlformats-officedocument.drawingml.chart+xml"/>
  <Override PartName="/word/theme/themeOverride7.xml" ContentType="application/vnd.openxmlformats-officedocument.themeOverride+xml"/>
  <Override PartName="/word/theme/themeOverride6.xml" ContentType="application/vnd.openxmlformats-officedocument.themeOverride+xml"/>
  <Override PartName="/word/theme/theme1.xml" ContentType="application/vnd.openxmlformats-officedocument.theme+xml"/>
  <Override PartName="/word/theme/themeOverride5.xml" ContentType="application/vnd.openxmlformats-officedocument.themeOverride+xml"/>
  <Override PartName="/word/charts/chart5.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charts/chart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46" w:rsidRPr="00A42D43" w:rsidRDefault="008D6946" w:rsidP="00001476">
      <w:pPr>
        <w:pStyle w:val="Title"/>
        <w:tabs>
          <w:tab w:val="clear" w:pos="1440"/>
          <w:tab w:val="clear" w:pos="3060"/>
        </w:tabs>
        <w:spacing w:line="276" w:lineRule="auto"/>
        <w:ind w:left="567" w:hanging="567"/>
        <w:outlineLvl w:val="9"/>
        <w:rPr>
          <w:rFonts w:ascii="Arial" w:hAnsi="Arial" w:cs="Arial"/>
          <w:smallCaps/>
          <w:sz w:val="22"/>
          <w:szCs w:val="22"/>
          <w:lang w:val="es-ES"/>
        </w:rPr>
      </w:pPr>
      <w:bookmarkStart w:id="0" w:name="_GoBack"/>
      <w:bookmarkEnd w:id="0"/>
    </w:p>
    <w:p w:rsidR="008D6946" w:rsidRPr="00A42D43" w:rsidRDefault="008D6946" w:rsidP="00001476">
      <w:pPr>
        <w:pStyle w:val="Title"/>
        <w:tabs>
          <w:tab w:val="clear" w:pos="1440"/>
          <w:tab w:val="clear" w:pos="3060"/>
        </w:tabs>
        <w:spacing w:line="276" w:lineRule="auto"/>
        <w:ind w:left="567" w:hanging="567"/>
        <w:outlineLvl w:val="9"/>
        <w:rPr>
          <w:rFonts w:ascii="Arial" w:hAnsi="Arial" w:cs="Arial"/>
          <w:smallCaps/>
          <w:sz w:val="22"/>
          <w:szCs w:val="22"/>
          <w:lang w:val="es-ES"/>
        </w:rPr>
      </w:pPr>
    </w:p>
    <w:p w:rsidR="008D6946" w:rsidRPr="00A42D43" w:rsidRDefault="008D6946" w:rsidP="00001476">
      <w:pPr>
        <w:pStyle w:val="Title"/>
        <w:tabs>
          <w:tab w:val="clear" w:pos="1440"/>
          <w:tab w:val="clear" w:pos="3060"/>
        </w:tabs>
        <w:spacing w:line="276" w:lineRule="auto"/>
        <w:ind w:left="567" w:hanging="567"/>
        <w:outlineLvl w:val="9"/>
        <w:rPr>
          <w:rFonts w:ascii="Arial" w:hAnsi="Arial" w:cs="Arial"/>
          <w:smallCaps/>
          <w:sz w:val="22"/>
          <w:szCs w:val="22"/>
          <w:lang w:val="es-ES"/>
        </w:rPr>
      </w:pPr>
      <w:r w:rsidRPr="00A42D43">
        <w:rPr>
          <w:rFonts w:ascii="Arial" w:hAnsi="Arial" w:cs="Arial"/>
          <w:smallCaps/>
          <w:sz w:val="22"/>
          <w:szCs w:val="22"/>
          <w:lang w:val="es-ES"/>
        </w:rPr>
        <w:t>Documento del Banco Interamericano de Desarrollo</w:t>
      </w:r>
    </w:p>
    <w:p w:rsidR="008D6946" w:rsidRPr="00A42D43" w:rsidRDefault="008D6946" w:rsidP="00001476">
      <w:pPr>
        <w:pStyle w:val="ListParagraph"/>
        <w:spacing w:line="276" w:lineRule="auto"/>
        <w:ind w:left="567" w:hanging="567"/>
        <w:rPr>
          <w:rFonts w:ascii="Arial" w:hAnsi="Arial" w:cs="Arial"/>
          <w:b/>
          <w:sz w:val="22"/>
          <w:szCs w:val="22"/>
          <w:lang w:val="es-ES"/>
        </w:rPr>
      </w:pPr>
    </w:p>
    <w:p w:rsidR="008D6946" w:rsidRPr="00A42D43" w:rsidRDefault="008D6946" w:rsidP="00001476">
      <w:pPr>
        <w:tabs>
          <w:tab w:val="left" w:pos="1440"/>
          <w:tab w:val="left" w:pos="3060"/>
        </w:tabs>
        <w:spacing w:line="276" w:lineRule="auto"/>
        <w:ind w:left="567" w:hanging="567"/>
        <w:rPr>
          <w:rFonts w:ascii="Arial" w:hAnsi="Arial" w:cs="Arial"/>
          <w:b/>
          <w:smallCaps/>
          <w:sz w:val="22"/>
          <w:szCs w:val="22"/>
          <w:lang w:val="es-ES"/>
        </w:rPr>
      </w:pPr>
    </w:p>
    <w:p w:rsidR="008D6946" w:rsidRPr="00A42D43" w:rsidRDefault="008D6946" w:rsidP="00001476">
      <w:pPr>
        <w:tabs>
          <w:tab w:val="left" w:pos="1440"/>
          <w:tab w:val="left" w:pos="3060"/>
        </w:tabs>
        <w:spacing w:line="276" w:lineRule="auto"/>
        <w:ind w:left="567" w:hanging="567"/>
        <w:rPr>
          <w:rFonts w:ascii="Arial" w:hAnsi="Arial" w:cs="Arial"/>
          <w:b/>
          <w:smallCaps/>
          <w:sz w:val="22"/>
          <w:szCs w:val="22"/>
          <w:lang w:val="es-ES"/>
        </w:rPr>
      </w:pPr>
    </w:p>
    <w:p w:rsidR="008D6946" w:rsidRPr="00A42D43" w:rsidRDefault="008D6946" w:rsidP="00001476">
      <w:pPr>
        <w:tabs>
          <w:tab w:val="left" w:pos="1440"/>
          <w:tab w:val="left" w:pos="3060"/>
        </w:tabs>
        <w:spacing w:line="276" w:lineRule="auto"/>
        <w:jc w:val="both"/>
        <w:rPr>
          <w:rFonts w:ascii="Arial" w:hAnsi="Arial" w:cs="Arial"/>
          <w:b/>
          <w:smallCaps/>
          <w:sz w:val="22"/>
          <w:szCs w:val="22"/>
          <w:lang w:val="es-ES"/>
        </w:rPr>
      </w:pPr>
    </w:p>
    <w:p w:rsidR="008D6946" w:rsidRPr="00A42D43" w:rsidRDefault="008D6946" w:rsidP="00001476">
      <w:pPr>
        <w:tabs>
          <w:tab w:val="left" w:pos="1440"/>
          <w:tab w:val="left" w:pos="3060"/>
        </w:tabs>
        <w:spacing w:line="276" w:lineRule="auto"/>
        <w:ind w:left="567" w:hanging="567"/>
        <w:rPr>
          <w:rFonts w:ascii="Arial" w:hAnsi="Arial" w:cs="Arial"/>
          <w:b/>
          <w:smallCaps/>
          <w:sz w:val="22"/>
          <w:szCs w:val="22"/>
          <w:lang w:val="es-ES"/>
        </w:rPr>
      </w:pPr>
      <w:r w:rsidRPr="00A42D43">
        <w:rPr>
          <w:rFonts w:ascii="Arial" w:hAnsi="Arial" w:cs="Arial"/>
          <w:b/>
          <w:smallCaps/>
          <w:sz w:val="22"/>
          <w:szCs w:val="22"/>
          <w:lang w:val="es-ES"/>
        </w:rPr>
        <w:t xml:space="preserve">Chile </w:t>
      </w:r>
    </w:p>
    <w:p w:rsidR="008D6946" w:rsidRPr="00A42D43" w:rsidRDefault="008D6946" w:rsidP="00001476">
      <w:pPr>
        <w:tabs>
          <w:tab w:val="left" w:pos="1440"/>
          <w:tab w:val="left" w:pos="3060"/>
        </w:tabs>
        <w:spacing w:line="276" w:lineRule="auto"/>
        <w:ind w:left="567" w:hanging="567"/>
        <w:rPr>
          <w:rFonts w:ascii="Arial" w:hAnsi="Arial" w:cs="Arial"/>
          <w:b/>
          <w:smallCaps/>
          <w:sz w:val="22"/>
          <w:szCs w:val="22"/>
          <w:lang w:val="es-ES"/>
        </w:rPr>
      </w:pPr>
    </w:p>
    <w:p w:rsidR="008D6946" w:rsidRPr="00A42D43" w:rsidRDefault="008D6946" w:rsidP="00001476">
      <w:pPr>
        <w:tabs>
          <w:tab w:val="left" w:pos="1440"/>
          <w:tab w:val="left" w:pos="3060"/>
        </w:tabs>
        <w:spacing w:line="276" w:lineRule="auto"/>
        <w:jc w:val="both"/>
        <w:rPr>
          <w:rFonts w:ascii="Arial" w:hAnsi="Arial" w:cs="Arial"/>
          <w:b/>
          <w:smallCaps/>
          <w:sz w:val="22"/>
          <w:szCs w:val="22"/>
          <w:lang w:val="es-ES"/>
        </w:rPr>
      </w:pPr>
    </w:p>
    <w:p w:rsidR="008D6946" w:rsidRPr="00A42D43" w:rsidRDefault="008D6946" w:rsidP="00001476">
      <w:pPr>
        <w:tabs>
          <w:tab w:val="left" w:pos="1440"/>
          <w:tab w:val="left" w:pos="3060"/>
        </w:tabs>
        <w:spacing w:line="276" w:lineRule="auto"/>
        <w:ind w:left="567" w:hanging="567"/>
        <w:rPr>
          <w:rFonts w:ascii="Arial" w:hAnsi="Arial" w:cs="Arial"/>
          <w:b/>
          <w:smallCaps/>
          <w:sz w:val="22"/>
          <w:szCs w:val="22"/>
          <w:lang w:val="es-ES"/>
        </w:rPr>
      </w:pPr>
    </w:p>
    <w:p w:rsidR="008D6946" w:rsidRPr="00A42D43" w:rsidRDefault="008D6946" w:rsidP="00001476">
      <w:pPr>
        <w:tabs>
          <w:tab w:val="left" w:pos="1440"/>
          <w:tab w:val="left" w:pos="3060"/>
        </w:tabs>
        <w:spacing w:line="276" w:lineRule="auto"/>
        <w:ind w:left="567" w:hanging="567"/>
        <w:rPr>
          <w:rFonts w:ascii="Arial" w:hAnsi="Arial" w:cs="Arial"/>
          <w:b/>
          <w:smallCaps/>
          <w:sz w:val="22"/>
          <w:szCs w:val="22"/>
          <w:lang w:val="es-ES"/>
        </w:rPr>
      </w:pPr>
    </w:p>
    <w:p w:rsidR="008D6946" w:rsidRPr="00A42D43" w:rsidRDefault="008D6946" w:rsidP="00001476">
      <w:pPr>
        <w:pStyle w:val="Newpage"/>
        <w:spacing w:line="276" w:lineRule="auto"/>
        <w:rPr>
          <w:rFonts w:ascii="Arial" w:hAnsi="Arial"/>
          <w:bCs/>
          <w:sz w:val="22"/>
          <w:szCs w:val="22"/>
          <w:lang w:val="es-ES"/>
        </w:rPr>
      </w:pPr>
      <w:r w:rsidRPr="00A42D43">
        <w:rPr>
          <w:rFonts w:ascii="Arial" w:hAnsi="Arial"/>
          <w:bCs/>
          <w:sz w:val="22"/>
          <w:szCs w:val="22"/>
          <w:lang w:val="es-ES"/>
        </w:rPr>
        <w:t>Programa de Apoyo a la Agenda de Probidad y Transparencia de Chile</w:t>
      </w:r>
      <w:r w:rsidR="00830D44" w:rsidRPr="00A42D43">
        <w:rPr>
          <w:rFonts w:ascii="Arial" w:hAnsi="Arial"/>
          <w:bCs/>
          <w:sz w:val="22"/>
          <w:szCs w:val="22"/>
          <w:lang w:val="es-ES"/>
        </w:rPr>
        <w:t xml:space="preserve"> II</w:t>
      </w:r>
    </w:p>
    <w:p w:rsidR="008D6946" w:rsidRPr="00A42D43" w:rsidRDefault="008D6946" w:rsidP="00001476">
      <w:pPr>
        <w:pStyle w:val="Newpage"/>
        <w:spacing w:line="276" w:lineRule="auto"/>
        <w:rPr>
          <w:rFonts w:ascii="Arial" w:hAnsi="Arial"/>
          <w:bCs/>
          <w:sz w:val="22"/>
          <w:szCs w:val="22"/>
          <w:lang w:val="es-ES"/>
        </w:rPr>
      </w:pPr>
      <w:r w:rsidRPr="00A42D43">
        <w:rPr>
          <w:rFonts w:ascii="Arial" w:hAnsi="Arial"/>
          <w:bCs/>
          <w:sz w:val="22"/>
          <w:szCs w:val="22"/>
          <w:lang w:val="es-ES"/>
        </w:rPr>
        <w:t>(CH-L111</w:t>
      </w:r>
      <w:r w:rsidR="00E51946" w:rsidRPr="00A42D43">
        <w:rPr>
          <w:rFonts w:ascii="Arial" w:hAnsi="Arial"/>
          <w:bCs/>
          <w:sz w:val="22"/>
          <w:szCs w:val="22"/>
          <w:lang w:val="es-ES"/>
        </w:rPr>
        <w:t>1</w:t>
      </w:r>
      <w:r w:rsidRPr="00A42D43">
        <w:rPr>
          <w:rFonts w:ascii="Arial" w:hAnsi="Arial"/>
          <w:bCs/>
          <w:sz w:val="22"/>
          <w:szCs w:val="22"/>
          <w:lang w:val="es-ES"/>
        </w:rPr>
        <w:t>)</w:t>
      </w: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pStyle w:val="Newpage"/>
        <w:spacing w:line="276" w:lineRule="auto"/>
        <w:ind w:left="567" w:hanging="567"/>
        <w:rPr>
          <w:rFonts w:ascii="Arial" w:hAnsi="Arial"/>
          <w:b w:val="0"/>
          <w:caps/>
          <w:smallCaps w:val="0"/>
          <w:sz w:val="22"/>
          <w:szCs w:val="22"/>
          <w:lang w:val="es-ES"/>
        </w:rPr>
      </w:pPr>
    </w:p>
    <w:p w:rsidR="008D6946" w:rsidRPr="00A42D43" w:rsidRDefault="008D6946" w:rsidP="00001476">
      <w:pPr>
        <w:tabs>
          <w:tab w:val="left" w:pos="1440"/>
          <w:tab w:val="left" w:pos="3060"/>
        </w:tabs>
        <w:spacing w:line="276" w:lineRule="auto"/>
        <w:ind w:left="567" w:hanging="567"/>
        <w:rPr>
          <w:rFonts w:ascii="Arial" w:hAnsi="Arial" w:cs="Arial"/>
          <w:smallCaps/>
          <w:sz w:val="22"/>
          <w:szCs w:val="22"/>
          <w:lang w:val="es-ES"/>
        </w:rPr>
      </w:pPr>
    </w:p>
    <w:p w:rsidR="008D6946" w:rsidRPr="00A42D43" w:rsidRDefault="008D6946" w:rsidP="00001476">
      <w:pPr>
        <w:tabs>
          <w:tab w:val="left" w:pos="1440"/>
          <w:tab w:val="left" w:pos="3060"/>
        </w:tabs>
        <w:spacing w:line="276" w:lineRule="auto"/>
        <w:ind w:left="567" w:hanging="567"/>
        <w:outlineLvl w:val="0"/>
        <w:rPr>
          <w:rFonts w:ascii="Arial" w:hAnsi="Arial" w:cs="Arial"/>
          <w:b/>
          <w:smallCaps/>
          <w:sz w:val="22"/>
          <w:szCs w:val="22"/>
          <w:lang w:val="es-ES"/>
        </w:rPr>
      </w:pPr>
      <w:r w:rsidRPr="00A42D43">
        <w:rPr>
          <w:rFonts w:ascii="Arial" w:hAnsi="Arial" w:cs="Arial"/>
          <w:b/>
          <w:smallCaps/>
          <w:sz w:val="22"/>
          <w:szCs w:val="22"/>
          <w:lang w:val="es-ES"/>
        </w:rPr>
        <w:t>Análisis Económico</w:t>
      </w:r>
    </w:p>
    <w:p w:rsidR="007F5AB2" w:rsidRPr="00A42D43" w:rsidRDefault="00763F08" w:rsidP="00001476">
      <w:pPr>
        <w:tabs>
          <w:tab w:val="left" w:pos="1440"/>
          <w:tab w:val="left" w:pos="3060"/>
        </w:tabs>
        <w:spacing w:line="276" w:lineRule="auto"/>
        <w:ind w:left="567" w:hanging="567"/>
        <w:outlineLvl w:val="0"/>
        <w:rPr>
          <w:rFonts w:ascii="Arial" w:hAnsi="Arial" w:cs="Arial"/>
          <w:b/>
          <w:smallCaps/>
          <w:color w:val="FF0000"/>
          <w:sz w:val="22"/>
          <w:szCs w:val="22"/>
          <w:lang w:val="es-ES_tradnl"/>
        </w:rPr>
      </w:pPr>
      <w:r w:rsidRPr="00A42D43" w:rsidDel="00763F08">
        <w:rPr>
          <w:rFonts w:ascii="Arial" w:hAnsi="Arial" w:cs="Arial"/>
          <w:b/>
          <w:smallCaps/>
          <w:color w:val="FF0000"/>
          <w:sz w:val="22"/>
          <w:szCs w:val="22"/>
          <w:lang w:val="es-ES"/>
        </w:rPr>
        <w:t xml:space="preserve"> </w:t>
      </w:r>
    </w:p>
    <w:p w:rsidR="008D6946" w:rsidRPr="00A42D43" w:rsidRDefault="008D6946" w:rsidP="00001476">
      <w:pPr>
        <w:pStyle w:val="ListParagraph"/>
        <w:spacing w:line="276" w:lineRule="auto"/>
        <w:ind w:left="567" w:hanging="567"/>
        <w:jc w:val="both"/>
        <w:rPr>
          <w:rFonts w:ascii="Arial" w:hAnsi="Arial" w:cs="Arial"/>
          <w:b/>
          <w:sz w:val="22"/>
          <w:szCs w:val="22"/>
          <w:lang w:val="es-ES"/>
        </w:rPr>
      </w:pPr>
    </w:p>
    <w:p w:rsidR="008D6946" w:rsidRPr="00A42D43" w:rsidRDefault="008D6946" w:rsidP="00001476">
      <w:pPr>
        <w:pStyle w:val="ListParagraph"/>
        <w:spacing w:line="276" w:lineRule="auto"/>
        <w:ind w:left="567" w:hanging="567"/>
        <w:jc w:val="both"/>
        <w:rPr>
          <w:rFonts w:ascii="Arial" w:hAnsi="Arial" w:cs="Arial"/>
          <w:b/>
          <w:sz w:val="22"/>
          <w:szCs w:val="22"/>
          <w:lang w:val="es-ES"/>
        </w:rPr>
      </w:pPr>
    </w:p>
    <w:p w:rsidR="008D6946" w:rsidRPr="00A42D43" w:rsidRDefault="008D6946" w:rsidP="00001476">
      <w:pPr>
        <w:tabs>
          <w:tab w:val="left" w:pos="1440"/>
          <w:tab w:val="left" w:pos="3060"/>
        </w:tabs>
        <w:spacing w:line="276" w:lineRule="auto"/>
        <w:ind w:left="567" w:hanging="567"/>
        <w:jc w:val="both"/>
        <w:rPr>
          <w:rFonts w:ascii="Arial" w:hAnsi="Arial" w:cs="Arial"/>
          <w:sz w:val="22"/>
          <w:szCs w:val="22"/>
          <w:lang w:val="es-ES"/>
        </w:rPr>
      </w:pPr>
    </w:p>
    <w:p w:rsidR="008D6946" w:rsidRPr="00A42D43" w:rsidRDefault="008D6946" w:rsidP="00001476">
      <w:pPr>
        <w:tabs>
          <w:tab w:val="left" w:pos="1440"/>
          <w:tab w:val="left" w:pos="3060"/>
        </w:tabs>
        <w:spacing w:line="276" w:lineRule="auto"/>
        <w:ind w:left="567" w:hanging="567"/>
        <w:jc w:val="both"/>
        <w:rPr>
          <w:rFonts w:ascii="Arial" w:hAnsi="Arial" w:cs="Arial"/>
          <w:sz w:val="22"/>
          <w:szCs w:val="22"/>
          <w:lang w:val="es-ES"/>
        </w:rPr>
      </w:pPr>
    </w:p>
    <w:p w:rsidR="00A42D43" w:rsidRDefault="00A42D43" w:rsidP="00001476">
      <w:pPr>
        <w:spacing w:line="276" w:lineRule="auto"/>
        <w:rPr>
          <w:rFonts w:ascii="Arial" w:hAnsi="Arial" w:cs="Arial"/>
          <w:b/>
          <w:sz w:val="22"/>
          <w:szCs w:val="22"/>
          <w:shd w:val="clear" w:color="auto" w:fill="FFFFFF"/>
        </w:rPr>
      </w:pPr>
      <w:r>
        <w:rPr>
          <w:rFonts w:ascii="Arial" w:hAnsi="Arial" w:cs="Arial"/>
          <w:b/>
          <w:sz w:val="22"/>
          <w:szCs w:val="22"/>
          <w:shd w:val="clear" w:color="auto" w:fill="FFFFFF"/>
        </w:rPr>
        <w:br w:type="page"/>
      </w:r>
    </w:p>
    <w:p w:rsidR="00300C3B" w:rsidRPr="00A42D43" w:rsidRDefault="00CF683C" w:rsidP="00001476">
      <w:pPr>
        <w:spacing w:line="276" w:lineRule="auto"/>
        <w:rPr>
          <w:rFonts w:ascii="Arial" w:hAnsi="Arial" w:cs="Arial"/>
          <w:b/>
          <w:sz w:val="22"/>
          <w:szCs w:val="22"/>
          <w:shd w:val="clear" w:color="auto" w:fill="FFFFFF"/>
        </w:rPr>
      </w:pPr>
      <w:r w:rsidRPr="00A42D43">
        <w:rPr>
          <w:rFonts w:ascii="Arial" w:hAnsi="Arial" w:cs="Arial"/>
          <w:b/>
          <w:sz w:val="22"/>
          <w:szCs w:val="22"/>
          <w:shd w:val="clear" w:color="auto" w:fill="FFFFFF"/>
        </w:rPr>
        <w:lastRenderedPageBreak/>
        <w:t xml:space="preserve">Análisis </w:t>
      </w:r>
      <w:r w:rsidR="00300C3B" w:rsidRPr="00A42D43">
        <w:rPr>
          <w:rFonts w:ascii="Arial" w:hAnsi="Arial" w:cs="Arial"/>
          <w:b/>
          <w:sz w:val="22"/>
          <w:szCs w:val="22"/>
          <w:shd w:val="clear" w:color="auto" w:fill="FFFFFF"/>
        </w:rPr>
        <w:t>Económic</w:t>
      </w:r>
      <w:r w:rsidRPr="00A42D43">
        <w:rPr>
          <w:rFonts w:ascii="Arial" w:hAnsi="Arial" w:cs="Arial"/>
          <w:b/>
          <w:sz w:val="22"/>
          <w:szCs w:val="22"/>
          <w:shd w:val="clear" w:color="auto" w:fill="FFFFFF"/>
        </w:rPr>
        <w:t>o</w:t>
      </w:r>
      <w:r w:rsidRPr="00A42D43">
        <w:rPr>
          <w:rStyle w:val="FootnoteReference"/>
          <w:rFonts w:ascii="Arial" w:hAnsi="Arial" w:cs="Arial"/>
          <w:b/>
          <w:sz w:val="22"/>
          <w:szCs w:val="22"/>
          <w:shd w:val="clear" w:color="auto" w:fill="FFFFFF"/>
        </w:rPr>
        <w:footnoteReference w:id="1"/>
      </w:r>
    </w:p>
    <w:p w:rsidR="008D6946" w:rsidRPr="00A42D43" w:rsidRDefault="008D6946" w:rsidP="00001476">
      <w:pPr>
        <w:tabs>
          <w:tab w:val="left" w:pos="4891"/>
        </w:tabs>
        <w:spacing w:line="276" w:lineRule="auto"/>
        <w:jc w:val="both"/>
        <w:rPr>
          <w:rFonts w:ascii="Arial" w:hAnsi="Arial" w:cs="Arial"/>
          <w:b/>
          <w:sz w:val="22"/>
          <w:szCs w:val="22"/>
          <w:shd w:val="clear" w:color="auto" w:fill="FFFFFF"/>
        </w:rPr>
      </w:pPr>
    </w:p>
    <w:p w:rsidR="000A47F4" w:rsidRPr="00AE38FD" w:rsidRDefault="004B5EC2" w:rsidP="00AE38FD">
      <w:pPr>
        <w:pStyle w:val="ListParagraph"/>
        <w:numPr>
          <w:ilvl w:val="0"/>
          <w:numId w:val="33"/>
        </w:numPr>
        <w:tabs>
          <w:tab w:val="left" w:pos="4891"/>
        </w:tabs>
        <w:spacing w:line="276" w:lineRule="auto"/>
        <w:ind w:hanging="720"/>
        <w:jc w:val="both"/>
        <w:rPr>
          <w:rFonts w:ascii="Arial" w:hAnsi="Arial" w:cs="Arial"/>
          <w:b/>
          <w:sz w:val="22"/>
          <w:szCs w:val="22"/>
          <w:shd w:val="clear" w:color="auto" w:fill="FFFFFF"/>
        </w:rPr>
      </w:pPr>
      <w:r w:rsidRPr="00AE38FD">
        <w:rPr>
          <w:rFonts w:ascii="Arial" w:hAnsi="Arial" w:cs="Arial"/>
          <w:b/>
          <w:sz w:val="22"/>
          <w:szCs w:val="22"/>
          <w:shd w:val="clear" w:color="auto" w:fill="FFFFFF"/>
        </w:rPr>
        <w:t>INTRODUCCIÓN</w:t>
      </w:r>
    </w:p>
    <w:p w:rsidR="00001476" w:rsidRDefault="00001476" w:rsidP="00001476">
      <w:pPr>
        <w:pStyle w:val="Paragraph"/>
        <w:numPr>
          <w:ilvl w:val="0"/>
          <w:numId w:val="0"/>
        </w:numPr>
        <w:spacing w:before="0" w:after="0" w:line="276" w:lineRule="auto"/>
        <w:rPr>
          <w:rFonts w:ascii="Arial" w:hAnsi="Arial" w:cs="Arial"/>
          <w:sz w:val="22"/>
          <w:szCs w:val="22"/>
          <w:lang w:val="es-ES"/>
        </w:rPr>
      </w:pPr>
    </w:p>
    <w:p w:rsidR="006B5881" w:rsidRPr="00A42D43" w:rsidRDefault="006F4453" w:rsidP="00AE38FD">
      <w:pPr>
        <w:pStyle w:val="Paragraph"/>
        <w:numPr>
          <w:ilvl w:val="1"/>
          <w:numId w:val="27"/>
        </w:numPr>
        <w:spacing w:before="0" w:after="0" w:line="276" w:lineRule="auto"/>
        <w:ind w:left="720" w:hanging="720"/>
        <w:rPr>
          <w:rFonts w:ascii="Arial" w:hAnsi="Arial" w:cs="Arial"/>
          <w:sz w:val="22"/>
          <w:szCs w:val="22"/>
        </w:rPr>
      </w:pPr>
      <w:r w:rsidRPr="00A42D43">
        <w:rPr>
          <w:rFonts w:ascii="Arial" w:hAnsi="Arial" w:cs="Arial"/>
          <w:sz w:val="22"/>
          <w:szCs w:val="22"/>
          <w:lang w:val="es-ES"/>
        </w:rPr>
        <w:t xml:space="preserve">En septiembre de 2015, el Gobierno de Chile y el Banco Interamericano de Desarrollo </w:t>
      </w:r>
      <w:r w:rsidR="00B70893" w:rsidRPr="00A42D43">
        <w:rPr>
          <w:rFonts w:ascii="Arial" w:hAnsi="Arial" w:cs="Arial"/>
          <w:sz w:val="22"/>
          <w:szCs w:val="22"/>
          <w:lang w:val="es-ES"/>
        </w:rPr>
        <w:t xml:space="preserve">(Banco) </w:t>
      </w:r>
      <w:r w:rsidRPr="00A42D43">
        <w:rPr>
          <w:rFonts w:ascii="Arial" w:hAnsi="Arial" w:cs="Arial"/>
          <w:sz w:val="22"/>
          <w:szCs w:val="22"/>
          <w:lang w:val="es-ES"/>
        </w:rPr>
        <w:t xml:space="preserve">acordaron un Préstamo Programático de Apoyo a Reformas de Política (PBP), que prevé dos operaciones individuales y secuenciales, de </w:t>
      </w:r>
      <w:r w:rsidRPr="00A42D43">
        <w:rPr>
          <w:rFonts w:ascii="Arial" w:hAnsi="Arial" w:cs="Arial"/>
          <w:b/>
          <w:sz w:val="22"/>
          <w:szCs w:val="22"/>
          <w:lang w:val="es-ES"/>
        </w:rPr>
        <w:t>apoyo a la</w:t>
      </w:r>
      <w:r w:rsidRPr="00A42D43">
        <w:rPr>
          <w:rFonts w:ascii="Arial" w:hAnsi="Arial" w:cs="Arial"/>
          <w:sz w:val="22"/>
          <w:szCs w:val="22"/>
          <w:lang w:val="es-ES"/>
        </w:rPr>
        <w:t xml:space="preserve"> </w:t>
      </w:r>
      <w:hyperlink r:id="rId9" w:history="1">
        <w:r w:rsidRPr="00A42D43">
          <w:rPr>
            <w:rStyle w:val="Hyperlink"/>
            <w:rFonts w:ascii="Arial" w:hAnsi="Arial" w:cs="Arial"/>
            <w:b/>
            <w:sz w:val="22"/>
            <w:szCs w:val="22"/>
            <w:lang w:val="es-ES"/>
          </w:rPr>
          <w:t xml:space="preserve">Agenda de </w:t>
        </w:r>
        <w:r w:rsidR="00D247B3" w:rsidRPr="00A42D43">
          <w:rPr>
            <w:rStyle w:val="Hyperlink"/>
            <w:rFonts w:ascii="Arial" w:hAnsi="Arial" w:cs="Arial"/>
            <w:b/>
            <w:sz w:val="22"/>
            <w:szCs w:val="22"/>
            <w:lang w:val="es-ES"/>
          </w:rPr>
          <w:t>P</w:t>
        </w:r>
        <w:r w:rsidRPr="00A42D43">
          <w:rPr>
            <w:rStyle w:val="Hyperlink"/>
            <w:rFonts w:ascii="Arial" w:hAnsi="Arial" w:cs="Arial"/>
            <w:b/>
            <w:sz w:val="22"/>
            <w:szCs w:val="22"/>
            <w:lang w:val="es-ES"/>
          </w:rPr>
          <w:t>robidad y Transparencia</w:t>
        </w:r>
      </w:hyperlink>
      <w:r w:rsidRPr="00A42D43">
        <w:rPr>
          <w:rFonts w:ascii="Arial" w:hAnsi="Arial" w:cs="Arial"/>
          <w:b/>
          <w:sz w:val="22"/>
          <w:szCs w:val="22"/>
          <w:lang w:val="es-ES"/>
        </w:rPr>
        <w:t xml:space="preserve"> de Chile</w:t>
      </w:r>
      <w:r w:rsidR="00D247B3" w:rsidRPr="00A42D43">
        <w:rPr>
          <w:rFonts w:ascii="Arial" w:hAnsi="Arial" w:cs="Arial"/>
          <w:b/>
          <w:sz w:val="22"/>
          <w:szCs w:val="22"/>
          <w:lang w:val="es-ES"/>
        </w:rPr>
        <w:t xml:space="preserve"> (</w:t>
      </w:r>
      <w:r w:rsidR="006B5881" w:rsidRPr="00A42D43">
        <w:rPr>
          <w:rFonts w:ascii="Arial" w:hAnsi="Arial" w:cs="Arial"/>
          <w:b/>
          <w:sz w:val="22"/>
          <w:szCs w:val="22"/>
          <w:lang w:val="es-ES"/>
        </w:rPr>
        <w:t>APT)</w:t>
      </w:r>
      <w:r w:rsidR="006B5881" w:rsidRPr="00A42D43">
        <w:rPr>
          <w:rFonts w:ascii="Arial" w:hAnsi="Arial" w:cs="Arial"/>
          <w:sz w:val="22"/>
          <w:szCs w:val="22"/>
          <w:lang w:val="es-ES"/>
        </w:rPr>
        <w:t xml:space="preserve">, y en este documento referido, en adelante, como </w:t>
      </w:r>
      <w:r w:rsidR="00D247B3" w:rsidRPr="00A42D43">
        <w:rPr>
          <w:rFonts w:ascii="Arial" w:hAnsi="Arial" w:cs="Arial"/>
          <w:sz w:val="22"/>
          <w:szCs w:val="22"/>
          <w:lang w:val="es-ES"/>
        </w:rPr>
        <w:t xml:space="preserve">el </w:t>
      </w:r>
      <w:r w:rsidR="006B5881" w:rsidRPr="00A42D43">
        <w:rPr>
          <w:rFonts w:ascii="Arial" w:hAnsi="Arial" w:cs="Arial"/>
          <w:sz w:val="22"/>
          <w:szCs w:val="22"/>
          <w:lang w:val="es-ES"/>
        </w:rPr>
        <w:t>“</w:t>
      </w:r>
      <w:r w:rsidR="00D247B3" w:rsidRPr="00A42D43">
        <w:rPr>
          <w:rFonts w:ascii="Arial" w:hAnsi="Arial" w:cs="Arial"/>
          <w:b/>
          <w:sz w:val="22"/>
          <w:szCs w:val="22"/>
          <w:lang w:val="es-ES"/>
        </w:rPr>
        <w:t>Programa</w:t>
      </w:r>
      <w:r w:rsidR="006B5881" w:rsidRPr="00A42D43">
        <w:rPr>
          <w:rFonts w:ascii="Arial" w:hAnsi="Arial" w:cs="Arial"/>
          <w:sz w:val="22"/>
          <w:szCs w:val="22"/>
          <w:lang w:val="es-ES"/>
        </w:rPr>
        <w:t>”</w:t>
      </w:r>
      <w:r w:rsidRPr="00A42D43">
        <w:rPr>
          <w:rFonts w:ascii="Arial" w:hAnsi="Arial" w:cs="Arial"/>
          <w:sz w:val="22"/>
          <w:szCs w:val="22"/>
          <w:lang w:val="es-ES"/>
        </w:rPr>
        <w:t>.</w:t>
      </w:r>
      <w:r w:rsidR="00D247B3" w:rsidRPr="00A42D43">
        <w:rPr>
          <w:rFonts w:ascii="Arial" w:hAnsi="Arial" w:cs="Arial"/>
          <w:sz w:val="22"/>
          <w:szCs w:val="22"/>
          <w:lang w:val="es-ES"/>
        </w:rPr>
        <w:t xml:space="preserve"> </w:t>
      </w:r>
      <w:r w:rsidR="00D247B3" w:rsidRPr="00A42D43">
        <w:rPr>
          <w:rFonts w:ascii="Arial" w:hAnsi="Arial" w:cs="Arial"/>
          <w:sz w:val="22"/>
          <w:szCs w:val="22"/>
        </w:rPr>
        <w:t>El objetivo de</w:t>
      </w:r>
      <w:r w:rsidR="006B5881" w:rsidRPr="00A42D43">
        <w:rPr>
          <w:rFonts w:ascii="Arial" w:hAnsi="Arial" w:cs="Arial"/>
          <w:sz w:val="22"/>
          <w:szCs w:val="22"/>
        </w:rPr>
        <w:t>l P</w:t>
      </w:r>
      <w:r w:rsidR="00D247B3" w:rsidRPr="00A42D43">
        <w:rPr>
          <w:rFonts w:ascii="Arial" w:hAnsi="Arial" w:cs="Arial"/>
          <w:sz w:val="22"/>
          <w:szCs w:val="22"/>
        </w:rPr>
        <w:t xml:space="preserve">rograma es apoyar la APT de Chile, que considera un conjunto de medidas de política dirigidas a </w:t>
      </w:r>
      <w:r w:rsidR="00AA3FA0">
        <w:rPr>
          <w:rFonts w:ascii="Arial" w:hAnsi="Arial" w:cs="Arial"/>
          <w:sz w:val="22"/>
          <w:szCs w:val="22"/>
        </w:rPr>
        <w:t xml:space="preserve">contribuir a </w:t>
      </w:r>
      <w:r w:rsidR="00D247B3" w:rsidRPr="00A42D43">
        <w:rPr>
          <w:rFonts w:ascii="Arial" w:hAnsi="Arial" w:cs="Arial"/>
          <w:sz w:val="22"/>
          <w:szCs w:val="22"/>
        </w:rPr>
        <w:t xml:space="preserve">la observancia de </w:t>
      </w:r>
      <w:r w:rsidR="00AA3FA0">
        <w:rPr>
          <w:rFonts w:ascii="Arial" w:hAnsi="Arial" w:cs="Arial"/>
          <w:sz w:val="22"/>
          <w:szCs w:val="22"/>
        </w:rPr>
        <w:t xml:space="preserve">la </w:t>
      </w:r>
      <w:r w:rsidR="00D247B3" w:rsidRPr="00A42D43">
        <w:rPr>
          <w:rFonts w:ascii="Arial" w:hAnsi="Arial" w:cs="Arial"/>
          <w:sz w:val="22"/>
          <w:szCs w:val="22"/>
        </w:rPr>
        <w:t>probidad y transparencia en el funcionamiento del sector público y el sector privado, y promover conductas afines en</w:t>
      </w:r>
      <w:r w:rsidR="00257C76" w:rsidRPr="00A42D43">
        <w:rPr>
          <w:rFonts w:ascii="Arial" w:hAnsi="Arial" w:cs="Arial"/>
          <w:sz w:val="22"/>
          <w:szCs w:val="22"/>
        </w:rPr>
        <w:t>tre</w:t>
      </w:r>
      <w:r w:rsidR="00D247B3" w:rsidRPr="00A42D43">
        <w:rPr>
          <w:rFonts w:ascii="Arial" w:hAnsi="Arial" w:cs="Arial"/>
          <w:sz w:val="22"/>
          <w:szCs w:val="22"/>
        </w:rPr>
        <w:t xml:space="preserve"> la ciudadanía</w:t>
      </w:r>
      <w:r w:rsidR="006B5881" w:rsidRPr="00A42D43">
        <w:rPr>
          <w:rFonts w:ascii="Arial" w:hAnsi="Arial" w:cs="Arial"/>
          <w:sz w:val="22"/>
          <w:szCs w:val="22"/>
        </w:rPr>
        <w:t xml:space="preserve">. </w:t>
      </w:r>
      <w:r w:rsidR="00BE3AC8" w:rsidRPr="00A42D43">
        <w:rPr>
          <w:rFonts w:ascii="Arial" w:hAnsi="Arial" w:cs="Arial"/>
          <w:sz w:val="22"/>
          <w:szCs w:val="22"/>
        </w:rPr>
        <w:t xml:space="preserve">Para ello </w:t>
      </w:r>
      <w:r w:rsidR="006B5881" w:rsidRPr="00A42D43">
        <w:rPr>
          <w:rFonts w:ascii="Arial" w:hAnsi="Arial" w:cs="Arial"/>
          <w:sz w:val="22"/>
          <w:szCs w:val="22"/>
        </w:rPr>
        <w:t xml:space="preserve">el </w:t>
      </w:r>
      <w:r w:rsidR="00354869" w:rsidRPr="00A42D43">
        <w:rPr>
          <w:rFonts w:ascii="Arial" w:hAnsi="Arial" w:cs="Arial"/>
          <w:sz w:val="22"/>
          <w:szCs w:val="22"/>
        </w:rPr>
        <w:t>P</w:t>
      </w:r>
      <w:r w:rsidR="006B5881" w:rsidRPr="00A42D43">
        <w:rPr>
          <w:rFonts w:ascii="Arial" w:hAnsi="Arial" w:cs="Arial"/>
          <w:sz w:val="22"/>
          <w:szCs w:val="22"/>
        </w:rPr>
        <w:t xml:space="preserve">rograma se estructura en </w:t>
      </w:r>
      <w:r w:rsidR="006B5881" w:rsidRPr="00A42D43">
        <w:rPr>
          <w:rFonts w:ascii="Arial" w:hAnsi="Arial" w:cs="Arial"/>
          <w:b/>
          <w:sz w:val="22"/>
          <w:szCs w:val="22"/>
        </w:rPr>
        <w:t>tres componentes</w:t>
      </w:r>
      <w:r w:rsidR="006B5881" w:rsidRPr="00A42D43">
        <w:rPr>
          <w:rFonts w:ascii="Arial" w:hAnsi="Arial" w:cs="Arial"/>
          <w:sz w:val="22"/>
          <w:szCs w:val="22"/>
        </w:rPr>
        <w:t xml:space="preserve"> que se </w:t>
      </w:r>
      <w:r w:rsidR="00450892" w:rsidRPr="00A42D43">
        <w:rPr>
          <w:rFonts w:ascii="Arial" w:hAnsi="Arial" w:cs="Arial"/>
          <w:sz w:val="22"/>
          <w:szCs w:val="22"/>
        </w:rPr>
        <w:t>mantienen en las dos operaciones</w:t>
      </w:r>
      <w:r w:rsidR="006B5881" w:rsidRPr="00A42D43">
        <w:rPr>
          <w:rFonts w:ascii="Arial" w:hAnsi="Arial" w:cs="Arial"/>
          <w:sz w:val="22"/>
          <w:szCs w:val="22"/>
        </w:rPr>
        <w:t xml:space="preserve">. </w:t>
      </w:r>
    </w:p>
    <w:p w:rsidR="00001476" w:rsidRDefault="00001476" w:rsidP="00001476">
      <w:pPr>
        <w:pStyle w:val="Paragraph"/>
        <w:numPr>
          <w:ilvl w:val="0"/>
          <w:numId w:val="0"/>
        </w:numPr>
        <w:spacing w:before="0" w:after="0" w:line="276" w:lineRule="auto"/>
        <w:rPr>
          <w:rFonts w:ascii="Arial" w:hAnsi="Arial" w:cs="Arial"/>
          <w:b/>
          <w:sz w:val="22"/>
          <w:szCs w:val="22"/>
        </w:rPr>
      </w:pPr>
    </w:p>
    <w:p w:rsidR="00A63949" w:rsidRPr="00A42D43" w:rsidRDefault="00A63949" w:rsidP="00AE38FD">
      <w:pPr>
        <w:pStyle w:val="Paragraph"/>
        <w:numPr>
          <w:ilvl w:val="1"/>
          <w:numId w:val="27"/>
        </w:numPr>
        <w:spacing w:before="0" w:after="0" w:line="276" w:lineRule="auto"/>
        <w:ind w:left="720" w:hanging="720"/>
        <w:rPr>
          <w:rFonts w:ascii="Arial" w:hAnsi="Arial" w:cs="Arial"/>
          <w:sz w:val="22"/>
          <w:szCs w:val="22"/>
        </w:rPr>
      </w:pPr>
      <w:r w:rsidRPr="00A42D43">
        <w:rPr>
          <w:rFonts w:ascii="Arial" w:hAnsi="Arial" w:cs="Arial"/>
          <w:b/>
          <w:sz w:val="22"/>
          <w:szCs w:val="22"/>
        </w:rPr>
        <w:t>Componente I. Estabilidad macroeconómica</w:t>
      </w:r>
      <w:r w:rsidRPr="00A42D43">
        <w:rPr>
          <w:rFonts w:ascii="Arial" w:hAnsi="Arial" w:cs="Arial"/>
          <w:sz w:val="22"/>
          <w:szCs w:val="22"/>
        </w:rPr>
        <w:t>. El objetivo de este componente es mantener un contexto macroeconómico congruente con los objetivos del programa según lo establecido en la Matriz de Políticas.</w:t>
      </w:r>
    </w:p>
    <w:p w:rsidR="00001476" w:rsidRDefault="00001476" w:rsidP="00001476">
      <w:pPr>
        <w:pStyle w:val="Paragraph"/>
        <w:numPr>
          <w:ilvl w:val="0"/>
          <w:numId w:val="0"/>
        </w:numPr>
        <w:spacing w:before="0" w:after="0" w:line="276" w:lineRule="auto"/>
        <w:rPr>
          <w:rFonts w:ascii="Arial" w:hAnsi="Arial" w:cs="Arial"/>
          <w:b/>
          <w:sz w:val="22"/>
          <w:szCs w:val="22"/>
        </w:rPr>
      </w:pPr>
    </w:p>
    <w:p w:rsidR="006E53BF" w:rsidRPr="00A42D43" w:rsidRDefault="00A63949" w:rsidP="00AE38FD">
      <w:pPr>
        <w:pStyle w:val="Paragraph"/>
        <w:numPr>
          <w:ilvl w:val="1"/>
          <w:numId w:val="27"/>
        </w:numPr>
        <w:spacing w:before="0" w:after="0" w:line="276" w:lineRule="auto"/>
        <w:ind w:left="720" w:hanging="720"/>
        <w:rPr>
          <w:rFonts w:ascii="Arial" w:hAnsi="Arial" w:cs="Arial"/>
          <w:sz w:val="22"/>
          <w:szCs w:val="22"/>
        </w:rPr>
      </w:pPr>
      <w:r w:rsidRPr="00A42D43">
        <w:rPr>
          <w:rFonts w:ascii="Arial" w:hAnsi="Arial" w:cs="Arial"/>
          <w:b/>
          <w:sz w:val="22"/>
          <w:szCs w:val="22"/>
        </w:rPr>
        <w:t>Componente II. Fortalecer el marco legal e institucional de probidad y transparencia</w:t>
      </w:r>
      <w:r w:rsidRPr="00A42D43">
        <w:rPr>
          <w:rFonts w:ascii="Arial" w:hAnsi="Arial" w:cs="Arial"/>
          <w:sz w:val="22"/>
          <w:szCs w:val="22"/>
        </w:rPr>
        <w:t>. El objetivo es fortalecer el marco legal e institucional según los principios de probidad administrativa y de transparencia, y el derecho de acceso a la información pública, que define la ley.</w:t>
      </w:r>
    </w:p>
    <w:p w:rsidR="00001476" w:rsidRDefault="00001476" w:rsidP="00001476">
      <w:pPr>
        <w:pStyle w:val="Paragraph"/>
        <w:numPr>
          <w:ilvl w:val="0"/>
          <w:numId w:val="0"/>
        </w:numPr>
        <w:spacing w:before="0" w:after="0" w:line="276" w:lineRule="auto"/>
        <w:rPr>
          <w:rFonts w:ascii="Arial" w:hAnsi="Arial" w:cs="Arial"/>
          <w:b/>
          <w:sz w:val="22"/>
          <w:szCs w:val="22"/>
        </w:rPr>
      </w:pPr>
    </w:p>
    <w:p w:rsidR="00A63949" w:rsidRPr="00A42D43" w:rsidRDefault="00A63949" w:rsidP="00AE38FD">
      <w:pPr>
        <w:pStyle w:val="Paragraph"/>
        <w:numPr>
          <w:ilvl w:val="1"/>
          <w:numId w:val="27"/>
        </w:numPr>
        <w:spacing w:before="0" w:after="0" w:line="276" w:lineRule="auto"/>
        <w:ind w:left="720" w:hanging="720"/>
        <w:rPr>
          <w:rFonts w:ascii="Arial" w:hAnsi="Arial" w:cs="Arial"/>
          <w:sz w:val="22"/>
          <w:szCs w:val="22"/>
        </w:rPr>
      </w:pPr>
      <w:r w:rsidRPr="00A42D43">
        <w:rPr>
          <w:rFonts w:ascii="Arial" w:hAnsi="Arial" w:cs="Arial"/>
          <w:b/>
          <w:sz w:val="22"/>
          <w:szCs w:val="22"/>
        </w:rPr>
        <w:t xml:space="preserve">Componente III. </w:t>
      </w:r>
      <w:r w:rsidR="0092625D">
        <w:rPr>
          <w:rFonts w:ascii="Arial" w:hAnsi="Arial" w:cs="Arial"/>
          <w:b/>
          <w:sz w:val="22"/>
          <w:szCs w:val="22"/>
        </w:rPr>
        <w:t xml:space="preserve">Contribuir a la </w:t>
      </w:r>
      <w:r w:rsidRPr="00A42D43">
        <w:rPr>
          <w:rFonts w:ascii="Arial" w:hAnsi="Arial" w:cs="Arial"/>
          <w:b/>
          <w:sz w:val="22"/>
          <w:szCs w:val="22"/>
        </w:rPr>
        <w:t>probidad y transparencia en la gestión de los recursos públicos, en el fortalecimiento de la profesionalización de la gestión pública, y promover conductas probas entre los diferentes actores de la sociedad</w:t>
      </w:r>
      <w:r w:rsidRPr="00A42D43">
        <w:rPr>
          <w:rFonts w:ascii="Arial" w:hAnsi="Arial" w:cs="Arial"/>
          <w:sz w:val="22"/>
          <w:szCs w:val="22"/>
        </w:rPr>
        <w:t xml:space="preserve">. El objetivo es </w:t>
      </w:r>
      <w:r w:rsidR="00234D52">
        <w:rPr>
          <w:rFonts w:ascii="Arial" w:hAnsi="Arial" w:cs="Arial"/>
          <w:sz w:val="22"/>
          <w:szCs w:val="22"/>
        </w:rPr>
        <w:t xml:space="preserve">contribuir a </w:t>
      </w:r>
      <w:r w:rsidRPr="00A42D43">
        <w:rPr>
          <w:rFonts w:ascii="Arial" w:hAnsi="Arial" w:cs="Arial"/>
          <w:sz w:val="22"/>
          <w:szCs w:val="22"/>
        </w:rPr>
        <w:t xml:space="preserve">la observancia de </w:t>
      </w:r>
      <w:r w:rsidR="00234D52">
        <w:rPr>
          <w:rFonts w:ascii="Arial" w:hAnsi="Arial" w:cs="Arial"/>
          <w:sz w:val="22"/>
          <w:szCs w:val="22"/>
        </w:rPr>
        <w:t xml:space="preserve">la </w:t>
      </w:r>
      <w:r w:rsidRPr="00A42D43">
        <w:rPr>
          <w:rFonts w:ascii="Arial" w:hAnsi="Arial" w:cs="Arial"/>
          <w:sz w:val="22"/>
          <w:szCs w:val="22"/>
        </w:rPr>
        <w:t xml:space="preserve">probidad y transparencia en la gestión de los recursos públicos, en el fortalecimiento de la profesionalización de la gestión pública  y en los negocios del sector privado, así como promover conductas afines  entre la ciudadanía. </w:t>
      </w:r>
    </w:p>
    <w:p w:rsidR="00001476" w:rsidRDefault="00001476" w:rsidP="00001476">
      <w:pPr>
        <w:pStyle w:val="Paragraph"/>
        <w:numPr>
          <w:ilvl w:val="0"/>
          <w:numId w:val="0"/>
        </w:numPr>
        <w:spacing w:before="0" w:after="0" w:line="276" w:lineRule="auto"/>
        <w:rPr>
          <w:rFonts w:ascii="Arial" w:hAnsi="Arial" w:cs="Arial"/>
          <w:sz w:val="22"/>
          <w:szCs w:val="22"/>
        </w:rPr>
      </w:pPr>
    </w:p>
    <w:p w:rsidR="00354869" w:rsidRPr="00A42D43" w:rsidRDefault="00354869" w:rsidP="00AE38FD">
      <w:pPr>
        <w:pStyle w:val="Paragraph"/>
        <w:numPr>
          <w:ilvl w:val="1"/>
          <w:numId w:val="27"/>
        </w:numPr>
        <w:spacing w:before="0" w:after="0" w:line="276" w:lineRule="auto"/>
        <w:ind w:left="720" w:hanging="720"/>
        <w:rPr>
          <w:rFonts w:ascii="Arial" w:hAnsi="Arial" w:cs="Arial"/>
          <w:sz w:val="22"/>
          <w:szCs w:val="22"/>
        </w:rPr>
      </w:pPr>
      <w:r w:rsidRPr="00A42D43">
        <w:rPr>
          <w:rFonts w:ascii="Arial" w:hAnsi="Arial" w:cs="Arial"/>
          <w:sz w:val="22"/>
          <w:szCs w:val="22"/>
        </w:rPr>
        <w:t xml:space="preserve">La primera operación  de </w:t>
      </w:r>
      <w:r w:rsidRPr="00216328">
        <w:rPr>
          <w:rFonts w:ascii="Arial" w:hAnsi="Arial" w:cs="Arial"/>
          <w:sz w:val="22"/>
          <w:szCs w:val="22"/>
        </w:rPr>
        <w:t>préstamo No. 3617/OC-CH</w:t>
      </w:r>
      <w:r w:rsidR="00257C76" w:rsidRPr="00216328">
        <w:rPr>
          <w:rFonts w:ascii="Arial" w:hAnsi="Arial" w:cs="Arial"/>
          <w:sz w:val="22"/>
          <w:szCs w:val="22"/>
        </w:rPr>
        <w:t xml:space="preserve"> (CH-L1110)</w:t>
      </w:r>
      <w:r w:rsidRPr="00216328">
        <w:rPr>
          <w:rFonts w:ascii="Arial" w:hAnsi="Arial" w:cs="Arial"/>
          <w:sz w:val="22"/>
          <w:szCs w:val="22"/>
        </w:rPr>
        <w:t xml:space="preserve">, por US$130 millones, fue aprobada por el Directorio del Banco el 11 de Diciembre de 2015. </w:t>
      </w:r>
      <w:r w:rsidR="004C4D83" w:rsidRPr="00216328">
        <w:rPr>
          <w:rFonts w:ascii="Arial" w:hAnsi="Arial" w:cs="Arial"/>
          <w:sz w:val="22"/>
          <w:szCs w:val="22"/>
        </w:rPr>
        <w:t>Para el logro de los objetivos</w:t>
      </w:r>
      <w:r w:rsidR="00407F9F" w:rsidRPr="00216328">
        <w:rPr>
          <w:rFonts w:ascii="Arial" w:hAnsi="Arial" w:cs="Arial"/>
          <w:sz w:val="22"/>
          <w:szCs w:val="22"/>
        </w:rPr>
        <w:t xml:space="preserve"> del Programa</w:t>
      </w:r>
      <w:r w:rsidR="004C4D83" w:rsidRPr="00216328">
        <w:rPr>
          <w:rFonts w:ascii="Arial" w:hAnsi="Arial" w:cs="Arial"/>
          <w:sz w:val="22"/>
          <w:szCs w:val="22"/>
        </w:rPr>
        <w:t xml:space="preserve">, </w:t>
      </w:r>
      <w:r w:rsidR="00257C76" w:rsidRPr="00216328">
        <w:rPr>
          <w:rFonts w:ascii="Arial" w:hAnsi="Arial" w:cs="Arial"/>
          <w:sz w:val="22"/>
          <w:szCs w:val="22"/>
        </w:rPr>
        <w:t>la primera operación apoyó doce (12) medidas legislativas y administrativas</w:t>
      </w:r>
      <w:r w:rsidR="007F5AB2" w:rsidRPr="00216328">
        <w:rPr>
          <w:rFonts w:ascii="Arial" w:hAnsi="Arial" w:cs="Arial"/>
          <w:sz w:val="22"/>
          <w:szCs w:val="22"/>
        </w:rPr>
        <w:t>; además de mantener un contexto macroeconómico congruente con los objetivos del Programa</w:t>
      </w:r>
      <w:r w:rsidR="00407F9F" w:rsidRPr="00216328">
        <w:rPr>
          <w:rFonts w:ascii="Arial" w:hAnsi="Arial" w:cs="Arial"/>
          <w:sz w:val="22"/>
          <w:szCs w:val="22"/>
        </w:rPr>
        <w:t xml:space="preserve"> (Ver Matriz de Política de</w:t>
      </w:r>
      <w:r w:rsidR="000C2722" w:rsidRPr="00216328">
        <w:rPr>
          <w:rFonts w:ascii="Arial" w:hAnsi="Arial" w:cs="Arial"/>
          <w:sz w:val="22"/>
          <w:szCs w:val="22"/>
        </w:rPr>
        <w:t xml:space="preserve"> </w:t>
      </w:r>
      <w:r w:rsidR="00407F9F" w:rsidRPr="00216328">
        <w:rPr>
          <w:rFonts w:ascii="Arial" w:hAnsi="Arial" w:cs="Arial"/>
          <w:sz w:val="22"/>
          <w:szCs w:val="22"/>
        </w:rPr>
        <w:t>l</w:t>
      </w:r>
      <w:r w:rsidR="000C2722" w:rsidRPr="00216328">
        <w:rPr>
          <w:rFonts w:ascii="Arial" w:hAnsi="Arial" w:cs="Arial"/>
          <w:sz w:val="22"/>
          <w:szCs w:val="22"/>
        </w:rPr>
        <w:t>a</w:t>
      </w:r>
      <w:r w:rsidR="00407F9F" w:rsidRPr="00216328">
        <w:rPr>
          <w:rFonts w:ascii="Arial" w:hAnsi="Arial" w:cs="Arial"/>
          <w:sz w:val="22"/>
          <w:szCs w:val="22"/>
        </w:rPr>
        <w:t xml:space="preserve"> </w:t>
      </w:r>
      <w:r w:rsidR="000C2722" w:rsidRPr="00216328">
        <w:rPr>
          <w:rFonts w:ascii="Arial" w:hAnsi="Arial" w:cs="Arial"/>
          <w:sz w:val="22"/>
          <w:szCs w:val="22"/>
        </w:rPr>
        <w:t>primera oper</w:t>
      </w:r>
      <w:r w:rsidR="00937C05" w:rsidRPr="00216328">
        <w:rPr>
          <w:rFonts w:ascii="Arial" w:hAnsi="Arial" w:cs="Arial"/>
          <w:sz w:val="22"/>
          <w:szCs w:val="22"/>
        </w:rPr>
        <w:t>a</w:t>
      </w:r>
      <w:r w:rsidR="000C2722" w:rsidRPr="00216328">
        <w:rPr>
          <w:rFonts w:ascii="Arial" w:hAnsi="Arial" w:cs="Arial"/>
          <w:sz w:val="22"/>
          <w:szCs w:val="22"/>
        </w:rPr>
        <w:t>ción</w:t>
      </w:r>
      <w:r w:rsidR="00407F9F" w:rsidRPr="00216328">
        <w:rPr>
          <w:rFonts w:ascii="Arial" w:hAnsi="Arial" w:cs="Arial"/>
          <w:sz w:val="22"/>
          <w:szCs w:val="22"/>
        </w:rPr>
        <w:t>). T</w:t>
      </w:r>
      <w:r w:rsidR="00407F9F" w:rsidRPr="00A42D43">
        <w:rPr>
          <w:rFonts w:ascii="Arial" w:hAnsi="Arial" w:cs="Arial"/>
          <w:sz w:val="22"/>
          <w:szCs w:val="22"/>
        </w:rPr>
        <w:t xml:space="preserve">odas las medidas </w:t>
      </w:r>
      <w:r w:rsidRPr="00A42D43">
        <w:rPr>
          <w:rFonts w:ascii="Arial" w:hAnsi="Arial" w:cs="Arial"/>
          <w:sz w:val="22"/>
          <w:szCs w:val="22"/>
        </w:rPr>
        <w:t xml:space="preserve">fueron cumplidas y el préstamo fue de declarado elegible con fecha </w:t>
      </w:r>
      <w:r w:rsidR="00CA0A18" w:rsidRPr="00216328">
        <w:rPr>
          <w:rFonts w:ascii="Arial" w:hAnsi="Arial" w:cs="Arial"/>
          <w:sz w:val="22"/>
          <w:szCs w:val="22"/>
        </w:rPr>
        <w:t>18 de mayo de 2016</w:t>
      </w:r>
      <w:r w:rsidR="00B70893" w:rsidRPr="00216328">
        <w:rPr>
          <w:rFonts w:ascii="Arial" w:hAnsi="Arial" w:cs="Arial"/>
          <w:sz w:val="22"/>
          <w:szCs w:val="22"/>
        </w:rPr>
        <w:t>;</w:t>
      </w:r>
      <w:r w:rsidR="00407F9F" w:rsidRPr="00216328">
        <w:rPr>
          <w:rFonts w:ascii="Arial" w:hAnsi="Arial" w:cs="Arial"/>
          <w:sz w:val="22"/>
          <w:szCs w:val="22"/>
        </w:rPr>
        <w:t xml:space="preserve"> y el primer y único tramo de desembolso fue realizado con fecha </w:t>
      </w:r>
      <w:r w:rsidR="00CA0A18" w:rsidRPr="00216328">
        <w:rPr>
          <w:rFonts w:ascii="Arial" w:hAnsi="Arial" w:cs="Arial"/>
          <w:sz w:val="22"/>
          <w:szCs w:val="22"/>
        </w:rPr>
        <w:t>19 de mayo de 2016</w:t>
      </w:r>
      <w:r w:rsidRPr="00216328">
        <w:rPr>
          <w:rFonts w:ascii="Arial" w:hAnsi="Arial" w:cs="Arial"/>
          <w:sz w:val="22"/>
          <w:szCs w:val="22"/>
        </w:rPr>
        <w:t>.</w:t>
      </w:r>
    </w:p>
    <w:p w:rsidR="00D247B3" w:rsidRPr="00A42D43" w:rsidRDefault="00D247B3" w:rsidP="00001476">
      <w:pPr>
        <w:pStyle w:val="Paragraph"/>
        <w:numPr>
          <w:ilvl w:val="0"/>
          <w:numId w:val="0"/>
        </w:numPr>
        <w:spacing w:before="0" w:after="0" w:line="276" w:lineRule="auto"/>
        <w:rPr>
          <w:rFonts w:ascii="Arial" w:hAnsi="Arial" w:cs="Arial"/>
          <w:sz w:val="22"/>
          <w:szCs w:val="22"/>
        </w:rPr>
      </w:pPr>
    </w:p>
    <w:p w:rsidR="004143D7" w:rsidRPr="00216328" w:rsidRDefault="00B70893" w:rsidP="00AE38FD">
      <w:pPr>
        <w:pStyle w:val="Paragraph"/>
        <w:numPr>
          <w:ilvl w:val="1"/>
          <w:numId w:val="27"/>
        </w:numPr>
        <w:spacing w:before="0" w:after="0" w:line="276" w:lineRule="auto"/>
        <w:ind w:left="720" w:hanging="720"/>
        <w:rPr>
          <w:rFonts w:ascii="Arial" w:hAnsi="Arial" w:cs="Arial"/>
          <w:sz w:val="22"/>
          <w:szCs w:val="22"/>
          <w:lang w:val="es-ES"/>
        </w:rPr>
      </w:pPr>
      <w:r w:rsidRPr="00A42D43">
        <w:rPr>
          <w:rFonts w:ascii="Arial" w:hAnsi="Arial" w:cs="Arial"/>
          <w:sz w:val="22"/>
          <w:szCs w:val="22"/>
        </w:rPr>
        <w:t>Considerando los avances en el cumplimiento de los mecanismos activadores de</w:t>
      </w:r>
      <w:r w:rsidR="00257C76" w:rsidRPr="00A42D43">
        <w:rPr>
          <w:rFonts w:ascii="Arial" w:hAnsi="Arial" w:cs="Arial"/>
          <w:sz w:val="22"/>
          <w:szCs w:val="22"/>
        </w:rPr>
        <w:t xml:space="preserve"> </w:t>
      </w:r>
      <w:r w:rsidRPr="00A42D43">
        <w:rPr>
          <w:rFonts w:ascii="Arial" w:hAnsi="Arial" w:cs="Arial"/>
          <w:sz w:val="22"/>
          <w:szCs w:val="22"/>
        </w:rPr>
        <w:t>l</w:t>
      </w:r>
      <w:r w:rsidR="00257C76" w:rsidRPr="00A42D43">
        <w:rPr>
          <w:rFonts w:ascii="Arial" w:hAnsi="Arial" w:cs="Arial"/>
          <w:sz w:val="22"/>
          <w:szCs w:val="22"/>
        </w:rPr>
        <w:t>a primera operación</w:t>
      </w:r>
      <w:r w:rsidRPr="00A42D43">
        <w:rPr>
          <w:rFonts w:ascii="Arial" w:hAnsi="Arial" w:cs="Arial"/>
          <w:sz w:val="22"/>
          <w:szCs w:val="22"/>
        </w:rPr>
        <w:t xml:space="preserve"> antes referidos, y el ejercicio de programación del Banco con el país,</w:t>
      </w:r>
      <w:r w:rsidRPr="00A42D43">
        <w:rPr>
          <w:rFonts w:ascii="Arial" w:hAnsi="Arial" w:cs="Arial"/>
          <w:sz w:val="22"/>
          <w:szCs w:val="22"/>
          <w:lang w:val="es-ES"/>
        </w:rPr>
        <w:t xml:space="preserve"> e</w:t>
      </w:r>
      <w:r w:rsidR="00D024AC" w:rsidRPr="00A42D43">
        <w:rPr>
          <w:rFonts w:ascii="Arial" w:hAnsi="Arial" w:cs="Arial"/>
          <w:sz w:val="22"/>
          <w:szCs w:val="22"/>
          <w:lang w:val="es-ES"/>
        </w:rPr>
        <w:t xml:space="preserve">n </w:t>
      </w:r>
      <w:r w:rsidR="00407F9F" w:rsidRPr="00A42D43">
        <w:rPr>
          <w:rFonts w:ascii="Arial" w:hAnsi="Arial" w:cs="Arial"/>
          <w:sz w:val="22"/>
          <w:szCs w:val="22"/>
          <w:lang w:val="es-ES"/>
        </w:rPr>
        <w:t>marzo</w:t>
      </w:r>
      <w:r w:rsidR="00F43EB6" w:rsidRPr="00A42D43">
        <w:rPr>
          <w:rFonts w:ascii="Arial" w:hAnsi="Arial" w:cs="Arial"/>
          <w:sz w:val="22"/>
          <w:szCs w:val="22"/>
          <w:lang w:val="es-ES"/>
        </w:rPr>
        <w:t xml:space="preserve"> de 2016</w:t>
      </w:r>
      <w:r w:rsidR="00D024AC" w:rsidRPr="00A42D43">
        <w:rPr>
          <w:rFonts w:ascii="Arial" w:hAnsi="Arial" w:cs="Arial"/>
          <w:sz w:val="22"/>
          <w:szCs w:val="22"/>
          <w:lang w:val="es-ES"/>
        </w:rPr>
        <w:t xml:space="preserve">, el Gobierno de Chile y el Banco acordaron la </w:t>
      </w:r>
      <w:r w:rsidRPr="00A42D43">
        <w:rPr>
          <w:rFonts w:ascii="Arial" w:hAnsi="Arial" w:cs="Arial"/>
          <w:sz w:val="22"/>
          <w:szCs w:val="22"/>
          <w:lang w:val="es-ES"/>
        </w:rPr>
        <w:t xml:space="preserve">preparación y aprobación de la </w:t>
      </w:r>
      <w:r w:rsidRPr="00A42D43">
        <w:rPr>
          <w:rFonts w:ascii="Arial" w:hAnsi="Arial" w:cs="Arial"/>
          <w:b/>
          <w:sz w:val="22"/>
          <w:szCs w:val="22"/>
          <w:lang w:val="es-ES"/>
        </w:rPr>
        <w:t>segunda operación de préstamo</w:t>
      </w:r>
      <w:r w:rsidR="00205B7C">
        <w:rPr>
          <w:rFonts w:ascii="Arial" w:hAnsi="Arial" w:cs="Arial"/>
          <w:b/>
          <w:sz w:val="22"/>
          <w:szCs w:val="22"/>
          <w:lang w:val="es-ES"/>
        </w:rPr>
        <w:t xml:space="preserve"> </w:t>
      </w:r>
      <w:r w:rsidR="00713953" w:rsidRPr="00A42D43">
        <w:rPr>
          <w:rFonts w:ascii="Arial" w:hAnsi="Arial" w:cs="Arial"/>
          <w:b/>
          <w:sz w:val="22"/>
          <w:szCs w:val="22"/>
          <w:lang w:val="es-ES"/>
        </w:rPr>
        <w:t>(CH-L1111)</w:t>
      </w:r>
      <w:r w:rsidR="004143D7" w:rsidRPr="00A42D43">
        <w:rPr>
          <w:rFonts w:ascii="Arial" w:hAnsi="Arial" w:cs="Arial"/>
          <w:sz w:val="22"/>
          <w:szCs w:val="22"/>
          <w:lang w:val="es-ES"/>
        </w:rPr>
        <w:t>, por US$1</w:t>
      </w:r>
      <w:r w:rsidR="00257C76" w:rsidRPr="00A42D43">
        <w:rPr>
          <w:rFonts w:ascii="Arial" w:hAnsi="Arial" w:cs="Arial"/>
          <w:sz w:val="22"/>
          <w:szCs w:val="22"/>
          <w:lang w:val="es-ES"/>
        </w:rPr>
        <w:t>0</w:t>
      </w:r>
      <w:r w:rsidR="004143D7" w:rsidRPr="00A42D43">
        <w:rPr>
          <w:rFonts w:ascii="Arial" w:hAnsi="Arial" w:cs="Arial"/>
          <w:sz w:val="22"/>
          <w:szCs w:val="22"/>
          <w:lang w:val="es-ES"/>
        </w:rPr>
        <w:t>0 mdd,</w:t>
      </w:r>
      <w:r w:rsidR="00E93DC7" w:rsidRPr="00A42D43">
        <w:rPr>
          <w:rFonts w:ascii="Arial" w:hAnsi="Arial" w:cs="Arial"/>
          <w:sz w:val="22"/>
          <w:szCs w:val="22"/>
          <w:lang w:val="es-ES"/>
        </w:rPr>
        <w:t xml:space="preserve"> </w:t>
      </w:r>
      <w:r w:rsidR="00937C05" w:rsidRPr="00A42D43">
        <w:rPr>
          <w:rFonts w:ascii="Arial" w:hAnsi="Arial" w:cs="Arial"/>
          <w:sz w:val="22"/>
          <w:szCs w:val="22"/>
          <w:lang w:val="es-ES"/>
        </w:rPr>
        <w:t xml:space="preserve">a fin de dar </w:t>
      </w:r>
      <w:r w:rsidR="00E93DC7" w:rsidRPr="00A42D43">
        <w:rPr>
          <w:rFonts w:ascii="Arial" w:hAnsi="Arial" w:cs="Arial"/>
          <w:sz w:val="22"/>
          <w:szCs w:val="22"/>
          <w:lang w:val="es-ES"/>
        </w:rPr>
        <w:t xml:space="preserve"> </w:t>
      </w:r>
      <w:r w:rsidR="00937C05" w:rsidRPr="00A42D43">
        <w:rPr>
          <w:rFonts w:ascii="Arial" w:hAnsi="Arial" w:cs="Arial"/>
          <w:sz w:val="22"/>
          <w:szCs w:val="22"/>
          <w:lang w:val="es-ES"/>
        </w:rPr>
        <w:t xml:space="preserve">continuidad al Programa, apoyando </w:t>
      </w:r>
      <w:r w:rsidR="00E93DC7" w:rsidRPr="00A42D43">
        <w:rPr>
          <w:rFonts w:ascii="Arial" w:hAnsi="Arial" w:cs="Arial"/>
          <w:sz w:val="22"/>
          <w:szCs w:val="22"/>
          <w:lang w:val="es-ES"/>
        </w:rPr>
        <w:t xml:space="preserve">la consolidación de las medidas </w:t>
      </w:r>
      <w:r w:rsidR="005E1EE1" w:rsidRPr="00A42D43">
        <w:rPr>
          <w:rFonts w:ascii="Arial" w:hAnsi="Arial" w:cs="Arial"/>
          <w:sz w:val="22"/>
          <w:szCs w:val="22"/>
        </w:rPr>
        <w:t>institucionales y regulatorias que se desarrollaron en el marco de</w:t>
      </w:r>
      <w:r w:rsidR="00937C05" w:rsidRPr="00A42D43">
        <w:rPr>
          <w:rFonts w:ascii="Arial" w:hAnsi="Arial" w:cs="Arial"/>
          <w:sz w:val="22"/>
          <w:szCs w:val="22"/>
        </w:rPr>
        <w:t xml:space="preserve"> </w:t>
      </w:r>
      <w:r w:rsidR="005E1EE1" w:rsidRPr="00A42D43">
        <w:rPr>
          <w:rFonts w:ascii="Arial" w:hAnsi="Arial" w:cs="Arial"/>
          <w:sz w:val="22"/>
          <w:szCs w:val="22"/>
        </w:rPr>
        <w:t>l</w:t>
      </w:r>
      <w:r w:rsidR="00937C05" w:rsidRPr="00A42D43">
        <w:rPr>
          <w:rFonts w:ascii="Arial" w:hAnsi="Arial" w:cs="Arial"/>
          <w:sz w:val="22"/>
          <w:szCs w:val="22"/>
        </w:rPr>
        <w:t>a primera operación</w:t>
      </w:r>
      <w:r w:rsidR="004143D7" w:rsidRPr="00A42D43">
        <w:rPr>
          <w:rFonts w:ascii="Arial" w:hAnsi="Arial" w:cs="Arial"/>
          <w:sz w:val="22"/>
          <w:szCs w:val="22"/>
        </w:rPr>
        <w:t>, y la ampliación, gradual y sostenida, de la APT, según detalle por componentes que se anota a continuación</w:t>
      </w:r>
      <w:r w:rsidR="00C61ECD" w:rsidRPr="00A42D43">
        <w:rPr>
          <w:rFonts w:ascii="Arial" w:hAnsi="Arial" w:cs="Arial"/>
          <w:sz w:val="22"/>
          <w:szCs w:val="22"/>
        </w:rPr>
        <w:t xml:space="preserve"> (</w:t>
      </w:r>
      <w:r w:rsidR="00C61ECD" w:rsidRPr="00216328">
        <w:rPr>
          <w:rFonts w:ascii="Arial" w:hAnsi="Arial" w:cs="Arial"/>
          <w:sz w:val="22"/>
          <w:szCs w:val="22"/>
        </w:rPr>
        <w:t xml:space="preserve">Ver </w:t>
      </w:r>
      <w:hyperlink r:id="rId10" w:history="1">
        <w:r w:rsidR="00C61ECD" w:rsidRPr="00216328">
          <w:rPr>
            <w:rStyle w:val="Hyperlink"/>
            <w:rFonts w:ascii="Arial" w:hAnsi="Arial" w:cs="Arial"/>
            <w:sz w:val="22"/>
            <w:szCs w:val="22"/>
          </w:rPr>
          <w:t>Matriz de Política</w:t>
        </w:r>
      </w:hyperlink>
      <w:r w:rsidR="00C61ECD" w:rsidRPr="00216328">
        <w:rPr>
          <w:rFonts w:ascii="Arial" w:hAnsi="Arial" w:cs="Arial"/>
          <w:sz w:val="22"/>
          <w:szCs w:val="22"/>
        </w:rPr>
        <w:t xml:space="preserve"> de la primera operación)</w:t>
      </w:r>
      <w:r w:rsidR="004143D7" w:rsidRPr="00216328">
        <w:rPr>
          <w:rFonts w:ascii="Arial" w:hAnsi="Arial" w:cs="Arial"/>
          <w:sz w:val="22"/>
          <w:szCs w:val="22"/>
        </w:rPr>
        <w:t>:</w:t>
      </w:r>
    </w:p>
    <w:p w:rsidR="00001476" w:rsidRDefault="00001476" w:rsidP="00001476">
      <w:pPr>
        <w:pStyle w:val="Paragraph"/>
        <w:numPr>
          <w:ilvl w:val="0"/>
          <w:numId w:val="0"/>
        </w:numPr>
        <w:spacing w:before="0" w:after="0" w:line="276" w:lineRule="auto"/>
        <w:rPr>
          <w:rFonts w:ascii="Arial" w:hAnsi="Arial" w:cs="Arial"/>
          <w:b/>
          <w:sz w:val="22"/>
          <w:szCs w:val="22"/>
        </w:rPr>
      </w:pPr>
    </w:p>
    <w:p w:rsidR="004143D7" w:rsidRDefault="004143D7" w:rsidP="00AE38FD">
      <w:pPr>
        <w:pStyle w:val="Paragraph"/>
        <w:numPr>
          <w:ilvl w:val="1"/>
          <w:numId w:val="27"/>
        </w:numPr>
        <w:spacing w:before="0" w:after="0" w:line="276" w:lineRule="auto"/>
        <w:ind w:left="720" w:hanging="720"/>
        <w:rPr>
          <w:rFonts w:ascii="Arial" w:hAnsi="Arial" w:cs="Arial"/>
          <w:sz w:val="22"/>
          <w:szCs w:val="22"/>
        </w:rPr>
      </w:pPr>
      <w:r w:rsidRPr="00A42D43">
        <w:rPr>
          <w:rFonts w:ascii="Arial" w:hAnsi="Arial" w:cs="Arial"/>
          <w:b/>
          <w:sz w:val="22"/>
          <w:szCs w:val="22"/>
        </w:rPr>
        <w:t>Componente I. Estabilidad macroeconómica</w:t>
      </w:r>
      <w:r w:rsidRPr="00A42D43">
        <w:rPr>
          <w:rFonts w:ascii="Arial" w:hAnsi="Arial" w:cs="Arial"/>
          <w:sz w:val="22"/>
          <w:szCs w:val="22"/>
        </w:rPr>
        <w:t>.</w:t>
      </w:r>
      <w:r w:rsidR="00E9023E">
        <w:rPr>
          <w:rFonts w:ascii="Arial" w:hAnsi="Arial" w:cs="Arial"/>
          <w:sz w:val="22"/>
          <w:szCs w:val="22"/>
        </w:rPr>
        <w:t xml:space="preserve"> </w:t>
      </w:r>
      <w:r w:rsidR="00001476">
        <w:rPr>
          <w:rFonts w:ascii="Arial" w:hAnsi="Arial" w:cs="Arial"/>
          <w:sz w:val="22"/>
          <w:szCs w:val="22"/>
        </w:rPr>
        <w:t>Mantener un c</w:t>
      </w:r>
      <w:r w:rsidRPr="00A42D43">
        <w:rPr>
          <w:rFonts w:ascii="Arial" w:hAnsi="Arial" w:cs="Arial"/>
          <w:sz w:val="22"/>
          <w:szCs w:val="22"/>
        </w:rPr>
        <w:t xml:space="preserve">ontexto macroeconómico congruente con los objetivos del </w:t>
      </w:r>
      <w:r w:rsidR="00450892" w:rsidRPr="00A42D43">
        <w:rPr>
          <w:rFonts w:ascii="Arial" w:hAnsi="Arial" w:cs="Arial"/>
          <w:sz w:val="22"/>
          <w:szCs w:val="22"/>
        </w:rPr>
        <w:t>P</w:t>
      </w:r>
      <w:r w:rsidRPr="00A42D43">
        <w:rPr>
          <w:rFonts w:ascii="Arial" w:hAnsi="Arial" w:cs="Arial"/>
          <w:sz w:val="22"/>
          <w:szCs w:val="22"/>
        </w:rPr>
        <w:t>rograma.</w:t>
      </w:r>
    </w:p>
    <w:p w:rsidR="00001476" w:rsidRDefault="00001476" w:rsidP="00001476">
      <w:pPr>
        <w:pStyle w:val="Paragraph"/>
        <w:numPr>
          <w:ilvl w:val="0"/>
          <w:numId w:val="0"/>
        </w:numPr>
        <w:spacing w:before="0" w:after="0" w:line="276" w:lineRule="auto"/>
        <w:rPr>
          <w:rFonts w:ascii="Arial" w:hAnsi="Arial" w:cs="Arial"/>
          <w:b/>
          <w:sz w:val="22"/>
          <w:szCs w:val="22"/>
        </w:rPr>
      </w:pPr>
    </w:p>
    <w:p w:rsidR="00F77965" w:rsidRPr="005D431F" w:rsidRDefault="004143D7" w:rsidP="00AE38FD">
      <w:pPr>
        <w:pStyle w:val="Paragraph"/>
        <w:numPr>
          <w:ilvl w:val="1"/>
          <w:numId w:val="27"/>
        </w:numPr>
        <w:spacing w:before="0" w:after="0" w:line="276" w:lineRule="auto"/>
        <w:ind w:left="720" w:hanging="720"/>
        <w:rPr>
          <w:rFonts w:ascii="Arial" w:hAnsi="Arial" w:cs="Arial"/>
          <w:color w:val="000000"/>
          <w:sz w:val="22"/>
          <w:szCs w:val="22"/>
        </w:rPr>
      </w:pPr>
      <w:r w:rsidRPr="00A42D43">
        <w:rPr>
          <w:rFonts w:ascii="Arial" w:hAnsi="Arial" w:cs="Arial"/>
          <w:b/>
          <w:sz w:val="22"/>
          <w:szCs w:val="22"/>
        </w:rPr>
        <w:t>Componente II. Fortalecer el marco legal e institucional de probidad y transparencia</w:t>
      </w:r>
      <w:r w:rsidRPr="00A42D43">
        <w:rPr>
          <w:rFonts w:ascii="Arial" w:hAnsi="Arial" w:cs="Arial"/>
          <w:sz w:val="22"/>
          <w:szCs w:val="22"/>
        </w:rPr>
        <w:t xml:space="preserve">. </w:t>
      </w:r>
      <w:r w:rsidR="00001476">
        <w:rPr>
          <w:rFonts w:ascii="Arial" w:hAnsi="Arial" w:cs="Arial"/>
          <w:sz w:val="22"/>
          <w:szCs w:val="22"/>
        </w:rPr>
        <w:t>La</w:t>
      </w:r>
      <w:r w:rsidR="00F77965" w:rsidRPr="00A42D43">
        <w:rPr>
          <w:rFonts w:ascii="Arial" w:hAnsi="Arial" w:cs="Arial"/>
          <w:sz w:val="22"/>
          <w:szCs w:val="22"/>
        </w:rPr>
        <w:t xml:space="preserve"> segunda operación consolida las medidas institucionales y regulatorias que se desarrollaron en el marco de la primera operación</w:t>
      </w:r>
      <w:r w:rsidR="00001476">
        <w:rPr>
          <w:rFonts w:ascii="Arial" w:hAnsi="Arial" w:cs="Arial"/>
          <w:sz w:val="22"/>
          <w:szCs w:val="22"/>
        </w:rPr>
        <w:t xml:space="preserve"> en lo referido al fortalecimiento de (i) la integridad en la gestión pública y (ii) la institucionalidad responsables de administrar la actividad electora</w:t>
      </w:r>
      <w:r w:rsidR="00A3680A">
        <w:rPr>
          <w:rFonts w:ascii="Arial" w:hAnsi="Arial" w:cs="Arial"/>
          <w:sz w:val="22"/>
          <w:szCs w:val="22"/>
        </w:rPr>
        <w:t xml:space="preserve">. Adicionalmente, </w:t>
      </w:r>
      <w:r w:rsidR="00001476" w:rsidRPr="00A42D43">
        <w:rPr>
          <w:rFonts w:ascii="Arial" w:hAnsi="Arial" w:cs="Arial"/>
          <w:sz w:val="22"/>
          <w:szCs w:val="22"/>
        </w:rPr>
        <w:t xml:space="preserve">profundiza en el objetivo de este componente ampliando </w:t>
      </w:r>
      <w:r w:rsidR="00E9023E">
        <w:rPr>
          <w:rFonts w:ascii="Arial" w:hAnsi="Arial" w:cs="Arial"/>
          <w:sz w:val="22"/>
          <w:szCs w:val="22"/>
        </w:rPr>
        <w:t>el apoyo a</w:t>
      </w:r>
      <w:r w:rsidR="00001476">
        <w:rPr>
          <w:rFonts w:ascii="Arial" w:hAnsi="Arial" w:cs="Arial"/>
          <w:sz w:val="22"/>
          <w:szCs w:val="22"/>
        </w:rPr>
        <w:t>l</w:t>
      </w:r>
      <w:r w:rsidR="00001476" w:rsidRPr="00A42D43">
        <w:rPr>
          <w:rFonts w:ascii="Arial" w:hAnsi="Arial" w:cs="Arial"/>
          <w:sz w:val="22"/>
          <w:szCs w:val="22"/>
        </w:rPr>
        <w:t xml:space="preserve"> fortale</w:t>
      </w:r>
      <w:r w:rsidR="00E9023E">
        <w:rPr>
          <w:rFonts w:ascii="Arial" w:hAnsi="Arial" w:cs="Arial"/>
          <w:sz w:val="22"/>
          <w:szCs w:val="22"/>
        </w:rPr>
        <w:t>cimiento de</w:t>
      </w:r>
      <w:r w:rsidR="00001476" w:rsidRPr="00A42D43">
        <w:rPr>
          <w:rFonts w:ascii="Arial" w:hAnsi="Arial" w:cs="Arial"/>
          <w:sz w:val="22"/>
          <w:szCs w:val="22"/>
        </w:rPr>
        <w:t xml:space="preserve"> </w:t>
      </w:r>
      <w:r w:rsidR="00A3680A">
        <w:rPr>
          <w:rFonts w:ascii="Arial" w:hAnsi="Arial" w:cs="Arial"/>
          <w:sz w:val="22"/>
          <w:szCs w:val="22"/>
        </w:rPr>
        <w:t xml:space="preserve">(i) </w:t>
      </w:r>
      <w:r w:rsidR="00001476" w:rsidRPr="00A42D43">
        <w:rPr>
          <w:rFonts w:ascii="Arial" w:hAnsi="Arial" w:cs="Arial"/>
          <w:sz w:val="22"/>
          <w:szCs w:val="22"/>
        </w:rPr>
        <w:t>la democracia interna y los deberes de dar acceso a información y de transparencia de los partidos políticos</w:t>
      </w:r>
      <w:r w:rsidR="00A3680A">
        <w:rPr>
          <w:rFonts w:ascii="Arial" w:hAnsi="Arial" w:cs="Arial"/>
          <w:sz w:val="22"/>
          <w:szCs w:val="22"/>
        </w:rPr>
        <w:t xml:space="preserve">; y (ii) </w:t>
      </w:r>
      <w:r w:rsidR="00A3680A" w:rsidRPr="005D431F">
        <w:rPr>
          <w:rFonts w:ascii="Arial" w:hAnsi="Arial" w:cs="Arial"/>
          <w:sz w:val="22"/>
          <w:szCs w:val="22"/>
        </w:rPr>
        <w:t xml:space="preserve">protección de datos personales. Esto mediante </w:t>
      </w:r>
      <w:r w:rsidR="00F77965" w:rsidRPr="005D431F">
        <w:rPr>
          <w:rFonts w:ascii="Arial" w:hAnsi="Arial" w:cs="Arial"/>
          <w:sz w:val="22"/>
          <w:szCs w:val="22"/>
        </w:rPr>
        <w:t xml:space="preserve">las siguientes </w:t>
      </w:r>
      <w:r w:rsidR="00A3680A" w:rsidRPr="005D431F">
        <w:rPr>
          <w:rFonts w:ascii="Arial" w:hAnsi="Arial" w:cs="Arial"/>
          <w:sz w:val="22"/>
          <w:szCs w:val="22"/>
        </w:rPr>
        <w:t>acciones</w:t>
      </w:r>
      <w:r w:rsidR="00F77965" w:rsidRPr="005D431F">
        <w:rPr>
          <w:rFonts w:ascii="Arial" w:hAnsi="Arial" w:cs="Arial"/>
          <w:sz w:val="22"/>
          <w:szCs w:val="22"/>
        </w:rPr>
        <w:t>:</w:t>
      </w:r>
    </w:p>
    <w:p w:rsidR="00F77965" w:rsidRPr="00A42D43" w:rsidRDefault="00DA790B" w:rsidP="00AE38FD">
      <w:pPr>
        <w:pStyle w:val="Paragraph"/>
        <w:numPr>
          <w:ilvl w:val="0"/>
          <w:numId w:val="28"/>
        </w:numPr>
        <w:spacing w:before="0" w:after="0" w:line="276" w:lineRule="auto"/>
        <w:ind w:left="1350"/>
        <w:rPr>
          <w:rFonts w:ascii="Arial" w:hAnsi="Arial" w:cs="Arial"/>
          <w:sz w:val="22"/>
          <w:szCs w:val="22"/>
        </w:rPr>
      </w:pPr>
      <w:r w:rsidRPr="005D431F">
        <w:rPr>
          <w:rFonts w:ascii="Arial" w:hAnsi="Arial" w:cs="Arial"/>
          <w:sz w:val="22"/>
          <w:szCs w:val="22"/>
        </w:rPr>
        <w:t>R</w:t>
      </w:r>
      <w:r w:rsidR="00F77965" w:rsidRPr="005D431F">
        <w:rPr>
          <w:rFonts w:ascii="Arial" w:hAnsi="Arial" w:cs="Arial"/>
          <w:sz w:val="22"/>
          <w:szCs w:val="22"/>
        </w:rPr>
        <w:t>eglament</w:t>
      </w:r>
      <w:r w:rsidRPr="005D431F">
        <w:rPr>
          <w:rFonts w:ascii="Arial" w:hAnsi="Arial" w:cs="Arial"/>
          <w:sz w:val="22"/>
          <w:szCs w:val="22"/>
        </w:rPr>
        <w:t>ación</w:t>
      </w:r>
      <w:r w:rsidR="00F77965" w:rsidRPr="00A42D43">
        <w:rPr>
          <w:rFonts w:ascii="Arial" w:hAnsi="Arial" w:cs="Arial"/>
          <w:sz w:val="22"/>
          <w:szCs w:val="22"/>
        </w:rPr>
        <w:t xml:space="preserve"> de la </w:t>
      </w:r>
      <w:r w:rsidR="0059555A">
        <w:rPr>
          <w:rFonts w:ascii="Arial" w:hAnsi="Arial" w:cs="Arial"/>
          <w:sz w:val="22"/>
          <w:szCs w:val="22"/>
        </w:rPr>
        <w:t xml:space="preserve">Ley No. 20.880, </w:t>
      </w:r>
      <w:r w:rsidR="00F77965" w:rsidRPr="00A42D43">
        <w:rPr>
          <w:rFonts w:ascii="Arial" w:hAnsi="Arial" w:cs="Arial"/>
          <w:sz w:val="22"/>
          <w:szCs w:val="22"/>
        </w:rPr>
        <w:t>“Ley sobre Probidad en la Función Pública y Prevención de los Conflictos de Intereses”</w:t>
      </w:r>
      <w:r w:rsidR="00A3680A">
        <w:rPr>
          <w:rFonts w:ascii="Arial" w:hAnsi="Arial" w:cs="Arial"/>
          <w:sz w:val="22"/>
          <w:szCs w:val="22"/>
        </w:rPr>
        <w:t>.</w:t>
      </w:r>
    </w:p>
    <w:p w:rsidR="00F77965" w:rsidRPr="00A42D43" w:rsidRDefault="00F77965" w:rsidP="00AE38FD">
      <w:pPr>
        <w:pStyle w:val="Paragraph"/>
        <w:numPr>
          <w:ilvl w:val="0"/>
          <w:numId w:val="28"/>
        </w:numPr>
        <w:spacing w:before="0" w:after="0" w:line="276" w:lineRule="auto"/>
        <w:ind w:left="1350"/>
        <w:rPr>
          <w:rFonts w:ascii="Arial" w:hAnsi="Arial" w:cs="Arial"/>
          <w:sz w:val="22"/>
          <w:szCs w:val="22"/>
        </w:rPr>
      </w:pPr>
      <w:r w:rsidRPr="00A42D43">
        <w:rPr>
          <w:rFonts w:ascii="Arial" w:hAnsi="Arial" w:cs="Arial"/>
          <w:sz w:val="22"/>
          <w:szCs w:val="22"/>
        </w:rPr>
        <w:t>Ingreso al Congreso Nacional de Indicaciones del Ejecutivo a la moción parlamentaria que “Modifica la Ley Orgánica Constitucional del Congreso Nacional y otros cuerpos legales en lo relativo a probidad y transparencia”.</w:t>
      </w:r>
    </w:p>
    <w:p w:rsidR="00A3680A" w:rsidRDefault="00D8059A" w:rsidP="00AE38FD">
      <w:pPr>
        <w:pStyle w:val="Paragraph"/>
        <w:numPr>
          <w:ilvl w:val="0"/>
          <w:numId w:val="28"/>
        </w:numPr>
        <w:spacing w:before="0" w:after="0" w:line="276" w:lineRule="auto"/>
        <w:ind w:left="1350"/>
        <w:rPr>
          <w:rFonts w:ascii="Arial" w:hAnsi="Arial" w:cs="Arial"/>
          <w:sz w:val="22"/>
          <w:szCs w:val="22"/>
        </w:rPr>
      </w:pPr>
      <w:r>
        <w:rPr>
          <w:rFonts w:ascii="Arial" w:hAnsi="Arial" w:cs="Arial"/>
          <w:sz w:val="22"/>
          <w:szCs w:val="22"/>
        </w:rPr>
        <w:t>R</w:t>
      </w:r>
      <w:r w:rsidR="003160C7">
        <w:rPr>
          <w:rFonts w:ascii="Arial" w:hAnsi="Arial" w:cs="Arial"/>
          <w:sz w:val="22"/>
          <w:szCs w:val="22"/>
        </w:rPr>
        <w:t>eglamenta</w:t>
      </w:r>
      <w:r>
        <w:rPr>
          <w:rFonts w:ascii="Arial" w:hAnsi="Arial" w:cs="Arial"/>
          <w:sz w:val="22"/>
          <w:szCs w:val="22"/>
        </w:rPr>
        <w:t>ción de</w:t>
      </w:r>
      <w:r w:rsidR="003160C7">
        <w:rPr>
          <w:rFonts w:ascii="Arial" w:hAnsi="Arial" w:cs="Arial"/>
          <w:sz w:val="22"/>
          <w:szCs w:val="22"/>
        </w:rPr>
        <w:t xml:space="preserve"> la </w:t>
      </w:r>
      <w:r w:rsidR="003160C7" w:rsidRPr="003160C7">
        <w:rPr>
          <w:rFonts w:ascii="Arial" w:hAnsi="Arial" w:cs="Arial"/>
          <w:sz w:val="22"/>
          <w:szCs w:val="22"/>
        </w:rPr>
        <w:t xml:space="preserve">“Ley para el Fortalecimiento y Transparencia de la Democracia” </w:t>
      </w:r>
      <w:r w:rsidR="003160C7">
        <w:rPr>
          <w:rFonts w:ascii="Arial" w:hAnsi="Arial" w:cs="Arial"/>
          <w:sz w:val="22"/>
          <w:szCs w:val="22"/>
        </w:rPr>
        <w:t>en materia de</w:t>
      </w:r>
      <w:r w:rsidR="003160C7" w:rsidRPr="003160C7">
        <w:rPr>
          <w:rFonts w:ascii="Arial" w:hAnsi="Arial" w:cs="Arial"/>
          <w:sz w:val="22"/>
          <w:szCs w:val="22"/>
        </w:rPr>
        <w:t xml:space="preserve"> límite de gasto electoral</w:t>
      </w:r>
      <w:r w:rsidR="003160C7">
        <w:rPr>
          <w:rFonts w:ascii="Arial" w:hAnsi="Arial" w:cs="Arial"/>
          <w:sz w:val="22"/>
          <w:szCs w:val="22"/>
        </w:rPr>
        <w:t xml:space="preserve">, </w:t>
      </w:r>
      <w:r w:rsidR="003160C7" w:rsidRPr="003160C7">
        <w:rPr>
          <w:rFonts w:ascii="Arial" w:hAnsi="Arial" w:cs="Arial"/>
          <w:sz w:val="22"/>
          <w:szCs w:val="22"/>
        </w:rPr>
        <w:t>presentación, publicación y custodia de las declaraciones de patrimonio e intereses de pre-candidatos, y máximos de aportes electorales</w:t>
      </w:r>
      <w:r w:rsidR="00F77965" w:rsidRPr="003160C7">
        <w:rPr>
          <w:rFonts w:ascii="Arial" w:hAnsi="Arial" w:cs="Arial"/>
          <w:sz w:val="22"/>
          <w:szCs w:val="22"/>
        </w:rPr>
        <w:t>.</w:t>
      </w:r>
    </w:p>
    <w:p w:rsidR="00C9726F" w:rsidRPr="004E59A4" w:rsidRDefault="00D8059A" w:rsidP="00AE38FD">
      <w:pPr>
        <w:pStyle w:val="Paragraph"/>
        <w:numPr>
          <w:ilvl w:val="0"/>
          <w:numId w:val="28"/>
        </w:numPr>
        <w:spacing w:before="0" w:after="0" w:line="276" w:lineRule="auto"/>
        <w:ind w:left="1350"/>
        <w:rPr>
          <w:rFonts w:ascii="Arial" w:hAnsi="Arial" w:cs="Arial"/>
          <w:sz w:val="22"/>
          <w:szCs w:val="22"/>
        </w:rPr>
      </w:pPr>
      <w:r>
        <w:rPr>
          <w:rFonts w:ascii="Arial" w:hAnsi="Arial" w:cs="Arial"/>
          <w:sz w:val="22"/>
          <w:szCs w:val="22"/>
        </w:rPr>
        <w:t xml:space="preserve">Promulgación </w:t>
      </w:r>
      <w:r w:rsidR="0059555A">
        <w:rPr>
          <w:rFonts w:ascii="Arial" w:hAnsi="Arial" w:cs="Arial"/>
          <w:sz w:val="22"/>
          <w:szCs w:val="22"/>
        </w:rPr>
        <w:t xml:space="preserve">y publicación </w:t>
      </w:r>
      <w:r w:rsidR="00F77965" w:rsidRPr="004E59A4">
        <w:rPr>
          <w:rFonts w:ascii="Arial" w:hAnsi="Arial" w:cs="Arial"/>
          <w:sz w:val="22"/>
          <w:szCs w:val="22"/>
        </w:rPr>
        <w:t xml:space="preserve">de </w:t>
      </w:r>
      <w:r>
        <w:rPr>
          <w:rFonts w:ascii="Arial" w:hAnsi="Arial" w:cs="Arial"/>
          <w:sz w:val="22"/>
          <w:szCs w:val="22"/>
        </w:rPr>
        <w:t xml:space="preserve">la </w:t>
      </w:r>
      <w:r w:rsidR="00F77965" w:rsidRPr="004E59A4">
        <w:rPr>
          <w:rFonts w:ascii="Arial" w:hAnsi="Arial" w:cs="Arial"/>
          <w:sz w:val="22"/>
          <w:szCs w:val="22"/>
        </w:rPr>
        <w:t>Ley que “Fortalece el Carácter Público y Democrático de los Partidos Políticos y Facilita su Modernización”</w:t>
      </w:r>
      <w:r w:rsidR="00A3680A" w:rsidRPr="004E59A4">
        <w:rPr>
          <w:rFonts w:ascii="Arial" w:hAnsi="Arial" w:cs="Arial"/>
          <w:sz w:val="22"/>
          <w:szCs w:val="22"/>
        </w:rPr>
        <w:t>.</w:t>
      </w:r>
    </w:p>
    <w:p w:rsidR="004143D7" w:rsidRPr="00C9726F" w:rsidRDefault="00A3680A" w:rsidP="00AE38FD">
      <w:pPr>
        <w:pStyle w:val="Paragraph"/>
        <w:numPr>
          <w:ilvl w:val="0"/>
          <w:numId w:val="28"/>
        </w:numPr>
        <w:spacing w:before="0" w:after="0" w:line="276" w:lineRule="auto"/>
        <w:ind w:left="1350"/>
        <w:rPr>
          <w:rFonts w:ascii="Arial" w:hAnsi="Arial" w:cs="Arial"/>
          <w:sz w:val="22"/>
          <w:szCs w:val="22"/>
        </w:rPr>
      </w:pPr>
      <w:r w:rsidRPr="00C9726F">
        <w:rPr>
          <w:rFonts w:ascii="Arial" w:hAnsi="Arial" w:cs="Arial"/>
          <w:sz w:val="22"/>
          <w:szCs w:val="22"/>
        </w:rPr>
        <w:t>I</w:t>
      </w:r>
      <w:r w:rsidR="00F77965" w:rsidRPr="00C9726F">
        <w:rPr>
          <w:rFonts w:ascii="Arial" w:hAnsi="Arial" w:cs="Arial"/>
          <w:sz w:val="22"/>
          <w:szCs w:val="22"/>
        </w:rPr>
        <w:t xml:space="preserve">ngreso al Congreso Nacional del Mensaje del Ejecutivo con el que se inicia la tramitación de un proyecto de ley </w:t>
      </w:r>
      <w:r w:rsidR="00A82FD7" w:rsidRPr="00A82FD7">
        <w:rPr>
          <w:rFonts w:ascii="Arial" w:hAnsi="Arial" w:cs="Arial"/>
          <w:sz w:val="22"/>
          <w:szCs w:val="22"/>
          <w:lang w:val="es-AR"/>
        </w:rPr>
        <w:t xml:space="preserve">que crea un nuevo marco normativo sobre </w:t>
      </w:r>
      <w:r w:rsidR="00A82FD7">
        <w:rPr>
          <w:rFonts w:ascii="Arial" w:hAnsi="Arial" w:cs="Arial"/>
          <w:sz w:val="22"/>
          <w:szCs w:val="22"/>
          <w:lang w:val="es-AR"/>
        </w:rPr>
        <w:t>p</w:t>
      </w:r>
      <w:r w:rsidR="00A82FD7" w:rsidRPr="00A82FD7">
        <w:rPr>
          <w:rFonts w:ascii="Arial" w:hAnsi="Arial" w:cs="Arial"/>
          <w:sz w:val="22"/>
          <w:szCs w:val="22"/>
          <w:lang w:val="es-AR"/>
        </w:rPr>
        <w:t xml:space="preserve">rotección de datos personales y/o introduce modificaciones </w:t>
      </w:r>
      <w:r w:rsidR="0059555A">
        <w:rPr>
          <w:rFonts w:ascii="Arial" w:hAnsi="Arial" w:cs="Arial"/>
          <w:sz w:val="22"/>
          <w:szCs w:val="22"/>
          <w:lang w:val="es-AR"/>
        </w:rPr>
        <w:t xml:space="preserve">a la </w:t>
      </w:r>
      <w:r w:rsidR="00A82FD7" w:rsidRPr="00A82FD7">
        <w:rPr>
          <w:rFonts w:ascii="Arial" w:hAnsi="Arial" w:cs="Arial"/>
          <w:sz w:val="22"/>
          <w:szCs w:val="22"/>
          <w:lang w:val="es-AR"/>
        </w:rPr>
        <w:t>Ley No 19.628 sobre Protección de la Vida Privada</w:t>
      </w:r>
      <w:r w:rsidR="00BF3A57">
        <w:rPr>
          <w:rFonts w:ascii="Arial" w:hAnsi="Arial" w:cs="Arial"/>
          <w:sz w:val="22"/>
          <w:szCs w:val="22"/>
          <w:lang w:val="es-AR"/>
        </w:rPr>
        <w:t>.</w:t>
      </w:r>
      <w:r w:rsidR="00A82FD7" w:rsidRPr="00A82FD7" w:rsidDel="007526E1">
        <w:rPr>
          <w:rFonts w:ascii="Arial" w:hAnsi="Arial" w:cs="Arial"/>
          <w:sz w:val="22"/>
          <w:szCs w:val="22"/>
          <w:lang w:val="es-AR"/>
        </w:rPr>
        <w:t xml:space="preserve"> </w:t>
      </w:r>
    </w:p>
    <w:p w:rsidR="00A3680A" w:rsidRDefault="00A3680A" w:rsidP="00001476">
      <w:pPr>
        <w:pStyle w:val="Paragraph"/>
        <w:numPr>
          <w:ilvl w:val="0"/>
          <w:numId w:val="0"/>
        </w:numPr>
        <w:spacing w:before="0" w:after="0" w:line="276" w:lineRule="auto"/>
        <w:rPr>
          <w:rFonts w:ascii="Arial" w:hAnsi="Arial" w:cs="Arial"/>
          <w:b/>
          <w:sz w:val="22"/>
          <w:szCs w:val="22"/>
        </w:rPr>
      </w:pPr>
    </w:p>
    <w:p w:rsidR="00C9726F" w:rsidRDefault="004143D7" w:rsidP="00AE38FD">
      <w:pPr>
        <w:pStyle w:val="Paragraph"/>
        <w:numPr>
          <w:ilvl w:val="1"/>
          <w:numId w:val="27"/>
        </w:numPr>
        <w:spacing w:before="0" w:after="0" w:line="276" w:lineRule="auto"/>
        <w:ind w:left="720" w:hanging="720"/>
        <w:rPr>
          <w:rFonts w:ascii="Arial" w:hAnsi="Arial" w:cs="Arial"/>
          <w:sz w:val="22"/>
          <w:szCs w:val="22"/>
        </w:rPr>
      </w:pPr>
      <w:r w:rsidRPr="00A42D43">
        <w:rPr>
          <w:rFonts w:ascii="Arial" w:hAnsi="Arial" w:cs="Arial"/>
          <w:b/>
          <w:sz w:val="22"/>
          <w:szCs w:val="22"/>
        </w:rPr>
        <w:t xml:space="preserve">Componente III. </w:t>
      </w:r>
      <w:r w:rsidR="0059555A">
        <w:rPr>
          <w:rFonts w:ascii="Arial" w:hAnsi="Arial" w:cs="Arial"/>
          <w:b/>
          <w:sz w:val="22"/>
          <w:szCs w:val="22"/>
        </w:rPr>
        <w:t>Contribuir a la</w:t>
      </w:r>
      <w:r w:rsidR="0059555A" w:rsidRPr="00A42D43">
        <w:rPr>
          <w:rFonts w:ascii="Arial" w:hAnsi="Arial" w:cs="Arial"/>
          <w:b/>
          <w:sz w:val="22"/>
          <w:szCs w:val="22"/>
        </w:rPr>
        <w:t xml:space="preserve"> </w:t>
      </w:r>
      <w:r w:rsidRPr="00A42D43">
        <w:rPr>
          <w:rFonts w:ascii="Arial" w:hAnsi="Arial" w:cs="Arial"/>
          <w:b/>
          <w:sz w:val="22"/>
          <w:szCs w:val="22"/>
        </w:rPr>
        <w:t>probidad y transparencia en la gestión de los recursos públicos, en el fortalecimiento de la profesionalización de la gestión pública, y promover conductas probas entre los diferentes actores de la sociedad</w:t>
      </w:r>
      <w:r w:rsidRPr="00A42D43">
        <w:rPr>
          <w:rFonts w:ascii="Arial" w:hAnsi="Arial" w:cs="Arial"/>
          <w:sz w:val="22"/>
          <w:szCs w:val="22"/>
        </w:rPr>
        <w:t xml:space="preserve">. </w:t>
      </w:r>
      <w:r w:rsidR="00C9726F">
        <w:rPr>
          <w:rFonts w:ascii="Arial" w:hAnsi="Arial" w:cs="Arial"/>
          <w:sz w:val="22"/>
          <w:szCs w:val="22"/>
        </w:rPr>
        <w:t>La</w:t>
      </w:r>
      <w:r w:rsidR="007F5AB2" w:rsidRPr="00A42D43">
        <w:rPr>
          <w:rFonts w:ascii="Arial" w:hAnsi="Arial" w:cs="Arial"/>
          <w:sz w:val="22"/>
          <w:szCs w:val="22"/>
        </w:rPr>
        <w:t xml:space="preserve"> segunda operación consolida las medidas institucionales y regulatorias que se desarrollaron en el marco de la primera operación</w:t>
      </w:r>
      <w:r w:rsidR="00C9726F">
        <w:rPr>
          <w:rFonts w:ascii="Arial" w:hAnsi="Arial" w:cs="Arial"/>
          <w:sz w:val="22"/>
          <w:szCs w:val="22"/>
        </w:rPr>
        <w:t xml:space="preserve"> en lo </w:t>
      </w:r>
      <w:r w:rsidR="00C9726F">
        <w:rPr>
          <w:rFonts w:ascii="Arial" w:hAnsi="Arial" w:cs="Arial"/>
          <w:sz w:val="22"/>
          <w:szCs w:val="22"/>
        </w:rPr>
        <w:lastRenderedPageBreak/>
        <w:t xml:space="preserve">referido a: (i) perfeccionamiento del </w:t>
      </w:r>
      <w:r w:rsidR="00C9726F" w:rsidRPr="00A42D43">
        <w:rPr>
          <w:rFonts w:ascii="Arial" w:hAnsi="Arial" w:cs="Arial"/>
          <w:sz w:val="22"/>
          <w:szCs w:val="22"/>
        </w:rPr>
        <w:t>Sistema de Alta Dirección Pública</w:t>
      </w:r>
      <w:r w:rsidR="00C9726F">
        <w:rPr>
          <w:rFonts w:ascii="Arial" w:hAnsi="Arial" w:cs="Arial"/>
          <w:sz w:val="22"/>
          <w:szCs w:val="22"/>
        </w:rPr>
        <w:t xml:space="preserve"> (SADP); (ii) fortalecimiento de las facultades de la </w:t>
      </w:r>
      <w:r w:rsidR="00C9726F" w:rsidRPr="00A42D43">
        <w:rPr>
          <w:rFonts w:ascii="Arial" w:hAnsi="Arial" w:cs="Arial"/>
          <w:sz w:val="22"/>
          <w:szCs w:val="22"/>
        </w:rPr>
        <w:t>Dirección Nacional del Servicio Civil (DNSC)</w:t>
      </w:r>
      <w:r w:rsidR="00C9726F">
        <w:rPr>
          <w:rFonts w:ascii="Arial" w:hAnsi="Arial" w:cs="Arial"/>
          <w:sz w:val="22"/>
          <w:szCs w:val="22"/>
        </w:rPr>
        <w:t>; (iii)</w:t>
      </w:r>
      <w:r w:rsidR="00C9726F" w:rsidRPr="00C9726F">
        <w:rPr>
          <w:rFonts w:ascii="Arial" w:hAnsi="Arial" w:cs="Arial"/>
          <w:sz w:val="22"/>
          <w:szCs w:val="22"/>
        </w:rPr>
        <w:t xml:space="preserve"> ampliación de la difusión y la transparencia de las convocatorias a concursos públicos y procesos de postulación y/o selección de personas</w:t>
      </w:r>
      <w:r w:rsidR="00C9726F">
        <w:rPr>
          <w:rFonts w:ascii="Arial" w:hAnsi="Arial" w:cs="Arial"/>
          <w:sz w:val="22"/>
          <w:szCs w:val="22"/>
        </w:rPr>
        <w:t xml:space="preserve">; </w:t>
      </w:r>
      <w:r w:rsidR="00C9726F" w:rsidRPr="00C9726F">
        <w:rPr>
          <w:rFonts w:ascii="Arial" w:hAnsi="Arial" w:cs="Arial"/>
          <w:sz w:val="22"/>
          <w:szCs w:val="22"/>
        </w:rPr>
        <w:t xml:space="preserve">(iv) </w:t>
      </w:r>
      <w:r w:rsidR="00C9726F">
        <w:rPr>
          <w:rFonts w:ascii="Arial" w:hAnsi="Arial" w:cs="Arial"/>
          <w:sz w:val="22"/>
          <w:szCs w:val="22"/>
        </w:rPr>
        <w:t>d</w:t>
      </w:r>
      <w:r w:rsidR="00C9726F" w:rsidRPr="00C9726F">
        <w:rPr>
          <w:rFonts w:ascii="Arial" w:hAnsi="Arial" w:cs="Arial"/>
          <w:sz w:val="22"/>
          <w:szCs w:val="22"/>
        </w:rPr>
        <w:t xml:space="preserve">efinición de estándares de comportamiento </w:t>
      </w:r>
      <w:r w:rsidR="00C9726F">
        <w:rPr>
          <w:rFonts w:ascii="Arial" w:hAnsi="Arial" w:cs="Arial"/>
          <w:sz w:val="22"/>
          <w:szCs w:val="22"/>
        </w:rPr>
        <w:t xml:space="preserve">ético </w:t>
      </w:r>
      <w:r w:rsidR="00C9726F" w:rsidRPr="00C9726F">
        <w:rPr>
          <w:rFonts w:ascii="Arial" w:hAnsi="Arial" w:cs="Arial"/>
          <w:sz w:val="22"/>
          <w:szCs w:val="22"/>
        </w:rPr>
        <w:t>de los funcionarios públicos</w:t>
      </w:r>
      <w:r w:rsidR="00C9726F">
        <w:rPr>
          <w:rFonts w:ascii="Arial" w:hAnsi="Arial" w:cs="Arial"/>
          <w:sz w:val="22"/>
          <w:szCs w:val="22"/>
        </w:rPr>
        <w:t xml:space="preserve">; (v) fortalecimiento </w:t>
      </w:r>
      <w:r w:rsidR="00C9726F" w:rsidRPr="00C9726F">
        <w:rPr>
          <w:rFonts w:ascii="Arial" w:hAnsi="Arial" w:cs="Arial"/>
          <w:sz w:val="22"/>
          <w:szCs w:val="22"/>
        </w:rPr>
        <w:t>de las exigencias de probidad y transparencia en las  Compras Públicas</w:t>
      </w:r>
      <w:r w:rsidR="00C9726F">
        <w:rPr>
          <w:rFonts w:ascii="Arial" w:hAnsi="Arial" w:cs="Arial"/>
          <w:sz w:val="22"/>
          <w:szCs w:val="22"/>
        </w:rPr>
        <w:t>; (vi) fortalecimiento del Ministerio de Obras Públicas</w:t>
      </w:r>
      <w:r w:rsidR="003160C7">
        <w:rPr>
          <w:rFonts w:ascii="Arial" w:hAnsi="Arial" w:cs="Arial"/>
          <w:sz w:val="22"/>
          <w:szCs w:val="22"/>
        </w:rPr>
        <w:t xml:space="preserve"> (MOP)</w:t>
      </w:r>
      <w:r w:rsidR="00C9726F">
        <w:rPr>
          <w:rFonts w:ascii="Arial" w:hAnsi="Arial" w:cs="Arial"/>
          <w:sz w:val="22"/>
          <w:szCs w:val="22"/>
        </w:rPr>
        <w:t>; (vii) creación de la Comisión de Valores y Seguros</w:t>
      </w:r>
      <w:r w:rsidR="003160C7">
        <w:rPr>
          <w:rFonts w:ascii="Arial" w:hAnsi="Arial" w:cs="Arial"/>
          <w:sz w:val="22"/>
          <w:szCs w:val="22"/>
        </w:rPr>
        <w:t xml:space="preserve">; y (viii) elaboración </w:t>
      </w:r>
      <w:r w:rsidR="003160C7" w:rsidRPr="003160C7">
        <w:rPr>
          <w:rFonts w:ascii="Arial" w:hAnsi="Arial" w:cs="Arial"/>
          <w:sz w:val="22"/>
          <w:szCs w:val="22"/>
        </w:rPr>
        <w:t>de un Plan de Formación Ciudadana</w:t>
      </w:r>
      <w:r w:rsidR="00C9726F">
        <w:rPr>
          <w:rFonts w:ascii="Arial" w:hAnsi="Arial" w:cs="Arial"/>
          <w:sz w:val="22"/>
          <w:szCs w:val="22"/>
        </w:rPr>
        <w:t>.</w:t>
      </w:r>
      <w:r w:rsidR="003160C7" w:rsidRPr="003160C7">
        <w:rPr>
          <w:rFonts w:ascii="Arial" w:hAnsi="Arial" w:cs="Arial"/>
          <w:sz w:val="22"/>
          <w:szCs w:val="22"/>
        </w:rPr>
        <w:t xml:space="preserve"> </w:t>
      </w:r>
      <w:r w:rsidR="003160C7">
        <w:rPr>
          <w:rFonts w:ascii="Arial" w:hAnsi="Arial" w:cs="Arial"/>
          <w:sz w:val="22"/>
          <w:szCs w:val="22"/>
        </w:rPr>
        <w:t xml:space="preserve">Adicionalmente, </w:t>
      </w:r>
      <w:r w:rsidR="003160C7" w:rsidRPr="00A42D43">
        <w:rPr>
          <w:rFonts w:ascii="Arial" w:hAnsi="Arial" w:cs="Arial"/>
          <w:sz w:val="22"/>
          <w:szCs w:val="22"/>
        </w:rPr>
        <w:t xml:space="preserve">profundiza en el objetivo de este componente ampliando </w:t>
      </w:r>
      <w:r w:rsidR="003160C7">
        <w:rPr>
          <w:rFonts w:ascii="Arial" w:hAnsi="Arial" w:cs="Arial"/>
          <w:sz w:val="22"/>
          <w:szCs w:val="22"/>
        </w:rPr>
        <w:t xml:space="preserve">el apoyo </w:t>
      </w:r>
      <w:r w:rsidR="003160C7" w:rsidRPr="003160C7">
        <w:rPr>
          <w:rFonts w:ascii="Arial" w:hAnsi="Arial" w:cs="Arial"/>
          <w:sz w:val="22"/>
          <w:szCs w:val="22"/>
        </w:rPr>
        <w:t>fortalecimiento del Consejo de Auditoría Interna General</w:t>
      </w:r>
      <w:r w:rsidR="004E59A4">
        <w:rPr>
          <w:rFonts w:ascii="Arial" w:hAnsi="Arial" w:cs="Arial"/>
          <w:sz w:val="22"/>
          <w:szCs w:val="22"/>
        </w:rPr>
        <w:t xml:space="preserve"> (CAIGG)</w:t>
      </w:r>
      <w:r w:rsidR="003160C7">
        <w:rPr>
          <w:rFonts w:ascii="Arial" w:hAnsi="Arial" w:cs="Arial"/>
          <w:sz w:val="22"/>
          <w:szCs w:val="22"/>
        </w:rPr>
        <w:t>. Esto mediante las siguientes acciones:</w:t>
      </w:r>
    </w:p>
    <w:p w:rsidR="007F5AB2" w:rsidRPr="00A42D43" w:rsidRDefault="007F5AB2" w:rsidP="00AE38FD">
      <w:pPr>
        <w:pStyle w:val="Paragraph"/>
        <w:numPr>
          <w:ilvl w:val="0"/>
          <w:numId w:val="29"/>
        </w:numPr>
        <w:spacing w:before="0" w:after="0" w:line="276" w:lineRule="auto"/>
        <w:ind w:left="1350"/>
        <w:rPr>
          <w:rFonts w:ascii="Arial" w:hAnsi="Arial" w:cs="Arial"/>
          <w:sz w:val="22"/>
          <w:szCs w:val="22"/>
        </w:rPr>
      </w:pPr>
      <w:r w:rsidRPr="00A42D43">
        <w:rPr>
          <w:rFonts w:ascii="Arial" w:hAnsi="Arial" w:cs="Arial"/>
          <w:sz w:val="22"/>
          <w:szCs w:val="22"/>
        </w:rPr>
        <w:t xml:space="preserve">Promulgación </w:t>
      </w:r>
      <w:r w:rsidR="0059555A">
        <w:rPr>
          <w:rFonts w:ascii="Arial" w:hAnsi="Arial" w:cs="Arial"/>
          <w:sz w:val="22"/>
          <w:szCs w:val="22"/>
        </w:rPr>
        <w:t xml:space="preserve">y publicación </w:t>
      </w:r>
      <w:r w:rsidRPr="00A42D43">
        <w:rPr>
          <w:rFonts w:ascii="Arial" w:hAnsi="Arial" w:cs="Arial"/>
          <w:sz w:val="22"/>
          <w:szCs w:val="22"/>
        </w:rPr>
        <w:t>de la Ley que “Perfecciona al Sistema de Alta Dirección Pública (SADP) y Fortalece la Dirección Nacional del Servicio Civil (DNSC)”;</w:t>
      </w:r>
      <w:r w:rsidR="001C3CDF">
        <w:rPr>
          <w:rFonts w:ascii="Arial" w:hAnsi="Arial" w:cs="Arial"/>
          <w:sz w:val="22"/>
          <w:szCs w:val="22"/>
        </w:rPr>
        <w:t xml:space="preserve"> mediante su publicación.</w:t>
      </w:r>
    </w:p>
    <w:p w:rsidR="00D8059A" w:rsidRDefault="00D8059A" w:rsidP="006A2713">
      <w:pPr>
        <w:pStyle w:val="Paragraph"/>
        <w:numPr>
          <w:ilvl w:val="0"/>
          <w:numId w:val="29"/>
        </w:numPr>
        <w:spacing w:before="0" w:after="0" w:line="276" w:lineRule="auto"/>
        <w:ind w:left="1350"/>
        <w:rPr>
          <w:rFonts w:ascii="Arial" w:hAnsi="Arial" w:cs="Arial"/>
          <w:sz w:val="22"/>
          <w:szCs w:val="22"/>
        </w:rPr>
      </w:pPr>
      <w:r w:rsidRPr="00D8059A">
        <w:rPr>
          <w:rFonts w:ascii="Arial" w:hAnsi="Arial" w:cs="Arial"/>
          <w:sz w:val="22"/>
          <w:szCs w:val="22"/>
        </w:rPr>
        <w:t xml:space="preserve">Requerimiento por parte de la DNSC dirigida a los </w:t>
      </w:r>
      <w:r w:rsidR="0059555A">
        <w:rPr>
          <w:rFonts w:ascii="Arial" w:hAnsi="Arial" w:cs="Arial"/>
          <w:sz w:val="22"/>
          <w:szCs w:val="22"/>
        </w:rPr>
        <w:t>S</w:t>
      </w:r>
      <w:r w:rsidRPr="00D8059A">
        <w:rPr>
          <w:rFonts w:ascii="Arial" w:hAnsi="Arial" w:cs="Arial"/>
          <w:sz w:val="22"/>
          <w:szCs w:val="22"/>
        </w:rPr>
        <w:t xml:space="preserve">ervicios </w:t>
      </w:r>
      <w:r w:rsidR="0059555A">
        <w:rPr>
          <w:rFonts w:ascii="Arial" w:hAnsi="Arial" w:cs="Arial"/>
          <w:sz w:val="22"/>
          <w:szCs w:val="22"/>
        </w:rPr>
        <w:t>P</w:t>
      </w:r>
      <w:r w:rsidRPr="00D8059A">
        <w:rPr>
          <w:rFonts w:ascii="Arial" w:hAnsi="Arial" w:cs="Arial"/>
          <w:sz w:val="22"/>
          <w:szCs w:val="22"/>
        </w:rPr>
        <w:t xml:space="preserve">úblicos </w:t>
      </w:r>
      <w:r w:rsidR="0059555A">
        <w:rPr>
          <w:rFonts w:ascii="Arial" w:hAnsi="Arial" w:cs="Arial"/>
          <w:sz w:val="22"/>
          <w:szCs w:val="22"/>
        </w:rPr>
        <w:t>de la Administración Civil del Estado solicitando</w:t>
      </w:r>
      <w:r w:rsidRPr="00D8059A">
        <w:rPr>
          <w:rFonts w:ascii="Arial" w:hAnsi="Arial" w:cs="Arial"/>
          <w:sz w:val="22"/>
          <w:szCs w:val="22"/>
        </w:rPr>
        <w:t xml:space="preserve">: (1) información actualizada al 31 de diciembre de 2015 sobre los cargos </w:t>
      </w:r>
      <w:r w:rsidR="0017175C">
        <w:rPr>
          <w:rFonts w:ascii="Arial" w:hAnsi="Arial" w:cs="Arial"/>
          <w:sz w:val="22"/>
          <w:szCs w:val="22"/>
        </w:rPr>
        <w:t xml:space="preserve">vacantes </w:t>
      </w:r>
      <w:r w:rsidRPr="00D8059A">
        <w:rPr>
          <w:rFonts w:ascii="Arial" w:hAnsi="Arial" w:cs="Arial"/>
          <w:sz w:val="22"/>
          <w:szCs w:val="22"/>
        </w:rPr>
        <w:t>de planta; (2) información sobre el escalafón de méritos y ascensos; y (3) un plan de trabajo para la realización de los concursos de los cargos de planta que se encuentran vacantes, estableciendo plazos y criterios de trasparencia e igualdad</w:t>
      </w:r>
      <w:r w:rsidR="0017175C">
        <w:rPr>
          <w:rFonts w:ascii="Arial" w:hAnsi="Arial" w:cs="Arial"/>
          <w:sz w:val="22"/>
          <w:szCs w:val="22"/>
        </w:rPr>
        <w:t>.</w:t>
      </w:r>
    </w:p>
    <w:p w:rsidR="007F5AB2" w:rsidRPr="003160C7" w:rsidRDefault="00D8059A" w:rsidP="00AE38FD">
      <w:pPr>
        <w:pStyle w:val="Paragraph"/>
        <w:numPr>
          <w:ilvl w:val="0"/>
          <w:numId w:val="29"/>
        </w:numPr>
        <w:spacing w:before="0" w:after="0" w:line="276" w:lineRule="auto"/>
        <w:ind w:left="1350"/>
        <w:rPr>
          <w:rFonts w:ascii="Arial" w:hAnsi="Arial" w:cs="Arial"/>
          <w:sz w:val="22"/>
          <w:szCs w:val="22"/>
        </w:rPr>
      </w:pPr>
      <w:r w:rsidRPr="00D8059A">
        <w:rPr>
          <w:rFonts w:ascii="Arial" w:hAnsi="Arial" w:cs="Arial"/>
          <w:sz w:val="22"/>
          <w:szCs w:val="22"/>
        </w:rPr>
        <w:t xml:space="preserve">Entrada en </w:t>
      </w:r>
      <w:r w:rsidR="002C2796">
        <w:rPr>
          <w:rFonts w:ascii="Arial" w:hAnsi="Arial" w:cs="Arial"/>
          <w:sz w:val="22"/>
          <w:szCs w:val="22"/>
        </w:rPr>
        <w:t>funcionamiento</w:t>
      </w:r>
      <w:r w:rsidR="002C2796" w:rsidRPr="00D8059A">
        <w:rPr>
          <w:rFonts w:ascii="Arial" w:hAnsi="Arial" w:cs="Arial"/>
          <w:sz w:val="22"/>
          <w:szCs w:val="22"/>
        </w:rPr>
        <w:t xml:space="preserve"> </w:t>
      </w:r>
      <w:r w:rsidRPr="00D8059A">
        <w:rPr>
          <w:rFonts w:ascii="Arial" w:hAnsi="Arial" w:cs="Arial"/>
          <w:sz w:val="22"/>
          <w:szCs w:val="22"/>
        </w:rPr>
        <w:t>del nuevo sistema de gestión de la Alta Dirección Pública (ADP) y su portal correspondiente, de conformidad con las normas de transparencia que establece el proyecto de Ley que “Perfecciona al Sistema de Alta Dirección Pública (SADP) y Fortalece la Dirección Nacional del Servicio Civil (DNSC)”, con el fin de incrementar la difusión y la transparencia de las convocatorias públicas a los procesos de selección del SADP.</w:t>
      </w:r>
    </w:p>
    <w:p w:rsidR="007F5AB2" w:rsidRPr="00A42D43" w:rsidRDefault="00D8059A" w:rsidP="00AE38FD">
      <w:pPr>
        <w:pStyle w:val="Paragraph"/>
        <w:numPr>
          <w:ilvl w:val="0"/>
          <w:numId w:val="29"/>
        </w:numPr>
        <w:spacing w:before="0" w:after="0" w:line="276" w:lineRule="auto"/>
        <w:ind w:left="1350"/>
        <w:rPr>
          <w:rFonts w:ascii="Arial" w:hAnsi="Arial" w:cs="Arial"/>
          <w:sz w:val="22"/>
          <w:szCs w:val="22"/>
        </w:rPr>
      </w:pPr>
      <w:r>
        <w:rPr>
          <w:rFonts w:ascii="Arial" w:hAnsi="Arial" w:cs="Arial"/>
          <w:sz w:val="22"/>
          <w:szCs w:val="22"/>
        </w:rPr>
        <w:t xml:space="preserve">Elaboración </w:t>
      </w:r>
      <w:r w:rsidR="0059555A">
        <w:rPr>
          <w:rFonts w:ascii="Arial" w:hAnsi="Arial" w:cs="Arial"/>
          <w:sz w:val="22"/>
          <w:szCs w:val="22"/>
        </w:rPr>
        <w:t xml:space="preserve">y aprobación </w:t>
      </w:r>
      <w:r w:rsidR="007F5AB2" w:rsidRPr="00A42D43">
        <w:rPr>
          <w:rFonts w:ascii="Arial" w:hAnsi="Arial" w:cs="Arial"/>
          <w:sz w:val="22"/>
          <w:szCs w:val="22"/>
        </w:rPr>
        <w:t xml:space="preserve">de los códigos de ética de los </w:t>
      </w:r>
      <w:r w:rsidR="0059555A" w:rsidRPr="0059555A">
        <w:rPr>
          <w:rFonts w:ascii="Arial" w:hAnsi="Arial" w:cs="Arial"/>
          <w:sz w:val="22"/>
          <w:szCs w:val="22"/>
          <w:lang w:val="es-AR"/>
        </w:rPr>
        <w:t>SEGPRES, la Secretaría y Administración General del Ministerio de Hacienda y de los Servicios Públicos sometidos a la dependencia y/o supervigilancia del Ministerio de Hacienda.</w:t>
      </w:r>
    </w:p>
    <w:p w:rsidR="00F638E9" w:rsidRPr="00F638E9" w:rsidRDefault="00DA790B" w:rsidP="00AE38FD">
      <w:pPr>
        <w:pStyle w:val="Paragraph"/>
        <w:numPr>
          <w:ilvl w:val="0"/>
          <w:numId w:val="29"/>
        </w:numPr>
        <w:spacing w:before="0" w:after="0" w:line="276" w:lineRule="auto"/>
        <w:ind w:left="1350"/>
        <w:rPr>
          <w:rFonts w:ascii="Arial" w:hAnsi="Arial" w:cs="Arial"/>
          <w:sz w:val="22"/>
          <w:szCs w:val="22"/>
        </w:rPr>
      </w:pPr>
      <w:r w:rsidRPr="00DA790B">
        <w:rPr>
          <w:rFonts w:ascii="Arial" w:hAnsi="Arial" w:cs="Arial"/>
          <w:sz w:val="22"/>
          <w:szCs w:val="22"/>
          <w:lang w:val="es-CO"/>
        </w:rPr>
        <w:t xml:space="preserve">Implementación </w:t>
      </w:r>
      <w:r w:rsidRPr="00DA790B">
        <w:rPr>
          <w:rFonts w:ascii="Arial" w:hAnsi="Arial" w:cs="Arial"/>
          <w:sz w:val="22"/>
          <w:szCs w:val="22"/>
          <w:lang w:val="es-ES"/>
        </w:rPr>
        <w:t>de las nuevas disposiciones de probidad y transparencia en las compras públicas, en materia de Licitaciones Públicas, mediante</w:t>
      </w:r>
      <w:r w:rsidRPr="00DA790B">
        <w:rPr>
          <w:rFonts w:ascii="Arial" w:hAnsi="Arial" w:cs="Arial"/>
          <w:sz w:val="22"/>
          <w:szCs w:val="22"/>
          <w:lang w:val="es-CO"/>
        </w:rPr>
        <w:t xml:space="preserve"> la</w:t>
      </w:r>
      <w:r w:rsidRPr="00DA790B">
        <w:rPr>
          <w:rFonts w:ascii="Arial" w:hAnsi="Arial" w:cs="Arial"/>
          <w:sz w:val="22"/>
          <w:szCs w:val="22"/>
          <w:lang w:val="es-AR"/>
        </w:rPr>
        <w:t xml:space="preserve"> </w:t>
      </w:r>
      <w:r>
        <w:rPr>
          <w:rFonts w:ascii="Arial" w:hAnsi="Arial" w:cs="Arial"/>
          <w:sz w:val="22"/>
          <w:szCs w:val="22"/>
          <w:lang w:val="es-AR"/>
        </w:rPr>
        <w:t xml:space="preserve">elaboración de </w:t>
      </w:r>
      <w:r w:rsidR="00F638E9" w:rsidRPr="00F638E9">
        <w:rPr>
          <w:rFonts w:ascii="Arial" w:hAnsi="Arial" w:cs="Arial"/>
          <w:sz w:val="22"/>
          <w:szCs w:val="22"/>
        </w:rPr>
        <w:t>Informes Finales de las Comisiones Evaluadoras de acuerdo con los nuevos criterios de probidad y transparencia establecidos en el artículo 40 bis del Reglamento de la Ley No. 19.886 de Bases sobre Contratos Administrativos de Suministros y Prestación de Servicios</w:t>
      </w:r>
      <w:r w:rsidR="00F638E9">
        <w:rPr>
          <w:rFonts w:ascii="Arial" w:hAnsi="Arial" w:cs="Arial"/>
          <w:sz w:val="22"/>
          <w:szCs w:val="22"/>
        </w:rPr>
        <w:t>.</w:t>
      </w:r>
    </w:p>
    <w:p w:rsidR="00F638E9" w:rsidRPr="00CF6494" w:rsidRDefault="00F638E9" w:rsidP="00AE38FD">
      <w:pPr>
        <w:numPr>
          <w:ilvl w:val="0"/>
          <w:numId w:val="29"/>
        </w:numPr>
        <w:spacing w:line="276" w:lineRule="auto"/>
        <w:ind w:left="1350"/>
        <w:jc w:val="both"/>
        <w:rPr>
          <w:rFonts w:ascii="Arial" w:hAnsi="Arial" w:cs="Arial"/>
          <w:sz w:val="22"/>
          <w:szCs w:val="22"/>
          <w:lang w:val="es-ES"/>
        </w:rPr>
      </w:pPr>
      <w:r w:rsidRPr="00F638E9">
        <w:rPr>
          <w:rFonts w:ascii="Arial" w:hAnsi="Arial" w:cs="Arial"/>
          <w:sz w:val="22"/>
          <w:szCs w:val="22"/>
          <w:lang w:val="es-ES"/>
        </w:rPr>
        <w:t xml:space="preserve">Cumplimiento de las condiciones necesarias para la habilitación en </w:t>
      </w:r>
      <w:r w:rsidR="00403BE7">
        <w:rPr>
          <w:rFonts w:ascii="Arial" w:hAnsi="Arial" w:cs="Arial"/>
          <w:sz w:val="22"/>
          <w:szCs w:val="22"/>
          <w:lang w:val="es-ES"/>
        </w:rPr>
        <w:t xml:space="preserve">al menos 5 </w:t>
      </w:r>
      <w:r w:rsidRPr="00F638E9">
        <w:rPr>
          <w:rFonts w:ascii="Arial" w:hAnsi="Arial" w:cs="Arial"/>
          <w:sz w:val="22"/>
          <w:szCs w:val="22"/>
          <w:lang w:val="es-ES"/>
        </w:rPr>
        <w:t xml:space="preserve">organismos públicos </w:t>
      </w:r>
      <w:r w:rsidR="0059555A">
        <w:rPr>
          <w:rFonts w:ascii="Arial" w:hAnsi="Arial" w:cs="Arial"/>
          <w:sz w:val="22"/>
          <w:szCs w:val="22"/>
          <w:lang w:val="es-ES"/>
        </w:rPr>
        <w:t xml:space="preserve">para </w:t>
      </w:r>
      <w:r w:rsidRPr="00F638E9">
        <w:rPr>
          <w:rFonts w:ascii="Arial" w:hAnsi="Arial" w:cs="Arial"/>
          <w:sz w:val="22"/>
          <w:szCs w:val="22"/>
          <w:lang w:val="es-ES"/>
        </w:rPr>
        <w:t>publicar las bases de licitación</w:t>
      </w:r>
      <w:r w:rsidR="0059555A">
        <w:rPr>
          <w:rFonts w:ascii="Arial" w:hAnsi="Arial" w:cs="Arial"/>
          <w:sz w:val="22"/>
          <w:szCs w:val="22"/>
          <w:lang w:val="es-ES"/>
        </w:rPr>
        <w:t xml:space="preserve"> pública</w:t>
      </w:r>
      <w:r w:rsidRPr="00F638E9">
        <w:rPr>
          <w:rFonts w:ascii="Arial" w:hAnsi="Arial" w:cs="Arial"/>
          <w:sz w:val="22"/>
          <w:szCs w:val="22"/>
          <w:lang w:val="es-ES"/>
        </w:rPr>
        <w:t>, con firma electrónica</w:t>
      </w:r>
      <w:r w:rsidR="0059555A">
        <w:rPr>
          <w:rFonts w:ascii="Arial" w:hAnsi="Arial" w:cs="Arial"/>
          <w:sz w:val="22"/>
          <w:szCs w:val="22"/>
          <w:lang w:val="es-ES"/>
        </w:rPr>
        <w:t xml:space="preserve"> avanzada</w:t>
      </w:r>
      <w:r w:rsidR="0059555A">
        <w:rPr>
          <w:rStyle w:val="FootnoteReference"/>
          <w:rFonts w:ascii="Arial" w:hAnsi="Arial" w:cs="Arial"/>
          <w:sz w:val="22"/>
          <w:szCs w:val="22"/>
          <w:lang w:val="es-ES"/>
        </w:rPr>
        <w:footnoteReference w:id="2"/>
      </w:r>
      <w:r w:rsidRPr="00F638E9">
        <w:rPr>
          <w:rFonts w:ascii="Arial" w:hAnsi="Arial" w:cs="Arial"/>
          <w:sz w:val="22"/>
          <w:szCs w:val="22"/>
          <w:lang w:val="es-ES"/>
        </w:rPr>
        <w:t xml:space="preserve">, en el portal </w:t>
      </w:r>
      <w:hyperlink r:id="rId11" w:history="1">
        <w:r w:rsidRPr="00F638E9">
          <w:rPr>
            <w:rStyle w:val="Hyperlink"/>
            <w:rFonts w:ascii="Arial" w:hAnsi="Arial" w:cs="Arial"/>
            <w:sz w:val="22"/>
            <w:szCs w:val="22"/>
            <w:lang w:val="es-ES"/>
          </w:rPr>
          <w:t>www.mercadopublico.cl</w:t>
        </w:r>
      </w:hyperlink>
      <w:r w:rsidRPr="00F638E9">
        <w:rPr>
          <w:rStyle w:val="Hyperlink"/>
          <w:rFonts w:ascii="Arial" w:hAnsi="Arial" w:cs="Arial"/>
          <w:sz w:val="22"/>
          <w:szCs w:val="22"/>
          <w:lang w:val="es-ES"/>
        </w:rPr>
        <w:t>;</w:t>
      </w:r>
      <w:r w:rsidRPr="00F638E9">
        <w:rPr>
          <w:rFonts w:ascii="Arial" w:hAnsi="Arial" w:cs="Arial"/>
          <w:sz w:val="22"/>
          <w:szCs w:val="22"/>
          <w:lang w:val="es-ES"/>
        </w:rPr>
        <w:t xml:space="preserve"> lo que permitirá avanzar con el uso obligatorio de formularios electrónicos estandarizados de  bases de licitación</w:t>
      </w:r>
      <w:r w:rsidRPr="00F638E9">
        <w:rPr>
          <w:rFonts w:ascii="Arial" w:hAnsi="Arial" w:cs="Arial"/>
          <w:sz w:val="22"/>
          <w:szCs w:val="22"/>
          <w:lang w:val="es-ES_tradnl"/>
        </w:rPr>
        <w:t>.</w:t>
      </w:r>
    </w:p>
    <w:p w:rsidR="00CF6494" w:rsidRPr="00CF6494" w:rsidRDefault="00CF6494" w:rsidP="00AE38FD">
      <w:pPr>
        <w:pStyle w:val="Paragraph"/>
        <w:numPr>
          <w:ilvl w:val="0"/>
          <w:numId w:val="29"/>
        </w:numPr>
        <w:spacing w:before="0" w:after="0" w:line="276" w:lineRule="auto"/>
        <w:ind w:left="1350"/>
        <w:rPr>
          <w:rFonts w:ascii="Arial" w:hAnsi="Arial" w:cs="Arial"/>
          <w:sz w:val="22"/>
          <w:szCs w:val="22"/>
        </w:rPr>
      </w:pPr>
      <w:r w:rsidRPr="00CF6494">
        <w:rPr>
          <w:rFonts w:ascii="Arial" w:hAnsi="Arial" w:cs="Arial"/>
          <w:sz w:val="22"/>
          <w:szCs w:val="22"/>
        </w:rPr>
        <w:lastRenderedPageBreak/>
        <w:t>Suscripción y entrada en vigencia de un Convenio de Colaboración entre la Dirección General de Obras Públicas del MOP y la Dirección de Compras y Contratación Pública</w:t>
      </w:r>
      <w:r w:rsidR="0055780C">
        <w:rPr>
          <w:rFonts w:ascii="Arial" w:hAnsi="Arial" w:cs="Arial"/>
          <w:sz w:val="22"/>
          <w:szCs w:val="22"/>
        </w:rPr>
        <w:t xml:space="preserve"> (ChileCompra)</w:t>
      </w:r>
      <w:r w:rsidRPr="00CF6494">
        <w:rPr>
          <w:rFonts w:ascii="Arial" w:hAnsi="Arial" w:cs="Arial"/>
          <w:sz w:val="22"/>
          <w:szCs w:val="22"/>
        </w:rPr>
        <w:t xml:space="preserve">, en el cual se establece la implementación de una plataforma que </w:t>
      </w:r>
      <w:r w:rsidR="0059555A">
        <w:rPr>
          <w:rFonts w:ascii="Arial" w:hAnsi="Arial" w:cs="Arial"/>
          <w:sz w:val="22"/>
          <w:szCs w:val="22"/>
        </w:rPr>
        <w:t xml:space="preserve">permite </w:t>
      </w:r>
      <w:r w:rsidRPr="00CF6494">
        <w:rPr>
          <w:rFonts w:ascii="Arial" w:hAnsi="Arial" w:cs="Arial"/>
          <w:sz w:val="22"/>
          <w:szCs w:val="22"/>
        </w:rPr>
        <w:t xml:space="preserve">el registro </w:t>
      </w:r>
      <w:r w:rsidR="0059555A">
        <w:rPr>
          <w:rFonts w:ascii="Arial" w:hAnsi="Arial" w:cs="Arial"/>
          <w:sz w:val="22"/>
          <w:szCs w:val="22"/>
        </w:rPr>
        <w:t xml:space="preserve">en línea </w:t>
      </w:r>
      <w:r w:rsidRPr="00CF6494">
        <w:rPr>
          <w:rFonts w:ascii="Arial" w:hAnsi="Arial" w:cs="Arial"/>
          <w:sz w:val="22"/>
          <w:szCs w:val="22"/>
        </w:rPr>
        <w:t>con la estrategia de</w:t>
      </w:r>
      <w:r w:rsidR="00690563">
        <w:rPr>
          <w:rFonts w:ascii="Arial" w:hAnsi="Arial" w:cs="Arial"/>
          <w:sz w:val="22"/>
          <w:szCs w:val="22"/>
        </w:rPr>
        <w:t xml:space="preserve"> éste</w:t>
      </w:r>
      <w:r w:rsidRPr="00CF6494">
        <w:rPr>
          <w:rFonts w:ascii="Arial" w:hAnsi="Arial" w:cs="Arial"/>
          <w:sz w:val="22"/>
          <w:szCs w:val="22"/>
        </w:rPr>
        <w:t xml:space="preserve"> de transparentar sus relaciones con sus contratistas y proveedores.</w:t>
      </w:r>
    </w:p>
    <w:p w:rsidR="007F5AB2" w:rsidRPr="00A42D43" w:rsidRDefault="007F5AB2" w:rsidP="00AE38FD">
      <w:pPr>
        <w:pStyle w:val="Paragraph"/>
        <w:numPr>
          <w:ilvl w:val="0"/>
          <w:numId w:val="29"/>
        </w:numPr>
        <w:spacing w:before="0" w:after="0" w:line="276" w:lineRule="auto"/>
        <w:ind w:left="1350"/>
        <w:rPr>
          <w:rFonts w:ascii="Arial" w:hAnsi="Arial" w:cs="Arial"/>
          <w:sz w:val="22"/>
          <w:szCs w:val="22"/>
        </w:rPr>
      </w:pPr>
      <w:r w:rsidRPr="00A42D43">
        <w:rPr>
          <w:rFonts w:ascii="Arial" w:hAnsi="Arial" w:cs="Arial"/>
          <w:sz w:val="22"/>
          <w:szCs w:val="22"/>
        </w:rPr>
        <w:t xml:space="preserve">Promulgación </w:t>
      </w:r>
      <w:r w:rsidR="0059555A">
        <w:rPr>
          <w:rFonts w:ascii="Arial" w:hAnsi="Arial" w:cs="Arial"/>
          <w:sz w:val="22"/>
          <w:szCs w:val="22"/>
        </w:rPr>
        <w:t>y p</w:t>
      </w:r>
      <w:r w:rsidR="00D17178">
        <w:rPr>
          <w:rFonts w:ascii="Arial" w:hAnsi="Arial" w:cs="Arial"/>
          <w:sz w:val="22"/>
          <w:szCs w:val="22"/>
        </w:rPr>
        <w:t>ublicación</w:t>
      </w:r>
      <w:r w:rsidR="00D17178" w:rsidRPr="00A42D43">
        <w:rPr>
          <w:rFonts w:ascii="Arial" w:hAnsi="Arial" w:cs="Arial"/>
          <w:sz w:val="22"/>
          <w:szCs w:val="22"/>
        </w:rPr>
        <w:t xml:space="preserve"> </w:t>
      </w:r>
      <w:r w:rsidRPr="00A42D43">
        <w:rPr>
          <w:rFonts w:ascii="Arial" w:hAnsi="Arial" w:cs="Arial"/>
          <w:sz w:val="22"/>
          <w:szCs w:val="22"/>
        </w:rPr>
        <w:t>de la Ley que “Crea la Comisión de Valores y Seguros”</w:t>
      </w:r>
      <w:r w:rsidR="0055780C">
        <w:rPr>
          <w:rFonts w:ascii="Arial" w:hAnsi="Arial" w:cs="Arial"/>
          <w:sz w:val="22"/>
          <w:szCs w:val="22"/>
        </w:rPr>
        <w:t>.</w:t>
      </w:r>
    </w:p>
    <w:p w:rsidR="00CF6494" w:rsidRPr="00CF6494" w:rsidRDefault="00CF6494" w:rsidP="00AE38FD">
      <w:pPr>
        <w:pStyle w:val="Paragraph"/>
        <w:numPr>
          <w:ilvl w:val="0"/>
          <w:numId w:val="29"/>
        </w:numPr>
        <w:spacing w:before="0" w:after="0" w:line="276" w:lineRule="auto"/>
        <w:ind w:left="1350"/>
        <w:rPr>
          <w:rFonts w:ascii="Arial" w:hAnsi="Arial" w:cs="Arial"/>
          <w:sz w:val="22"/>
          <w:szCs w:val="22"/>
        </w:rPr>
      </w:pPr>
      <w:r w:rsidRPr="00CF6494">
        <w:rPr>
          <w:rFonts w:ascii="Arial" w:hAnsi="Arial" w:cs="Arial"/>
          <w:sz w:val="22"/>
          <w:szCs w:val="22"/>
        </w:rPr>
        <w:t xml:space="preserve">Implementación de la </w:t>
      </w:r>
      <w:r w:rsidR="0059555A">
        <w:rPr>
          <w:rFonts w:ascii="Arial" w:hAnsi="Arial" w:cs="Arial"/>
          <w:sz w:val="22"/>
          <w:szCs w:val="22"/>
        </w:rPr>
        <w:t xml:space="preserve">Ley No. 20.911, </w:t>
      </w:r>
      <w:r w:rsidRPr="00CF6494">
        <w:rPr>
          <w:rFonts w:ascii="Arial" w:hAnsi="Arial" w:cs="Arial"/>
          <w:sz w:val="22"/>
          <w:szCs w:val="22"/>
        </w:rPr>
        <w:t xml:space="preserve">“Ley que Crea el Plan de Formación Ciudadana para los </w:t>
      </w:r>
      <w:r w:rsidR="0059555A">
        <w:rPr>
          <w:rFonts w:ascii="Arial" w:hAnsi="Arial" w:cs="Arial"/>
          <w:sz w:val="22"/>
          <w:szCs w:val="22"/>
        </w:rPr>
        <w:t>E</w:t>
      </w:r>
      <w:r w:rsidRPr="00CF6494">
        <w:rPr>
          <w:rFonts w:ascii="Arial" w:hAnsi="Arial" w:cs="Arial"/>
          <w:sz w:val="22"/>
          <w:szCs w:val="22"/>
        </w:rPr>
        <w:t xml:space="preserve">stablecimientos </w:t>
      </w:r>
      <w:r w:rsidR="0059555A">
        <w:rPr>
          <w:rFonts w:ascii="Arial" w:hAnsi="Arial" w:cs="Arial"/>
          <w:sz w:val="22"/>
          <w:szCs w:val="22"/>
        </w:rPr>
        <w:t>E</w:t>
      </w:r>
      <w:r w:rsidRPr="00CF6494">
        <w:rPr>
          <w:rFonts w:ascii="Arial" w:hAnsi="Arial" w:cs="Arial"/>
          <w:sz w:val="22"/>
          <w:szCs w:val="22"/>
        </w:rPr>
        <w:t>ducacionales reconocidos por el Estado” publicada en el Diario Oficial el 2 de abril de 2016:</w:t>
      </w:r>
      <w:r w:rsidR="0059555A">
        <w:rPr>
          <w:rFonts w:ascii="Arial" w:hAnsi="Arial" w:cs="Arial"/>
          <w:sz w:val="22"/>
          <w:szCs w:val="22"/>
        </w:rPr>
        <w:t xml:space="preserve"> a través de</w:t>
      </w:r>
      <w:r w:rsidRPr="00CF6494">
        <w:rPr>
          <w:rFonts w:ascii="Arial" w:hAnsi="Arial" w:cs="Arial"/>
          <w:sz w:val="22"/>
          <w:szCs w:val="22"/>
        </w:rPr>
        <w:t xml:space="preserve"> (1) </w:t>
      </w:r>
      <w:r w:rsidR="0059555A">
        <w:rPr>
          <w:rFonts w:ascii="Arial" w:hAnsi="Arial" w:cs="Arial"/>
          <w:sz w:val="22"/>
          <w:szCs w:val="22"/>
        </w:rPr>
        <w:t xml:space="preserve">emisión de </w:t>
      </w:r>
      <w:r w:rsidRPr="00CF6494">
        <w:rPr>
          <w:rFonts w:ascii="Arial" w:hAnsi="Arial" w:cs="Arial"/>
          <w:sz w:val="22"/>
          <w:szCs w:val="22"/>
        </w:rPr>
        <w:t>orientaciones por parte del Ministerio de Educación (MINEDUC) a las Secretarias Regionales Ministeriales (SEREMIS) en materia curricular y en materia de formulación e implementación de los planes de formación ciudadana; y</w:t>
      </w:r>
      <w:r>
        <w:rPr>
          <w:rFonts w:ascii="Arial" w:hAnsi="Arial" w:cs="Arial"/>
          <w:sz w:val="22"/>
          <w:szCs w:val="22"/>
        </w:rPr>
        <w:t xml:space="preserve"> </w:t>
      </w:r>
      <w:r w:rsidRPr="00CF6494">
        <w:rPr>
          <w:rFonts w:ascii="Arial" w:hAnsi="Arial" w:cs="Arial"/>
          <w:sz w:val="22"/>
          <w:szCs w:val="22"/>
        </w:rPr>
        <w:t>(</w:t>
      </w:r>
      <w:r>
        <w:rPr>
          <w:rFonts w:ascii="Arial" w:hAnsi="Arial" w:cs="Arial"/>
          <w:sz w:val="22"/>
          <w:szCs w:val="22"/>
        </w:rPr>
        <w:t>2</w:t>
      </w:r>
      <w:r w:rsidRPr="00CF6494">
        <w:rPr>
          <w:rFonts w:ascii="Arial" w:hAnsi="Arial" w:cs="Arial"/>
          <w:sz w:val="22"/>
          <w:szCs w:val="22"/>
        </w:rPr>
        <w:t xml:space="preserve">) </w:t>
      </w:r>
      <w:r w:rsidR="0059555A">
        <w:rPr>
          <w:rFonts w:ascii="Arial" w:hAnsi="Arial" w:cs="Arial"/>
          <w:sz w:val="22"/>
          <w:szCs w:val="22"/>
        </w:rPr>
        <w:t xml:space="preserve">suscripción de </w:t>
      </w:r>
      <w:r w:rsidR="008B2B5A">
        <w:rPr>
          <w:rFonts w:ascii="Arial" w:hAnsi="Arial" w:cs="Arial"/>
          <w:sz w:val="22"/>
          <w:szCs w:val="22"/>
        </w:rPr>
        <w:t xml:space="preserve">al menos </w:t>
      </w:r>
      <w:r w:rsidR="0059555A">
        <w:rPr>
          <w:rFonts w:ascii="Arial" w:hAnsi="Arial" w:cs="Arial"/>
          <w:sz w:val="22"/>
          <w:szCs w:val="22"/>
        </w:rPr>
        <w:t xml:space="preserve">11 </w:t>
      </w:r>
      <w:r w:rsidRPr="00CF6494">
        <w:rPr>
          <w:rFonts w:ascii="Arial" w:hAnsi="Arial" w:cs="Arial"/>
          <w:sz w:val="22"/>
          <w:szCs w:val="22"/>
        </w:rPr>
        <w:t xml:space="preserve">convenios de colaboración entre el </w:t>
      </w:r>
      <w:r w:rsidR="0055780C">
        <w:rPr>
          <w:rFonts w:ascii="Arial" w:hAnsi="Arial" w:cs="Arial"/>
          <w:sz w:val="22"/>
          <w:szCs w:val="22"/>
        </w:rPr>
        <w:t>MINEDUC</w:t>
      </w:r>
      <w:r w:rsidRPr="00CF6494">
        <w:rPr>
          <w:rFonts w:ascii="Arial" w:hAnsi="Arial" w:cs="Arial"/>
          <w:sz w:val="22"/>
          <w:szCs w:val="22"/>
        </w:rPr>
        <w:t xml:space="preserve"> e instituciones de educación superior para la implementación de un programa de capacitación para docentes en formación ciudadana</w:t>
      </w:r>
      <w:r w:rsidR="0055780C">
        <w:rPr>
          <w:rFonts w:ascii="Arial" w:hAnsi="Arial" w:cs="Arial"/>
          <w:sz w:val="22"/>
          <w:szCs w:val="22"/>
        </w:rPr>
        <w:t>.</w:t>
      </w:r>
    </w:p>
    <w:p w:rsidR="007F5AB2" w:rsidRPr="004E59A4" w:rsidRDefault="004E59A4" w:rsidP="00AE38FD">
      <w:pPr>
        <w:pStyle w:val="Paragraph"/>
        <w:numPr>
          <w:ilvl w:val="0"/>
          <w:numId w:val="29"/>
        </w:numPr>
        <w:spacing w:before="0" w:after="0" w:line="276" w:lineRule="auto"/>
        <w:ind w:left="1350"/>
        <w:rPr>
          <w:rFonts w:ascii="Arial" w:hAnsi="Arial" w:cs="Arial"/>
          <w:sz w:val="22"/>
          <w:szCs w:val="22"/>
        </w:rPr>
      </w:pPr>
      <w:r>
        <w:rPr>
          <w:rFonts w:ascii="Arial" w:hAnsi="Arial" w:cs="Arial"/>
          <w:sz w:val="22"/>
          <w:szCs w:val="22"/>
        </w:rPr>
        <w:t>I</w:t>
      </w:r>
      <w:r w:rsidR="007F5AB2" w:rsidRPr="004E59A4">
        <w:rPr>
          <w:rFonts w:ascii="Arial" w:hAnsi="Arial" w:cs="Arial"/>
          <w:sz w:val="22"/>
          <w:szCs w:val="22"/>
        </w:rPr>
        <w:t xml:space="preserve">ngreso al Congreso Nacional del Mensaje del Ejecutivo con el que se inicia la tramitación de un proyecto de ley </w:t>
      </w:r>
      <w:r w:rsidR="0059555A">
        <w:rPr>
          <w:rFonts w:ascii="Arial" w:hAnsi="Arial" w:cs="Arial"/>
          <w:sz w:val="22"/>
          <w:szCs w:val="22"/>
        </w:rPr>
        <w:t xml:space="preserve">que establece la Auditoría Interna de Gobierno. </w:t>
      </w:r>
    </w:p>
    <w:p w:rsidR="004E59A4" w:rsidRDefault="004E59A4" w:rsidP="00CF6494">
      <w:pPr>
        <w:spacing w:line="276" w:lineRule="auto"/>
        <w:rPr>
          <w:rFonts w:ascii="Arial" w:hAnsi="Arial" w:cs="Arial"/>
          <w:b/>
          <w:sz w:val="22"/>
          <w:szCs w:val="22"/>
          <w:lang w:val="es-ES"/>
        </w:rPr>
      </w:pPr>
    </w:p>
    <w:p w:rsidR="00DE61D2" w:rsidRPr="005A2076" w:rsidRDefault="004E59A4" w:rsidP="00AE38FD">
      <w:pPr>
        <w:pStyle w:val="ListParagraph"/>
        <w:numPr>
          <w:ilvl w:val="0"/>
          <w:numId w:val="33"/>
        </w:numPr>
        <w:tabs>
          <w:tab w:val="left" w:pos="4891"/>
        </w:tabs>
        <w:spacing w:line="276" w:lineRule="auto"/>
        <w:ind w:hanging="720"/>
        <w:jc w:val="both"/>
        <w:rPr>
          <w:rFonts w:ascii="Arial" w:hAnsi="Arial" w:cs="Arial"/>
          <w:b/>
          <w:sz w:val="22"/>
          <w:szCs w:val="22"/>
          <w:lang w:val="es-ES"/>
        </w:rPr>
      </w:pPr>
      <w:r w:rsidRPr="005A2076">
        <w:rPr>
          <w:rFonts w:ascii="Arial" w:hAnsi="Arial" w:cs="Arial"/>
          <w:b/>
          <w:sz w:val="22"/>
          <w:szCs w:val="22"/>
          <w:lang w:val="es-ES"/>
        </w:rPr>
        <w:t>ESTADÍSTICAS E INDICADORES DE IMPACTO</w:t>
      </w:r>
    </w:p>
    <w:p w:rsidR="004E59A4" w:rsidRPr="005A2076" w:rsidRDefault="004E59A4" w:rsidP="00CF6494">
      <w:pPr>
        <w:tabs>
          <w:tab w:val="left" w:pos="4891"/>
        </w:tabs>
        <w:spacing w:line="276" w:lineRule="auto"/>
        <w:jc w:val="both"/>
        <w:rPr>
          <w:rFonts w:ascii="Arial" w:hAnsi="Arial" w:cs="Arial"/>
          <w:sz w:val="22"/>
          <w:szCs w:val="22"/>
          <w:lang w:val="es-ES"/>
        </w:rPr>
      </w:pPr>
    </w:p>
    <w:p w:rsidR="00E71CD3" w:rsidRPr="00AE38FD" w:rsidRDefault="00DE61D2" w:rsidP="00AE38FD">
      <w:pPr>
        <w:pStyle w:val="Paragraph"/>
        <w:numPr>
          <w:ilvl w:val="1"/>
          <w:numId w:val="27"/>
        </w:numPr>
        <w:spacing w:before="0" w:after="0" w:line="276" w:lineRule="auto"/>
        <w:ind w:left="720" w:hanging="720"/>
        <w:rPr>
          <w:rFonts w:ascii="Arial" w:hAnsi="Arial" w:cs="Arial"/>
          <w:sz w:val="22"/>
          <w:szCs w:val="22"/>
          <w:lang w:val="es-ES"/>
        </w:rPr>
      </w:pPr>
      <w:r w:rsidRPr="00AE38FD">
        <w:rPr>
          <w:rFonts w:ascii="Arial" w:hAnsi="Arial" w:cs="Arial"/>
          <w:sz w:val="22"/>
          <w:szCs w:val="22"/>
          <w:lang w:val="es-ES"/>
        </w:rPr>
        <w:t>Históricamente, Chile ha ocupado un lugar de preponderancia en América Latina y el Caribe (ALC) en materia de capacidad institucional del Estado para el diseño e implementación de políticas públicas, posición que se refleja en distintos rankings que miden la eficiencia, efectividad y transparencia de la gestión pública. La mayoría de ellos presentan niveles de desempeño semejantes al promedio de los países de la Organización para la Cooperación y el Desarrollo (OCDE).</w:t>
      </w:r>
      <w:r w:rsidR="002F0D53" w:rsidRPr="00AE38FD">
        <w:rPr>
          <w:rFonts w:ascii="Arial" w:hAnsi="Arial" w:cs="Arial"/>
          <w:sz w:val="22"/>
          <w:szCs w:val="22"/>
          <w:lang w:val="es-ES"/>
        </w:rPr>
        <w:t xml:space="preserve"> </w:t>
      </w:r>
    </w:p>
    <w:p w:rsidR="00656E0B" w:rsidRPr="00A42D43" w:rsidRDefault="00656E0B" w:rsidP="00001476">
      <w:pPr>
        <w:tabs>
          <w:tab w:val="left" w:pos="4891"/>
        </w:tabs>
        <w:spacing w:line="276" w:lineRule="auto"/>
        <w:jc w:val="both"/>
        <w:rPr>
          <w:rFonts w:ascii="Arial" w:hAnsi="Arial" w:cs="Arial"/>
          <w:sz w:val="22"/>
          <w:szCs w:val="22"/>
          <w:lang w:val="es-ES"/>
        </w:rPr>
      </w:pPr>
    </w:p>
    <w:p w:rsidR="00D87499" w:rsidRPr="003241BA" w:rsidRDefault="0027722A" w:rsidP="00AE38FD">
      <w:pPr>
        <w:pStyle w:val="Paragraph"/>
        <w:numPr>
          <w:ilvl w:val="1"/>
          <w:numId w:val="27"/>
        </w:numPr>
        <w:spacing w:before="0" w:after="0" w:line="276" w:lineRule="auto"/>
        <w:ind w:left="720" w:hanging="720"/>
        <w:rPr>
          <w:rFonts w:ascii="Arial" w:hAnsi="Arial" w:cs="Arial"/>
          <w:sz w:val="22"/>
          <w:szCs w:val="22"/>
          <w:shd w:val="clear" w:color="auto" w:fill="FFFFFF"/>
        </w:rPr>
      </w:pPr>
      <w:r w:rsidRPr="00AE38FD">
        <w:rPr>
          <w:rFonts w:ascii="Arial" w:hAnsi="Arial" w:cs="Arial"/>
          <w:sz w:val="22"/>
          <w:szCs w:val="22"/>
          <w:shd w:val="clear" w:color="auto" w:fill="FFFFFF"/>
        </w:rPr>
        <w:t>Si bien e</w:t>
      </w:r>
      <w:r w:rsidR="00D87499" w:rsidRPr="00AE38FD">
        <w:rPr>
          <w:rFonts w:ascii="Arial" w:hAnsi="Arial" w:cs="Arial"/>
          <w:sz w:val="22"/>
          <w:szCs w:val="22"/>
          <w:shd w:val="clear" w:color="auto" w:fill="FFFFFF"/>
        </w:rPr>
        <w:t xml:space="preserve">l </w:t>
      </w:r>
      <w:r w:rsidR="00872E9F" w:rsidRPr="00AE38FD">
        <w:rPr>
          <w:rFonts w:ascii="Arial" w:hAnsi="Arial" w:cs="Arial"/>
          <w:sz w:val="22"/>
          <w:szCs w:val="22"/>
          <w:shd w:val="clear" w:color="auto" w:fill="FFFFFF"/>
        </w:rPr>
        <w:t>Índice</w:t>
      </w:r>
      <w:r w:rsidR="00AF2292" w:rsidRPr="00AE38FD">
        <w:rPr>
          <w:rFonts w:ascii="Arial" w:hAnsi="Arial" w:cs="Arial"/>
          <w:sz w:val="22"/>
          <w:szCs w:val="22"/>
          <w:shd w:val="clear" w:color="auto" w:fill="FFFFFF"/>
        </w:rPr>
        <w:t xml:space="preserve"> de </w:t>
      </w:r>
      <w:r w:rsidR="00CB05CC" w:rsidRPr="00AE38FD">
        <w:rPr>
          <w:rFonts w:ascii="Arial" w:hAnsi="Arial" w:cs="Arial"/>
          <w:sz w:val="22"/>
          <w:szCs w:val="22"/>
          <w:shd w:val="clear" w:color="auto" w:fill="FFFFFF"/>
        </w:rPr>
        <w:t>P</w:t>
      </w:r>
      <w:r w:rsidR="00AF2292" w:rsidRPr="00AE38FD">
        <w:rPr>
          <w:rFonts w:ascii="Arial" w:hAnsi="Arial" w:cs="Arial"/>
          <w:sz w:val="22"/>
          <w:szCs w:val="22"/>
          <w:shd w:val="clear" w:color="auto" w:fill="FFFFFF"/>
        </w:rPr>
        <w:t xml:space="preserve">ercepción de la </w:t>
      </w:r>
      <w:r w:rsidR="00CB05CC" w:rsidRPr="00AE38FD">
        <w:rPr>
          <w:rFonts w:ascii="Arial" w:hAnsi="Arial" w:cs="Arial"/>
          <w:sz w:val="22"/>
          <w:szCs w:val="22"/>
          <w:shd w:val="clear" w:color="auto" w:fill="FFFFFF"/>
        </w:rPr>
        <w:t>C</w:t>
      </w:r>
      <w:r w:rsidR="00AF2292" w:rsidRPr="00AE38FD">
        <w:rPr>
          <w:rFonts w:ascii="Arial" w:hAnsi="Arial" w:cs="Arial"/>
          <w:sz w:val="22"/>
          <w:szCs w:val="22"/>
          <w:shd w:val="clear" w:color="auto" w:fill="FFFFFF"/>
        </w:rPr>
        <w:t>orrupción</w:t>
      </w:r>
      <w:r w:rsidR="00CB05CC" w:rsidRPr="00AE38FD">
        <w:rPr>
          <w:rFonts w:ascii="Arial" w:hAnsi="Arial" w:cs="Arial"/>
          <w:sz w:val="22"/>
          <w:szCs w:val="22"/>
          <w:shd w:val="clear" w:color="auto" w:fill="FFFFFF"/>
        </w:rPr>
        <w:t xml:space="preserve"> (IPC)</w:t>
      </w:r>
      <w:r w:rsidR="00AF2292" w:rsidRPr="00A42D43">
        <w:rPr>
          <w:rStyle w:val="FootnoteReference"/>
          <w:rFonts w:ascii="Arial" w:hAnsi="Arial" w:cs="Arial"/>
          <w:sz w:val="22"/>
          <w:szCs w:val="22"/>
          <w:shd w:val="clear" w:color="auto" w:fill="FFFFFF"/>
        </w:rPr>
        <w:footnoteReference w:id="3"/>
      </w:r>
      <w:r w:rsidR="00D87499" w:rsidRPr="003241BA">
        <w:rPr>
          <w:rFonts w:ascii="Arial" w:hAnsi="Arial" w:cs="Arial"/>
          <w:sz w:val="22"/>
          <w:szCs w:val="22"/>
          <w:shd w:val="clear" w:color="auto" w:fill="FFFFFF"/>
        </w:rPr>
        <w:t xml:space="preserve"> </w:t>
      </w:r>
      <w:r w:rsidRPr="003241BA">
        <w:rPr>
          <w:rFonts w:ascii="Arial" w:hAnsi="Arial" w:cs="Arial"/>
          <w:sz w:val="22"/>
          <w:szCs w:val="22"/>
          <w:shd w:val="clear" w:color="auto" w:fill="FFFFFF"/>
        </w:rPr>
        <w:t>reporta 70 puntos para 2015, lo que representa un ligero aumento en la percepción de corrupción en el  sector público con respecto a 2014, con 73 puntos, Chile continúa manteniéndose  en el ranking de países y territorios menos corrupt</w:t>
      </w:r>
      <w:r w:rsidR="00937759" w:rsidRPr="003241BA">
        <w:rPr>
          <w:rFonts w:ascii="Arial" w:hAnsi="Arial" w:cs="Arial"/>
          <w:sz w:val="22"/>
          <w:szCs w:val="22"/>
          <w:shd w:val="clear" w:color="auto" w:fill="FFFFFF"/>
        </w:rPr>
        <w:t>o</w:t>
      </w:r>
      <w:r w:rsidRPr="003241BA">
        <w:rPr>
          <w:rFonts w:ascii="Arial" w:hAnsi="Arial" w:cs="Arial"/>
          <w:sz w:val="22"/>
          <w:szCs w:val="22"/>
          <w:shd w:val="clear" w:color="auto" w:fill="FFFFFF"/>
        </w:rPr>
        <w:t xml:space="preserve">s. El IPC </w:t>
      </w:r>
      <w:r w:rsidR="00D87499" w:rsidRPr="003241BA">
        <w:rPr>
          <w:rFonts w:ascii="Arial" w:hAnsi="Arial" w:cs="Arial"/>
          <w:sz w:val="22"/>
          <w:szCs w:val="22"/>
          <w:shd w:val="clear" w:color="auto" w:fill="FFFFFF"/>
        </w:rPr>
        <w:t>lo sitúa en el</w:t>
      </w:r>
      <w:r w:rsidR="00F43EB6" w:rsidRPr="003241BA">
        <w:rPr>
          <w:rFonts w:ascii="Arial" w:hAnsi="Arial" w:cs="Arial"/>
          <w:sz w:val="22"/>
          <w:szCs w:val="22"/>
          <w:shd w:val="clear" w:color="auto" w:fill="FFFFFF"/>
        </w:rPr>
        <w:t xml:space="preserve"> año 2015 en el puesto número 23</w:t>
      </w:r>
      <w:r w:rsidR="00D87499" w:rsidRPr="003241BA">
        <w:rPr>
          <w:rFonts w:ascii="Arial" w:hAnsi="Arial" w:cs="Arial"/>
          <w:sz w:val="22"/>
          <w:szCs w:val="22"/>
          <w:shd w:val="clear" w:color="auto" w:fill="FFFFFF"/>
        </w:rPr>
        <w:t xml:space="preserve"> de 1</w:t>
      </w:r>
      <w:r w:rsidR="00CB05CC" w:rsidRPr="003241BA">
        <w:rPr>
          <w:rFonts w:ascii="Arial" w:hAnsi="Arial" w:cs="Arial"/>
          <w:sz w:val="22"/>
          <w:szCs w:val="22"/>
          <w:shd w:val="clear" w:color="auto" w:fill="FFFFFF"/>
        </w:rPr>
        <w:t>68</w:t>
      </w:r>
      <w:r w:rsidR="00D87499" w:rsidRPr="003241BA">
        <w:rPr>
          <w:rFonts w:ascii="Arial" w:hAnsi="Arial" w:cs="Arial"/>
          <w:sz w:val="22"/>
          <w:szCs w:val="22"/>
          <w:shd w:val="clear" w:color="auto" w:fill="FFFFFF"/>
        </w:rPr>
        <w:t xml:space="preserve"> </w:t>
      </w:r>
      <w:r w:rsidR="00CB05CC" w:rsidRPr="003241BA">
        <w:rPr>
          <w:rFonts w:ascii="Arial" w:hAnsi="Arial" w:cs="Arial"/>
          <w:sz w:val="22"/>
          <w:szCs w:val="22"/>
          <w:shd w:val="clear" w:color="auto" w:fill="FFFFFF"/>
        </w:rPr>
        <w:t>países y territorios</w:t>
      </w:r>
      <w:r w:rsidR="00D87499" w:rsidRPr="003241BA">
        <w:rPr>
          <w:rFonts w:ascii="Arial" w:hAnsi="Arial" w:cs="Arial"/>
          <w:sz w:val="22"/>
          <w:szCs w:val="22"/>
          <w:shd w:val="clear" w:color="auto" w:fill="FFFFFF"/>
        </w:rPr>
        <w:t xml:space="preserve">, lugar que dentro de la región </w:t>
      </w:r>
      <w:r w:rsidRPr="003241BA">
        <w:rPr>
          <w:rFonts w:ascii="Arial" w:hAnsi="Arial" w:cs="Arial"/>
          <w:sz w:val="22"/>
          <w:szCs w:val="22"/>
          <w:shd w:val="clear" w:color="auto" w:fill="FFFFFF"/>
        </w:rPr>
        <w:t xml:space="preserve">de ALC </w:t>
      </w:r>
      <w:r w:rsidR="00D87499" w:rsidRPr="003241BA">
        <w:rPr>
          <w:rFonts w:ascii="Arial" w:hAnsi="Arial" w:cs="Arial"/>
          <w:sz w:val="22"/>
          <w:szCs w:val="22"/>
          <w:shd w:val="clear" w:color="auto" w:fill="FFFFFF"/>
        </w:rPr>
        <w:t>sólo comparte con Uruguay</w:t>
      </w:r>
      <w:r w:rsidR="00F43EB6" w:rsidRPr="003241BA">
        <w:rPr>
          <w:rFonts w:ascii="Arial" w:hAnsi="Arial" w:cs="Arial"/>
          <w:sz w:val="22"/>
          <w:szCs w:val="22"/>
          <w:shd w:val="clear" w:color="auto" w:fill="FFFFFF"/>
        </w:rPr>
        <w:t xml:space="preserve"> (número 21)</w:t>
      </w:r>
      <w:r w:rsidRPr="003241BA">
        <w:rPr>
          <w:rFonts w:ascii="Arial" w:hAnsi="Arial" w:cs="Arial"/>
          <w:sz w:val="22"/>
          <w:szCs w:val="22"/>
          <w:shd w:val="clear" w:color="auto" w:fill="FFFFFF"/>
        </w:rPr>
        <w:t>; y que lo posiciona muy por arriba del promedio de ALC</w:t>
      </w:r>
      <w:r w:rsidR="00F43EB6" w:rsidRPr="003241BA">
        <w:rPr>
          <w:rFonts w:ascii="Arial" w:hAnsi="Arial" w:cs="Arial"/>
          <w:sz w:val="22"/>
          <w:szCs w:val="22"/>
          <w:shd w:val="clear" w:color="auto" w:fill="FFFFFF"/>
        </w:rPr>
        <w:t xml:space="preserve">.  </w:t>
      </w:r>
    </w:p>
    <w:p w:rsidR="00656E0B" w:rsidRPr="00A42D43" w:rsidRDefault="00656E0B" w:rsidP="00001476">
      <w:pPr>
        <w:tabs>
          <w:tab w:val="left" w:pos="4891"/>
        </w:tabs>
        <w:spacing w:line="276" w:lineRule="auto"/>
        <w:jc w:val="both"/>
        <w:rPr>
          <w:rFonts w:ascii="Arial" w:hAnsi="Arial" w:cs="Arial"/>
          <w:sz w:val="22"/>
          <w:szCs w:val="22"/>
          <w:shd w:val="clear" w:color="auto" w:fill="FFFFFF"/>
        </w:rPr>
      </w:pPr>
    </w:p>
    <w:p w:rsidR="00B836ED" w:rsidRPr="00A42D43" w:rsidRDefault="00B836ED" w:rsidP="00AE38FD">
      <w:pPr>
        <w:pStyle w:val="Paragraph"/>
        <w:numPr>
          <w:ilvl w:val="1"/>
          <w:numId w:val="27"/>
        </w:numPr>
        <w:spacing w:before="0" w:after="0" w:line="276" w:lineRule="auto"/>
        <w:ind w:left="720" w:hanging="720"/>
        <w:rPr>
          <w:rFonts w:ascii="Arial" w:hAnsi="Arial" w:cs="Arial"/>
          <w:sz w:val="22"/>
          <w:szCs w:val="22"/>
          <w:lang w:val="es-ES"/>
        </w:rPr>
      </w:pPr>
      <w:r w:rsidRPr="00A42D43">
        <w:rPr>
          <w:rFonts w:ascii="Arial" w:hAnsi="Arial" w:cs="Arial"/>
          <w:sz w:val="22"/>
          <w:szCs w:val="22"/>
          <w:lang w:val="es-ES"/>
        </w:rPr>
        <w:t xml:space="preserve">Los indicadores del Banco Mundial respecto </w:t>
      </w:r>
      <w:r w:rsidR="00A10AD8" w:rsidRPr="00A42D43">
        <w:rPr>
          <w:rFonts w:ascii="Arial" w:hAnsi="Arial" w:cs="Arial"/>
          <w:sz w:val="22"/>
          <w:szCs w:val="22"/>
          <w:lang w:val="es-ES"/>
        </w:rPr>
        <w:t xml:space="preserve">a gobernanza, anticorrupción y libertad y compromiso ciudadano </w:t>
      </w:r>
      <w:r w:rsidRPr="00A42D43">
        <w:rPr>
          <w:rFonts w:ascii="Arial" w:hAnsi="Arial" w:cs="Arial"/>
          <w:sz w:val="22"/>
          <w:szCs w:val="22"/>
          <w:lang w:val="es-ES"/>
        </w:rPr>
        <w:t xml:space="preserve">colocan al país </w:t>
      </w:r>
      <w:r w:rsidR="00A10AD8" w:rsidRPr="00A42D43">
        <w:rPr>
          <w:rFonts w:ascii="Arial" w:hAnsi="Arial" w:cs="Arial"/>
          <w:sz w:val="22"/>
          <w:szCs w:val="22"/>
          <w:lang w:val="es-ES"/>
        </w:rPr>
        <w:t xml:space="preserve">muy </w:t>
      </w:r>
      <w:r w:rsidRPr="00A42D43">
        <w:rPr>
          <w:rFonts w:ascii="Arial" w:hAnsi="Arial" w:cs="Arial"/>
          <w:sz w:val="22"/>
          <w:szCs w:val="22"/>
          <w:lang w:val="es-ES"/>
        </w:rPr>
        <w:t xml:space="preserve">por encima del promedio de ALC. </w:t>
      </w:r>
    </w:p>
    <w:p w:rsidR="00656E0B" w:rsidRPr="00A42D43" w:rsidRDefault="00656E0B" w:rsidP="00001476">
      <w:pPr>
        <w:pStyle w:val="Paragraph"/>
        <w:numPr>
          <w:ilvl w:val="0"/>
          <w:numId w:val="0"/>
        </w:numPr>
        <w:spacing w:before="0" w:after="0" w:line="276" w:lineRule="auto"/>
        <w:rPr>
          <w:rFonts w:ascii="Arial" w:hAnsi="Arial" w:cs="Arial"/>
          <w:sz w:val="22"/>
          <w:szCs w:val="22"/>
          <w:lang w:val="es-ES"/>
        </w:rPr>
      </w:pPr>
    </w:p>
    <w:p w:rsidR="001E1AC2" w:rsidRPr="00A42D43" w:rsidRDefault="00B836ED" w:rsidP="00AE38FD">
      <w:pPr>
        <w:pStyle w:val="Paragraph"/>
        <w:numPr>
          <w:ilvl w:val="1"/>
          <w:numId w:val="27"/>
        </w:numPr>
        <w:spacing w:before="0" w:after="0" w:line="276" w:lineRule="auto"/>
        <w:ind w:left="720" w:hanging="720"/>
        <w:rPr>
          <w:rFonts w:ascii="Arial" w:hAnsi="Arial" w:cs="Arial"/>
          <w:sz w:val="22"/>
          <w:szCs w:val="22"/>
          <w:lang w:val="es-ES"/>
        </w:rPr>
      </w:pPr>
      <w:r w:rsidRPr="00A42D43">
        <w:rPr>
          <w:rFonts w:ascii="Arial" w:hAnsi="Arial" w:cs="Arial"/>
          <w:sz w:val="22"/>
          <w:szCs w:val="22"/>
          <w:lang w:val="es-ES"/>
        </w:rPr>
        <w:t>E</w:t>
      </w:r>
      <w:r w:rsidR="001E1AC2" w:rsidRPr="00A42D43">
        <w:rPr>
          <w:rFonts w:ascii="Arial" w:hAnsi="Arial" w:cs="Arial"/>
          <w:sz w:val="22"/>
          <w:szCs w:val="22"/>
        </w:rPr>
        <w:t>l Índice de Control de la Corrupción</w:t>
      </w:r>
      <w:r w:rsidR="00937759" w:rsidRPr="00A42D43">
        <w:rPr>
          <w:rStyle w:val="FootnoteReference"/>
          <w:rFonts w:ascii="Arial" w:hAnsi="Arial" w:cs="Arial"/>
          <w:sz w:val="22"/>
          <w:szCs w:val="22"/>
        </w:rPr>
        <w:footnoteReference w:id="4"/>
      </w:r>
      <w:r w:rsidR="00937759" w:rsidRPr="00A42D43">
        <w:rPr>
          <w:rFonts w:ascii="Arial" w:hAnsi="Arial" w:cs="Arial"/>
          <w:sz w:val="22"/>
          <w:szCs w:val="22"/>
        </w:rPr>
        <w:t xml:space="preserve"> </w:t>
      </w:r>
      <w:r w:rsidR="001E1AC2" w:rsidRPr="00A42D43">
        <w:rPr>
          <w:rFonts w:ascii="Arial" w:hAnsi="Arial" w:cs="Arial"/>
          <w:sz w:val="22"/>
          <w:szCs w:val="22"/>
        </w:rPr>
        <w:t xml:space="preserve">refleja las percepciones de la medida en que el poder público se ejerce en beneficio privado, sea un nivel de corrupción insignificante o de gran escala, así como también refleja la "captura" del Estado por minorías selectas e intereses privados. </w:t>
      </w:r>
      <w:r w:rsidR="004B0B7F" w:rsidRPr="00A42D43">
        <w:rPr>
          <w:rFonts w:ascii="Arial" w:hAnsi="Arial" w:cs="Arial"/>
          <w:sz w:val="22"/>
          <w:szCs w:val="22"/>
        </w:rPr>
        <w:t>Como se puede observar en el Gráfico 1, en el periodo de 1996 a 201</w:t>
      </w:r>
      <w:r w:rsidR="00937759" w:rsidRPr="00A42D43">
        <w:rPr>
          <w:rFonts w:ascii="Arial" w:hAnsi="Arial" w:cs="Arial"/>
          <w:sz w:val="22"/>
          <w:szCs w:val="22"/>
        </w:rPr>
        <w:t>4</w:t>
      </w:r>
      <w:r w:rsidR="004B0B7F" w:rsidRPr="00A42D43">
        <w:rPr>
          <w:rFonts w:ascii="Arial" w:hAnsi="Arial" w:cs="Arial"/>
          <w:sz w:val="22"/>
          <w:szCs w:val="22"/>
        </w:rPr>
        <w:t>, Chile se encuentra muy por arriba del promed</w:t>
      </w:r>
      <w:r w:rsidR="004C2669" w:rsidRPr="00A42D43">
        <w:rPr>
          <w:rFonts w:ascii="Arial" w:hAnsi="Arial" w:cs="Arial"/>
          <w:sz w:val="22"/>
          <w:szCs w:val="22"/>
        </w:rPr>
        <w:t>io de ALC</w:t>
      </w:r>
      <w:r w:rsidR="004B0B7F" w:rsidRPr="00A42D43">
        <w:rPr>
          <w:rFonts w:ascii="Arial" w:hAnsi="Arial" w:cs="Arial"/>
          <w:sz w:val="22"/>
          <w:szCs w:val="22"/>
        </w:rPr>
        <w:t xml:space="preserve"> y</w:t>
      </w:r>
      <w:r w:rsidR="004C2669" w:rsidRPr="00A42D43">
        <w:rPr>
          <w:rFonts w:ascii="Arial" w:hAnsi="Arial" w:cs="Arial"/>
          <w:sz w:val="22"/>
          <w:szCs w:val="22"/>
        </w:rPr>
        <w:t>,</w:t>
      </w:r>
      <w:r w:rsidR="004B0B7F" w:rsidRPr="00A42D43">
        <w:rPr>
          <w:rFonts w:ascii="Arial" w:hAnsi="Arial" w:cs="Arial"/>
          <w:sz w:val="22"/>
          <w:szCs w:val="22"/>
        </w:rPr>
        <w:t xml:space="preserve"> con excepción de los años 1998 y 2003</w:t>
      </w:r>
      <w:r w:rsidR="004C2669" w:rsidRPr="00A42D43">
        <w:rPr>
          <w:rFonts w:ascii="Arial" w:hAnsi="Arial" w:cs="Arial"/>
          <w:sz w:val="22"/>
          <w:szCs w:val="22"/>
        </w:rPr>
        <w:t>,</w:t>
      </w:r>
      <w:r w:rsidR="004B0B7F" w:rsidRPr="00A42D43">
        <w:rPr>
          <w:rFonts w:ascii="Arial" w:hAnsi="Arial" w:cs="Arial"/>
          <w:sz w:val="22"/>
          <w:szCs w:val="22"/>
        </w:rPr>
        <w:t xml:space="preserve"> supera al promedio de los países miembros de la OCDE. </w:t>
      </w:r>
      <w:r w:rsidR="00F41A59" w:rsidRPr="00A42D43">
        <w:rPr>
          <w:rFonts w:ascii="Arial" w:hAnsi="Arial" w:cs="Arial"/>
          <w:sz w:val="22"/>
          <w:szCs w:val="22"/>
          <w:lang w:val="es-AR"/>
        </w:rPr>
        <w:t>Según las mediciones del Banco Mundial en 201</w:t>
      </w:r>
      <w:r w:rsidR="00940E90" w:rsidRPr="00A42D43">
        <w:rPr>
          <w:rFonts w:ascii="Arial" w:hAnsi="Arial" w:cs="Arial"/>
          <w:sz w:val="22"/>
          <w:szCs w:val="22"/>
          <w:lang w:val="es-AR"/>
        </w:rPr>
        <w:t>4</w:t>
      </w:r>
      <w:r w:rsidR="00F41A59" w:rsidRPr="00A42D43">
        <w:rPr>
          <w:rFonts w:ascii="Arial" w:hAnsi="Arial" w:cs="Arial"/>
          <w:sz w:val="22"/>
          <w:szCs w:val="22"/>
          <w:lang w:val="es-AR"/>
        </w:rPr>
        <w:t xml:space="preserve">, </w:t>
      </w:r>
      <w:r w:rsidR="00F41A59" w:rsidRPr="00A42D43">
        <w:rPr>
          <w:rFonts w:ascii="Arial" w:hAnsi="Arial" w:cs="Arial"/>
          <w:sz w:val="22"/>
          <w:szCs w:val="22"/>
          <w:lang w:val="es-ES"/>
        </w:rPr>
        <w:t>en temas de manejo de corrupción Chile obtuvo un punta</w:t>
      </w:r>
      <w:r w:rsidR="00936621" w:rsidRPr="00A42D43">
        <w:rPr>
          <w:rFonts w:ascii="Arial" w:hAnsi="Arial" w:cs="Arial"/>
          <w:sz w:val="22"/>
          <w:szCs w:val="22"/>
          <w:lang w:val="es-ES"/>
        </w:rPr>
        <w:t>je de 1,</w:t>
      </w:r>
      <w:r w:rsidR="00940E90" w:rsidRPr="00A42D43">
        <w:rPr>
          <w:rFonts w:ascii="Arial" w:hAnsi="Arial" w:cs="Arial"/>
          <w:sz w:val="22"/>
          <w:szCs w:val="22"/>
          <w:lang w:val="es-ES"/>
        </w:rPr>
        <w:t>48</w:t>
      </w:r>
      <w:r w:rsidR="00936621" w:rsidRPr="00A42D43">
        <w:rPr>
          <w:rFonts w:ascii="Arial" w:hAnsi="Arial" w:cs="Arial"/>
          <w:sz w:val="22"/>
          <w:szCs w:val="22"/>
          <w:lang w:val="es-ES"/>
        </w:rPr>
        <w:t xml:space="preserve">, en comparación a </w:t>
      </w:r>
      <w:r w:rsidR="00940E90" w:rsidRPr="00A42D43">
        <w:rPr>
          <w:rFonts w:ascii="Arial" w:hAnsi="Arial" w:cs="Arial"/>
          <w:sz w:val="22"/>
          <w:szCs w:val="22"/>
          <w:lang w:val="es-ES"/>
        </w:rPr>
        <w:t>-</w:t>
      </w:r>
      <w:r w:rsidR="00936621" w:rsidRPr="00A42D43">
        <w:rPr>
          <w:rFonts w:ascii="Arial" w:hAnsi="Arial" w:cs="Arial"/>
          <w:sz w:val="22"/>
          <w:szCs w:val="22"/>
          <w:lang w:val="es-ES"/>
        </w:rPr>
        <w:t>0,</w:t>
      </w:r>
      <w:r w:rsidR="00940E90" w:rsidRPr="00A42D43">
        <w:rPr>
          <w:rFonts w:ascii="Arial" w:hAnsi="Arial" w:cs="Arial"/>
          <w:sz w:val="22"/>
          <w:szCs w:val="22"/>
          <w:lang w:val="es-ES"/>
        </w:rPr>
        <w:t>32</w:t>
      </w:r>
      <w:r w:rsidR="00F41A59" w:rsidRPr="00A42D43">
        <w:rPr>
          <w:rFonts w:ascii="Arial" w:hAnsi="Arial" w:cs="Arial"/>
          <w:sz w:val="22"/>
          <w:szCs w:val="22"/>
          <w:lang w:val="es-ES"/>
        </w:rPr>
        <w:t xml:space="preserve"> que es el promedio de la región</w:t>
      </w:r>
      <w:r w:rsidR="00940E90" w:rsidRPr="00A42D43">
        <w:rPr>
          <w:rFonts w:ascii="Arial" w:hAnsi="Arial" w:cs="Arial"/>
          <w:sz w:val="22"/>
          <w:szCs w:val="22"/>
          <w:lang w:val="es-ES"/>
        </w:rPr>
        <w:t xml:space="preserve"> de ALC y 1.</w:t>
      </w:r>
      <w:r w:rsidR="00276D69" w:rsidRPr="00A42D43">
        <w:rPr>
          <w:rFonts w:ascii="Arial" w:hAnsi="Arial" w:cs="Arial"/>
          <w:sz w:val="22"/>
          <w:szCs w:val="22"/>
          <w:lang w:val="es-ES"/>
        </w:rPr>
        <w:t>1</w:t>
      </w:r>
      <w:r w:rsidR="00940E90" w:rsidRPr="00A42D43">
        <w:rPr>
          <w:rFonts w:ascii="Arial" w:hAnsi="Arial" w:cs="Arial"/>
          <w:sz w:val="22"/>
          <w:szCs w:val="22"/>
          <w:lang w:val="es-ES"/>
        </w:rPr>
        <w:t>7 que es promedio de los países OE</w:t>
      </w:r>
      <w:r w:rsidR="00C86144" w:rsidRPr="00A42D43">
        <w:rPr>
          <w:rFonts w:ascii="Arial" w:hAnsi="Arial" w:cs="Arial"/>
          <w:sz w:val="22"/>
          <w:szCs w:val="22"/>
          <w:lang w:val="es-ES"/>
        </w:rPr>
        <w:t>C</w:t>
      </w:r>
      <w:r w:rsidR="00940E90" w:rsidRPr="00A42D43">
        <w:rPr>
          <w:rFonts w:ascii="Arial" w:hAnsi="Arial" w:cs="Arial"/>
          <w:sz w:val="22"/>
          <w:szCs w:val="22"/>
          <w:lang w:val="es-ES"/>
        </w:rPr>
        <w:t>D</w:t>
      </w:r>
      <w:r w:rsidR="00F41A59" w:rsidRPr="00A42D43">
        <w:rPr>
          <w:rFonts w:ascii="Arial" w:hAnsi="Arial" w:cs="Arial"/>
          <w:sz w:val="22"/>
          <w:szCs w:val="22"/>
          <w:lang w:val="es-ES"/>
        </w:rPr>
        <w:t>.</w:t>
      </w:r>
    </w:p>
    <w:p w:rsidR="00872E9F" w:rsidRPr="00A42D43" w:rsidRDefault="00872E9F" w:rsidP="00001476">
      <w:pPr>
        <w:spacing w:line="276" w:lineRule="auto"/>
        <w:rPr>
          <w:rFonts w:ascii="Arial" w:hAnsi="Arial" w:cs="Arial"/>
          <w:color w:val="222222"/>
          <w:sz w:val="22"/>
          <w:szCs w:val="22"/>
          <w:shd w:val="clear" w:color="auto" w:fill="FFFFFF"/>
          <w:lang w:val="es-ES_tradnl"/>
        </w:rPr>
      </w:pPr>
    </w:p>
    <w:p w:rsidR="004B0B7F" w:rsidRPr="00A42D43" w:rsidRDefault="00095478" w:rsidP="003241BA">
      <w:pPr>
        <w:pStyle w:val="Paragraph"/>
        <w:numPr>
          <w:ilvl w:val="0"/>
          <w:numId w:val="0"/>
        </w:numPr>
        <w:spacing w:before="0" w:after="0" w:line="276" w:lineRule="auto"/>
        <w:ind w:left="720"/>
        <w:jc w:val="center"/>
        <w:rPr>
          <w:rFonts w:ascii="Arial" w:hAnsi="Arial" w:cs="Arial"/>
          <w:b/>
          <w:sz w:val="22"/>
          <w:szCs w:val="22"/>
        </w:rPr>
      </w:pPr>
      <w:r w:rsidRPr="00A42D43">
        <w:rPr>
          <w:rFonts w:ascii="Arial" w:hAnsi="Arial" w:cs="Arial"/>
          <w:b/>
          <w:sz w:val="22"/>
          <w:szCs w:val="22"/>
        </w:rPr>
        <w:t>G</w:t>
      </w:r>
      <w:r w:rsidR="004B0B7F" w:rsidRPr="00A42D43">
        <w:rPr>
          <w:rFonts w:ascii="Arial" w:hAnsi="Arial" w:cs="Arial"/>
          <w:b/>
          <w:sz w:val="22"/>
          <w:szCs w:val="22"/>
        </w:rPr>
        <w:t>ráfico 1.</w:t>
      </w:r>
    </w:p>
    <w:p w:rsidR="006200C8" w:rsidRPr="003241BA" w:rsidRDefault="0023503D" w:rsidP="003241BA">
      <w:pPr>
        <w:pStyle w:val="ListParagraph"/>
        <w:tabs>
          <w:tab w:val="left" w:pos="4891"/>
        </w:tabs>
        <w:spacing w:line="276" w:lineRule="auto"/>
        <w:jc w:val="both"/>
        <w:rPr>
          <w:rFonts w:ascii="Arial" w:hAnsi="Arial" w:cs="Arial"/>
          <w:sz w:val="22"/>
          <w:szCs w:val="22"/>
          <w:lang w:val="es-ES_tradnl"/>
        </w:rPr>
      </w:pPr>
      <w:r>
        <w:rPr>
          <w:noProof/>
          <w:lang w:val="en-US"/>
        </w:rPr>
        <w:drawing>
          <wp:inline distT="0" distB="0" distL="0" distR="0" wp14:anchorId="545B1DDB" wp14:editId="46954123">
            <wp:extent cx="5033010" cy="35845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B7F" w:rsidRPr="003241BA" w:rsidRDefault="004B0B7F" w:rsidP="003241BA">
      <w:pPr>
        <w:pStyle w:val="ListParagraph"/>
        <w:tabs>
          <w:tab w:val="left" w:pos="4891"/>
        </w:tabs>
        <w:spacing w:line="276" w:lineRule="auto"/>
        <w:jc w:val="both"/>
        <w:rPr>
          <w:rFonts w:ascii="Arial" w:hAnsi="Arial" w:cs="Arial"/>
          <w:sz w:val="18"/>
          <w:szCs w:val="22"/>
          <w:lang w:val="es-ES_tradnl"/>
        </w:rPr>
      </w:pPr>
      <w:r w:rsidRPr="003241BA">
        <w:rPr>
          <w:rFonts w:ascii="Arial" w:hAnsi="Arial" w:cs="Arial"/>
          <w:sz w:val="18"/>
          <w:szCs w:val="22"/>
          <w:lang w:val="es-ES_tradnl"/>
        </w:rPr>
        <w:t>Fuente: Elaboración p</w:t>
      </w:r>
      <w:r w:rsidR="00340AAE" w:rsidRPr="003241BA">
        <w:rPr>
          <w:rFonts w:ascii="Arial" w:hAnsi="Arial" w:cs="Arial"/>
          <w:sz w:val="18"/>
          <w:szCs w:val="22"/>
          <w:lang w:val="es-ES_tradnl"/>
        </w:rPr>
        <w:t>ropia en base a</w:t>
      </w:r>
      <w:r w:rsidR="00D11FED" w:rsidRPr="003241BA">
        <w:rPr>
          <w:rFonts w:ascii="Arial" w:hAnsi="Arial" w:cs="Arial"/>
          <w:sz w:val="18"/>
          <w:szCs w:val="22"/>
          <w:lang w:val="es-ES_tradnl"/>
        </w:rPr>
        <w:t xml:space="preserve">l </w:t>
      </w:r>
      <w:r w:rsidR="00D11FED" w:rsidRPr="00EB740B">
        <w:rPr>
          <w:rStyle w:val="FootnoteReference"/>
          <w:rFonts w:ascii="Arial" w:hAnsi="Arial" w:cs="Arial"/>
          <w:sz w:val="18"/>
          <w:szCs w:val="22"/>
          <w:vertAlign w:val="baseline"/>
        </w:rPr>
        <w:t>Índice</w:t>
      </w:r>
      <w:r w:rsidR="00D11FED" w:rsidRPr="003241BA">
        <w:rPr>
          <w:rFonts w:ascii="Arial" w:hAnsi="Arial" w:cs="Arial"/>
          <w:sz w:val="18"/>
          <w:szCs w:val="22"/>
        </w:rPr>
        <w:t xml:space="preserve"> Mundial </w:t>
      </w:r>
      <w:r w:rsidR="00D11FED" w:rsidRPr="00EB740B">
        <w:rPr>
          <w:rStyle w:val="FootnoteReference"/>
          <w:rFonts w:ascii="Arial" w:hAnsi="Arial" w:cs="Arial"/>
          <w:sz w:val="18"/>
          <w:szCs w:val="22"/>
          <w:vertAlign w:val="baseline"/>
        </w:rPr>
        <w:t>de Gobernabilidad del Banco Mundial</w:t>
      </w:r>
      <w:r w:rsidRPr="003241BA">
        <w:rPr>
          <w:rFonts w:ascii="Arial" w:hAnsi="Arial" w:cs="Arial"/>
          <w:sz w:val="18"/>
          <w:szCs w:val="22"/>
          <w:lang w:val="es-ES_tradnl"/>
        </w:rPr>
        <w:t>.</w:t>
      </w:r>
    </w:p>
    <w:p w:rsidR="007F3EDF" w:rsidRPr="00A42D43" w:rsidRDefault="007F3EDF" w:rsidP="00001476">
      <w:pPr>
        <w:pStyle w:val="Paragraph"/>
        <w:numPr>
          <w:ilvl w:val="0"/>
          <w:numId w:val="0"/>
        </w:numPr>
        <w:spacing w:before="0" w:after="0" w:line="276" w:lineRule="auto"/>
        <w:rPr>
          <w:rFonts w:ascii="Arial" w:hAnsi="Arial" w:cs="Arial"/>
          <w:sz w:val="22"/>
          <w:szCs w:val="22"/>
        </w:rPr>
      </w:pPr>
    </w:p>
    <w:p w:rsidR="00276D69" w:rsidRPr="00A42D43" w:rsidRDefault="00276D69" w:rsidP="003241BA">
      <w:pPr>
        <w:pStyle w:val="Paragraph"/>
        <w:numPr>
          <w:ilvl w:val="1"/>
          <w:numId w:val="27"/>
        </w:numPr>
        <w:spacing w:before="0" w:after="0" w:line="276" w:lineRule="auto"/>
        <w:ind w:left="720" w:hanging="720"/>
        <w:rPr>
          <w:rFonts w:ascii="Arial" w:hAnsi="Arial" w:cs="Arial"/>
          <w:color w:val="222222"/>
          <w:sz w:val="22"/>
          <w:szCs w:val="22"/>
          <w:shd w:val="clear" w:color="auto" w:fill="FFFFFF"/>
        </w:rPr>
      </w:pPr>
      <w:r w:rsidRPr="00A42D43">
        <w:rPr>
          <w:rFonts w:ascii="Arial" w:hAnsi="Arial" w:cs="Arial"/>
          <w:sz w:val="22"/>
          <w:szCs w:val="22"/>
        </w:rPr>
        <w:lastRenderedPageBreak/>
        <w:t>Otro indicador a considerar es el Índice de E</w:t>
      </w:r>
      <w:r w:rsidRPr="00A42D43">
        <w:rPr>
          <w:rFonts w:ascii="Arial" w:hAnsi="Arial" w:cs="Arial"/>
          <w:color w:val="222222"/>
          <w:sz w:val="22"/>
          <w:szCs w:val="22"/>
          <w:shd w:val="clear" w:color="auto" w:fill="FFFFFF"/>
        </w:rPr>
        <w:t>fectividad Gubernamental</w:t>
      </w:r>
      <w:r w:rsidRPr="00A42D43">
        <w:rPr>
          <w:rStyle w:val="FootnoteReference"/>
          <w:rFonts w:ascii="Arial" w:hAnsi="Arial" w:cs="Arial"/>
          <w:color w:val="222222"/>
          <w:sz w:val="22"/>
          <w:szCs w:val="22"/>
          <w:shd w:val="clear" w:color="auto" w:fill="FFFFFF"/>
        </w:rPr>
        <w:footnoteReference w:id="5"/>
      </w:r>
      <w:r w:rsidRPr="00A42D43">
        <w:rPr>
          <w:rFonts w:ascii="Arial" w:hAnsi="Arial" w:cs="Arial"/>
          <w:color w:val="222222"/>
          <w:sz w:val="22"/>
          <w:szCs w:val="22"/>
          <w:shd w:val="clear" w:color="auto" w:fill="FFFFFF"/>
        </w:rPr>
        <w:t xml:space="preserve"> que captura la percepción de la calidad de los servicios públicos, la calidad de la administración pública y el grado de su independencia de las presiones políticas, la calidad de la formulación y aplicación de políticas, y la credibilidad del compromiso del gobierno con esas políticas. El Gráfico 2 muestra que Chile está posicionado en un lugar semejante al del promedio de los países miembros de la OCDE principalmente en el periodo comprendido entre 200</w:t>
      </w:r>
      <w:r w:rsidR="001844E9" w:rsidRPr="00A42D43">
        <w:rPr>
          <w:rFonts w:ascii="Arial" w:hAnsi="Arial" w:cs="Arial"/>
          <w:color w:val="222222"/>
          <w:sz w:val="22"/>
          <w:szCs w:val="22"/>
          <w:shd w:val="clear" w:color="auto" w:fill="FFFFFF"/>
        </w:rPr>
        <w:t>7</w:t>
      </w:r>
      <w:r w:rsidRPr="00A42D43">
        <w:rPr>
          <w:rFonts w:ascii="Arial" w:hAnsi="Arial" w:cs="Arial"/>
          <w:color w:val="222222"/>
          <w:sz w:val="22"/>
          <w:szCs w:val="22"/>
          <w:shd w:val="clear" w:color="auto" w:fill="FFFFFF"/>
        </w:rPr>
        <w:t xml:space="preserve"> y 2013. El índice muestra un valor de 1,14 para Chile para el año 2014, semejante al del promedio para OCDE (1,</w:t>
      </w:r>
      <w:r w:rsidR="001844E9" w:rsidRPr="00A42D43">
        <w:rPr>
          <w:rFonts w:ascii="Arial" w:hAnsi="Arial" w:cs="Arial"/>
          <w:color w:val="222222"/>
          <w:sz w:val="22"/>
          <w:szCs w:val="22"/>
          <w:shd w:val="clear" w:color="auto" w:fill="FFFFFF"/>
        </w:rPr>
        <w:t>23</w:t>
      </w:r>
      <w:r w:rsidRPr="00A42D43">
        <w:rPr>
          <w:rFonts w:ascii="Arial" w:hAnsi="Arial" w:cs="Arial"/>
          <w:color w:val="222222"/>
          <w:sz w:val="22"/>
          <w:szCs w:val="22"/>
          <w:shd w:val="clear" w:color="auto" w:fill="FFFFFF"/>
        </w:rPr>
        <w:t xml:space="preserve">) y muy por arriba del promedio que evidencia ALC (-0,19). </w:t>
      </w:r>
    </w:p>
    <w:p w:rsidR="00872E9F" w:rsidRPr="003241BA" w:rsidRDefault="00872E9F" w:rsidP="003241BA">
      <w:pPr>
        <w:pStyle w:val="ListParagraph"/>
        <w:numPr>
          <w:ilvl w:val="0"/>
          <w:numId w:val="27"/>
        </w:numPr>
        <w:spacing w:line="276" w:lineRule="auto"/>
        <w:rPr>
          <w:rFonts w:ascii="Arial" w:hAnsi="Arial" w:cs="Arial"/>
          <w:b/>
          <w:sz w:val="22"/>
          <w:szCs w:val="22"/>
          <w:lang w:val="es-ES_tradnl"/>
        </w:rPr>
      </w:pPr>
      <w:r w:rsidRPr="003241BA">
        <w:rPr>
          <w:rFonts w:ascii="Arial" w:hAnsi="Arial" w:cs="Arial"/>
          <w:b/>
          <w:sz w:val="22"/>
          <w:szCs w:val="22"/>
        </w:rPr>
        <w:br w:type="page"/>
      </w:r>
    </w:p>
    <w:p w:rsidR="004B0B7F" w:rsidRPr="00A42D43" w:rsidRDefault="004B0B7F" w:rsidP="003241BA">
      <w:pPr>
        <w:pStyle w:val="Paragraph"/>
        <w:numPr>
          <w:ilvl w:val="0"/>
          <w:numId w:val="0"/>
        </w:numPr>
        <w:spacing w:before="0" w:after="0" w:line="276" w:lineRule="auto"/>
        <w:ind w:left="720"/>
        <w:jc w:val="center"/>
        <w:rPr>
          <w:rFonts w:ascii="Arial" w:hAnsi="Arial" w:cs="Arial"/>
          <w:b/>
          <w:sz w:val="22"/>
          <w:szCs w:val="22"/>
        </w:rPr>
      </w:pPr>
      <w:r w:rsidRPr="00A42D43">
        <w:rPr>
          <w:rFonts w:ascii="Arial" w:hAnsi="Arial" w:cs="Arial"/>
          <w:b/>
          <w:sz w:val="22"/>
          <w:szCs w:val="22"/>
        </w:rPr>
        <w:lastRenderedPageBreak/>
        <w:t>Gráfico 2.</w:t>
      </w:r>
    </w:p>
    <w:p w:rsidR="00DE61D2" w:rsidRPr="003241BA" w:rsidRDefault="0023503D" w:rsidP="003241BA">
      <w:pPr>
        <w:pStyle w:val="ListParagraph"/>
        <w:tabs>
          <w:tab w:val="left" w:pos="4891"/>
        </w:tabs>
        <w:spacing w:line="276" w:lineRule="auto"/>
        <w:ind w:left="990"/>
        <w:jc w:val="both"/>
        <w:rPr>
          <w:rFonts w:ascii="Arial" w:hAnsi="Arial" w:cs="Arial"/>
          <w:b/>
          <w:sz w:val="22"/>
          <w:szCs w:val="22"/>
          <w:lang w:val="es-ES_tradnl"/>
        </w:rPr>
      </w:pPr>
      <w:r>
        <w:rPr>
          <w:noProof/>
          <w:lang w:val="en-US"/>
        </w:rPr>
        <w:drawing>
          <wp:inline distT="0" distB="0" distL="0" distR="0" wp14:anchorId="66F0A8BD" wp14:editId="39865060">
            <wp:extent cx="5038090" cy="3796665"/>
            <wp:effectExtent l="0" t="0" r="0" b="0"/>
            <wp:docPr id="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D8E" w:rsidRPr="003241BA" w:rsidRDefault="004B0B7F" w:rsidP="003241BA">
      <w:pPr>
        <w:pStyle w:val="ListParagraph"/>
        <w:tabs>
          <w:tab w:val="left" w:pos="4891"/>
        </w:tabs>
        <w:spacing w:line="276" w:lineRule="auto"/>
        <w:jc w:val="both"/>
        <w:rPr>
          <w:rFonts w:ascii="Arial" w:hAnsi="Arial" w:cs="Arial"/>
          <w:sz w:val="18"/>
          <w:szCs w:val="22"/>
          <w:lang w:val="es-ES_tradnl"/>
        </w:rPr>
      </w:pPr>
      <w:r w:rsidRPr="003241BA">
        <w:rPr>
          <w:rFonts w:ascii="Arial" w:hAnsi="Arial" w:cs="Arial"/>
          <w:sz w:val="18"/>
          <w:szCs w:val="22"/>
          <w:lang w:val="es-ES_tradnl"/>
        </w:rPr>
        <w:t>Fuente: Elaboración pr</w:t>
      </w:r>
      <w:r w:rsidR="002F4D8E" w:rsidRPr="003241BA">
        <w:rPr>
          <w:rFonts w:ascii="Arial" w:hAnsi="Arial" w:cs="Arial"/>
          <w:sz w:val="18"/>
          <w:szCs w:val="22"/>
          <w:lang w:val="es-ES_tradnl"/>
        </w:rPr>
        <w:t>opia en base a</w:t>
      </w:r>
      <w:r w:rsidR="00D11FED" w:rsidRPr="003241BA">
        <w:rPr>
          <w:rFonts w:ascii="Arial" w:hAnsi="Arial" w:cs="Arial"/>
          <w:sz w:val="18"/>
          <w:szCs w:val="22"/>
          <w:lang w:val="es-ES_tradnl"/>
        </w:rPr>
        <w:t xml:space="preserve">l </w:t>
      </w:r>
      <w:r w:rsidR="00D11FED" w:rsidRPr="00EB740B">
        <w:rPr>
          <w:rStyle w:val="FootnoteReference"/>
          <w:rFonts w:ascii="Arial" w:hAnsi="Arial" w:cs="Arial"/>
          <w:sz w:val="18"/>
          <w:szCs w:val="22"/>
          <w:vertAlign w:val="baseline"/>
        </w:rPr>
        <w:t>Índice</w:t>
      </w:r>
      <w:r w:rsidR="00D11FED" w:rsidRPr="003241BA">
        <w:rPr>
          <w:rFonts w:ascii="Arial" w:hAnsi="Arial" w:cs="Arial"/>
          <w:sz w:val="18"/>
          <w:szCs w:val="22"/>
        </w:rPr>
        <w:t xml:space="preserve"> Mundial </w:t>
      </w:r>
      <w:r w:rsidR="00D11FED" w:rsidRPr="00EB740B">
        <w:rPr>
          <w:rStyle w:val="FootnoteReference"/>
          <w:rFonts w:ascii="Arial" w:hAnsi="Arial" w:cs="Arial"/>
          <w:sz w:val="18"/>
          <w:szCs w:val="22"/>
          <w:vertAlign w:val="baseline"/>
        </w:rPr>
        <w:t>de Gobernabilidad del Banco Mundial</w:t>
      </w:r>
    </w:p>
    <w:p w:rsidR="004152D9" w:rsidRPr="00A42D43" w:rsidRDefault="004152D9" w:rsidP="00001476">
      <w:pPr>
        <w:pStyle w:val="Paragraph"/>
        <w:numPr>
          <w:ilvl w:val="0"/>
          <w:numId w:val="0"/>
        </w:numPr>
        <w:spacing w:before="0" w:after="0" w:line="276" w:lineRule="auto"/>
        <w:rPr>
          <w:rFonts w:ascii="Arial" w:hAnsi="Arial" w:cs="Arial"/>
          <w:sz w:val="22"/>
          <w:szCs w:val="22"/>
        </w:rPr>
      </w:pPr>
    </w:p>
    <w:p w:rsidR="00671A9E" w:rsidRPr="00A42D43" w:rsidRDefault="00A10AD8" w:rsidP="003241BA">
      <w:pPr>
        <w:pStyle w:val="Paragraph"/>
        <w:numPr>
          <w:ilvl w:val="1"/>
          <w:numId w:val="85"/>
        </w:numPr>
        <w:spacing w:before="0" w:after="0" w:line="276" w:lineRule="auto"/>
        <w:ind w:left="720" w:hanging="720"/>
        <w:rPr>
          <w:rFonts w:ascii="Arial" w:hAnsi="Arial" w:cs="Arial"/>
          <w:sz w:val="22"/>
          <w:szCs w:val="22"/>
        </w:rPr>
      </w:pPr>
      <w:r w:rsidRPr="00A42D43">
        <w:rPr>
          <w:rFonts w:ascii="Arial" w:hAnsi="Arial" w:cs="Arial"/>
          <w:sz w:val="22"/>
          <w:szCs w:val="22"/>
        </w:rPr>
        <w:t>Asimismo, la medida en que los ciudadanos de un país pued</w:t>
      </w:r>
      <w:r w:rsidR="00DE53D9" w:rsidRPr="00A42D43">
        <w:rPr>
          <w:rFonts w:ascii="Arial" w:hAnsi="Arial" w:cs="Arial"/>
          <w:sz w:val="22"/>
          <w:szCs w:val="22"/>
        </w:rPr>
        <w:t xml:space="preserve">en participar en la elección de </w:t>
      </w:r>
      <w:r w:rsidRPr="00A42D43">
        <w:rPr>
          <w:rFonts w:ascii="Arial" w:hAnsi="Arial" w:cs="Arial"/>
          <w:sz w:val="22"/>
          <w:szCs w:val="22"/>
        </w:rPr>
        <w:t xml:space="preserve">su gobierno, así como la libertad de expresión, la libertad de asociación y la libertad de expresión de los medios de comunicación </w:t>
      </w:r>
      <w:r w:rsidR="00907325" w:rsidRPr="00A42D43">
        <w:rPr>
          <w:rFonts w:ascii="Arial" w:hAnsi="Arial" w:cs="Arial"/>
          <w:sz w:val="22"/>
          <w:szCs w:val="22"/>
        </w:rPr>
        <w:t xml:space="preserve">es relevante en la búsqueda del cumplimiento de los objetivos del programa. </w:t>
      </w:r>
      <w:r w:rsidR="004F1829" w:rsidRPr="00A42D43">
        <w:rPr>
          <w:rFonts w:ascii="Arial" w:hAnsi="Arial" w:cs="Arial"/>
          <w:sz w:val="22"/>
          <w:szCs w:val="22"/>
        </w:rPr>
        <w:t xml:space="preserve">El Índice de </w:t>
      </w:r>
      <w:r w:rsidR="00541600" w:rsidRPr="00A42D43">
        <w:rPr>
          <w:rFonts w:ascii="Arial" w:hAnsi="Arial" w:cs="Arial"/>
          <w:sz w:val="22"/>
          <w:szCs w:val="22"/>
        </w:rPr>
        <w:t xml:space="preserve">Expresión de </w:t>
      </w:r>
      <w:r w:rsidR="00D11FED" w:rsidRPr="00A42D43">
        <w:rPr>
          <w:rFonts w:ascii="Arial" w:hAnsi="Arial" w:cs="Arial"/>
          <w:sz w:val="22"/>
          <w:szCs w:val="22"/>
        </w:rPr>
        <w:t xml:space="preserve">Libertad y </w:t>
      </w:r>
      <w:r w:rsidR="00541600" w:rsidRPr="00A42D43">
        <w:rPr>
          <w:rFonts w:ascii="Arial" w:hAnsi="Arial" w:cs="Arial"/>
          <w:sz w:val="22"/>
          <w:szCs w:val="22"/>
        </w:rPr>
        <w:t xml:space="preserve">Rendición de Cuentas </w:t>
      </w:r>
      <w:r w:rsidR="00D11FED" w:rsidRPr="00A42D43">
        <w:rPr>
          <w:rFonts w:ascii="Arial" w:hAnsi="Arial" w:cs="Arial"/>
          <w:sz w:val="22"/>
          <w:szCs w:val="22"/>
        </w:rPr>
        <w:t>(“</w:t>
      </w:r>
      <w:r w:rsidR="00D11FED" w:rsidRPr="00A42D43">
        <w:rPr>
          <w:rFonts w:ascii="Arial" w:hAnsi="Arial" w:cs="Arial"/>
          <w:i/>
          <w:sz w:val="22"/>
          <w:szCs w:val="22"/>
        </w:rPr>
        <w:t>Voice and Accountability</w:t>
      </w:r>
      <w:r w:rsidR="00D11FED" w:rsidRPr="00A42D43">
        <w:rPr>
          <w:rFonts w:ascii="Arial" w:hAnsi="Arial" w:cs="Arial"/>
          <w:sz w:val="22"/>
          <w:szCs w:val="22"/>
        </w:rPr>
        <w:t>”)</w:t>
      </w:r>
      <w:r w:rsidR="004F1829" w:rsidRPr="00A42D43">
        <w:rPr>
          <w:rFonts w:ascii="Arial" w:hAnsi="Arial" w:cs="Arial"/>
          <w:sz w:val="22"/>
          <w:szCs w:val="22"/>
        </w:rPr>
        <w:t xml:space="preserve"> mide esto. </w:t>
      </w:r>
      <w:r w:rsidR="00907325" w:rsidRPr="00A42D43">
        <w:rPr>
          <w:rFonts w:ascii="Arial" w:hAnsi="Arial" w:cs="Arial"/>
          <w:sz w:val="22"/>
          <w:szCs w:val="22"/>
        </w:rPr>
        <w:t>Como se observa en el Gráfico 3, dicha medida muestra una mejora significativa desde el año 1998</w:t>
      </w:r>
      <w:r w:rsidR="004F1829" w:rsidRPr="00A42D43">
        <w:rPr>
          <w:rFonts w:ascii="Arial" w:hAnsi="Arial" w:cs="Arial"/>
          <w:sz w:val="22"/>
          <w:szCs w:val="22"/>
        </w:rPr>
        <w:t>, cuando para Chile se reporta 0.49 puntos</w:t>
      </w:r>
      <w:r w:rsidR="004152D9" w:rsidRPr="00A42D43">
        <w:rPr>
          <w:rFonts w:ascii="Arial" w:hAnsi="Arial" w:cs="Arial"/>
          <w:sz w:val="22"/>
          <w:szCs w:val="22"/>
        </w:rPr>
        <w:t>,</w:t>
      </w:r>
      <w:r w:rsidR="00907325" w:rsidRPr="00A42D43">
        <w:rPr>
          <w:rFonts w:ascii="Arial" w:hAnsi="Arial" w:cs="Arial"/>
          <w:sz w:val="22"/>
          <w:szCs w:val="22"/>
        </w:rPr>
        <w:t xml:space="preserve"> </w:t>
      </w:r>
      <w:r w:rsidR="004152D9" w:rsidRPr="00A42D43">
        <w:rPr>
          <w:rFonts w:ascii="Arial" w:hAnsi="Arial" w:cs="Arial"/>
          <w:sz w:val="22"/>
          <w:szCs w:val="22"/>
        </w:rPr>
        <w:t xml:space="preserve">con 1.06 puntos en 2014; </w:t>
      </w:r>
      <w:r w:rsidR="00907325" w:rsidRPr="00A42D43">
        <w:rPr>
          <w:rFonts w:ascii="Arial" w:hAnsi="Arial" w:cs="Arial"/>
          <w:sz w:val="22"/>
          <w:szCs w:val="22"/>
        </w:rPr>
        <w:t>dejando muy atrás al promedio de los países de ALC</w:t>
      </w:r>
      <w:r w:rsidR="00233746" w:rsidRPr="00A42D43">
        <w:rPr>
          <w:rFonts w:ascii="Arial" w:hAnsi="Arial" w:cs="Arial"/>
          <w:sz w:val="22"/>
          <w:szCs w:val="22"/>
        </w:rPr>
        <w:t xml:space="preserve"> </w:t>
      </w:r>
      <w:r w:rsidR="002A3BED" w:rsidRPr="00A42D43">
        <w:rPr>
          <w:rFonts w:ascii="Arial" w:hAnsi="Arial" w:cs="Arial"/>
          <w:sz w:val="22"/>
          <w:szCs w:val="22"/>
        </w:rPr>
        <w:t xml:space="preserve">con </w:t>
      </w:r>
      <w:r w:rsidR="004152D9" w:rsidRPr="00A42D43">
        <w:rPr>
          <w:rFonts w:ascii="Arial" w:hAnsi="Arial" w:cs="Arial"/>
          <w:sz w:val="22"/>
          <w:szCs w:val="22"/>
        </w:rPr>
        <w:t>0.</w:t>
      </w:r>
      <w:r w:rsidR="002A3BED" w:rsidRPr="00A42D43">
        <w:rPr>
          <w:rFonts w:ascii="Arial" w:hAnsi="Arial" w:cs="Arial"/>
          <w:sz w:val="22"/>
          <w:szCs w:val="22"/>
        </w:rPr>
        <w:t>22</w:t>
      </w:r>
      <w:r w:rsidR="004152D9" w:rsidRPr="00A42D43">
        <w:rPr>
          <w:rFonts w:ascii="Arial" w:hAnsi="Arial" w:cs="Arial"/>
          <w:sz w:val="22"/>
          <w:szCs w:val="22"/>
        </w:rPr>
        <w:t xml:space="preserve"> puntos, </w:t>
      </w:r>
      <w:r w:rsidR="00907325" w:rsidRPr="00A42D43">
        <w:rPr>
          <w:rFonts w:ascii="Arial" w:hAnsi="Arial" w:cs="Arial"/>
          <w:sz w:val="22"/>
          <w:szCs w:val="22"/>
        </w:rPr>
        <w:t xml:space="preserve">y </w:t>
      </w:r>
      <w:r w:rsidR="002A3BED" w:rsidRPr="00A42D43">
        <w:rPr>
          <w:rFonts w:ascii="Arial" w:hAnsi="Arial" w:cs="Arial"/>
          <w:sz w:val="22"/>
          <w:szCs w:val="22"/>
        </w:rPr>
        <w:t xml:space="preserve">prácticamente </w:t>
      </w:r>
      <w:r w:rsidR="00907325" w:rsidRPr="00A42D43">
        <w:rPr>
          <w:rFonts w:ascii="Arial" w:hAnsi="Arial" w:cs="Arial"/>
          <w:sz w:val="22"/>
          <w:szCs w:val="22"/>
        </w:rPr>
        <w:t xml:space="preserve">convergiendo al nivel </w:t>
      </w:r>
      <w:r w:rsidR="00233746" w:rsidRPr="00A42D43">
        <w:rPr>
          <w:rFonts w:ascii="Arial" w:hAnsi="Arial" w:cs="Arial"/>
          <w:sz w:val="22"/>
          <w:szCs w:val="22"/>
        </w:rPr>
        <w:t xml:space="preserve">del </w:t>
      </w:r>
      <w:r w:rsidR="00907325" w:rsidRPr="00A42D43">
        <w:rPr>
          <w:rFonts w:ascii="Arial" w:hAnsi="Arial" w:cs="Arial"/>
          <w:sz w:val="22"/>
          <w:szCs w:val="22"/>
        </w:rPr>
        <w:t>promedio de los países miembros de la OCDE</w:t>
      </w:r>
      <w:r w:rsidR="004152D9" w:rsidRPr="00A42D43">
        <w:rPr>
          <w:rFonts w:ascii="Arial" w:hAnsi="Arial" w:cs="Arial"/>
          <w:sz w:val="22"/>
          <w:szCs w:val="22"/>
        </w:rPr>
        <w:t>, con -0.05</w:t>
      </w:r>
      <w:r w:rsidR="00907325" w:rsidRPr="00A42D43">
        <w:rPr>
          <w:rFonts w:ascii="Arial" w:hAnsi="Arial" w:cs="Arial"/>
          <w:sz w:val="22"/>
          <w:szCs w:val="22"/>
        </w:rPr>
        <w:t>.</w:t>
      </w:r>
      <w:r w:rsidR="00233746" w:rsidRPr="00A42D43">
        <w:rPr>
          <w:rFonts w:ascii="Arial" w:hAnsi="Arial" w:cs="Arial"/>
          <w:sz w:val="22"/>
          <w:szCs w:val="22"/>
        </w:rPr>
        <w:t xml:space="preserve"> </w:t>
      </w:r>
    </w:p>
    <w:p w:rsidR="00872E9F" w:rsidRPr="003241BA" w:rsidRDefault="00872E9F" w:rsidP="003241BA">
      <w:pPr>
        <w:pStyle w:val="ListParagraph"/>
        <w:numPr>
          <w:ilvl w:val="0"/>
          <w:numId w:val="85"/>
        </w:numPr>
        <w:spacing w:line="276" w:lineRule="auto"/>
        <w:rPr>
          <w:rFonts w:ascii="Arial" w:hAnsi="Arial" w:cs="Arial"/>
          <w:b/>
          <w:sz w:val="22"/>
          <w:szCs w:val="22"/>
          <w:lang w:val="es-ES_tradnl"/>
        </w:rPr>
      </w:pPr>
      <w:r w:rsidRPr="003241BA">
        <w:rPr>
          <w:rFonts w:ascii="Arial" w:hAnsi="Arial" w:cs="Arial"/>
          <w:b/>
          <w:sz w:val="22"/>
          <w:szCs w:val="22"/>
        </w:rPr>
        <w:br w:type="page"/>
      </w:r>
    </w:p>
    <w:p w:rsidR="00671A9E" w:rsidRPr="00A42D43" w:rsidRDefault="00671A9E" w:rsidP="003241BA">
      <w:pPr>
        <w:pStyle w:val="Paragraph"/>
        <w:numPr>
          <w:ilvl w:val="0"/>
          <w:numId w:val="0"/>
        </w:numPr>
        <w:spacing w:before="0" w:after="0" w:line="276" w:lineRule="auto"/>
        <w:ind w:left="990"/>
        <w:jc w:val="center"/>
        <w:rPr>
          <w:rFonts w:ascii="Arial" w:hAnsi="Arial" w:cs="Arial"/>
          <w:b/>
          <w:sz w:val="22"/>
          <w:szCs w:val="22"/>
        </w:rPr>
      </w:pPr>
      <w:r w:rsidRPr="00A42D43">
        <w:rPr>
          <w:rFonts w:ascii="Arial" w:hAnsi="Arial" w:cs="Arial"/>
          <w:b/>
          <w:sz w:val="22"/>
          <w:szCs w:val="22"/>
        </w:rPr>
        <w:lastRenderedPageBreak/>
        <w:t>Gráfico 3.</w:t>
      </w:r>
    </w:p>
    <w:p w:rsidR="0004478E" w:rsidRPr="003241BA" w:rsidRDefault="0023503D" w:rsidP="003241BA">
      <w:pPr>
        <w:pStyle w:val="ListParagraph"/>
        <w:tabs>
          <w:tab w:val="left" w:pos="4891"/>
        </w:tabs>
        <w:spacing w:line="276" w:lineRule="auto"/>
        <w:ind w:left="990"/>
        <w:jc w:val="both"/>
        <w:rPr>
          <w:rFonts w:ascii="Arial" w:hAnsi="Arial" w:cs="Arial"/>
          <w:sz w:val="18"/>
          <w:szCs w:val="22"/>
          <w:lang w:val="es-ES_tradnl"/>
        </w:rPr>
      </w:pPr>
      <w:r>
        <w:rPr>
          <w:noProof/>
          <w:lang w:val="en-US"/>
        </w:rPr>
        <w:drawing>
          <wp:inline distT="0" distB="0" distL="0" distR="0" wp14:anchorId="70C6340F" wp14:editId="7EC824B2">
            <wp:extent cx="4744085" cy="3312795"/>
            <wp:effectExtent l="0" t="0" r="0" b="1905"/>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B0B7F" w:rsidRPr="003241BA">
        <w:rPr>
          <w:rFonts w:ascii="Arial" w:hAnsi="Arial" w:cs="Arial"/>
          <w:sz w:val="18"/>
          <w:szCs w:val="22"/>
          <w:lang w:val="es-ES_tradnl"/>
        </w:rPr>
        <w:t>Fuente: Elaboración pr</w:t>
      </w:r>
      <w:r w:rsidR="002F4D8E" w:rsidRPr="003241BA">
        <w:rPr>
          <w:rFonts w:ascii="Arial" w:hAnsi="Arial" w:cs="Arial"/>
          <w:sz w:val="18"/>
          <w:szCs w:val="22"/>
          <w:lang w:val="es-ES_tradnl"/>
        </w:rPr>
        <w:t>opia en base a</w:t>
      </w:r>
      <w:r w:rsidR="00D11FED" w:rsidRPr="003241BA">
        <w:rPr>
          <w:rFonts w:ascii="Arial" w:hAnsi="Arial" w:cs="Arial"/>
          <w:sz w:val="18"/>
          <w:szCs w:val="22"/>
          <w:lang w:val="es-ES_tradnl"/>
        </w:rPr>
        <w:t>l</w:t>
      </w:r>
      <w:r w:rsidR="002F4D8E" w:rsidRPr="003241BA">
        <w:rPr>
          <w:rFonts w:ascii="Arial" w:hAnsi="Arial" w:cs="Arial"/>
          <w:sz w:val="18"/>
          <w:szCs w:val="22"/>
          <w:lang w:val="es-ES_tradnl"/>
        </w:rPr>
        <w:t xml:space="preserve"> </w:t>
      </w:r>
      <w:r w:rsidR="00D11FED" w:rsidRPr="00EB740B">
        <w:rPr>
          <w:rStyle w:val="FootnoteReference"/>
          <w:rFonts w:ascii="Arial" w:hAnsi="Arial" w:cs="Arial"/>
          <w:sz w:val="18"/>
          <w:szCs w:val="22"/>
          <w:vertAlign w:val="baseline"/>
        </w:rPr>
        <w:t>Índice</w:t>
      </w:r>
      <w:r w:rsidR="00D11FED" w:rsidRPr="003241BA">
        <w:rPr>
          <w:rFonts w:ascii="Arial" w:hAnsi="Arial" w:cs="Arial"/>
          <w:sz w:val="18"/>
          <w:szCs w:val="22"/>
        </w:rPr>
        <w:t xml:space="preserve"> Mundial </w:t>
      </w:r>
      <w:r w:rsidR="00D11FED" w:rsidRPr="00EB740B">
        <w:rPr>
          <w:rStyle w:val="FootnoteReference"/>
          <w:rFonts w:ascii="Arial" w:hAnsi="Arial" w:cs="Arial"/>
          <w:sz w:val="18"/>
          <w:szCs w:val="22"/>
          <w:vertAlign w:val="baseline"/>
        </w:rPr>
        <w:t>de Gobernabilidad del Banco Mundial</w:t>
      </w:r>
      <w:r w:rsidR="002F4D8E" w:rsidRPr="003241BA">
        <w:rPr>
          <w:rFonts w:ascii="Arial" w:hAnsi="Arial" w:cs="Arial"/>
          <w:sz w:val="18"/>
          <w:szCs w:val="22"/>
          <w:lang w:val="es-ES_tradnl"/>
        </w:rPr>
        <w:t>.</w:t>
      </w:r>
    </w:p>
    <w:p w:rsidR="002A3BED" w:rsidRPr="00A42D43" w:rsidRDefault="002A3BED" w:rsidP="00001476">
      <w:pPr>
        <w:tabs>
          <w:tab w:val="left" w:pos="4891"/>
        </w:tabs>
        <w:spacing w:line="276" w:lineRule="auto"/>
        <w:jc w:val="both"/>
        <w:rPr>
          <w:rFonts w:ascii="Arial" w:hAnsi="Arial" w:cs="Arial"/>
          <w:sz w:val="22"/>
          <w:szCs w:val="22"/>
          <w:lang w:val="es-ES"/>
        </w:rPr>
      </w:pPr>
    </w:p>
    <w:p w:rsidR="00DE53D9" w:rsidRPr="003241BA" w:rsidRDefault="00DE53D9" w:rsidP="003241BA">
      <w:pPr>
        <w:pStyle w:val="Paragraph"/>
        <w:numPr>
          <w:ilvl w:val="1"/>
          <w:numId w:val="87"/>
        </w:numPr>
        <w:spacing w:before="0" w:after="0" w:line="276" w:lineRule="auto"/>
        <w:ind w:left="720" w:hanging="720"/>
        <w:rPr>
          <w:rFonts w:ascii="Arial" w:hAnsi="Arial" w:cs="Arial"/>
          <w:sz w:val="22"/>
          <w:szCs w:val="22"/>
          <w:lang w:val="es-ES"/>
        </w:rPr>
      </w:pPr>
      <w:r w:rsidRPr="003241BA">
        <w:rPr>
          <w:rFonts w:ascii="Arial" w:hAnsi="Arial" w:cs="Arial"/>
          <w:sz w:val="22"/>
          <w:szCs w:val="22"/>
          <w:lang w:val="es-ES"/>
        </w:rPr>
        <w:t xml:space="preserve">Otro indicador </w:t>
      </w:r>
      <w:r w:rsidR="00D11FED" w:rsidRPr="003241BA">
        <w:rPr>
          <w:rFonts w:ascii="Arial" w:hAnsi="Arial" w:cs="Arial"/>
          <w:sz w:val="22"/>
          <w:szCs w:val="22"/>
          <w:lang w:val="es-ES"/>
        </w:rPr>
        <w:t xml:space="preserve">relevante para el análisis </w:t>
      </w:r>
      <w:r w:rsidRPr="003241BA">
        <w:rPr>
          <w:rFonts w:ascii="Arial" w:hAnsi="Arial" w:cs="Arial"/>
          <w:sz w:val="22"/>
          <w:szCs w:val="22"/>
          <w:lang w:val="es-ES"/>
        </w:rPr>
        <w:t>es el Índice de Competitividad Global elaborado por el Foro Económico Mundial</w:t>
      </w:r>
      <w:r w:rsidR="00D33004" w:rsidRPr="00A42D43">
        <w:rPr>
          <w:rStyle w:val="FootnoteReference"/>
          <w:rFonts w:ascii="Arial" w:hAnsi="Arial" w:cs="Arial"/>
          <w:sz w:val="22"/>
          <w:szCs w:val="22"/>
          <w:lang w:val="es-ES"/>
        </w:rPr>
        <w:footnoteReference w:id="6"/>
      </w:r>
      <w:r w:rsidRPr="003241BA">
        <w:rPr>
          <w:rFonts w:ascii="Arial" w:hAnsi="Arial" w:cs="Arial"/>
          <w:sz w:val="22"/>
          <w:szCs w:val="22"/>
          <w:lang w:val="es-ES"/>
        </w:rPr>
        <w:t xml:space="preserve">. Dentro de dicho índice hay </w:t>
      </w:r>
      <w:r w:rsidR="00282E1C" w:rsidRPr="003241BA">
        <w:rPr>
          <w:rFonts w:ascii="Arial" w:hAnsi="Arial" w:cs="Arial"/>
          <w:sz w:val="22"/>
          <w:szCs w:val="22"/>
          <w:lang w:val="es-ES"/>
        </w:rPr>
        <w:t xml:space="preserve">indicadores </w:t>
      </w:r>
      <w:r w:rsidRPr="003241BA">
        <w:rPr>
          <w:rFonts w:ascii="Arial" w:hAnsi="Arial" w:cs="Arial"/>
          <w:sz w:val="22"/>
          <w:szCs w:val="22"/>
          <w:lang w:val="es-ES"/>
        </w:rPr>
        <w:t xml:space="preserve">de transparencia en políticas de gobierno, de </w:t>
      </w:r>
      <w:r w:rsidR="005D6319" w:rsidRPr="003241BA">
        <w:rPr>
          <w:rFonts w:ascii="Arial" w:hAnsi="Arial" w:cs="Arial"/>
          <w:sz w:val="22"/>
          <w:szCs w:val="22"/>
          <w:lang w:val="es-ES"/>
        </w:rPr>
        <w:t>ética</w:t>
      </w:r>
      <w:r w:rsidRPr="003241BA">
        <w:rPr>
          <w:rFonts w:ascii="Arial" w:hAnsi="Arial" w:cs="Arial"/>
          <w:sz w:val="22"/>
          <w:szCs w:val="22"/>
          <w:lang w:val="es-ES"/>
        </w:rPr>
        <w:t xml:space="preserve"> y </w:t>
      </w:r>
      <w:r w:rsidR="005D6319" w:rsidRPr="003241BA">
        <w:rPr>
          <w:rFonts w:ascii="Arial" w:hAnsi="Arial" w:cs="Arial"/>
          <w:sz w:val="22"/>
          <w:szCs w:val="22"/>
          <w:lang w:val="es-ES"/>
        </w:rPr>
        <w:t>corrupción</w:t>
      </w:r>
      <w:r w:rsidRPr="003241BA">
        <w:rPr>
          <w:rFonts w:ascii="Arial" w:hAnsi="Arial" w:cs="Arial"/>
          <w:sz w:val="22"/>
          <w:szCs w:val="22"/>
          <w:lang w:val="es-ES"/>
        </w:rPr>
        <w:t xml:space="preserve"> </w:t>
      </w:r>
      <w:r w:rsidR="005D6319" w:rsidRPr="003241BA">
        <w:rPr>
          <w:rFonts w:ascii="Arial" w:hAnsi="Arial" w:cs="Arial"/>
          <w:sz w:val="22"/>
          <w:szCs w:val="22"/>
          <w:lang w:val="es-ES"/>
        </w:rPr>
        <w:t>y de nivel de pagos irregulares y coimas, entre otr</w:t>
      </w:r>
      <w:r w:rsidR="00282E1C" w:rsidRPr="003241BA">
        <w:rPr>
          <w:rFonts w:ascii="Arial" w:hAnsi="Arial" w:cs="Arial"/>
          <w:sz w:val="22"/>
          <w:szCs w:val="22"/>
          <w:lang w:val="es-ES"/>
        </w:rPr>
        <w:t>o</w:t>
      </w:r>
      <w:r w:rsidR="005D6319" w:rsidRPr="003241BA">
        <w:rPr>
          <w:rFonts w:ascii="Arial" w:hAnsi="Arial" w:cs="Arial"/>
          <w:sz w:val="22"/>
          <w:szCs w:val="22"/>
          <w:lang w:val="es-ES"/>
        </w:rPr>
        <w:t>s</w:t>
      </w:r>
      <w:r w:rsidR="00282E1C" w:rsidRPr="00A42D43">
        <w:rPr>
          <w:rStyle w:val="FootnoteReference"/>
          <w:rFonts w:ascii="Arial" w:hAnsi="Arial" w:cs="Arial"/>
          <w:sz w:val="22"/>
          <w:szCs w:val="22"/>
          <w:lang w:val="es-ES"/>
        </w:rPr>
        <w:footnoteReference w:id="7"/>
      </w:r>
      <w:r w:rsidR="005D6319" w:rsidRPr="003241BA">
        <w:rPr>
          <w:rFonts w:ascii="Arial" w:hAnsi="Arial" w:cs="Arial"/>
          <w:sz w:val="22"/>
          <w:szCs w:val="22"/>
          <w:lang w:val="es-ES"/>
        </w:rPr>
        <w:t>.</w:t>
      </w:r>
      <w:r w:rsidRPr="003241BA">
        <w:rPr>
          <w:rFonts w:ascii="Arial" w:hAnsi="Arial" w:cs="Arial"/>
          <w:sz w:val="22"/>
          <w:szCs w:val="22"/>
          <w:lang w:val="es-ES"/>
        </w:rPr>
        <w:t xml:space="preserve"> </w:t>
      </w:r>
    </w:p>
    <w:p w:rsidR="004152D9" w:rsidRPr="00A42D43" w:rsidRDefault="004152D9" w:rsidP="00001476">
      <w:pPr>
        <w:tabs>
          <w:tab w:val="left" w:pos="4891"/>
        </w:tabs>
        <w:spacing w:line="276" w:lineRule="auto"/>
        <w:jc w:val="both"/>
        <w:rPr>
          <w:rFonts w:ascii="Arial" w:hAnsi="Arial" w:cs="Arial"/>
          <w:sz w:val="22"/>
          <w:szCs w:val="22"/>
          <w:lang w:val="es-ES"/>
        </w:rPr>
      </w:pPr>
    </w:p>
    <w:p w:rsidR="004B3C86" w:rsidRPr="003241BA" w:rsidRDefault="00DE53D9" w:rsidP="003241BA">
      <w:pPr>
        <w:pStyle w:val="Paragraph"/>
        <w:numPr>
          <w:ilvl w:val="1"/>
          <w:numId w:val="87"/>
        </w:numPr>
        <w:spacing w:before="0" w:after="0" w:line="276" w:lineRule="auto"/>
        <w:ind w:left="720" w:hanging="720"/>
        <w:rPr>
          <w:rFonts w:ascii="Arial" w:hAnsi="Arial" w:cs="Arial"/>
          <w:sz w:val="22"/>
          <w:szCs w:val="22"/>
          <w:lang w:val="es-ES"/>
        </w:rPr>
      </w:pPr>
      <w:r w:rsidRPr="003241BA">
        <w:rPr>
          <w:rFonts w:ascii="Arial" w:hAnsi="Arial" w:cs="Arial"/>
          <w:sz w:val="22"/>
          <w:szCs w:val="22"/>
          <w:lang w:val="es-ES"/>
        </w:rPr>
        <w:t>E</w:t>
      </w:r>
      <w:r w:rsidR="00692BC7" w:rsidRPr="003241BA">
        <w:rPr>
          <w:rFonts w:ascii="Arial" w:hAnsi="Arial" w:cs="Arial"/>
          <w:sz w:val="22"/>
          <w:szCs w:val="22"/>
          <w:lang w:val="es-ES"/>
        </w:rPr>
        <w:t xml:space="preserve">l </w:t>
      </w:r>
      <w:r w:rsidR="00FA6732" w:rsidRPr="003241BA">
        <w:rPr>
          <w:rFonts w:ascii="Arial" w:hAnsi="Arial" w:cs="Arial"/>
          <w:sz w:val="22"/>
          <w:szCs w:val="22"/>
          <w:lang w:val="es-ES"/>
        </w:rPr>
        <w:t>Gráfico</w:t>
      </w:r>
      <w:r w:rsidRPr="003241BA">
        <w:rPr>
          <w:rFonts w:ascii="Arial" w:hAnsi="Arial" w:cs="Arial"/>
          <w:sz w:val="22"/>
          <w:szCs w:val="22"/>
          <w:lang w:val="es-ES"/>
        </w:rPr>
        <w:t xml:space="preserve"> 4 muestra</w:t>
      </w:r>
      <w:r w:rsidR="00692BC7" w:rsidRPr="003241BA">
        <w:rPr>
          <w:rFonts w:ascii="Arial" w:hAnsi="Arial" w:cs="Arial"/>
          <w:sz w:val="22"/>
          <w:szCs w:val="22"/>
          <w:lang w:val="es-ES"/>
        </w:rPr>
        <w:t xml:space="preserve"> que Chile ha logrado mantener altos niveles de transparencia en políticas de gobierno</w:t>
      </w:r>
      <w:r w:rsidR="00FA6732" w:rsidRPr="003241BA">
        <w:rPr>
          <w:rFonts w:ascii="Arial" w:hAnsi="Arial" w:cs="Arial"/>
          <w:sz w:val="22"/>
          <w:szCs w:val="22"/>
          <w:lang w:val="es-ES"/>
        </w:rPr>
        <w:t>, siendo los valores cercanos y hasta superiores que el promedio de los países miembros de la OCDE</w:t>
      </w:r>
      <w:r w:rsidR="008A22BA" w:rsidRPr="00A42D43">
        <w:rPr>
          <w:rStyle w:val="FootnoteReference"/>
          <w:rFonts w:ascii="Arial" w:hAnsi="Arial" w:cs="Arial"/>
          <w:sz w:val="22"/>
          <w:szCs w:val="22"/>
          <w:lang w:val="es-ES"/>
        </w:rPr>
        <w:footnoteReference w:id="8"/>
      </w:r>
      <w:r w:rsidR="00692BC7" w:rsidRPr="003241BA">
        <w:rPr>
          <w:rFonts w:ascii="Arial" w:hAnsi="Arial" w:cs="Arial"/>
          <w:sz w:val="22"/>
          <w:szCs w:val="22"/>
          <w:lang w:val="es-ES"/>
        </w:rPr>
        <w:t>.</w:t>
      </w:r>
      <w:r w:rsidR="003F0342" w:rsidRPr="003241BA">
        <w:rPr>
          <w:rFonts w:ascii="Arial" w:hAnsi="Arial" w:cs="Arial"/>
          <w:sz w:val="22"/>
          <w:szCs w:val="22"/>
          <w:lang w:val="es-ES"/>
        </w:rPr>
        <w:t xml:space="preserve"> E</w:t>
      </w:r>
      <w:r w:rsidR="00FA6732" w:rsidRPr="003241BA">
        <w:rPr>
          <w:rFonts w:ascii="Arial" w:hAnsi="Arial" w:cs="Arial"/>
          <w:sz w:val="22"/>
          <w:szCs w:val="22"/>
          <w:lang w:val="es-ES"/>
        </w:rPr>
        <w:t xml:space="preserve">l indicador de </w:t>
      </w:r>
      <w:r w:rsidR="008A22BA" w:rsidRPr="003241BA">
        <w:rPr>
          <w:rFonts w:ascii="Arial" w:hAnsi="Arial" w:cs="Arial"/>
          <w:sz w:val="22"/>
          <w:szCs w:val="22"/>
          <w:lang w:val="es-ES"/>
        </w:rPr>
        <w:t>Nivel de T</w:t>
      </w:r>
      <w:r w:rsidR="00FA6732" w:rsidRPr="003241BA">
        <w:rPr>
          <w:rFonts w:ascii="Arial" w:hAnsi="Arial" w:cs="Arial"/>
          <w:sz w:val="22"/>
          <w:szCs w:val="22"/>
          <w:lang w:val="es-ES"/>
        </w:rPr>
        <w:t>ransparencia</w:t>
      </w:r>
      <w:r w:rsidR="003F0342" w:rsidRPr="003241BA">
        <w:rPr>
          <w:rFonts w:ascii="Arial" w:hAnsi="Arial" w:cs="Arial"/>
          <w:sz w:val="22"/>
          <w:szCs w:val="22"/>
          <w:lang w:val="es-ES"/>
        </w:rPr>
        <w:t xml:space="preserve"> en </w:t>
      </w:r>
      <w:r w:rsidR="008A22BA" w:rsidRPr="003241BA">
        <w:rPr>
          <w:rFonts w:ascii="Arial" w:hAnsi="Arial" w:cs="Arial"/>
          <w:sz w:val="22"/>
          <w:szCs w:val="22"/>
          <w:lang w:val="es-ES"/>
        </w:rPr>
        <w:t>P</w:t>
      </w:r>
      <w:r w:rsidR="003F0342" w:rsidRPr="003241BA">
        <w:rPr>
          <w:rFonts w:ascii="Arial" w:hAnsi="Arial" w:cs="Arial"/>
          <w:sz w:val="22"/>
          <w:szCs w:val="22"/>
          <w:lang w:val="es-ES"/>
        </w:rPr>
        <w:t xml:space="preserve">olíticas del </w:t>
      </w:r>
      <w:r w:rsidR="008A22BA" w:rsidRPr="003241BA">
        <w:rPr>
          <w:rFonts w:ascii="Arial" w:hAnsi="Arial" w:cs="Arial"/>
          <w:sz w:val="22"/>
          <w:szCs w:val="22"/>
          <w:lang w:val="es-ES"/>
        </w:rPr>
        <w:t>G</w:t>
      </w:r>
      <w:r w:rsidR="003F0342" w:rsidRPr="003241BA">
        <w:rPr>
          <w:rFonts w:ascii="Arial" w:hAnsi="Arial" w:cs="Arial"/>
          <w:sz w:val="22"/>
          <w:szCs w:val="22"/>
          <w:lang w:val="es-ES"/>
        </w:rPr>
        <w:t xml:space="preserve">obierno </w:t>
      </w:r>
      <w:r w:rsidR="008A22BA" w:rsidRPr="003241BA">
        <w:rPr>
          <w:rFonts w:ascii="Arial" w:hAnsi="Arial" w:cs="Arial"/>
          <w:sz w:val="22"/>
          <w:szCs w:val="22"/>
          <w:lang w:val="es-ES"/>
        </w:rPr>
        <w:t xml:space="preserve">para Chile </w:t>
      </w:r>
      <w:r w:rsidR="003F0342" w:rsidRPr="003241BA">
        <w:rPr>
          <w:rFonts w:ascii="Arial" w:hAnsi="Arial" w:cs="Arial"/>
          <w:sz w:val="22"/>
          <w:szCs w:val="22"/>
          <w:lang w:val="es-ES"/>
        </w:rPr>
        <w:t xml:space="preserve">es de </w:t>
      </w:r>
      <w:r w:rsidR="009A23BF" w:rsidRPr="003241BA">
        <w:rPr>
          <w:rFonts w:ascii="Arial" w:hAnsi="Arial" w:cs="Arial"/>
          <w:sz w:val="22"/>
          <w:szCs w:val="22"/>
          <w:lang w:val="es-ES"/>
        </w:rPr>
        <w:t xml:space="preserve">aproximadamente </w:t>
      </w:r>
      <w:r w:rsidR="00773F40" w:rsidRPr="003241BA">
        <w:rPr>
          <w:rFonts w:ascii="Arial" w:hAnsi="Arial" w:cs="Arial"/>
          <w:sz w:val="22"/>
          <w:szCs w:val="22"/>
          <w:lang w:val="es-ES"/>
        </w:rPr>
        <w:t>5,</w:t>
      </w:r>
      <w:r w:rsidR="004B7935" w:rsidRPr="003241BA">
        <w:rPr>
          <w:rFonts w:ascii="Arial" w:hAnsi="Arial" w:cs="Arial"/>
          <w:sz w:val="22"/>
          <w:szCs w:val="22"/>
          <w:lang w:val="es-ES"/>
        </w:rPr>
        <w:t>1</w:t>
      </w:r>
      <w:r w:rsidR="003F0342" w:rsidRPr="003241BA">
        <w:rPr>
          <w:rFonts w:ascii="Arial" w:hAnsi="Arial" w:cs="Arial"/>
          <w:sz w:val="22"/>
          <w:szCs w:val="22"/>
          <w:lang w:val="es-ES"/>
        </w:rPr>
        <w:t xml:space="preserve"> en promedio para las mediciones de 2006-2007 a 201</w:t>
      </w:r>
      <w:r w:rsidR="004B7935" w:rsidRPr="003241BA">
        <w:rPr>
          <w:rFonts w:ascii="Arial" w:hAnsi="Arial" w:cs="Arial"/>
          <w:sz w:val="22"/>
          <w:szCs w:val="22"/>
          <w:lang w:val="es-ES"/>
        </w:rPr>
        <w:t>5</w:t>
      </w:r>
      <w:r w:rsidR="003F0342" w:rsidRPr="003241BA">
        <w:rPr>
          <w:rFonts w:ascii="Arial" w:hAnsi="Arial" w:cs="Arial"/>
          <w:sz w:val="22"/>
          <w:szCs w:val="22"/>
          <w:lang w:val="es-ES"/>
        </w:rPr>
        <w:t>-201</w:t>
      </w:r>
      <w:r w:rsidR="004B7935" w:rsidRPr="003241BA">
        <w:rPr>
          <w:rFonts w:ascii="Arial" w:hAnsi="Arial" w:cs="Arial"/>
          <w:sz w:val="22"/>
          <w:szCs w:val="22"/>
          <w:lang w:val="es-ES"/>
        </w:rPr>
        <w:t>6</w:t>
      </w:r>
      <w:r w:rsidR="003F0342" w:rsidRPr="003241BA">
        <w:rPr>
          <w:rFonts w:ascii="Arial" w:hAnsi="Arial" w:cs="Arial"/>
          <w:sz w:val="22"/>
          <w:szCs w:val="22"/>
          <w:lang w:val="es-ES"/>
        </w:rPr>
        <w:t xml:space="preserve">, mientras que para el mismo periodo el promedio para los países </w:t>
      </w:r>
      <w:r w:rsidR="00A21B5C" w:rsidRPr="003241BA">
        <w:rPr>
          <w:rFonts w:ascii="Arial" w:hAnsi="Arial" w:cs="Arial"/>
          <w:sz w:val="22"/>
          <w:szCs w:val="22"/>
          <w:lang w:val="es-ES"/>
        </w:rPr>
        <w:t xml:space="preserve">de </w:t>
      </w:r>
      <w:r w:rsidR="004B7935" w:rsidRPr="003241BA">
        <w:rPr>
          <w:rFonts w:ascii="Arial" w:hAnsi="Arial" w:cs="Arial"/>
          <w:sz w:val="22"/>
          <w:szCs w:val="22"/>
          <w:lang w:val="es-ES"/>
        </w:rPr>
        <w:t>A</w:t>
      </w:r>
      <w:r w:rsidR="00282E1C" w:rsidRPr="003241BA">
        <w:rPr>
          <w:rFonts w:ascii="Arial" w:hAnsi="Arial" w:cs="Arial"/>
          <w:sz w:val="22"/>
          <w:szCs w:val="22"/>
          <w:lang w:val="es-ES"/>
        </w:rPr>
        <w:t>LC</w:t>
      </w:r>
      <w:r w:rsidR="004B7935" w:rsidRPr="003241BA">
        <w:rPr>
          <w:rFonts w:ascii="Arial" w:hAnsi="Arial" w:cs="Arial"/>
          <w:sz w:val="22"/>
          <w:szCs w:val="22"/>
          <w:lang w:val="es-ES"/>
        </w:rPr>
        <w:t xml:space="preserve"> es de </w:t>
      </w:r>
      <w:r w:rsidR="00282E1C" w:rsidRPr="003241BA">
        <w:rPr>
          <w:rFonts w:ascii="Arial" w:hAnsi="Arial" w:cs="Arial"/>
          <w:sz w:val="22"/>
          <w:szCs w:val="22"/>
          <w:lang w:val="es-ES"/>
        </w:rPr>
        <w:t xml:space="preserve">3,6 </w:t>
      </w:r>
      <w:r w:rsidR="004B7935" w:rsidRPr="003241BA">
        <w:rPr>
          <w:rFonts w:ascii="Arial" w:hAnsi="Arial" w:cs="Arial"/>
          <w:sz w:val="22"/>
          <w:szCs w:val="22"/>
          <w:lang w:val="es-ES"/>
        </w:rPr>
        <w:t xml:space="preserve">y para los países </w:t>
      </w:r>
      <w:r w:rsidR="00A21B5C" w:rsidRPr="003241BA">
        <w:rPr>
          <w:rFonts w:ascii="Arial" w:hAnsi="Arial" w:cs="Arial"/>
          <w:sz w:val="22"/>
          <w:szCs w:val="22"/>
          <w:lang w:val="es-ES"/>
        </w:rPr>
        <w:t>OCDE corresponde a 4,8</w:t>
      </w:r>
      <w:r w:rsidR="003F0342" w:rsidRPr="003241BA">
        <w:rPr>
          <w:rFonts w:ascii="Arial" w:hAnsi="Arial" w:cs="Arial"/>
          <w:sz w:val="22"/>
          <w:szCs w:val="22"/>
          <w:lang w:val="es-ES"/>
        </w:rPr>
        <w:t xml:space="preserve">. </w:t>
      </w:r>
    </w:p>
    <w:p w:rsidR="004E59A4" w:rsidRDefault="004E59A4" w:rsidP="00001476">
      <w:pPr>
        <w:tabs>
          <w:tab w:val="left" w:pos="4891"/>
        </w:tabs>
        <w:spacing w:line="276" w:lineRule="auto"/>
        <w:rPr>
          <w:rFonts w:ascii="Arial" w:hAnsi="Arial" w:cs="Arial"/>
          <w:b/>
          <w:sz w:val="22"/>
          <w:szCs w:val="22"/>
          <w:lang w:val="es-ES"/>
        </w:rPr>
      </w:pPr>
    </w:p>
    <w:p w:rsidR="004E59A4" w:rsidRPr="003241BA" w:rsidRDefault="004E59A4" w:rsidP="003241BA">
      <w:pPr>
        <w:pStyle w:val="ListParagraph"/>
        <w:numPr>
          <w:ilvl w:val="0"/>
          <w:numId w:val="86"/>
        </w:numPr>
        <w:rPr>
          <w:rFonts w:ascii="Arial" w:hAnsi="Arial" w:cs="Arial"/>
          <w:b/>
          <w:sz w:val="22"/>
          <w:szCs w:val="22"/>
          <w:lang w:val="es-ES"/>
        </w:rPr>
      </w:pPr>
      <w:r w:rsidRPr="003241BA">
        <w:rPr>
          <w:rFonts w:ascii="Arial" w:hAnsi="Arial" w:cs="Arial"/>
          <w:b/>
          <w:sz w:val="22"/>
          <w:szCs w:val="22"/>
          <w:lang w:val="es-ES"/>
        </w:rPr>
        <w:br w:type="page"/>
      </w:r>
    </w:p>
    <w:p w:rsidR="00FA6732" w:rsidRPr="003241BA" w:rsidRDefault="00FA6732" w:rsidP="003241BA">
      <w:pPr>
        <w:pStyle w:val="ListParagraph"/>
        <w:tabs>
          <w:tab w:val="left" w:pos="4891"/>
        </w:tabs>
        <w:spacing w:line="276" w:lineRule="auto"/>
        <w:ind w:left="990"/>
        <w:rPr>
          <w:rFonts w:ascii="Arial" w:hAnsi="Arial" w:cs="Arial"/>
          <w:b/>
          <w:sz w:val="22"/>
          <w:szCs w:val="22"/>
          <w:lang w:val="es-ES"/>
        </w:rPr>
      </w:pPr>
      <w:r w:rsidRPr="003241BA">
        <w:rPr>
          <w:rFonts w:ascii="Arial" w:hAnsi="Arial" w:cs="Arial"/>
          <w:b/>
          <w:sz w:val="22"/>
          <w:szCs w:val="22"/>
          <w:lang w:val="es-ES"/>
        </w:rPr>
        <w:lastRenderedPageBreak/>
        <w:t>Gráfico 4</w:t>
      </w:r>
    </w:p>
    <w:p w:rsidR="00FA6732" w:rsidRPr="003241BA" w:rsidRDefault="0023503D" w:rsidP="003241BA">
      <w:pPr>
        <w:pStyle w:val="ListParagraph"/>
        <w:tabs>
          <w:tab w:val="left" w:pos="4891"/>
        </w:tabs>
        <w:spacing w:line="276" w:lineRule="auto"/>
        <w:ind w:left="990"/>
        <w:jc w:val="both"/>
        <w:rPr>
          <w:rFonts w:ascii="Arial" w:hAnsi="Arial" w:cs="Arial"/>
          <w:sz w:val="18"/>
          <w:szCs w:val="22"/>
          <w:lang w:val="es-ES_tradnl"/>
        </w:rPr>
      </w:pPr>
      <w:r>
        <w:rPr>
          <w:noProof/>
          <w:lang w:val="en-US"/>
        </w:rPr>
        <w:drawing>
          <wp:inline distT="0" distB="0" distL="0" distR="0" wp14:anchorId="5F34CD9A" wp14:editId="07C0806A">
            <wp:extent cx="5236210" cy="4213860"/>
            <wp:effectExtent l="0" t="0" r="2540" b="0"/>
            <wp:docPr id="4"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A6732" w:rsidRPr="003241BA">
        <w:rPr>
          <w:rFonts w:ascii="Arial" w:hAnsi="Arial" w:cs="Arial"/>
          <w:sz w:val="18"/>
          <w:szCs w:val="22"/>
          <w:lang w:val="es-ES_tradnl"/>
        </w:rPr>
        <w:t xml:space="preserve">Fuente: Elaboración propia en base </w:t>
      </w:r>
      <w:r w:rsidR="002F4D8E" w:rsidRPr="003241BA">
        <w:rPr>
          <w:rFonts w:ascii="Arial" w:hAnsi="Arial" w:cs="Arial"/>
          <w:sz w:val="18"/>
          <w:szCs w:val="22"/>
          <w:lang w:val="es-ES_tradnl"/>
        </w:rPr>
        <w:t>a</w:t>
      </w:r>
      <w:r w:rsidR="00D11FED" w:rsidRPr="003241BA">
        <w:rPr>
          <w:rFonts w:ascii="Arial" w:hAnsi="Arial" w:cs="Arial"/>
          <w:sz w:val="18"/>
          <w:szCs w:val="22"/>
          <w:lang w:val="es-ES_tradnl"/>
        </w:rPr>
        <w:t xml:space="preserve">l </w:t>
      </w:r>
      <w:r w:rsidR="00D11FED" w:rsidRPr="003241BA">
        <w:rPr>
          <w:rFonts w:ascii="Arial" w:hAnsi="Arial" w:cs="Arial"/>
          <w:sz w:val="18"/>
          <w:szCs w:val="22"/>
          <w:lang w:val="es-ES"/>
        </w:rPr>
        <w:t xml:space="preserve">Índice de Competitividad Global </w:t>
      </w:r>
      <w:r w:rsidR="002F4D8E" w:rsidRPr="003241BA">
        <w:rPr>
          <w:rFonts w:ascii="Arial" w:hAnsi="Arial" w:cs="Arial"/>
          <w:sz w:val="18"/>
          <w:szCs w:val="22"/>
          <w:lang w:val="es-ES_tradnl"/>
        </w:rPr>
        <w:t>del Foro Económico Mundial.</w:t>
      </w:r>
    </w:p>
    <w:p w:rsidR="008F78ED" w:rsidRPr="00A42D43" w:rsidRDefault="008F78ED" w:rsidP="00001476">
      <w:pPr>
        <w:tabs>
          <w:tab w:val="left" w:pos="4891"/>
        </w:tabs>
        <w:spacing w:line="276" w:lineRule="auto"/>
        <w:jc w:val="both"/>
        <w:rPr>
          <w:rFonts w:ascii="Arial" w:hAnsi="Arial" w:cs="Arial"/>
          <w:sz w:val="22"/>
          <w:szCs w:val="22"/>
          <w:lang w:val="es-ES"/>
        </w:rPr>
      </w:pPr>
    </w:p>
    <w:p w:rsidR="006F011B" w:rsidRPr="003241BA" w:rsidRDefault="009A23BF" w:rsidP="003241BA">
      <w:pPr>
        <w:pStyle w:val="Paragraph"/>
        <w:numPr>
          <w:ilvl w:val="1"/>
          <w:numId w:val="87"/>
        </w:numPr>
        <w:spacing w:before="0" w:after="0" w:line="276" w:lineRule="auto"/>
        <w:ind w:left="720" w:hanging="720"/>
        <w:rPr>
          <w:rFonts w:ascii="Arial" w:hAnsi="Arial" w:cs="Arial"/>
          <w:sz w:val="22"/>
          <w:szCs w:val="22"/>
          <w:lang w:val="es-ES"/>
        </w:rPr>
      </w:pPr>
      <w:r w:rsidRPr="003241BA">
        <w:rPr>
          <w:rFonts w:ascii="Arial" w:hAnsi="Arial" w:cs="Arial"/>
          <w:sz w:val="22"/>
          <w:szCs w:val="22"/>
          <w:lang w:val="es-ES"/>
        </w:rPr>
        <w:t xml:space="preserve">Adicionalmente, se </w:t>
      </w:r>
      <w:r w:rsidR="00692BC7" w:rsidRPr="003241BA">
        <w:rPr>
          <w:rFonts w:ascii="Arial" w:hAnsi="Arial" w:cs="Arial"/>
          <w:sz w:val="22"/>
          <w:szCs w:val="22"/>
          <w:lang w:val="es-ES"/>
        </w:rPr>
        <w:t>han dado mejoras en materia de ética y prevención de la corrupción</w:t>
      </w:r>
      <w:r w:rsidR="00CE78D7" w:rsidRPr="003241BA">
        <w:rPr>
          <w:rFonts w:ascii="Arial" w:hAnsi="Arial" w:cs="Arial"/>
          <w:sz w:val="22"/>
          <w:szCs w:val="22"/>
          <w:lang w:val="es-ES"/>
        </w:rPr>
        <w:t>; particularmente a partir de 2010-2011</w:t>
      </w:r>
      <w:r w:rsidRPr="003241BA">
        <w:rPr>
          <w:rFonts w:ascii="Arial" w:hAnsi="Arial" w:cs="Arial"/>
          <w:sz w:val="22"/>
          <w:szCs w:val="22"/>
          <w:lang w:val="es-ES"/>
        </w:rPr>
        <w:t xml:space="preserve">. El indicador de </w:t>
      </w:r>
      <w:r w:rsidR="00C7401D" w:rsidRPr="003241BA">
        <w:rPr>
          <w:rFonts w:ascii="Arial" w:hAnsi="Arial" w:cs="Arial"/>
          <w:sz w:val="22"/>
          <w:szCs w:val="22"/>
          <w:lang w:val="es-ES"/>
        </w:rPr>
        <w:t>É</w:t>
      </w:r>
      <w:r w:rsidRPr="003241BA">
        <w:rPr>
          <w:rFonts w:ascii="Arial" w:hAnsi="Arial" w:cs="Arial"/>
          <w:sz w:val="22"/>
          <w:szCs w:val="22"/>
          <w:lang w:val="es-ES"/>
        </w:rPr>
        <w:t xml:space="preserve">tica y </w:t>
      </w:r>
      <w:r w:rsidR="00C7401D" w:rsidRPr="003241BA">
        <w:rPr>
          <w:rFonts w:ascii="Arial" w:hAnsi="Arial" w:cs="Arial"/>
          <w:sz w:val="22"/>
          <w:szCs w:val="22"/>
          <w:lang w:val="es-ES"/>
        </w:rPr>
        <w:t>C</w:t>
      </w:r>
      <w:r w:rsidRPr="003241BA">
        <w:rPr>
          <w:rFonts w:ascii="Arial" w:hAnsi="Arial" w:cs="Arial"/>
          <w:sz w:val="22"/>
          <w:szCs w:val="22"/>
          <w:lang w:val="es-ES"/>
        </w:rPr>
        <w:t xml:space="preserve">orrupción </w:t>
      </w:r>
      <w:r w:rsidR="004B4659" w:rsidRPr="003241BA">
        <w:rPr>
          <w:rFonts w:ascii="Arial" w:hAnsi="Arial" w:cs="Arial"/>
          <w:sz w:val="22"/>
          <w:szCs w:val="22"/>
          <w:lang w:val="es-ES"/>
        </w:rPr>
        <w:t xml:space="preserve">evidencia un promedio </w:t>
      </w:r>
      <w:r w:rsidR="004B7935" w:rsidRPr="003241BA">
        <w:rPr>
          <w:rFonts w:ascii="Arial" w:hAnsi="Arial" w:cs="Arial"/>
          <w:sz w:val="22"/>
          <w:szCs w:val="22"/>
          <w:lang w:val="es-ES"/>
        </w:rPr>
        <w:t xml:space="preserve">para Chile </w:t>
      </w:r>
      <w:r w:rsidR="004B4659" w:rsidRPr="003241BA">
        <w:rPr>
          <w:rFonts w:ascii="Arial" w:hAnsi="Arial" w:cs="Arial"/>
          <w:sz w:val="22"/>
          <w:szCs w:val="22"/>
          <w:lang w:val="es-ES"/>
        </w:rPr>
        <w:t>de 4,4</w:t>
      </w:r>
      <w:r w:rsidR="00FA6732" w:rsidRPr="003241BA">
        <w:rPr>
          <w:rFonts w:ascii="Arial" w:hAnsi="Arial" w:cs="Arial"/>
          <w:sz w:val="22"/>
          <w:szCs w:val="22"/>
          <w:lang w:val="es-ES"/>
        </w:rPr>
        <w:t xml:space="preserve"> en </w:t>
      </w:r>
      <w:r w:rsidR="00DE53D9" w:rsidRPr="003241BA">
        <w:rPr>
          <w:rFonts w:ascii="Arial" w:hAnsi="Arial" w:cs="Arial"/>
          <w:sz w:val="22"/>
          <w:szCs w:val="22"/>
          <w:lang w:val="es-ES"/>
        </w:rPr>
        <w:t xml:space="preserve">las medidas de 2006-2007 a </w:t>
      </w:r>
      <w:r w:rsidR="00B131E3" w:rsidRPr="003241BA">
        <w:rPr>
          <w:rFonts w:ascii="Arial" w:hAnsi="Arial" w:cs="Arial"/>
          <w:sz w:val="22"/>
          <w:szCs w:val="22"/>
          <w:lang w:val="es-ES"/>
        </w:rPr>
        <w:t>201</w:t>
      </w:r>
      <w:r w:rsidR="00AD3A46" w:rsidRPr="003241BA">
        <w:rPr>
          <w:rFonts w:ascii="Arial" w:hAnsi="Arial" w:cs="Arial"/>
          <w:sz w:val="22"/>
          <w:szCs w:val="22"/>
          <w:lang w:val="es-ES"/>
        </w:rPr>
        <w:t>5</w:t>
      </w:r>
      <w:r w:rsidR="00B131E3" w:rsidRPr="003241BA">
        <w:rPr>
          <w:rFonts w:ascii="Arial" w:hAnsi="Arial" w:cs="Arial"/>
          <w:sz w:val="22"/>
          <w:szCs w:val="22"/>
          <w:lang w:val="es-ES"/>
        </w:rPr>
        <w:t>-201</w:t>
      </w:r>
      <w:r w:rsidR="00AD3A46" w:rsidRPr="003241BA">
        <w:rPr>
          <w:rFonts w:ascii="Arial" w:hAnsi="Arial" w:cs="Arial"/>
          <w:sz w:val="22"/>
          <w:szCs w:val="22"/>
          <w:lang w:val="es-ES"/>
        </w:rPr>
        <w:t>6</w:t>
      </w:r>
      <w:r w:rsidR="00B131E3" w:rsidRPr="003241BA">
        <w:rPr>
          <w:rFonts w:ascii="Arial" w:hAnsi="Arial" w:cs="Arial"/>
          <w:sz w:val="22"/>
          <w:szCs w:val="22"/>
          <w:lang w:val="es-ES"/>
        </w:rPr>
        <w:t xml:space="preserve">, comparado a un promedio de </w:t>
      </w:r>
      <w:r w:rsidR="00CE78D7" w:rsidRPr="003241BA">
        <w:rPr>
          <w:rFonts w:ascii="Arial" w:hAnsi="Arial" w:cs="Arial"/>
          <w:sz w:val="22"/>
          <w:szCs w:val="22"/>
          <w:lang w:val="es-ES"/>
        </w:rPr>
        <w:t>2,</w:t>
      </w:r>
      <w:r w:rsidR="00C7401D" w:rsidRPr="003241BA">
        <w:rPr>
          <w:rFonts w:ascii="Arial" w:hAnsi="Arial" w:cs="Arial"/>
          <w:sz w:val="22"/>
          <w:szCs w:val="22"/>
          <w:lang w:val="es-ES"/>
        </w:rPr>
        <w:t xml:space="preserve">6 de los países de ALC y de </w:t>
      </w:r>
      <w:r w:rsidR="00B131E3" w:rsidRPr="003241BA">
        <w:rPr>
          <w:rFonts w:ascii="Arial" w:hAnsi="Arial" w:cs="Arial"/>
          <w:sz w:val="22"/>
          <w:szCs w:val="22"/>
          <w:lang w:val="es-ES"/>
        </w:rPr>
        <w:t>4,6 de los países de ingreso alto de</w:t>
      </w:r>
      <w:r w:rsidR="00FA6732" w:rsidRPr="003241BA">
        <w:rPr>
          <w:rFonts w:ascii="Arial" w:hAnsi="Arial" w:cs="Arial"/>
          <w:sz w:val="22"/>
          <w:szCs w:val="22"/>
          <w:lang w:val="es-ES"/>
        </w:rPr>
        <w:t xml:space="preserve"> </w:t>
      </w:r>
      <w:r w:rsidR="00B131E3" w:rsidRPr="003241BA">
        <w:rPr>
          <w:rFonts w:ascii="Arial" w:hAnsi="Arial" w:cs="Arial"/>
          <w:sz w:val="22"/>
          <w:szCs w:val="22"/>
          <w:lang w:val="es-ES"/>
        </w:rPr>
        <w:t xml:space="preserve">la </w:t>
      </w:r>
      <w:r w:rsidR="00FA6732" w:rsidRPr="003241BA">
        <w:rPr>
          <w:rFonts w:ascii="Arial" w:hAnsi="Arial" w:cs="Arial"/>
          <w:sz w:val="22"/>
          <w:szCs w:val="22"/>
          <w:lang w:val="es-ES"/>
        </w:rPr>
        <w:t>OCDE</w:t>
      </w:r>
      <w:r w:rsidR="00B131E3" w:rsidRPr="003241BA">
        <w:rPr>
          <w:rFonts w:ascii="Arial" w:hAnsi="Arial" w:cs="Arial"/>
          <w:sz w:val="22"/>
          <w:szCs w:val="22"/>
          <w:lang w:val="es-ES"/>
        </w:rPr>
        <w:t xml:space="preserve"> para el </w:t>
      </w:r>
      <w:r w:rsidR="00FA6732" w:rsidRPr="003241BA">
        <w:rPr>
          <w:rFonts w:ascii="Arial" w:hAnsi="Arial" w:cs="Arial"/>
          <w:sz w:val="22"/>
          <w:szCs w:val="22"/>
          <w:lang w:val="es-ES"/>
        </w:rPr>
        <w:t>mismo período.</w:t>
      </w:r>
      <w:r w:rsidR="00B131E3" w:rsidRPr="003241BA">
        <w:rPr>
          <w:rFonts w:ascii="Arial" w:hAnsi="Arial" w:cs="Arial"/>
          <w:sz w:val="22"/>
          <w:szCs w:val="22"/>
          <w:lang w:val="es-ES"/>
        </w:rPr>
        <w:t xml:space="preserve"> </w:t>
      </w:r>
      <w:r w:rsidR="00CE78D7" w:rsidRPr="003241BA">
        <w:rPr>
          <w:rFonts w:ascii="Arial" w:hAnsi="Arial" w:cs="Arial"/>
          <w:sz w:val="22"/>
          <w:szCs w:val="22"/>
          <w:lang w:val="es-ES"/>
        </w:rPr>
        <w:t>Similar desempeño se reporta en el caso del Indicador de pagos Irregulares y Coimas, en que el país registra un promedio de 5,7 puntos entre 2010-2011 y 2015-2016, comparado a un promedio de 3,5 de los países de ALC y de 5,5 de los países de alto ingreso de la OCDE para el mismo período. Los</w:t>
      </w:r>
      <w:r w:rsidR="00B131E3" w:rsidRPr="003241BA">
        <w:rPr>
          <w:rFonts w:ascii="Arial" w:hAnsi="Arial" w:cs="Arial"/>
          <w:sz w:val="22"/>
          <w:szCs w:val="22"/>
          <w:lang w:val="es-ES"/>
        </w:rPr>
        <w:t xml:space="preserve"> Gráfico</w:t>
      </w:r>
      <w:r w:rsidR="00CE78D7" w:rsidRPr="003241BA">
        <w:rPr>
          <w:rFonts w:ascii="Arial" w:hAnsi="Arial" w:cs="Arial"/>
          <w:sz w:val="22"/>
          <w:szCs w:val="22"/>
          <w:lang w:val="es-ES"/>
        </w:rPr>
        <w:t>s</w:t>
      </w:r>
      <w:r w:rsidR="00B131E3" w:rsidRPr="003241BA">
        <w:rPr>
          <w:rFonts w:ascii="Arial" w:hAnsi="Arial" w:cs="Arial"/>
          <w:sz w:val="22"/>
          <w:szCs w:val="22"/>
          <w:lang w:val="es-ES"/>
        </w:rPr>
        <w:t xml:space="preserve"> 5 </w:t>
      </w:r>
      <w:r w:rsidR="00CE78D7" w:rsidRPr="003241BA">
        <w:rPr>
          <w:rFonts w:ascii="Arial" w:hAnsi="Arial" w:cs="Arial"/>
          <w:sz w:val="22"/>
          <w:szCs w:val="22"/>
          <w:lang w:val="es-ES"/>
        </w:rPr>
        <w:t xml:space="preserve">y </w:t>
      </w:r>
      <w:r w:rsidR="00B131E3" w:rsidRPr="003241BA">
        <w:rPr>
          <w:rFonts w:ascii="Arial" w:hAnsi="Arial" w:cs="Arial"/>
          <w:sz w:val="22"/>
          <w:szCs w:val="22"/>
          <w:lang w:val="es-ES"/>
        </w:rPr>
        <w:t>muestra</w:t>
      </w:r>
      <w:r w:rsidR="00CE78D7" w:rsidRPr="003241BA">
        <w:rPr>
          <w:rFonts w:ascii="Arial" w:hAnsi="Arial" w:cs="Arial"/>
          <w:sz w:val="22"/>
          <w:szCs w:val="22"/>
          <w:lang w:val="es-ES"/>
        </w:rPr>
        <w:t>n</w:t>
      </w:r>
      <w:r w:rsidR="00B131E3" w:rsidRPr="003241BA">
        <w:rPr>
          <w:rFonts w:ascii="Arial" w:hAnsi="Arial" w:cs="Arial"/>
          <w:sz w:val="22"/>
          <w:szCs w:val="22"/>
          <w:lang w:val="es-ES"/>
        </w:rPr>
        <w:t xml:space="preserve"> la evolución de</w:t>
      </w:r>
      <w:r w:rsidR="00CE78D7" w:rsidRPr="003241BA">
        <w:rPr>
          <w:rFonts w:ascii="Arial" w:hAnsi="Arial" w:cs="Arial"/>
          <w:sz w:val="22"/>
          <w:szCs w:val="22"/>
          <w:lang w:val="es-ES"/>
        </w:rPr>
        <w:t xml:space="preserve"> estos dos</w:t>
      </w:r>
      <w:r w:rsidR="00B131E3" w:rsidRPr="003241BA">
        <w:rPr>
          <w:rFonts w:ascii="Arial" w:hAnsi="Arial" w:cs="Arial"/>
          <w:sz w:val="22"/>
          <w:szCs w:val="22"/>
          <w:lang w:val="es-ES"/>
        </w:rPr>
        <w:t xml:space="preserve"> indicador</w:t>
      </w:r>
      <w:r w:rsidR="00CE78D7" w:rsidRPr="003241BA">
        <w:rPr>
          <w:rFonts w:ascii="Arial" w:hAnsi="Arial" w:cs="Arial"/>
          <w:sz w:val="22"/>
          <w:szCs w:val="22"/>
          <w:lang w:val="es-ES"/>
        </w:rPr>
        <w:t>es</w:t>
      </w:r>
      <w:r w:rsidR="00B131E3" w:rsidRPr="003241BA">
        <w:rPr>
          <w:rFonts w:ascii="Arial" w:hAnsi="Arial" w:cs="Arial"/>
          <w:sz w:val="22"/>
          <w:szCs w:val="22"/>
          <w:lang w:val="es-ES"/>
        </w:rPr>
        <w:t xml:space="preserve"> para dicho periodo.</w:t>
      </w:r>
    </w:p>
    <w:p w:rsidR="00872E9F" w:rsidRPr="00A42D43" w:rsidRDefault="00872E9F" w:rsidP="00001476">
      <w:pPr>
        <w:spacing w:line="276" w:lineRule="auto"/>
        <w:rPr>
          <w:rFonts w:ascii="Arial" w:hAnsi="Arial" w:cs="Arial"/>
          <w:sz w:val="22"/>
          <w:szCs w:val="22"/>
          <w:lang w:val="es-ES"/>
        </w:rPr>
      </w:pPr>
    </w:p>
    <w:p w:rsidR="004E59A4" w:rsidRPr="003241BA" w:rsidRDefault="004E59A4" w:rsidP="003241BA">
      <w:pPr>
        <w:pStyle w:val="ListParagraph"/>
        <w:numPr>
          <w:ilvl w:val="0"/>
          <w:numId w:val="86"/>
        </w:numPr>
        <w:rPr>
          <w:rFonts w:ascii="Arial" w:hAnsi="Arial" w:cs="Arial"/>
          <w:b/>
          <w:sz w:val="22"/>
          <w:szCs w:val="22"/>
          <w:lang w:val="es-ES_tradnl"/>
        </w:rPr>
      </w:pPr>
      <w:r w:rsidRPr="003241BA">
        <w:rPr>
          <w:rFonts w:ascii="Arial" w:hAnsi="Arial" w:cs="Arial"/>
          <w:b/>
          <w:sz w:val="22"/>
          <w:szCs w:val="22"/>
          <w:lang w:val="es-ES_tradnl"/>
        </w:rPr>
        <w:br w:type="page"/>
      </w:r>
    </w:p>
    <w:p w:rsidR="00C7401D" w:rsidRPr="003241BA" w:rsidRDefault="00C7401D" w:rsidP="003241BA">
      <w:pPr>
        <w:tabs>
          <w:tab w:val="left" w:pos="4891"/>
        </w:tabs>
        <w:spacing w:line="276" w:lineRule="auto"/>
        <w:ind w:left="630"/>
        <w:rPr>
          <w:rFonts w:ascii="Arial" w:hAnsi="Arial" w:cs="Arial"/>
          <w:b/>
          <w:sz w:val="22"/>
          <w:szCs w:val="22"/>
          <w:lang w:val="es-ES_tradnl"/>
        </w:rPr>
      </w:pPr>
      <w:r w:rsidRPr="003241BA">
        <w:rPr>
          <w:rFonts w:ascii="Arial" w:hAnsi="Arial" w:cs="Arial"/>
          <w:b/>
          <w:sz w:val="22"/>
          <w:szCs w:val="22"/>
          <w:lang w:val="es-ES_tradnl"/>
        </w:rPr>
        <w:lastRenderedPageBreak/>
        <w:t>Gráfico 5</w:t>
      </w:r>
    </w:p>
    <w:p w:rsidR="00C7401D" w:rsidRPr="003241BA" w:rsidRDefault="0023503D" w:rsidP="003241BA">
      <w:pPr>
        <w:pStyle w:val="ListParagraph"/>
        <w:tabs>
          <w:tab w:val="left" w:pos="4891"/>
        </w:tabs>
        <w:spacing w:line="276" w:lineRule="auto"/>
        <w:ind w:left="990"/>
        <w:jc w:val="both"/>
        <w:rPr>
          <w:rFonts w:ascii="Arial" w:hAnsi="Arial" w:cs="Arial"/>
          <w:sz w:val="18"/>
          <w:szCs w:val="22"/>
          <w:lang w:val="es-ES_tradnl"/>
        </w:rPr>
      </w:pPr>
      <w:r>
        <w:rPr>
          <w:noProof/>
          <w:lang w:val="en-US"/>
        </w:rPr>
        <w:drawing>
          <wp:inline distT="0" distB="0" distL="0" distR="0" wp14:anchorId="7F0B1275" wp14:editId="66D01C4C">
            <wp:extent cx="4475480" cy="3642995"/>
            <wp:effectExtent l="0" t="0" r="1270" b="0"/>
            <wp:docPr id="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7401D" w:rsidRPr="003241BA">
        <w:rPr>
          <w:rFonts w:ascii="Arial" w:hAnsi="Arial" w:cs="Arial"/>
          <w:sz w:val="18"/>
          <w:szCs w:val="22"/>
          <w:lang w:val="es-ES_tradnl"/>
        </w:rPr>
        <w:t xml:space="preserve">Fuente: Elaboración propia en base a datos del </w:t>
      </w:r>
      <w:r w:rsidR="00C7401D" w:rsidRPr="003241BA">
        <w:rPr>
          <w:rFonts w:ascii="Arial" w:hAnsi="Arial" w:cs="Arial"/>
          <w:sz w:val="18"/>
          <w:szCs w:val="22"/>
        </w:rPr>
        <w:t>Índice de Competitividad Global del Foro Económico</w:t>
      </w:r>
      <w:r w:rsidR="00C7401D" w:rsidRPr="003241BA">
        <w:rPr>
          <w:rFonts w:ascii="Arial" w:hAnsi="Arial" w:cs="Arial"/>
          <w:sz w:val="18"/>
          <w:szCs w:val="22"/>
          <w:lang w:val="es-ES_tradnl"/>
        </w:rPr>
        <w:t>.</w:t>
      </w:r>
    </w:p>
    <w:p w:rsidR="00AD3A46" w:rsidRPr="00A42D43" w:rsidRDefault="00AD3A46" w:rsidP="00001476">
      <w:pPr>
        <w:tabs>
          <w:tab w:val="left" w:pos="4891"/>
        </w:tabs>
        <w:spacing w:line="276" w:lineRule="auto"/>
        <w:jc w:val="both"/>
        <w:rPr>
          <w:rFonts w:ascii="Arial" w:hAnsi="Arial" w:cs="Arial"/>
          <w:sz w:val="22"/>
          <w:szCs w:val="22"/>
          <w:lang w:val="es-ES"/>
        </w:rPr>
      </w:pPr>
    </w:p>
    <w:p w:rsidR="00692BC7" w:rsidRPr="003241BA" w:rsidRDefault="00E01E40" w:rsidP="003241BA">
      <w:pPr>
        <w:pStyle w:val="ListParagraph"/>
        <w:tabs>
          <w:tab w:val="left" w:pos="4891"/>
        </w:tabs>
        <w:spacing w:line="276" w:lineRule="auto"/>
        <w:ind w:left="990"/>
        <w:rPr>
          <w:rFonts w:ascii="Arial" w:hAnsi="Arial" w:cs="Arial"/>
          <w:b/>
          <w:sz w:val="22"/>
          <w:szCs w:val="22"/>
          <w:lang w:val="es-ES_tradnl"/>
        </w:rPr>
      </w:pPr>
      <w:r w:rsidRPr="003241BA">
        <w:rPr>
          <w:rFonts w:ascii="Arial" w:hAnsi="Arial" w:cs="Arial"/>
          <w:b/>
          <w:sz w:val="22"/>
          <w:szCs w:val="22"/>
          <w:lang w:val="es-ES_tradnl"/>
        </w:rPr>
        <w:t>Gráfico 6</w:t>
      </w:r>
    </w:p>
    <w:p w:rsidR="00897793" w:rsidRPr="003241BA" w:rsidRDefault="0023503D" w:rsidP="003241BA">
      <w:pPr>
        <w:tabs>
          <w:tab w:val="left" w:pos="4891"/>
        </w:tabs>
        <w:spacing w:line="276" w:lineRule="auto"/>
        <w:ind w:left="630"/>
        <w:rPr>
          <w:rFonts w:ascii="Arial" w:hAnsi="Arial" w:cs="Arial"/>
          <w:sz w:val="18"/>
          <w:szCs w:val="22"/>
          <w:lang w:val="es-ES_tradnl"/>
        </w:rPr>
      </w:pPr>
      <w:r>
        <w:rPr>
          <w:noProof/>
          <w:sz w:val="22"/>
          <w:lang w:val="en-US"/>
        </w:rPr>
        <w:drawing>
          <wp:inline distT="0" distB="0" distL="0" distR="0" wp14:anchorId="58DA6AF2" wp14:editId="4E45AFDD">
            <wp:extent cx="5594985" cy="3516630"/>
            <wp:effectExtent l="0" t="0" r="5715" b="7620"/>
            <wp:docPr id="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27B43" w:rsidRPr="003241BA">
        <w:rPr>
          <w:rFonts w:ascii="Arial" w:hAnsi="Arial" w:cs="Arial"/>
          <w:sz w:val="18"/>
          <w:szCs w:val="22"/>
          <w:lang w:val="es-ES_tradnl"/>
        </w:rPr>
        <w:t>Fuente: Elaboración p</w:t>
      </w:r>
      <w:r w:rsidR="00897793" w:rsidRPr="003241BA">
        <w:rPr>
          <w:rFonts w:ascii="Arial" w:hAnsi="Arial" w:cs="Arial"/>
          <w:sz w:val="18"/>
          <w:szCs w:val="22"/>
          <w:lang w:val="es-ES_tradnl"/>
        </w:rPr>
        <w:t xml:space="preserve">ropia en </w:t>
      </w:r>
      <w:r w:rsidR="00095478" w:rsidRPr="003241BA">
        <w:rPr>
          <w:rFonts w:ascii="Arial" w:hAnsi="Arial" w:cs="Arial"/>
          <w:sz w:val="18"/>
          <w:szCs w:val="22"/>
          <w:lang w:val="es-ES_tradnl"/>
        </w:rPr>
        <w:t>base a datos del Foro Económico Mundial.</w:t>
      </w:r>
    </w:p>
    <w:p w:rsidR="004E59A4" w:rsidRDefault="004E59A4" w:rsidP="00001476">
      <w:pPr>
        <w:tabs>
          <w:tab w:val="left" w:pos="4891"/>
        </w:tabs>
        <w:spacing w:line="276" w:lineRule="auto"/>
        <w:jc w:val="both"/>
        <w:rPr>
          <w:rFonts w:ascii="Arial" w:hAnsi="Arial" w:cs="Arial"/>
          <w:sz w:val="22"/>
          <w:szCs w:val="22"/>
          <w:lang w:val="es-ES"/>
        </w:rPr>
      </w:pPr>
    </w:p>
    <w:p w:rsidR="00070F5A" w:rsidRPr="003241BA" w:rsidRDefault="00070F5A" w:rsidP="003241BA">
      <w:pPr>
        <w:pStyle w:val="Paragraph"/>
        <w:numPr>
          <w:ilvl w:val="1"/>
          <w:numId w:val="87"/>
        </w:numPr>
        <w:spacing w:before="0" w:after="0" w:line="276" w:lineRule="auto"/>
        <w:ind w:left="720" w:hanging="720"/>
        <w:rPr>
          <w:rFonts w:ascii="Arial" w:hAnsi="Arial" w:cs="Arial"/>
          <w:b/>
          <w:sz w:val="22"/>
          <w:szCs w:val="22"/>
        </w:rPr>
      </w:pPr>
      <w:r w:rsidRPr="003241BA">
        <w:rPr>
          <w:rFonts w:ascii="Arial" w:hAnsi="Arial" w:cs="Arial"/>
          <w:sz w:val="22"/>
          <w:szCs w:val="22"/>
          <w:lang w:val="es-ES"/>
        </w:rPr>
        <w:lastRenderedPageBreak/>
        <w:t>Por el contrario, como se puede observar en el Gráfico 7, el indicador que mide el favoritismo de las decisiones de los funcionarios evidencia para Chile promedios semejantes al promedio de los países miembros de la OCDE. Sin embargo, en las últimas mediciones el indicador para Chile empeoró respecto de la ventaja que había sacado al promedio de la OCDE en la medición del periodo 201</w:t>
      </w:r>
      <w:r w:rsidR="00E913AC" w:rsidRPr="003241BA">
        <w:rPr>
          <w:rFonts w:ascii="Arial" w:hAnsi="Arial" w:cs="Arial"/>
          <w:sz w:val="22"/>
          <w:szCs w:val="22"/>
          <w:lang w:val="es-ES"/>
        </w:rPr>
        <w:t>0</w:t>
      </w:r>
      <w:r w:rsidRPr="003241BA">
        <w:rPr>
          <w:rFonts w:ascii="Arial" w:hAnsi="Arial" w:cs="Arial"/>
          <w:sz w:val="22"/>
          <w:szCs w:val="22"/>
          <w:lang w:val="es-ES"/>
        </w:rPr>
        <w:t>-2012</w:t>
      </w:r>
      <w:r w:rsidR="00E913AC" w:rsidRPr="003241BA">
        <w:rPr>
          <w:rFonts w:ascii="Arial" w:hAnsi="Arial" w:cs="Arial"/>
          <w:sz w:val="22"/>
          <w:szCs w:val="22"/>
          <w:lang w:val="es-ES"/>
        </w:rPr>
        <w:t xml:space="preserve"> a 2014-2015</w:t>
      </w:r>
      <w:r w:rsidRPr="003241BA">
        <w:rPr>
          <w:rFonts w:ascii="Arial" w:hAnsi="Arial" w:cs="Arial"/>
          <w:sz w:val="22"/>
          <w:szCs w:val="22"/>
          <w:lang w:val="es-ES"/>
        </w:rPr>
        <w:t xml:space="preserve">. </w:t>
      </w:r>
    </w:p>
    <w:p w:rsidR="004E59A4" w:rsidRDefault="004E59A4">
      <w:pPr>
        <w:rPr>
          <w:rFonts w:ascii="Arial" w:hAnsi="Arial" w:cs="Arial"/>
          <w:b/>
          <w:sz w:val="22"/>
          <w:szCs w:val="22"/>
          <w:lang w:val="es-ES_tradnl"/>
        </w:rPr>
      </w:pPr>
    </w:p>
    <w:p w:rsidR="00897793" w:rsidRPr="003241BA" w:rsidRDefault="00897793" w:rsidP="003241BA">
      <w:pPr>
        <w:pStyle w:val="ListParagraph"/>
        <w:tabs>
          <w:tab w:val="left" w:pos="4891"/>
        </w:tabs>
        <w:spacing w:line="276" w:lineRule="auto"/>
        <w:ind w:left="990"/>
        <w:rPr>
          <w:rFonts w:ascii="Arial" w:hAnsi="Arial" w:cs="Arial"/>
          <w:b/>
          <w:sz w:val="22"/>
          <w:szCs w:val="22"/>
          <w:lang w:val="es-ES_tradnl"/>
        </w:rPr>
      </w:pPr>
      <w:r w:rsidRPr="003241BA">
        <w:rPr>
          <w:rFonts w:ascii="Arial" w:hAnsi="Arial" w:cs="Arial"/>
          <w:b/>
          <w:sz w:val="22"/>
          <w:szCs w:val="22"/>
          <w:lang w:val="es-ES_tradnl"/>
        </w:rPr>
        <w:t>Gráfico 7</w:t>
      </w:r>
    </w:p>
    <w:p w:rsidR="00897793" w:rsidRPr="003241BA" w:rsidRDefault="0023503D" w:rsidP="003241BA">
      <w:pPr>
        <w:tabs>
          <w:tab w:val="left" w:pos="4891"/>
        </w:tabs>
        <w:spacing w:line="276" w:lineRule="auto"/>
        <w:ind w:left="630"/>
        <w:rPr>
          <w:rFonts w:ascii="Arial" w:hAnsi="Arial" w:cs="Arial"/>
          <w:sz w:val="18"/>
          <w:szCs w:val="22"/>
          <w:lang w:val="es-ES_tradnl"/>
        </w:rPr>
      </w:pPr>
      <w:r>
        <w:rPr>
          <w:noProof/>
          <w:sz w:val="22"/>
          <w:lang w:val="en-US"/>
        </w:rPr>
        <w:drawing>
          <wp:inline distT="0" distB="0" distL="0" distR="0" wp14:anchorId="627884FA" wp14:editId="449266E7">
            <wp:extent cx="5617845" cy="3738245"/>
            <wp:effectExtent l="0" t="0" r="1905"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97793" w:rsidRPr="003241BA">
        <w:rPr>
          <w:rFonts w:ascii="Arial" w:hAnsi="Arial" w:cs="Arial"/>
          <w:sz w:val="18"/>
          <w:szCs w:val="22"/>
          <w:lang w:val="es-ES_tradnl"/>
        </w:rPr>
        <w:t xml:space="preserve">Fuente: Elaboración propia en </w:t>
      </w:r>
      <w:r w:rsidR="00095478" w:rsidRPr="003241BA">
        <w:rPr>
          <w:rFonts w:ascii="Arial" w:hAnsi="Arial" w:cs="Arial"/>
          <w:sz w:val="18"/>
          <w:szCs w:val="22"/>
          <w:lang w:val="es-ES_tradnl"/>
        </w:rPr>
        <w:t>base a datos del Foro Económico Mundial.</w:t>
      </w:r>
    </w:p>
    <w:p w:rsidR="006F011B" w:rsidRPr="00A42D43" w:rsidRDefault="006F011B" w:rsidP="00001476">
      <w:pPr>
        <w:tabs>
          <w:tab w:val="left" w:pos="4891"/>
        </w:tabs>
        <w:spacing w:line="276" w:lineRule="auto"/>
        <w:jc w:val="both"/>
        <w:rPr>
          <w:rFonts w:ascii="Arial" w:hAnsi="Arial" w:cs="Arial"/>
          <w:b/>
          <w:sz w:val="22"/>
          <w:szCs w:val="22"/>
          <w:lang w:val="es-ES_tradnl"/>
        </w:rPr>
      </w:pPr>
    </w:p>
    <w:p w:rsidR="00070F5A" w:rsidRPr="003241BA" w:rsidRDefault="00070F5A" w:rsidP="003241BA">
      <w:pPr>
        <w:pStyle w:val="Paragraph"/>
        <w:numPr>
          <w:ilvl w:val="1"/>
          <w:numId w:val="87"/>
        </w:numPr>
        <w:spacing w:before="0" w:after="0" w:line="276" w:lineRule="auto"/>
        <w:ind w:left="720" w:hanging="720"/>
        <w:rPr>
          <w:rFonts w:ascii="Arial" w:hAnsi="Arial" w:cs="Arial"/>
          <w:sz w:val="22"/>
          <w:szCs w:val="22"/>
          <w:lang w:val="es-ES"/>
        </w:rPr>
      </w:pPr>
      <w:r w:rsidRPr="003241BA">
        <w:rPr>
          <w:rFonts w:ascii="Arial" w:hAnsi="Arial" w:cs="Arial"/>
          <w:sz w:val="22"/>
          <w:szCs w:val="22"/>
          <w:lang w:val="es-ES"/>
        </w:rPr>
        <w:t xml:space="preserve">Respecto a indicadores de cómo se experimenta en situaciones cotidianas el estado de derecho surge el Índice de Estado de Derecho y Justicia </w:t>
      </w:r>
      <w:r w:rsidRPr="003241BA">
        <w:rPr>
          <w:rFonts w:ascii="Arial" w:hAnsi="Arial" w:cs="Arial"/>
          <w:i/>
          <w:sz w:val="22"/>
          <w:szCs w:val="22"/>
        </w:rPr>
        <w:t>World Justice Pro</w:t>
      </w:r>
      <w:r w:rsidR="00546285" w:rsidRPr="003241BA">
        <w:rPr>
          <w:rFonts w:ascii="Arial" w:hAnsi="Arial" w:cs="Arial"/>
          <w:i/>
          <w:sz w:val="22"/>
          <w:szCs w:val="22"/>
        </w:rPr>
        <w:t>j</w:t>
      </w:r>
      <w:r w:rsidRPr="003241BA">
        <w:rPr>
          <w:rFonts w:ascii="Arial" w:hAnsi="Arial" w:cs="Arial"/>
          <w:i/>
          <w:sz w:val="22"/>
          <w:szCs w:val="22"/>
        </w:rPr>
        <w:t>ect</w:t>
      </w:r>
      <w:r w:rsidRPr="003241BA">
        <w:rPr>
          <w:rFonts w:ascii="Arial" w:hAnsi="Arial" w:cs="Arial"/>
          <w:sz w:val="22"/>
          <w:szCs w:val="22"/>
        </w:rPr>
        <w:t xml:space="preserve"> (WJP)</w:t>
      </w:r>
      <w:r w:rsidR="00D33004" w:rsidRPr="00A42D43">
        <w:rPr>
          <w:rStyle w:val="FootnoteReference"/>
          <w:rFonts w:ascii="Arial" w:hAnsi="Arial" w:cs="Arial"/>
          <w:sz w:val="22"/>
          <w:szCs w:val="22"/>
        </w:rPr>
        <w:footnoteReference w:id="9"/>
      </w:r>
      <w:r w:rsidRPr="003241BA">
        <w:rPr>
          <w:rFonts w:ascii="Arial" w:hAnsi="Arial" w:cs="Arial"/>
          <w:sz w:val="22"/>
          <w:szCs w:val="22"/>
        </w:rPr>
        <w:t>;</w:t>
      </w:r>
      <w:r w:rsidRPr="003241BA">
        <w:rPr>
          <w:rFonts w:ascii="Arial" w:hAnsi="Arial" w:cs="Arial"/>
          <w:sz w:val="22"/>
          <w:szCs w:val="22"/>
          <w:lang w:val="es-ES"/>
        </w:rPr>
        <w:t xml:space="preserve"> el cual se construye en base a 8 categorías entre las que se incluyen: (i) restricciones en el poder de gobernanza, (ii) ausencia de corrupción, (iii) apertura del gobierno, (iv) derechos fundamentales, (v) orden y seguridad, (vi) autoridad regulatoria efectiva, (vii) justicia civil y (viii) justicia penal.       </w:t>
      </w:r>
    </w:p>
    <w:p w:rsidR="00070F5A" w:rsidRPr="00A42D43" w:rsidRDefault="00070F5A" w:rsidP="00001476">
      <w:pPr>
        <w:tabs>
          <w:tab w:val="left" w:pos="4891"/>
        </w:tabs>
        <w:spacing w:line="276" w:lineRule="auto"/>
        <w:jc w:val="both"/>
        <w:rPr>
          <w:rFonts w:ascii="Arial" w:hAnsi="Arial" w:cs="Arial"/>
          <w:sz w:val="22"/>
          <w:szCs w:val="22"/>
          <w:lang w:val="es-ES"/>
        </w:rPr>
      </w:pPr>
    </w:p>
    <w:p w:rsidR="00070F5A" w:rsidRPr="003241BA" w:rsidRDefault="00070F5A" w:rsidP="003241BA">
      <w:pPr>
        <w:pStyle w:val="Paragraph"/>
        <w:numPr>
          <w:ilvl w:val="1"/>
          <w:numId w:val="87"/>
        </w:numPr>
        <w:spacing w:before="0" w:after="0" w:line="276" w:lineRule="auto"/>
        <w:ind w:left="720" w:hanging="720"/>
        <w:rPr>
          <w:rFonts w:ascii="Arial" w:hAnsi="Arial" w:cs="Arial"/>
          <w:b/>
          <w:sz w:val="22"/>
          <w:szCs w:val="22"/>
          <w:lang w:val="es-ES"/>
        </w:rPr>
      </w:pPr>
      <w:r w:rsidRPr="003241BA">
        <w:rPr>
          <w:rFonts w:ascii="Arial" w:hAnsi="Arial" w:cs="Arial"/>
          <w:sz w:val="22"/>
          <w:szCs w:val="22"/>
          <w:lang w:val="es-ES"/>
        </w:rPr>
        <w:t xml:space="preserve">Según datos del año 2015, el Índice de Estado de Derecho y Justicia es de 0,68 para Chile, en escala de 0 a 1 (mejor desempeño); siendo de 0,51 para el promedio de ALC y de 0,73 para el promedio de la Unión Europea (UE), la Asociación Europea de Libre Comercio (EFTA) y América del Norte. Chile ocupa la </w:t>
      </w:r>
      <w:r w:rsidRPr="003241BA">
        <w:rPr>
          <w:rFonts w:ascii="Arial" w:hAnsi="Arial" w:cs="Arial"/>
          <w:sz w:val="22"/>
          <w:szCs w:val="22"/>
          <w:lang w:val="es-ES"/>
        </w:rPr>
        <w:lastRenderedPageBreak/>
        <w:t>tercera posición a nivel regional, la posición número 25 en los países con el mismo nivel de ingreso y la posición 26 dentro del ranking global.</w:t>
      </w:r>
    </w:p>
    <w:p w:rsidR="00070F5A" w:rsidRPr="00A42D43" w:rsidRDefault="00070F5A" w:rsidP="00001476">
      <w:pPr>
        <w:tabs>
          <w:tab w:val="left" w:pos="4891"/>
        </w:tabs>
        <w:spacing w:line="276" w:lineRule="auto"/>
        <w:jc w:val="both"/>
        <w:rPr>
          <w:rFonts w:ascii="Arial" w:hAnsi="Arial" w:cs="Arial"/>
          <w:sz w:val="22"/>
          <w:szCs w:val="22"/>
          <w:lang w:val="es-ES"/>
        </w:rPr>
      </w:pPr>
    </w:p>
    <w:p w:rsidR="006D7901" w:rsidRPr="003241BA" w:rsidRDefault="00E31C7C"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Uno de los aspectos que se evalúa dentro de la categoría de derechos fundamentales es la igualdad en el trato y a</w:t>
      </w:r>
      <w:r w:rsidR="00095478" w:rsidRPr="003241BA">
        <w:rPr>
          <w:rFonts w:ascii="Arial" w:hAnsi="Arial" w:cs="Arial"/>
          <w:sz w:val="22"/>
          <w:szCs w:val="22"/>
        </w:rPr>
        <w:t>usencia de discriminación. E</w:t>
      </w:r>
      <w:r w:rsidR="00373324" w:rsidRPr="003241BA">
        <w:rPr>
          <w:rFonts w:ascii="Arial" w:hAnsi="Arial" w:cs="Arial"/>
          <w:sz w:val="22"/>
          <w:szCs w:val="22"/>
        </w:rPr>
        <w:t xml:space="preserve">l promedio para la UE, EFTA y América del Norte </w:t>
      </w:r>
      <w:r w:rsidR="00095478" w:rsidRPr="003241BA">
        <w:rPr>
          <w:rFonts w:ascii="Arial" w:hAnsi="Arial" w:cs="Arial"/>
          <w:sz w:val="22"/>
          <w:szCs w:val="22"/>
        </w:rPr>
        <w:t xml:space="preserve">(0,73) </w:t>
      </w:r>
      <w:r w:rsidR="00AF2292" w:rsidRPr="003241BA">
        <w:rPr>
          <w:rFonts w:ascii="Arial" w:hAnsi="Arial" w:cs="Arial"/>
          <w:sz w:val="22"/>
          <w:szCs w:val="22"/>
        </w:rPr>
        <w:t>y el promedio de</w:t>
      </w:r>
      <w:r w:rsidR="00373324" w:rsidRPr="003241BA">
        <w:rPr>
          <w:rFonts w:ascii="Arial" w:hAnsi="Arial" w:cs="Arial"/>
          <w:sz w:val="22"/>
          <w:szCs w:val="22"/>
        </w:rPr>
        <w:t xml:space="preserve"> ALC </w:t>
      </w:r>
      <w:r w:rsidR="00095478" w:rsidRPr="003241BA">
        <w:rPr>
          <w:rFonts w:ascii="Arial" w:hAnsi="Arial" w:cs="Arial"/>
          <w:sz w:val="22"/>
          <w:szCs w:val="22"/>
        </w:rPr>
        <w:t xml:space="preserve">(0,53) </w:t>
      </w:r>
      <w:r w:rsidR="00373324" w:rsidRPr="003241BA">
        <w:rPr>
          <w:rFonts w:ascii="Arial" w:hAnsi="Arial" w:cs="Arial"/>
          <w:sz w:val="22"/>
          <w:szCs w:val="22"/>
        </w:rPr>
        <w:t>supera al valor del índice para Chile</w:t>
      </w:r>
      <w:r w:rsidR="00095478" w:rsidRPr="003241BA">
        <w:rPr>
          <w:rFonts w:ascii="Arial" w:hAnsi="Arial" w:cs="Arial"/>
          <w:sz w:val="22"/>
          <w:szCs w:val="22"/>
        </w:rPr>
        <w:t xml:space="preserve"> (0,51)</w:t>
      </w:r>
      <w:r w:rsidR="004F43BF" w:rsidRPr="003241BA">
        <w:rPr>
          <w:rFonts w:ascii="Arial" w:hAnsi="Arial" w:cs="Arial"/>
          <w:sz w:val="22"/>
          <w:szCs w:val="22"/>
        </w:rPr>
        <w:t>,</w:t>
      </w:r>
      <w:r w:rsidR="00373324" w:rsidRPr="003241BA">
        <w:rPr>
          <w:rFonts w:ascii="Arial" w:hAnsi="Arial" w:cs="Arial"/>
          <w:sz w:val="22"/>
          <w:szCs w:val="22"/>
        </w:rPr>
        <w:t xml:space="preserve"> sugiriendo que resta mucho por hacer en esta dirección. </w:t>
      </w:r>
    </w:p>
    <w:p w:rsidR="00FE1A1A" w:rsidRPr="00A42D43" w:rsidRDefault="00FE1A1A" w:rsidP="00001476">
      <w:pPr>
        <w:tabs>
          <w:tab w:val="left" w:pos="4891"/>
        </w:tabs>
        <w:spacing w:line="276" w:lineRule="auto"/>
        <w:jc w:val="both"/>
        <w:rPr>
          <w:rFonts w:ascii="Arial" w:hAnsi="Arial" w:cs="Arial"/>
          <w:sz w:val="22"/>
          <w:szCs w:val="22"/>
          <w:lang w:val="es-ES_tradnl"/>
        </w:rPr>
      </w:pPr>
    </w:p>
    <w:p w:rsidR="002F0D53" w:rsidRPr="003241BA" w:rsidRDefault="002F0D53"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Asimismo, dentro del factor que mide la autoridad regulatoria efectiva se encuentra un sub-factor relacionado con el cumplimiento del debido proceso en los procedimientos administrativos. En este caso, Chile obtiene un puntaje de 0,45, comparado con el 0,39 que correspon</w:t>
      </w:r>
      <w:r w:rsidR="00AF2292" w:rsidRPr="003241BA">
        <w:rPr>
          <w:rFonts w:ascii="Arial" w:hAnsi="Arial" w:cs="Arial"/>
          <w:sz w:val="22"/>
          <w:szCs w:val="22"/>
        </w:rPr>
        <w:t xml:space="preserve">de al promedio de </w:t>
      </w:r>
      <w:r w:rsidRPr="003241BA">
        <w:rPr>
          <w:rFonts w:ascii="Arial" w:hAnsi="Arial" w:cs="Arial"/>
          <w:sz w:val="22"/>
          <w:szCs w:val="22"/>
        </w:rPr>
        <w:t>ALC y con el 0,62 que corresponde con el promedio de los países de altos ingresos.</w:t>
      </w:r>
    </w:p>
    <w:p w:rsidR="00FE1A1A" w:rsidRPr="00A42D43" w:rsidRDefault="00FE1A1A" w:rsidP="00001476">
      <w:pPr>
        <w:tabs>
          <w:tab w:val="left" w:pos="4891"/>
        </w:tabs>
        <w:spacing w:line="276" w:lineRule="auto"/>
        <w:jc w:val="both"/>
        <w:rPr>
          <w:rFonts w:ascii="Arial" w:hAnsi="Arial" w:cs="Arial"/>
          <w:sz w:val="22"/>
          <w:szCs w:val="22"/>
          <w:lang w:val="es-ES_tradnl"/>
        </w:rPr>
      </w:pPr>
    </w:p>
    <w:p w:rsidR="006C5FC6" w:rsidRPr="003241BA" w:rsidRDefault="006C5FC6"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A pesar del buen desempeño general de estos indicadores, la existencia de debilidades institucionales y regulatorias que opacan el desempeño de la gestión pública en áreas clave para la prevención y el control de la corrupción</w:t>
      </w:r>
      <w:r w:rsidR="00E913AC" w:rsidRPr="003241BA">
        <w:rPr>
          <w:rFonts w:ascii="Arial" w:hAnsi="Arial" w:cs="Arial"/>
          <w:sz w:val="22"/>
          <w:szCs w:val="22"/>
        </w:rPr>
        <w:t>;</w:t>
      </w:r>
      <w:r w:rsidRPr="003241BA">
        <w:rPr>
          <w:rFonts w:ascii="Arial" w:hAnsi="Arial" w:cs="Arial"/>
          <w:sz w:val="22"/>
          <w:szCs w:val="22"/>
        </w:rPr>
        <w:t xml:space="preserve"> y la necesidad de</w:t>
      </w:r>
      <w:r w:rsidRPr="003241BA">
        <w:rPr>
          <w:rFonts w:ascii="Arial" w:hAnsi="Arial" w:cs="Arial"/>
          <w:sz w:val="22"/>
          <w:szCs w:val="22"/>
          <w:lang w:val="es-ES"/>
        </w:rPr>
        <w:t xml:space="preserve"> consolidar una cultura cívica apegada a los mayores estándares de probidad, tanto en el Estado como en la sociedad, son las razones por las cuales el Gobierno de Chile se propuso una agenda de modernización del Estado para fortalecer los estándares y prácticas de transparencia y probidad en la g</w:t>
      </w:r>
      <w:r w:rsidR="004F43BF" w:rsidRPr="003241BA">
        <w:rPr>
          <w:rFonts w:ascii="Arial" w:hAnsi="Arial" w:cs="Arial"/>
          <w:sz w:val="22"/>
          <w:szCs w:val="22"/>
          <w:lang w:val="es-ES"/>
        </w:rPr>
        <w:t>estión pública integrada en el P</w:t>
      </w:r>
      <w:r w:rsidRPr="003241BA">
        <w:rPr>
          <w:rFonts w:ascii="Arial" w:hAnsi="Arial" w:cs="Arial"/>
          <w:sz w:val="22"/>
          <w:szCs w:val="22"/>
          <w:lang w:val="es-ES"/>
        </w:rPr>
        <w:t xml:space="preserve">rograma de </w:t>
      </w:r>
      <w:r w:rsidR="004F43BF" w:rsidRPr="003241BA">
        <w:rPr>
          <w:rFonts w:ascii="Arial" w:hAnsi="Arial" w:cs="Arial"/>
          <w:sz w:val="22"/>
          <w:szCs w:val="22"/>
          <w:lang w:val="es-ES"/>
        </w:rPr>
        <w:t xml:space="preserve">Gobierno </w:t>
      </w:r>
      <w:r w:rsidRPr="003241BA">
        <w:rPr>
          <w:rFonts w:ascii="Arial" w:hAnsi="Arial" w:cs="Arial"/>
          <w:sz w:val="22"/>
          <w:szCs w:val="22"/>
          <w:lang w:val="es-ES"/>
        </w:rPr>
        <w:t>“Chile para Todos”</w:t>
      </w:r>
      <w:r w:rsidRPr="00A42D43">
        <w:rPr>
          <w:rStyle w:val="FootnoteReference"/>
          <w:rFonts w:ascii="Arial" w:hAnsi="Arial" w:cs="Arial"/>
          <w:sz w:val="22"/>
          <w:szCs w:val="22"/>
          <w:lang w:val="es-ES"/>
        </w:rPr>
        <w:footnoteReference w:id="10"/>
      </w:r>
      <w:r w:rsidRPr="003241BA">
        <w:rPr>
          <w:rFonts w:ascii="Arial" w:hAnsi="Arial" w:cs="Arial"/>
          <w:sz w:val="22"/>
          <w:szCs w:val="22"/>
          <w:lang w:val="es-ES"/>
        </w:rPr>
        <w:t>. Los escándalos de corrupción</w:t>
      </w:r>
      <w:r w:rsidR="00E913AC" w:rsidRPr="003241BA">
        <w:rPr>
          <w:rFonts w:ascii="Arial" w:hAnsi="Arial" w:cs="Arial"/>
          <w:sz w:val="22"/>
          <w:szCs w:val="22"/>
          <w:lang w:val="es-ES"/>
        </w:rPr>
        <w:t>,</w:t>
      </w:r>
      <w:r w:rsidRPr="003241BA">
        <w:rPr>
          <w:rFonts w:ascii="Arial" w:hAnsi="Arial" w:cs="Arial"/>
          <w:sz w:val="22"/>
          <w:szCs w:val="22"/>
          <w:lang w:val="es-ES"/>
        </w:rPr>
        <w:t xml:space="preserve"> </w:t>
      </w:r>
      <w:r w:rsidR="00E913AC" w:rsidRPr="003241BA">
        <w:rPr>
          <w:rFonts w:ascii="Arial" w:hAnsi="Arial" w:cs="Arial"/>
          <w:sz w:val="22"/>
          <w:szCs w:val="22"/>
          <w:lang w:val="es-ES"/>
        </w:rPr>
        <w:t xml:space="preserve">que salieron a luz pública desde fines de 2014, </w:t>
      </w:r>
      <w:r w:rsidRPr="003241BA">
        <w:rPr>
          <w:rFonts w:ascii="Arial" w:hAnsi="Arial" w:cs="Arial"/>
          <w:sz w:val="22"/>
          <w:szCs w:val="22"/>
          <w:lang w:val="es-ES"/>
        </w:rPr>
        <w:t>en los ámbitos públicos, privados y en lo político, crearon un ambiente de desconfianza entre los ciudadanos respecto de sus representantes. Esto derivó en la creación del</w:t>
      </w:r>
      <w:r w:rsidRPr="003241BA">
        <w:rPr>
          <w:rFonts w:ascii="Arial" w:hAnsi="Arial" w:cs="Arial"/>
          <w:sz w:val="22"/>
          <w:szCs w:val="22"/>
        </w:rPr>
        <w:t xml:space="preserve"> </w:t>
      </w:r>
      <w:r w:rsidRPr="003241BA">
        <w:rPr>
          <w:rFonts w:ascii="Arial" w:hAnsi="Arial" w:cs="Arial"/>
          <w:i/>
          <w:sz w:val="22"/>
          <w:szCs w:val="22"/>
        </w:rPr>
        <w:t>Consejo Asesor Presidencial contra el Tráfico de Influencias, Conflictos de Interés y Corrupción</w:t>
      </w:r>
      <w:r w:rsidRPr="00A42D43">
        <w:rPr>
          <w:rStyle w:val="FootnoteReference"/>
          <w:rFonts w:ascii="Arial" w:hAnsi="Arial" w:cs="Arial"/>
          <w:sz w:val="22"/>
          <w:szCs w:val="22"/>
        </w:rPr>
        <w:footnoteReference w:id="11"/>
      </w:r>
      <w:r w:rsidRPr="003241BA">
        <w:rPr>
          <w:rFonts w:ascii="Arial" w:hAnsi="Arial" w:cs="Arial"/>
          <w:sz w:val="22"/>
          <w:szCs w:val="22"/>
          <w:lang w:val="es-ES"/>
        </w:rPr>
        <w:t xml:space="preserve">, cuyas propuestas resultaron integradas dentro de la </w:t>
      </w:r>
      <w:r w:rsidRPr="003241BA">
        <w:rPr>
          <w:rFonts w:ascii="Arial" w:hAnsi="Arial" w:cs="Arial"/>
          <w:sz w:val="22"/>
          <w:szCs w:val="22"/>
        </w:rPr>
        <w:t>APT.</w:t>
      </w:r>
    </w:p>
    <w:p w:rsidR="00656E0B" w:rsidRPr="00A42D43" w:rsidRDefault="00656E0B" w:rsidP="00001476">
      <w:pPr>
        <w:tabs>
          <w:tab w:val="left" w:pos="4891"/>
        </w:tabs>
        <w:spacing w:line="276" w:lineRule="auto"/>
        <w:jc w:val="both"/>
        <w:rPr>
          <w:rFonts w:ascii="Arial" w:hAnsi="Arial" w:cs="Arial"/>
          <w:sz w:val="22"/>
          <w:szCs w:val="22"/>
          <w:lang w:val="es-ES"/>
        </w:rPr>
      </w:pPr>
    </w:p>
    <w:p w:rsidR="006C5FC6" w:rsidRPr="003241BA" w:rsidRDefault="00574F53"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lang w:val="es-ES"/>
        </w:rPr>
        <w:t xml:space="preserve">El </w:t>
      </w:r>
      <w:r w:rsidR="00605E6E" w:rsidRPr="003241BA">
        <w:rPr>
          <w:rFonts w:ascii="Arial" w:hAnsi="Arial" w:cs="Arial"/>
          <w:sz w:val="22"/>
          <w:szCs w:val="22"/>
          <w:lang w:val="es-ES"/>
        </w:rPr>
        <w:t>P</w:t>
      </w:r>
      <w:r w:rsidRPr="003241BA">
        <w:rPr>
          <w:rFonts w:ascii="Arial" w:hAnsi="Arial" w:cs="Arial"/>
          <w:sz w:val="22"/>
          <w:szCs w:val="22"/>
          <w:lang w:val="es-ES"/>
        </w:rPr>
        <w:t>rograma descripto</w:t>
      </w:r>
      <w:r w:rsidR="006C5FC6" w:rsidRPr="003241BA">
        <w:rPr>
          <w:rFonts w:ascii="Arial" w:hAnsi="Arial" w:cs="Arial"/>
          <w:sz w:val="22"/>
          <w:szCs w:val="22"/>
          <w:lang w:val="es-ES"/>
        </w:rPr>
        <w:t xml:space="preserve"> en el presente informe tiene como objetivo </w:t>
      </w:r>
      <w:r w:rsidR="006C5FC6" w:rsidRPr="003241BA">
        <w:rPr>
          <w:rFonts w:ascii="Arial" w:hAnsi="Arial" w:cs="Arial"/>
          <w:sz w:val="22"/>
          <w:szCs w:val="22"/>
        </w:rPr>
        <w:t>apoyar la APT de Chile</w:t>
      </w:r>
      <w:r w:rsidR="00605E6E" w:rsidRPr="003241BA">
        <w:rPr>
          <w:rFonts w:ascii="Arial" w:hAnsi="Arial" w:cs="Arial"/>
          <w:sz w:val="22"/>
          <w:szCs w:val="22"/>
        </w:rPr>
        <w:t>,</w:t>
      </w:r>
      <w:r w:rsidR="006C5FC6" w:rsidRPr="003241BA">
        <w:rPr>
          <w:rFonts w:ascii="Arial" w:hAnsi="Arial" w:cs="Arial"/>
          <w:sz w:val="22"/>
          <w:szCs w:val="22"/>
        </w:rPr>
        <w:t xml:space="preserve"> </w:t>
      </w:r>
      <w:r w:rsidR="00605E6E" w:rsidRPr="003241BA">
        <w:rPr>
          <w:rFonts w:ascii="Arial" w:hAnsi="Arial" w:cs="Arial"/>
          <w:sz w:val="22"/>
          <w:szCs w:val="22"/>
        </w:rPr>
        <w:t xml:space="preserve">la cual se origina del </w:t>
      </w:r>
      <w:r w:rsidR="00872E9F" w:rsidRPr="003241BA">
        <w:rPr>
          <w:rFonts w:ascii="Arial" w:hAnsi="Arial" w:cs="Arial"/>
          <w:sz w:val="22"/>
          <w:szCs w:val="22"/>
        </w:rPr>
        <w:t>reconocimiento</w:t>
      </w:r>
      <w:r w:rsidR="006C5FC6" w:rsidRPr="003241BA">
        <w:rPr>
          <w:rFonts w:ascii="Arial" w:hAnsi="Arial" w:cs="Arial"/>
          <w:sz w:val="22"/>
          <w:szCs w:val="22"/>
        </w:rPr>
        <w:t xml:space="preserve"> explícit</w:t>
      </w:r>
      <w:r w:rsidR="00605E6E" w:rsidRPr="003241BA">
        <w:rPr>
          <w:rFonts w:ascii="Arial" w:hAnsi="Arial" w:cs="Arial"/>
          <w:sz w:val="22"/>
          <w:szCs w:val="22"/>
        </w:rPr>
        <w:t>o</w:t>
      </w:r>
      <w:r w:rsidR="006C5FC6" w:rsidRPr="003241BA">
        <w:rPr>
          <w:rFonts w:ascii="Arial" w:hAnsi="Arial" w:cs="Arial"/>
          <w:sz w:val="22"/>
          <w:szCs w:val="22"/>
        </w:rPr>
        <w:t xml:space="preserve"> de </w:t>
      </w:r>
      <w:r w:rsidR="006C5FC6" w:rsidRPr="003241BA">
        <w:rPr>
          <w:rFonts w:ascii="Arial" w:hAnsi="Arial" w:cs="Arial"/>
          <w:sz w:val="22"/>
          <w:szCs w:val="22"/>
          <w:lang w:val="es-ES"/>
        </w:rPr>
        <w:t>desafíos</w:t>
      </w:r>
      <w:r w:rsidR="006C5FC6" w:rsidRPr="00A42D43">
        <w:rPr>
          <w:rStyle w:val="FootnoteReference"/>
          <w:rFonts w:ascii="Arial" w:hAnsi="Arial" w:cs="Arial"/>
          <w:sz w:val="22"/>
          <w:szCs w:val="22"/>
        </w:rPr>
        <w:footnoteReference w:id="12"/>
      </w:r>
      <w:r w:rsidR="006C5FC6" w:rsidRPr="003241BA">
        <w:rPr>
          <w:rFonts w:ascii="Arial" w:hAnsi="Arial" w:cs="Arial"/>
          <w:sz w:val="22"/>
          <w:szCs w:val="22"/>
          <w:lang w:val="es-ES"/>
        </w:rPr>
        <w:t xml:space="preserve"> </w:t>
      </w:r>
      <w:r w:rsidRPr="003241BA">
        <w:rPr>
          <w:rFonts w:ascii="Arial" w:hAnsi="Arial" w:cs="Arial"/>
          <w:sz w:val="22"/>
          <w:szCs w:val="22"/>
          <w:lang w:val="es-ES"/>
        </w:rPr>
        <w:t>respecto</w:t>
      </w:r>
      <w:r w:rsidR="006C5FC6" w:rsidRPr="003241BA">
        <w:rPr>
          <w:rFonts w:ascii="Arial" w:hAnsi="Arial" w:cs="Arial"/>
          <w:sz w:val="22"/>
          <w:szCs w:val="22"/>
          <w:lang w:val="es-ES"/>
        </w:rPr>
        <w:t xml:space="preserve"> al marco legal e institucional necesario para garantizar que la gestión pública sea guiada en estricto apego a principios</w:t>
      </w:r>
      <w:r w:rsidR="006C5FC6" w:rsidRPr="003241BA">
        <w:rPr>
          <w:rFonts w:ascii="Arial" w:hAnsi="Arial" w:cs="Arial"/>
          <w:sz w:val="22"/>
          <w:szCs w:val="22"/>
        </w:rPr>
        <w:t xml:space="preserve"> de ética, integridad y transparencia, para el eficaz control de la corrupción.</w:t>
      </w:r>
    </w:p>
    <w:p w:rsidR="00872E9F" w:rsidRPr="00A42D43" w:rsidRDefault="00872E9F" w:rsidP="00001476">
      <w:pPr>
        <w:tabs>
          <w:tab w:val="left" w:pos="4891"/>
        </w:tabs>
        <w:spacing w:line="276" w:lineRule="auto"/>
        <w:jc w:val="both"/>
        <w:rPr>
          <w:rFonts w:ascii="Arial" w:hAnsi="Arial" w:cs="Arial"/>
          <w:sz w:val="22"/>
          <w:szCs w:val="22"/>
          <w:lang w:val="es-ES_tradnl"/>
        </w:rPr>
      </w:pPr>
    </w:p>
    <w:p w:rsidR="00FE1A1A" w:rsidRPr="003241BA" w:rsidRDefault="006C5FC6"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Por consiguiente, se espera que los componentes del programa evidencien su </w:t>
      </w:r>
      <w:r w:rsidR="00D646E8" w:rsidRPr="003241BA">
        <w:rPr>
          <w:rFonts w:ascii="Arial" w:hAnsi="Arial" w:cs="Arial"/>
          <w:sz w:val="22"/>
          <w:szCs w:val="22"/>
        </w:rPr>
        <w:t>aporte a los objetivos de la APT</w:t>
      </w:r>
      <w:r w:rsidRPr="003241BA">
        <w:rPr>
          <w:rFonts w:ascii="Arial" w:hAnsi="Arial" w:cs="Arial"/>
          <w:sz w:val="22"/>
          <w:szCs w:val="22"/>
        </w:rPr>
        <w:t xml:space="preserve"> mediante </w:t>
      </w:r>
      <w:r w:rsidR="00605E6E" w:rsidRPr="003241BA">
        <w:rPr>
          <w:rFonts w:ascii="Arial" w:hAnsi="Arial" w:cs="Arial"/>
          <w:sz w:val="22"/>
          <w:szCs w:val="22"/>
        </w:rPr>
        <w:t xml:space="preserve">el mantenimiento (o mejora), dado que el país reporta estándares altos, de los niveles </w:t>
      </w:r>
      <w:r w:rsidRPr="003241BA">
        <w:rPr>
          <w:rFonts w:ascii="Arial" w:hAnsi="Arial" w:cs="Arial"/>
          <w:sz w:val="22"/>
          <w:szCs w:val="22"/>
        </w:rPr>
        <w:t xml:space="preserve">en los siguientes indicadores propuestos: </w:t>
      </w:r>
      <w:r w:rsidR="008D7DB2" w:rsidRPr="003241BA">
        <w:rPr>
          <w:rFonts w:ascii="Arial" w:hAnsi="Arial" w:cs="Arial"/>
          <w:sz w:val="22"/>
          <w:szCs w:val="22"/>
        </w:rPr>
        <w:t xml:space="preserve">(i) índice de control de la corrupción; (ii) efectividad del gobierno; (iii) nivel de libertad y compromiso de sus ciudadanos, los tres del Índice Mundial de Gobernabilidad del Banco Mundial; (iv) indicador de transparencia de las </w:t>
      </w:r>
      <w:r w:rsidR="008D7DB2" w:rsidRPr="003241BA">
        <w:rPr>
          <w:rFonts w:ascii="Arial" w:hAnsi="Arial" w:cs="Arial"/>
          <w:sz w:val="22"/>
          <w:szCs w:val="22"/>
        </w:rPr>
        <w:lastRenderedPageBreak/>
        <w:t>políticas del gobierno; (v) indicador de comportamiento ético de las empresas; y (vi) indicador de eficiencia del gobierno, estos últimos tres del Índice de Competitividad Gl</w:t>
      </w:r>
      <w:r w:rsidR="00E913AC" w:rsidRPr="003241BA">
        <w:rPr>
          <w:rFonts w:ascii="Arial" w:hAnsi="Arial" w:cs="Arial"/>
          <w:sz w:val="22"/>
          <w:szCs w:val="22"/>
        </w:rPr>
        <w:t xml:space="preserve">obal del Foro Económico Mundial; así como del </w:t>
      </w:r>
      <w:r w:rsidR="00546285" w:rsidRPr="003241BA">
        <w:rPr>
          <w:rFonts w:ascii="Arial" w:hAnsi="Arial" w:cs="Arial"/>
          <w:sz w:val="22"/>
          <w:szCs w:val="22"/>
        </w:rPr>
        <w:t>Índice</w:t>
      </w:r>
      <w:r w:rsidR="00E913AC" w:rsidRPr="003241BA">
        <w:rPr>
          <w:rFonts w:ascii="Arial" w:hAnsi="Arial" w:cs="Arial"/>
          <w:sz w:val="22"/>
          <w:szCs w:val="22"/>
        </w:rPr>
        <w:t xml:space="preserve"> de Estado de Derecho y Justicia del </w:t>
      </w:r>
      <w:r w:rsidR="00E913AC" w:rsidRPr="003241BA">
        <w:rPr>
          <w:rFonts w:ascii="Arial" w:hAnsi="Arial" w:cs="Arial"/>
          <w:i/>
          <w:sz w:val="22"/>
          <w:szCs w:val="22"/>
        </w:rPr>
        <w:t>World Justice Project</w:t>
      </w:r>
      <w:r w:rsidR="00E913AC" w:rsidRPr="003241BA">
        <w:rPr>
          <w:rFonts w:ascii="Arial" w:hAnsi="Arial" w:cs="Arial"/>
          <w:sz w:val="22"/>
          <w:szCs w:val="22"/>
        </w:rPr>
        <w:t>.</w:t>
      </w:r>
    </w:p>
    <w:p w:rsidR="00872E9F" w:rsidRPr="00A42D43" w:rsidRDefault="00872E9F" w:rsidP="00001476">
      <w:pPr>
        <w:tabs>
          <w:tab w:val="left" w:pos="4891"/>
        </w:tabs>
        <w:spacing w:line="276" w:lineRule="auto"/>
        <w:jc w:val="both"/>
        <w:rPr>
          <w:rFonts w:ascii="Arial" w:hAnsi="Arial" w:cs="Arial"/>
          <w:b/>
          <w:sz w:val="22"/>
          <w:szCs w:val="22"/>
        </w:rPr>
      </w:pPr>
    </w:p>
    <w:p w:rsidR="00404FEE" w:rsidRPr="003241BA" w:rsidRDefault="00404FEE" w:rsidP="003241BA">
      <w:pPr>
        <w:pStyle w:val="ListParagraph"/>
        <w:numPr>
          <w:ilvl w:val="0"/>
          <w:numId w:val="86"/>
        </w:numPr>
        <w:rPr>
          <w:rFonts w:ascii="Arial" w:hAnsi="Arial" w:cs="Arial"/>
          <w:b/>
          <w:sz w:val="22"/>
          <w:szCs w:val="22"/>
        </w:rPr>
      </w:pPr>
      <w:r w:rsidRPr="003241BA">
        <w:rPr>
          <w:rFonts w:ascii="Arial" w:hAnsi="Arial" w:cs="Arial"/>
          <w:b/>
          <w:sz w:val="22"/>
          <w:szCs w:val="22"/>
        </w:rPr>
        <w:br w:type="page"/>
      </w:r>
    </w:p>
    <w:p w:rsidR="00983C62" w:rsidRPr="003241BA" w:rsidRDefault="00404FEE" w:rsidP="003241BA">
      <w:pPr>
        <w:pStyle w:val="ListParagraph"/>
        <w:numPr>
          <w:ilvl w:val="0"/>
          <w:numId w:val="33"/>
        </w:numPr>
        <w:tabs>
          <w:tab w:val="left" w:pos="4891"/>
        </w:tabs>
        <w:spacing w:line="276" w:lineRule="auto"/>
        <w:ind w:hanging="720"/>
        <w:jc w:val="both"/>
        <w:rPr>
          <w:rFonts w:ascii="Arial" w:hAnsi="Arial" w:cs="Arial"/>
          <w:b/>
          <w:sz w:val="22"/>
          <w:szCs w:val="22"/>
        </w:rPr>
      </w:pPr>
      <w:r w:rsidRPr="003241BA">
        <w:rPr>
          <w:rFonts w:ascii="Arial" w:hAnsi="Arial" w:cs="Arial"/>
          <w:b/>
          <w:sz w:val="22"/>
          <w:szCs w:val="22"/>
        </w:rPr>
        <w:lastRenderedPageBreak/>
        <w:t>ANÁLISIS DE IMPACTO</w:t>
      </w:r>
    </w:p>
    <w:p w:rsidR="004E59A4" w:rsidRDefault="004E59A4" w:rsidP="00001476">
      <w:pPr>
        <w:pStyle w:val="Paragraph"/>
        <w:numPr>
          <w:ilvl w:val="0"/>
          <w:numId w:val="0"/>
        </w:numPr>
        <w:spacing w:before="0" w:after="0" w:line="276" w:lineRule="auto"/>
        <w:rPr>
          <w:rFonts w:ascii="Arial" w:hAnsi="Arial" w:cs="Arial"/>
          <w:sz w:val="22"/>
          <w:szCs w:val="22"/>
        </w:rPr>
      </w:pPr>
    </w:p>
    <w:p w:rsidR="009B3EDD" w:rsidRPr="00A42D43" w:rsidRDefault="007956DD" w:rsidP="003241BA">
      <w:pPr>
        <w:pStyle w:val="Paragraph"/>
        <w:numPr>
          <w:ilvl w:val="1"/>
          <w:numId w:val="87"/>
        </w:numPr>
        <w:spacing w:before="0" w:after="0" w:line="276" w:lineRule="auto"/>
        <w:ind w:left="720" w:hanging="720"/>
        <w:rPr>
          <w:rFonts w:ascii="Arial" w:hAnsi="Arial" w:cs="Arial"/>
          <w:color w:val="222222"/>
          <w:sz w:val="22"/>
          <w:szCs w:val="22"/>
          <w:shd w:val="clear" w:color="auto" w:fill="FFFFFF"/>
        </w:rPr>
      </w:pPr>
      <w:r w:rsidRPr="00A42D43">
        <w:rPr>
          <w:rFonts w:ascii="Arial" w:hAnsi="Arial" w:cs="Arial"/>
          <w:sz w:val="22"/>
          <w:szCs w:val="22"/>
        </w:rPr>
        <w:t xml:space="preserve">Teniendo en cuenta la amplitud del conjunto de reformas que se desean evaluar, el análisis subsiguiente se concentra en proveer evidencia empírica </w:t>
      </w:r>
      <w:r w:rsidR="00353FC0" w:rsidRPr="00A42D43">
        <w:rPr>
          <w:rFonts w:ascii="Arial" w:hAnsi="Arial" w:cs="Arial"/>
          <w:color w:val="222222"/>
          <w:sz w:val="22"/>
          <w:szCs w:val="22"/>
          <w:shd w:val="clear" w:color="auto" w:fill="FFFFFF"/>
        </w:rPr>
        <w:t>de</w:t>
      </w:r>
      <w:r w:rsidR="00E64D27" w:rsidRPr="00A42D43">
        <w:rPr>
          <w:rFonts w:ascii="Arial" w:hAnsi="Arial" w:cs="Arial"/>
          <w:color w:val="222222"/>
          <w:sz w:val="22"/>
          <w:szCs w:val="22"/>
          <w:shd w:val="clear" w:color="auto" w:fill="FFFFFF"/>
        </w:rPr>
        <w:t>l potencial</w:t>
      </w:r>
      <w:r w:rsidR="00353FC0" w:rsidRPr="00A42D43">
        <w:rPr>
          <w:rFonts w:ascii="Arial" w:hAnsi="Arial" w:cs="Arial"/>
          <w:color w:val="222222"/>
          <w:sz w:val="22"/>
          <w:szCs w:val="22"/>
          <w:shd w:val="clear" w:color="auto" w:fill="FFFFFF"/>
        </w:rPr>
        <w:t xml:space="preserve"> impacto </w:t>
      </w:r>
      <w:r w:rsidR="00E64D27" w:rsidRPr="00A42D43">
        <w:rPr>
          <w:rFonts w:ascii="Arial" w:hAnsi="Arial" w:cs="Arial"/>
          <w:color w:val="222222"/>
          <w:sz w:val="22"/>
          <w:szCs w:val="22"/>
          <w:shd w:val="clear" w:color="auto" w:fill="FFFFFF"/>
        </w:rPr>
        <w:t xml:space="preserve">del programa </w:t>
      </w:r>
      <w:r w:rsidR="00353FC0" w:rsidRPr="00A42D43">
        <w:rPr>
          <w:rFonts w:ascii="Arial" w:hAnsi="Arial" w:cs="Arial"/>
          <w:color w:val="222222"/>
          <w:sz w:val="22"/>
          <w:szCs w:val="22"/>
          <w:shd w:val="clear" w:color="auto" w:fill="FFFFFF"/>
        </w:rPr>
        <w:t>sobre los indicadores descriptos.</w:t>
      </w:r>
    </w:p>
    <w:p w:rsidR="005F4DE7" w:rsidRPr="00A42D43" w:rsidRDefault="005F4DE7" w:rsidP="00001476">
      <w:pPr>
        <w:pStyle w:val="Paragraph"/>
        <w:numPr>
          <w:ilvl w:val="0"/>
          <w:numId w:val="0"/>
        </w:numPr>
        <w:spacing w:before="0" w:after="0" w:line="276" w:lineRule="auto"/>
        <w:rPr>
          <w:rFonts w:ascii="Arial" w:hAnsi="Arial" w:cs="Arial"/>
          <w:color w:val="222222"/>
          <w:sz w:val="22"/>
          <w:szCs w:val="22"/>
          <w:shd w:val="clear" w:color="auto" w:fill="FFFFFF"/>
        </w:rPr>
      </w:pPr>
    </w:p>
    <w:p w:rsidR="005F4DE7" w:rsidRPr="00A42D43" w:rsidRDefault="005F4DE7" w:rsidP="003241BA">
      <w:pPr>
        <w:pStyle w:val="Paragraph"/>
        <w:numPr>
          <w:ilvl w:val="1"/>
          <w:numId w:val="87"/>
        </w:numPr>
        <w:spacing w:before="0" w:after="0" w:line="276" w:lineRule="auto"/>
        <w:ind w:left="720" w:hanging="720"/>
        <w:rPr>
          <w:rFonts w:ascii="Arial" w:hAnsi="Arial" w:cs="Arial"/>
          <w:color w:val="222222"/>
          <w:sz w:val="22"/>
          <w:szCs w:val="22"/>
          <w:shd w:val="clear" w:color="auto" w:fill="FFFFFF"/>
        </w:rPr>
      </w:pPr>
      <w:r w:rsidRPr="00A42D43">
        <w:rPr>
          <w:rFonts w:ascii="Arial" w:hAnsi="Arial" w:cs="Arial"/>
          <w:color w:val="222222"/>
          <w:sz w:val="22"/>
          <w:szCs w:val="22"/>
          <w:shd w:val="clear" w:color="auto" w:fill="FFFFFF"/>
        </w:rPr>
        <w:t>A modo de introducción, se presenta una serie de gráficas que demuestran las altas correlaciones entre la corrupción (medida a través del Índice de Percepción de Corrupción de Transparencia Internacional) y la efectividad de gobierno (Banco Mundial), confianza en los políticos (Foro Económico Global), y el índice de desarrollo humano (Naciones Unidas)</w:t>
      </w:r>
      <w:r w:rsidR="000D0152" w:rsidRPr="00A42D43">
        <w:rPr>
          <w:rFonts w:ascii="Arial" w:hAnsi="Arial" w:cs="Arial"/>
          <w:color w:val="222222"/>
          <w:sz w:val="22"/>
          <w:szCs w:val="22"/>
          <w:shd w:val="clear" w:color="auto" w:fill="FFFFFF"/>
        </w:rPr>
        <w:t>, usando las últimas observaciones disponibles para los países de América Latina y el Caribe</w:t>
      </w:r>
      <w:r w:rsidRPr="00A42D43">
        <w:rPr>
          <w:rFonts w:ascii="Arial" w:hAnsi="Arial" w:cs="Arial"/>
          <w:color w:val="222222"/>
          <w:sz w:val="22"/>
          <w:szCs w:val="22"/>
          <w:shd w:val="clear" w:color="auto" w:fill="FFFFFF"/>
        </w:rPr>
        <w:t>.</w:t>
      </w:r>
    </w:p>
    <w:p w:rsidR="005F4DE7" w:rsidRPr="00A42D43" w:rsidRDefault="005F4DE7" w:rsidP="00001476">
      <w:pPr>
        <w:pStyle w:val="Paragraph"/>
        <w:numPr>
          <w:ilvl w:val="0"/>
          <w:numId w:val="0"/>
        </w:numPr>
        <w:spacing w:before="0" w:after="0" w:line="276" w:lineRule="auto"/>
        <w:rPr>
          <w:rFonts w:ascii="Arial" w:hAnsi="Arial" w:cs="Arial"/>
          <w:color w:val="222222"/>
          <w:sz w:val="22"/>
          <w:szCs w:val="22"/>
          <w:shd w:val="clear" w:color="auto" w:fill="FFFFFF"/>
        </w:rPr>
      </w:pPr>
    </w:p>
    <w:p w:rsidR="005F4DE7" w:rsidRPr="00A42D43" w:rsidRDefault="005F4DE7" w:rsidP="003241BA">
      <w:pPr>
        <w:pStyle w:val="Paragraph"/>
        <w:numPr>
          <w:ilvl w:val="0"/>
          <w:numId w:val="0"/>
        </w:numPr>
        <w:spacing w:before="0" w:after="0" w:line="276" w:lineRule="auto"/>
        <w:ind w:left="990"/>
        <w:jc w:val="center"/>
        <w:rPr>
          <w:rFonts w:ascii="Arial" w:hAnsi="Arial" w:cs="Arial"/>
          <w:b/>
          <w:color w:val="222222"/>
          <w:sz w:val="22"/>
          <w:szCs w:val="22"/>
          <w:shd w:val="clear" w:color="auto" w:fill="FFFFFF"/>
        </w:rPr>
      </w:pPr>
      <w:r w:rsidRPr="00A42D43">
        <w:rPr>
          <w:rFonts w:ascii="Arial" w:hAnsi="Arial" w:cs="Arial"/>
          <w:b/>
          <w:color w:val="222222"/>
          <w:sz w:val="22"/>
          <w:szCs w:val="22"/>
          <w:shd w:val="clear" w:color="auto" w:fill="FFFFFF"/>
        </w:rPr>
        <w:t>Gráfico 8</w:t>
      </w:r>
    </w:p>
    <w:p w:rsidR="00872E9F" w:rsidRPr="003241BA" w:rsidRDefault="0023503D" w:rsidP="003241BA">
      <w:pPr>
        <w:pStyle w:val="Paragraph"/>
        <w:numPr>
          <w:ilvl w:val="0"/>
          <w:numId w:val="0"/>
        </w:numPr>
        <w:spacing w:before="0" w:after="0" w:line="276" w:lineRule="auto"/>
        <w:ind w:left="990"/>
        <w:rPr>
          <w:rFonts w:ascii="Arial" w:hAnsi="Arial" w:cs="Arial"/>
          <w:color w:val="222222"/>
          <w:sz w:val="22"/>
          <w:szCs w:val="22"/>
          <w:shd w:val="clear" w:color="auto" w:fill="FFFFFF"/>
        </w:rPr>
      </w:pPr>
      <w:r>
        <w:rPr>
          <w:rFonts w:ascii="Arial" w:hAnsi="Arial" w:cs="Arial"/>
          <w:noProof/>
          <w:sz w:val="22"/>
          <w:szCs w:val="22"/>
          <w:lang w:val="en-US"/>
        </w:rPr>
        <w:drawing>
          <wp:inline distT="0" distB="0" distL="0" distR="0" wp14:anchorId="3F827DF7" wp14:editId="0C27429A">
            <wp:extent cx="4491355" cy="3086735"/>
            <wp:effectExtent l="0" t="0" r="444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3086735"/>
                    </a:xfrm>
                    <a:prstGeom prst="rect">
                      <a:avLst/>
                    </a:prstGeom>
                    <a:noFill/>
                    <a:ln>
                      <a:noFill/>
                    </a:ln>
                  </pic:spPr>
                </pic:pic>
              </a:graphicData>
            </a:graphic>
          </wp:inline>
        </w:drawing>
      </w:r>
    </w:p>
    <w:p w:rsidR="00404FEE" w:rsidRPr="003241BA" w:rsidRDefault="00404FEE" w:rsidP="003241BA">
      <w:pPr>
        <w:pStyle w:val="ListParagraph"/>
        <w:numPr>
          <w:ilvl w:val="0"/>
          <w:numId w:val="86"/>
        </w:numPr>
        <w:rPr>
          <w:rFonts w:ascii="Arial" w:hAnsi="Arial" w:cs="Arial"/>
          <w:b/>
          <w:color w:val="222222"/>
          <w:sz w:val="22"/>
          <w:szCs w:val="22"/>
          <w:shd w:val="clear" w:color="auto" w:fill="FFFFFF"/>
        </w:rPr>
      </w:pPr>
      <w:r w:rsidRPr="003241BA">
        <w:rPr>
          <w:rFonts w:ascii="Arial" w:hAnsi="Arial" w:cs="Arial"/>
          <w:b/>
          <w:color w:val="222222"/>
          <w:sz w:val="22"/>
          <w:szCs w:val="22"/>
          <w:shd w:val="clear" w:color="auto" w:fill="FFFFFF"/>
        </w:rPr>
        <w:br w:type="page"/>
      </w:r>
    </w:p>
    <w:p w:rsidR="005F4DE7" w:rsidRPr="003241BA" w:rsidRDefault="005F4DE7" w:rsidP="003241BA">
      <w:pPr>
        <w:pStyle w:val="ListParagraph"/>
        <w:spacing w:line="276" w:lineRule="auto"/>
        <w:ind w:left="990"/>
        <w:rPr>
          <w:rFonts w:ascii="Arial" w:hAnsi="Arial" w:cs="Arial"/>
          <w:b/>
          <w:color w:val="222222"/>
          <w:sz w:val="22"/>
          <w:szCs w:val="22"/>
          <w:shd w:val="clear" w:color="auto" w:fill="FFFFFF"/>
        </w:rPr>
      </w:pPr>
      <w:r w:rsidRPr="003241BA">
        <w:rPr>
          <w:rFonts w:ascii="Arial" w:hAnsi="Arial" w:cs="Arial"/>
          <w:b/>
          <w:color w:val="222222"/>
          <w:sz w:val="22"/>
          <w:szCs w:val="22"/>
          <w:shd w:val="clear" w:color="auto" w:fill="FFFFFF"/>
        </w:rPr>
        <w:lastRenderedPageBreak/>
        <w:t>Gráfico 9</w:t>
      </w:r>
    </w:p>
    <w:p w:rsidR="005F4DE7" w:rsidRPr="003241BA" w:rsidRDefault="0023503D" w:rsidP="003241BA">
      <w:pPr>
        <w:spacing w:line="276" w:lineRule="auto"/>
        <w:ind w:left="630"/>
        <w:rPr>
          <w:rFonts w:ascii="Arial" w:hAnsi="Arial" w:cs="Arial"/>
          <w:b/>
          <w:color w:val="222222"/>
          <w:sz w:val="22"/>
          <w:szCs w:val="22"/>
          <w:shd w:val="clear" w:color="auto" w:fill="FFFFFF"/>
        </w:rPr>
      </w:pPr>
      <w:r>
        <w:rPr>
          <w:noProof/>
          <w:lang w:val="en-US"/>
        </w:rPr>
        <w:drawing>
          <wp:inline distT="0" distB="0" distL="0" distR="0" wp14:anchorId="5932C790" wp14:editId="0C1ED34E">
            <wp:extent cx="4206240" cy="2801620"/>
            <wp:effectExtent l="0" t="0" r="381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6240" cy="2801620"/>
                    </a:xfrm>
                    <a:prstGeom prst="rect">
                      <a:avLst/>
                    </a:prstGeom>
                    <a:noFill/>
                    <a:ln>
                      <a:noFill/>
                    </a:ln>
                  </pic:spPr>
                </pic:pic>
              </a:graphicData>
            </a:graphic>
          </wp:inline>
        </w:drawing>
      </w:r>
    </w:p>
    <w:p w:rsidR="00857D77" w:rsidRPr="00A42D43" w:rsidRDefault="00857D77" w:rsidP="00001476">
      <w:pPr>
        <w:spacing w:line="276" w:lineRule="auto"/>
        <w:rPr>
          <w:rFonts w:ascii="Arial" w:hAnsi="Arial" w:cs="Arial"/>
          <w:b/>
          <w:color w:val="222222"/>
          <w:sz w:val="22"/>
          <w:szCs w:val="22"/>
          <w:shd w:val="clear" w:color="auto" w:fill="FFFFFF"/>
        </w:rPr>
      </w:pPr>
    </w:p>
    <w:p w:rsidR="005F4DE7" w:rsidRPr="003241BA" w:rsidRDefault="005F4DE7" w:rsidP="003241BA">
      <w:pPr>
        <w:spacing w:line="276" w:lineRule="auto"/>
        <w:ind w:left="630"/>
        <w:rPr>
          <w:rFonts w:ascii="Arial" w:hAnsi="Arial" w:cs="Arial"/>
          <w:b/>
          <w:color w:val="222222"/>
          <w:sz w:val="22"/>
          <w:szCs w:val="22"/>
          <w:shd w:val="clear" w:color="auto" w:fill="FFFFFF"/>
        </w:rPr>
      </w:pPr>
      <w:r w:rsidRPr="003241BA">
        <w:rPr>
          <w:rFonts w:ascii="Arial" w:hAnsi="Arial" w:cs="Arial"/>
          <w:b/>
          <w:color w:val="222222"/>
          <w:sz w:val="22"/>
          <w:szCs w:val="22"/>
          <w:shd w:val="clear" w:color="auto" w:fill="FFFFFF"/>
        </w:rPr>
        <w:t>Gráfico 10</w:t>
      </w:r>
    </w:p>
    <w:p w:rsidR="005F4DE7" w:rsidRPr="003241BA" w:rsidRDefault="0023503D" w:rsidP="003241BA">
      <w:pPr>
        <w:pStyle w:val="ListParagraph"/>
        <w:spacing w:line="276" w:lineRule="auto"/>
        <w:ind w:left="990"/>
        <w:jc w:val="both"/>
        <w:rPr>
          <w:rFonts w:ascii="Arial" w:hAnsi="Arial" w:cs="Arial"/>
          <w:color w:val="222222"/>
          <w:sz w:val="22"/>
          <w:szCs w:val="22"/>
          <w:shd w:val="clear" w:color="auto" w:fill="FFFFFF"/>
        </w:rPr>
      </w:pPr>
      <w:r>
        <w:rPr>
          <w:noProof/>
          <w:lang w:val="en-US"/>
        </w:rPr>
        <w:drawing>
          <wp:inline distT="0" distB="0" distL="0" distR="0" wp14:anchorId="159D11B5" wp14:editId="45BD1356">
            <wp:extent cx="5033010" cy="3101340"/>
            <wp:effectExtent l="0" t="0" r="0" b="381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3010" cy="3101340"/>
                    </a:xfrm>
                    <a:prstGeom prst="rect">
                      <a:avLst/>
                    </a:prstGeom>
                    <a:noFill/>
                    <a:ln>
                      <a:noFill/>
                    </a:ln>
                  </pic:spPr>
                </pic:pic>
              </a:graphicData>
            </a:graphic>
          </wp:inline>
        </w:drawing>
      </w:r>
    </w:p>
    <w:p w:rsidR="00C85C70" w:rsidRPr="003241BA" w:rsidRDefault="006748EF" w:rsidP="003241BA">
      <w:pPr>
        <w:pStyle w:val="Paragraph"/>
        <w:numPr>
          <w:ilvl w:val="1"/>
          <w:numId w:val="87"/>
        </w:numPr>
        <w:spacing w:before="0" w:after="0" w:line="276" w:lineRule="auto"/>
        <w:ind w:left="720" w:hanging="720"/>
        <w:rPr>
          <w:rFonts w:ascii="Arial" w:hAnsi="Arial" w:cs="Arial"/>
          <w:color w:val="222222"/>
          <w:sz w:val="22"/>
          <w:szCs w:val="22"/>
          <w:shd w:val="clear" w:color="auto" w:fill="FFFFFF"/>
        </w:rPr>
      </w:pPr>
      <w:r w:rsidRPr="003241BA">
        <w:rPr>
          <w:rFonts w:ascii="Arial" w:hAnsi="Arial" w:cs="Arial"/>
          <w:color w:val="222222"/>
          <w:sz w:val="22"/>
          <w:szCs w:val="22"/>
          <w:shd w:val="clear" w:color="auto" w:fill="FFFFFF"/>
        </w:rPr>
        <w:t xml:space="preserve">El análisis </w:t>
      </w:r>
      <w:r w:rsidR="00A44AD6" w:rsidRPr="003241BA">
        <w:rPr>
          <w:rFonts w:ascii="Arial" w:hAnsi="Arial" w:cs="Arial"/>
          <w:color w:val="222222"/>
          <w:sz w:val="22"/>
          <w:szCs w:val="22"/>
          <w:shd w:val="clear" w:color="auto" w:fill="FFFFFF"/>
        </w:rPr>
        <w:t>de</w:t>
      </w:r>
      <w:r w:rsidR="002D7827" w:rsidRPr="003241BA">
        <w:rPr>
          <w:rFonts w:ascii="Arial" w:hAnsi="Arial" w:cs="Arial"/>
          <w:color w:val="222222"/>
          <w:sz w:val="22"/>
          <w:szCs w:val="22"/>
          <w:shd w:val="clear" w:color="auto" w:fill="FFFFFF"/>
        </w:rPr>
        <w:t>l potencial</w:t>
      </w:r>
      <w:r w:rsidR="00A44AD6" w:rsidRPr="003241BA">
        <w:rPr>
          <w:rFonts w:ascii="Arial" w:hAnsi="Arial" w:cs="Arial"/>
          <w:color w:val="222222"/>
          <w:sz w:val="22"/>
          <w:szCs w:val="22"/>
          <w:shd w:val="clear" w:color="auto" w:fill="FFFFFF"/>
        </w:rPr>
        <w:t xml:space="preserve"> impacto </w:t>
      </w:r>
      <w:r w:rsidR="002D7827" w:rsidRPr="003241BA">
        <w:rPr>
          <w:rFonts w:ascii="Arial" w:hAnsi="Arial" w:cs="Arial"/>
          <w:color w:val="222222"/>
          <w:sz w:val="22"/>
          <w:szCs w:val="22"/>
          <w:shd w:val="clear" w:color="auto" w:fill="FFFFFF"/>
        </w:rPr>
        <w:t xml:space="preserve">del programa </w:t>
      </w:r>
      <w:r w:rsidRPr="003241BA">
        <w:rPr>
          <w:rFonts w:ascii="Arial" w:hAnsi="Arial" w:cs="Arial"/>
          <w:color w:val="222222"/>
          <w:sz w:val="22"/>
          <w:szCs w:val="22"/>
          <w:shd w:val="clear" w:color="auto" w:fill="FFFFFF"/>
        </w:rPr>
        <w:t xml:space="preserve">se realiza </w:t>
      </w:r>
      <w:r w:rsidR="00353FC0" w:rsidRPr="003241BA">
        <w:rPr>
          <w:rFonts w:ascii="Arial" w:hAnsi="Arial" w:cs="Arial"/>
          <w:color w:val="222222"/>
          <w:sz w:val="22"/>
          <w:szCs w:val="22"/>
          <w:shd w:val="clear" w:color="auto" w:fill="FFFFFF"/>
        </w:rPr>
        <w:t xml:space="preserve">en torno a </w:t>
      </w:r>
      <w:r w:rsidR="00BD69BC" w:rsidRPr="003241BA">
        <w:rPr>
          <w:rFonts w:ascii="Arial" w:hAnsi="Arial" w:cs="Arial"/>
          <w:b/>
          <w:color w:val="222222"/>
          <w:sz w:val="22"/>
          <w:szCs w:val="22"/>
          <w:shd w:val="clear" w:color="auto" w:fill="FFFFFF"/>
        </w:rPr>
        <w:t>cuatro ejes clave</w:t>
      </w:r>
      <w:r w:rsidR="002747B1" w:rsidRPr="003241BA">
        <w:rPr>
          <w:rFonts w:ascii="Arial" w:hAnsi="Arial" w:cs="Arial"/>
          <w:color w:val="222222"/>
          <w:sz w:val="22"/>
          <w:szCs w:val="22"/>
          <w:shd w:val="clear" w:color="auto" w:fill="FFFFFF"/>
        </w:rPr>
        <w:t>, los cuales mantienen una estrecha relación con las medidas de política contenida en el préstamo</w:t>
      </w:r>
      <w:r w:rsidR="00B112BA" w:rsidRPr="003241BA">
        <w:rPr>
          <w:rFonts w:ascii="Arial" w:hAnsi="Arial" w:cs="Arial"/>
          <w:color w:val="222222"/>
          <w:sz w:val="22"/>
          <w:szCs w:val="22"/>
          <w:shd w:val="clear" w:color="auto" w:fill="FFFFFF"/>
        </w:rPr>
        <w:t xml:space="preserve"> CH-L1111</w:t>
      </w:r>
      <w:r w:rsidR="00BD69BC" w:rsidRPr="003241BA">
        <w:rPr>
          <w:rFonts w:ascii="Arial" w:hAnsi="Arial" w:cs="Arial"/>
          <w:color w:val="222222"/>
          <w:sz w:val="22"/>
          <w:szCs w:val="22"/>
          <w:shd w:val="clear" w:color="auto" w:fill="FFFFFF"/>
        </w:rPr>
        <w:t xml:space="preserve">: (i) </w:t>
      </w:r>
      <w:r w:rsidR="002D7827" w:rsidRPr="003241BA">
        <w:rPr>
          <w:rFonts w:ascii="Arial" w:hAnsi="Arial" w:cs="Arial"/>
          <w:color w:val="222222"/>
          <w:sz w:val="22"/>
          <w:szCs w:val="22"/>
          <w:shd w:val="clear" w:color="auto" w:fill="FFFFFF"/>
        </w:rPr>
        <w:t xml:space="preserve">integridad </w:t>
      </w:r>
      <w:r w:rsidR="00BD69BC" w:rsidRPr="003241BA">
        <w:rPr>
          <w:rFonts w:ascii="Arial" w:hAnsi="Arial" w:cs="Arial"/>
          <w:color w:val="222222"/>
          <w:sz w:val="22"/>
          <w:szCs w:val="22"/>
          <w:shd w:val="clear" w:color="auto" w:fill="FFFFFF"/>
        </w:rPr>
        <w:t xml:space="preserve">y crecimiento económico; (ii) </w:t>
      </w:r>
      <w:r w:rsidR="002D7827" w:rsidRPr="003241BA">
        <w:rPr>
          <w:rFonts w:ascii="Arial" w:hAnsi="Arial" w:cs="Arial"/>
          <w:color w:val="222222"/>
          <w:sz w:val="22"/>
          <w:szCs w:val="22"/>
          <w:shd w:val="clear" w:color="auto" w:fill="FFFFFF"/>
        </w:rPr>
        <w:t xml:space="preserve">información </w:t>
      </w:r>
      <w:r w:rsidR="00BD69BC" w:rsidRPr="003241BA">
        <w:rPr>
          <w:rFonts w:ascii="Arial" w:hAnsi="Arial" w:cs="Arial"/>
          <w:color w:val="222222"/>
          <w:sz w:val="22"/>
          <w:szCs w:val="22"/>
          <w:shd w:val="clear" w:color="auto" w:fill="FFFFFF"/>
        </w:rPr>
        <w:t xml:space="preserve">y democracia; (iii) </w:t>
      </w:r>
      <w:r w:rsidR="00AE6B4B" w:rsidRPr="003241BA">
        <w:rPr>
          <w:rFonts w:ascii="Arial" w:hAnsi="Arial" w:cs="Arial"/>
          <w:color w:val="222222"/>
          <w:sz w:val="22"/>
          <w:szCs w:val="22"/>
          <w:shd w:val="clear" w:color="auto" w:fill="FFFFFF"/>
        </w:rPr>
        <w:t xml:space="preserve">prevención de </w:t>
      </w:r>
      <w:r w:rsidR="00BD69BC" w:rsidRPr="003241BA">
        <w:rPr>
          <w:rFonts w:ascii="Arial" w:hAnsi="Arial" w:cs="Arial"/>
          <w:color w:val="222222"/>
          <w:sz w:val="22"/>
          <w:szCs w:val="22"/>
          <w:shd w:val="clear" w:color="auto" w:fill="FFFFFF"/>
        </w:rPr>
        <w:t xml:space="preserve">corrupción y adquisiciones; y (iv) </w:t>
      </w:r>
      <w:r w:rsidR="00AE6B4B" w:rsidRPr="003241BA">
        <w:rPr>
          <w:rFonts w:ascii="Arial" w:hAnsi="Arial" w:cs="Arial"/>
          <w:color w:val="222222"/>
          <w:sz w:val="22"/>
          <w:szCs w:val="22"/>
          <w:shd w:val="clear" w:color="auto" w:fill="FFFFFF"/>
        </w:rPr>
        <w:t xml:space="preserve">prevención de </w:t>
      </w:r>
      <w:r w:rsidR="00BD69BC" w:rsidRPr="003241BA">
        <w:rPr>
          <w:rFonts w:ascii="Arial" w:hAnsi="Arial" w:cs="Arial"/>
          <w:color w:val="222222"/>
          <w:sz w:val="22"/>
          <w:szCs w:val="22"/>
          <w:shd w:val="clear" w:color="auto" w:fill="FFFFFF"/>
        </w:rPr>
        <w:t xml:space="preserve">corrupción y servicio civil. </w:t>
      </w:r>
      <w:r w:rsidR="00C85C70" w:rsidRPr="003241BA">
        <w:rPr>
          <w:rFonts w:ascii="Arial" w:hAnsi="Arial" w:cs="Arial"/>
          <w:color w:val="222222"/>
          <w:sz w:val="22"/>
          <w:szCs w:val="22"/>
          <w:shd w:val="clear" w:color="auto" w:fill="FFFFFF"/>
        </w:rPr>
        <w:t xml:space="preserve"> </w:t>
      </w:r>
      <w:r w:rsidR="00BD69BC" w:rsidRPr="003241BA">
        <w:rPr>
          <w:rFonts w:ascii="Arial" w:hAnsi="Arial" w:cs="Arial"/>
          <w:color w:val="222222"/>
          <w:sz w:val="22"/>
          <w:szCs w:val="22"/>
          <w:shd w:val="clear" w:color="auto" w:fill="FFFFFF"/>
        </w:rPr>
        <w:t xml:space="preserve">Se discute tanto los efectos de la corrupción </w:t>
      </w:r>
      <w:r w:rsidR="00846434" w:rsidRPr="003241BA">
        <w:rPr>
          <w:rFonts w:ascii="Arial" w:hAnsi="Arial" w:cs="Arial"/>
          <w:color w:val="222222"/>
          <w:sz w:val="22"/>
          <w:szCs w:val="22"/>
          <w:shd w:val="clear" w:color="auto" w:fill="FFFFFF"/>
        </w:rPr>
        <w:t xml:space="preserve">en diferentes ámbitos </w:t>
      </w:r>
      <w:r w:rsidR="00BD69BC" w:rsidRPr="003241BA">
        <w:rPr>
          <w:rFonts w:ascii="Arial" w:hAnsi="Arial" w:cs="Arial"/>
          <w:color w:val="222222"/>
          <w:sz w:val="22"/>
          <w:szCs w:val="22"/>
          <w:shd w:val="clear" w:color="auto" w:fill="FFFFFF"/>
        </w:rPr>
        <w:t xml:space="preserve">como una variedad de estrategias para mitigarla. </w:t>
      </w:r>
      <w:r w:rsidR="007F2A41" w:rsidRPr="003241BA">
        <w:rPr>
          <w:rFonts w:ascii="Arial" w:hAnsi="Arial" w:cs="Arial"/>
          <w:color w:val="222222"/>
          <w:sz w:val="22"/>
          <w:szCs w:val="22"/>
          <w:shd w:val="clear" w:color="auto" w:fill="FFFFFF"/>
        </w:rPr>
        <w:t xml:space="preserve">El Anexo 1 presenta un resumen de la correspondencia entre las acciones de política y los ejes del análisis. </w:t>
      </w:r>
    </w:p>
    <w:p w:rsidR="00C85C70" w:rsidRPr="00A42D43" w:rsidRDefault="00C85C70" w:rsidP="00001476">
      <w:pPr>
        <w:spacing w:line="276" w:lineRule="auto"/>
        <w:jc w:val="both"/>
        <w:rPr>
          <w:rFonts w:ascii="Arial" w:hAnsi="Arial" w:cs="Arial"/>
          <w:color w:val="222222"/>
          <w:sz w:val="22"/>
          <w:szCs w:val="22"/>
          <w:shd w:val="clear" w:color="auto" w:fill="FFFFFF"/>
        </w:rPr>
      </w:pPr>
    </w:p>
    <w:p w:rsidR="00404FEE" w:rsidRPr="003241BA" w:rsidRDefault="00404FEE" w:rsidP="003241BA">
      <w:pPr>
        <w:pStyle w:val="ListParagraph"/>
        <w:numPr>
          <w:ilvl w:val="0"/>
          <w:numId w:val="86"/>
        </w:numPr>
        <w:rPr>
          <w:rFonts w:ascii="Arial" w:hAnsi="Arial" w:cs="Arial"/>
          <w:i/>
          <w:sz w:val="22"/>
          <w:szCs w:val="22"/>
          <w:u w:val="single"/>
        </w:rPr>
      </w:pPr>
      <w:r w:rsidRPr="003241BA">
        <w:rPr>
          <w:rFonts w:ascii="Arial" w:hAnsi="Arial" w:cs="Arial"/>
          <w:i/>
          <w:sz w:val="22"/>
          <w:szCs w:val="22"/>
          <w:u w:val="single"/>
        </w:rPr>
        <w:lastRenderedPageBreak/>
        <w:br w:type="page"/>
      </w:r>
    </w:p>
    <w:p w:rsidR="00C76B08" w:rsidRPr="003241BA" w:rsidRDefault="002D7827" w:rsidP="003241BA">
      <w:pPr>
        <w:pStyle w:val="ListParagraph"/>
        <w:numPr>
          <w:ilvl w:val="0"/>
          <w:numId w:val="33"/>
        </w:numPr>
        <w:tabs>
          <w:tab w:val="left" w:pos="4891"/>
        </w:tabs>
        <w:spacing w:line="276" w:lineRule="auto"/>
        <w:ind w:hanging="720"/>
        <w:jc w:val="both"/>
        <w:rPr>
          <w:rFonts w:ascii="Arial" w:hAnsi="Arial" w:cs="Arial"/>
          <w:b/>
          <w:sz w:val="22"/>
          <w:szCs w:val="22"/>
          <w:u w:val="single"/>
        </w:rPr>
      </w:pPr>
      <w:r w:rsidRPr="003241BA">
        <w:rPr>
          <w:rFonts w:ascii="Arial" w:hAnsi="Arial" w:cs="Arial"/>
          <w:b/>
          <w:sz w:val="22"/>
          <w:szCs w:val="22"/>
          <w:u w:val="single"/>
        </w:rPr>
        <w:lastRenderedPageBreak/>
        <w:t xml:space="preserve">Integridad </w:t>
      </w:r>
      <w:r w:rsidR="000A63F0" w:rsidRPr="003241BA">
        <w:rPr>
          <w:rFonts w:ascii="Arial" w:hAnsi="Arial" w:cs="Arial"/>
          <w:b/>
          <w:sz w:val="22"/>
          <w:szCs w:val="22"/>
          <w:u w:val="single"/>
        </w:rPr>
        <w:t xml:space="preserve">y crecimiento </w:t>
      </w:r>
    </w:p>
    <w:p w:rsidR="00404FEE" w:rsidRDefault="00404FEE" w:rsidP="00001476">
      <w:pPr>
        <w:tabs>
          <w:tab w:val="left" w:pos="4891"/>
        </w:tabs>
        <w:spacing w:line="276" w:lineRule="auto"/>
        <w:jc w:val="both"/>
        <w:rPr>
          <w:rFonts w:ascii="Arial" w:hAnsi="Arial" w:cs="Arial"/>
          <w:sz w:val="22"/>
          <w:szCs w:val="22"/>
        </w:rPr>
      </w:pPr>
    </w:p>
    <w:p w:rsidR="00CF29EC" w:rsidRPr="003241BA" w:rsidRDefault="00CF29EC"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La APT del Gobierno de Chile y el presente PBL que la apoya contienen una variedad de medidas que apuntan a objetivos económicos. En primer lugar, como todo PBL del BID, este contiene un compromiso de mantener un ambiente macroeconómico conducente a la sostenibilidad fiscal. Adicionalmente, la medida referida a la creación de la Comisión de Valores y Seguros,  entre otras, pueden tener un impacto más directo sobre la economía. Estas medidas encuentran fundamento amplio en la literatura</w:t>
      </w:r>
      <w:r w:rsidR="00D94A38" w:rsidRPr="003241BA">
        <w:rPr>
          <w:rFonts w:ascii="Arial" w:hAnsi="Arial" w:cs="Arial"/>
          <w:sz w:val="22"/>
          <w:szCs w:val="22"/>
        </w:rPr>
        <w:t xml:space="preserve">, que contiene estudios empíricos que tratan desde la relación entre corrupción y crecimiento en general, hasta relaciones más específicas con los mercados financieros y eficiencia de firmas.  </w:t>
      </w:r>
      <w:r w:rsidR="00282544" w:rsidRPr="003241BA">
        <w:rPr>
          <w:rFonts w:ascii="Arial" w:hAnsi="Arial" w:cs="Arial"/>
          <w:sz w:val="22"/>
          <w:szCs w:val="22"/>
        </w:rPr>
        <w:t xml:space="preserve">En la mayoría de la literatura la variable dependiente es el crecimiento (o la eficiencia) y alguna medida de corrupción se trata como variable </w:t>
      </w:r>
      <w:r w:rsidR="004A6AF1" w:rsidRPr="003241BA">
        <w:rPr>
          <w:rFonts w:ascii="Arial" w:hAnsi="Arial" w:cs="Arial"/>
          <w:sz w:val="22"/>
          <w:szCs w:val="22"/>
        </w:rPr>
        <w:t>explicativa</w:t>
      </w:r>
      <w:r w:rsidR="00282544" w:rsidRPr="003241BA">
        <w:rPr>
          <w:rFonts w:ascii="Arial" w:hAnsi="Arial" w:cs="Arial"/>
          <w:sz w:val="22"/>
          <w:szCs w:val="22"/>
        </w:rPr>
        <w:t xml:space="preserve">. </w:t>
      </w:r>
    </w:p>
    <w:p w:rsidR="00CF29EC" w:rsidRPr="00A42D43" w:rsidRDefault="00CF29EC" w:rsidP="00001476">
      <w:pPr>
        <w:tabs>
          <w:tab w:val="left" w:pos="4891"/>
        </w:tabs>
        <w:spacing w:line="276" w:lineRule="auto"/>
        <w:jc w:val="both"/>
        <w:rPr>
          <w:rFonts w:ascii="Arial" w:hAnsi="Arial" w:cs="Arial"/>
          <w:sz w:val="22"/>
          <w:szCs w:val="22"/>
        </w:rPr>
      </w:pPr>
    </w:p>
    <w:p w:rsidR="00EE35E0" w:rsidRPr="003241BA" w:rsidRDefault="00C93FEB"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Uno de los primeros estudios que relaciona indicadores de honestidad y eficiencia burocrática con crecimiento económico y que se enfoca en las consecuencias macroeconómicas negativas de la corrupción es el de Mauro (1995). El autor comienza reconociendo que no solo las instituciones afectan el desempeño económico sino que las variables económicas pueden afectar a las instituciones. Para resolver el problema de endogeneidad originado por dicha simultaneidad utiliza como instrumento un índice que mide la probabilidad en que dos personas del  mismo país elegidas al azar no pertenezcan al mismo grupo étnico-lingüístico. La evidencia le sugiere una relación negativa y significativa entre la corrupción y la inversión privada y por lo tanto, entre la corrupción y el crecimiento económico.</w:t>
      </w:r>
      <w:r w:rsidR="00A00C4F" w:rsidRPr="003241BA">
        <w:rPr>
          <w:rFonts w:ascii="Arial" w:hAnsi="Arial" w:cs="Arial"/>
          <w:sz w:val="22"/>
          <w:szCs w:val="22"/>
        </w:rPr>
        <w:t xml:space="preserve"> </w:t>
      </w:r>
      <w:r w:rsidR="00ED3D19">
        <w:rPr>
          <w:rFonts w:ascii="Arial" w:hAnsi="Arial" w:cs="Arial"/>
          <w:sz w:val="22"/>
          <w:szCs w:val="22"/>
        </w:rPr>
        <w:t>El estudio también encuentra</w:t>
      </w:r>
      <w:r w:rsidR="00EB740B" w:rsidRPr="003241BA">
        <w:rPr>
          <w:rFonts w:ascii="Arial" w:hAnsi="Arial" w:cs="Arial"/>
          <w:sz w:val="22"/>
          <w:szCs w:val="22"/>
        </w:rPr>
        <w:t xml:space="preserve"> que una mejora en </w:t>
      </w:r>
      <w:r w:rsidR="00A12F37">
        <w:rPr>
          <w:rFonts w:ascii="Arial" w:hAnsi="Arial" w:cs="Arial"/>
          <w:sz w:val="22"/>
          <w:szCs w:val="22"/>
        </w:rPr>
        <w:t>el</w:t>
      </w:r>
      <w:r w:rsidR="00EB740B" w:rsidRPr="003241BA">
        <w:rPr>
          <w:rFonts w:ascii="Arial" w:hAnsi="Arial" w:cs="Arial"/>
          <w:sz w:val="22"/>
          <w:szCs w:val="22"/>
        </w:rPr>
        <w:t xml:space="preserve"> índice de corrupción</w:t>
      </w:r>
      <w:r w:rsidR="00ED3D19">
        <w:rPr>
          <w:rFonts w:ascii="Arial" w:hAnsi="Arial" w:cs="Arial"/>
          <w:sz w:val="22"/>
          <w:szCs w:val="22"/>
        </w:rPr>
        <w:t>,</w:t>
      </w:r>
      <w:r w:rsidR="00EB740B" w:rsidRPr="003241BA">
        <w:rPr>
          <w:rFonts w:ascii="Arial" w:hAnsi="Arial" w:cs="Arial"/>
          <w:sz w:val="22"/>
          <w:szCs w:val="22"/>
        </w:rPr>
        <w:t xml:space="preserve"> de una desviación estándar en promedio</w:t>
      </w:r>
      <w:r w:rsidR="00ED3D19">
        <w:rPr>
          <w:rFonts w:ascii="Arial" w:hAnsi="Arial" w:cs="Arial"/>
          <w:sz w:val="22"/>
          <w:szCs w:val="22"/>
        </w:rPr>
        <w:t>,</w:t>
      </w:r>
      <w:r w:rsidR="00EB740B" w:rsidRPr="003241BA">
        <w:rPr>
          <w:rFonts w:ascii="Arial" w:hAnsi="Arial" w:cs="Arial"/>
          <w:sz w:val="22"/>
          <w:szCs w:val="22"/>
        </w:rPr>
        <w:t xml:space="preserve"> está asociada a un aumento de 2.7% del PIB. </w:t>
      </w:r>
      <w:r w:rsidR="00394DA0" w:rsidRPr="003241BA">
        <w:rPr>
          <w:rFonts w:ascii="Arial" w:hAnsi="Arial" w:cs="Arial"/>
          <w:sz w:val="22"/>
          <w:szCs w:val="22"/>
        </w:rPr>
        <w:t>En el mismo sentido, Zak y Knac</w:t>
      </w:r>
      <w:r w:rsidR="001B4942" w:rsidRPr="003241BA">
        <w:rPr>
          <w:rFonts w:ascii="Arial" w:hAnsi="Arial" w:cs="Arial"/>
          <w:sz w:val="22"/>
          <w:szCs w:val="22"/>
        </w:rPr>
        <w:t>k (1998</w:t>
      </w:r>
      <w:r w:rsidR="00394DA0" w:rsidRPr="003241BA">
        <w:rPr>
          <w:rFonts w:ascii="Arial" w:hAnsi="Arial" w:cs="Arial"/>
          <w:sz w:val="22"/>
          <w:szCs w:val="22"/>
        </w:rPr>
        <w:t xml:space="preserve">) demuestran que hay una relación positiva entre la confianza entre personas y la inversión y el crecimiento económico. Adicionalmente, encuentran que la confianza es una función tanto del nivel de homogeneidad como la existencia de mecanismos legales y sociales que fomentan la honestidad crean consecuencias para la estafa y el engaño. </w:t>
      </w:r>
      <w:r w:rsidR="001B4942" w:rsidRPr="003241BA">
        <w:rPr>
          <w:rFonts w:ascii="Arial" w:hAnsi="Arial" w:cs="Arial"/>
          <w:sz w:val="22"/>
          <w:szCs w:val="22"/>
        </w:rPr>
        <w:t xml:space="preserve">Por su parte, Rothstein y Eek (2009) comprueban la relación negativa entre la corrupción y la confianza. </w:t>
      </w:r>
    </w:p>
    <w:p w:rsidR="00B96605" w:rsidRPr="00A42D43" w:rsidRDefault="00B96605" w:rsidP="00001476">
      <w:pPr>
        <w:tabs>
          <w:tab w:val="left" w:pos="4891"/>
        </w:tabs>
        <w:spacing w:line="276" w:lineRule="auto"/>
        <w:jc w:val="both"/>
        <w:rPr>
          <w:rFonts w:ascii="Arial" w:hAnsi="Arial" w:cs="Arial"/>
          <w:sz w:val="22"/>
          <w:szCs w:val="22"/>
        </w:rPr>
      </w:pPr>
    </w:p>
    <w:p w:rsidR="00DC4951" w:rsidRPr="003241BA" w:rsidRDefault="00B96605"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Mo (2001) analiza los diferentes canales a través de los cuales la corrupción afecta el crecimiento económico. Encuentra que el daño que causa la corrupción a la inestabilidad política es el canal más importante, explicando el 53% del impacto en el crecimiento.  Otros canales importantes son la disminución en los niveles de acumulación de capital humano y de inversión privada. </w:t>
      </w:r>
      <w:r w:rsidR="00DC4951" w:rsidRPr="003241BA">
        <w:rPr>
          <w:rFonts w:ascii="Arial" w:hAnsi="Arial" w:cs="Arial"/>
          <w:sz w:val="22"/>
          <w:szCs w:val="22"/>
        </w:rPr>
        <w:t>Wei (2000) estudia el efecto de la corrupción sobre la inversión extranjera directa y una de sus conclusiones principales sugiere que un aumento en el nivel de corrupción en un país receptivo reduce la inversión directa extranjera recibida.</w:t>
      </w:r>
    </w:p>
    <w:p w:rsidR="004605A9" w:rsidRPr="00A42D43" w:rsidRDefault="004605A9" w:rsidP="00001476">
      <w:pPr>
        <w:spacing w:line="276" w:lineRule="auto"/>
        <w:jc w:val="both"/>
        <w:rPr>
          <w:rFonts w:ascii="Arial" w:hAnsi="Arial" w:cs="Arial"/>
          <w:sz w:val="22"/>
          <w:szCs w:val="22"/>
        </w:rPr>
      </w:pPr>
    </w:p>
    <w:p w:rsidR="00B96605" w:rsidRPr="003241BA" w:rsidRDefault="00B96605" w:rsidP="003241BA">
      <w:pPr>
        <w:pStyle w:val="Paragraph"/>
        <w:numPr>
          <w:ilvl w:val="1"/>
          <w:numId w:val="87"/>
        </w:numPr>
        <w:spacing w:before="0" w:after="0" w:line="276" w:lineRule="auto"/>
        <w:ind w:left="720" w:hanging="720"/>
        <w:rPr>
          <w:rFonts w:ascii="Arial" w:hAnsi="Arial" w:cs="Arial"/>
          <w:sz w:val="22"/>
          <w:szCs w:val="22"/>
          <w:lang w:val="es-ES"/>
        </w:rPr>
      </w:pPr>
      <w:r w:rsidRPr="003241BA">
        <w:rPr>
          <w:rFonts w:ascii="Arial" w:hAnsi="Arial" w:cs="Arial"/>
          <w:sz w:val="22"/>
          <w:szCs w:val="22"/>
        </w:rPr>
        <w:lastRenderedPageBreak/>
        <w:t>En un estudio sobre la relación entre corrupción e inversión pública, Tanzi y Davoodi (1998) argumentan que niveles altos de corrupción pueden inflar el gasto en la inversión pública, lo cual puede tener un impacto positivo sobre las cifras de crecimiento general, pero resulta en costos más altos para obras y servicios públicos</w:t>
      </w:r>
      <w:r w:rsidR="00674519" w:rsidRPr="003241BA">
        <w:rPr>
          <w:rFonts w:ascii="Arial" w:hAnsi="Arial" w:cs="Arial"/>
          <w:sz w:val="22"/>
          <w:szCs w:val="22"/>
        </w:rPr>
        <w:t xml:space="preserve"> para la ciudadanía. </w:t>
      </w:r>
      <w:r w:rsidR="00674519" w:rsidRPr="003241BA">
        <w:rPr>
          <w:rFonts w:ascii="Arial" w:hAnsi="Arial" w:cs="Arial"/>
          <w:sz w:val="22"/>
          <w:szCs w:val="22"/>
          <w:lang w:val="es-ES"/>
        </w:rPr>
        <w:t xml:space="preserve">A su vez, </w:t>
      </w:r>
      <w:r w:rsidRPr="003241BA">
        <w:rPr>
          <w:rFonts w:ascii="Arial" w:hAnsi="Arial" w:cs="Arial"/>
          <w:sz w:val="22"/>
          <w:szCs w:val="22"/>
          <w:lang w:val="es-ES"/>
        </w:rPr>
        <w:t xml:space="preserve">Gyimah-Brempong y Munoz de Gyimah-Brempong (2006) analizan las diferencias regionales del impacto de la corrupción y encuentran que la región en donde se observa mayor impacto distribucional es Latinoamérica, y es en África donde se observa el mayor impacto sobre crecimiento económico. </w:t>
      </w:r>
    </w:p>
    <w:p w:rsidR="008A3BE8" w:rsidRPr="00A42D43" w:rsidRDefault="008A3BE8" w:rsidP="00001476">
      <w:pPr>
        <w:tabs>
          <w:tab w:val="left" w:pos="4891"/>
        </w:tabs>
        <w:spacing w:line="276" w:lineRule="auto"/>
        <w:jc w:val="both"/>
        <w:rPr>
          <w:rFonts w:ascii="Arial" w:hAnsi="Arial" w:cs="Arial"/>
          <w:sz w:val="22"/>
          <w:szCs w:val="22"/>
          <w:lang w:val="es-ES"/>
        </w:rPr>
      </w:pPr>
    </w:p>
    <w:p w:rsidR="008A3BE8" w:rsidRPr="003241BA" w:rsidRDefault="008A3BE8" w:rsidP="003241BA">
      <w:pPr>
        <w:pStyle w:val="Paragraph"/>
        <w:numPr>
          <w:ilvl w:val="1"/>
          <w:numId w:val="87"/>
        </w:numPr>
        <w:spacing w:before="0" w:after="0" w:line="276" w:lineRule="auto"/>
        <w:ind w:left="720" w:hanging="720"/>
        <w:rPr>
          <w:rFonts w:ascii="Arial" w:hAnsi="Arial" w:cs="Arial"/>
          <w:color w:val="222222"/>
          <w:sz w:val="22"/>
          <w:szCs w:val="22"/>
          <w:shd w:val="clear" w:color="auto" w:fill="FFFFFF"/>
        </w:rPr>
      </w:pPr>
      <w:r w:rsidRPr="003241BA">
        <w:rPr>
          <w:rFonts w:ascii="Arial" w:hAnsi="Arial" w:cs="Arial"/>
          <w:sz w:val="22"/>
          <w:szCs w:val="22"/>
        </w:rPr>
        <w:t xml:space="preserve">En un análisis dentro del mercado financiero, Khwaja &amp; Mian (2005) </w:t>
      </w:r>
      <w:r w:rsidRPr="003241BA">
        <w:rPr>
          <w:rFonts w:ascii="Arial" w:hAnsi="Arial" w:cs="Arial"/>
          <w:color w:val="222222"/>
          <w:sz w:val="22"/>
          <w:szCs w:val="22"/>
          <w:shd w:val="clear" w:color="auto" w:fill="FFFFFF"/>
        </w:rPr>
        <w:t>utilizan un conjunto de datos de nivel de préstamo de más de 90.000 empresas que representan el universo de préstamos corporativos en Pakistán entre 1996 y 2002 para investigar las rentas a empresas políticamente conectados con la banca. Los autores clasifican una empresa como política si su director participa en una elección y de esta manera, examinan el alcance, la naturaleza y los costos económicos de la provisión de fondos políticos. Entre algunos de sus resultados, encuentran que las empresas políticas prestan el 45 por ciento más y tienen tasas de morosidad un 50 por ciento más altas. Este trato preferencial se produce exclusivamente en los bancos del gobierno, debido a que los bancos privados no ofrecen favores políticos. Por último, estiman que los costos totales</w:t>
      </w:r>
      <w:r w:rsidRPr="00A42D43">
        <w:rPr>
          <w:rStyle w:val="FootnoteReference"/>
          <w:rFonts w:ascii="Arial" w:hAnsi="Arial" w:cs="Arial"/>
          <w:color w:val="222222"/>
          <w:sz w:val="22"/>
          <w:szCs w:val="22"/>
          <w:shd w:val="clear" w:color="auto" w:fill="FFFFFF"/>
        </w:rPr>
        <w:footnoteReference w:id="13"/>
      </w:r>
      <w:r w:rsidRPr="003241BA">
        <w:rPr>
          <w:rFonts w:ascii="Arial" w:hAnsi="Arial" w:cs="Arial"/>
          <w:color w:val="222222"/>
          <w:sz w:val="22"/>
          <w:szCs w:val="22"/>
          <w:shd w:val="clear" w:color="auto" w:fill="FFFFFF"/>
        </w:rPr>
        <w:t xml:space="preserve"> de las rentas políticas son de entre 0,3% y 1,9% del producto bruto interno anual.</w:t>
      </w:r>
    </w:p>
    <w:p w:rsidR="00EE35E0" w:rsidRPr="00A42D43" w:rsidRDefault="00EE35E0" w:rsidP="00001476">
      <w:pPr>
        <w:tabs>
          <w:tab w:val="left" w:pos="4891"/>
        </w:tabs>
        <w:spacing w:line="276" w:lineRule="auto"/>
        <w:jc w:val="both"/>
        <w:rPr>
          <w:rFonts w:ascii="Arial" w:hAnsi="Arial" w:cs="Arial"/>
          <w:sz w:val="22"/>
          <w:szCs w:val="22"/>
          <w:lang w:val="es-ES"/>
        </w:rPr>
      </w:pPr>
    </w:p>
    <w:p w:rsidR="00EC40D7" w:rsidRPr="003241BA" w:rsidRDefault="00EC40D7"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A nivel microeconómico, se ha asociado fuertemente a la corrupción con la ineficiencia de la firma. Dal Bo y Rossi (2007) investigan los determinantes de la ineficiencia técnica de las firmas en un modelo simple donde la corrupción produce una desviación por parte de la gerencia que se aleja de la supervisión y la coordinación necesaria en el proceso productivo eficiente. Los autores concluyen que la corrupción está fuertemente asociada con la ineficiencia al nivel de la firma en el sentido que los países más corruptos utilizan una mayor cantidad de trabajadores para producir el mismo output. Los resultados se mantienen para todas las pruebas de robustez, en las cuales se incluyeron diferentes medidas de ineficiencia y output, y cuando se instrumenta por corrupción. Tanzi y Davoodi (2000) encuentran que la corrupción está asociada con una asignación de talento a actividades poco productivas</w:t>
      </w:r>
      <w:r w:rsidR="000A63F0" w:rsidRPr="003241BA">
        <w:rPr>
          <w:rFonts w:ascii="Arial" w:hAnsi="Arial" w:cs="Arial"/>
          <w:sz w:val="22"/>
          <w:szCs w:val="22"/>
        </w:rPr>
        <w:t xml:space="preserve"> en las firmas</w:t>
      </w:r>
      <w:r w:rsidRPr="003241BA">
        <w:rPr>
          <w:rFonts w:ascii="Arial" w:hAnsi="Arial" w:cs="Arial"/>
          <w:sz w:val="22"/>
          <w:szCs w:val="22"/>
        </w:rPr>
        <w:t>, y que esto desemboca en una reducción del PIB de aproximadamente 0.4%, en promedio. De la Croix y Delavallade (2008)</w:t>
      </w:r>
      <w:r w:rsidR="000A63F0" w:rsidRPr="003241BA">
        <w:rPr>
          <w:rFonts w:ascii="Arial" w:hAnsi="Arial" w:cs="Arial"/>
          <w:sz w:val="22"/>
          <w:szCs w:val="22"/>
        </w:rPr>
        <w:t xml:space="preserve"> demuestran</w:t>
      </w:r>
      <w:r w:rsidRPr="003241BA">
        <w:rPr>
          <w:rFonts w:ascii="Arial" w:hAnsi="Arial" w:cs="Arial"/>
          <w:sz w:val="22"/>
          <w:szCs w:val="22"/>
        </w:rPr>
        <w:t xml:space="preserve"> que los países en desarrollo con altos niveles de corrupción invierten más en infraestructura física que en servicios de salud y educación</w:t>
      </w:r>
      <w:r w:rsidR="000A63F0" w:rsidRPr="003241BA">
        <w:rPr>
          <w:rFonts w:ascii="Arial" w:hAnsi="Arial" w:cs="Arial"/>
          <w:sz w:val="22"/>
          <w:szCs w:val="22"/>
        </w:rPr>
        <w:t xml:space="preserve">, argumentando que esto se explica por la mayor susceptibilidad que tienen gastos de capital a la desviación de fondos que otros tipos </w:t>
      </w:r>
      <w:r w:rsidR="00851BF0" w:rsidRPr="003241BA">
        <w:rPr>
          <w:rFonts w:ascii="Arial" w:hAnsi="Arial" w:cs="Arial"/>
          <w:sz w:val="22"/>
          <w:szCs w:val="22"/>
        </w:rPr>
        <w:t>de gasto</w:t>
      </w:r>
      <w:r w:rsidR="000A63F0" w:rsidRPr="003241BA">
        <w:rPr>
          <w:rFonts w:ascii="Arial" w:hAnsi="Arial" w:cs="Arial"/>
          <w:sz w:val="22"/>
          <w:szCs w:val="22"/>
        </w:rPr>
        <w:t xml:space="preserve">. </w:t>
      </w:r>
    </w:p>
    <w:p w:rsidR="00EE35E0" w:rsidRPr="00A42D43" w:rsidRDefault="00EE35E0" w:rsidP="00001476">
      <w:pPr>
        <w:tabs>
          <w:tab w:val="left" w:pos="4891"/>
        </w:tabs>
        <w:spacing w:line="276" w:lineRule="auto"/>
        <w:jc w:val="both"/>
        <w:rPr>
          <w:rFonts w:ascii="Arial" w:hAnsi="Arial" w:cs="Arial"/>
          <w:sz w:val="22"/>
          <w:szCs w:val="22"/>
        </w:rPr>
      </w:pPr>
    </w:p>
    <w:p w:rsidR="00C85C70" w:rsidRPr="003241BA" w:rsidRDefault="00C85C70" w:rsidP="003241BA">
      <w:pPr>
        <w:pStyle w:val="Paragraph"/>
        <w:numPr>
          <w:ilvl w:val="1"/>
          <w:numId w:val="87"/>
        </w:numPr>
        <w:spacing w:before="0" w:after="0" w:line="276" w:lineRule="auto"/>
        <w:ind w:left="720" w:hanging="720"/>
        <w:rPr>
          <w:rFonts w:ascii="Arial" w:hAnsi="Arial" w:cs="Arial"/>
          <w:color w:val="222222"/>
          <w:sz w:val="22"/>
          <w:szCs w:val="22"/>
          <w:shd w:val="clear" w:color="auto" w:fill="FFFFFF"/>
        </w:rPr>
      </w:pPr>
      <w:r w:rsidRPr="003241BA">
        <w:rPr>
          <w:rFonts w:ascii="Arial" w:hAnsi="Arial" w:cs="Arial"/>
          <w:color w:val="222222"/>
          <w:sz w:val="22"/>
          <w:szCs w:val="22"/>
          <w:shd w:val="clear" w:color="auto" w:fill="FFFFFF"/>
        </w:rPr>
        <w:lastRenderedPageBreak/>
        <w:t xml:space="preserve">A pesar de la falta de evidencia empírica del impacto de la supervisión en los mercados financieros, se puede argumentar que dicho impacto no debe ser desechado al evaluarse políticas de transparencia. </w:t>
      </w:r>
      <w:r w:rsidRPr="003241BA">
        <w:rPr>
          <w:rFonts w:ascii="Arial" w:hAnsi="Arial" w:cs="Arial"/>
          <w:sz w:val="22"/>
          <w:szCs w:val="22"/>
          <w:shd w:val="clear" w:color="auto" w:fill="FFFFFF"/>
        </w:rPr>
        <w:t>En 2013, la sociedad chilena comenzó un periodo de desconfianza del empresariado con el caso “Cascadas”, en el cual la Superintendencia de Valores y Seguros determinó una violación reiterada a la Ley de Mercado de Valores y/o la Ley de Sociedades Anónimas en distintas operaciones que beneficiaron a un grupo de accionistas perjudicando a otros</w:t>
      </w:r>
      <w:r w:rsidRPr="003241BA">
        <w:rPr>
          <w:rFonts w:ascii="Arial" w:hAnsi="Arial" w:cs="Arial"/>
          <w:color w:val="222222"/>
          <w:sz w:val="22"/>
          <w:szCs w:val="22"/>
          <w:shd w:val="clear" w:color="auto" w:fill="FFFFFF"/>
        </w:rPr>
        <w:t>. En base a estas operaciones, la Superintendencia de Pensiones estimó una pérdida potencial de hasta 44 millones de dólares de fondos de pensiones mientras que las multas incluidas en la resolución alcanzaron un monto de 164 millones de dólares</w:t>
      </w:r>
      <w:r w:rsidRPr="00A42D43">
        <w:rPr>
          <w:rStyle w:val="FootnoteReference"/>
          <w:rFonts w:ascii="Arial" w:hAnsi="Arial" w:cs="Arial"/>
          <w:color w:val="222222"/>
          <w:sz w:val="22"/>
          <w:szCs w:val="22"/>
          <w:shd w:val="clear" w:color="auto" w:fill="FFFFFF"/>
        </w:rPr>
        <w:footnoteReference w:id="14"/>
      </w:r>
      <w:r w:rsidRPr="003241BA">
        <w:rPr>
          <w:rFonts w:ascii="Arial" w:hAnsi="Arial" w:cs="Arial"/>
          <w:color w:val="222222"/>
          <w:sz w:val="22"/>
          <w:szCs w:val="22"/>
          <w:shd w:val="clear" w:color="auto" w:fill="FFFFFF"/>
        </w:rPr>
        <w:t>. Esto sugiere que la magnitud del impacto de la fiscalización del mercado de valores no debe ser subestimado.</w:t>
      </w:r>
    </w:p>
    <w:p w:rsidR="00546285" w:rsidRPr="00A42D43" w:rsidRDefault="00546285" w:rsidP="00001476">
      <w:pPr>
        <w:tabs>
          <w:tab w:val="left" w:pos="4891"/>
        </w:tabs>
        <w:spacing w:line="276" w:lineRule="auto"/>
        <w:jc w:val="both"/>
        <w:rPr>
          <w:rFonts w:ascii="Arial" w:hAnsi="Arial" w:cs="Arial"/>
          <w:sz w:val="22"/>
          <w:szCs w:val="22"/>
          <w:lang w:val="es-ES_tradnl"/>
        </w:rPr>
      </w:pPr>
    </w:p>
    <w:p w:rsidR="000A63F0" w:rsidRPr="003241BA" w:rsidRDefault="0000707F" w:rsidP="003241BA">
      <w:pPr>
        <w:pStyle w:val="ListParagraph"/>
        <w:numPr>
          <w:ilvl w:val="0"/>
          <w:numId w:val="33"/>
        </w:numPr>
        <w:tabs>
          <w:tab w:val="left" w:pos="4891"/>
        </w:tabs>
        <w:spacing w:line="276" w:lineRule="auto"/>
        <w:ind w:hanging="720"/>
        <w:jc w:val="both"/>
        <w:rPr>
          <w:rFonts w:ascii="Arial" w:hAnsi="Arial" w:cs="Arial"/>
          <w:b/>
          <w:sz w:val="22"/>
          <w:szCs w:val="22"/>
          <w:u w:val="single"/>
        </w:rPr>
      </w:pPr>
      <w:r w:rsidRPr="003241BA">
        <w:rPr>
          <w:rFonts w:ascii="Arial" w:hAnsi="Arial" w:cs="Arial"/>
          <w:b/>
          <w:sz w:val="22"/>
          <w:szCs w:val="22"/>
          <w:u w:val="single"/>
        </w:rPr>
        <w:t xml:space="preserve">Transparencia </w:t>
      </w:r>
      <w:r w:rsidR="000A63F0" w:rsidRPr="003241BA">
        <w:rPr>
          <w:rFonts w:ascii="Arial" w:hAnsi="Arial" w:cs="Arial"/>
          <w:b/>
          <w:sz w:val="22"/>
          <w:szCs w:val="22"/>
          <w:u w:val="single"/>
        </w:rPr>
        <w:t>y democracia</w:t>
      </w:r>
    </w:p>
    <w:p w:rsidR="00404FEE" w:rsidRDefault="00404FEE" w:rsidP="00001476">
      <w:pPr>
        <w:tabs>
          <w:tab w:val="left" w:pos="4891"/>
        </w:tabs>
        <w:spacing w:line="276" w:lineRule="auto"/>
        <w:jc w:val="both"/>
        <w:rPr>
          <w:rFonts w:ascii="Arial" w:hAnsi="Arial" w:cs="Arial"/>
          <w:sz w:val="22"/>
          <w:szCs w:val="22"/>
        </w:rPr>
      </w:pPr>
    </w:p>
    <w:p w:rsidR="00BD6903" w:rsidRPr="003241BA" w:rsidRDefault="004B6795"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La APT busca fortalecer la democracia chilena a través de una serie de medidas. En primer lugar, cabe mencionar que uno de los objetivos generales del programa es aumentar la confianza ciudadana en el gobierno por medio de la APT en su conjunto. Adicionalmente, la operación de préstamo contiene algunas medidas específicamente dirigidas al proceso democrático, </w:t>
      </w:r>
      <w:r w:rsidR="004E163D" w:rsidRPr="003241BA">
        <w:rPr>
          <w:rFonts w:ascii="Arial" w:hAnsi="Arial" w:cs="Arial"/>
          <w:sz w:val="22"/>
          <w:szCs w:val="22"/>
        </w:rPr>
        <w:t>por ejemplo:</w:t>
      </w:r>
      <w:r w:rsidRPr="003241BA">
        <w:rPr>
          <w:rFonts w:ascii="Arial" w:hAnsi="Arial" w:cs="Arial"/>
          <w:sz w:val="22"/>
          <w:szCs w:val="22"/>
        </w:rPr>
        <w:t xml:space="preserve"> </w:t>
      </w:r>
      <w:r w:rsidR="000217C3" w:rsidRPr="003241BA">
        <w:rPr>
          <w:rFonts w:ascii="Arial" w:hAnsi="Arial" w:cs="Arial"/>
          <w:sz w:val="22"/>
          <w:szCs w:val="22"/>
        </w:rPr>
        <w:t>(i) el fortalecimiento de las normas sobre inhabilidades e incompatibilidades, así como para prevenir los conflictos de intereses en el ejercicio de la actividad parlamentaria, a través de la presentación de indicaciones a la Moción Parlamentaria; (ii) la aplicación de nuevas disposiciones electorales, de partidos políticos y de control del gasto electoral, de conformidad con la Ley de Fortalecimiento y Transparencia de la Democracia; (iii) la creación de un nuevo marco normativo para los partidos políticos</w:t>
      </w:r>
      <w:r w:rsidR="00EB27F3" w:rsidRPr="003241BA">
        <w:rPr>
          <w:rFonts w:ascii="Arial" w:hAnsi="Arial" w:cs="Arial"/>
          <w:sz w:val="22"/>
          <w:szCs w:val="22"/>
        </w:rPr>
        <w:t xml:space="preserve">; y (iv) la elaboración planes de formación cívica y la capacitación de docentes en formación ciudadana. </w:t>
      </w:r>
    </w:p>
    <w:p w:rsidR="00BD6903" w:rsidRPr="00A42D43" w:rsidRDefault="00BD6903" w:rsidP="00001476">
      <w:pPr>
        <w:tabs>
          <w:tab w:val="left" w:pos="4891"/>
        </w:tabs>
        <w:spacing w:line="276" w:lineRule="auto"/>
        <w:jc w:val="both"/>
        <w:rPr>
          <w:rFonts w:ascii="Arial" w:hAnsi="Arial" w:cs="Arial"/>
          <w:sz w:val="22"/>
          <w:szCs w:val="22"/>
        </w:rPr>
      </w:pPr>
    </w:p>
    <w:p w:rsidR="00AB53AB" w:rsidRPr="003241BA" w:rsidRDefault="00BD6903"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La literatura relacionada se concentra principalmente en la relación entre </w:t>
      </w:r>
      <w:r w:rsidR="00AB53AB" w:rsidRPr="003241BA">
        <w:rPr>
          <w:rFonts w:ascii="Arial" w:hAnsi="Arial" w:cs="Arial"/>
          <w:sz w:val="22"/>
          <w:szCs w:val="22"/>
        </w:rPr>
        <w:t>la corrupción con la democracia, siendo la primera una amenaza para la segunda</w:t>
      </w:r>
      <w:r w:rsidR="00591D9D" w:rsidRPr="00A42D43">
        <w:rPr>
          <w:rStyle w:val="FootnoteReference"/>
          <w:rFonts w:ascii="Arial" w:hAnsi="Arial" w:cs="Arial"/>
          <w:sz w:val="22"/>
          <w:szCs w:val="22"/>
        </w:rPr>
        <w:footnoteReference w:id="15"/>
      </w:r>
      <w:r w:rsidR="00AB53AB" w:rsidRPr="003241BA">
        <w:rPr>
          <w:rFonts w:ascii="Arial" w:hAnsi="Arial" w:cs="Arial"/>
          <w:sz w:val="22"/>
          <w:szCs w:val="22"/>
        </w:rPr>
        <w:t xml:space="preserve">. </w:t>
      </w:r>
      <w:r w:rsidR="00B34C88" w:rsidRPr="003241BA">
        <w:rPr>
          <w:rFonts w:ascii="Arial" w:hAnsi="Arial" w:cs="Arial"/>
          <w:sz w:val="22"/>
          <w:szCs w:val="22"/>
        </w:rPr>
        <w:t>A estas conclusiones arriban diversos trab</w:t>
      </w:r>
      <w:r w:rsidR="00AB53AB" w:rsidRPr="003241BA">
        <w:rPr>
          <w:rFonts w:ascii="Arial" w:hAnsi="Arial" w:cs="Arial"/>
          <w:sz w:val="22"/>
          <w:szCs w:val="22"/>
        </w:rPr>
        <w:t xml:space="preserve">ajos empíricos </w:t>
      </w:r>
      <w:r w:rsidR="00B34C88" w:rsidRPr="003241BA">
        <w:rPr>
          <w:rFonts w:ascii="Arial" w:hAnsi="Arial" w:cs="Arial"/>
          <w:sz w:val="22"/>
          <w:szCs w:val="22"/>
        </w:rPr>
        <w:t>que</w:t>
      </w:r>
      <w:r w:rsidR="00AB53AB" w:rsidRPr="003241BA">
        <w:rPr>
          <w:rFonts w:ascii="Arial" w:hAnsi="Arial" w:cs="Arial"/>
          <w:sz w:val="22"/>
          <w:szCs w:val="22"/>
        </w:rPr>
        <w:t xml:space="preserve"> miden la corrupción a través de índices de percepción de la corrupción</w:t>
      </w:r>
      <w:r w:rsidR="00B34C88" w:rsidRPr="00A42D43">
        <w:rPr>
          <w:rStyle w:val="FootnoteReference"/>
          <w:rFonts w:ascii="Arial" w:hAnsi="Arial" w:cs="Arial"/>
          <w:sz w:val="22"/>
          <w:szCs w:val="22"/>
        </w:rPr>
        <w:footnoteReference w:id="16"/>
      </w:r>
      <w:r w:rsidR="00AB53AB" w:rsidRPr="003241BA">
        <w:rPr>
          <w:rFonts w:ascii="Arial" w:hAnsi="Arial" w:cs="Arial"/>
          <w:sz w:val="22"/>
          <w:szCs w:val="22"/>
        </w:rPr>
        <w:t xml:space="preserve">. </w:t>
      </w:r>
      <w:r w:rsidR="00294449" w:rsidRPr="003241BA">
        <w:rPr>
          <w:rFonts w:ascii="Arial" w:hAnsi="Arial" w:cs="Arial"/>
          <w:sz w:val="22"/>
          <w:szCs w:val="22"/>
        </w:rPr>
        <w:t>Por ejemplo, Treisman (2000) encuentra que una larga experiencia con la democracia en general reduce la incidencia de la corrupción</w:t>
      </w:r>
      <w:r w:rsidR="00F46B21" w:rsidRPr="003241BA">
        <w:rPr>
          <w:rFonts w:ascii="Arial" w:hAnsi="Arial" w:cs="Arial"/>
          <w:sz w:val="22"/>
          <w:szCs w:val="22"/>
        </w:rPr>
        <w:t xml:space="preserve"> y Shen y Williamson (2005) demuestran que la democracia (medida en términos de indicadores de derechos políticos, libertades civiles, y libertad de prensa) tiene un impacto positivo sobre la percepción de la corrupción</w:t>
      </w:r>
      <w:r w:rsidR="00294449" w:rsidRPr="003241BA">
        <w:rPr>
          <w:rFonts w:ascii="Arial" w:hAnsi="Arial" w:cs="Arial"/>
          <w:sz w:val="22"/>
          <w:szCs w:val="22"/>
        </w:rPr>
        <w:t>. Otro trabajo</w:t>
      </w:r>
      <w:r w:rsidR="000A63F0" w:rsidRPr="003241BA">
        <w:rPr>
          <w:rFonts w:ascii="Arial" w:hAnsi="Arial" w:cs="Arial"/>
          <w:sz w:val="22"/>
          <w:szCs w:val="22"/>
        </w:rPr>
        <w:t xml:space="preserve"> en</w:t>
      </w:r>
      <w:r w:rsidR="00AB53AB" w:rsidRPr="003241BA">
        <w:rPr>
          <w:rFonts w:ascii="Arial" w:hAnsi="Arial" w:cs="Arial"/>
          <w:sz w:val="22"/>
          <w:szCs w:val="22"/>
        </w:rPr>
        <w:t xml:space="preserve"> esta línea de investigación es el de Seligson (2006) que propone una medida de la corrupción dada por la experiencia individual obtenida de una encuesta pública de opinión sobre comportamientos y valores democráticos realizada en 6 países latinoamericanos. El autor concluye que la </w:t>
      </w:r>
      <w:r w:rsidR="00AB53AB" w:rsidRPr="003241BA">
        <w:rPr>
          <w:rFonts w:ascii="Arial" w:hAnsi="Arial" w:cs="Arial"/>
          <w:sz w:val="22"/>
          <w:szCs w:val="22"/>
        </w:rPr>
        <w:lastRenderedPageBreak/>
        <w:t>corrupción desgata la legitimidad de las democracias debilitando la confianza de los ciudadanos en sus propios regímenes y socavando la confianza interpersonal que afecta las relaciones de la sociedad civil.</w:t>
      </w:r>
    </w:p>
    <w:p w:rsidR="00826E4B" w:rsidRPr="00A42D43" w:rsidRDefault="00826E4B" w:rsidP="00001476">
      <w:pPr>
        <w:tabs>
          <w:tab w:val="left" w:pos="4891"/>
        </w:tabs>
        <w:spacing w:line="276" w:lineRule="auto"/>
        <w:jc w:val="both"/>
        <w:rPr>
          <w:rFonts w:ascii="Arial" w:hAnsi="Arial" w:cs="Arial"/>
          <w:sz w:val="22"/>
          <w:szCs w:val="22"/>
        </w:rPr>
      </w:pPr>
    </w:p>
    <w:p w:rsidR="00826E4B" w:rsidRPr="003241BA" w:rsidRDefault="00826E4B"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Chong et al (2011), utilizando un modelo experimental en México, encuentran una serie de efectos de la exposición de la corrupción en las elecciones. En primer lugar, encuentran que la provisión de información sobre actos corruptos de parte de los oficiales electos reduce su apoyo popular. Quizá más relevante para la APT de Chile es el hallazgo que ser informado sobre la corrupción disminuye la identificación del ciudadano con su partido político, y también disminuye la probabilidad de que vote, lo cual deslegitima todo el proceso electoral.  En la misma línea, Ferraz y Finan (2007) demuestran el potencial de exponer a los políticos corruptos. Utilizando datos a nivel municipal de Brasil</w:t>
      </w:r>
      <w:r w:rsidR="00A66F72" w:rsidRPr="003241BA">
        <w:rPr>
          <w:rFonts w:ascii="Arial" w:hAnsi="Arial" w:cs="Arial"/>
          <w:sz w:val="22"/>
          <w:szCs w:val="22"/>
        </w:rPr>
        <w:t xml:space="preserve"> y aprovechando el programa de auditorías que selecciona sus sujetos de forma aleatoria</w:t>
      </w:r>
      <w:r w:rsidRPr="003241BA">
        <w:rPr>
          <w:rFonts w:ascii="Arial" w:hAnsi="Arial" w:cs="Arial"/>
          <w:sz w:val="22"/>
          <w:szCs w:val="22"/>
        </w:rPr>
        <w:t xml:space="preserve">, hallan que la divulgación de auditorías que relevan actos corruptos disminuye en un 20% la probabilidad de que el alcalde sea reelecto. </w:t>
      </w:r>
    </w:p>
    <w:p w:rsidR="00C76B08" w:rsidRPr="00A42D43" w:rsidRDefault="00C76B08" w:rsidP="00001476">
      <w:pPr>
        <w:tabs>
          <w:tab w:val="left" w:pos="4891"/>
        </w:tabs>
        <w:spacing w:line="276" w:lineRule="auto"/>
        <w:jc w:val="both"/>
        <w:rPr>
          <w:rFonts w:ascii="Arial" w:hAnsi="Arial" w:cs="Arial"/>
          <w:sz w:val="22"/>
          <w:szCs w:val="22"/>
        </w:rPr>
      </w:pPr>
    </w:p>
    <w:p w:rsidR="00C85C70" w:rsidRPr="003241BA" w:rsidRDefault="00C85C70"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Otro aspecto a considerar </w:t>
      </w:r>
      <w:r w:rsidR="00F46B21" w:rsidRPr="003241BA">
        <w:rPr>
          <w:rFonts w:ascii="Arial" w:hAnsi="Arial" w:cs="Arial"/>
          <w:sz w:val="22"/>
          <w:szCs w:val="22"/>
        </w:rPr>
        <w:t xml:space="preserve">a la hora de evaluar </w:t>
      </w:r>
      <w:r w:rsidRPr="003241BA">
        <w:rPr>
          <w:rFonts w:ascii="Arial" w:hAnsi="Arial" w:cs="Arial"/>
          <w:sz w:val="22"/>
          <w:szCs w:val="22"/>
        </w:rPr>
        <w:t xml:space="preserve">las políticas de anticorrupción es </w:t>
      </w:r>
      <w:r w:rsidR="00F46B21" w:rsidRPr="003241BA">
        <w:rPr>
          <w:rFonts w:ascii="Arial" w:hAnsi="Arial" w:cs="Arial"/>
          <w:sz w:val="22"/>
          <w:szCs w:val="22"/>
        </w:rPr>
        <w:t xml:space="preserve">el impacto de mayores o menores niveles de competencia en un sistema político democrático. </w:t>
      </w:r>
      <w:r w:rsidR="00D50566" w:rsidRPr="003241BA">
        <w:rPr>
          <w:rFonts w:ascii="Arial" w:hAnsi="Arial" w:cs="Arial"/>
          <w:sz w:val="22"/>
          <w:szCs w:val="22"/>
        </w:rPr>
        <w:t>Ante una falta de competencia, se aumenta la posibilidad de dinastías políticas. Estas</w:t>
      </w:r>
      <w:r w:rsidRPr="003241BA">
        <w:rPr>
          <w:rFonts w:ascii="Arial" w:hAnsi="Arial" w:cs="Arial"/>
          <w:sz w:val="22"/>
          <w:szCs w:val="22"/>
        </w:rPr>
        <w:t xml:space="preserve"> pueden afectar la legitimidad de la democracia y la calidad de las políticas de gobierno</w:t>
      </w:r>
      <w:r w:rsidRPr="00A42D43">
        <w:rPr>
          <w:rStyle w:val="FootnoteReference"/>
          <w:rFonts w:ascii="Arial" w:hAnsi="Arial" w:cs="Arial"/>
          <w:sz w:val="22"/>
          <w:szCs w:val="22"/>
        </w:rPr>
        <w:footnoteReference w:id="17"/>
      </w:r>
      <w:r w:rsidRPr="003241BA">
        <w:rPr>
          <w:rFonts w:ascii="Arial" w:hAnsi="Arial" w:cs="Arial"/>
          <w:sz w:val="22"/>
          <w:szCs w:val="22"/>
        </w:rPr>
        <w:t xml:space="preserve"> debido a que tienen incentivos para implementar políticas que incrementen sus ventajas y garanticen la permanencia en el poder, lo cual potencia la aparición de clientelismo político y corrupción en países institucionalmente débiles. Utilizando un m</w:t>
      </w:r>
      <w:r w:rsidR="0049211B" w:rsidRPr="003241BA">
        <w:rPr>
          <w:rFonts w:ascii="Arial" w:hAnsi="Arial" w:cs="Arial"/>
          <w:sz w:val="22"/>
          <w:szCs w:val="22"/>
        </w:rPr>
        <w:t>odelo de regresión discontinua</w:t>
      </w:r>
      <w:r w:rsidRPr="003241BA">
        <w:rPr>
          <w:rFonts w:ascii="Arial" w:hAnsi="Arial" w:cs="Arial"/>
          <w:sz w:val="22"/>
          <w:szCs w:val="22"/>
        </w:rPr>
        <w:t xml:space="preserve"> para datos de municipalidades de Brasil, Bragança et al (2015) buscan determinar cómo las dinastías políticas de los intendentes afectan la calidad del gobierno local. </w:t>
      </w:r>
      <w:r w:rsidR="005F2281" w:rsidRPr="003241BA">
        <w:rPr>
          <w:rFonts w:ascii="Arial" w:hAnsi="Arial" w:cs="Arial"/>
          <w:sz w:val="22"/>
          <w:szCs w:val="22"/>
        </w:rPr>
        <w:t>E</w:t>
      </w:r>
      <w:r w:rsidRPr="003241BA">
        <w:rPr>
          <w:rFonts w:ascii="Arial" w:hAnsi="Arial" w:cs="Arial"/>
          <w:sz w:val="22"/>
          <w:szCs w:val="22"/>
        </w:rPr>
        <w:t xml:space="preserve">ncuentran evidencia a favor de un mayor gasto de recursos, especialmente orientados a inversiones en infraestructura urbana, salud y sanidad. Sin embargo, dicho aumento del gasto no </w:t>
      </w:r>
      <w:r w:rsidR="005F2281" w:rsidRPr="003241BA">
        <w:rPr>
          <w:rFonts w:ascii="Arial" w:hAnsi="Arial" w:cs="Arial"/>
          <w:sz w:val="22"/>
          <w:szCs w:val="22"/>
        </w:rPr>
        <w:t>está</w:t>
      </w:r>
      <w:r w:rsidRPr="003241BA">
        <w:rPr>
          <w:rFonts w:ascii="Arial" w:hAnsi="Arial" w:cs="Arial"/>
          <w:sz w:val="22"/>
          <w:szCs w:val="22"/>
        </w:rPr>
        <w:t xml:space="preserve"> asociado a una mejora en el crecimiento y el empleo ni a una mejora en la calidad de la infraestructura urbana o en los servicios de salud y educación públicas.</w:t>
      </w:r>
      <w:r w:rsidR="008A3BE8" w:rsidRPr="003241BA">
        <w:rPr>
          <w:rFonts w:ascii="Arial" w:hAnsi="Arial" w:cs="Arial"/>
          <w:sz w:val="22"/>
          <w:szCs w:val="22"/>
        </w:rPr>
        <w:t xml:space="preserve"> En la misma línea,</w:t>
      </w:r>
      <w:r w:rsidRPr="003241BA">
        <w:rPr>
          <w:rFonts w:ascii="Arial" w:hAnsi="Arial" w:cs="Arial"/>
          <w:sz w:val="22"/>
          <w:szCs w:val="22"/>
        </w:rPr>
        <w:t xml:space="preserve"> Geys (2015) encuentra que las dinastías políticas tienen un efecto significativo sobre el capital humano de los políticos relacionado con menores niveles de educación cuando el proceso de selección de funcionarios está controlado por funcionarios actualmente en el poder y que las diferencias en los niveles educativos se profundizan cuando las restricciones en dicho proceso disminuyen. </w:t>
      </w:r>
    </w:p>
    <w:p w:rsidR="00EB27F3" w:rsidRPr="00A42D43" w:rsidRDefault="00EB27F3" w:rsidP="00001476">
      <w:pPr>
        <w:tabs>
          <w:tab w:val="left" w:pos="4891"/>
        </w:tabs>
        <w:spacing w:line="276" w:lineRule="auto"/>
        <w:jc w:val="both"/>
        <w:rPr>
          <w:rFonts w:ascii="Arial" w:hAnsi="Arial" w:cs="Arial"/>
          <w:sz w:val="22"/>
          <w:szCs w:val="22"/>
        </w:rPr>
      </w:pPr>
    </w:p>
    <w:p w:rsidR="00EB27F3" w:rsidRPr="003241BA" w:rsidRDefault="0047058C"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C</w:t>
      </w:r>
      <w:r w:rsidR="00EB27F3" w:rsidRPr="003241BA">
        <w:rPr>
          <w:rFonts w:ascii="Arial" w:hAnsi="Arial" w:cs="Arial"/>
          <w:sz w:val="22"/>
          <w:szCs w:val="22"/>
        </w:rPr>
        <w:t xml:space="preserve">abe </w:t>
      </w:r>
      <w:r w:rsidRPr="003241BA">
        <w:rPr>
          <w:rFonts w:ascii="Arial" w:hAnsi="Arial" w:cs="Arial"/>
          <w:sz w:val="22"/>
          <w:szCs w:val="22"/>
        </w:rPr>
        <w:t>destacar</w:t>
      </w:r>
      <w:r w:rsidR="00EB27F3" w:rsidRPr="003241BA">
        <w:rPr>
          <w:rFonts w:ascii="Arial" w:hAnsi="Arial" w:cs="Arial"/>
          <w:sz w:val="22"/>
          <w:szCs w:val="22"/>
        </w:rPr>
        <w:t xml:space="preserve"> la literatura acerca de la educación </w:t>
      </w:r>
      <w:r w:rsidR="000646A0" w:rsidRPr="003241BA">
        <w:rPr>
          <w:rFonts w:ascii="Arial" w:hAnsi="Arial" w:cs="Arial"/>
          <w:sz w:val="22"/>
          <w:szCs w:val="22"/>
        </w:rPr>
        <w:t xml:space="preserve">y participación </w:t>
      </w:r>
      <w:r w:rsidR="00EB27F3" w:rsidRPr="003241BA">
        <w:rPr>
          <w:rFonts w:ascii="Arial" w:hAnsi="Arial" w:cs="Arial"/>
          <w:sz w:val="22"/>
          <w:szCs w:val="22"/>
        </w:rPr>
        <w:t xml:space="preserve">cívica. Carpini y Keeter (1996) demuestran que el conocimiento cívico mejora la cantidad y calidad de la participación cívica. Un estudio de Kahne y Sporte (2008) que demuestra que la educación cívica formal puede funcionar para fomentar el compromiso con la participación cívica. Finalmente, una serie de estudios demuestran que los </w:t>
      </w:r>
      <w:r w:rsidR="00EB27F3" w:rsidRPr="003241BA">
        <w:rPr>
          <w:rFonts w:ascii="Arial" w:hAnsi="Arial" w:cs="Arial"/>
          <w:sz w:val="22"/>
          <w:szCs w:val="22"/>
        </w:rPr>
        <w:lastRenderedPageBreak/>
        <w:t>adolescentes con mayor disposición hacia la participación cívica mantienen esa disposición en su adultez (Ajzen, 2001; Fishbein, Ajzen y Hinkle,</w:t>
      </w:r>
      <w:r w:rsidR="00116FC9" w:rsidRPr="003241BA">
        <w:rPr>
          <w:rFonts w:ascii="Arial" w:hAnsi="Arial" w:cs="Arial"/>
          <w:sz w:val="22"/>
          <w:szCs w:val="22"/>
        </w:rPr>
        <w:t xml:space="preserve"> 1980; Oesterle, Johnson y Mo</w:t>
      </w:r>
      <w:r w:rsidR="00EB27F3" w:rsidRPr="003241BA">
        <w:rPr>
          <w:rFonts w:ascii="Arial" w:hAnsi="Arial" w:cs="Arial"/>
          <w:sz w:val="22"/>
          <w:szCs w:val="22"/>
        </w:rPr>
        <w:t xml:space="preserve">rtimer, 2004). </w:t>
      </w:r>
    </w:p>
    <w:p w:rsidR="00C85C70" w:rsidRPr="00A42D43" w:rsidRDefault="00C85C70" w:rsidP="00001476">
      <w:pPr>
        <w:tabs>
          <w:tab w:val="left" w:pos="4891"/>
        </w:tabs>
        <w:spacing w:line="276" w:lineRule="auto"/>
        <w:jc w:val="both"/>
        <w:rPr>
          <w:rFonts w:ascii="Arial" w:hAnsi="Arial" w:cs="Arial"/>
          <w:sz w:val="22"/>
          <w:szCs w:val="22"/>
        </w:rPr>
      </w:pPr>
    </w:p>
    <w:p w:rsidR="000A63F0" w:rsidRPr="003241BA" w:rsidRDefault="00AE6B4B" w:rsidP="003241BA">
      <w:pPr>
        <w:pStyle w:val="ListParagraph"/>
        <w:numPr>
          <w:ilvl w:val="0"/>
          <w:numId w:val="33"/>
        </w:numPr>
        <w:tabs>
          <w:tab w:val="left" w:pos="4891"/>
        </w:tabs>
        <w:spacing w:line="276" w:lineRule="auto"/>
        <w:ind w:hanging="720"/>
        <w:jc w:val="both"/>
        <w:rPr>
          <w:rFonts w:ascii="Arial" w:hAnsi="Arial" w:cs="Arial"/>
          <w:b/>
          <w:sz w:val="22"/>
          <w:szCs w:val="22"/>
          <w:u w:val="single"/>
        </w:rPr>
      </w:pPr>
      <w:r w:rsidRPr="003241BA">
        <w:rPr>
          <w:rFonts w:ascii="Arial" w:hAnsi="Arial" w:cs="Arial"/>
          <w:b/>
          <w:sz w:val="22"/>
          <w:szCs w:val="22"/>
          <w:u w:val="single"/>
        </w:rPr>
        <w:t>Prevención de c</w:t>
      </w:r>
      <w:r w:rsidR="000A63F0" w:rsidRPr="003241BA">
        <w:rPr>
          <w:rFonts w:ascii="Arial" w:hAnsi="Arial" w:cs="Arial"/>
          <w:b/>
          <w:sz w:val="22"/>
          <w:szCs w:val="22"/>
          <w:u w:val="single"/>
        </w:rPr>
        <w:t>orrupción y adquisiciones</w:t>
      </w:r>
    </w:p>
    <w:p w:rsidR="00404FEE" w:rsidRDefault="00404FEE" w:rsidP="00001476">
      <w:pPr>
        <w:tabs>
          <w:tab w:val="left" w:pos="4891"/>
        </w:tabs>
        <w:spacing w:line="276" w:lineRule="auto"/>
        <w:jc w:val="both"/>
        <w:rPr>
          <w:rFonts w:ascii="Arial" w:hAnsi="Arial" w:cs="Arial"/>
          <w:sz w:val="22"/>
          <w:szCs w:val="22"/>
        </w:rPr>
      </w:pPr>
    </w:p>
    <w:p w:rsidR="00121E4B" w:rsidRPr="003241BA" w:rsidRDefault="004E163D"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La APT busca seguir fortaleciendo la institucionalidad de las compras públicas. Por ejemplo, una medida de política del programa </w:t>
      </w:r>
      <w:r w:rsidR="006B0B55" w:rsidRPr="003241BA">
        <w:rPr>
          <w:rFonts w:ascii="Arial" w:hAnsi="Arial" w:cs="Arial"/>
          <w:sz w:val="22"/>
          <w:szCs w:val="22"/>
        </w:rPr>
        <w:t>refiere al cumplimiento</w:t>
      </w:r>
      <w:r w:rsidR="006B0B55" w:rsidRPr="003241BA">
        <w:rPr>
          <w:rFonts w:ascii="Arial" w:hAnsi="Arial" w:cs="Arial"/>
          <w:sz w:val="22"/>
          <w:szCs w:val="22"/>
          <w:lang w:val="es-ES"/>
        </w:rPr>
        <w:t xml:space="preserve"> de las condiciones necesarias para la habilitación en los organismos públicos con el fin de publicar las bases de licitación, con firma electrónica, en el portal </w:t>
      </w:r>
      <w:hyperlink r:id="rId22" w:history="1">
        <w:r w:rsidR="006B0B55" w:rsidRPr="003241BA">
          <w:rPr>
            <w:rFonts w:ascii="Arial" w:hAnsi="Arial" w:cs="Arial"/>
            <w:sz w:val="22"/>
            <w:szCs w:val="22"/>
          </w:rPr>
          <w:t>www.mercadopublico.cl</w:t>
        </w:r>
      </w:hyperlink>
      <w:r w:rsidR="006B0B55" w:rsidRPr="003241BA">
        <w:rPr>
          <w:rFonts w:ascii="Arial" w:hAnsi="Arial" w:cs="Arial"/>
          <w:sz w:val="22"/>
          <w:szCs w:val="22"/>
          <w:lang w:val="es-ES"/>
        </w:rPr>
        <w:t>; lo que permitirá avanzar con el uso obligatorio de formularios electrónicos estandarizados de bases de licitación</w:t>
      </w:r>
      <w:r w:rsidR="008D41A4" w:rsidRPr="003241BA">
        <w:rPr>
          <w:rFonts w:ascii="Arial" w:hAnsi="Arial" w:cs="Arial"/>
          <w:sz w:val="22"/>
          <w:szCs w:val="22"/>
        </w:rPr>
        <w:t xml:space="preserve">. </w:t>
      </w:r>
      <w:r w:rsidR="003610BB" w:rsidRPr="003241BA">
        <w:rPr>
          <w:rFonts w:ascii="Arial" w:hAnsi="Arial" w:cs="Arial"/>
          <w:sz w:val="22"/>
          <w:szCs w:val="22"/>
        </w:rPr>
        <w:t>Existe una literatura que apoyo esta clase de medidas, en la cual se  demuestra</w:t>
      </w:r>
      <w:r w:rsidR="00121E4B" w:rsidRPr="003241BA">
        <w:rPr>
          <w:rFonts w:ascii="Arial" w:hAnsi="Arial" w:cs="Arial"/>
          <w:sz w:val="22"/>
          <w:szCs w:val="22"/>
        </w:rPr>
        <w:t xml:space="preserve"> que la existencia de corrupción en los organismos públicos </w:t>
      </w:r>
      <w:r w:rsidR="00A66F72" w:rsidRPr="003241BA">
        <w:rPr>
          <w:rFonts w:ascii="Arial" w:hAnsi="Arial" w:cs="Arial"/>
          <w:sz w:val="22"/>
          <w:szCs w:val="22"/>
        </w:rPr>
        <w:t>en muchos casos implica</w:t>
      </w:r>
      <w:r w:rsidR="00121E4B" w:rsidRPr="003241BA">
        <w:rPr>
          <w:rFonts w:ascii="Arial" w:hAnsi="Arial" w:cs="Arial"/>
          <w:sz w:val="22"/>
          <w:szCs w:val="22"/>
        </w:rPr>
        <w:t xml:space="preserve"> un sobreprecio en las compras realizadas por dichas instituciones</w:t>
      </w:r>
      <w:r w:rsidR="00A66F72" w:rsidRPr="003241BA">
        <w:rPr>
          <w:rFonts w:ascii="Arial" w:hAnsi="Arial" w:cs="Arial"/>
          <w:sz w:val="22"/>
          <w:szCs w:val="22"/>
        </w:rPr>
        <w:t xml:space="preserve"> y baja calidad de los bienes o servicios obtenidos</w:t>
      </w:r>
      <w:r w:rsidR="00121E4B" w:rsidRPr="003241BA">
        <w:rPr>
          <w:rFonts w:ascii="Arial" w:hAnsi="Arial" w:cs="Arial"/>
          <w:sz w:val="22"/>
          <w:szCs w:val="22"/>
        </w:rPr>
        <w:t xml:space="preserve">. </w:t>
      </w:r>
    </w:p>
    <w:p w:rsidR="00CB03ED" w:rsidRPr="00A42D43" w:rsidRDefault="00CB03ED" w:rsidP="00001476">
      <w:pPr>
        <w:tabs>
          <w:tab w:val="left" w:pos="4891"/>
        </w:tabs>
        <w:spacing w:line="276" w:lineRule="auto"/>
        <w:jc w:val="both"/>
        <w:rPr>
          <w:rFonts w:ascii="Arial" w:hAnsi="Arial" w:cs="Arial"/>
          <w:sz w:val="22"/>
          <w:szCs w:val="22"/>
        </w:rPr>
      </w:pPr>
    </w:p>
    <w:p w:rsidR="00F84E07" w:rsidRPr="003241BA" w:rsidRDefault="002C5BBD"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P</w:t>
      </w:r>
      <w:r w:rsidR="00F82F52" w:rsidRPr="003241BA">
        <w:rPr>
          <w:rFonts w:ascii="Arial" w:hAnsi="Arial" w:cs="Arial"/>
          <w:sz w:val="22"/>
          <w:szCs w:val="22"/>
        </w:rPr>
        <w:t>or un lado, en Bandiera et al</w:t>
      </w:r>
      <w:r w:rsidR="00F179C0" w:rsidRPr="003241BA">
        <w:rPr>
          <w:rFonts w:ascii="Arial" w:hAnsi="Arial" w:cs="Arial"/>
          <w:sz w:val="22"/>
          <w:szCs w:val="22"/>
        </w:rPr>
        <w:t>.</w:t>
      </w:r>
      <w:r w:rsidR="00F82F52" w:rsidRPr="003241BA">
        <w:rPr>
          <w:rFonts w:ascii="Arial" w:hAnsi="Arial" w:cs="Arial"/>
          <w:sz w:val="22"/>
          <w:szCs w:val="22"/>
        </w:rPr>
        <w:t xml:space="preserve"> (2009) se hace un esfuerzo para diferenciar los problemas de ineficiencia derivados de la gestión pública de los problemas generados por la corrupción. Los autores explotan un experimento natural que surge de una política asociada a una central de compras de la administración pública italiana y analizan las compras de bienes estandarizados realizadas por los organismos públicos. Para lograr la diferenciación entre ineficiencia y corrupción proponen una distinción entre despilfarro activo, cuando hay implicado un beneficio directo o indirecto para el tomador de decisión del estado (por ejemplo, los sobreprecios pagados a cambio de un soborno), y despilfarro pasivo</w:t>
      </w:r>
      <w:r w:rsidR="00EC40D7" w:rsidRPr="003241BA">
        <w:rPr>
          <w:rFonts w:ascii="Arial" w:hAnsi="Arial" w:cs="Arial"/>
          <w:sz w:val="22"/>
          <w:szCs w:val="22"/>
        </w:rPr>
        <w:t xml:space="preserve"> (también entendido como la ineficiencia)</w:t>
      </w:r>
      <w:r w:rsidR="00F82F52" w:rsidRPr="003241BA">
        <w:rPr>
          <w:rFonts w:ascii="Arial" w:hAnsi="Arial" w:cs="Arial"/>
          <w:sz w:val="22"/>
          <w:szCs w:val="22"/>
        </w:rPr>
        <w:t>, cuando no hay implicado ningún beneficio para éste (por ejemplo, cuando los funcionarios no poseen habilidades para minimizar costos o no tienen incentivos para minimizarlos o cuando debido a regulación estatal excesiva la adquisición se entorpece e incrementa los precios promedios de lo que pagan los organismos públicos). Las</w:t>
      </w:r>
      <w:r w:rsidRPr="003241BA">
        <w:rPr>
          <w:rFonts w:ascii="Arial" w:hAnsi="Arial" w:cs="Arial"/>
          <w:sz w:val="22"/>
          <w:szCs w:val="22"/>
        </w:rPr>
        <w:t xml:space="preserve"> tres</w:t>
      </w:r>
      <w:r w:rsidR="00F82F52" w:rsidRPr="003241BA">
        <w:rPr>
          <w:rFonts w:ascii="Arial" w:hAnsi="Arial" w:cs="Arial"/>
          <w:sz w:val="22"/>
          <w:szCs w:val="22"/>
        </w:rPr>
        <w:t xml:space="preserve"> conclusiones principales de este trabajo son que: (i) algunos organismos pagan un precio sistemáticamente superior a otros por el mismo bien, (ii) dichas diferencias de precios están correlacionada</w:t>
      </w:r>
      <w:r w:rsidR="00F179C0" w:rsidRPr="003241BA">
        <w:rPr>
          <w:rFonts w:ascii="Arial" w:hAnsi="Arial" w:cs="Arial"/>
          <w:sz w:val="22"/>
          <w:szCs w:val="22"/>
        </w:rPr>
        <w:t>s con la estructura de gobierno y</w:t>
      </w:r>
      <w:r w:rsidR="00F82F52" w:rsidRPr="003241BA">
        <w:rPr>
          <w:rFonts w:ascii="Arial" w:hAnsi="Arial" w:cs="Arial"/>
          <w:sz w:val="22"/>
          <w:szCs w:val="22"/>
        </w:rPr>
        <w:t xml:space="preserve"> (iii) los sobreprecios están asociados prin</w:t>
      </w:r>
      <w:r w:rsidRPr="003241BA">
        <w:rPr>
          <w:rFonts w:ascii="Arial" w:hAnsi="Arial" w:cs="Arial"/>
          <w:sz w:val="22"/>
          <w:szCs w:val="22"/>
        </w:rPr>
        <w:t xml:space="preserve">cipalmente al despilfarro pasivo, que representa </w:t>
      </w:r>
      <w:r w:rsidR="00F82F52" w:rsidRPr="003241BA">
        <w:rPr>
          <w:rFonts w:ascii="Arial" w:hAnsi="Arial" w:cs="Arial"/>
          <w:sz w:val="22"/>
          <w:szCs w:val="22"/>
        </w:rPr>
        <w:t>un 83% del despilfarro total estimado. Adicionalmente, la evidencia sugiere que el despilfarro activo puede implicar un sobreprecio de</w:t>
      </w:r>
      <w:r w:rsidR="00414B63" w:rsidRPr="003241BA">
        <w:rPr>
          <w:rFonts w:ascii="Arial" w:hAnsi="Arial" w:cs="Arial"/>
          <w:sz w:val="22"/>
          <w:szCs w:val="22"/>
        </w:rPr>
        <w:t>l 11% en las compras de bienes.</w:t>
      </w:r>
      <w:r w:rsidR="00F84E07" w:rsidRPr="003241BA">
        <w:rPr>
          <w:rFonts w:ascii="Arial" w:hAnsi="Arial" w:cs="Arial"/>
          <w:sz w:val="22"/>
          <w:szCs w:val="22"/>
        </w:rPr>
        <w:t xml:space="preserve"> Concluyen con el hallazgo de que los organismos públicos italianos que realizaron sus compras a través de la agencia central de compras lograron un ahor</w:t>
      </w:r>
      <w:r w:rsidR="00C878F5" w:rsidRPr="003241BA">
        <w:rPr>
          <w:rFonts w:ascii="Arial" w:hAnsi="Arial" w:cs="Arial"/>
          <w:sz w:val="22"/>
          <w:szCs w:val="22"/>
        </w:rPr>
        <w:t xml:space="preserve">ro del 22% del precio de compra en comparación con aquellos entes descentralizados que no utilizaron la agencia central. </w:t>
      </w:r>
    </w:p>
    <w:p w:rsidR="00F84E07" w:rsidRPr="00A42D43" w:rsidRDefault="00F84E07" w:rsidP="00001476">
      <w:pPr>
        <w:tabs>
          <w:tab w:val="left" w:pos="4891"/>
        </w:tabs>
        <w:spacing w:line="276" w:lineRule="auto"/>
        <w:jc w:val="both"/>
        <w:rPr>
          <w:rFonts w:ascii="Arial" w:hAnsi="Arial" w:cs="Arial"/>
          <w:sz w:val="22"/>
          <w:szCs w:val="22"/>
        </w:rPr>
      </w:pPr>
    </w:p>
    <w:p w:rsidR="00A12061" w:rsidRPr="003241BA" w:rsidRDefault="002C5BBD"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Por </w:t>
      </w:r>
      <w:r w:rsidR="00E01980" w:rsidRPr="003241BA">
        <w:rPr>
          <w:rFonts w:ascii="Arial" w:hAnsi="Arial" w:cs="Arial"/>
          <w:sz w:val="22"/>
          <w:szCs w:val="22"/>
        </w:rPr>
        <w:t xml:space="preserve">el </w:t>
      </w:r>
      <w:r w:rsidRPr="003241BA">
        <w:rPr>
          <w:rFonts w:ascii="Arial" w:hAnsi="Arial" w:cs="Arial"/>
          <w:sz w:val="22"/>
          <w:szCs w:val="22"/>
        </w:rPr>
        <w:t>otro lado, y e</w:t>
      </w:r>
      <w:r w:rsidR="00284526" w:rsidRPr="003241BA">
        <w:rPr>
          <w:rFonts w:ascii="Arial" w:hAnsi="Arial" w:cs="Arial"/>
          <w:sz w:val="22"/>
          <w:szCs w:val="22"/>
        </w:rPr>
        <w:t xml:space="preserve">n concordancia con estos resultados, Di Tella y Schargrodsky (2003) explotan un evento único de control de la corrupción en la Ciudad </w:t>
      </w:r>
      <w:r w:rsidR="00284526" w:rsidRPr="003241BA">
        <w:rPr>
          <w:rFonts w:ascii="Arial" w:hAnsi="Arial" w:cs="Arial"/>
          <w:sz w:val="22"/>
          <w:szCs w:val="22"/>
        </w:rPr>
        <w:lastRenderedPageBreak/>
        <w:t>Autónoma de Buenos Aires (CABA) luego de un cambio de gobierno y estiman que los funcionarios públicos de los hospitales de dicha ciudad pagaban un sobreprecio de 10% aproximadamente antes de la implementación de</w:t>
      </w:r>
      <w:r w:rsidR="00D457D7" w:rsidRPr="003241BA">
        <w:rPr>
          <w:rFonts w:ascii="Arial" w:hAnsi="Arial" w:cs="Arial"/>
          <w:sz w:val="22"/>
          <w:szCs w:val="22"/>
        </w:rPr>
        <w:t xml:space="preserve"> la política de anticorrupción.</w:t>
      </w:r>
      <w:r w:rsidR="00A12061" w:rsidRPr="003241BA">
        <w:rPr>
          <w:rFonts w:ascii="Arial" w:hAnsi="Arial" w:cs="Arial"/>
          <w:sz w:val="22"/>
          <w:szCs w:val="22"/>
        </w:rPr>
        <w:t xml:space="preserve"> </w:t>
      </w:r>
      <w:r w:rsidR="006B2B40" w:rsidRPr="003241BA">
        <w:rPr>
          <w:rFonts w:ascii="Arial" w:hAnsi="Arial" w:cs="Arial"/>
          <w:sz w:val="22"/>
          <w:szCs w:val="22"/>
        </w:rPr>
        <w:t>En consecuencia,</w:t>
      </w:r>
      <w:r w:rsidR="00A12061" w:rsidRPr="003241BA">
        <w:rPr>
          <w:rFonts w:ascii="Arial" w:hAnsi="Arial" w:cs="Arial"/>
          <w:sz w:val="22"/>
          <w:szCs w:val="22"/>
        </w:rPr>
        <w:t xml:space="preserve"> argumentan que las políticas de anticorrupción podrían ser rentables incluso para costos de implementación de auditorías de compra altos.</w:t>
      </w:r>
    </w:p>
    <w:p w:rsidR="00B0145D" w:rsidRPr="00A42D43" w:rsidRDefault="00B0145D" w:rsidP="00001476">
      <w:pPr>
        <w:tabs>
          <w:tab w:val="left" w:pos="4891"/>
        </w:tabs>
        <w:spacing w:line="276" w:lineRule="auto"/>
        <w:jc w:val="both"/>
        <w:rPr>
          <w:rFonts w:ascii="Arial" w:hAnsi="Arial" w:cs="Arial"/>
          <w:sz w:val="22"/>
          <w:szCs w:val="22"/>
        </w:rPr>
      </w:pPr>
    </w:p>
    <w:p w:rsidR="00B0145D" w:rsidRPr="003241BA" w:rsidRDefault="00B0145D"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Lewis-Faupel et al, en un estudio que examina los contextos de Indonesia e India, encuentran una serie de impactos de sistemas de adquisiciones electrónicas (</w:t>
      </w:r>
      <w:r w:rsidRPr="003241BA">
        <w:rPr>
          <w:rFonts w:ascii="Arial" w:hAnsi="Arial" w:cs="Arial"/>
          <w:i/>
          <w:sz w:val="22"/>
          <w:szCs w:val="22"/>
        </w:rPr>
        <w:t>e-procurement</w:t>
      </w:r>
      <w:r w:rsidRPr="003241BA">
        <w:rPr>
          <w:rFonts w:ascii="Arial" w:hAnsi="Arial" w:cs="Arial"/>
          <w:sz w:val="22"/>
          <w:szCs w:val="22"/>
        </w:rPr>
        <w:t xml:space="preserve">). En general, encuentran que los sistemas no llevan a una reducción de precios pagados por los gobiernos. Sin embargo, sí descubren que la implementación del sistema llevó a una mejor calidad de carreteras (en India) y menos rezagos en la ejecución de obras (en Indonesia). Una distribución más amplia de ganadores de contratos, y la participación de firmas de mayor calidad, parece explicar estas mejoras observadas. </w:t>
      </w:r>
    </w:p>
    <w:p w:rsidR="0073794A" w:rsidRPr="00A42D43" w:rsidRDefault="0073794A" w:rsidP="00001476">
      <w:pPr>
        <w:tabs>
          <w:tab w:val="left" w:pos="4891"/>
        </w:tabs>
        <w:spacing w:line="276" w:lineRule="auto"/>
        <w:jc w:val="both"/>
        <w:rPr>
          <w:rFonts w:ascii="Arial" w:hAnsi="Arial" w:cs="Arial"/>
          <w:sz w:val="22"/>
          <w:szCs w:val="22"/>
        </w:rPr>
      </w:pPr>
    </w:p>
    <w:p w:rsidR="0073794A" w:rsidRPr="003241BA" w:rsidRDefault="0073794A"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En un estudio sobre Chile, Singer et al (2009)</w:t>
      </w:r>
      <w:r w:rsidR="00C878F5" w:rsidRPr="003241BA">
        <w:rPr>
          <w:rFonts w:ascii="Arial" w:hAnsi="Arial" w:cs="Arial"/>
          <w:sz w:val="22"/>
          <w:szCs w:val="22"/>
        </w:rPr>
        <w:t xml:space="preserve"> documentan el potencial de producir ahorros del sistema de compras electrónicas, ChileCompra. Encuentran que en el 2007, 885 entidades del estado chileno utilizaron el sistema para comprar aproximadamente USD $4.5 mil millones en bienes y servicios. Estiman que ChileCompra produjo una reducción de precios </w:t>
      </w:r>
      <w:r w:rsidR="00AB65C3" w:rsidRPr="003241BA">
        <w:rPr>
          <w:rFonts w:ascii="Arial" w:hAnsi="Arial" w:cs="Arial"/>
          <w:sz w:val="22"/>
          <w:szCs w:val="22"/>
        </w:rPr>
        <w:t>de 2.93% (USD $91.8 millones) en el 2</w:t>
      </w:r>
      <w:r w:rsidR="00042F31" w:rsidRPr="003241BA">
        <w:rPr>
          <w:rFonts w:ascii="Arial" w:hAnsi="Arial" w:cs="Arial"/>
          <w:sz w:val="22"/>
          <w:szCs w:val="22"/>
        </w:rPr>
        <w:t>006 y 3.03% (USD $118.1 millones) con respecto a lo que hubiera pagado el estado en ausencia del sistema. Adicionalmente, reportan un ahorro de gastos administrativos (calculado en términos de la relación entre el presupuesto del departamento encargado de ChileCompra y el volumen de transacciones)</w:t>
      </w:r>
      <w:r w:rsidR="006C32FC" w:rsidRPr="003241BA">
        <w:rPr>
          <w:rFonts w:ascii="Arial" w:hAnsi="Arial" w:cs="Arial"/>
          <w:sz w:val="22"/>
          <w:szCs w:val="22"/>
        </w:rPr>
        <w:t xml:space="preserve"> </w:t>
      </w:r>
      <w:r w:rsidR="00042F31" w:rsidRPr="003241BA">
        <w:rPr>
          <w:rFonts w:ascii="Arial" w:hAnsi="Arial" w:cs="Arial"/>
          <w:sz w:val="22"/>
          <w:szCs w:val="22"/>
        </w:rPr>
        <w:t>de un 0.28</w:t>
      </w:r>
      <w:r w:rsidR="00C878F5" w:rsidRPr="003241BA">
        <w:rPr>
          <w:rFonts w:ascii="Arial" w:hAnsi="Arial" w:cs="Arial"/>
          <w:sz w:val="22"/>
          <w:szCs w:val="22"/>
        </w:rPr>
        <w:t xml:space="preserve">% </w:t>
      </w:r>
      <w:r w:rsidR="00042F31" w:rsidRPr="003241BA">
        <w:rPr>
          <w:rFonts w:ascii="Arial" w:hAnsi="Arial" w:cs="Arial"/>
          <w:sz w:val="22"/>
          <w:szCs w:val="22"/>
        </w:rPr>
        <w:t>(USD $9.7 millones) en el 2006 y 0.38% (USD $ 16.9 millones) en el 2007.</w:t>
      </w:r>
      <w:r w:rsidR="00C878F5" w:rsidRPr="003241BA">
        <w:rPr>
          <w:rFonts w:ascii="Arial" w:hAnsi="Arial" w:cs="Arial"/>
          <w:sz w:val="22"/>
          <w:szCs w:val="22"/>
        </w:rPr>
        <w:t xml:space="preserve"> </w:t>
      </w:r>
      <w:r w:rsidR="004A2A7B" w:rsidRPr="003241BA">
        <w:rPr>
          <w:rFonts w:ascii="Arial" w:hAnsi="Arial" w:cs="Arial"/>
          <w:sz w:val="22"/>
          <w:szCs w:val="22"/>
        </w:rPr>
        <w:t>El mecanismo principal a trav</w:t>
      </w:r>
      <w:r w:rsidR="006C32FC" w:rsidRPr="003241BA">
        <w:rPr>
          <w:rFonts w:ascii="Arial" w:hAnsi="Arial" w:cs="Arial"/>
          <w:sz w:val="22"/>
          <w:szCs w:val="22"/>
        </w:rPr>
        <w:t xml:space="preserve">és del cual se logra la reducción de precio </w:t>
      </w:r>
      <w:r w:rsidR="004A2A7B" w:rsidRPr="003241BA">
        <w:rPr>
          <w:rFonts w:ascii="Arial" w:hAnsi="Arial" w:cs="Arial"/>
          <w:sz w:val="22"/>
          <w:szCs w:val="22"/>
        </w:rPr>
        <w:t xml:space="preserve">es el aumento en el número de oferentes en los procesos licitatorios. </w:t>
      </w:r>
      <w:r w:rsidR="006C32FC" w:rsidRPr="003241BA">
        <w:rPr>
          <w:rFonts w:ascii="Arial" w:hAnsi="Arial" w:cs="Arial"/>
          <w:sz w:val="22"/>
          <w:szCs w:val="22"/>
        </w:rPr>
        <w:t xml:space="preserve">Dada la envergadura de las compras públicas en la economía – en promedio el 18% del PIB a nivel mundial – este estudio </w:t>
      </w:r>
      <w:r w:rsidR="008E2799" w:rsidRPr="003241BA">
        <w:rPr>
          <w:rFonts w:ascii="Arial" w:hAnsi="Arial" w:cs="Arial"/>
          <w:sz w:val="22"/>
          <w:szCs w:val="22"/>
        </w:rPr>
        <w:t xml:space="preserve">denota el importante potencial para la economía chilena de fortalecer ChileCompra, en particular los aspectos que conduzcan a una mayor competencia entre oferentes. </w:t>
      </w:r>
    </w:p>
    <w:p w:rsidR="00EC40D7" w:rsidRPr="00A42D43" w:rsidRDefault="00EC40D7" w:rsidP="00001476">
      <w:pPr>
        <w:tabs>
          <w:tab w:val="left" w:pos="4891"/>
        </w:tabs>
        <w:spacing w:line="276" w:lineRule="auto"/>
        <w:jc w:val="both"/>
        <w:rPr>
          <w:rFonts w:ascii="Arial" w:hAnsi="Arial" w:cs="Arial"/>
          <w:sz w:val="22"/>
          <w:szCs w:val="22"/>
        </w:rPr>
      </w:pPr>
    </w:p>
    <w:p w:rsidR="00D403E7" w:rsidRPr="003241BA" w:rsidRDefault="00AE6B4B" w:rsidP="003241BA">
      <w:pPr>
        <w:pStyle w:val="ListParagraph"/>
        <w:numPr>
          <w:ilvl w:val="0"/>
          <w:numId w:val="33"/>
        </w:numPr>
        <w:tabs>
          <w:tab w:val="left" w:pos="4891"/>
        </w:tabs>
        <w:spacing w:line="276" w:lineRule="auto"/>
        <w:ind w:hanging="720"/>
        <w:jc w:val="both"/>
        <w:rPr>
          <w:rFonts w:ascii="Arial" w:hAnsi="Arial" w:cs="Arial"/>
          <w:b/>
          <w:sz w:val="22"/>
          <w:szCs w:val="22"/>
          <w:shd w:val="clear" w:color="auto" w:fill="FFFFFF"/>
        </w:rPr>
      </w:pPr>
      <w:r w:rsidRPr="003241BA">
        <w:rPr>
          <w:rFonts w:ascii="Arial" w:hAnsi="Arial" w:cs="Arial"/>
          <w:b/>
          <w:sz w:val="22"/>
          <w:szCs w:val="22"/>
          <w:shd w:val="clear" w:color="auto" w:fill="FFFFFF"/>
        </w:rPr>
        <w:t>Prevención de c</w:t>
      </w:r>
      <w:r w:rsidR="000A63F0" w:rsidRPr="003241BA">
        <w:rPr>
          <w:rFonts w:ascii="Arial" w:hAnsi="Arial" w:cs="Arial"/>
          <w:b/>
          <w:sz w:val="22"/>
          <w:szCs w:val="22"/>
          <w:shd w:val="clear" w:color="auto" w:fill="FFFFFF"/>
        </w:rPr>
        <w:t>orrupción y servicio civil</w:t>
      </w:r>
    </w:p>
    <w:p w:rsidR="00404FEE" w:rsidRDefault="00404FEE" w:rsidP="00001476">
      <w:pPr>
        <w:tabs>
          <w:tab w:val="left" w:pos="4891"/>
        </w:tabs>
        <w:spacing w:line="276" w:lineRule="auto"/>
        <w:jc w:val="both"/>
        <w:rPr>
          <w:rFonts w:ascii="Arial" w:hAnsi="Arial" w:cs="Arial"/>
          <w:sz w:val="22"/>
          <w:szCs w:val="22"/>
        </w:rPr>
      </w:pPr>
    </w:p>
    <w:p w:rsidR="00F16121" w:rsidRPr="003241BA" w:rsidRDefault="00BD779D"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Uno de los ejes principales de la APT trata de la profesionalización del servicio civil y la promoción de conducta proba. </w:t>
      </w:r>
      <w:r w:rsidR="00F16121" w:rsidRPr="003241BA">
        <w:rPr>
          <w:rFonts w:ascii="Arial" w:hAnsi="Arial" w:cs="Arial"/>
          <w:sz w:val="22"/>
          <w:szCs w:val="22"/>
        </w:rPr>
        <w:t xml:space="preserve">Algunas de las medidas contempladas que demuestran este impulso son: (i) la promulgación de una “Ley que perfecciona el Sistema de Alta Dirección Pública (SADP) y fortalece la Dirección Nacional del Servicio Civil (DNSC)”; (ii) la creación de una ventanilla única de empleos públicos en la web; y (iii) la creación de metodologías y herramientas para la creación de códigos de ética para las instituciones públicas.   </w:t>
      </w:r>
    </w:p>
    <w:p w:rsidR="00F16121" w:rsidRPr="00A42D43" w:rsidRDefault="00F16121" w:rsidP="00001476">
      <w:pPr>
        <w:tabs>
          <w:tab w:val="left" w:pos="4891"/>
        </w:tabs>
        <w:spacing w:line="276" w:lineRule="auto"/>
        <w:jc w:val="both"/>
        <w:rPr>
          <w:rFonts w:ascii="Arial" w:hAnsi="Arial" w:cs="Arial"/>
          <w:sz w:val="22"/>
          <w:szCs w:val="22"/>
        </w:rPr>
      </w:pPr>
    </w:p>
    <w:p w:rsidR="00FA4FEA" w:rsidRPr="003241BA" w:rsidRDefault="00F16121" w:rsidP="003241BA">
      <w:pPr>
        <w:pStyle w:val="Paragraph"/>
        <w:numPr>
          <w:ilvl w:val="1"/>
          <w:numId w:val="87"/>
        </w:numPr>
        <w:spacing w:before="0" w:after="0" w:line="276" w:lineRule="auto"/>
        <w:ind w:left="720" w:hanging="720"/>
        <w:rPr>
          <w:rFonts w:ascii="Arial" w:hAnsi="Arial" w:cs="Arial"/>
          <w:sz w:val="22"/>
          <w:szCs w:val="22"/>
          <w:lang w:val="es-ES"/>
        </w:rPr>
      </w:pPr>
      <w:r w:rsidRPr="003241BA">
        <w:rPr>
          <w:rFonts w:ascii="Arial" w:hAnsi="Arial" w:cs="Arial"/>
          <w:sz w:val="22"/>
          <w:szCs w:val="22"/>
        </w:rPr>
        <w:lastRenderedPageBreak/>
        <w:t xml:space="preserve">Estas medidas encuentran gran resonancia con la literatura existente, que se concentra en dos principales aspectos que vinculan el servicio civil y la integridad:  </w:t>
      </w:r>
      <w:r w:rsidR="00794F13" w:rsidRPr="003241BA">
        <w:rPr>
          <w:rFonts w:ascii="Arial" w:hAnsi="Arial" w:cs="Arial"/>
          <w:sz w:val="22"/>
          <w:szCs w:val="22"/>
        </w:rPr>
        <w:t xml:space="preserve">la meritocracia y los salarios. </w:t>
      </w:r>
      <w:r w:rsidR="00BD5CAE" w:rsidRPr="003241BA">
        <w:rPr>
          <w:rFonts w:ascii="Arial" w:hAnsi="Arial" w:cs="Arial"/>
          <w:sz w:val="22"/>
          <w:szCs w:val="22"/>
        </w:rPr>
        <w:t xml:space="preserve">Dahlstrom, Lapuente y Teorell (2012), utilizando un panel de 52 países, analizan la relación entre aspectos de la función pública y la incidencia de la corrupción. Llegan a la conclusión que si bien hay una relación fuerte entre factores burocráticos y la corrupción, no todos los factores tienen el mismo nivel de influencia. En particular, es la selección y promoción con base en mérito que más influye, por encima de salarios competitivos, estabilidad de carrera. </w:t>
      </w:r>
      <w:r w:rsidR="00FA4FEA" w:rsidRPr="003241BA">
        <w:rPr>
          <w:rFonts w:ascii="Arial" w:hAnsi="Arial" w:cs="Arial"/>
          <w:sz w:val="22"/>
          <w:szCs w:val="22"/>
        </w:rPr>
        <w:t>La meritocracia ha sido demostrada a tener otros impactos positivos, como en el crecimiento económico de largo plazo (Evans y Rausch, 1999) y la reducción de la pobreza (Henderson et al, 2003). Dolan (2002), estudiando agencias del gobierno federal de Estados Unidos, encuentra de directivos públicos seleccionados con base en mérito (del Senior Executive Service) tienden a minimizar los gastos públicos, lo cual contradice la teoría predominante (Naskanen, 1971) que los burócratas maximizan el gasto de su presupuesto para lograr beneficios personales.</w:t>
      </w:r>
      <w:r w:rsidR="00FA4FEA" w:rsidRPr="003241BA">
        <w:rPr>
          <w:rFonts w:ascii="Arial" w:hAnsi="Arial" w:cs="Arial"/>
          <w:sz w:val="22"/>
          <w:szCs w:val="22"/>
          <w:lang w:val="es-ES"/>
        </w:rPr>
        <w:t xml:space="preserve"> </w:t>
      </w:r>
    </w:p>
    <w:p w:rsidR="00BD5CAE" w:rsidRPr="00A42D43" w:rsidRDefault="00BD5CAE" w:rsidP="00001476">
      <w:pPr>
        <w:tabs>
          <w:tab w:val="left" w:pos="4891"/>
        </w:tabs>
        <w:spacing w:line="276" w:lineRule="auto"/>
        <w:jc w:val="both"/>
        <w:rPr>
          <w:rFonts w:ascii="Arial" w:hAnsi="Arial" w:cs="Arial"/>
          <w:sz w:val="22"/>
          <w:szCs w:val="22"/>
          <w:lang w:val="es-ES"/>
        </w:rPr>
      </w:pPr>
    </w:p>
    <w:p w:rsidR="00432151" w:rsidRPr="003241BA" w:rsidRDefault="00BD5CAE"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Al mismo tiempo, varios autores demuestran la importancia de los salarios de los funcionarios públicos. </w:t>
      </w:r>
      <w:r w:rsidR="008C1DFF" w:rsidRPr="003241BA">
        <w:rPr>
          <w:rFonts w:ascii="Arial" w:hAnsi="Arial" w:cs="Arial"/>
          <w:sz w:val="22"/>
          <w:szCs w:val="22"/>
        </w:rPr>
        <w:t xml:space="preserve">El sustento teórico </w:t>
      </w:r>
      <w:r w:rsidR="00727128" w:rsidRPr="003241BA">
        <w:rPr>
          <w:rFonts w:ascii="Arial" w:hAnsi="Arial" w:cs="Arial"/>
          <w:sz w:val="22"/>
          <w:szCs w:val="22"/>
        </w:rPr>
        <w:t xml:space="preserve">para esta línea de investigación viene de </w:t>
      </w:r>
      <w:r w:rsidR="008C1DFF" w:rsidRPr="003241BA">
        <w:rPr>
          <w:rFonts w:ascii="Arial" w:hAnsi="Arial" w:cs="Arial"/>
          <w:sz w:val="22"/>
          <w:szCs w:val="22"/>
        </w:rPr>
        <w:t xml:space="preserve"> Becker y Stigler </w:t>
      </w:r>
      <w:r w:rsidR="00727128" w:rsidRPr="003241BA">
        <w:rPr>
          <w:rFonts w:ascii="Arial" w:hAnsi="Arial" w:cs="Arial"/>
          <w:sz w:val="22"/>
          <w:szCs w:val="22"/>
        </w:rPr>
        <w:t xml:space="preserve">(1974), quienes </w:t>
      </w:r>
      <w:r w:rsidR="008C1DFF" w:rsidRPr="003241BA">
        <w:rPr>
          <w:rFonts w:ascii="Arial" w:hAnsi="Arial" w:cs="Arial"/>
          <w:sz w:val="22"/>
          <w:szCs w:val="22"/>
        </w:rPr>
        <w:t xml:space="preserve">argumentaron que los agentes bajo supervisión tenderían a ser menos corruptos si se les paga salarios altos. </w:t>
      </w:r>
      <w:r w:rsidR="002D7FEE" w:rsidRPr="003241BA">
        <w:rPr>
          <w:rFonts w:ascii="Arial" w:hAnsi="Arial" w:cs="Arial"/>
          <w:sz w:val="22"/>
          <w:szCs w:val="22"/>
        </w:rPr>
        <w:t xml:space="preserve">Utilizando un indicador de salarios del sector publico basado en datos </w:t>
      </w:r>
      <w:r w:rsidR="0016418B" w:rsidRPr="003241BA">
        <w:rPr>
          <w:rFonts w:ascii="Arial" w:hAnsi="Arial" w:cs="Arial"/>
          <w:sz w:val="22"/>
          <w:szCs w:val="22"/>
        </w:rPr>
        <w:t>macroeconómicos</w:t>
      </w:r>
      <w:r w:rsidR="002D7FEE" w:rsidRPr="00A42D43">
        <w:rPr>
          <w:rStyle w:val="FootnoteReference"/>
          <w:rFonts w:ascii="Arial" w:hAnsi="Arial" w:cs="Arial"/>
          <w:sz w:val="22"/>
          <w:szCs w:val="22"/>
        </w:rPr>
        <w:footnoteReference w:id="18"/>
      </w:r>
      <w:r w:rsidR="0016418B" w:rsidRPr="003241BA">
        <w:rPr>
          <w:rFonts w:ascii="Arial" w:hAnsi="Arial" w:cs="Arial"/>
          <w:sz w:val="22"/>
          <w:szCs w:val="22"/>
        </w:rPr>
        <w:t>,</w:t>
      </w:r>
      <w:r w:rsidR="002D7FEE" w:rsidRPr="003241BA">
        <w:rPr>
          <w:rFonts w:ascii="Arial" w:hAnsi="Arial" w:cs="Arial"/>
          <w:sz w:val="22"/>
          <w:szCs w:val="22"/>
        </w:rPr>
        <w:t xml:space="preserve"> </w:t>
      </w:r>
      <w:r w:rsidR="002C5BBD" w:rsidRPr="003241BA">
        <w:rPr>
          <w:rFonts w:ascii="Arial" w:hAnsi="Arial" w:cs="Arial"/>
          <w:sz w:val="22"/>
          <w:szCs w:val="22"/>
        </w:rPr>
        <w:t>Van Rijckeghem y Weder (1997) proveen evidencia empírica de la relación negativa entre corrupción y salarios de los empleados públicos entre países, pero no dentro de los mismos a través del tiempo. Los resultados sugieren que un aumento relativo en el pago de 1 a 2 está asociado con una mejora de alrededor de 1 punto en el índice de corrupción.</w:t>
      </w:r>
      <w:r w:rsidR="0016418B" w:rsidRPr="003241BA">
        <w:rPr>
          <w:rFonts w:ascii="Arial" w:hAnsi="Arial" w:cs="Arial"/>
          <w:sz w:val="22"/>
          <w:szCs w:val="22"/>
        </w:rPr>
        <w:t xml:space="preserve"> </w:t>
      </w:r>
      <w:r w:rsidR="00A2553B" w:rsidRPr="003241BA">
        <w:rPr>
          <w:rFonts w:ascii="Arial" w:hAnsi="Arial" w:cs="Arial"/>
          <w:sz w:val="22"/>
          <w:szCs w:val="22"/>
        </w:rPr>
        <w:t>Le et al</w:t>
      </w:r>
      <w:r w:rsidR="003973E6" w:rsidRPr="003241BA">
        <w:rPr>
          <w:rFonts w:ascii="Arial" w:hAnsi="Arial" w:cs="Arial"/>
          <w:sz w:val="22"/>
          <w:szCs w:val="22"/>
        </w:rPr>
        <w:t>.</w:t>
      </w:r>
      <w:r w:rsidR="00A2553B" w:rsidRPr="003241BA">
        <w:rPr>
          <w:rFonts w:ascii="Arial" w:hAnsi="Arial" w:cs="Arial"/>
          <w:sz w:val="22"/>
          <w:szCs w:val="22"/>
        </w:rPr>
        <w:t xml:space="preserve"> (2013) llegan a resultados similares con un indicador de salarios basados en datos microeconómicos. </w:t>
      </w:r>
      <w:r w:rsidR="00CF7BA9" w:rsidRPr="003241BA">
        <w:rPr>
          <w:rFonts w:ascii="Arial" w:hAnsi="Arial" w:cs="Arial"/>
          <w:sz w:val="22"/>
          <w:szCs w:val="22"/>
        </w:rPr>
        <w:t>Por último</w:t>
      </w:r>
      <w:r w:rsidR="0044442C" w:rsidRPr="003241BA">
        <w:rPr>
          <w:rFonts w:ascii="Arial" w:hAnsi="Arial" w:cs="Arial"/>
          <w:sz w:val="22"/>
          <w:szCs w:val="22"/>
        </w:rPr>
        <w:t>,</w:t>
      </w:r>
      <w:r w:rsidR="00CF7BA9" w:rsidRPr="003241BA">
        <w:rPr>
          <w:rFonts w:ascii="Arial" w:hAnsi="Arial" w:cs="Arial"/>
          <w:sz w:val="22"/>
          <w:szCs w:val="22"/>
        </w:rPr>
        <w:t xml:space="preserve"> muchos autores llegan a la conclusión de </w:t>
      </w:r>
      <w:r w:rsidR="00A2553B" w:rsidRPr="003241BA">
        <w:rPr>
          <w:rFonts w:ascii="Arial" w:hAnsi="Arial" w:cs="Arial"/>
          <w:sz w:val="22"/>
          <w:szCs w:val="22"/>
        </w:rPr>
        <w:t>que</w:t>
      </w:r>
      <w:r w:rsidR="00CF7BA9" w:rsidRPr="003241BA">
        <w:rPr>
          <w:rFonts w:ascii="Arial" w:hAnsi="Arial" w:cs="Arial"/>
          <w:sz w:val="22"/>
          <w:szCs w:val="22"/>
        </w:rPr>
        <w:t>,</w:t>
      </w:r>
      <w:r w:rsidR="00A2553B" w:rsidRPr="003241BA">
        <w:rPr>
          <w:rFonts w:ascii="Arial" w:hAnsi="Arial" w:cs="Arial"/>
          <w:sz w:val="22"/>
          <w:szCs w:val="22"/>
        </w:rPr>
        <w:t xml:space="preserve"> a pesar que la relación negativa entre corrupción y salarios de los empleados públicos entre países existe, </w:t>
      </w:r>
      <w:r w:rsidR="00432151" w:rsidRPr="003241BA">
        <w:rPr>
          <w:rFonts w:ascii="Arial" w:hAnsi="Arial" w:cs="Arial"/>
          <w:sz w:val="22"/>
          <w:szCs w:val="22"/>
        </w:rPr>
        <w:t xml:space="preserve">dada la estructura del sector, </w:t>
      </w:r>
      <w:r w:rsidR="00A2553B" w:rsidRPr="003241BA">
        <w:rPr>
          <w:rFonts w:ascii="Arial" w:hAnsi="Arial" w:cs="Arial"/>
          <w:sz w:val="22"/>
          <w:szCs w:val="22"/>
        </w:rPr>
        <w:t>reducir la corrupción únicamente mejorando los salarios es altamente costoso</w:t>
      </w:r>
      <w:r w:rsidR="00A2553B" w:rsidRPr="00A42D43">
        <w:rPr>
          <w:rStyle w:val="FootnoteReference"/>
          <w:rFonts w:ascii="Arial" w:hAnsi="Arial" w:cs="Arial"/>
          <w:sz w:val="22"/>
          <w:szCs w:val="22"/>
        </w:rPr>
        <w:footnoteReference w:id="19"/>
      </w:r>
      <w:r w:rsidR="00432151" w:rsidRPr="003241BA">
        <w:rPr>
          <w:rFonts w:ascii="Arial" w:hAnsi="Arial" w:cs="Arial"/>
          <w:sz w:val="22"/>
          <w:szCs w:val="22"/>
        </w:rPr>
        <w:t>. Acorde a este argumento, Le et al (2013) sugiere que el rol de los salarios del gobierno en la reducción de la corrupción disminuye a medida que los países se vuelven más ricos, debido a que las rentas que se pueden extraer son mayores dados los salarios que superan los salarios de subsistencia.</w:t>
      </w:r>
    </w:p>
    <w:p w:rsidR="00D11273" w:rsidRPr="00A42D43" w:rsidRDefault="00D11273" w:rsidP="00001476">
      <w:pPr>
        <w:tabs>
          <w:tab w:val="left" w:pos="4891"/>
        </w:tabs>
        <w:spacing w:line="276" w:lineRule="auto"/>
        <w:jc w:val="both"/>
        <w:rPr>
          <w:rFonts w:ascii="Arial" w:hAnsi="Arial" w:cs="Arial"/>
          <w:sz w:val="22"/>
          <w:szCs w:val="22"/>
        </w:rPr>
      </w:pPr>
    </w:p>
    <w:p w:rsidR="00E57215" w:rsidRPr="003241BA" w:rsidRDefault="00432151"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A</w:t>
      </w:r>
      <w:r w:rsidR="00A2553B" w:rsidRPr="003241BA">
        <w:rPr>
          <w:rFonts w:ascii="Arial" w:hAnsi="Arial" w:cs="Arial"/>
          <w:sz w:val="22"/>
          <w:szCs w:val="22"/>
        </w:rPr>
        <w:t xml:space="preserve">hora bien, </w:t>
      </w:r>
      <w:r w:rsidR="00E57215" w:rsidRPr="003241BA">
        <w:rPr>
          <w:rFonts w:ascii="Arial" w:hAnsi="Arial" w:cs="Arial"/>
          <w:sz w:val="22"/>
          <w:szCs w:val="22"/>
        </w:rPr>
        <w:t>se puede sugerir que salarios más altos pueden aumentar la calidad de los funcionarios porque se genera la competencia necesaria para aumentar los incentivos de aquellos que tienen mayores habilidades o capacidades para desempeñarse en un cargo</w:t>
      </w:r>
      <w:r w:rsidR="00A66D5B" w:rsidRPr="00A42D43">
        <w:rPr>
          <w:rStyle w:val="FootnoteReference"/>
          <w:rFonts w:ascii="Arial" w:hAnsi="Arial" w:cs="Arial"/>
          <w:sz w:val="22"/>
          <w:szCs w:val="22"/>
        </w:rPr>
        <w:footnoteReference w:id="20"/>
      </w:r>
      <w:r w:rsidR="00E57215" w:rsidRPr="003241BA">
        <w:rPr>
          <w:rFonts w:ascii="Arial" w:hAnsi="Arial" w:cs="Arial"/>
          <w:sz w:val="22"/>
          <w:szCs w:val="22"/>
        </w:rPr>
        <w:t>.</w:t>
      </w:r>
      <w:r w:rsidR="00E06224" w:rsidRPr="003241BA">
        <w:rPr>
          <w:rFonts w:ascii="Arial" w:hAnsi="Arial" w:cs="Arial"/>
          <w:sz w:val="22"/>
          <w:szCs w:val="22"/>
        </w:rPr>
        <w:t xml:space="preserve"> En este sentido, Dal Bó et al</w:t>
      </w:r>
      <w:r w:rsidR="00B367D6" w:rsidRPr="003241BA">
        <w:rPr>
          <w:rFonts w:ascii="Arial" w:hAnsi="Arial" w:cs="Arial"/>
          <w:sz w:val="22"/>
          <w:szCs w:val="22"/>
        </w:rPr>
        <w:t>.</w:t>
      </w:r>
      <w:r w:rsidR="00E06224" w:rsidRPr="003241BA">
        <w:rPr>
          <w:rFonts w:ascii="Arial" w:hAnsi="Arial" w:cs="Arial"/>
          <w:sz w:val="22"/>
          <w:szCs w:val="22"/>
        </w:rPr>
        <w:t xml:space="preserve"> (2013) estudian una </w:t>
      </w:r>
      <w:r w:rsidR="00E06224" w:rsidRPr="003241BA">
        <w:rPr>
          <w:rFonts w:ascii="Arial" w:hAnsi="Arial" w:cs="Arial"/>
          <w:sz w:val="22"/>
          <w:szCs w:val="22"/>
        </w:rPr>
        <w:lastRenderedPageBreak/>
        <w:t>campaña de reclutamiento para cubrir puestos del sector público en México en la que los salarios fueron anunciados al azar a través</w:t>
      </w:r>
      <w:r w:rsidR="00B367D6" w:rsidRPr="003241BA">
        <w:rPr>
          <w:rFonts w:ascii="Arial" w:hAnsi="Arial" w:cs="Arial"/>
          <w:sz w:val="22"/>
          <w:szCs w:val="22"/>
        </w:rPr>
        <w:t xml:space="preserve"> de los sitios de reclutamiento</w:t>
      </w:r>
      <w:r w:rsidR="00E06224" w:rsidRPr="003241BA">
        <w:rPr>
          <w:rFonts w:ascii="Arial" w:hAnsi="Arial" w:cs="Arial"/>
          <w:sz w:val="22"/>
          <w:szCs w:val="22"/>
        </w:rPr>
        <w:t xml:space="preserve"> y las ofertas de trabajo fueron aleatorizadas posteriormente. </w:t>
      </w:r>
      <w:r w:rsidR="00A72782" w:rsidRPr="003241BA">
        <w:rPr>
          <w:rFonts w:ascii="Arial" w:hAnsi="Arial" w:cs="Arial"/>
          <w:sz w:val="22"/>
          <w:szCs w:val="22"/>
        </w:rPr>
        <w:t xml:space="preserve">Las pruebas sugieren que </w:t>
      </w:r>
      <w:r w:rsidR="00E06224" w:rsidRPr="003241BA">
        <w:rPr>
          <w:rFonts w:ascii="Arial" w:hAnsi="Arial" w:cs="Arial"/>
          <w:sz w:val="22"/>
          <w:szCs w:val="22"/>
        </w:rPr>
        <w:t>efectivamente los salarios más altos atraen candidatos más capaces</w:t>
      </w:r>
      <w:r w:rsidR="00B741EF" w:rsidRPr="003241BA">
        <w:rPr>
          <w:rFonts w:ascii="Arial" w:hAnsi="Arial" w:cs="Arial"/>
          <w:sz w:val="22"/>
          <w:szCs w:val="22"/>
        </w:rPr>
        <w:t xml:space="preserve"> pero</w:t>
      </w:r>
      <w:r w:rsidR="00A72782" w:rsidRPr="003241BA">
        <w:rPr>
          <w:rFonts w:ascii="Arial" w:hAnsi="Arial" w:cs="Arial"/>
          <w:sz w:val="22"/>
          <w:szCs w:val="22"/>
        </w:rPr>
        <w:t xml:space="preserve"> el resultado más interesante es que no hallan evidencia de la existencia de efectos de selección adversa sobre la motivación</w:t>
      </w:r>
      <w:r w:rsidR="00E06224" w:rsidRPr="00A42D43">
        <w:rPr>
          <w:rStyle w:val="FootnoteReference"/>
          <w:rFonts w:ascii="Arial" w:hAnsi="Arial" w:cs="Arial"/>
          <w:sz w:val="22"/>
          <w:szCs w:val="22"/>
        </w:rPr>
        <w:footnoteReference w:id="21"/>
      </w:r>
      <w:r w:rsidR="00A72782" w:rsidRPr="003241BA">
        <w:rPr>
          <w:rFonts w:ascii="Arial" w:hAnsi="Arial" w:cs="Arial"/>
          <w:sz w:val="22"/>
          <w:szCs w:val="22"/>
        </w:rPr>
        <w:t xml:space="preserve">. Estos resultados implican que los salarios más altos cambian la estructura de incentivos del agente logrando atraer a agentes calificados y motivados al sector público. Adicionalmente, </w:t>
      </w:r>
      <w:r w:rsidR="00587522" w:rsidRPr="003241BA">
        <w:rPr>
          <w:rFonts w:ascii="Arial" w:hAnsi="Arial" w:cs="Arial"/>
          <w:sz w:val="22"/>
          <w:szCs w:val="22"/>
        </w:rPr>
        <w:t xml:space="preserve">encuentran que </w:t>
      </w:r>
      <w:r w:rsidR="00E06224" w:rsidRPr="003241BA">
        <w:rPr>
          <w:rFonts w:ascii="Arial" w:hAnsi="Arial" w:cs="Arial"/>
          <w:sz w:val="22"/>
          <w:szCs w:val="22"/>
        </w:rPr>
        <w:t>las tasas de aceptación de la oferta laboral aumentan</w:t>
      </w:r>
      <w:r w:rsidR="000B0F5F" w:rsidRPr="003241BA">
        <w:rPr>
          <w:rFonts w:ascii="Arial" w:hAnsi="Arial" w:cs="Arial"/>
          <w:sz w:val="22"/>
          <w:szCs w:val="22"/>
        </w:rPr>
        <w:t xml:space="preserve"> con una oferta de salarios más alta</w:t>
      </w:r>
      <w:r w:rsidR="00E06224" w:rsidRPr="003241BA">
        <w:rPr>
          <w:rFonts w:ascii="Arial" w:hAnsi="Arial" w:cs="Arial"/>
          <w:sz w:val="22"/>
          <w:szCs w:val="22"/>
        </w:rPr>
        <w:t xml:space="preserve">. </w:t>
      </w:r>
      <w:r w:rsidR="000B0F5F" w:rsidRPr="003241BA">
        <w:rPr>
          <w:rFonts w:ascii="Arial" w:hAnsi="Arial" w:cs="Arial"/>
          <w:sz w:val="22"/>
          <w:szCs w:val="22"/>
        </w:rPr>
        <w:t xml:space="preserve">Otro resultado </w:t>
      </w:r>
      <w:r w:rsidR="00B741EF" w:rsidRPr="003241BA">
        <w:rPr>
          <w:rFonts w:ascii="Arial" w:hAnsi="Arial" w:cs="Arial"/>
          <w:sz w:val="22"/>
          <w:szCs w:val="22"/>
        </w:rPr>
        <w:t>interesante</w:t>
      </w:r>
      <w:r w:rsidR="00E06224" w:rsidRPr="003241BA">
        <w:rPr>
          <w:rFonts w:ascii="Arial" w:hAnsi="Arial" w:cs="Arial"/>
          <w:sz w:val="22"/>
          <w:szCs w:val="22"/>
        </w:rPr>
        <w:t xml:space="preserve"> a la que arriban los autores es que los salarios más altos ayudan a compensar las menores tasas de aceptación debidas a características negativas de la oferta laboral tales como la distancia o como el malo entorno municipal.</w:t>
      </w:r>
      <w:r w:rsidR="00E57215" w:rsidRPr="003241BA">
        <w:rPr>
          <w:rFonts w:ascii="Arial" w:hAnsi="Arial" w:cs="Arial"/>
          <w:sz w:val="22"/>
          <w:szCs w:val="22"/>
        </w:rPr>
        <w:t xml:space="preserve"> </w:t>
      </w:r>
      <w:r w:rsidR="00A66D5B" w:rsidRPr="003241BA">
        <w:rPr>
          <w:rFonts w:ascii="Arial" w:hAnsi="Arial" w:cs="Arial"/>
          <w:sz w:val="22"/>
          <w:szCs w:val="22"/>
        </w:rPr>
        <w:t xml:space="preserve">Finalmente, </w:t>
      </w:r>
      <w:r w:rsidR="000458B6" w:rsidRPr="003241BA">
        <w:rPr>
          <w:rFonts w:ascii="Arial" w:hAnsi="Arial" w:cs="Arial"/>
          <w:sz w:val="22"/>
          <w:szCs w:val="22"/>
        </w:rPr>
        <w:t>una mejora en la</w:t>
      </w:r>
      <w:r w:rsidR="00A66D5B" w:rsidRPr="003241BA">
        <w:rPr>
          <w:rFonts w:ascii="Arial" w:hAnsi="Arial" w:cs="Arial"/>
          <w:sz w:val="22"/>
          <w:szCs w:val="22"/>
        </w:rPr>
        <w:t xml:space="preserve"> calidad de empleados públicos </w:t>
      </w:r>
      <w:r w:rsidR="00A72782" w:rsidRPr="003241BA">
        <w:rPr>
          <w:rFonts w:ascii="Arial" w:hAnsi="Arial" w:cs="Arial"/>
          <w:sz w:val="22"/>
          <w:szCs w:val="22"/>
        </w:rPr>
        <w:t>podría generar</w:t>
      </w:r>
      <w:r w:rsidR="00A66D5B" w:rsidRPr="003241BA">
        <w:rPr>
          <w:rFonts w:ascii="Arial" w:hAnsi="Arial" w:cs="Arial"/>
          <w:sz w:val="22"/>
          <w:szCs w:val="22"/>
        </w:rPr>
        <w:t xml:space="preserve"> una mayor eficiencia en el sect</w:t>
      </w:r>
      <w:r w:rsidR="000458B6" w:rsidRPr="003241BA">
        <w:rPr>
          <w:rFonts w:ascii="Arial" w:hAnsi="Arial" w:cs="Arial"/>
          <w:sz w:val="22"/>
          <w:szCs w:val="22"/>
        </w:rPr>
        <w:t xml:space="preserve">or asociada </w:t>
      </w:r>
      <w:r w:rsidR="00A72782" w:rsidRPr="003241BA">
        <w:rPr>
          <w:rFonts w:ascii="Arial" w:hAnsi="Arial" w:cs="Arial"/>
          <w:sz w:val="22"/>
          <w:szCs w:val="22"/>
        </w:rPr>
        <w:t xml:space="preserve">ésta a un </w:t>
      </w:r>
      <w:r w:rsidR="000458B6" w:rsidRPr="003241BA">
        <w:rPr>
          <w:rFonts w:ascii="Arial" w:hAnsi="Arial" w:cs="Arial"/>
          <w:sz w:val="22"/>
          <w:szCs w:val="22"/>
        </w:rPr>
        <w:t>aumento</w:t>
      </w:r>
      <w:r w:rsidR="00A66D5B" w:rsidRPr="003241BA">
        <w:rPr>
          <w:rFonts w:ascii="Arial" w:hAnsi="Arial" w:cs="Arial"/>
          <w:sz w:val="22"/>
          <w:szCs w:val="22"/>
        </w:rPr>
        <w:t xml:space="preserve"> </w:t>
      </w:r>
      <w:r w:rsidR="000458B6" w:rsidRPr="003241BA">
        <w:rPr>
          <w:rFonts w:ascii="Arial" w:hAnsi="Arial" w:cs="Arial"/>
          <w:sz w:val="22"/>
          <w:szCs w:val="22"/>
        </w:rPr>
        <w:t xml:space="preserve">en la cantidad </w:t>
      </w:r>
      <w:r w:rsidR="00A72782" w:rsidRPr="003241BA">
        <w:rPr>
          <w:rFonts w:ascii="Arial" w:hAnsi="Arial" w:cs="Arial"/>
          <w:sz w:val="22"/>
          <w:szCs w:val="22"/>
        </w:rPr>
        <w:t xml:space="preserve">y </w:t>
      </w:r>
      <w:r w:rsidR="00A66D5B" w:rsidRPr="003241BA">
        <w:rPr>
          <w:rFonts w:ascii="Arial" w:hAnsi="Arial" w:cs="Arial"/>
          <w:sz w:val="22"/>
          <w:szCs w:val="22"/>
        </w:rPr>
        <w:t xml:space="preserve">calidad del output producido. </w:t>
      </w:r>
    </w:p>
    <w:p w:rsidR="001E406E" w:rsidRDefault="001E406E" w:rsidP="00001476">
      <w:pPr>
        <w:spacing w:line="276" w:lineRule="auto"/>
        <w:jc w:val="both"/>
        <w:rPr>
          <w:rFonts w:ascii="Arial" w:hAnsi="Arial" w:cs="Arial"/>
          <w:sz w:val="22"/>
          <w:szCs w:val="22"/>
        </w:rPr>
      </w:pPr>
    </w:p>
    <w:p w:rsidR="00327241" w:rsidRPr="003241BA" w:rsidRDefault="00404FEE" w:rsidP="003241BA">
      <w:pPr>
        <w:pStyle w:val="ListParagraph"/>
        <w:numPr>
          <w:ilvl w:val="0"/>
          <w:numId w:val="33"/>
        </w:numPr>
        <w:tabs>
          <w:tab w:val="left" w:pos="4891"/>
        </w:tabs>
        <w:spacing w:line="276" w:lineRule="auto"/>
        <w:ind w:hanging="720"/>
        <w:jc w:val="both"/>
        <w:rPr>
          <w:rFonts w:ascii="Arial" w:hAnsi="Arial" w:cs="Arial"/>
          <w:b/>
          <w:sz w:val="22"/>
          <w:szCs w:val="22"/>
        </w:rPr>
      </w:pPr>
      <w:r w:rsidRPr="003241BA">
        <w:rPr>
          <w:rFonts w:ascii="Arial" w:hAnsi="Arial" w:cs="Arial"/>
          <w:b/>
          <w:sz w:val="22"/>
          <w:szCs w:val="22"/>
        </w:rPr>
        <w:t>CONCLUSIÓN GENERAL</w:t>
      </w:r>
    </w:p>
    <w:p w:rsidR="00404FEE" w:rsidRDefault="00404FEE" w:rsidP="00001476">
      <w:pPr>
        <w:tabs>
          <w:tab w:val="left" w:pos="4891"/>
        </w:tabs>
        <w:spacing w:line="276" w:lineRule="auto"/>
        <w:jc w:val="both"/>
        <w:rPr>
          <w:rFonts w:ascii="Arial" w:hAnsi="Arial" w:cs="Arial"/>
          <w:sz w:val="22"/>
          <w:szCs w:val="22"/>
        </w:rPr>
      </w:pPr>
    </w:p>
    <w:p w:rsidR="00403528" w:rsidRPr="003241BA" w:rsidRDefault="00A82DCC" w:rsidP="003241BA">
      <w:pPr>
        <w:pStyle w:val="Paragraph"/>
        <w:numPr>
          <w:ilvl w:val="1"/>
          <w:numId w:val="87"/>
        </w:numPr>
        <w:spacing w:before="0" w:after="0" w:line="276" w:lineRule="auto"/>
        <w:ind w:left="720" w:hanging="720"/>
        <w:rPr>
          <w:rFonts w:ascii="Arial" w:hAnsi="Arial" w:cs="Arial"/>
          <w:sz w:val="22"/>
          <w:szCs w:val="22"/>
        </w:rPr>
      </w:pPr>
      <w:r w:rsidRPr="003241BA">
        <w:rPr>
          <w:rFonts w:ascii="Arial" w:hAnsi="Arial" w:cs="Arial"/>
          <w:sz w:val="22"/>
          <w:szCs w:val="22"/>
        </w:rPr>
        <w:t xml:space="preserve">La evidencia acerca de los impactos que tienen medidas tendientes a mejorar la transparencia y controlar la corrupción, tanto a nivel macroeconómico como microeconómico, es abundante. </w:t>
      </w:r>
      <w:r w:rsidR="00FB2304" w:rsidRPr="003241BA">
        <w:rPr>
          <w:rFonts w:ascii="Arial" w:hAnsi="Arial" w:cs="Arial"/>
          <w:sz w:val="22"/>
          <w:szCs w:val="22"/>
        </w:rPr>
        <w:t xml:space="preserve">El estudio indica  que una mayor corrupción está asociada a (i) menores tasas de crecimiento, a causa de la inestabilidad política, una disminución de inversión privada, y la ineficiencia al nivel de la firma; y (ii) el desgate de la legitimidad de las democracias a causa del debilitamiento de la confianza de los ciudadanos con sus regímenes gubernamentales y la disminución de la confianza interpersonal, también a través de un efecto negativo sobre la participación electoral. En el mismo sentido, se ha demostrado que la transparencia, en forma de la publicación de informes de auditoría, puede funcionar para limitar la reelección de políticos corruptos. . Se ha demostrado que una variedad de soluciones, íntimamente relacionadas a las medidas apoyadas por el programa, funcionan para controlar la corrupción y traen consigo externalidades positivas, incluyendo: (i) programas de educación cívica puede fortalecer el compromiso con la participación cívica, y además aumentar la cantidad y calidad de la participación; (ii) reformas compras públicas, como la gestión centralizada apoyada por sistemas electrónicos y las auditorías pueden llevar a una reducción de sobrecostos en las compras y mayor calidad en los bienes y servicios adquiridos; y (iii) reformas de profesionalización del servicio, en particular lo referido al fortalecimiento de la meritocracia, pueden limitar la corrupción, fomentar el crecimiento económico de largo plazo y contribuir a reducir la pobreza.   </w:t>
      </w:r>
    </w:p>
    <w:p w:rsidR="00403528" w:rsidRPr="00A42D43" w:rsidRDefault="00403528" w:rsidP="00001476">
      <w:pPr>
        <w:tabs>
          <w:tab w:val="left" w:pos="4891"/>
        </w:tabs>
        <w:spacing w:line="276" w:lineRule="auto"/>
        <w:jc w:val="both"/>
        <w:rPr>
          <w:rFonts w:ascii="Arial" w:hAnsi="Arial" w:cs="Arial"/>
          <w:sz w:val="22"/>
          <w:szCs w:val="22"/>
        </w:rPr>
      </w:pPr>
    </w:p>
    <w:p w:rsidR="00A66F72" w:rsidRPr="00A42D43" w:rsidRDefault="00A66F72" w:rsidP="00001476">
      <w:pPr>
        <w:spacing w:line="276" w:lineRule="auto"/>
        <w:rPr>
          <w:rFonts w:ascii="Arial" w:hAnsi="Arial" w:cs="Arial"/>
          <w:b/>
          <w:sz w:val="22"/>
          <w:szCs w:val="22"/>
          <w:lang w:val="es-ES"/>
        </w:rPr>
      </w:pPr>
    </w:p>
    <w:p w:rsidR="0073794A" w:rsidRPr="003241BA" w:rsidRDefault="0073794A" w:rsidP="003241BA">
      <w:pPr>
        <w:pStyle w:val="ListParagraph"/>
        <w:numPr>
          <w:ilvl w:val="0"/>
          <w:numId w:val="86"/>
        </w:numPr>
        <w:spacing w:line="276" w:lineRule="auto"/>
        <w:rPr>
          <w:rFonts w:ascii="Arial" w:hAnsi="Arial" w:cs="Arial"/>
          <w:b/>
          <w:sz w:val="22"/>
          <w:szCs w:val="22"/>
          <w:lang w:val="es-ES"/>
        </w:rPr>
      </w:pPr>
      <w:r w:rsidRPr="003241BA">
        <w:rPr>
          <w:rFonts w:ascii="Arial" w:hAnsi="Arial" w:cs="Arial"/>
          <w:b/>
          <w:sz w:val="22"/>
          <w:szCs w:val="22"/>
          <w:lang w:val="es-ES"/>
        </w:rPr>
        <w:br w:type="page"/>
      </w:r>
    </w:p>
    <w:p w:rsidR="00290787" w:rsidRDefault="005A2076" w:rsidP="005A2076">
      <w:pPr>
        <w:tabs>
          <w:tab w:val="left" w:pos="4891"/>
        </w:tabs>
        <w:spacing w:line="276" w:lineRule="auto"/>
        <w:rPr>
          <w:rFonts w:ascii="Arial" w:hAnsi="Arial" w:cs="Arial"/>
          <w:b/>
          <w:sz w:val="22"/>
          <w:szCs w:val="22"/>
          <w:lang w:val="es-ES"/>
        </w:rPr>
      </w:pPr>
      <w:r>
        <w:rPr>
          <w:rFonts w:ascii="Arial" w:hAnsi="Arial" w:cs="Arial"/>
          <w:b/>
          <w:sz w:val="22"/>
          <w:szCs w:val="22"/>
          <w:lang w:val="es-ES"/>
        </w:rPr>
        <w:lastRenderedPageBreak/>
        <w:t xml:space="preserve">Anexo 1: Ejes del Análisis Económico y </w:t>
      </w:r>
    </w:p>
    <w:p w:rsidR="005A2076" w:rsidRDefault="005A2076" w:rsidP="005A2076">
      <w:pPr>
        <w:tabs>
          <w:tab w:val="left" w:pos="4891"/>
        </w:tabs>
        <w:spacing w:line="276" w:lineRule="auto"/>
        <w:rPr>
          <w:rFonts w:ascii="Arial" w:hAnsi="Arial" w:cs="Arial"/>
          <w:b/>
          <w:sz w:val="22"/>
          <w:szCs w:val="22"/>
          <w:lang w:val="es-ES"/>
        </w:rPr>
      </w:pPr>
      <w:r>
        <w:rPr>
          <w:rFonts w:ascii="Arial" w:hAnsi="Arial" w:cs="Arial"/>
          <w:b/>
          <w:sz w:val="22"/>
          <w:szCs w:val="22"/>
          <w:lang w:val="es-ES"/>
        </w:rPr>
        <w:t>Acciones de Pol</w:t>
      </w:r>
      <w:r w:rsidR="00FA0412">
        <w:rPr>
          <w:rFonts w:ascii="Arial" w:hAnsi="Arial" w:cs="Arial"/>
          <w:b/>
          <w:sz w:val="22"/>
          <w:szCs w:val="22"/>
          <w:lang w:val="es-ES"/>
        </w:rPr>
        <w:t xml:space="preserve">ítica </w:t>
      </w:r>
      <w:r w:rsidR="00900F08">
        <w:rPr>
          <w:rFonts w:ascii="Arial" w:hAnsi="Arial" w:cs="Arial"/>
          <w:b/>
          <w:sz w:val="22"/>
          <w:szCs w:val="22"/>
          <w:lang w:val="es-ES"/>
        </w:rPr>
        <w:t>Asociadas</w:t>
      </w:r>
    </w:p>
    <w:p w:rsidR="005A2076" w:rsidRDefault="005A2076" w:rsidP="005A2076">
      <w:pPr>
        <w:tabs>
          <w:tab w:val="left" w:pos="4891"/>
        </w:tabs>
        <w:spacing w:line="276" w:lineRule="auto"/>
        <w:rPr>
          <w:rFonts w:ascii="Arial" w:hAnsi="Arial" w:cs="Arial"/>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416"/>
      </w:tblGrid>
      <w:tr w:rsidR="005A2076" w:rsidRPr="008D6464" w:rsidTr="008D6464">
        <w:tc>
          <w:tcPr>
            <w:tcW w:w="1638" w:type="dxa"/>
            <w:shd w:val="clear" w:color="auto" w:fill="auto"/>
          </w:tcPr>
          <w:p w:rsidR="005A2076" w:rsidRPr="008D6464" w:rsidRDefault="005A2076" w:rsidP="008D6464">
            <w:pPr>
              <w:tabs>
                <w:tab w:val="left" w:pos="4891"/>
              </w:tabs>
              <w:spacing w:line="276" w:lineRule="auto"/>
              <w:rPr>
                <w:rFonts w:ascii="Arial" w:hAnsi="Arial" w:cs="Arial"/>
                <w:b/>
                <w:sz w:val="22"/>
                <w:szCs w:val="22"/>
                <w:lang w:val="es-ES"/>
              </w:rPr>
            </w:pPr>
            <w:r w:rsidRPr="008D6464">
              <w:rPr>
                <w:rFonts w:ascii="Arial" w:hAnsi="Arial" w:cs="Arial"/>
                <w:b/>
                <w:sz w:val="22"/>
                <w:szCs w:val="22"/>
                <w:lang w:val="es-ES"/>
              </w:rPr>
              <w:t>Eje del Análisis Económico</w:t>
            </w:r>
          </w:p>
        </w:tc>
        <w:tc>
          <w:tcPr>
            <w:tcW w:w="7416" w:type="dxa"/>
            <w:shd w:val="clear" w:color="auto" w:fill="auto"/>
          </w:tcPr>
          <w:p w:rsidR="005A2076" w:rsidRPr="008D6464" w:rsidRDefault="005A2076" w:rsidP="008D6464">
            <w:pPr>
              <w:tabs>
                <w:tab w:val="left" w:pos="4891"/>
              </w:tabs>
              <w:spacing w:line="276" w:lineRule="auto"/>
              <w:rPr>
                <w:rFonts w:ascii="Arial" w:hAnsi="Arial" w:cs="Arial"/>
                <w:b/>
                <w:sz w:val="22"/>
                <w:szCs w:val="22"/>
                <w:lang w:val="es-ES"/>
              </w:rPr>
            </w:pPr>
            <w:r w:rsidRPr="008D6464">
              <w:rPr>
                <w:rFonts w:ascii="Arial" w:hAnsi="Arial" w:cs="Arial"/>
                <w:b/>
                <w:sz w:val="22"/>
                <w:szCs w:val="22"/>
                <w:lang w:val="es-ES"/>
              </w:rPr>
              <w:t xml:space="preserve">Acciones de Política </w:t>
            </w:r>
            <w:r w:rsidR="00900F08" w:rsidRPr="008D6464">
              <w:rPr>
                <w:rFonts w:ascii="Arial" w:hAnsi="Arial" w:cs="Arial"/>
                <w:b/>
                <w:sz w:val="22"/>
                <w:szCs w:val="22"/>
                <w:lang w:val="es-ES"/>
              </w:rPr>
              <w:t>Asociadas</w:t>
            </w:r>
          </w:p>
        </w:tc>
      </w:tr>
      <w:tr w:rsidR="005A2076" w:rsidRPr="008D6464" w:rsidTr="008D6464">
        <w:tc>
          <w:tcPr>
            <w:tcW w:w="1638" w:type="dxa"/>
            <w:shd w:val="clear" w:color="auto" w:fill="auto"/>
          </w:tcPr>
          <w:p w:rsidR="005A2076" w:rsidRPr="008D6464" w:rsidRDefault="005A2076" w:rsidP="008D6464">
            <w:pPr>
              <w:tabs>
                <w:tab w:val="left" w:pos="4891"/>
              </w:tabs>
              <w:spacing w:line="276" w:lineRule="auto"/>
              <w:jc w:val="left"/>
              <w:rPr>
                <w:rFonts w:ascii="Arial" w:hAnsi="Arial" w:cs="Arial"/>
                <w:sz w:val="20"/>
                <w:szCs w:val="20"/>
                <w:lang w:val="es-ES"/>
              </w:rPr>
            </w:pPr>
            <w:r w:rsidRPr="008D6464">
              <w:rPr>
                <w:rFonts w:ascii="Arial" w:hAnsi="Arial" w:cs="Arial"/>
                <w:sz w:val="20"/>
                <w:szCs w:val="20"/>
                <w:lang w:val="es-ES"/>
              </w:rPr>
              <w:t xml:space="preserve">Integridad y </w:t>
            </w:r>
            <w:r w:rsidR="00B344EF" w:rsidRPr="008D6464">
              <w:rPr>
                <w:rFonts w:ascii="Arial" w:hAnsi="Arial" w:cs="Arial"/>
                <w:sz w:val="20"/>
                <w:szCs w:val="20"/>
                <w:lang w:val="es-ES"/>
              </w:rPr>
              <w:t>c</w:t>
            </w:r>
            <w:r w:rsidRPr="008D6464">
              <w:rPr>
                <w:rFonts w:ascii="Arial" w:hAnsi="Arial" w:cs="Arial"/>
                <w:sz w:val="20"/>
                <w:szCs w:val="20"/>
                <w:lang w:val="es-ES"/>
              </w:rPr>
              <w:t>recimiento</w:t>
            </w:r>
          </w:p>
        </w:tc>
        <w:tc>
          <w:tcPr>
            <w:tcW w:w="7416" w:type="dxa"/>
            <w:shd w:val="clear" w:color="auto" w:fill="auto"/>
          </w:tcPr>
          <w:p w:rsidR="005A2076" w:rsidRPr="008D6464" w:rsidRDefault="005A2076" w:rsidP="008D6464">
            <w:pPr>
              <w:tabs>
                <w:tab w:val="left" w:pos="4891"/>
              </w:tabs>
              <w:spacing w:line="276" w:lineRule="auto"/>
              <w:jc w:val="both"/>
              <w:rPr>
                <w:rFonts w:ascii="Arial" w:hAnsi="Arial" w:cs="Arial"/>
                <w:sz w:val="20"/>
                <w:szCs w:val="20"/>
                <w:lang w:val="es-ES"/>
              </w:rPr>
            </w:pPr>
            <w:r w:rsidRPr="008D6464">
              <w:rPr>
                <w:rFonts w:ascii="Arial" w:hAnsi="Arial" w:cs="Arial"/>
                <w:sz w:val="20"/>
                <w:szCs w:val="20"/>
                <w:lang w:val="es-ES"/>
              </w:rPr>
              <w:t>Todas las medidas en su conjunto</w:t>
            </w:r>
          </w:p>
          <w:p w:rsidR="00A56C83" w:rsidRPr="008D6464" w:rsidRDefault="00A56C83" w:rsidP="008D6464">
            <w:pPr>
              <w:spacing w:line="276" w:lineRule="auto"/>
              <w:jc w:val="both"/>
              <w:rPr>
                <w:rFonts w:ascii="Arial" w:hAnsi="Arial" w:cs="Arial"/>
                <w:sz w:val="20"/>
                <w:szCs w:val="20"/>
                <w:lang w:val="es-ES"/>
              </w:rPr>
            </w:pPr>
          </w:p>
          <w:p w:rsidR="00325586" w:rsidRPr="008D6464" w:rsidRDefault="00A56C83" w:rsidP="006658B5">
            <w:pPr>
              <w:spacing w:line="276" w:lineRule="auto"/>
              <w:jc w:val="both"/>
              <w:rPr>
                <w:rFonts w:ascii="Arial" w:hAnsi="Arial" w:cs="Arial"/>
                <w:sz w:val="20"/>
                <w:szCs w:val="20"/>
                <w:lang w:val="es-ES"/>
              </w:rPr>
            </w:pPr>
            <w:r w:rsidRPr="008D6464">
              <w:rPr>
                <w:rFonts w:ascii="Arial" w:hAnsi="Arial" w:cs="Arial"/>
                <w:sz w:val="20"/>
                <w:szCs w:val="20"/>
                <w:lang w:val="es-ES"/>
              </w:rPr>
              <w:t xml:space="preserve">3.7 </w:t>
            </w:r>
            <w:r w:rsidR="00325586" w:rsidRPr="008D6464">
              <w:rPr>
                <w:rFonts w:ascii="Arial" w:hAnsi="Arial" w:cs="Arial"/>
                <w:sz w:val="20"/>
                <w:szCs w:val="20"/>
                <w:lang w:val="es-ES"/>
              </w:rPr>
              <w:t>(i) Promulgación de la Ley que “Crea la Comisión de Valores y Seguros”</w:t>
            </w:r>
            <w:r w:rsidR="006658B5">
              <w:rPr>
                <w:rFonts w:ascii="Arial" w:hAnsi="Arial" w:cs="Arial"/>
                <w:sz w:val="20"/>
                <w:szCs w:val="20"/>
                <w:lang w:val="es-ES"/>
              </w:rPr>
              <w:t>.</w:t>
            </w:r>
          </w:p>
        </w:tc>
      </w:tr>
      <w:tr w:rsidR="005A2076" w:rsidRPr="008D6464" w:rsidTr="008D6464">
        <w:tc>
          <w:tcPr>
            <w:tcW w:w="1638" w:type="dxa"/>
            <w:shd w:val="clear" w:color="auto" w:fill="auto"/>
          </w:tcPr>
          <w:p w:rsidR="005A2076" w:rsidRPr="008D6464" w:rsidRDefault="00B344EF" w:rsidP="008D6464">
            <w:pPr>
              <w:tabs>
                <w:tab w:val="left" w:pos="4891"/>
              </w:tabs>
              <w:spacing w:line="276" w:lineRule="auto"/>
              <w:jc w:val="left"/>
              <w:rPr>
                <w:rFonts w:ascii="Arial" w:hAnsi="Arial" w:cs="Arial"/>
                <w:sz w:val="20"/>
                <w:szCs w:val="20"/>
                <w:lang w:val="es-ES"/>
              </w:rPr>
            </w:pPr>
            <w:r w:rsidRPr="008D6464">
              <w:rPr>
                <w:rFonts w:ascii="Arial" w:hAnsi="Arial" w:cs="Arial"/>
                <w:sz w:val="20"/>
                <w:szCs w:val="20"/>
                <w:lang w:val="es-ES"/>
              </w:rPr>
              <w:t>Transparencia y d</w:t>
            </w:r>
            <w:r w:rsidR="005A2076" w:rsidRPr="008D6464">
              <w:rPr>
                <w:rFonts w:ascii="Arial" w:hAnsi="Arial" w:cs="Arial"/>
                <w:sz w:val="20"/>
                <w:szCs w:val="20"/>
                <w:lang w:val="es-ES"/>
              </w:rPr>
              <w:t>emocracia</w:t>
            </w:r>
          </w:p>
        </w:tc>
        <w:tc>
          <w:tcPr>
            <w:tcW w:w="7416" w:type="dxa"/>
            <w:shd w:val="clear" w:color="auto" w:fill="auto"/>
          </w:tcPr>
          <w:p w:rsidR="005A2076" w:rsidRPr="008D6464" w:rsidRDefault="005A2076" w:rsidP="008D6464">
            <w:pPr>
              <w:tabs>
                <w:tab w:val="left" w:pos="4891"/>
              </w:tabs>
              <w:spacing w:line="276" w:lineRule="auto"/>
              <w:jc w:val="both"/>
              <w:rPr>
                <w:rFonts w:ascii="Arial" w:hAnsi="Arial" w:cs="Arial"/>
                <w:sz w:val="20"/>
                <w:szCs w:val="20"/>
                <w:lang w:val="es-ES"/>
              </w:rPr>
            </w:pPr>
            <w:r w:rsidRPr="008D6464">
              <w:rPr>
                <w:rFonts w:ascii="Arial" w:hAnsi="Arial" w:cs="Arial"/>
                <w:sz w:val="20"/>
                <w:szCs w:val="20"/>
                <w:lang w:val="es-ES"/>
              </w:rPr>
              <w:t>2.2 Ingreso al Congreso Nacional de Indicaciones del Ejecutivo a la moción parlamentaria que “Modifica la Ley Orgánica Constitucional del Congreso Nacional y otros cuerpos legales en lo relativo a probidad y transparencia”.</w:t>
            </w:r>
          </w:p>
          <w:p w:rsidR="00290787" w:rsidRPr="008D6464" w:rsidRDefault="00290787" w:rsidP="008D6464">
            <w:pPr>
              <w:tabs>
                <w:tab w:val="left" w:pos="4891"/>
              </w:tabs>
              <w:spacing w:line="276" w:lineRule="auto"/>
              <w:jc w:val="both"/>
              <w:rPr>
                <w:rFonts w:ascii="Arial" w:hAnsi="Arial" w:cs="Arial"/>
                <w:sz w:val="20"/>
                <w:szCs w:val="20"/>
                <w:lang w:val="es-ES"/>
              </w:rPr>
            </w:pPr>
          </w:p>
          <w:p w:rsidR="005A2076" w:rsidRPr="008D6464" w:rsidRDefault="005A2076" w:rsidP="008D6464">
            <w:pPr>
              <w:tabs>
                <w:tab w:val="left" w:pos="4891"/>
              </w:tabs>
              <w:spacing w:line="276" w:lineRule="auto"/>
              <w:jc w:val="both"/>
              <w:rPr>
                <w:rFonts w:ascii="Arial" w:hAnsi="Arial" w:cs="Arial"/>
                <w:sz w:val="20"/>
                <w:szCs w:val="20"/>
                <w:lang w:val="es-ES"/>
              </w:rPr>
            </w:pPr>
            <w:r w:rsidRPr="008D6464">
              <w:rPr>
                <w:rFonts w:ascii="Arial" w:hAnsi="Arial" w:cs="Arial"/>
                <w:sz w:val="20"/>
                <w:szCs w:val="20"/>
                <w:lang w:val="es-ES"/>
              </w:rPr>
              <w:t>2.3 Reglamentación de la “Ley para el Fortalecimiento y Transparencia de la Democracia</w:t>
            </w:r>
          </w:p>
          <w:p w:rsidR="00290787" w:rsidRPr="008D6464" w:rsidRDefault="00290787" w:rsidP="008D6464">
            <w:pPr>
              <w:tabs>
                <w:tab w:val="left" w:pos="4891"/>
              </w:tabs>
              <w:spacing w:line="276" w:lineRule="auto"/>
              <w:jc w:val="both"/>
              <w:rPr>
                <w:rFonts w:ascii="Arial" w:hAnsi="Arial" w:cs="Arial"/>
                <w:sz w:val="20"/>
                <w:szCs w:val="20"/>
                <w:lang w:val="es-ES"/>
              </w:rPr>
            </w:pPr>
          </w:p>
          <w:p w:rsidR="005A2076" w:rsidRPr="008D6464" w:rsidRDefault="005A2076" w:rsidP="008D6464">
            <w:pPr>
              <w:tabs>
                <w:tab w:val="left" w:pos="4891"/>
              </w:tabs>
              <w:spacing w:line="276" w:lineRule="auto"/>
              <w:jc w:val="both"/>
              <w:rPr>
                <w:rFonts w:ascii="Arial" w:hAnsi="Arial" w:cs="Arial"/>
                <w:sz w:val="20"/>
                <w:szCs w:val="20"/>
                <w:lang w:val="es-ES"/>
              </w:rPr>
            </w:pPr>
            <w:r w:rsidRPr="008D6464">
              <w:rPr>
                <w:rFonts w:ascii="Arial" w:hAnsi="Arial" w:cs="Arial"/>
                <w:sz w:val="20"/>
                <w:szCs w:val="20"/>
                <w:lang w:val="es-ES"/>
              </w:rPr>
              <w:t xml:space="preserve">2.4 Promulgación </w:t>
            </w:r>
            <w:r w:rsidR="00700026">
              <w:rPr>
                <w:rFonts w:ascii="Arial" w:hAnsi="Arial" w:cs="Arial"/>
                <w:sz w:val="20"/>
                <w:szCs w:val="20"/>
                <w:lang w:val="es-ES"/>
              </w:rPr>
              <w:t xml:space="preserve">y publicación </w:t>
            </w:r>
            <w:r w:rsidRPr="008D6464">
              <w:rPr>
                <w:rFonts w:ascii="Arial" w:hAnsi="Arial" w:cs="Arial"/>
                <w:sz w:val="20"/>
                <w:szCs w:val="20"/>
                <w:lang w:val="es-ES"/>
              </w:rPr>
              <w:t>de la Ley que “Fortalece el Carácter Público y Democrático de los Partidos Políticos y Facilita su Modernización”</w:t>
            </w:r>
          </w:p>
          <w:p w:rsidR="00290787" w:rsidRPr="008D6464" w:rsidRDefault="00290787" w:rsidP="008D6464">
            <w:pPr>
              <w:tabs>
                <w:tab w:val="left" w:pos="4891"/>
              </w:tabs>
              <w:spacing w:line="276" w:lineRule="auto"/>
              <w:jc w:val="both"/>
              <w:rPr>
                <w:rFonts w:ascii="Arial" w:hAnsi="Arial" w:cs="Arial"/>
                <w:sz w:val="20"/>
                <w:szCs w:val="20"/>
                <w:lang w:val="es-ES"/>
              </w:rPr>
            </w:pPr>
          </w:p>
          <w:p w:rsidR="00290787" w:rsidRPr="008D6464" w:rsidRDefault="00290787" w:rsidP="008D6464">
            <w:pPr>
              <w:tabs>
                <w:tab w:val="left" w:pos="4891"/>
              </w:tabs>
              <w:spacing w:line="276" w:lineRule="auto"/>
              <w:jc w:val="both"/>
              <w:rPr>
                <w:rFonts w:ascii="Arial" w:hAnsi="Arial" w:cs="Arial"/>
                <w:sz w:val="20"/>
                <w:szCs w:val="20"/>
                <w:lang w:val="es-ES"/>
              </w:rPr>
            </w:pPr>
            <w:r w:rsidRPr="008D6464">
              <w:rPr>
                <w:rFonts w:ascii="Arial" w:hAnsi="Arial" w:cs="Arial"/>
                <w:sz w:val="20"/>
                <w:szCs w:val="20"/>
                <w:lang w:val="es-ES"/>
              </w:rPr>
              <w:t xml:space="preserve">3.8 </w:t>
            </w:r>
            <w:r w:rsidRPr="008D6464">
              <w:rPr>
                <w:rFonts w:ascii="Arial" w:hAnsi="Arial" w:cs="Arial"/>
                <w:sz w:val="20"/>
                <w:szCs w:val="20"/>
                <w:lang w:val="es-ES_tradnl"/>
              </w:rPr>
              <w:t>Implementación</w:t>
            </w:r>
            <w:r w:rsidRPr="008D6464">
              <w:rPr>
                <w:rFonts w:ascii="Arial" w:hAnsi="Arial" w:cs="Arial"/>
                <w:sz w:val="20"/>
                <w:szCs w:val="20"/>
                <w:lang w:val="es-ES"/>
              </w:rPr>
              <w:t xml:space="preserve"> de la </w:t>
            </w:r>
            <w:r w:rsidR="00700026">
              <w:rPr>
                <w:rFonts w:ascii="Arial" w:hAnsi="Arial" w:cs="Arial"/>
                <w:sz w:val="20"/>
                <w:szCs w:val="20"/>
                <w:lang w:val="es-ES"/>
              </w:rPr>
              <w:t xml:space="preserve">Ley No. 20.911, </w:t>
            </w:r>
            <w:r w:rsidRPr="008D6464">
              <w:rPr>
                <w:rFonts w:ascii="Arial" w:hAnsi="Arial" w:cs="Arial"/>
                <w:sz w:val="20"/>
                <w:szCs w:val="20"/>
                <w:lang w:val="es-ES"/>
              </w:rPr>
              <w:t xml:space="preserve">“Ley que Crea el Plan de Formación Ciudadana para los </w:t>
            </w:r>
            <w:r w:rsidR="00700026">
              <w:rPr>
                <w:rFonts w:ascii="Arial" w:hAnsi="Arial" w:cs="Arial"/>
                <w:sz w:val="20"/>
                <w:szCs w:val="20"/>
                <w:lang w:val="es-ES"/>
              </w:rPr>
              <w:t>E</w:t>
            </w:r>
            <w:r w:rsidRPr="008D6464">
              <w:rPr>
                <w:rFonts w:ascii="Arial" w:hAnsi="Arial" w:cs="Arial"/>
                <w:sz w:val="20"/>
                <w:szCs w:val="20"/>
                <w:lang w:val="es-ES"/>
              </w:rPr>
              <w:t xml:space="preserve">stablecimientos </w:t>
            </w:r>
            <w:r w:rsidR="00700026">
              <w:rPr>
                <w:rFonts w:ascii="Arial" w:hAnsi="Arial" w:cs="Arial"/>
                <w:sz w:val="20"/>
                <w:szCs w:val="20"/>
                <w:lang w:val="es-ES"/>
              </w:rPr>
              <w:t>E</w:t>
            </w:r>
            <w:r w:rsidRPr="008D6464">
              <w:rPr>
                <w:rFonts w:ascii="Arial" w:hAnsi="Arial" w:cs="Arial"/>
                <w:sz w:val="20"/>
                <w:szCs w:val="20"/>
                <w:lang w:val="es-ES"/>
              </w:rPr>
              <w:t>ducacionales reconocidos por el Estado” publicada en el Diario Oficial el 2 de abril de 2016</w:t>
            </w:r>
          </w:p>
        </w:tc>
      </w:tr>
      <w:tr w:rsidR="005A2076" w:rsidRPr="008D6464" w:rsidTr="008D6464">
        <w:tc>
          <w:tcPr>
            <w:tcW w:w="1638" w:type="dxa"/>
            <w:shd w:val="clear" w:color="auto" w:fill="auto"/>
          </w:tcPr>
          <w:p w:rsidR="005A2076" w:rsidRPr="008D6464" w:rsidRDefault="005A2076" w:rsidP="008D6464">
            <w:pPr>
              <w:tabs>
                <w:tab w:val="left" w:pos="4891"/>
              </w:tabs>
              <w:spacing w:line="276" w:lineRule="auto"/>
              <w:jc w:val="left"/>
              <w:rPr>
                <w:rFonts w:ascii="Arial" w:hAnsi="Arial" w:cs="Arial"/>
                <w:sz w:val="20"/>
                <w:szCs w:val="20"/>
                <w:lang w:val="es-ES"/>
              </w:rPr>
            </w:pPr>
            <w:r w:rsidRPr="008D6464">
              <w:rPr>
                <w:rFonts w:ascii="Arial" w:hAnsi="Arial" w:cs="Arial"/>
                <w:sz w:val="20"/>
                <w:szCs w:val="20"/>
                <w:lang w:val="es-ES"/>
              </w:rPr>
              <w:t>Prevención de corrupción y adquisiciones</w:t>
            </w:r>
          </w:p>
        </w:tc>
        <w:tc>
          <w:tcPr>
            <w:tcW w:w="7416" w:type="dxa"/>
            <w:shd w:val="clear" w:color="auto" w:fill="auto"/>
          </w:tcPr>
          <w:p w:rsidR="005A2076" w:rsidRPr="008D6464" w:rsidRDefault="00290787" w:rsidP="008D6464">
            <w:pPr>
              <w:spacing w:line="276" w:lineRule="auto"/>
              <w:jc w:val="both"/>
              <w:rPr>
                <w:rFonts w:ascii="Arial" w:hAnsi="Arial" w:cs="Arial"/>
                <w:sz w:val="20"/>
                <w:szCs w:val="20"/>
                <w:lang w:val="es-ES_tradnl"/>
              </w:rPr>
            </w:pPr>
            <w:r w:rsidRPr="008D6464">
              <w:rPr>
                <w:rFonts w:ascii="Arial" w:hAnsi="Arial" w:cs="Arial"/>
                <w:sz w:val="20"/>
                <w:szCs w:val="20"/>
                <w:lang w:val="es-ES"/>
              </w:rPr>
              <w:t xml:space="preserve">3.5 (i) </w:t>
            </w:r>
            <w:r w:rsidR="001B153C" w:rsidRPr="008D6464">
              <w:rPr>
                <w:rFonts w:ascii="Arial" w:hAnsi="Arial" w:cs="Arial"/>
                <w:sz w:val="20"/>
                <w:szCs w:val="20"/>
                <w:lang w:val="es-CO"/>
              </w:rPr>
              <w:t xml:space="preserve">Implementación </w:t>
            </w:r>
            <w:r w:rsidR="001B153C" w:rsidRPr="008D6464">
              <w:rPr>
                <w:rFonts w:ascii="Arial" w:hAnsi="Arial" w:cs="Arial"/>
                <w:sz w:val="20"/>
                <w:szCs w:val="20"/>
                <w:lang w:val="es-ES"/>
              </w:rPr>
              <w:t>de las nuevas disposiciones de probidad y transparencia en las compras públicas, en materia de Licitaciones Públicas, mediante</w:t>
            </w:r>
            <w:r w:rsidR="001B153C" w:rsidRPr="008D6464">
              <w:rPr>
                <w:rFonts w:ascii="Arial" w:hAnsi="Arial" w:cs="Arial"/>
                <w:sz w:val="20"/>
                <w:szCs w:val="20"/>
                <w:lang w:val="es-CO"/>
              </w:rPr>
              <w:t xml:space="preserve"> la </w:t>
            </w:r>
            <w:r w:rsidR="001B153C" w:rsidRPr="008D6464">
              <w:rPr>
                <w:rFonts w:ascii="Arial" w:hAnsi="Arial" w:cs="Arial"/>
                <w:sz w:val="20"/>
                <w:szCs w:val="20"/>
                <w:lang w:val="es-ES"/>
              </w:rPr>
              <w:t>e</w:t>
            </w:r>
            <w:r w:rsidRPr="008D6464">
              <w:rPr>
                <w:rFonts w:ascii="Arial" w:hAnsi="Arial" w:cs="Arial"/>
                <w:sz w:val="20"/>
                <w:szCs w:val="20"/>
                <w:lang w:val="es-ES"/>
              </w:rPr>
              <w:t xml:space="preserve">laboración de Informes Finales de las Comisiones Evaluadoras de acuerdo con los nuevos criterios de probidad y transparencia establecidos en el artículo 40 bis del Reglamento de la Ley No. 19.886 de Bases sobre Contratos Administrativos de Suministros y Prestación de Servicios; y (ii) Cumplimiento de las condiciones necesarias para la habilitación en </w:t>
            </w:r>
            <w:r w:rsidR="00403BE7">
              <w:rPr>
                <w:rFonts w:ascii="Arial" w:hAnsi="Arial" w:cs="Arial"/>
                <w:sz w:val="20"/>
                <w:szCs w:val="20"/>
                <w:lang w:val="es-ES"/>
              </w:rPr>
              <w:t xml:space="preserve">al menos 5 </w:t>
            </w:r>
            <w:r w:rsidRPr="008D6464">
              <w:rPr>
                <w:rFonts w:ascii="Arial" w:hAnsi="Arial" w:cs="Arial"/>
                <w:sz w:val="20"/>
                <w:szCs w:val="20"/>
                <w:lang w:val="es-ES"/>
              </w:rPr>
              <w:t xml:space="preserve">organismos públicos </w:t>
            </w:r>
            <w:r w:rsidR="00700026">
              <w:rPr>
                <w:rFonts w:ascii="Arial" w:hAnsi="Arial" w:cs="Arial"/>
                <w:sz w:val="20"/>
                <w:szCs w:val="20"/>
                <w:lang w:val="es-ES"/>
              </w:rPr>
              <w:t xml:space="preserve">para </w:t>
            </w:r>
            <w:r w:rsidRPr="008D6464">
              <w:rPr>
                <w:rFonts w:ascii="Arial" w:hAnsi="Arial" w:cs="Arial"/>
                <w:sz w:val="20"/>
                <w:szCs w:val="20"/>
                <w:lang w:val="es-ES"/>
              </w:rPr>
              <w:t>publicar las bases de licitación</w:t>
            </w:r>
            <w:r w:rsidR="00700026">
              <w:rPr>
                <w:rFonts w:ascii="Arial" w:hAnsi="Arial" w:cs="Arial"/>
                <w:sz w:val="20"/>
                <w:szCs w:val="20"/>
                <w:lang w:val="es-ES"/>
              </w:rPr>
              <w:t xml:space="preserve"> pública</w:t>
            </w:r>
            <w:r w:rsidRPr="008D6464">
              <w:rPr>
                <w:rFonts w:ascii="Arial" w:hAnsi="Arial" w:cs="Arial"/>
                <w:sz w:val="20"/>
                <w:szCs w:val="20"/>
                <w:lang w:val="es-ES"/>
              </w:rPr>
              <w:t>, con firma electrónica</w:t>
            </w:r>
            <w:r w:rsidR="00700026">
              <w:rPr>
                <w:rFonts w:ascii="Arial" w:hAnsi="Arial" w:cs="Arial"/>
                <w:sz w:val="20"/>
                <w:szCs w:val="20"/>
                <w:lang w:val="es-ES"/>
              </w:rPr>
              <w:t xml:space="preserve"> avanzada</w:t>
            </w:r>
            <w:r w:rsidRPr="008D6464">
              <w:rPr>
                <w:rFonts w:ascii="Arial" w:hAnsi="Arial" w:cs="Arial"/>
                <w:sz w:val="20"/>
                <w:szCs w:val="20"/>
                <w:lang w:val="es-ES"/>
              </w:rPr>
              <w:t xml:space="preserve">, en el portal </w:t>
            </w:r>
            <w:hyperlink r:id="rId23" w:history="1">
              <w:r w:rsidRPr="008D6464">
                <w:rPr>
                  <w:rStyle w:val="Hyperlink"/>
                  <w:rFonts w:ascii="Arial" w:hAnsi="Arial" w:cs="Arial"/>
                  <w:sz w:val="20"/>
                  <w:szCs w:val="20"/>
                  <w:lang w:val="es-ES"/>
                </w:rPr>
                <w:t>www.mercadopublico.cl</w:t>
              </w:r>
            </w:hyperlink>
            <w:r w:rsidRPr="008D6464">
              <w:rPr>
                <w:rStyle w:val="Hyperlink"/>
                <w:rFonts w:ascii="Arial" w:hAnsi="Arial" w:cs="Arial"/>
                <w:sz w:val="20"/>
                <w:szCs w:val="20"/>
                <w:lang w:val="es-ES"/>
              </w:rPr>
              <w:t>;</w:t>
            </w:r>
            <w:r w:rsidRPr="008D6464">
              <w:rPr>
                <w:rFonts w:ascii="Arial" w:hAnsi="Arial" w:cs="Arial"/>
                <w:sz w:val="20"/>
                <w:szCs w:val="20"/>
                <w:lang w:val="es-ES"/>
              </w:rPr>
              <w:t xml:space="preserve"> lo que permitirá avanzar con el uso obligatorio de formularios electrónicos estandarizados de  bases de licitación</w:t>
            </w:r>
            <w:r w:rsidRPr="008D6464">
              <w:rPr>
                <w:rFonts w:ascii="Arial" w:hAnsi="Arial" w:cs="Arial"/>
                <w:sz w:val="20"/>
                <w:szCs w:val="20"/>
                <w:lang w:val="es-ES_tradnl"/>
              </w:rPr>
              <w:t>.</w:t>
            </w:r>
          </w:p>
          <w:p w:rsidR="00290787" w:rsidRPr="008D6464" w:rsidRDefault="00290787" w:rsidP="008D6464">
            <w:pPr>
              <w:spacing w:line="276" w:lineRule="auto"/>
              <w:jc w:val="both"/>
              <w:rPr>
                <w:rFonts w:ascii="Arial" w:hAnsi="Arial" w:cs="Arial"/>
                <w:sz w:val="20"/>
                <w:szCs w:val="20"/>
                <w:lang w:val="es-ES_tradnl"/>
              </w:rPr>
            </w:pPr>
          </w:p>
          <w:p w:rsidR="00290787" w:rsidRPr="008D6464" w:rsidRDefault="00290787" w:rsidP="008D6464">
            <w:pPr>
              <w:spacing w:line="276" w:lineRule="auto"/>
              <w:jc w:val="both"/>
              <w:rPr>
                <w:rFonts w:ascii="Arial" w:hAnsi="Arial" w:cs="Arial"/>
                <w:sz w:val="20"/>
                <w:szCs w:val="20"/>
                <w:lang w:val="es-ES"/>
              </w:rPr>
            </w:pPr>
            <w:r w:rsidRPr="008D6464">
              <w:rPr>
                <w:rFonts w:ascii="Arial" w:hAnsi="Arial" w:cs="Arial"/>
                <w:sz w:val="20"/>
                <w:szCs w:val="20"/>
                <w:lang w:val="es-ES_tradnl"/>
              </w:rPr>
              <w:t xml:space="preserve">3.6 </w:t>
            </w:r>
            <w:r w:rsidRPr="008D6464">
              <w:rPr>
                <w:rFonts w:ascii="Arial" w:hAnsi="Arial" w:cs="Arial"/>
                <w:sz w:val="20"/>
                <w:szCs w:val="20"/>
                <w:lang w:val="es-ES"/>
              </w:rPr>
              <w:t xml:space="preserve">Suscripción y entrada en vigencia de un Convenio de Colaboración entre la Dirección General de Obras Públicas del MOP y la Dirección de Compras y Contratación Pública, en el cual se establece la implementación de una plataforma que </w:t>
            </w:r>
            <w:r w:rsidR="00700026">
              <w:rPr>
                <w:rFonts w:ascii="Arial" w:hAnsi="Arial" w:cs="Arial"/>
                <w:sz w:val="20"/>
                <w:szCs w:val="20"/>
                <w:lang w:val="es-ES"/>
              </w:rPr>
              <w:t xml:space="preserve">permite </w:t>
            </w:r>
            <w:r w:rsidRPr="008D6464">
              <w:rPr>
                <w:rFonts w:ascii="Arial" w:hAnsi="Arial" w:cs="Arial"/>
                <w:sz w:val="20"/>
                <w:szCs w:val="20"/>
                <w:lang w:val="es-ES"/>
              </w:rPr>
              <w:t xml:space="preserve">el registro </w:t>
            </w:r>
            <w:r w:rsidR="00700026">
              <w:rPr>
                <w:rFonts w:ascii="Arial" w:hAnsi="Arial" w:cs="Arial"/>
                <w:sz w:val="20"/>
                <w:szCs w:val="20"/>
                <w:lang w:val="es-ES"/>
              </w:rPr>
              <w:t xml:space="preserve">en línea </w:t>
            </w:r>
            <w:r w:rsidRPr="008D6464">
              <w:rPr>
                <w:rFonts w:ascii="Arial" w:hAnsi="Arial" w:cs="Arial"/>
                <w:sz w:val="20"/>
                <w:szCs w:val="20"/>
                <w:lang w:val="es-ES"/>
              </w:rPr>
              <w:t xml:space="preserve">de contratistas y consultores </w:t>
            </w:r>
            <w:r w:rsidR="00687902" w:rsidRPr="008D6464">
              <w:rPr>
                <w:rFonts w:ascii="Arial" w:hAnsi="Arial" w:cs="Arial"/>
                <w:sz w:val="20"/>
                <w:szCs w:val="20"/>
                <w:lang w:val="es-ES"/>
              </w:rPr>
              <w:t>del MOP</w:t>
            </w:r>
            <w:r w:rsidR="00700026">
              <w:rPr>
                <w:rFonts w:ascii="Arial" w:hAnsi="Arial" w:cs="Arial"/>
                <w:sz w:val="20"/>
                <w:szCs w:val="20"/>
                <w:lang w:val="es-ES"/>
              </w:rPr>
              <w:t>,</w:t>
            </w:r>
            <w:r w:rsidR="00687902" w:rsidRPr="008D6464">
              <w:rPr>
                <w:rFonts w:ascii="Arial" w:hAnsi="Arial" w:cs="Arial"/>
                <w:sz w:val="20"/>
                <w:szCs w:val="20"/>
                <w:lang w:val="es-ES"/>
              </w:rPr>
              <w:t xml:space="preserve"> </w:t>
            </w:r>
            <w:r w:rsidRPr="008D6464">
              <w:rPr>
                <w:rFonts w:ascii="Arial" w:hAnsi="Arial" w:cs="Arial"/>
                <w:sz w:val="20"/>
                <w:szCs w:val="20"/>
                <w:lang w:val="es-ES"/>
              </w:rPr>
              <w:t>en línea con la estrategia de</w:t>
            </w:r>
            <w:r w:rsidR="00687902" w:rsidRPr="008D6464">
              <w:rPr>
                <w:rFonts w:ascii="Arial" w:hAnsi="Arial" w:cs="Arial"/>
                <w:sz w:val="20"/>
                <w:szCs w:val="20"/>
                <w:lang w:val="es-ES"/>
              </w:rPr>
              <w:t xml:space="preserve"> éste </w:t>
            </w:r>
            <w:r w:rsidRPr="008D6464">
              <w:rPr>
                <w:rFonts w:ascii="Arial" w:hAnsi="Arial" w:cs="Arial"/>
                <w:sz w:val="20"/>
                <w:szCs w:val="20"/>
                <w:lang w:val="es-ES"/>
              </w:rPr>
              <w:t>de transparentar sus relaciones con sus contratistas y proveedores.</w:t>
            </w:r>
          </w:p>
          <w:p w:rsidR="00290787" w:rsidRPr="008D6464" w:rsidRDefault="00290787" w:rsidP="008D6464">
            <w:pPr>
              <w:spacing w:line="276" w:lineRule="auto"/>
              <w:jc w:val="both"/>
              <w:rPr>
                <w:rFonts w:ascii="Arial" w:hAnsi="Arial" w:cs="Arial"/>
                <w:sz w:val="20"/>
                <w:szCs w:val="20"/>
                <w:lang w:val="es-ES"/>
              </w:rPr>
            </w:pPr>
          </w:p>
          <w:p w:rsidR="00290787" w:rsidRPr="008D6464" w:rsidRDefault="00290787" w:rsidP="005D431F">
            <w:pPr>
              <w:spacing w:line="276" w:lineRule="auto"/>
              <w:jc w:val="both"/>
              <w:rPr>
                <w:rFonts w:ascii="Arial" w:hAnsi="Arial" w:cs="Arial"/>
                <w:sz w:val="20"/>
                <w:szCs w:val="20"/>
                <w:lang w:val="es-ES"/>
              </w:rPr>
            </w:pPr>
            <w:r w:rsidRPr="008D6464">
              <w:rPr>
                <w:rFonts w:ascii="Arial" w:hAnsi="Arial" w:cs="Arial"/>
                <w:sz w:val="20"/>
                <w:szCs w:val="20"/>
                <w:lang w:val="es-ES"/>
              </w:rPr>
              <w:t xml:space="preserve">3.9 Ingreso al Congreso Nacional del Mensaje del Ejecutivo con el que se inicia la tramitación de un proyecto de ley </w:t>
            </w:r>
            <w:r w:rsidR="008B2B5A">
              <w:rPr>
                <w:rFonts w:ascii="Arial" w:hAnsi="Arial" w:cs="Arial"/>
                <w:sz w:val="20"/>
                <w:szCs w:val="20"/>
                <w:lang w:val="es-ES"/>
              </w:rPr>
              <w:t xml:space="preserve">que establece la </w:t>
            </w:r>
            <w:r w:rsidRPr="008D6464">
              <w:rPr>
                <w:rFonts w:ascii="Arial" w:hAnsi="Arial" w:cs="Arial"/>
                <w:sz w:val="20"/>
                <w:szCs w:val="20"/>
                <w:lang w:val="es-ES"/>
              </w:rPr>
              <w:t>Auditoría Interna de Gobierno</w:t>
            </w:r>
            <w:r w:rsidR="00700026">
              <w:rPr>
                <w:rFonts w:ascii="Arial" w:hAnsi="Arial" w:cs="Arial"/>
                <w:sz w:val="20"/>
                <w:szCs w:val="20"/>
                <w:lang w:val="es-ES"/>
              </w:rPr>
              <w:t>.</w:t>
            </w:r>
            <w:r w:rsidRPr="008D6464">
              <w:rPr>
                <w:rFonts w:ascii="Arial" w:hAnsi="Arial" w:cs="Arial"/>
                <w:sz w:val="20"/>
                <w:szCs w:val="20"/>
                <w:lang w:val="es-ES"/>
              </w:rPr>
              <w:t xml:space="preserve"> </w:t>
            </w:r>
          </w:p>
        </w:tc>
      </w:tr>
      <w:tr w:rsidR="005A2076" w:rsidRPr="008D6464" w:rsidTr="008D6464">
        <w:tc>
          <w:tcPr>
            <w:tcW w:w="1638" w:type="dxa"/>
            <w:shd w:val="clear" w:color="auto" w:fill="auto"/>
          </w:tcPr>
          <w:p w:rsidR="005A2076" w:rsidRPr="008D6464" w:rsidRDefault="005A2076" w:rsidP="008D6464">
            <w:pPr>
              <w:tabs>
                <w:tab w:val="left" w:pos="4891"/>
              </w:tabs>
              <w:spacing w:line="276" w:lineRule="auto"/>
              <w:jc w:val="left"/>
              <w:rPr>
                <w:rFonts w:ascii="Arial" w:hAnsi="Arial" w:cs="Arial"/>
                <w:sz w:val="20"/>
                <w:szCs w:val="20"/>
                <w:lang w:val="es-ES"/>
              </w:rPr>
            </w:pPr>
            <w:r w:rsidRPr="008D6464">
              <w:rPr>
                <w:rFonts w:ascii="Arial" w:hAnsi="Arial" w:cs="Arial"/>
                <w:sz w:val="20"/>
                <w:szCs w:val="20"/>
                <w:lang w:val="es-ES"/>
              </w:rPr>
              <w:t>Prevención de corrupción y servicio civil</w:t>
            </w:r>
          </w:p>
        </w:tc>
        <w:tc>
          <w:tcPr>
            <w:tcW w:w="7416" w:type="dxa"/>
            <w:shd w:val="clear" w:color="auto" w:fill="auto"/>
          </w:tcPr>
          <w:p w:rsidR="005A2076" w:rsidRPr="008D6464" w:rsidRDefault="005A2076" w:rsidP="008D6464">
            <w:pPr>
              <w:tabs>
                <w:tab w:val="left" w:pos="4891"/>
              </w:tabs>
              <w:spacing w:line="276" w:lineRule="auto"/>
              <w:jc w:val="both"/>
              <w:rPr>
                <w:rFonts w:ascii="Arial" w:hAnsi="Arial" w:cs="Arial"/>
                <w:sz w:val="20"/>
                <w:szCs w:val="20"/>
                <w:lang w:val="es-ES"/>
              </w:rPr>
            </w:pPr>
            <w:r w:rsidRPr="008D6464">
              <w:rPr>
                <w:rFonts w:ascii="Arial" w:hAnsi="Arial" w:cs="Arial"/>
                <w:sz w:val="20"/>
                <w:szCs w:val="20"/>
                <w:lang w:val="es-ES"/>
              </w:rPr>
              <w:t>2.1 Reglamentaci</w:t>
            </w:r>
            <w:r w:rsidRPr="008D6464">
              <w:rPr>
                <w:rFonts w:ascii="Arial" w:hAnsi="Arial" w:cs="Arial"/>
                <w:sz w:val="20"/>
                <w:szCs w:val="20"/>
                <w:lang w:val="es-ES_tradnl"/>
              </w:rPr>
              <w:t>ón</w:t>
            </w:r>
            <w:r w:rsidRPr="008D6464">
              <w:rPr>
                <w:rFonts w:ascii="Arial" w:hAnsi="Arial" w:cs="Arial"/>
                <w:sz w:val="20"/>
                <w:szCs w:val="20"/>
                <w:lang w:val="es-ES"/>
              </w:rPr>
              <w:t xml:space="preserve"> de la “Ley sobre Probidad en la Función Pública y Prevención de los Conflictos de Intereses”.</w:t>
            </w:r>
          </w:p>
          <w:p w:rsidR="005A2076" w:rsidRPr="008D6464" w:rsidRDefault="005A2076" w:rsidP="008D6464">
            <w:pPr>
              <w:tabs>
                <w:tab w:val="left" w:pos="4891"/>
              </w:tabs>
              <w:spacing w:line="276" w:lineRule="auto"/>
              <w:jc w:val="both"/>
              <w:rPr>
                <w:rFonts w:ascii="Arial" w:hAnsi="Arial" w:cs="Arial"/>
                <w:sz w:val="20"/>
                <w:szCs w:val="20"/>
                <w:lang w:val="es-ES"/>
              </w:rPr>
            </w:pPr>
          </w:p>
          <w:p w:rsidR="005A2076" w:rsidRPr="008D6464" w:rsidRDefault="005A2076" w:rsidP="008D6464">
            <w:pPr>
              <w:spacing w:line="276" w:lineRule="auto"/>
              <w:jc w:val="both"/>
              <w:rPr>
                <w:rFonts w:ascii="Arial" w:hAnsi="Arial" w:cs="Arial"/>
                <w:sz w:val="20"/>
                <w:szCs w:val="20"/>
                <w:lang w:val="es-ES"/>
              </w:rPr>
            </w:pPr>
            <w:r w:rsidRPr="008D6464">
              <w:rPr>
                <w:rFonts w:ascii="Arial" w:hAnsi="Arial" w:cs="Arial"/>
                <w:sz w:val="20"/>
                <w:szCs w:val="20"/>
                <w:lang w:val="es-ES"/>
              </w:rPr>
              <w:t xml:space="preserve">3.1 Promulgación </w:t>
            </w:r>
            <w:r w:rsidR="00700026">
              <w:rPr>
                <w:rFonts w:ascii="Arial" w:hAnsi="Arial" w:cs="Arial"/>
                <w:sz w:val="20"/>
                <w:szCs w:val="20"/>
                <w:lang w:val="es-ES"/>
              </w:rPr>
              <w:t xml:space="preserve">y publicación </w:t>
            </w:r>
            <w:r w:rsidRPr="008D6464">
              <w:rPr>
                <w:rFonts w:ascii="Arial" w:hAnsi="Arial" w:cs="Arial"/>
                <w:sz w:val="20"/>
                <w:szCs w:val="20"/>
                <w:lang w:val="es-ES"/>
              </w:rPr>
              <w:t xml:space="preserve">de la Ley que “Perfecciona al Sistema de Alta </w:t>
            </w:r>
            <w:r w:rsidRPr="008D6464">
              <w:rPr>
                <w:rFonts w:ascii="Arial" w:hAnsi="Arial" w:cs="Arial"/>
                <w:sz w:val="20"/>
                <w:szCs w:val="20"/>
                <w:lang w:val="es-ES"/>
              </w:rPr>
              <w:lastRenderedPageBreak/>
              <w:t>Dirección Pública (SADP) y Fortalece la Dirección Nacional del Servicio Civil (DNSC)”.</w:t>
            </w:r>
          </w:p>
          <w:p w:rsidR="005A2076" w:rsidRPr="008D6464" w:rsidRDefault="005A2076" w:rsidP="008D6464">
            <w:pPr>
              <w:spacing w:line="276" w:lineRule="auto"/>
              <w:jc w:val="both"/>
              <w:rPr>
                <w:rFonts w:ascii="Arial" w:hAnsi="Arial" w:cs="Arial"/>
                <w:sz w:val="20"/>
                <w:szCs w:val="20"/>
                <w:lang w:val="es-ES"/>
              </w:rPr>
            </w:pPr>
          </w:p>
          <w:p w:rsidR="005A2076" w:rsidRPr="008D6464" w:rsidRDefault="005A2076" w:rsidP="008D6464">
            <w:pPr>
              <w:spacing w:line="276" w:lineRule="auto"/>
              <w:jc w:val="both"/>
              <w:rPr>
                <w:rFonts w:ascii="Arial" w:hAnsi="Arial" w:cs="Arial"/>
                <w:sz w:val="20"/>
                <w:szCs w:val="20"/>
                <w:lang w:val="es-ES"/>
              </w:rPr>
            </w:pPr>
            <w:r w:rsidRPr="008D6464">
              <w:rPr>
                <w:rFonts w:ascii="Arial" w:hAnsi="Arial" w:cs="Arial"/>
                <w:sz w:val="20"/>
                <w:szCs w:val="20"/>
                <w:lang w:val="es-ES"/>
              </w:rPr>
              <w:t xml:space="preserve">3.2 (i) Promulgación </w:t>
            </w:r>
            <w:r w:rsidR="00700026">
              <w:rPr>
                <w:rFonts w:ascii="Arial" w:hAnsi="Arial" w:cs="Arial"/>
                <w:sz w:val="20"/>
                <w:szCs w:val="20"/>
                <w:lang w:val="es-ES"/>
              </w:rPr>
              <w:t xml:space="preserve">y publicación </w:t>
            </w:r>
            <w:r w:rsidRPr="008D6464">
              <w:rPr>
                <w:rFonts w:ascii="Arial" w:hAnsi="Arial" w:cs="Arial"/>
                <w:sz w:val="20"/>
                <w:szCs w:val="20"/>
                <w:lang w:val="es-ES"/>
              </w:rPr>
              <w:t xml:space="preserve">de la Ley que “Perfecciona al Sistema de Alta Dirección Pública (SADP) y Fortalece la Dirección Nacional del Servicio Civil (DNSC)”; y (ii) Requerimiento por parte de la DNSC dirigida a los </w:t>
            </w:r>
            <w:r w:rsidR="00700026">
              <w:rPr>
                <w:rFonts w:ascii="Arial" w:hAnsi="Arial" w:cs="Arial"/>
                <w:sz w:val="20"/>
                <w:szCs w:val="20"/>
                <w:lang w:val="es-ES"/>
              </w:rPr>
              <w:t>S</w:t>
            </w:r>
            <w:r w:rsidRPr="008D6464">
              <w:rPr>
                <w:rFonts w:ascii="Arial" w:hAnsi="Arial" w:cs="Arial"/>
                <w:sz w:val="20"/>
                <w:szCs w:val="20"/>
                <w:lang w:val="es-ES"/>
              </w:rPr>
              <w:t xml:space="preserve">ervicios </w:t>
            </w:r>
            <w:r w:rsidR="00700026">
              <w:rPr>
                <w:rFonts w:ascii="Arial" w:hAnsi="Arial" w:cs="Arial"/>
                <w:sz w:val="20"/>
                <w:szCs w:val="20"/>
                <w:lang w:val="es-ES"/>
              </w:rPr>
              <w:t>P</w:t>
            </w:r>
            <w:r w:rsidRPr="008D6464">
              <w:rPr>
                <w:rFonts w:ascii="Arial" w:hAnsi="Arial" w:cs="Arial"/>
                <w:sz w:val="20"/>
                <w:szCs w:val="20"/>
                <w:lang w:val="es-ES"/>
              </w:rPr>
              <w:t xml:space="preserve">úblicos </w:t>
            </w:r>
            <w:r w:rsidR="00700026">
              <w:rPr>
                <w:rFonts w:ascii="Arial" w:hAnsi="Arial" w:cs="Arial"/>
                <w:sz w:val="20"/>
                <w:szCs w:val="20"/>
                <w:lang w:val="es-ES"/>
              </w:rPr>
              <w:t>de la Administración Civil del Estado solicitando</w:t>
            </w:r>
            <w:r w:rsidRPr="008D6464">
              <w:rPr>
                <w:rFonts w:ascii="Arial" w:hAnsi="Arial" w:cs="Arial"/>
                <w:sz w:val="20"/>
                <w:szCs w:val="20"/>
                <w:lang w:val="es-ES"/>
              </w:rPr>
              <w:t>: (1) información actualizada al 31 de diciembre de 2015 sobre los cargos de planta; (2) información sobre el escalafón de méritos y ascensos; y (3) un plan de trabajo para la realización de los concursos de los cargos de planta que se encuentran vacantes, estableciendo plazos y criterios de trasparencia e igualdad.</w:t>
            </w:r>
          </w:p>
          <w:p w:rsidR="005A2076" w:rsidRPr="008D6464" w:rsidRDefault="005A2076" w:rsidP="008D6464">
            <w:pPr>
              <w:tabs>
                <w:tab w:val="left" w:pos="4891"/>
              </w:tabs>
              <w:spacing w:line="276" w:lineRule="auto"/>
              <w:jc w:val="both"/>
              <w:rPr>
                <w:rFonts w:ascii="Arial" w:hAnsi="Arial" w:cs="Arial"/>
                <w:sz w:val="20"/>
                <w:szCs w:val="20"/>
                <w:lang w:val="es-ES"/>
              </w:rPr>
            </w:pPr>
          </w:p>
          <w:p w:rsidR="005A2076" w:rsidRPr="008D6464" w:rsidRDefault="005A2076" w:rsidP="008D6464">
            <w:pPr>
              <w:tabs>
                <w:tab w:val="left" w:pos="4891"/>
              </w:tabs>
              <w:spacing w:line="276" w:lineRule="auto"/>
              <w:jc w:val="both"/>
              <w:rPr>
                <w:rFonts w:ascii="Arial" w:hAnsi="Arial" w:cs="Arial"/>
                <w:spacing w:val="-3"/>
                <w:sz w:val="20"/>
                <w:szCs w:val="20"/>
                <w:lang w:val="es-ES"/>
              </w:rPr>
            </w:pPr>
            <w:r w:rsidRPr="008D6464">
              <w:rPr>
                <w:rFonts w:ascii="Arial" w:hAnsi="Arial" w:cs="Arial"/>
                <w:sz w:val="20"/>
                <w:szCs w:val="20"/>
                <w:lang w:val="es-ES"/>
              </w:rPr>
              <w:t xml:space="preserve">3.3 Entrada en </w:t>
            </w:r>
            <w:r w:rsidR="00FF670E" w:rsidRPr="008D6464">
              <w:rPr>
                <w:rFonts w:ascii="Arial" w:hAnsi="Arial" w:cs="Arial"/>
                <w:sz w:val="20"/>
                <w:szCs w:val="20"/>
                <w:lang w:val="es-ES"/>
              </w:rPr>
              <w:t xml:space="preserve">funcionamiento </w:t>
            </w:r>
            <w:r w:rsidRPr="008D6464">
              <w:rPr>
                <w:rFonts w:ascii="Arial" w:hAnsi="Arial" w:cs="Arial"/>
                <w:sz w:val="20"/>
                <w:szCs w:val="20"/>
                <w:lang w:val="es-ES"/>
              </w:rPr>
              <w:t xml:space="preserve">del </w:t>
            </w:r>
            <w:r w:rsidRPr="008D6464">
              <w:rPr>
                <w:rFonts w:ascii="Arial" w:hAnsi="Arial" w:cs="Arial"/>
                <w:sz w:val="20"/>
                <w:szCs w:val="20"/>
                <w:lang w:val="es-ES_tradnl"/>
              </w:rPr>
              <w:t xml:space="preserve">nuevo sistema de gestión de la Alta Dirección Pública (ADP) y su portal correspondiente, de conformidad con las normas de transparencia que establece el proyecto de Ley </w:t>
            </w:r>
            <w:r w:rsidRPr="008D6464">
              <w:rPr>
                <w:rFonts w:ascii="Arial" w:hAnsi="Arial" w:cs="Arial"/>
                <w:sz w:val="20"/>
                <w:szCs w:val="20"/>
                <w:lang w:val="es-ES"/>
              </w:rPr>
              <w:t>que “Perfecciona al Sistema de Alta Dirección Pública (SADP) y Fortalece la Dirección Nacional del Servicio Civil (DNSC)”, c</w:t>
            </w:r>
            <w:r w:rsidRPr="008D6464">
              <w:rPr>
                <w:rFonts w:ascii="Arial" w:hAnsi="Arial" w:cs="Arial"/>
                <w:spacing w:val="-3"/>
                <w:sz w:val="20"/>
                <w:szCs w:val="20"/>
                <w:lang w:val="es-ES"/>
              </w:rPr>
              <w:t>on el fin de incrementar la difusión y la transparencia de las convocatorias públicas a los procesos de selección del SADP.</w:t>
            </w:r>
          </w:p>
          <w:p w:rsidR="00290787" w:rsidRPr="008D6464" w:rsidRDefault="00290787" w:rsidP="008D6464">
            <w:pPr>
              <w:tabs>
                <w:tab w:val="left" w:pos="4891"/>
              </w:tabs>
              <w:spacing w:line="276" w:lineRule="auto"/>
              <w:jc w:val="both"/>
              <w:rPr>
                <w:rFonts w:ascii="Arial" w:hAnsi="Arial" w:cs="Arial"/>
                <w:spacing w:val="-3"/>
                <w:sz w:val="20"/>
                <w:szCs w:val="20"/>
                <w:lang w:val="es-ES"/>
              </w:rPr>
            </w:pPr>
          </w:p>
          <w:p w:rsidR="00290787" w:rsidRPr="008D6464" w:rsidRDefault="00290787" w:rsidP="005D431F">
            <w:pPr>
              <w:tabs>
                <w:tab w:val="left" w:pos="4891"/>
              </w:tabs>
              <w:spacing w:line="276" w:lineRule="auto"/>
              <w:jc w:val="both"/>
              <w:rPr>
                <w:rFonts w:ascii="Arial" w:hAnsi="Arial" w:cs="Arial"/>
                <w:sz w:val="20"/>
                <w:szCs w:val="20"/>
                <w:lang w:val="es-ES"/>
              </w:rPr>
            </w:pPr>
            <w:r w:rsidRPr="008D6464">
              <w:rPr>
                <w:rFonts w:ascii="Arial" w:hAnsi="Arial" w:cs="Arial"/>
                <w:spacing w:val="-3"/>
                <w:sz w:val="20"/>
                <w:szCs w:val="20"/>
                <w:lang w:val="es-ES"/>
              </w:rPr>
              <w:t xml:space="preserve">3.4 </w:t>
            </w:r>
            <w:r w:rsidRPr="008D6464">
              <w:rPr>
                <w:rFonts w:ascii="Arial" w:hAnsi="Arial" w:cs="Arial"/>
                <w:sz w:val="20"/>
                <w:szCs w:val="20"/>
                <w:lang w:val="es-ES"/>
              </w:rPr>
              <w:t xml:space="preserve">Elaboración </w:t>
            </w:r>
            <w:r w:rsidR="008E2FF9">
              <w:rPr>
                <w:rFonts w:ascii="Arial" w:hAnsi="Arial" w:cs="Arial"/>
                <w:sz w:val="20"/>
                <w:szCs w:val="20"/>
                <w:lang w:val="es-ES"/>
              </w:rPr>
              <w:t xml:space="preserve">y aprobación </w:t>
            </w:r>
            <w:r w:rsidRPr="008D6464">
              <w:rPr>
                <w:rFonts w:ascii="Arial" w:hAnsi="Arial" w:cs="Arial"/>
                <w:sz w:val="20"/>
                <w:szCs w:val="20"/>
                <w:lang w:val="es-ES"/>
              </w:rPr>
              <w:t>de los códigos de ética de la SEGPRES</w:t>
            </w:r>
            <w:r w:rsidR="008E2FF9">
              <w:rPr>
                <w:rFonts w:ascii="Arial" w:hAnsi="Arial" w:cs="Arial"/>
                <w:sz w:val="20"/>
                <w:szCs w:val="20"/>
                <w:lang w:val="es-ES"/>
              </w:rPr>
              <w:t xml:space="preserve">, </w:t>
            </w:r>
            <w:r w:rsidR="008E2FF9" w:rsidRPr="008E2FF9">
              <w:rPr>
                <w:rFonts w:ascii="Arial" w:hAnsi="Arial" w:cs="Arial"/>
                <w:sz w:val="20"/>
                <w:szCs w:val="20"/>
                <w:lang w:val="es-ES_tradnl"/>
              </w:rPr>
              <w:t>la Secretaría y Administración General del Ministerio de Hacienda y de los Servicios Públicos sometidos a la dependencia y/o supervigilancia del Ministerio de Hacienda.</w:t>
            </w:r>
          </w:p>
        </w:tc>
      </w:tr>
    </w:tbl>
    <w:p w:rsidR="005A2076" w:rsidRDefault="005A2076" w:rsidP="005A2076">
      <w:pPr>
        <w:tabs>
          <w:tab w:val="left" w:pos="4891"/>
        </w:tabs>
        <w:spacing w:line="276" w:lineRule="auto"/>
        <w:rPr>
          <w:rFonts w:ascii="Arial" w:hAnsi="Arial" w:cs="Arial"/>
          <w:b/>
          <w:sz w:val="22"/>
          <w:szCs w:val="22"/>
          <w:lang w:val="es-ES"/>
        </w:rPr>
      </w:pPr>
    </w:p>
    <w:p w:rsidR="005A2076" w:rsidRDefault="005A2076" w:rsidP="005A2076">
      <w:pPr>
        <w:tabs>
          <w:tab w:val="left" w:pos="4891"/>
        </w:tabs>
        <w:spacing w:line="276" w:lineRule="auto"/>
        <w:rPr>
          <w:rFonts w:ascii="Arial" w:hAnsi="Arial" w:cs="Arial"/>
          <w:b/>
          <w:sz w:val="22"/>
          <w:szCs w:val="22"/>
          <w:lang w:val="es-ES"/>
        </w:rPr>
      </w:pPr>
    </w:p>
    <w:p w:rsidR="005A2076" w:rsidRDefault="005A2076">
      <w:pPr>
        <w:rPr>
          <w:rFonts w:ascii="Arial" w:hAnsi="Arial" w:cs="Arial"/>
          <w:b/>
          <w:sz w:val="22"/>
          <w:szCs w:val="22"/>
          <w:lang w:val="es-ES"/>
        </w:rPr>
      </w:pPr>
      <w:r>
        <w:rPr>
          <w:rFonts w:ascii="Arial" w:hAnsi="Arial" w:cs="Arial"/>
          <w:b/>
          <w:sz w:val="22"/>
          <w:szCs w:val="22"/>
          <w:lang w:val="es-ES"/>
        </w:rPr>
        <w:br w:type="page"/>
      </w:r>
    </w:p>
    <w:p w:rsidR="00AD241F" w:rsidRPr="003241BA" w:rsidRDefault="0045277D" w:rsidP="00001476">
      <w:pPr>
        <w:tabs>
          <w:tab w:val="left" w:pos="4891"/>
        </w:tabs>
        <w:spacing w:line="276" w:lineRule="auto"/>
        <w:jc w:val="both"/>
        <w:rPr>
          <w:rFonts w:ascii="Arial" w:hAnsi="Arial" w:cs="Arial"/>
          <w:b/>
          <w:sz w:val="22"/>
          <w:szCs w:val="22"/>
          <w:lang w:val="en-US"/>
        </w:rPr>
      </w:pPr>
      <w:r w:rsidRPr="003241BA">
        <w:rPr>
          <w:rFonts w:ascii="Arial" w:hAnsi="Arial" w:cs="Arial"/>
          <w:b/>
          <w:sz w:val="22"/>
          <w:szCs w:val="22"/>
          <w:lang w:val="en-US"/>
        </w:rPr>
        <w:lastRenderedPageBreak/>
        <w:t>Referencias</w:t>
      </w:r>
    </w:p>
    <w:p w:rsidR="00DC4B3E" w:rsidRDefault="00DC4B3E" w:rsidP="008D6464">
      <w:pPr>
        <w:pStyle w:val="NormalWeb"/>
        <w:shd w:val="clear" w:color="auto" w:fill="FFFFFF"/>
        <w:spacing w:before="0" w:beforeAutospacing="0" w:after="0" w:afterAutospacing="0" w:line="276" w:lineRule="auto"/>
        <w:jc w:val="both"/>
        <w:textAlignment w:val="baseline"/>
        <w:rPr>
          <w:rFonts w:ascii="Arial" w:hAnsi="Arial" w:cs="Arial"/>
          <w:sz w:val="22"/>
          <w:szCs w:val="22"/>
          <w:lang w:val="en-US"/>
        </w:rPr>
      </w:pPr>
    </w:p>
    <w:p w:rsidR="00EB27F3" w:rsidRPr="00A42D43" w:rsidRDefault="00EB27F3"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Ajzen, Icek. "Nature and operation of attitudes." Annual review of psychology 52.1 (2001): 27-58.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785BCB" w:rsidRPr="00A42D43" w:rsidRDefault="00785BCB"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Anderson, C. J., &amp; Tverdova, Y. V. (2003): Corruption, political allegiances, and attitudes toward government in contemporary democracies. American Journal of Political Science, 47(1), 91–109.</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00C4F" w:rsidRPr="00A42D43" w:rsidRDefault="00A00C4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 xml:space="preserve">Assiotis, Andreas, and Kevin Sylwester. "Do the effects of corruption upon growth differ across political regimes?." (2010). Southern Illinois University Carbondale Discussion Paper. </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9F67AA" w:rsidRPr="00A42D43" w:rsidRDefault="009F67AA"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Bandiera, O., Prat, A. &amp; Valletti, T. (2009): Active and Passive Waste in Government Spending: Evidence from a Policy Experiment. American Economic Review, 99, 1278- 1308.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4F4194"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 xml:space="preserve">Bardhan, P. (2006): </w:t>
      </w:r>
      <w:r w:rsidR="002F75F5" w:rsidRPr="00A42D43">
        <w:rPr>
          <w:rFonts w:ascii="Arial" w:hAnsi="Arial" w:cs="Arial"/>
          <w:sz w:val="22"/>
          <w:szCs w:val="22"/>
          <w:lang w:val="en-US"/>
        </w:rPr>
        <w:t>The economist's approa</w:t>
      </w:r>
      <w:r w:rsidRPr="00A42D43">
        <w:rPr>
          <w:rFonts w:ascii="Arial" w:hAnsi="Arial" w:cs="Arial"/>
          <w:sz w:val="22"/>
          <w:szCs w:val="22"/>
          <w:lang w:val="en-US"/>
        </w:rPr>
        <w:t>ch to the problem of corruption</w:t>
      </w:r>
      <w:r w:rsidR="00C1384F" w:rsidRPr="00A42D43">
        <w:rPr>
          <w:rFonts w:ascii="Arial" w:hAnsi="Arial" w:cs="Arial"/>
          <w:sz w:val="22"/>
          <w:szCs w:val="22"/>
          <w:lang w:val="en-US"/>
        </w:rPr>
        <w:t>.</w:t>
      </w:r>
      <w:r w:rsidR="002F75F5" w:rsidRPr="00A42D43">
        <w:rPr>
          <w:rFonts w:ascii="Arial" w:hAnsi="Arial" w:cs="Arial"/>
          <w:sz w:val="22"/>
          <w:szCs w:val="22"/>
          <w:lang w:val="en-US"/>
        </w:rPr>
        <w:t> World Development</w:t>
      </w:r>
      <w:r w:rsidRPr="00A42D43">
        <w:rPr>
          <w:rFonts w:ascii="Arial" w:hAnsi="Arial" w:cs="Arial"/>
          <w:sz w:val="22"/>
          <w:szCs w:val="22"/>
          <w:lang w:val="en-US"/>
        </w:rPr>
        <w:t xml:space="preserve"> </w:t>
      </w:r>
      <w:r w:rsidR="002F75F5" w:rsidRPr="00A42D43">
        <w:rPr>
          <w:rFonts w:ascii="Arial" w:hAnsi="Arial" w:cs="Arial"/>
          <w:sz w:val="22"/>
          <w:szCs w:val="22"/>
          <w:lang w:val="en-US"/>
        </w:rPr>
        <w:t>34, 341-348.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Bayer, P</w:t>
      </w:r>
      <w:r w:rsidR="004F4194" w:rsidRPr="00A42D43">
        <w:rPr>
          <w:rFonts w:ascii="Arial" w:hAnsi="Arial" w:cs="Arial"/>
          <w:sz w:val="22"/>
          <w:szCs w:val="22"/>
          <w:lang w:val="en-US"/>
        </w:rPr>
        <w:t>., Ross</w:t>
      </w:r>
      <w:r w:rsidR="00C1384F" w:rsidRPr="00A42D43">
        <w:rPr>
          <w:rFonts w:ascii="Arial" w:hAnsi="Arial" w:cs="Arial"/>
          <w:sz w:val="22"/>
          <w:szCs w:val="22"/>
          <w:lang w:val="en-US"/>
        </w:rPr>
        <w:t xml:space="preserve">, S.L. &amp; </w:t>
      </w:r>
      <w:r w:rsidR="004F4194" w:rsidRPr="00A42D43">
        <w:rPr>
          <w:rFonts w:ascii="Arial" w:hAnsi="Arial" w:cs="Arial"/>
          <w:sz w:val="22"/>
          <w:szCs w:val="22"/>
          <w:lang w:val="en-US"/>
        </w:rPr>
        <w:t>Topa</w:t>
      </w:r>
      <w:r w:rsidR="00C1384F" w:rsidRPr="00A42D43">
        <w:rPr>
          <w:rFonts w:ascii="Arial" w:hAnsi="Arial" w:cs="Arial"/>
          <w:sz w:val="22"/>
          <w:szCs w:val="22"/>
          <w:lang w:val="en-US"/>
        </w:rPr>
        <w:t xml:space="preserve">, G. </w:t>
      </w:r>
      <w:r w:rsidR="004F4194" w:rsidRPr="00A42D43">
        <w:rPr>
          <w:rFonts w:ascii="Arial" w:hAnsi="Arial" w:cs="Arial"/>
          <w:sz w:val="22"/>
          <w:szCs w:val="22"/>
          <w:lang w:val="en-US"/>
        </w:rPr>
        <w:t>(2008):</w:t>
      </w:r>
      <w:r w:rsidRPr="00A42D43">
        <w:rPr>
          <w:rFonts w:ascii="Arial" w:hAnsi="Arial" w:cs="Arial"/>
          <w:sz w:val="22"/>
          <w:szCs w:val="22"/>
          <w:lang w:val="en-US"/>
        </w:rPr>
        <w:t xml:space="preserve"> Place of work and place of residence: Informal hiring networks and labor market outcomes. Journal of Political Economy 116: 1150-1196.</w:t>
      </w:r>
    </w:p>
    <w:p w:rsidR="00211BFB" w:rsidRPr="00A42D43" w:rsidRDefault="00211BFB"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Becker, G</w:t>
      </w:r>
      <w:r w:rsidR="006A1A34" w:rsidRPr="00A42D43">
        <w:rPr>
          <w:rFonts w:ascii="Arial" w:hAnsi="Arial" w:cs="Arial"/>
          <w:sz w:val="22"/>
          <w:szCs w:val="22"/>
          <w:lang w:val="en-US"/>
        </w:rPr>
        <w:t>., &amp;</w:t>
      </w:r>
      <w:r w:rsidRPr="00A42D43">
        <w:rPr>
          <w:rFonts w:ascii="Arial" w:hAnsi="Arial" w:cs="Arial"/>
          <w:sz w:val="22"/>
          <w:szCs w:val="22"/>
          <w:lang w:val="en-US"/>
        </w:rPr>
        <w:t xml:space="preserve"> Stigler, G</w:t>
      </w:r>
      <w:r w:rsidR="006A1A34" w:rsidRPr="00A42D43">
        <w:rPr>
          <w:rFonts w:ascii="Arial" w:hAnsi="Arial" w:cs="Arial"/>
          <w:sz w:val="22"/>
          <w:szCs w:val="22"/>
          <w:lang w:val="en-US"/>
        </w:rPr>
        <w:t>.</w:t>
      </w:r>
      <w:r w:rsidR="00F42F99" w:rsidRPr="00A42D43">
        <w:rPr>
          <w:rFonts w:ascii="Arial" w:hAnsi="Arial" w:cs="Arial"/>
          <w:sz w:val="22"/>
          <w:szCs w:val="22"/>
          <w:lang w:val="en-US"/>
        </w:rPr>
        <w:t xml:space="preserve"> (1974)</w:t>
      </w:r>
      <w:r w:rsidR="006A1A34" w:rsidRPr="00A42D43">
        <w:rPr>
          <w:rFonts w:ascii="Arial" w:hAnsi="Arial" w:cs="Arial"/>
          <w:sz w:val="22"/>
          <w:szCs w:val="22"/>
          <w:lang w:val="en-US"/>
        </w:rPr>
        <w:t>:</w:t>
      </w:r>
      <w:r w:rsidRPr="00A42D43">
        <w:rPr>
          <w:rFonts w:ascii="Arial" w:hAnsi="Arial" w:cs="Arial"/>
          <w:sz w:val="22"/>
          <w:szCs w:val="22"/>
          <w:lang w:val="en-US"/>
        </w:rPr>
        <w:t xml:space="preserve"> Law Enforcement, Malfeasance and the Compensation of Enforcers. Journal of Legal Studies 3</w:t>
      </w:r>
      <w:r w:rsidR="00F42F99" w:rsidRPr="00A42D43">
        <w:rPr>
          <w:rFonts w:ascii="Arial" w:hAnsi="Arial" w:cs="Arial"/>
          <w:sz w:val="22"/>
          <w:szCs w:val="22"/>
          <w:lang w:val="en-US"/>
        </w:rPr>
        <w:t>,</w:t>
      </w:r>
      <w:r w:rsidRPr="00A42D43">
        <w:rPr>
          <w:rFonts w:ascii="Arial" w:hAnsi="Arial" w:cs="Arial"/>
          <w:sz w:val="22"/>
          <w:szCs w:val="22"/>
          <w:lang w:val="en-US"/>
        </w:rPr>
        <w:t xml:space="preserve"> 1–18.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Bennedsen, M., Nielsen, K., Perez-Gonzal</w:t>
      </w:r>
      <w:r w:rsidR="00C1384F" w:rsidRPr="00A42D43">
        <w:rPr>
          <w:rFonts w:ascii="Arial" w:hAnsi="Arial" w:cs="Arial"/>
          <w:sz w:val="22"/>
          <w:szCs w:val="22"/>
          <w:lang w:val="en-US"/>
        </w:rPr>
        <w:t>ez, F., &amp;</w:t>
      </w:r>
      <w:r w:rsidR="004F4194" w:rsidRPr="00A42D43">
        <w:rPr>
          <w:rFonts w:ascii="Arial" w:hAnsi="Arial" w:cs="Arial"/>
          <w:sz w:val="22"/>
          <w:szCs w:val="22"/>
          <w:lang w:val="en-US"/>
        </w:rPr>
        <w:t xml:space="preserve"> Wolfenzon D. (2007):</w:t>
      </w:r>
      <w:r w:rsidRPr="00A42D43">
        <w:rPr>
          <w:rFonts w:ascii="Arial" w:hAnsi="Arial" w:cs="Arial"/>
          <w:sz w:val="22"/>
          <w:szCs w:val="22"/>
          <w:lang w:val="en-US"/>
        </w:rPr>
        <w:t xml:space="preserve"> Inside the family firm: The role of families in succession decisions and performance. Quarterly Journal of Economics 122(2): 647-691.</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Be</w:t>
      </w:r>
      <w:r w:rsidR="00471453" w:rsidRPr="00A42D43">
        <w:rPr>
          <w:rFonts w:ascii="Arial" w:hAnsi="Arial" w:cs="Arial"/>
          <w:sz w:val="22"/>
          <w:szCs w:val="22"/>
          <w:lang w:val="en-US"/>
        </w:rPr>
        <w:t>rtrand M. &amp;</w:t>
      </w:r>
      <w:r w:rsidR="004F4194" w:rsidRPr="00A42D43">
        <w:rPr>
          <w:rFonts w:ascii="Arial" w:hAnsi="Arial" w:cs="Arial"/>
          <w:sz w:val="22"/>
          <w:szCs w:val="22"/>
          <w:lang w:val="en-US"/>
        </w:rPr>
        <w:t xml:space="preserve"> Schoar, A. (2006):</w:t>
      </w:r>
      <w:r w:rsidRPr="00A42D43">
        <w:rPr>
          <w:rFonts w:ascii="Arial" w:hAnsi="Arial" w:cs="Arial"/>
          <w:sz w:val="22"/>
          <w:szCs w:val="22"/>
          <w:lang w:val="en-US"/>
        </w:rPr>
        <w:t xml:space="preserve"> The role of family in family firms. Journal of Economic Perspectives 20: 73-96.</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Default="004F4194"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Besley, T</w:t>
      </w:r>
      <w:r w:rsidR="00492C0E" w:rsidRPr="00A42D43">
        <w:rPr>
          <w:rFonts w:ascii="Arial" w:hAnsi="Arial" w:cs="Arial"/>
          <w:sz w:val="22"/>
          <w:szCs w:val="22"/>
          <w:lang w:val="en-US"/>
        </w:rPr>
        <w:t>. &amp;</w:t>
      </w:r>
      <w:r w:rsidRPr="00A42D43">
        <w:rPr>
          <w:rFonts w:ascii="Arial" w:hAnsi="Arial" w:cs="Arial"/>
          <w:sz w:val="22"/>
          <w:szCs w:val="22"/>
          <w:lang w:val="en-US"/>
        </w:rPr>
        <w:t xml:space="preserve"> Mclaren, J</w:t>
      </w:r>
      <w:r w:rsidR="00492C0E" w:rsidRPr="00A42D43">
        <w:rPr>
          <w:rFonts w:ascii="Arial" w:hAnsi="Arial" w:cs="Arial"/>
          <w:sz w:val="22"/>
          <w:szCs w:val="22"/>
          <w:lang w:val="en-US"/>
        </w:rPr>
        <w:t>.</w:t>
      </w:r>
      <w:r w:rsidRPr="00A42D43">
        <w:rPr>
          <w:rFonts w:ascii="Arial" w:hAnsi="Arial" w:cs="Arial"/>
          <w:sz w:val="22"/>
          <w:szCs w:val="22"/>
          <w:lang w:val="en-US"/>
        </w:rPr>
        <w:t xml:space="preserve"> (1993): </w:t>
      </w:r>
      <w:r w:rsidR="002F75F5" w:rsidRPr="00A42D43">
        <w:rPr>
          <w:rFonts w:ascii="Arial" w:hAnsi="Arial" w:cs="Arial"/>
          <w:sz w:val="22"/>
          <w:szCs w:val="22"/>
          <w:lang w:val="en-US"/>
        </w:rPr>
        <w:t>Taxes and bribe</w:t>
      </w:r>
      <w:r w:rsidRPr="00A42D43">
        <w:rPr>
          <w:rFonts w:ascii="Arial" w:hAnsi="Arial" w:cs="Arial"/>
          <w:sz w:val="22"/>
          <w:szCs w:val="22"/>
          <w:lang w:val="en-US"/>
        </w:rPr>
        <w:t>ry: The role of wage incentives</w:t>
      </w:r>
      <w:r w:rsidR="00471453" w:rsidRPr="00A42D43">
        <w:rPr>
          <w:rFonts w:ascii="Arial" w:hAnsi="Arial" w:cs="Arial"/>
          <w:sz w:val="22"/>
          <w:szCs w:val="22"/>
          <w:lang w:val="en-US"/>
        </w:rPr>
        <w:t>.</w:t>
      </w:r>
      <w:r w:rsidR="002F75F5" w:rsidRPr="00A42D43">
        <w:rPr>
          <w:rFonts w:ascii="Arial" w:hAnsi="Arial" w:cs="Arial"/>
          <w:sz w:val="22"/>
          <w:szCs w:val="22"/>
          <w:lang w:val="en-US"/>
        </w:rPr>
        <w:t> Economic Journal103, 119-141.</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Bragança, A., Ferraz, C. &amp; Rios, J. (2015): Political Dynasties and the Quality of Government. Working Pape</w:t>
      </w:r>
      <w:r>
        <w:rPr>
          <w:rFonts w:ascii="Arial" w:hAnsi="Arial" w:cs="Arial"/>
          <w:sz w:val="22"/>
          <w:szCs w:val="22"/>
          <w:lang w:val="en-US"/>
        </w:rPr>
        <w:t>r.</w:t>
      </w:r>
    </w:p>
    <w:p w:rsidR="00DC4B3E" w:rsidRPr="00A42D43"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C40D7" w:rsidRPr="00A42D43" w:rsidRDefault="00EC40D7"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Burguet, Roberto, and Yeon-Koo Che. "Competitive procurement with corruption." RAND Journal of Economics (2004): 50-68.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B27F3" w:rsidRPr="00A42D43" w:rsidRDefault="00EB27F3"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Carpini, Michael X. Delli, and Scott Keeter. What Americans know about politics and why it matters. Yale University Press, 1997.</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826E4B" w:rsidRPr="00A42D43" w:rsidRDefault="00826E4B"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Chong, Alberto, et al. Looking beyond the incumbent: The effects of exposing corruption on electoral outcomes. No. w17679. National Bureau of Economic Research, 2011.</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52122" w:rsidRPr="00A42D43" w:rsidRDefault="00A52122"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Compte, Olivier, Ariane Lambert-Mogiliansky, and Thierry Verdier. "Corruption and competition in procurement auctions." Rand Journal of Economics (2005): 1-15.</w:t>
      </w: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Dal Bó, E., Da</w:t>
      </w:r>
      <w:r w:rsidR="00492C0E" w:rsidRPr="00A42D43">
        <w:rPr>
          <w:rFonts w:ascii="Arial" w:hAnsi="Arial" w:cs="Arial"/>
          <w:sz w:val="22"/>
          <w:szCs w:val="22"/>
          <w:lang w:val="en-US"/>
        </w:rPr>
        <w:t>l Bó, P. &amp;</w:t>
      </w:r>
      <w:r w:rsidR="004F4194" w:rsidRPr="00A42D43">
        <w:rPr>
          <w:rFonts w:ascii="Arial" w:hAnsi="Arial" w:cs="Arial"/>
          <w:sz w:val="22"/>
          <w:szCs w:val="22"/>
          <w:lang w:val="en-US"/>
        </w:rPr>
        <w:t xml:space="preserve"> Snyder, J. (2009):</w:t>
      </w:r>
      <w:r w:rsidRPr="00A42D43">
        <w:rPr>
          <w:rFonts w:ascii="Arial" w:hAnsi="Arial" w:cs="Arial"/>
          <w:sz w:val="22"/>
          <w:szCs w:val="22"/>
          <w:lang w:val="en-US"/>
        </w:rPr>
        <w:t xml:space="preserve"> Political dynasties. Review of Economic Studies 76(1): 115-142.</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73794A" w:rsidRPr="00A42D43" w:rsidRDefault="0073794A"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Dal Bó, E., Finan, F. &amp; Rossi, M. (2013): Strengthening State Capabilities: The Role of Financial Incentives in the Call to Public Service. Quarterly Journal of Economics, Oxford University Press, vol. 128(3), pages 1169-1218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B84D86" w:rsidRPr="00A42D43" w:rsidRDefault="00B84D86"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Dahlström, Carl, Victor Lapuente, and Jan Teorell. "The merit of meritocratization: Politics, bureaucracy, and the institutional deterrents of corruption." Political Research Quarterly (2011): 1065912911408109.</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E35E0" w:rsidRPr="00A42D43" w:rsidRDefault="00EE35E0"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De la Croix, David, and Clara Delavallade. "Growth, public investment and corruption with failing institutions." Economics of Governance 10.3 (2009): 187-219.</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07A39" w:rsidRPr="00A42D43" w:rsidRDefault="00747854"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Della</w:t>
      </w:r>
      <w:r w:rsidR="00C2489F" w:rsidRPr="00A42D43">
        <w:rPr>
          <w:rFonts w:ascii="Arial" w:hAnsi="Arial" w:cs="Arial"/>
          <w:sz w:val="22"/>
          <w:szCs w:val="22"/>
          <w:lang w:val="en-US"/>
        </w:rPr>
        <w:t xml:space="preserve"> Porta, D. (2000):</w:t>
      </w:r>
      <w:r w:rsidR="00A07A39" w:rsidRPr="00A42D43">
        <w:rPr>
          <w:rFonts w:ascii="Arial" w:hAnsi="Arial" w:cs="Arial"/>
          <w:sz w:val="22"/>
          <w:szCs w:val="22"/>
          <w:lang w:val="en-US"/>
        </w:rPr>
        <w:t xml:space="preserve"> Social capital, beliefs in government, and political corruption. In S. J. Pharr &amp; R. D. Putnam (Eds.), Disaffected democracies: What’s troubling the trilateral countries? (pp. 202–228). Princeton: Princeton University Press.</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07A39" w:rsidRPr="00A42D43" w:rsidRDefault="00747854"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Della</w:t>
      </w:r>
      <w:r w:rsidR="007578E1" w:rsidRPr="00A42D43">
        <w:rPr>
          <w:rFonts w:ascii="Arial" w:hAnsi="Arial" w:cs="Arial"/>
          <w:sz w:val="22"/>
          <w:szCs w:val="22"/>
          <w:lang w:val="en-US"/>
        </w:rPr>
        <w:t xml:space="preserve"> Porta, D., &amp; Mé</w:t>
      </w:r>
      <w:r w:rsidR="00C2489F" w:rsidRPr="00A42D43">
        <w:rPr>
          <w:rFonts w:ascii="Arial" w:hAnsi="Arial" w:cs="Arial"/>
          <w:sz w:val="22"/>
          <w:szCs w:val="22"/>
          <w:lang w:val="en-US"/>
        </w:rPr>
        <w:t>ny, Y. (1996):</w:t>
      </w:r>
      <w:r w:rsidR="00A07A39" w:rsidRPr="00A42D43">
        <w:rPr>
          <w:rFonts w:ascii="Arial" w:hAnsi="Arial" w:cs="Arial"/>
          <w:sz w:val="22"/>
          <w:szCs w:val="22"/>
          <w:lang w:val="en-US"/>
        </w:rPr>
        <w:t xml:space="preserve"> Democracy and corruption in Europe. London: Pinter.</w:t>
      </w: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Di Tella, R. &amp; Schargrods</w:t>
      </w:r>
      <w:r w:rsidR="004F4194" w:rsidRPr="00A42D43">
        <w:rPr>
          <w:rFonts w:ascii="Arial" w:hAnsi="Arial" w:cs="Arial"/>
          <w:sz w:val="22"/>
          <w:szCs w:val="22"/>
          <w:lang w:val="en-US"/>
        </w:rPr>
        <w:t xml:space="preserve">ky, E. (2003): </w:t>
      </w:r>
      <w:r w:rsidRPr="00A42D43">
        <w:rPr>
          <w:rFonts w:ascii="Arial" w:hAnsi="Arial" w:cs="Arial"/>
          <w:sz w:val="22"/>
          <w:szCs w:val="22"/>
          <w:lang w:val="en-US"/>
        </w:rPr>
        <w:t>The Role of Wages and Auditing during a Crackdown on Corrupti</w:t>
      </w:r>
      <w:r w:rsidR="00492C0E" w:rsidRPr="00A42D43">
        <w:rPr>
          <w:rFonts w:ascii="Arial" w:hAnsi="Arial" w:cs="Arial"/>
          <w:sz w:val="22"/>
          <w:szCs w:val="22"/>
          <w:lang w:val="en-US"/>
        </w:rPr>
        <w:t>on in the City of Buenos Aires.</w:t>
      </w:r>
      <w:r w:rsidRPr="00A42D43">
        <w:rPr>
          <w:rFonts w:ascii="Arial" w:hAnsi="Arial" w:cs="Arial"/>
          <w:sz w:val="22"/>
          <w:szCs w:val="22"/>
          <w:lang w:val="en-US"/>
        </w:rPr>
        <w:t xml:space="preserve"> Journal of Law and Economics, University of Chicago Press, vol. 46(1), pages 269-92, April.</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74050A" w:rsidRPr="00A42D43" w:rsidRDefault="0074050A"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Dolan, Julie. "The Budget</w:t>
      </w:r>
      <w:r w:rsidRPr="00A42D43">
        <w:rPr>
          <w:rFonts w:ascii="Cambria Math" w:hAnsi="Cambria Math" w:cs="Cambria Math"/>
          <w:sz w:val="22"/>
          <w:szCs w:val="22"/>
          <w:lang w:val="en-US"/>
        </w:rPr>
        <w:t>‐</w:t>
      </w:r>
      <w:r w:rsidRPr="00A42D43">
        <w:rPr>
          <w:rFonts w:ascii="Arial" w:hAnsi="Arial" w:cs="Arial"/>
          <w:sz w:val="22"/>
          <w:szCs w:val="22"/>
          <w:lang w:val="en-US"/>
        </w:rPr>
        <w:t>Minimizing Bureaucrat? Empirical Evidence from the Senior Executive Service." Public Administration Review 62.1 (2002): 42-50.</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Dustmann</w:t>
      </w:r>
      <w:r w:rsidR="00C2489F" w:rsidRPr="00A42D43">
        <w:rPr>
          <w:rFonts w:ascii="Arial" w:hAnsi="Arial" w:cs="Arial"/>
          <w:sz w:val="22"/>
          <w:szCs w:val="22"/>
          <w:lang w:val="en-US"/>
        </w:rPr>
        <w:t>, C., Glitz A., Schönberg, U. &amp; Brücker, H. (2015):</w:t>
      </w:r>
      <w:r w:rsidRPr="00A42D43">
        <w:rPr>
          <w:rFonts w:ascii="Arial" w:hAnsi="Arial" w:cs="Arial"/>
          <w:sz w:val="22"/>
          <w:szCs w:val="22"/>
          <w:lang w:val="en-US"/>
        </w:rPr>
        <w:t xml:space="preserve"> Referral-based job search networks. Review of Economic Studies.</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Feinberg, G (2009):</w:t>
      </w:r>
      <w:r w:rsidR="002F75F5" w:rsidRPr="00A42D43">
        <w:rPr>
          <w:rFonts w:ascii="Arial" w:hAnsi="Arial" w:cs="Arial"/>
          <w:sz w:val="22"/>
          <w:szCs w:val="22"/>
          <w:lang w:val="en-US"/>
        </w:rPr>
        <w:t xml:space="preserve"> The epidemic of petit corruption in contemporary Cambodia: Caus</w:t>
      </w:r>
      <w:r w:rsidR="00492C0E" w:rsidRPr="00A42D43">
        <w:rPr>
          <w:rFonts w:ascii="Arial" w:hAnsi="Arial" w:cs="Arial"/>
          <w:sz w:val="22"/>
          <w:szCs w:val="22"/>
          <w:lang w:val="en-US"/>
        </w:rPr>
        <w:t>es, consequences and solutions”.</w:t>
      </w:r>
      <w:r w:rsidR="002F75F5" w:rsidRPr="00A42D43">
        <w:rPr>
          <w:rFonts w:ascii="Arial" w:hAnsi="Arial" w:cs="Arial"/>
          <w:sz w:val="22"/>
          <w:szCs w:val="22"/>
          <w:lang w:val="en-US"/>
        </w:rPr>
        <w:t> </w:t>
      </w:r>
      <w:r w:rsidR="002F75F5" w:rsidRPr="00DC4B3E">
        <w:rPr>
          <w:rFonts w:ascii="Arial" w:hAnsi="Arial" w:cs="Arial"/>
          <w:iCs/>
          <w:sz w:val="22"/>
          <w:szCs w:val="22"/>
          <w:lang w:val="en-US"/>
        </w:rPr>
        <w:t>Crime Prevention and Community Safety</w:t>
      </w:r>
      <w:r w:rsidR="002F75F5" w:rsidRPr="00DC4B3E">
        <w:rPr>
          <w:rFonts w:ascii="Arial" w:hAnsi="Arial" w:cs="Arial"/>
          <w:sz w:val="22"/>
          <w:szCs w:val="22"/>
          <w:lang w:val="en-US"/>
        </w:rPr>
        <w:t> </w:t>
      </w:r>
      <w:r w:rsidR="002F75F5" w:rsidRPr="00A42D43">
        <w:rPr>
          <w:rFonts w:ascii="Arial" w:hAnsi="Arial" w:cs="Arial"/>
          <w:sz w:val="22"/>
          <w:szCs w:val="22"/>
          <w:lang w:val="en-US"/>
        </w:rPr>
        <w:t>11, 277-296.</w:t>
      </w:r>
    </w:p>
    <w:p w:rsidR="00A66F72" w:rsidRPr="00A42D43" w:rsidRDefault="00A66F72"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3241BA">
        <w:rPr>
          <w:rFonts w:ascii="Arial" w:hAnsi="Arial" w:cs="Arial"/>
          <w:sz w:val="22"/>
          <w:szCs w:val="22"/>
          <w:lang w:val="en-US"/>
        </w:rPr>
        <w:t xml:space="preserve">Ferraz, Claudio, and Frederico Finan. </w:t>
      </w:r>
      <w:r w:rsidRPr="00A42D43">
        <w:rPr>
          <w:rFonts w:ascii="Arial" w:hAnsi="Arial" w:cs="Arial"/>
          <w:sz w:val="22"/>
          <w:szCs w:val="22"/>
          <w:lang w:val="en-US"/>
        </w:rPr>
        <w:t>"Exposing corrupt politicians: the effects of Brazil's publicly released audits on electoral outcomes." (2007).</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B27F3" w:rsidRPr="00A42D43" w:rsidRDefault="00EB27F3"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Fishbein, Martin, Icek Ajzen, and Ron Hinkle. "Predicting and understanding voting in American elections: Effects of external variables." </w:t>
      </w:r>
      <w:r w:rsidRPr="003241BA">
        <w:rPr>
          <w:rFonts w:ascii="Arial" w:hAnsi="Arial" w:cs="Arial"/>
          <w:sz w:val="22"/>
          <w:szCs w:val="22"/>
          <w:lang w:val="en-US"/>
        </w:rPr>
        <w:t>Understanding attitudes and predicting social behavior (1980): 173-195</w:t>
      </w:r>
      <w:r w:rsidRPr="003241BA">
        <w:rPr>
          <w:rFonts w:ascii="Arial" w:hAnsi="Arial" w:cs="Arial"/>
          <w:color w:val="222222"/>
          <w:sz w:val="22"/>
          <w:szCs w:val="22"/>
          <w:shd w:val="clear" w:color="auto" w:fill="FFFFFF"/>
          <w:lang w:val="en-US"/>
        </w:rPr>
        <w:t>.</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492C0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Gagliarducci, S.</w:t>
      </w:r>
      <w:r w:rsidR="00C2489F" w:rsidRPr="00A42D43">
        <w:rPr>
          <w:rFonts w:ascii="Arial" w:hAnsi="Arial" w:cs="Arial"/>
          <w:sz w:val="22"/>
          <w:szCs w:val="22"/>
          <w:lang w:val="en-US"/>
        </w:rPr>
        <w:t xml:space="preserve"> &amp; Manacorda</w:t>
      </w:r>
      <w:r w:rsidRPr="00A42D43">
        <w:rPr>
          <w:rFonts w:ascii="Arial" w:hAnsi="Arial" w:cs="Arial"/>
          <w:sz w:val="22"/>
          <w:szCs w:val="22"/>
          <w:lang w:val="en-US"/>
        </w:rPr>
        <w:t xml:space="preserve">, M. </w:t>
      </w:r>
      <w:r w:rsidR="00C2489F" w:rsidRPr="00A42D43">
        <w:rPr>
          <w:rFonts w:ascii="Arial" w:hAnsi="Arial" w:cs="Arial"/>
          <w:sz w:val="22"/>
          <w:szCs w:val="22"/>
          <w:lang w:val="en-US"/>
        </w:rPr>
        <w:t>(2014):</w:t>
      </w:r>
      <w:r w:rsidR="002F75F5" w:rsidRPr="00A42D43">
        <w:rPr>
          <w:rFonts w:ascii="Arial" w:hAnsi="Arial" w:cs="Arial"/>
          <w:sz w:val="22"/>
          <w:szCs w:val="22"/>
          <w:lang w:val="en-US"/>
        </w:rPr>
        <w:t xml:space="preserve"> Politics in the family: Nepotism and the hiring decision of Italian firms. Tor Vergata University, mimeo.</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Geys</w:t>
      </w:r>
      <w:r w:rsidR="00C2489F" w:rsidRPr="00A42D43">
        <w:rPr>
          <w:rFonts w:ascii="Arial" w:hAnsi="Arial" w:cs="Arial"/>
          <w:sz w:val="22"/>
          <w:szCs w:val="22"/>
          <w:lang w:val="en-US"/>
        </w:rPr>
        <w:t>, B.</w:t>
      </w:r>
      <w:r w:rsidRPr="00A42D43">
        <w:rPr>
          <w:rFonts w:ascii="Arial" w:hAnsi="Arial" w:cs="Arial"/>
          <w:sz w:val="22"/>
          <w:szCs w:val="22"/>
          <w:lang w:val="en-US"/>
        </w:rPr>
        <w:t xml:space="preserve"> (2015): Political Dynasties, Electoral Institutions</w:t>
      </w:r>
      <w:r w:rsidR="00492C0E" w:rsidRPr="00A42D43">
        <w:rPr>
          <w:rFonts w:ascii="Arial" w:hAnsi="Arial" w:cs="Arial"/>
          <w:sz w:val="22"/>
          <w:szCs w:val="22"/>
          <w:lang w:val="en-US"/>
        </w:rPr>
        <w:t xml:space="preserve"> and Politicians’ Human Capital.</w:t>
      </w:r>
      <w:r w:rsidRPr="00A42D43">
        <w:rPr>
          <w:rFonts w:ascii="Arial" w:hAnsi="Arial" w:cs="Arial"/>
          <w:sz w:val="22"/>
          <w:szCs w:val="22"/>
          <w:lang w:val="en-US"/>
        </w:rPr>
        <w:t xml:space="preserve"> Working Paper, Norwegian Business School BI, Department of Economics.</w:t>
      </w:r>
    </w:p>
    <w:p w:rsidR="00A07A39"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Gingerich, D. (2004):</w:t>
      </w:r>
      <w:r w:rsidR="00A07A39" w:rsidRPr="00A42D43">
        <w:rPr>
          <w:rFonts w:ascii="Arial" w:hAnsi="Arial" w:cs="Arial"/>
          <w:sz w:val="22"/>
          <w:szCs w:val="22"/>
          <w:lang w:val="en-US"/>
        </w:rPr>
        <w:t xml:space="preserve"> On unstable ground: Parties, patronage and political corruption in contemporary Bolivia. Paper presented at the Meeting of the American Political Science Association, Chicago.</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07A39"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Golden, M., &amp; Chang, E. (2004):</w:t>
      </w:r>
      <w:r w:rsidR="00A07A39" w:rsidRPr="00A42D43">
        <w:rPr>
          <w:rFonts w:ascii="Arial" w:hAnsi="Arial" w:cs="Arial"/>
          <w:sz w:val="22"/>
          <w:szCs w:val="22"/>
          <w:lang w:val="en-US"/>
        </w:rPr>
        <w:t xml:space="preserve"> Does corruption pay? The survival of politicians charged with malfeasance</w:t>
      </w:r>
      <w:r w:rsidR="002E4CDB" w:rsidRPr="00A42D43">
        <w:rPr>
          <w:rFonts w:ascii="Arial" w:hAnsi="Arial" w:cs="Arial"/>
          <w:sz w:val="22"/>
          <w:szCs w:val="22"/>
          <w:lang w:val="en-US"/>
        </w:rPr>
        <w:t xml:space="preserve"> </w:t>
      </w:r>
      <w:r w:rsidR="00A07A39" w:rsidRPr="00A42D43">
        <w:rPr>
          <w:rFonts w:ascii="Arial" w:hAnsi="Arial" w:cs="Arial"/>
          <w:sz w:val="22"/>
          <w:szCs w:val="22"/>
          <w:lang w:val="en-US"/>
        </w:rPr>
        <w:t>in the Postwar Italian chamber of deputies. Paper presented at the American Political Science Association, Chicago, IL</w:t>
      </w:r>
      <w:r w:rsidR="002F75F5" w:rsidRPr="00A42D43">
        <w:rPr>
          <w:rFonts w:ascii="Arial" w:hAnsi="Arial" w:cs="Arial"/>
          <w:sz w:val="22"/>
          <w:szCs w:val="22"/>
          <w:lang w:val="en-US"/>
        </w:rPr>
        <w:t>.</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E35E0" w:rsidRPr="00A42D43" w:rsidRDefault="00EE35E0"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lastRenderedPageBreak/>
        <w:t>Gyimah-Brempong, Kwabena, and Samaria Munoz de Gyimah-Brempong. "Corruption, growth, and income distribution: Are there regional differences?."</w:t>
      </w:r>
      <w:r w:rsidR="0073794A" w:rsidRPr="00A42D43">
        <w:rPr>
          <w:rFonts w:ascii="Arial" w:hAnsi="Arial" w:cs="Arial"/>
          <w:sz w:val="22"/>
          <w:szCs w:val="22"/>
          <w:lang w:val="en-US"/>
        </w:rPr>
        <w:t xml:space="preserve"> </w:t>
      </w:r>
      <w:r w:rsidRPr="00A42D43">
        <w:rPr>
          <w:rFonts w:ascii="Arial" w:hAnsi="Arial" w:cs="Arial"/>
          <w:sz w:val="22"/>
          <w:szCs w:val="22"/>
          <w:lang w:val="en-US"/>
        </w:rPr>
        <w:t>Economics of Governance 7.3 (2006): 245-269.</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E35E0" w:rsidRPr="00A42D43" w:rsidRDefault="00696F72"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Henderson, Jeffrey, et al. "Bureaucratic effects:'weberian'state structures and poverty reduction." (2003).</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07A39" w:rsidRPr="00A42D43" w:rsidRDefault="00A07A39"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Heidenheimer, A. J., Joh</w:t>
      </w:r>
      <w:r w:rsidR="00024742" w:rsidRPr="00A42D43">
        <w:rPr>
          <w:rFonts w:ascii="Arial" w:hAnsi="Arial" w:cs="Arial"/>
          <w:sz w:val="22"/>
          <w:szCs w:val="22"/>
          <w:lang w:val="en-US"/>
        </w:rPr>
        <w:t>nston, M. &amp;</w:t>
      </w:r>
      <w:r w:rsidR="00C2489F" w:rsidRPr="00A42D43">
        <w:rPr>
          <w:rFonts w:ascii="Arial" w:hAnsi="Arial" w:cs="Arial"/>
          <w:sz w:val="22"/>
          <w:szCs w:val="22"/>
          <w:lang w:val="en-US"/>
        </w:rPr>
        <w:t xml:space="preserve"> LeVine, V. T. (1989):</w:t>
      </w:r>
      <w:r w:rsidRPr="00A42D43">
        <w:rPr>
          <w:rFonts w:ascii="Arial" w:hAnsi="Arial" w:cs="Arial"/>
          <w:sz w:val="22"/>
          <w:szCs w:val="22"/>
          <w:lang w:val="en-US"/>
        </w:rPr>
        <w:t xml:space="preserve"> Political corruption: A user’s manual. New Brunswick: Transaction.</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Huntington, S. P. (1968):</w:t>
      </w:r>
      <w:r w:rsidR="002F75F5" w:rsidRPr="00A42D43">
        <w:rPr>
          <w:rFonts w:ascii="Arial" w:hAnsi="Arial" w:cs="Arial"/>
          <w:sz w:val="22"/>
          <w:szCs w:val="22"/>
          <w:lang w:val="en-US"/>
        </w:rPr>
        <w:t xml:space="preserve"> Political order in changing societies. New Haven: Yale University Press.</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B27F3" w:rsidRPr="00A42D43" w:rsidRDefault="00EB27F3"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Kahne, Joseph E., and Susan E. Sporte. "Developing citizens: The impact of civic learning opportunities on students’ commitment to civic participation." American Educational Research Journal 45.3 (2008): 738-766.</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Khwaja A. &amp; Mian</w:t>
      </w:r>
      <w:r w:rsidR="00024742" w:rsidRPr="00A42D43">
        <w:rPr>
          <w:rFonts w:ascii="Arial" w:hAnsi="Arial" w:cs="Arial"/>
          <w:sz w:val="22"/>
          <w:szCs w:val="22"/>
          <w:lang w:val="en-US"/>
        </w:rPr>
        <w:t>,</w:t>
      </w:r>
      <w:r w:rsidRPr="00A42D43">
        <w:rPr>
          <w:rFonts w:ascii="Arial" w:hAnsi="Arial" w:cs="Arial"/>
          <w:sz w:val="22"/>
          <w:szCs w:val="22"/>
          <w:lang w:val="en-US"/>
        </w:rPr>
        <w:t xml:space="preserve"> A. (2005): Do lenders favor politically connected firms? Rent provision </w:t>
      </w:r>
      <w:r w:rsidR="00024742" w:rsidRPr="00A42D43">
        <w:rPr>
          <w:rFonts w:ascii="Arial" w:hAnsi="Arial" w:cs="Arial"/>
          <w:sz w:val="22"/>
          <w:szCs w:val="22"/>
          <w:lang w:val="en-US"/>
        </w:rPr>
        <w:t>in an emerging financial market.</w:t>
      </w:r>
      <w:r w:rsidRPr="00A42D43">
        <w:rPr>
          <w:rFonts w:ascii="Arial" w:hAnsi="Arial" w:cs="Arial"/>
          <w:sz w:val="22"/>
          <w:szCs w:val="22"/>
          <w:lang w:val="en-US"/>
        </w:rPr>
        <w:t xml:space="preserve"> Quarterly Journal of Economics 120:1371–411.</w:t>
      </w:r>
    </w:p>
    <w:p w:rsidR="002F75F5"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Kramarz F. &amp;</w:t>
      </w:r>
      <w:r w:rsidR="002F75F5" w:rsidRPr="00A42D43">
        <w:rPr>
          <w:rFonts w:ascii="Arial" w:hAnsi="Arial" w:cs="Arial"/>
          <w:sz w:val="22"/>
          <w:szCs w:val="22"/>
          <w:lang w:val="en-US"/>
        </w:rPr>
        <w:t xml:space="preserve"> Skans</w:t>
      </w:r>
      <w:r w:rsidR="00024742" w:rsidRPr="00A42D43">
        <w:rPr>
          <w:rFonts w:ascii="Arial" w:hAnsi="Arial" w:cs="Arial"/>
          <w:sz w:val="22"/>
          <w:szCs w:val="22"/>
          <w:lang w:val="en-US"/>
        </w:rPr>
        <w:t>, O.N.  (2014):</w:t>
      </w:r>
      <w:r w:rsidR="002F75F5" w:rsidRPr="00A42D43">
        <w:rPr>
          <w:rFonts w:ascii="Arial" w:hAnsi="Arial" w:cs="Arial"/>
          <w:sz w:val="22"/>
          <w:szCs w:val="22"/>
          <w:lang w:val="en-US"/>
        </w:rPr>
        <w:t xml:space="preserve"> When strong ties are strong: Networks and youth labor market entry. Review of Economic Studies 81(3): 1164-1200.</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Le, V</w:t>
      </w:r>
      <w:r w:rsidR="00C2489F" w:rsidRPr="00A42D43">
        <w:rPr>
          <w:rFonts w:ascii="Arial" w:hAnsi="Arial" w:cs="Arial"/>
          <w:sz w:val="22"/>
          <w:szCs w:val="22"/>
          <w:lang w:val="en-US"/>
        </w:rPr>
        <w:t>.</w:t>
      </w:r>
      <w:r w:rsidRPr="00A42D43">
        <w:rPr>
          <w:rFonts w:ascii="Arial" w:hAnsi="Arial" w:cs="Arial"/>
          <w:sz w:val="22"/>
          <w:szCs w:val="22"/>
          <w:lang w:val="en-US"/>
        </w:rPr>
        <w:t xml:space="preserve"> H</w:t>
      </w:r>
      <w:r w:rsidR="00C2489F" w:rsidRPr="00A42D43">
        <w:rPr>
          <w:rFonts w:ascii="Arial" w:hAnsi="Arial" w:cs="Arial"/>
          <w:sz w:val="22"/>
          <w:szCs w:val="22"/>
          <w:lang w:val="en-US"/>
        </w:rPr>
        <w:t>.</w:t>
      </w:r>
      <w:r w:rsidRPr="00A42D43">
        <w:rPr>
          <w:rFonts w:ascii="Arial" w:hAnsi="Arial" w:cs="Arial"/>
          <w:sz w:val="22"/>
          <w:szCs w:val="22"/>
          <w:lang w:val="en-US"/>
        </w:rPr>
        <w:t>, de Haan, J</w:t>
      </w:r>
      <w:r w:rsidR="00C2489F" w:rsidRPr="00A42D43">
        <w:rPr>
          <w:rFonts w:ascii="Arial" w:hAnsi="Arial" w:cs="Arial"/>
          <w:sz w:val="22"/>
          <w:szCs w:val="22"/>
          <w:lang w:val="en-US"/>
        </w:rPr>
        <w:t>. &amp;</w:t>
      </w:r>
      <w:r w:rsidRPr="00A42D43">
        <w:rPr>
          <w:rFonts w:ascii="Arial" w:hAnsi="Arial" w:cs="Arial"/>
          <w:sz w:val="22"/>
          <w:szCs w:val="22"/>
          <w:lang w:val="en-US"/>
        </w:rPr>
        <w:t xml:space="preserve"> Dietzenbacher, E</w:t>
      </w:r>
      <w:r w:rsidR="00C2489F" w:rsidRPr="00A42D43">
        <w:rPr>
          <w:rFonts w:ascii="Arial" w:hAnsi="Arial" w:cs="Arial"/>
          <w:sz w:val="22"/>
          <w:szCs w:val="22"/>
          <w:lang w:val="en-US"/>
        </w:rPr>
        <w:t xml:space="preserve">. (2013): </w:t>
      </w:r>
      <w:r w:rsidRPr="00A42D43">
        <w:rPr>
          <w:rFonts w:ascii="Arial" w:hAnsi="Arial" w:cs="Arial"/>
          <w:sz w:val="22"/>
          <w:szCs w:val="22"/>
          <w:lang w:val="en-US"/>
        </w:rPr>
        <w:t>Do higher government wages reduce corruption</w:t>
      </w:r>
      <w:r w:rsidR="00C2489F" w:rsidRPr="00A42D43">
        <w:rPr>
          <w:rFonts w:ascii="Arial" w:hAnsi="Arial" w:cs="Arial"/>
          <w:sz w:val="22"/>
          <w:szCs w:val="22"/>
          <w:lang w:val="en-US"/>
        </w:rPr>
        <w:t>? Evidence from a novel dataset</w:t>
      </w:r>
      <w:r w:rsidR="003E27D7" w:rsidRPr="00A42D43">
        <w:rPr>
          <w:rFonts w:ascii="Arial" w:hAnsi="Arial" w:cs="Arial"/>
          <w:sz w:val="22"/>
          <w:szCs w:val="22"/>
          <w:lang w:val="en-US"/>
        </w:rPr>
        <w:t>. CESifo Working Paper No. 4254.</w:t>
      </w:r>
    </w:p>
    <w:p w:rsidR="00647F94" w:rsidRPr="00A42D43" w:rsidRDefault="00647F94" w:rsidP="008D6464">
      <w:pPr>
        <w:pStyle w:val="NormalWeb"/>
        <w:shd w:val="clear" w:color="auto" w:fill="FFFFFF"/>
        <w:spacing w:before="0" w:beforeAutospacing="0" w:after="0" w:afterAutospacing="0"/>
        <w:jc w:val="both"/>
        <w:textAlignment w:val="baseline"/>
        <w:rPr>
          <w:rFonts w:ascii="Arial" w:hAnsi="Arial" w:cs="Arial"/>
          <w:sz w:val="22"/>
          <w:szCs w:val="22"/>
          <w:lang w:val="fr-FR"/>
        </w:rPr>
      </w:pPr>
      <w:r w:rsidRPr="00A42D43">
        <w:rPr>
          <w:rFonts w:ascii="Arial" w:hAnsi="Arial" w:cs="Arial"/>
          <w:sz w:val="22"/>
          <w:szCs w:val="22"/>
          <w:lang w:val="en-US"/>
        </w:rPr>
        <w:t xml:space="preserve">Lengwiler, Yvan, and Elmar Wolfstetter. </w:t>
      </w:r>
      <w:r w:rsidRPr="00A42D43">
        <w:rPr>
          <w:rFonts w:ascii="Arial" w:hAnsi="Arial" w:cs="Arial"/>
          <w:sz w:val="22"/>
          <w:szCs w:val="22"/>
          <w:lang w:val="fr-FR"/>
        </w:rPr>
        <w:t>"Corruption in procurement auctions." Available at SSRN 874705 (2006).</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fr-FR"/>
        </w:rPr>
      </w:pPr>
    </w:p>
    <w:p w:rsidR="00647F94" w:rsidRPr="00A42D43" w:rsidRDefault="00B0145D"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fr-FR"/>
        </w:rPr>
        <w:t>Lewis-Faupel, Sean, et al. </w:t>
      </w:r>
      <w:r w:rsidRPr="00A42D43">
        <w:rPr>
          <w:rFonts w:ascii="Arial" w:hAnsi="Arial" w:cs="Arial"/>
          <w:sz w:val="22"/>
          <w:szCs w:val="22"/>
          <w:lang w:val="en-US"/>
        </w:rPr>
        <w:t>Can electronic procurement improve infrastructure provision? evidence from public works in india and indonesia. No. w20344. National Bureau of Economic Research, 2014.</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Macchiavello, R</w:t>
      </w:r>
      <w:r w:rsidR="00C2489F" w:rsidRPr="00A42D43">
        <w:rPr>
          <w:rFonts w:ascii="Arial" w:hAnsi="Arial" w:cs="Arial"/>
          <w:sz w:val="22"/>
          <w:szCs w:val="22"/>
          <w:lang w:val="en-US"/>
        </w:rPr>
        <w:t xml:space="preserve">. (2008): </w:t>
      </w:r>
      <w:r w:rsidRPr="00A42D43">
        <w:rPr>
          <w:rFonts w:ascii="Arial" w:hAnsi="Arial" w:cs="Arial"/>
          <w:sz w:val="22"/>
          <w:szCs w:val="22"/>
          <w:lang w:val="en-US"/>
        </w:rPr>
        <w:t xml:space="preserve">Public sector motivation and development </w:t>
      </w:r>
      <w:r w:rsidR="00C2489F" w:rsidRPr="00A42D43">
        <w:rPr>
          <w:rFonts w:ascii="Arial" w:hAnsi="Arial" w:cs="Arial"/>
          <w:sz w:val="22"/>
          <w:szCs w:val="22"/>
          <w:lang w:val="en-US"/>
        </w:rPr>
        <w:t>failures</w:t>
      </w:r>
      <w:r w:rsidR="003E27D7" w:rsidRPr="00A42D43">
        <w:rPr>
          <w:rFonts w:ascii="Arial" w:hAnsi="Arial" w:cs="Arial"/>
          <w:sz w:val="22"/>
          <w:szCs w:val="22"/>
          <w:lang w:val="en-US"/>
        </w:rPr>
        <w:t xml:space="preserve">. </w:t>
      </w:r>
      <w:r w:rsidRPr="00A42D43">
        <w:rPr>
          <w:rFonts w:ascii="Arial" w:hAnsi="Arial" w:cs="Arial"/>
          <w:iCs/>
          <w:sz w:val="22"/>
          <w:szCs w:val="22"/>
          <w:lang w:val="en-US"/>
        </w:rPr>
        <w:t>Journal of Development Economics</w:t>
      </w:r>
      <w:r w:rsidRPr="00A42D43">
        <w:rPr>
          <w:rFonts w:ascii="Arial" w:hAnsi="Arial" w:cs="Arial"/>
          <w:sz w:val="22"/>
          <w:szCs w:val="22"/>
          <w:lang w:val="en-US"/>
        </w:rPr>
        <w:t> 86, 201-213.</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B9149C" w:rsidRPr="00A42D43" w:rsidRDefault="00B9149C"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Mauro, P. (1995): "Corruption and Growth". Quarterly Journal of Economics, CX, 681–712.</w:t>
      </w:r>
    </w:p>
    <w:p w:rsidR="00A00C4F" w:rsidRPr="00A42D43" w:rsidRDefault="00A00C4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s-ES"/>
        </w:rPr>
        <w:t xml:space="preserve">Méndez, Fabio, and Facundo Sepúlveda. </w:t>
      </w:r>
      <w:r w:rsidRPr="00A42D43">
        <w:rPr>
          <w:rFonts w:ascii="Arial" w:hAnsi="Arial" w:cs="Arial"/>
          <w:sz w:val="22"/>
          <w:szCs w:val="22"/>
          <w:lang w:val="en-US"/>
        </w:rPr>
        <w:t>"Corruption, growth and political regimes: cross country evidence." European Journal of Political Economy22.1 (2006): 82-98.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Mishler, W. &amp; Rose, R. (2001): What are the origins of political trust? Testing institutional and cultural theories in post-communist societies. Comparative Political Studies, 34(1), 30–62.</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E35E0" w:rsidRPr="00A42D43" w:rsidRDefault="00EE35E0"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 xml:space="preserve">Mo, Pak Hung. "Corruption and economic growth." Journal of comparative economics 29.1 (2001): 66-79. </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74050A" w:rsidRPr="00A42D43" w:rsidRDefault="0074050A"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Niskanen, William A. "Bureaucrats and politicians." The Journal of Law &amp; Economics 18.3 (1975): 617-643.</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116FC9" w:rsidRPr="00A42D43" w:rsidRDefault="00116FC9"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Oesterle, Sabrina, Monica Kirkpatrick Johnson, and Jeylan T. Mortimer. "Volunteerism during the transition to adulthood: A life course perspective."Social Forces 82.3 (2004): 1123-1149.</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Pharr, S. J. (2000):</w:t>
      </w:r>
      <w:r w:rsidR="002F75F5" w:rsidRPr="00A42D43">
        <w:rPr>
          <w:rFonts w:ascii="Arial" w:hAnsi="Arial" w:cs="Arial"/>
          <w:sz w:val="22"/>
          <w:szCs w:val="22"/>
          <w:lang w:val="en-US"/>
        </w:rPr>
        <w:t xml:space="preserve"> Officials’ misconduct and public distrust: Japan and the trilateral democracies. In S. J. Pharr &amp; R. D. Putnam (Eds.), Disaffected democracies: What’s troubling the trilateral countries? (pp. 174–201). Princeton: Princeton University Press.</w:t>
      </w:r>
    </w:p>
    <w:p w:rsidR="002F75F5"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Perez-Gonzalez, F. (2006):</w:t>
      </w:r>
      <w:r w:rsidR="002F75F5" w:rsidRPr="00A42D43">
        <w:rPr>
          <w:rFonts w:ascii="Arial" w:hAnsi="Arial" w:cs="Arial"/>
          <w:sz w:val="22"/>
          <w:szCs w:val="22"/>
          <w:lang w:val="en-US"/>
        </w:rPr>
        <w:t xml:space="preserve"> Inherited control and firm performance. American Economic Review 96(5): 1559-1588.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Querubin, P. (2013)</w:t>
      </w:r>
      <w:r w:rsidR="00C2489F" w:rsidRPr="00A42D43">
        <w:rPr>
          <w:rFonts w:ascii="Arial" w:hAnsi="Arial" w:cs="Arial"/>
          <w:sz w:val="22"/>
          <w:szCs w:val="22"/>
          <w:lang w:val="en-US"/>
        </w:rPr>
        <w:t>:</w:t>
      </w:r>
      <w:r w:rsidRPr="00A42D43">
        <w:rPr>
          <w:rFonts w:ascii="Arial" w:hAnsi="Arial" w:cs="Arial"/>
          <w:sz w:val="22"/>
          <w:szCs w:val="22"/>
          <w:lang w:val="en-US"/>
        </w:rPr>
        <w:t xml:space="preserve"> Families and politics: Dynastic incumbency advantage in the Philippines. New York University, mimeo.</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Rose-Ackerman, S. (1999):</w:t>
      </w:r>
      <w:r w:rsidR="002F75F5" w:rsidRPr="00A42D43">
        <w:rPr>
          <w:rFonts w:ascii="Arial" w:hAnsi="Arial" w:cs="Arial"/>
          <w:sz w:val="22"/>
          <w:szCs w:val="22"/>
          <w:lang w:val="en-US"/>
        </w:rPr>
        <w:t xml:space="preserve"> Corruption and government: Causes, consequences, and reform. Cambridge: Cambridge University Press.</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Rose-Ackerman, S. (2004):</w:t>
      </w:r>
      <w:r w:rsidR="003E27D7" w:rsidRPr="00A42D43">
        <w:rPr>
          <w:rFonts w:ascii="Arial" w:hAnsi="Arial" w:cs="Arial"/>
          <w:sz w:val="22"/>
          <w:szCs w:val="22"/>
          <w:lang w:val="en-US"/>
        </w:rPr>
        <w:t xml:space="preserve"> </w:t>
      </w:r>
      <w:r w:rsidR="002F75F5" w:rsidRPr="00A42D43">
        <w:rPr>
          <w:rFonts w:ascii="Arial" w:hAnsi="Arial" w:cs="Arial"/>
          <w:sz w:val="22"/>
          <w:szCs w:val="22"/>
          <w:lang w:val="en-US"/>
        </w:rPr>
        <w:t>Corruption. The Encyclopedia of Public Choice in Charles K Rowley and Friedrich Schneider (eds.), Kluwer Academic Publishers, 67-76.</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306FED"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Rossi, M.</w:t>
      </w:r>
      <w:r w:rsidR="003E27D7" w:rsidRPr="00A42D43">
        <w:rPr>
          <w:rFonts w:ascii="Arial" w:hAnsi="Arial" w:cs="Arial"/>
          <w:sz w:val="22"/>
          <w:szCs w:val="22"/>
          <w:lang w:val="en-US"/>
        </w:rPr>
        <w:t xml:space="preserve"> </w:t>
      </w:r>
      <w:r w:rsidRPr="00A42D43">
        <w:rPr>
          <w:rFonts w:ascii="Arial" w:hAnsi="Arial" w:cs="Arial"/>
          <w:sz w:val="22"/>
          <w:szCs w:val="22"/>
          <w:lang w:val="en-US"/>
        </w:rPr>
        <w:t>A. (2015):</w:t>
      </w:r>
      <w:r w:rsidR="00306FED" w:rsidRPr="00A42D43">
        <w:rPr>
          <w:rFonts w:ascii="Arial" w:hAnsi="Arial" w:cs="Arial"/>
          <w:sz w:val="22"/>
          <w:szCs w:val="22"/>
          <w:lang w:val="en-US"/>
        </w:rPr>
        <w:t xml:space="preserve"> Self-perpetuation of political power: Evidence from a natural experiment in Argentina. Universidad de San Andres, mimeo.</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1B4942" w:rsidRPr="00A42D43" w:rsidRDefault="001B4942"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Rothstein, Bo, and Daniel Eek. "Political corruption and social trust an experimental approach." Rationality and Society 21.1 (2009): 81-112.</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DF4F14" w:rsidRPr="00A42D43" w:rsidRDefault="00DF4F14"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Seligson, M. A. (2006): The Measurement and Impact of Corruption Victimization: Survey Evidence from Latin America. World Development Vol. 34, No. 2, pp. 381–404.</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F46B21" w:rsidRPr="00A42D43" w:rsidRDefault="00F46B21"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Shen, Ce, and John B. Williamson. "Corruption, Democracy, Economic Freedom, and State Strength A Cross-national Analysis." International Journal of Comparative Sociology 46.4 (2005): 327-345.</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B65C3" w:rsidRPr="00A42D43" w:rsidRDefault="00AB65C3"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Singer, Marcos, et al. "Does e-procurement save the state money?." Journal of Public procurement 9.1 (2009): 58.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EC26C4" w:rsidRPr="00A42D43" w:rsidRDefault="00EC26C4"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Tanzi, Vito, and Hamid Davoodi. Corruption, public investment, and growth. Springer Japan, 1998.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00C4F" w:rsidRPr="00A42D43" w:rsidRDefault="00A00C4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Tanzi, Vito, and Hamid R. Davoodi. "Corruption, growth, and public finances." (2000): 1-27.</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00C4F" w:rsidRPr="00A42D43" w:rsidRDefault="00294449"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Treisman, Daniel. "The causes of corruption: a cross-national study." Journal of public economics 76.3 (2000): 399-457.</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AD241F" w:rsidRPr="00A42D43" w:rsidRDefault="00C2489F"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 xml:space="preserve">Treisman, D. (2007): </w:t>
      </w:r>
      <w:r w:rsidR="00AD241F" w:rsidRPr="00A42D43">
        <w:rPr>
          <w:rFonts w:ascii="Arial" w:hAnsi="Arial" w:cs="Arial"/>
          <w:sz w:val="22"/>
          <w:szCs w:val="22"/>
          <w:lang w:val="en-US"/>
        </w:rPr>
        <w:t>What have we learned about the causes of corruption from ten years of cro</w:t>
      </w:r>
      <w:r w:rsidRPr="00A42D43">
        <w:rPr>
          <w:rFonts w:ascii="Arial" w:hAnsi="Arial" w:cs="Arial"/>
          <w:sz w:val="22"/>
          <w:szCs w:val="22"/>
          <w:lang w:val="en-US"/>
        </w:rPr>
        <w:t>ss-national empirical research?</w:t>
      </w:r>
      <w:r w:rsidR="003E27D7" w:rsidRPr="00A42D43">
        <w:rPr>
          <w:rFonts w:ascii="Arial" w:hAnsi="Arial" w:cs="Arial"/>
          <w:sz w:val="22"/>
          <w:szCs w:val="22"/>
          <w:lang w:val="en-US"/>
        </w:rPr>
        <w:t xml:space="preserve"> </w:t>
      </w:r>
      <w:r w:rsidR="00AD241F" w:rsidRPr="00DC4B3E">
        <w:rPr>
          <w:rFonts w:ascii="Arial" w:hAnsi="Arial" w:cs="Arial"/>
          <w:iCs/>
          <w:sz w:val="22"/>
          <w:szCs w:val="22"/>
          <w:lang w:val="en-US"/>
        </w:rPr>
        <w:t>Annual Review of Political Science</w:t>
      </w:r>
      <w:r w:rsidR="00AD241F" w:rsidRPr="00DC4B3E">
        <w:rPr>
          <w:rFonts w:ascii="Arial" w:hAnsi="Arial" w:cs="Arial"/>
          <w:sz w:val="22"/>
          <w:szCs w:val="22"/>
          <w:lang w:val="en-US"/>
        </w:rPr>
        <w:t> </w:t>
      </w:r>
      <w:r w:rsidR="00AD241F" w:rsidRPr="00A42D43">
        <w:rPr>
          <w:rFonts w:ascii="Arial" w:hAnsi="Arial" w:cs="Arial"/>
          <w:sz w:val="22"/>
          <w:szCs w:val="22"/>
          <w:lang w:val="en-US"/>
        </w:rPr>
        <w:t>10, 211-244.</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2F75F5" w:rsidRPr="00A42D43" w:rsidRDefault="002F75F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Ul Haque, N</w:t>
      </w:r>
      <w:r w:rsidR="00C2489F" w:rsidRPr="00A42D43">
        <w:rPr>
          <w:rFonts w:ascii="Arial" w:hAnsi="Arial" w:cs="Arial"/>
          <w:sz w:val="22"/>
          <w:szCs w:val="22"/>
          <w:lang w:val="en-US"/>
        </w:rPr>
        <w:t>.</w:t>
      </w:r>
      <w:r w:rsidR="003E27D7" w:rsidRPr="00A42D43">
        <w:rPr>
          <w:rFonts w:ascii="Arial" w:hAnsi="Arial" w:cs="Arial"/>
          <w:sz w:val="22"/>
          <w:szCs w:val="22"/>
          <w:lang w:val="en-US"/>
        </w:rPr>
        <w:t xml:space="preserve"> &amp;</w:t>
      </w:r>
      <w:r w:rsidRPr="00A42D43">
        <w:rPr>
          <w:rFonts w:ascii="Arial" w:hAnsi="Arial" w:cs="Arial"/>
          <w:sz w:val="22"/>
          <w:szCs w:val="22"/>
          <w:lang w:val="en-US"/>
        </w:rPr>
        <w:t xml:space="preserve"> Sahay, R</w:t>
      </w:r>
      <w:r w:rsidR="00C2489F" w:rsidRPr="00A42D43">
        <w:rPr>
          <w:rFonts w:ascii="Arial" w:hAnsi="Arial" w:cs="Arial"/>
          <w:sz w:val="22"/>
          <w:szCs w:val="22"/>
          <w:lang w:val="en-US"/>
        </w:rPr>
        <w:t xml:space="preserve">. (1996): </w:t>
      </w:r>
      <w:r w:rsidRPr="00A42D43">
        <w:rPr>
          <w:rFonts w:ascii="Arial" w:hAnsi="Arial" w:cs="Arial"/>
          <w:sz w:val="22"/>
          <w:szCs w:val="22"/>
          <w:lang w:val="en-US"/>
        </w:rPr>
        <w:t>Do government wage cuts close budge</w:t>
      </w:r>
      <w:r w:rsidR="00C2489F" w:rsidRPr="00A42D43">
        <w:rPr>
          <w:rFonts w:ascii="Arial" w:hAnsi="Arial" w:cs="Arial"/>
          <w:sz w:val="22"/>
          <w:szCs w:val="22"/>
          <w:lang w:val="en-US"/>
        </w:rPr>
        <w:t>t deficits? Costs of corruption</w:t>
      </w:r>
      <w:r w:rsidR="003E27D7" w:rsidRPr="00A42D43">
        <w:rPr>
          <w:rFonts w:ascii="Arial" w:hAnsi="Arial" w:cs="Arial"/>
          <w:sz w:val="22"/>
          <w:szCs w:val="22"/>
          <w:lang w:val="en-US"/>
        </w:rPr>
        <w:t>.</w:t>
      </w:r>
      <w:r w:rsidRPr="00A42D43">
        <w:rPr>
          <w:rFonts w:ascii="Arial" w:hAnsi="Arial" w:cs="Arial"/>
          <w:sz w:val="22"/>
          <w:szCs w:val="22"/>
          <w:lang w:val="en-US"/>
        </w:rPr>
        <w:t xml:space="preserve"> IMF Staff Papers 43, 754-778.</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FD62DA" w:rsidRPr="00A42D43" w:rsidRDefault="00FD62DA"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Van Rijckeghem, C.</w:t>
      </w:r>
      <w:r w:rsidR="00C2489F" w:rsidRPr="00A42D43">
        <w:rPr>
          <w:rFonts w:ascii="Arial" w:hAnsi="Arial" w:cs="Arial"/>
          <w:sz w:val="22"/>
          <w:szCs w:val="22"/>
          <w:lang w:val="en-US"/>
        </w:rPr>
        <w:t>,</w:t>
      </w:r>
      <w:r w:rsidRPr="00A42D43">
        <w:rPr>
          <w:rFonts w:ascii="Arial" w:hAnsi="Arial" w:cs="Arial"/>
          <w:sz w:val="22"/>
          <w:szCs w:val="22"/>
          <w:lang w:val="en-US"/>
        </w:rPr>
        <w:t xml:space="preserve"> &amp; Weder, B. (1997): Corruption and the Rate of Temptation: Do Low Wages in the Civil </w:t>
      </w:r>
      <w:r w:rsidR="003E27D7" w:rsidRPr="00A42D43">
        <w:rPr>
          <w:rFonts w:ascii="Arial" w:hAnsi="Arial" w:cs="Arial"/>
          <w:sz w:val="22"/>
          <w:szCs w:val="22"/>
          <w:lang w:val="en-US"/>
        </w:rPr>
        <w:t xml:space="preserve">Services Cause Corruption? </w:t>
      </w:r>
      <w:r w:rsidRPr="00A42D43">
        <w:rPr>
          <w:rFonts w:ascii="Arial" w:hAnsi="Arial" w:cs="Arial"/>
          <w:sz w:val="22"/>
          <w:szCs w:val="22"/>
          <w:lang w:val="en-US"/>
        </w:rPr>
        <w:t xml:space="preserve">IFM Working Paper. </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FD62DA" w:rsidRPr="00A42D43" w:rsidRDefault="00FD62DA"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lastRenderedPageBreak/>
        <w:t>Van Rijckeghem, C. &amp; Weder, B. (2001): Bureaucratic Corruption and the Rate of Temptation: Do Wages in the Civil Service Affec</w:t>
      </w:r>
      <w:r w:rsidR="003E27D7" w:rsidRPr="00A42D43">
        <w:rPr>
          <w:rFonts w:ascii="Arial" w:hAnsi="Arial" w:cs="Arial"/>
          <w:sz w:val="22"/>
          <w:szCs w:val="22"/>
          <w:lang w:val="en-US"/>
        </w:rPr>
        <w:t xml:space="preserve">t Corruption, and by How Much? </w:t>
      </w:r>
      <w:r w:rsidRPr="00A42D43">
        <w:rPr>
          <w:rFonts w:ascii="Arial" w:hAnsi="Arial" w:cs="Arial"/>
          <w:sz w:val="22"/>
          <w:szCs w:val="22"/>
          <w:lang w:val="en-US"/>
        </w:rPr>
        <w:t>Journal of Development Economics 65, 307–31.</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BC5806" w:rsidRPr="00A42D43" w:rsidRDefault="00BC5806"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Van Rijckeghem, C</w:t>
      </w:r>
      <w:r w:rsidR="00C2489F" w:rsidRPr="00A42D43">
        <w:rPr>
          <w:rFonts w:ascii="Arial" w:hAnsi="Arial" w:cs="Arial"/>
          <w:sz w:val="22"/>
          <w:szCs w:val="22"/>
          <w:lang w:val="en-US"/>
        </w:rPr>
        <w:t>. &amp;</w:t>
      </w:r>
      <w:r w:rsidRPr="00A42D43">
        <w:rPr>
          <w:rFonts w:ascii="Arial" w:hAnsi="Arial" w:cs="Arial"/>
          <w:sz w:val="22"/>
          <w:szCs w:val="22"/>
          <w:lang w:val="en-US"/>
        </w:rPr>
        <w:t xml:space="preserve"> Weder, B</w:t>
      </w:r>
      <w:r w:rsidR="00C2489F" w:rsidRPr="00A42D43">
        <w:rPr>
          <w:rFonts w:ascii="Arial" w:hAnsi="Arial" w:cs="Arial"/>
          <w:sz w:val="22"/>
          <w:szCs w:val="22"/>
          <w:lang w:val="en-US"/>
        </w:rPr>
        <w:t>. (2001):</w:t>
      </w:r>
      <w:r w:rsidR="008A3BDE" w:rsidRPr="00A42D43">
        <w:rPr>
          <w:rFonts w:ascii="Arial" w:hAnsi="Arial" w:cs="Arial"/>
          <w:sz w:val="22"/>
          <w:szCs w:val="22"/>
          <w:lang w:val="en-US"/>
        </w:rPr>
        <w:t xml:space="preserve"> </w:t>
      </w:r>
      <w:r w:rsidRPr="00A42D43">
        <w:rPr>
          <w:rFonts w:ascii="Arial" w:hAnsi="Arial" w:cs="Arial"/>
          <w:sz w:val="22"/>
          <w:szCs w:val="22"/>
          <w:lang w:val="en-US"/>
        </w:rPr>
        <w:t>Bureaucratic corruption and the rate of temptation: Do wages in the civil service affe</w:t>
      </w:r>
      <w:r w:rsidR="008A3BDE" w:rsidRPr="00A42D43">
        <w:rPr>
          <w:rFonts w:ascii="Arial" w:hAnsi="Arial" w:cs="Arial"/>
          <w:sz w:val="22"/>
          <w:szCs w:val="22"/>
          <w:lang w:val="en-US"/>
        </w:rPr>
        <w:t>ct corruption, and by how much?</w:t>
      </w:r>
      <w:r w:rsidR="003E27D7" w:rsidRPr="00A42D43">
        <w:rPr>
          <w:rFonts w:ascii="Arial" w:hAnsi="Arial" w:cs="Arial"/>
          <w:sz w:val="22"/>
          <w:szCs w:val="22"/>
          <w:lang w:val="en-US"/>
        </w:rPr>
        <w:t xml:space="preserve"> </w:t>
      </w:r>
      <w:r w:rsidRPr="00DC4B3E">
        <w:rPr>
          <w:rFonts w:ascii="Arial" w:hAnsi="Arial" w:cs="Arial"/>
          <w:iCs/>
          <w:sz w:val="22"/>
          <w:szCs w:val="22"/>
          <w:lang w:val="en-US"/>
        </w:rPr>
        <w:t>Journal of Development Economics</w:t>
      </w:r>
      <w:r w:rsidR="003E3D4D" w:rsidRPr="00DC4B3E">
        <w:rPr>
          <w:rFonts w:ascii="Arial" w:hAnsi="Arial" w:cs="Arial"/>
          <w:iCs/>
          <w:sz w:val="22"/>
          <w:szCs w:val="22"/>
          <w:lang w:val="en-US"/>
        </w:rPr>
        <w:t xml:space="preserve"> </w:t>
      </w:r>
      <w:r w:rsidRPr="00A42D43">
        <w:rPr>
          <w:rFonts w:ascii="Arial" w:hAnsi="Arial" w:cs="Arial"/>
          <w:sz w:val="22"/>
          <w:szCs w:val="22"/>
          <w:lang w:val="en-US"/>
        </w:rPr>
        <w:t>65, 307-331.</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DF2C15" w:rsidRPr="00A42D43" w:rsidRDefault="00DF2C15"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Villalonga, B. and Amit, R. (2006). How do family ownership, control and management affect firm value? Journal of Financial Economics, 80 (2), 385-417.</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D85480" w:rsidRPr="00A42D43" w:rsidRDefault="00D85480"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Wei, S-J. (2000): How Taxing is Corrupti</w:t>
      </w:r>
      <w:r w:rsidR="003E27D7" w:rsidRPr="00A42D43">
        <w:rPr>
          <w:rFonts w:ascii="Arial" w:hAnsi="Arial" w:cs="Arial"/>
          <w:sz w:val="22"/>
          <w:szCs w:val="22"/>
          <w:lang w:val="en-US"/>
        </w:rPr>
        <w:t xml:space="preserve">on on International Investors? </w:t>
      </w:r>
      <w:r w:rsidRPr="00A42D43">
        <w:rPr>
          <w:rFonts w:ascii="Arial" w:hAnsi="Arial" w:cs="Arial"/>
          <w:sz w:val="22"/>
          <w:szCs w:val="22"/>
          <w:lang w:val="en-US"/>
        </w:rPr>
        <w:t>Review of Economics and Statistics, February 2000, 82(1): 1-11.</w:t>
      </w:r>
    </w:p>
    <w:p w:rsidR="00DC4B3E" w:rsidRDefault="00DC4B3E"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p>
    <w:p w:rsidR="00394DA0" w:rsidRPr="00A42D43" w:rsidRDefault="00394DA0" w:rsidP="008D6464">
      <w:pPr>
        <w:pStyle w:val="NormalWeb"/>
        <w:shd w:val="clear" w:color="auto" w:fill="FFFFFF"/>
        <w:spacing w:before="0" w:beforeAutospacing="0" w:after="0" w:afterAutospacing="0"/>
        <w:jc w:val="both"/>
        <w:textAlignment w:val="baseline"/>
        <w:rPr>
          <w:rFonts w:ascii="Arial" w:hAnsi="Arial" w:cs="Arial"/>
          <w:sz w:val="22"/>
          <w:szCs w:val="22"/>
          <w:lang w:val="en-US"/>
        </w:rPr>
      </w:pPr>
      <w:r w:rsidRPr="00A42D43">
        <w:rPr>
          <w:rFonts w:ascii="Arial" w:hAnsi="Arial" w:cs="Arial"/>
          <w:sz w:val="22"/>
          <w:szCs w:val="22"/>
          <w:lang w:val="en-US"/>
        </w:rPr>
        <w:t>Zak, P. J., and S. Knack. "Trust and Growth (IRIS, University of Maryland, mimeo)." (1998).</w:t>
      </w:r>
    </w:p>
    <w:sectPr w:rsidR="00394DA0" w:rsidRPr="00A42D43" w:rsidSect="00747854">
      <w:headerReference w:type="default" r:id="rId24"/>
      <w:footerReference w:type="default" r:id="rId25"/>
      <w:pgSz w:w="12240" w:h="15840" w:code="1"/>
      <w:pgMar w:top="1418" w:right="1701" w:bottom="135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6A" w:rsidRDefault="0018356A" w:rsidP="00634E37">
      <w:pPr>
        <w:spacing w:line="240" w:lineRule="auto"/>
      </w:pPr>
      <w:r>
        <w:separator/>
      </w:r>
    </w:p>
  </w:endnote>
  <w:endnote w:type="continuationSeparator" w:id="0">
    <w:p w:rsidR="0018356A" w:rsidRDefault="0018356A" w:rsidP="0063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dra Web Pro Light">
    <w:altName w:val="Tundra Web Pro Light"/>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1D" w:rsidRPr="00154FEE" w:rsidRDefault="00C7401D">
    <w:pPr>
      <w:pStyle w:val="Footer"/>
      <w:jc w:val="right"/>
      <w:rPr>
        <w:rFonts w:ascii="Arial" w:hAnsi="Arial" w:cs="Arial"/>
      </w:rPr>
    </w:pPr>
    <w:r w:rsidRPr="00154FEE">
      <w:rPr>
        <w:rFonts w:ascii="Arial" w:hAnsi="Arial" w:cs="Arial"/>
      </w:rPr>
      <w:fldChar w:fldCharType="begin"/>
    </w:r>
    <w:r w:rsidRPr="00154FEE">
      <w:rPr>
        <w:rFonts w:ascii="Arial" w:hAnsi="Arial" w:cs="Arial"/>
      </w:rPr>
      <w:instrText xml:space="preserve"> PAGE   \* MERGEFORMAT </w:instrText>
    </w:r>
    <w:r w:rsidRPr="00154FEE">
      <w:rPr>
        <w:rFonts w:ascii="Arial" w:hAnsi="Arial" w:cs="Arial"/>
      </w:rPr>
      <w:fldChar w:fldCharType="separate"/>
    </w:r>
    <w:r w:rsidR="005D431F">
      <w:rPr>
        <w:rFonts w:ascii="Arial" w:hAnsi="Arial" w:cs="Arial"/>
        <w:noProof/>
      </w:rPr>
      <w:t>33</w:t>
    </w:r>
    <w:r w:rsidRPr="00154FEE">
      <w:rPr>
        <w:rFonts w:ascii="Arial" w:hAnsi="Arial" w:cs="Arial"/>
        <w:noProof/>
      </w:rPr>
      <w:fldChar w:fldCharType="end"/>
    </w:r>
  </w:p>
  <w:p w:rsidR="00C7401D" w:rsidRDefault="00C7401D" w:rsidP="00E83C3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6A" w:rsidRDefault="0018356A" w:rsidP="00C13841">
      <w:pPr>
        <w:spacing w:line="240" w:lineRule="auto"/>
        <w:jc w:val="both"/>
      </w:pPr>
    </w:p>
  </w:footnote>
  <w:footnote w:type="continuationSeparator" w:id="0">
    <w:p w:rsidR="0018356A" w:rsidRDefault="0018356A" w:rsidP="00D17790">
      <w:pPr>
        <w:spacing w:line="240" w:lineRule="auto"/>
        <w:jc w:val="both"/>
      </w:pPr>
    </w:p>
  </w:footnote>
  <w:footnote w:id="1">
    <w:p w:rsidR="00C7401D" w:rsidRPr="00001476" w:rsidRDefault="00C7401D" w:rsidP="0059555A">
      <w:pPr>
        <w:pStyle w:val="FootnoteText"/>
        <w:ind w:left="360" w:hanging="360"/>
        <w:jc w:val="both"/>
        <w:rPr>
          <w:rFonts w:ascii="Arial" w:hAnsi="Arial" w:cs="Arial"/>
          <w:sz w:val="18"/>
          <w:lang w:val="es-ES"/>
        </w:rPr>
      </w:pPr>
      <w:r w:rsidRPr="00001476">
        <w:rPr>
          <w:rStyle w:val="FootnoteReference"/>
          <w:rFonts w:ascii="Arial" w:hAnsi="Arial" w:cs="Arial"/>
          <w:sz w:val="18"/>
        </w:rPr>
        <w:footnoteRef/>
      </w:r>
      <w:r w:rsidRPr="00001476">
        <w:rPr>
          <w:rFonts w:ascii="Arial" w:hAnsi="Arial" w:cs="Arial"/>
          <w:sz w:val="18"/>
          <w:lang w:val="es-ES"/>
        </w:rPr>
        <w:t xml:space="preserve"> </w:t>
      </w:r>
      <w:r w:rsidR="00001476">
        <w:rPr>
          <w:rFonts w:ascii="Arial" w:hAnsi="Arial" w:cs="Arial"/>
          <w:sz w:val="18"/>
          <w:lang w:val="es-ES"/>
        </w:rPr>
        <w:tab/>
      </w:r>
      <w:r w:rsidRPr="00001476">
        <w:rPr>
          <w:rFonts w:ascii="Arial" w:hAnsi="Arial" w:cs="Arial"/>
          <w:sz w:val="18"/>
          <w:lang w:val="es-ES"/>
        </w:rPr>
        <w:t>El estudio original del Programa fue elaborado por el consultor Martin Rossi, como parte de los Enlaces Opcionales del programático I de éste. El presente estudio fue elaborado por Benjamin Roseth (IFD/ICS)</w:t>
      </w:r>
      <w:r w:rsidR="00244F6D" w:rsidRPr="00001476">
        <w:rPr>
          <w:rFonts w:ascii="Arial" w:hAnsi="Arial" w:cs="Arial"/>
          <w:sz w:val="18"/>
          <w:lang w:val="es-ES"/>
        </w:rPr>
        <w:t xml:space="preserve"> con el apoyo de Evelyn Molina (IFD/ICS)</w:t>
      </w:r>
      <w:r w:rsidRPr="00001476">
        <w:rPr>
          <w:rFonts w:ascii="Arial" w:hAnsi="Arial" w:cs="Arial"/>
          <w:sz w:val="18"/>
          <w:lang w:val="es-ES"/>
        </w:rPr>
        <w:t>, teniendo como base el estudio original del Programa, para ser parte de los Enlaces Opcionales del programático II del Programa. El mismo cuenta con los comentarios del resto del equipo de proyecto</w:t>
      </w:r>
      <w:r w:rsidR="00066713" w:rsidRPr="00001476">
        <w:rPr>
          <w:rFonts w:ascii="Arial" w:hAnsi="Arial" w:cs="Arial"/>
          <w:sz w:val="18"/>
          <w:lang w:val="es-ES"/>
        </w:rPr>
        <w:t>.</w:t>
      </w:r>
    </w:p>
  </w:footnote>
  <w:footnote w:id="2">
    <w:p w:rsidR="0059555A" w:rsidRPr="005D431F" w:rsidRDefault="0059555A" w:rsidP="005D431F">
      <w:pPr>
        <w:pStyle w:val="FootnoteText"/>
        <w:jc w:val="both"/>
        <w:rPr>
          <w:lang w:val="es-ES_tradnl"/>
        </w:rPr>
      </w:pPr>
      <w:r>
        <w:rPr>
          <w:rStyle w:val="FootnoteReference"/>
        </w:rPr>
        <w:footnoteRef/>
      </w:r>
      <w:r>
        <w:t xml:space="preserve"> </w:t>
      </w:r>
      <w:r w:rsidRPr="00032569">
        <w:rPr>
          <w:rFonts w:ascii="Arial" w:hAnsi="Arial" w:cs="Arial"/>
          <w:sz w:val="18"/>
          <w:szCs w:val="18"/>
          <w:lang w:val="es-ES_tradnl"/>
        </w:rPr>
        <w:t>De conformidad con la Ley 19.799 “</w:t>
      </w:r>
      <w:hyperlink r:id="rId1" w:history="1">
        <w:r w:rsidRPr="00032569">
          <w:rPr>
            <w:rStyle w:val="Hyperlink"/>
            <w:rFonts w:ascii="Arial" w:hAnsi="Arial" w:cs="Arial"/>
            <w:sz w:val="18"/>
            <w:szCs w:val="18"/>
            <w:lang w:val="es-ES_tradnl"/>
          </w:rPr>
          <w:t>Ley sobre documentos electrónicos, firma electrónica y servicios de certificación de dicha firma</w:t>
        </w:r>
      </w:hyperlink>
      <w:r w:rsidRPr="00032569">
        <w:rPr>
          <w:rFonts w:ascii="Arial" w:hAnsi="Arial" w:cs="Arial"/>
          <w:sz w:val="18"/>
          <w:szCs w:val="18"/>
          <w:lang w:val="es-ES_tradnl"/>
        </w:rPr>
        <w:t>”.</w:t>
      </w:r>
    </w:p>
  </w:footnote>
  <w:footnote w:id="3">
    <w:p w:rsidR="00C7401D" w:rsidRPr="004E59A4" w:rsidRDefault="00C7401D" w:rsidP="005D431F">
      <w:pPr>
        <w:pStyle w:val="FootnoteText"/>
        <w:ind w:left="360" w:hanging="360"/>
        <w:jc w:val="both"/>
        <w:rPr>
          <w:rFonts w:ascii="Arial" w:hAnsi="Arial" w:cs="Arial"/>
          <w:sz w:val="18"/>
          <w:lang w:val="es-ES"/>
        </w:rPr>
      </w:pPr>
      <w:r w:rsidRPr="004E59A4">
        <w:rPr>
          <w:rStyle w:val="FootnoteReference"/>
          <w:rFonts w:ascii="Arial" w:hAnsi="Arial" w:cs="Arial"/>
          <w:sz w:val="18"/>
        </w:rPr>
        <w:footnoteRef/>
      </w:r>
      <w:r w:rsidRPr="004E59A4">
        <w:rPr>
          <w:rFonts w:ascii="Arial" w:hAnsi="Arial" w:cs="Arial"/>
          <w:sz w:val="18"/>
          <w:lang w:val="es-ES"/>
        </w:rPr>
        <w:t xml:space="preserve">  </w:t>
      </w:r>
      <w:r w:rsidR="004E59A4">
        <w:rPr>
          <w:rFonts w:ascii="Arial" w:hAnsi="Arial" w:cs="Arial"/>
          <w:sz w:val="18"/>
          <w:lang w:val="es-ES"/>
        </w:rPr>
        <w:tab/>
      </w:r>
      <w:r w:rsidRPr="004E59A4">
        <w:rPr>
          <w:rFonts w:ascii="Arial" w:hAnsi="Arial" w:cs="Arial"/>
          <w:i/>
          <w:sz w:val="18"/>
          <w:lang w:val="es-ES"/>
        </w:rPr>
        <w:t>Corruption Perecption Index Report 2015</w:t>
      </w:r>
      <w:r w:rsidRPr="004E59A4">
        <w:rPr>
          <w:rFonts w:ascii="Arial" w:hAnsi="Arial" w:cs="Arial"/>
          <w:sz w:val="18"/>
          <w:lang w:val="es-ES"/>
        </w:rPr>
        <w:t>,</w:t>
      </w:r>
      <w:r w:rsidRPr="004E59A4">
        <w:rPr>
          <w:rFonts w:ascii="Arial" w:hAnsi="Arial" w:cs="Arial"/>
          <w:sz w:val="18"/>
          <w:szCs w:val="24"/>
          <w:shd w:val="clear" w:color="auto" w:fill="FFFFFF"/>
          <w:lang w:val="es-ES"/>
        </w:rPr>
        <w:t xml:space="preserve"> </w:t>
      </w:r>
      <w:r w:rsidRPr="004E59A4">
        <w:rPr>
          <w:rFonts w:ascii="Arial" w:hAnsi="Arial" w:cs="Arial"/>
          <w:i/>
          <w:sz w:val="18"/>
          <w:szCs w:val="24"/>
          <w:shd w:val="clear" w:color="auto" w:fill="FFFFFF"/>
          <w:lang w:val="es-ES"/>
        </w:rPr>
        <w:t xml:space="preserve">Transparency International </w:t>
      </w:r>
      <w:r w:rsidRPr="004E59A4">
        <w:rPr>
          <w:rFonts w:ascii="Arial" w:hAnsi="Arial" w:cs="Arial"/>
          <w:i/>
          <w:sz w:val="18"/>
          <w:lang w:val="es-ES"/>
        </w:rPr>
        <w:t>(TI)</w:t>
      </w:r>
      <w:r w:rsidRPr="004E59A4">
        <w:rPr>
          <w:rFonts w:ascii="Arial" w:hAnsi="Arial" w:cs="Arial"/>
          <w:sz w:val="18"/>
          <w:lang w:val="es-ES"/>
        </w:rPr>
        <w:t>. La escala de puntaje del IPC es de</w:t>
      </w:r>
      <w:r w:rsidRPr="004E59A4">
        <w:rPr>
          <w:rFonts w:ascii="Arial" w:hAnsi="Arial" w:cs="Arial"/>
          <w:sz w:val="18"/>
          <w:lang w:val="es-ES_tradnl"/>
        </w:rPr>
        <w:t xml:space="preserve"> 0 a 100, 0 = muy corrupto y 100= muy limpio.</w:t>
      </w:r>
    </w:p>
  </w:footnote>
  <w:footnote w:id="4">
    <w:p w:rsidR="004E59A4" w:rsidRDefault="00C7401D" w:rsidP="005D431F">
      <w:pPr>
        <w:pStyle w:val="FootnoteText"/>
        <w:ind w:left="360" w:hanging="360"/>
        <w:jc w:val="both"/>
        <w:rPr>
          <w:rFonts w:ascii="Arial" w:hAnsi="Arial" w:cs="Arial"/>
          <w:sz w:val="18"/>
        </w:rPr>
      </w:pPr>
      <w:r w:rsidRPr="004E59A4">
        <w:rPr>
          <w:rStyle w:val="FootnoteReference"/>
          <w:rFonts w:ascii="Arial" w:hAnsi="Arial" w:cs="Arial"/>
          <w:sz w:val="18"/>
        </w:rPr>
        <w:footnoteRef/>
      </w:r>
      <w:r w:rsidR="004E59A4">
        <w:rPr>
          <w:rFonts w:ascii="Arial" w:hAnsi="Arial" w:cs="Arial"/>
          <w:sz w:val="18"/>
        </w:rPr>
        <w:t xml:space="preserve"> </w:t>
      </w:r>
      <w:r w:rsidR="004E59A4">
        <w:rPr>
          <w:rFonts w:ascii="Arial" w:hAnsi="Arial" w:cs="Arial"/>
          <w:sz w:val="18"/>
        </w:rPr>
        <w:tab/>
      </w:r>
      <w:r w:rsidRPr="004E59A4">
        <w:rPr>
          <w:rStyle w:val="FootnoteReference"/>
          <w:rFonts w:ascii="Arial" w:hAnsi="Arial" w:cs="Arial"/>
          <w:sz w:val="18"/>
          <w:vertAlign w:val="baseline"/>
        </w:rPr>
        <w:t>Índice</w:t>
      </w:r>
      <w:r w:rsidRPr="004E59A4">
        <w:rPr>
          <w:rFonts w:ascii="Arial" w:hAnsi="Arial" w:cs="Arial"/>
          <w:sz w:val="18"/>
        </w:rPr>
        <w:t xml:space="preserve"> Mundial </w:t>
      </w:r>
      <w:r w:rsidRPr="004E59A4">
        <w:rPr>
          <w:rStyle w:val="FootnoteReference"/>
          <w:rFonts w:ascii="Arial" w:hAnsi="Arial" w:cs="Arial"/>
          <w:sz w:val="18"/>
          <w:vertAlign w:val="baseline"/>
        </w:rPr>
        <w:t>de Gobernabilidad del Banco Mundial.</w:t>
      </w:r>
    </w:p>
    <w:p w:rsidR="00C7401D" w:rsidRPr="004E59A4" w:rsidRDefault="00CF29EC" w:rsidP="005D431F">
      <w:pPr>
        <w:pStyle w:val="FootnoteText"/>
        <w:ind w:left="360"/>
        <w:jc w:val="both"/>
        <w:rPr>
          <w:rStyle w:val="FootnoteReference"/>
          <w:rFonts w:ascii="Arial" w:hAnsi="Arial" w:cs="Arial"/>
          <w:sz w:val="18"/>
          <w:vertAlign w:val="baseline"/>
        </w:rPr>
      </w:pPr>
      <w:r w:rsidRPr="004E59A4">
        <w:rPr>
          <w:rFonts w:ascii="Arial" w:hAnsi="Arial" w:cs="Arial"/>
          <w:sz w:val="18"/>
        </w:rPr>
        <w:t xml:space="preserve">Ver: </w:t>
      </w:r>
      <w:hyperlink r:id="rId2" w:anchor="home" w:history="1">
        <w:r w:rsidRPr="004E59A4">
          <w:rPr>
            <w:rStyle w:val="Hyperlink"/>
            <w:rFonts w:ascii="Arial" w:hAnsi="Arial" w:cs="Arial"/>
            <w:sz w:val="18"/>
          </w:rPr>
          <w:t>http://info.worldbank.org/governance/wgi/index.aspx#home</w:t>
        </w:r>
      </w:hyperlink>
      <w:r w:rsidRPr="004E59A4">
        <w:rPr>
          <w:rFonts w:ascii="Arial" w:hAnsi="Arial" w:cs="Arial"/>
          <w:sz w:val="18"/>
        </w:rPr>
        <w:t xml:space="preserve">. </w:t>
      </w:r>
      <w:r w:rsidR="00C7401D" w:rsidRPr="004E59A4">
        <w:rPr>
          <w:rFonts w:ascii="Arial" w:hAnsi="Arial" w:cs="Arial"/>
          <w:sz w:val="18"/>
        </w:rPr>
        <w:t>La escala del Índice de Control de la Corrupción, de Efectividad Gubernamental, y de Libertad y Compromiso de sus Ciudadanos (“</w:t>
      </w:r>
      <w:r w:rsidR="00C7401D" w:rsidRPr="004E59A4">
        <w:rPr>
          <w:rFonts w:ascii="Arial" w:hAnsi="Arial" w:cs="Arial"/>
          <w:i/>
          <w:sz w:val="18"/>
        </w:rPr>
        <w:t>Voice and Accountability</w:t>
      </w:r>
      <w:r w:rsidR="00C7401D" w:rsidRPr="004E59A4">
        <w:rPr>
          <w:rFonts w:ascii="Arial" w:hAnsi="Arial" w:cs="Arial"/>
          <w:sz w:val="18"/>
        </w:rPr>
        <w:t xml:space="preserve">”), que se citan en este documento, es de -2.5 (débil) a 2.5 (fuerte). </w:t>
      </w:r>
      <w:r w:rsidR="00DA117B" w:rsidRPr="004E59A4">
        <w:rPr>
          <w:rFonts w:ascii="Arial" w:hAnsi="Arial" w:cs="Arial"/>
          <w:sz w:val="18"/>
        </w:rPr>
        <w:t>El promedio de ALC incluye los siguientes países</w:t>
      </w:r>
      <w:r w:rsidR="00DA117B" w:rsidRPr="004E59A4">
        <w:rPr>
          <w:rStyle w:val="FootnoteReference"/>
          <w:rFonts w:ascii="Arial" w:hAnsi="Arial" w:cs="Arial"/>
          <w:sz w:val="18"/>
          <w:vertAlign w:val="baseline"/>
        </w:rPr>
        <w:t xml:space="preserve"> miembros </w:t>
      </w:r>
      <w:r w:rsidR="00DA117B" w:rsidRPr="004E59A4">
        <w:rPr>
          <w:rFonts w:ascii="Arial" w:hAnsi="Arial" w:cs="Arial"/>
          <w:sz w:val="18"/>
        </w:rPr>
        <w:t xml:space="preserve">prestatarios </w:t>
      </w:r>
      <w:r w:rsidR="00DA117B" w:rsidRPr="004E59A4">
        <w:rPr>
          <w:rStyle w:val="FootnoteReference"/>
          <w:rFonts w:ascii="Arial" w:hAnsi="Arial" w:cs="Arial"/>
          <w:sz w:val="18"/>
          <w:vertAlign w:val="baseline"/>
        </w:rPr>
        <w:t>del BID</w:t>
      </w:r>
      <w:r w:rsidR="00DA117B" w:rsidRPr="004E59A4">
        <w:rPr>
          <w:rFonts w:ascii="Arial" w:hAnsi="Arial" w:cs="Arial"/>
          <w:sz w:val="18"/>
        </w:rPr>
        <w:t xml:space="preserve">: </w:t>
      </w:r>
      <w:r w:rsidR="00DA117B" w:rsidRPr="004E59A4">
        <w:rPr>
          <w:rStyle w:val="FootnoteReference"/>
          <w:rFonts w:ascii="Arial" w:hAnsi="Arial" w:cs="Arial"/>
          <w:sz w:val="18"/>
          <w:vertAlign w:val="baseline"/>
        </w:rPr>
        <w:t>Brasil, Chile, Uruguay, Argentina, Paraguay; - Costa Rica, El Salvador, Honduras, República Dominicana, México, Nicaragua, Panamá, Belice, Guatemala, Ecuador, Perú, Colombia, Bolivia, Venezuela; Bahamas, Guyana, Barbados, Surinam, Jamaica, Trinidad &amp; Tobago y Haití.</w:t>
      </w:r>
      <w:r w:rsidR="00C7401D" w:rsidRPr="004E59A4">
        <w:rPr>
          <w:rFonts w:ascii="Arial" w:hAnsi="Arial" w:cs="Arial"/>
          <w:sz w:val="18"/>
        </w:rPr>
        <w:t xml:space="preserve"> </w:t>
      </w:r>
      <w:r w:rsidR="00DA117B" w:rsidRPr="004E59A4">
        <w:rPr>
          <w:rFonts w:ascii="Arial" w:hAnsi="Arial" w:cs="Arial"/>
          <w:sz w:val="18"/>
        </w:rPr>
        <w:t xml:space="preserve">El promedio de los países miembros de la </w:t>
      </w:r>
      <w:r w:rsidR="00DA117B" w:rsidRPr="004E59A4">
        <w:rPr>
          <w:rStyle w:val="FootnoteReference"/>
          <w:rFonts w:ascii="Arial" w:hAnsi="Arial" w:cs="Arial"/>
          <w:sz w:val="18"/>
          <w:vertAlign w:val="baseline"/>
        </w:rPr>
        <w:t>OCDE incluye los siguientes 34 países</w:t>
      </w:r>
      <w:r w:rsidR="00DA117B" w:rsidRPr="004E59A4">
        <w:rPr>
          <w:rFonts w:ascii="Arial" w:hAnsi="Arial" w:cs="Arial"/>
          <w:sz w:val="18"/>
        </w:rPr>
        <w:t xml:space="preserve">: </w:t>
      </w:r>
      <w:r w:rsidR="00DA117B" w:rsidRPr="004E59A4">
        <w:rPr>
          <w:rStyle w:val="FootnoteReference"/>
          <w:rFonts w:ascii="Arial" w:hAnsi="Arial" w:cs="Arial"/>
          <w:sz w:val="18"/>
          <w:vertAlign w:val="baseline"/>
        </w:rPr>
        <w:t>Alemania, Australia, Austria, Bélgica, Canadá, Chile, Corea, Dinamarca, España, Estados Unidos, Eslovenia, Estonia, Finlandia, Francia, Grecia, Hungría, Irlanda, Islandia, Israel, Italia, Japón, Luxemburgo, México, Noruega, Nueva Zelanda, Países Bajos, Polonia, Portugal, Reino Unido, República Checa, Suecia, Suiza, Turquía.</w:t>
      </w:r>
    </w:p>
  </w:footnote>
  <w:footnote w:id="5">
    <w:p w:rsidR="00276D69" w:rsidRPr="004E59A4" w:rsidRDefault="00276D69" w:rsidP="005D431F">
      <w:pPr>
        <w:pStyle w:val="FootnoteText"/>
        <w:ind w:left="360" w:hanging="360"/>
        <w:jc w:val="both"/>
        <w:rPr>
          <w:rStyle w:val="FootnoteReference"/>
          <w:rFonts w:ascii="Arial" w:hAnsi="Arial" w:cs="Arial"/>
          <w:sz w:val="18"/>
          <w:vertAlign w:val="baseline"/>
        </w:rPr>
      </w:pPr>
      <w:r w:rsidRPr="004E59A4">
        <w:rPr>
          <w:rStyle w:val="FootnoteReference"/>
          <w:rFonts w:ascii="Arial" w:hAnsi="Arial" w:cs="Arial"/>
          <w:sz w:val="18"/>
        </w:rPr>
        <w:footnoteRef/>
      </w:r>
      <w:r w:rsidRPr="004E59A4">
        <w:rPr>
          <w:rStyle w:val="FootnoteReference"/>
          <w:rFonts w:ascii="Arial" w:hAnsi="Arial" w:cs="Arial"/>
          <w:sz w:val="18"/>
        </w:rPr>
        <w:t xml:space="preserve"> </w:t>
      </w:r>
      <w:r w:rsidR="004E59A4">
        <w:rPr>
          <w:rStyle w:val="FootnoteReference"/>
          <w:rFonts w:ascii="Arial" w:hAnsi="Arial" w:cs="Arial"/>
          <w:sz w:val="18"/>
        </w:rPr>
        <w:tab/>
      </w:r>
      <w:r w:rsidRPr="004E59A4">
        <w:rPr>
          <w:rStyle w:val="FootnoteReference"/>
          <w:rFonts w:ascii="Arial" w:hAnsi="Arial" w:cs="Arial"/>
          <w:sz w:val="18"/>
          <w:vertAlign w:val="baseline"/>
        </w:rPr>
        <w:t>Ídem</w:t>
      </w:r>
      <w:r w:rsidR="004E59A4">
        <w:rPr>
          <w:rStyle w:val="FootnoteReference"/>
          <w:rFonts w:ascii="Arial" w:hAnsi="Arial" w:cs="Arial"/>
          <w:sz w:val="18"/>
          <w:vertAlign w:val="baseline"/>
        </w:rPr>
        <w:t>.</w:t>
      </w:r>
    </w:p>
  </w:footnote>
  <w:footnote w:id="6">
    <w:p w:rsidR="00D33004" w:rsidRPr="004E59A4" w:rsidRDefault="00D33004" w:rsidP="005D431F">
      <w:pPr>
        <w:pStyle w:val="FootnoteText"/>
        <w:ind w:left="360" w:hanging="360"/>
        <w:jc w:val="both"/>
        <w:rPr>
          <w:rFonts w:ascii="Arial" w:hAnsi="Arial" w:cs="Arial"/>
          <w:sz w:val="18"/>
        </w:rPr>
      </w:pPr>
      <w:r w:rsidRPr="004E59A4">
        <w:rPr>
          <w:rStyle w:val="FootnoteReference"/>
          <w:rFonts w:ascii="Arial" w:hAnsi="Arial" w:cs="Arial"/>
          <w:sz w:val="18"/>
        </w:rPr>
        <w:footnoteRef/>
      </w:r>
      <w:r w:rsidRPr="004E59A4">
        <w:rPr>
          <w:rFonts w:ascii="Arial" w:hAnsi="Arial" w:cs="Arial"/>
          <w:sz w:val="18"/>
        </w:rPr>
        <w:t xml:space="preserve"> </w:t>
      </w:r>
      <w:r w:rsidR="004E59A4">
        <w:rPr>
          <w:rFonts w:ascii="Arial" w:hAnsi="Arial" w:cs="Arial"/>
          <w:sz w:val="18"/>
        </w:rPr>
        <w:tab/>
      </w:r>
      <w:r w:rsidRPr="004E59A4">
        <w:rPr>
          <w:rFonts w:ascii="Arial" w:hAnsi="Arial" w:cs="Arial"/>
          <w:sz w:val="18"/>
        </w:rPr>
        <w:t>http://reports.weforum.org/global-competitiveness-report-2015-2016/</w:t>
      </w:r>
    </w:p>
  </w:footnote>
  <w:footnote w:id="7">
    <w:p w:rsidR="00282E1C" w:rsidRPr="004E59A4" w:rsidRDefault="00282E1C" w:rsidP="005D431F">
      <w:pPr>
        <w:pStyle w:val="FootnoteText"/>
        <w:ind w:left="360" w:hanging="360"/>
        <w:jc w:val="both"/>
        <w:rPr>
          <w:rFonts w:ascii="Arial" w:hAnsi="Arial" w:cs="Arial"/>
          <w:sz w:val="18"/>
        </w:rPr>
      </w:pPr>
      <w:r w:rsidRPr="004E59A4">
        <w:rPr>
          <w:rStyle w:val="FootnoteReference"/>
          <w:rFonts w:ascii="Arial" w:hAnsi="Arial" w:cs="Arial"/>
          <w:sz w:val="18"/>
        </w:rPr>
        <w:footnoteRef/>
      </w:r>
      <w:r w:rsidRPr="004E59A4">
        <w:rPr>
          <w:rFonts w:ascii="Arial" w:hAnsi="Arial" w:cs="Arial"/>
          <w:sz w:val="18"/>
        </w:rPr>
        <w:t xml:space="preserve">   </w:t>
      </w:r>
      <w:r w:rsidR="004E59A4">
        <w:rPr>
          <w:rFonts w:ascii="Arial" w:hAnsi="Arial" w:cs="Arial"/>
          <w:sz w:val="18"/>
        </w:rPr>
        <w:tab/>
      </w:r>
      <w:r w:rsidRPr="004E59A4">
        <w:rPr>
          <w:rFonts w:ascii="Arial" w:hAnsi="Arial" w:cs="Arial"/>
          <w:sz w:val="18"/>
        </w:rPr>
        <w:t>Estos indicadores se pondera e</w:t>
      </w:r>
      <w:r w:rsidRPr="004E59A4">
        <w:rPr>
          <w:rFonts w:ascii="Arial" w:hAnsi="Arial" w:cs="Arial"/>
          <w:sz w:val="18"/>
          <w:lang w:val="es-ES"/>
        </w:rPr>
        <w:t>n escala de 1 a 7, siendo 7 el mejor.</w:t>
      </w:r>
    </w:p>
  </w:footnote>
  <w:footnote w:id="8">
    <w:p w:rsidR="008A22BA" w:rsidRPr="004E59A4" w:rsidRDefault="008A22BA" w:rsidP="005D431F">
      <w:pPr>
        <w:pStyle w:val="FootnoteText"/>
        <w:tabs>
          <w:tab w:val="left" w:pos="180"/>
          <w:tab w:val="left" w:pos="270"/>
          <w:tab w:val="left" w:pos="540"/>
        </w:tabs>
        <w:ind w:left="360" w:hanging="360"/>
        <w:jc w:val="both"/>
        <w:rPr>
          <w:rStyle w:val="FootnoteReference"/>
          <w:rFonts w:ascii="Arial" w:hAnsi="Arial" w:cs="Arial"/>
          <w:sz w:val="18"/>
          <w:vertAlign w:val="baseline"/>
        </w:rPr>
      </w:pPr>
      <w:r w:rsidRPr="004E59A4">
        <w:rPr>
          <w:rStyle w:val="FootnoteReference"/>
          <w:rFonts w:ascii="Arial" w:hAnsi="Arial" w:cs="Arial"/>
          <w:sz w:val="18"/>
        </w:rPr>
        <w:footnoteRef/>
      </w:r>
      <w:r w:rsidRPr="004E59A4">
        <w:rPr>
          <w:rStyle w:val="FootnoteReference"/>
          <w:rFonts w:ascii="Arial" w:hAnsi="Arial" w:cs="Arial"/>
          <w:sz w:val="18"/>
        </w:rPr>
        <w:t xml:space="preserve"> </w:t>
      </w:r>
      <w:r w:rsidRPr="004E59A4">
        <w:rPr>
          <w:rFonts w:ascii="Arial" w:hAnsi="Arial" w:cs="Arial"/>
          <w:sz w:val="18"/>
        </w:rPr>
        <w:tab/>
      </w:r>
      <w:r w:rsidRPr="004E59A4">
        <w:rPr>
          <w:rFonts w:ascii="Arial" w:hAnsi="Arial" w:cs="Arial"/>
          <w:sz w:val="18"/>
        </w:rPr>
        <w:tab/>
      </w:r>
      <w:r w:rsidR="004E59A4">
        <w:rPr>
          <w:rFonts w:ascii="Arial" w:hAnsi="Arial" w:cs="Arial"/>
          <w:sz w:val="18"/>
        </w:rPr>
        <w:tab/>
      </w:r>
      <w:r w:rsidRPr="004E59A4">
        <w:rPr>
          <w:rStyle w:val="FootnoteReference"/>
          <w:rFonts w:ascii="Arial" w:hAnsi="Arial" w:cs="Arial"/>
          <w:sz w:val="18"/>
          <w:vertAlign w:val="baseline"/>
        </w:rPr>
        <w:t>Incluye</w:t>
      </w:r>
      <w:r w:rsidR="004B7935" w:rsidRPr="004E59A4">
        <w:rPr>
          <w:rFonts w:ascii="Arial" w:hAnsi="Arial" w:cs="Arial"/>
          <w:sz w:val="18"/>
        </w:rPr>
        <w:t xml:space="preserve"> </w:t>
      </w:r>
      <w:r w:rsidRPr="004E59A4">
        <w:rPr>
          <w:rStyle w:val="FootnoteReference"/>
          <w:rFonts w:ascii="Arial" w:hAnsi="Arial" w:cs="Arial"/>
          <w:sz w:val="18"/>
          <w:vertAlign w:val="baseline"/>
        </w:rPr>
        <w:t xml:space="preserve">países miembros de la OCDE </w:t>
      </w:r>
      <w:r w:rsidR="004B7935" w:rsidRPr="004E59A4">
        <w:rPr>
          <w:rFonts w:ascii="Arial" w:hAnsi="Arial" w:cs="Arial"/>
          <w:sz w:val="18"/>
        </w:rPr>
        <w:t xml:space="preserve">de alto ingreso como </w:t>
      </w:r>
      <w:r w:rsidR="004B7935" w:rsidRPr="004E59A4">
        <w:rPr>
          <w:rStyle w:val="FootnoteReference"/>
          <w:rFonts w:ascii="Arial" w:hAnsi="Arial" w:cs="Arial"/>
          <w:sz w:val="18"/>
          <w:vertAlign w:val="baseline"/>
        </w:rPr>
        <w:t>son Alemania, Australia, Austria, Bélgica, Canadá, Chile, Corea, Dinamarca, España, Estados Unidos, Eslovenia, Estonia, Finlandia, Francia, Grecia, Hungría, Irlanda, Islandia, Israel, Italia, Japón, Luxemburgo, Noruega, Nueva Zelanda, Países Bajos, Polonia, Portugal, Reino Unido, República Checa, Suecia, Suiza.</w:t>
      </w:r>
    </w:p>
  </w:footnote>
  <w:footnote w:id="9">
    <w:p w:rsidR="00D33004" w:rsidRPr="004E59A4" w:rsidRDefault="00D33004" w:rsidP="005D431F">
      <w:pPr>
        <w:pStyle w:val="FootnoteText"/>
        <w:ind w:left="360" w:hanging="360"/>
        <w:jc w:val="both"/>
        <w:rPr>
          <w:rFonts w:ascii="Arial" w:hAnsi="Arial" w:cs="Arial"/>
          <w:sz w:val="18"/>
        </w:rPr>
      </w:pPr>
      <w:r w:rsidRPr="004E59A4">
        <w:rPr>
          <w:rStyle w:val="FootnoteReference"/>
          <w:rFonts w:ascii="Arial" w:hAnsi="Arial" w:cs="Arial"/>
          <w:sz w:val="18"/>
        </w:rPr>
        <w:footnoteRef/>
      </w:r>
      <w:r w:rsidRPr="004E59A4">
        <w:rPr>
          <w:rFonts w:ascii="Arial" w:hAnsi="Arial" w:cs="Arial"/>
          <w:sz w:val="18"/>
        </w:rPr>
        <w:t xml:space="preserve"> </w:t>
      </w:r>
      <w:r w:rsidR="004E59A4">
        <w:rPr>
          <w:rFonts w:ascii="Arial" w:hAnsi="Arial" w:cs="Arial"/>
          <w:sz w:val="18"/>
        </w:rPr>
        <w:tab/>
      </w:r>
      <w:r w:rsidRPr="004E59A4">
        <w:rPr>
          <w:rFonts w:ascii="Arial" w:hAnsi="Arial" w:cs="Arial"/>
          <w:sz w:val="18"/>
        </w:rPr>
        <w:t>http://worldjusticeproject.org/rule-of-law-index</w:t>
      </w:r>
    </w:p>
  </w:footnote>
  <w:footnote w:id="10">
    <w:p w:rsidR="00C7401D" w:rsidRPr="004E59A4" w:rsidRDefault="00C7401D" w:rsidP="005D431F">
      <w:pPr>
        <w:pStyle w:val="FootnoteText"/>
        <w:tabs>
          <w:tab w:val="left" w:pos="360"/>
        </w:tabs>
        <w:ind w:left="360" w:hanging="360"/>
        <w:jc w:val="both"/>
        <w:rPr>
          <w:rFonts w:ascii="Arial" w:hAnsi="Arial" w:cs="Arial"/>
          <w:sz w:val="18"/>
          <w:szCs w:val="18"/>
        </w:rPr>
      </w:pPr>
      <w:r w:rsidRPr="004E59A4">
        <w:rPr>
          <w:rStyle w:val="FootnoteReference"/>
          <w:rFonts w:ascii="Arial" w:hAnsi="Arial" w:cs="Arial"/>
          <w:sz w:val="18"/>
          <w:szCs w:val="18"/>
        </w:rPr>
        <w:footnoteRef/>
      </w:r>
      <w:r w:rsidRPr="004E59A4">
        <w:rPr>
          <w:rFonts w:ascii="Arial" w:hAnsi="Arial" w:cs="Arial"/>
          <w:sz w:val="18"/>
          <w:szCs w:val="18"/>
        </w:rPr>
        <w:t xml:space="preserve"> </w:t>
      </w:r>
      <w:r w:rsidR="004E59A4">
        <w:rPr>
          <w:rFonts w:ascii="Arial" w:hAnsi="Arial" w:cs="Arial"/>
          <w:sz w:val="18"/>
          <w:szCs w:val="18"/>
        </w:rPr>
        <w:tab/>
      </w:r>
      <w:r w:rsidRPr="004E59A4">
        <w:rPr>
          <w:rFonts w:ascii="Arial" w:hAnsi="Arial" w:cs="Arial"/>
          <w:sz w:val="18"/>
          <w:szCs w:val="18"/>
          <w:lang w:val="es-ES"/>
        </w:rPr>
        <w:t>“Chile de Todos – Programa de Gobierno Michelle Bachelet 2014-2018”.</w:t>
      </w:r>
    </w:p>
  </w:footnote>
  <w:footnote w:id="11">
    <w:p w:rsidR="00C7401D" w:rsidRPr="004E59A4" w:rsidRDefault="00C7401D" w:rsidP="005D431F">
      <w:pPr>
        <w:pStyle w:val="FootnoteText"/>
        <w:tabs>
          <w:tab w:val="left" w:pos="360"/>
        </w:tabs>
        <w:ind w:left="360" w:hanging="360"/>
        <w:jc w:val="both"/>
        <w:rPr>
          <w:rFonts w:ascii="Arial" w:hAnsi="Arial" w:cs="Arial"/>
          <w:sz w:val="18"/>
          <w:szCs w:val="18"/>
          <w:lang w:val="es-ES"/>
        </w:rPr>
      </w:pPr>
      <w:r w:rsidRPr="004E59A4">
        <w:rPr>
          <w:rStyle w:val="FootnoteReference"/>
          <w:rFonts w:ascii="Arial" w:hAnsi="Arial" w:cs="Arial"/>
          <w:sz w:val="18"/>
          <w:szCs w:val="18"/>
        </w:rPr>
        <w:footnoteRef/>
      </w:r>
      <w:r w:rsidR="004E59A4">
        <w:rPr>
          <w:rFonts w:ascii="Arial" w:hAnsi="Arial" w:cs="Arial"/>
          <w:sz w:val="18"/>
          <w:szCs w:val="18"/>
        </w:rPr>
        <w:t xml:space="preserve"> </w:t>
      </w:r>
      <w:r w:rsidR="004E59A4">
        <w:rPr>
          <w:rFonts w:ascii="Arial" w:hAnsi="Arial" w:cs="Arial"/>
          <w:sz w:val="18"/>
          <w:szCs w:val="18"/>
        </w:rPr>
        <w:tab/>
      </w:r>
      <w:hyperlink r:id="rId3" w:history="1">
        <w:r w:rsidRPr="004E59A4">
          <w:rPr>
            <w:rStyle w:val="Hyperlink"/>
            <w:rFonts w:ascii="Arial" w:hAnsi="Arial" w:cs="Arial"/>
            <w:color w:val="auto"/>
            <w:sz w:val="18"/>
            <w:szCs w:val="18"/>
            <w:u w:val="none"/>
            <w:lang w:val="es-ES"/>
          </w:rPr>
          <w:t>Decreto No. 002 de la SEGPRES del 11 de marzo de 2015</w:t>
        </w:r>
      </w:hyperlink>
      <w:r w:rsidRPr="004E59A4">
        <w:rPr>
          <w:rFonts w:ascii="Arial" w:hAnsi="Arial" w:cs="Arial"/>
          <w:sz w:val="18"/>
          <w:szCs w:val="18"/>
          <w:lang w:val="es-ES"/>
        </w:rPr>
        <w:t>.</w:t>
      </w:r>
    </w:p>
  </w:footnote>
  <w:footnote w:id="12">
    <w:p w:rsidR="00C7401D" w:rsidRPr="004E59A4" w:rsidRDefault="00C7401D" w:rsidP="005D431F">
      <w:pPr>
        <w:pStyle w:val="FootnoteText"/>
        <w:tabs>
          <w:tab w:val="left" w:pos="360"/>
          <w:tab w:val="left" w:pos="720"/>
        </w:tabs>
        <w:ind w:left="360" w:hanging="360"/>
        <w:jc w:val="both"/>
        <w:rPr>
          <w:rFonts w:ascii="Arial" w:hAnsi="Arial" w:cs="Arial"/>
          <w:sz w:val="18"/>
          <w:szCs w:val="18"/>
        </w:rPr>
      </w:pPr>
      <w:r w:rsidRPr="004E59A4">
        <w:rPr>
          <w:rStyle w:val="FootnoteReference"/>
          <w:rFonts w:ascii="Arial" w:hAnsi="Arial" w:cs="Arial"/>
          <w:sz w:val="18"/>
          <w:szCs w:val="18"/>
        </w:rPr>
        <w:footnoteRef/>
      </w:r>
      <w:r w:rsidR="004E59A4">
        <w:rPr>
          <w:rFonts w:ascii="Arial" w:hAnsi="Arial" w:cs="Arial"/>
          <w:sz w:val="18"/>
          <w:szCs w:val="18"/>
        </w:rPr>
        <w:t xml:space="preserve"> </w:t>
      </w:r>
      <w:r w:rsidR="004E59A4">
        <w:rPr>
          <w:rFonts w:ascii="Arial" w:hAnsi="Arial" w:cs="Arial"/>
          <w:sz w:val="18"/>
          <w:szCs w:val="18"/>
        </w:rPr>
        <w:tab/>
      </w:r>
      <w:r w:rsidRPr="004E59A4">
        <w:rPr>
          <w:rFonts w:ascii="Arial" w:hAnsi="Arial" w:cs="Arial"/>
          <w:sz w:val="18"/>
          <w:szCs w:val="18"/>
          <w:lang w:val="es-ES"/>
        </w:rPr>
        <w:t>Decreto No. 002 de creación del Consejo Asesor Presidencial contra el Tráfico de Influencias,    Conflictos de Interés y Corrupción.</w:t>
      </w:r>
    </w:p>
  </w:footnote>
  <w:footnote w:id="13">
    <w:p w:rsidR="00C7401D" w:rsidRPr="00404FEE" w:rsidRDefault="00C7401D" w:rsidP="005D431F">
      <w:pPr>
        <w:pStyle w:val="FootnoteText"/>
        <w:ind w:left="360" w:hanging="360"/>
        <w:jc w:val="both"/>
        <w:rPr>
          <w:rFonts w:ascii="Arial" w:hAnsi="Arial" w:cs="Arial"/>
          <w:sz w:val="18"/>
        </w:rPr>
      </w:pPr>
      <w:r w:rsidRPr="00404FEE">
        <w:rPr>
          <w:rStyle w:val="FootnoteReference"/>
          <w:rFonts w:ascii="Arial" w:hAnsi="Arial" w:cs="Arial"/>
          <w:sz w:val="18"/>
        </w:rPr>
        <w:footnoteRef/>
      </w:r>
      <w:r w:rsidRPr="00404FEE">
        <w:rPr>
          <w:rFonts w:ascii="Arial" w:hAnsi="Arial" w:cs="Arial"/>
          <w:sz w:val="18"/>
        </w:rPr>
        <w:t xml:space="preserve"> </w:t>
      </w:r>
      <w:r w:rsidR="00404FEE">
        <w:rPr>
          <w:rFonts w:ascii="Arial" w:hAnsi="Arial" w:cs="Arial"/>
          <w:sz w:val="18"/>
        </w:rPr>
        <w:tab/>
      </w:r>
      <w:r w:rsidRPr="00404FEE">
        <w:rPr>
          <w:rFonts w:ascii="Arial" w:hAnsi="Arial" w:cs="Arial"/>
          <w:sz w:val="18"/>
        </w:rPr>
        <w:t xml:space="preserve">Dentro de los costos totales se consideran aquellos generados por la morosidad de los préstamos a los políticos y aquellos asociados a que este dinero se invierte mal o no se invierte.  </w:t>
      </w:r>
    </w:p>
  </w:footnote>
  <w:footnote w:id="14">
    <w:p w:rsidR="00C7401D" w:rsidRPr="00404FEE" w:rsidRDefault="00C7401D" w:rsidP="005D431F">
      <w:pPr>
        <w:pStyle w:val="Heading3"/>
        <w:shd w:val="clear" w:color="auto" w:fill="FFFFFF"/>
        <w:spacing w:before="0" w:beforeAutospacing="0" w:after="0" w:afterAutospacing="0"/>
        <w:ind w:left="360" w:hanging="360"/>
        <w:jc w:val="both"/>
        <w:rPr>
          <w:sz w:val="24"/>
        </w:rPr>
      </w:pPr>
      <w:r w:rsidRPr="00404FEE">
        <w:rPr>
          <w:rStyle w:val="FootnoteReference"/>
          <w:rFonts w:ascii="Arial" w:hAnsi="Arial" w:cs="Arial"/>
          <w:b w:val="0"/>
          <w:sz w:val="18"/>
          <w:szCs w:val="20"/>
        </w:rPr>
        <w:footnoteRef/>
      </w:r>
      <w:r w:rsidRPr="00404FEE">
        <w:rPr>
          <w:rFonts w:ascii="Arial" w:hAnsi="Arial" w:cs="Arial"/>
          <w:b w:val="0"/>
          <w:sz w:val="18"/>
          <w:szCs w:val="20"/>
        </w:rPr>
        <w:t xml:space="preserve"> </w:t>
      </w:r>
      <w:r w:rsidR="00404FEE">
        <w:rPr>
          <w:rFonts w:ascii="Arial" w:hAnsi="Arial" w:cs="Arial"/>
          <w:b w:val="0"/>
          <w:sz w:val="18"/>
          <w:szCs w:val="20"/>
        </w:rPr>
        <w:tab/>
      </w:r>
      <w:r w:rsidRPr="00404FEE">
        <w:rPr>
          <w:rFonts w:ascii="Arial" w:hAnsi="Arial" w:cs="Arial"/>
          <w:b w:val="0"/>
          <w:sz w:val="18"/>
          <w:szCs w:val="20"/>
          <w:shd w:val="clear" w:color="auto" w:fill="FFFFFF"/>
        </w:rPr>
        <w:t xml:space="preserve">Tjark Marten Egenhoff, Reportaje Internacional, 9 de marzo de 2015, </w:t>
      </w:r>
      <w:r w:rsidRPr="00404FEE">
        <w:rPr>
          <w:rFonts w:ascii="Arial" w:hAnsi="Arial" w:cs="Arial"/>
          <w:b w:val="0"/>
          <w:sz w:val="18"/>
          <w:szCs w:val="20"/>
        </w:rPr>
        <w:t>Fundación Konrad Adenauer,</w:t>
      </w:r>
      <w:r w:rsidRPr="00404FEE">
        <w:rPr>
          <w:rFonts w:ascii="Arial" w:hAnsi="Arial" w:cs="Arial"/>
          <w:b w:val="0"/>
          <w:sz w:val="18"/>
          <w:szCs w:val="20"/>
          <w:shd w:val="clear" w:color="auto" w:fill="FFFFFF"/>
        </w:rPr>
        <w:t xml:space="preserve"> Chile.</w:t>
      </w:r>
    </w:p>
  </w:footnote>
  <w:footnote w:id="15">
    <w:p w:rsidR="00C7401D" w:rsidRPr="00404FEE" w:rsidRDefault="00C7401D" w:rsidP="005D431F">
      <w:pPr>
        <w:pStyle w:val="FootnoteText"/>
        <w:ind w:left="360" w:hanging="360"/>
        <w:jc w:val="both"/>
        <w:rPr>
          <w:rFonts w:ascii="Arial" w:hAnsi="Arial" w:cs="Arial"/>
          <w:sz w:val="18"/>
        </w:rPr>
      </w:pPr>
      <w:r w:rsidRPr="00404FEE">
        <w:rPr>
          <w:rStyle w:val="FootnoteReference"/>
          <w:rFonts w:ascii="Arial" w:hAnsi="Arial" w:cs="Arial"/>
          <w:sz w:val="18"/>
        </w:rPr>
        <w:footnoteRef/>
      </w:r>
      <w:r w:rsidRPr="00404FEE">
        <w:rPr>
          <w:rFonts w:ascii="Arial" w:hAnsi="Arial" w:cs="Arial"/>
          <w:sz w:val="18"/>
        </w:rPr>
        <w:t xml:space="preserve">  </w:t>
      </w:r>
      <w:r w:rsidR="00404FEE">
        <w:rPr>
          <w:rFonts w:ascii="Arial" w:hAnsi="Arial" w:cs="Arial"/>
          <w:sz w:val="18"/>
        </w:rPr>
        <w:tab/>
      </w:r>
      <w:r w:rsidRPr="00404FEE">
        <w:rPr>
          <w:rFonts w:ascii="Arial" w:hAnsi="Arial" w:cs="Arial"/>
          <w:sz w:val="18"/>
          <w:szCs w:val="24"/>
        </w:rPr>
        <w:t>Della Porta (2000), Della Porta &amp; Mény (1996), Gingerich (2004), Pharr (2000), Golden &amp; Chang (2004), Huntington (1968), Heidenheimer et al (1989) y Rose-Ackerman (1999).</w:t>
      </w:r>
    </w:p>
  </w:footnote>
  <w:footnote w:id="16">
    <w:p w:rsidR="00C7401D" w:rsidRPr="00404FEE" w:rsidRDefault="00C7401D" w:rsidP="005D431F">
      <w:pPr>
        <w:pStyle w:val="FootnoteText"/>
        <w:ind w:left="360" w:hanging="360"/>
        <w:jc w:val="both"/>
        <w:rPr>
          <w:rFonts w:ascii="Arial" w:hAnsi="Arial" w:cs="Arial"/>
          <w:sz w:val="18"/>
        </w:rPr>
      </w:pPr>
      <w:r w:rsidRPr="00404FEE">
        <w:rPr>
          <w:rStyle w:val="FootnoteReference"/>
          <w:rFonts w:ascii="Arial" w:hAnsi="Arial" w:cs="Arial"/>
          <w:sz w:val="18"/>
        </w:rPr>
        <w:footnoteRef/>
      </w:r>
      <w:r w:rsidRPr="00404FEE">
        <w:rPr>
          <w:rFonts w:ascii="Arial" w:hAnsi="Arial" w:cs="Arial"/>
          <w:sz w:val="18"/>
        </w:rPr>
        <w:t xml:space="preserve">  </w:t>
      </w:r>
      <w:r w:rsidR="00404FEE">
        <w:rPr>
          <w:rFonts w:ascii="Arial" w:hAnsi="Arial" w:cs="Arial"/>
          <w:sz w:val="18"/>
        </w:rPr>
        <w:tab/>
      </w:r>
      <w:r w:rsidRPr="00404FEE">
        <w:rPr>
          <w:rFonts w:ascii="Arial" w:hAnsi="Arial" w:cs="Arial"/>
          <w:sz w:val="18"/>
        </w:rPr>
        <w:t>Mishler &amp; Rose (2001) y Anderson &amp; Tverdova (2003).</w:t>
      </w:r>
    </w:p>
  </w:footnote>
  <w:footnote w:id="17">
    <w:p w:rsidR="00C7401D" w:rsidRPr="00404FEE" w:rsidRDefault="00C7401D" w:rsidP="005D431F">
      <w:pPr>
        <w:pStyle w:val="FootnoteText"/>
        <w:ind w:left="360" w:hanging="360"/>
        <w:jc w:val="both"/>
        <w:rPr>
          <w:rFonts w:ascii="Arial" w:hAnsi="Arial" w:cs="Arial"/>
          <w:sz w:val="18"/>
          <w:lang w:val="es-ES"/>
        </w:rPr>
      </w:pPr>
      <w:r w:rsidRPr="00404FEE">
        <w:rPr>
          <w:rStyle w:val="FootnoteReference"/>
          <w:rFonts w:ascii="Arial" w:hAnsi="Arial" w:cs="Arial"/>
          <w:sz w:val="18"/>
        </w:rPr>
        <w:footnoteRef/>
      </w:r>
      <w:r w:rsidRPr="00404FEE">
        <w:rPr>
          <w:rFonts w:ascii="Arial" w:hAnsi="Arial" w:cs="Arial"/>
          <w:sz w:val="18"/>
          <w:lang w:val="es-ES"/>
        </w:rPr>
        <w:t xml:space="preserve">   Bragança et al (2015).</w:t>
      </w:r>
    </w:p>
  </w:footnote>
  <w:footnote w:id="18">
    <w:p w:rsidR="00C7401D" w:rsidRPr="00747854" w:rsidRDefault="00C7401D" w:rsidP="005D431F">
      <w:pPr>
        <w:pStyle w:val="FootnoteText"/>
        <w:shd w:val="clear" w:color="auto" w:fill="FFFFFF"/>
        <w:ind w:left="360" w:hanging="360"/>
        <w:jc w:val="both"/>
        <w:rPr>
          <w:rFonts w:ascii="Arial" w:hAnsi="Arial" w:cs="Arial"/>
        </w:rPr>
      </w:pPr>
      <w:r w:rsidRPr="00747854">
        <w:rPr>
          <w:rStyle w:val="FootnoteReference"/>
          <w:rFonts w:ascii="Arial" w:hAnsi="Arial" w:cs="Arial"/>
        </w:rPr>
        <w:footnoteRef/>
      </w:r>
      <w:r w:rsidRPr="00747854">
        <w:rPr>
          <w:rFonts w:ascii="Arial" w:hAnsi="Arial" w:cs="Arial"/>
        </w:rPr>
        <w:t xml:space="preserve"> </w:t>
      </w:r>
      <w:r w:rsidR="00404FEE">
        <w:rPr>
          <w:rFonts w:ascii="Arial" w:hAnsi="Arial" w:cs="Arial"/>
        </w:rPr>
        <w:tab/>
      </w:r>
      <w:r w:rsidRPr="00747854">
        <w:rPr>
          <w:rFonts w:ascii="Arial" w:hAnsi="Arial" w:cs="Arial"/>
        </w:rPr>
        <w:t xml:space="preserve">El indicador que utilizan los autores es el ratio entre salarios del sector público y salarios del sector manufacturero. </w:t>
      </w:r>
    </w:p>
  </w:footnote>
  <w:footnote w:id="19">
    <w:p w:rsidR="00C7401D" w:rsidRPr="00404FEE" w:rsidRDefault="00C7401D" w:rsidP="005D431F">
      <w:pPr>
        <w:pStyle w:val="FootnoteText"/>
        <w:ind w:left="360" w:hanging="360"/>
        <w:jc w:val="both"/>
        <w:rPr>
          <w:rFonts w:ascii="Arial" w:hAnsi="Arial" w:cs="Arial"/>
          <w:sz w:val="18"/>
        </w:rPr>
      </w:pPr>
      <w:r w:rsidRPr="00404FEE">
        <w:rPr>
          <w:rStyle w:val="FootnoteReference"/>
          <w:rFonts w:ascii="Arial" w:hAnsi="Arial" w:cs="Arial"/>
          <w:sz w:val="18"/>
        </w:rPr>
        <w:footnoteRef/>
      </w:r>
      <w:r w:rsidRPr="00404FEE">
        <w:rPr>
          <w:rFonts w:ascii="Arial" w:hAnsi="Arial" w:cs="Arial"/>
          <w:sz w:val="18"/>
        </w:rPr>
        <w:t xml:space="preserve">   </w:t>
      </w:r>
      <w:r w:rsidR="00404FEE">
        <w:rPr>
          <w:rFonts w:ascii="Arial" w:hAnsi="Arial" w:cs="Arial"/>
          <w:sz w:val="18"/>
        </w:rPr>
        <w:tab/>
      </w:r>
      <w:r w:rsidRPr="00404FEE">
        <w:rPr>
          <w:rFonts w:ascii="Arial" w:hAnsi="Arial" w:cs="Arial"/>
          <w:sz w:val="18"/>
        </w:rPr>
        <w:t xml:space="preserve">Besley &amp; McLaren (1993), </w:t>
      </w:r>
      <w:r w:rsidRPr="00404FEE">
        <w:rPr>
          <w:rFonts w:ascii="Arial" w:hAnsi="Arial" w:cs="Arial"/>
          <w:sz w:val="18"/>
          <w:szCs w:val="24"/>
        </w:rPr>
        <w:t xml:space="preserve">Van Rijckeghem &amp; Weder (2001) y </w:t>
      </w:r>
      <w:r w:rsidRPr="00404FEE">
        <w:rPr>
          <w:rFonts w:ascii="Arial" w:hAnsi="Arial" w:cs="Arial"/>
          <w:sz w:val="18"/>
        </w:rPr>
        <w:t xml:space="preserve">Macchiavello (2008). </w:t>
      </w:r>
    </w:p>
  </w:footnote>
  <w:footnote w:id="20">
    <w:p w:rsidR="00C7401D" w:rsidRPr="00404FEE" w:rsidRDefault="00C7401D" w:rsidP="005D431F">
      <w:pPr>
        <w:pStyle w:val="FootnoteText"/>
        <w:ind w:left="360" w:hanging="360"/>
        <w:jc w:val="both"/>
        <w:rPr>
          <w:rFonts w:ascii="Arial" w:hAnsi="Arial" w:cs="Arial"/>
          <w:sz w:val="18"/>
        </w:rPr>
      </w:pPr>
      <w:r w:rsidRPr="00404FEE">
        <w:rPr>
          <w:rStyle w:val="FootnoteReference"/>
          <w:rFonts w:ascii="Arial" w:hAnsi="Arial" w:cs="Arial"/>
          <w:sz w:val="18"/>
        </w:rPr>
        <w:footnoteRef/>
      </w:r>
      <w:r w:rsidRPr="00404FEE">
        <w:rPr>
          <w:rFonts w:ascii="Arial" w:hAnsi="Arial" w:cs="Arial"/>
          <w:sz w:val="18"/>
        </w:rPr>
        <w:t xml:space="preserve">   </w:t>
      </w:r>
      <w:r w:rsidR="00404FEE">
        <w:rPr>
          <w:rFonts w:ascii="Arial" w:hAnsi="Arial" w:cs="Arial"/>
          <w:sz w:val="18"/>
        </w:rPr>
        <w:tab/>
      </w:r>
      <w:r w:rsidRPr="00404FEE">
        <w:rPr>
          <w:rFonts w:ascii="Arial" w:hAnsi="Arial" w:cs="Arial"/>
          <w:color w:val="000000"/>
          <w:sz w:val="18"/>
        </w:rPr>
        <w:t xml:space="preserve">Ul Haque &amp; Sahay (1996) y </w:t>
      </w:r>
      <w:r w:rsidRPr="00404FEE">
        <w:rPr>
          <w:rFonts w:ascii="Arial" w:hAnsi="Arial" w:cs="Arial"/>
          <w:sz w:val="18"/>
          <w:szCs w:val="24"/>
        </w:rPr>
        <w:t>Dal Bó et al. (2013).</w:t>
      </w:r>
    </w:p>
  </w:footnote>
  <w:footnote w:id="21">
    <w:p w:rsidR="00C7401D" w:rsidRPr="00404FEE" w:rsidRDefault="00C7401D" w:rsidP="005D431F">
      <w:pPr>
        <w:pStyle w:val="FootnoteText"/>
        <w:ind w:left="360" w:hanging="360"/>
        <w:jc w:val="both"/>
        <w:rPr>
          <w:rFonts w:ascii="Arial" w:hAnsi="Arial" w:cs="Arial"/>
          <w:sz w:val="18"/>
        </w:rPr>
      </w:pPr>
      <w:r w:rsidRPr="00404FEE">
        <w:rPr>
          <w:rStyle w:val="FootnoteReference"/>
          <w:rFonts w:ascii="Arial" w:hAnsi="Arial" w:cs="Arial"/>
          <w:sz w:val="18"/>
        </w:rPr>
        <w:footnoteRef/>
      </w:r>
      <w:r w:rsidRPr="00404FEE">
        <w:rPr>
          <w:rFonts w:ascii="Arial" w:hAnsi="Arial" w:cs="Arial"/>
          <w:sz w:val="18"/>
        </w:rPr>
        <w:t xml:space="preserve"> </w:t>
      </w:r>
      <w:r w:rsidR="00404FEE">
        <w:rPr>
          <w:rFonts w:ascii="Arial" w:hAnsi="Arial" w:cs="Arial"/>
          <w:sz w:val="18"/>
        </w:rPr>
        <w:tab/>
      </w:r>
      <w:r w:rsidRPr="00404FEE">
        <w:rPr>
          <w:rFonts w:ascii="Arial" w:hAnsi="Arial" w:cs="Arial"/>
          <w:sz w:val="18"/>
        </w:rPr>
        <w:t xml:space="preserve">La capacidad es una </w:t>
      </w:r>
      <w:r w:rsidRPr="00404FEE">
        <w:rPr>
          <w:rFonts w:ascii="Arial" w:hAnsi="Arial" w:cs="Arial"/>
          <w:sz w:val="18"/>
          <w:szCs w:val="24"/>
        </w:rPr>
        <w:t>medida del coeficiente intelectual, la personalidad y la proclividad hacia el trabajo del sector público mientras que la motivación es una medida de la integridad, las inclinaciones pro-sociales y la motivación por el servicio público.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1D" w:rsidRDefault="00C7401D" w:rsidP="008D6946">
    <w:pPr>
      <w:pStyle w:val="Header"/>
      <w:jc w:val="right"/>
    </w:pPr>
  </w:p>
  <w:p w:rsidR="00C7401D" w:rsidRPr="00B042E1" w:rsidRDefault="00C7401D" w:rsidP="00747854">
    <w:pPr>
      <w:pStyle w:val="Header"/>
      <w:jc w:val="right"/>
      <w:rPr>
        <w:rFonts w:ascii="Arial" w:hAnsi="Arial" w:cs="Arial"/>
        <w:sz w:val="18"/>
      </w:rPr>
    </w:pPr>
  </w:p>
  <w:p w:rsidR="00C7401D" w:rsidRDefault="00C74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64963006"/>
    <w:lvl w:ilvl="0">
      <w:start w:val="1"/>
      <w:numFmt w:val="upperRoman"/>
      <w:lvlText w:val="%1."/>
      <w:lvlJc w:val="center"/>
      <w:pPr>
        <w:tabs>
          <w:tab w:val="num" w:pos="648"/>
        </w:tabs>
        <w:ind w:left="0" w:firstLine="288"/>
      </w:pPr>
      <w:rPr>
        <w:rFonts w:ascii="Times New Roman" w:eastAsia="Times New Roman" w:hAnsi="Times New Roman" w:cs="Times New Roman" w:hint="default"/>
        <w:b/>
        <w:i w:val="0"/>
      </w:rPr>
    </w:lvl>
    <w:lvl w:ilvl="1">
      <w:start w:val="4"/>
      <w:numFmt w:val="decimal"/>
      <w:isLgl/>
      <w:lvlText w:val="%1.%2"/>
      <w:lvlJc w:val="left"/>
      <w:pPr>
        <w:tabs>
          <w:tab w:val="num" w:pos="810"/>
        </w:tabs>
        <w:ind w:left="810" w:hanging="720"/>
      </w:pPr>
      <w:rPr>
        <w:rFonts w:ascii="Arial" w:hAnsi="Arial" w:cs="Arial" w:hint="default"/>
        <w:b w:val="0"/>
        <w:sz w:val="22"/>
        <w:szCs w:val="22"/>
      </w:rPr>
    </w:lvl>
    <w:lvl w:ilvl="2">
      <w:start w:val="1"/>
      <w:numFmt w:val="lowerLetter"/>
      <w:lvlText w:val="%3."/>
      <w:lvlJc w:val="left"/>
      <w:pPr>
        <w:tabs>
          <w:tab w:val="num" w:pos="1242"/>
        </w:tabs>
        <w:ind w:left="124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1803584E"/>
    <w:multiLevelType w:val="hybridMultilevel"/>
    <w:tmpl w:val="7C3EBAF8"/>
    <w:lvl w:ilvl="0" w:tplc="0409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F292A2B"/>
    <w:multiLevelType w:val="multilevel"/>
    <w:tmpl w:val="F6EE8B8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E1BE6"/>
    <w:multiLevelType w:val="hybridMultilevel"/>
    <w:tmpl w:val="F912D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F00D8"/>
    <w:multiLevelType w:val="hybridMultilevel"/>
    <w:tmpl w:val="7C3EBAF8"/>
    <w:lvl w:ilvl="0" w:tplc="0409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EA76D65"/>
    <w:multiLevelType w:val="multilevel"/>
    <w:tmpl w:val="3AAC52C4"/>
    <w:lvl w:ilvl="0">
      <w:start w:val="1"/>
      <w:numFmt w:val="decimal"/>
      <w:lvlText w:val="%1."/>
      <w:lvlJc w:val="left"/>
      <w:pPr>
        <w:ind w:left="360" w:hanging="360"/>
      </w:pPr>
      <w:rPr>
        <w:rFonts w:hint="default"/>
      </w:rPr>
    </w:lvl>
    <w:lvl w:ilvl="1">
      <w:start w:val="1"/>
      <w:numFmt w:val="decimal"/>
      <w:lvlText w:val="%1.%2."/>
      <w:lvlJc w:val="left"/>
      <w:pPr>
        <w:ind w:left="209" w:hanging="360"/>
      </w:pPr>
      <w:rPr>
        <w:rFonts w:hint="default"/>
      </w:rPr>
    </w:lvl>
    <w:lvl w:ilvl="2">
      <w:start w:val="1"/>
      <w:numFmt w:val="decimal"/>
      <w:lvlText w:val="%1.%2.%3."/>
      <w:lvlJc w:val="left"/>
      <w:pPr>
        <w:ind w:left="418" w:hanging="720"/>
      </w:pPr>
      <w:rPr>
        <w:rFonts w:hint="default"/>
      </w:rPr>
    </w:lvl>
    <w:lvl w:ilvl="3">
      <w:start w:val="1"/>
      <w:numFmt w:val="decimal"/>
      <w:lvlText w:val="%1.%2.%3.%4."/>
      <w:lvlJc w:val="left"/>
      <w:pPr>
        <w:ind w:left="267" w:hanging="720"/>
      </w:pPr>
      <w:rPr>
        <w:rFonts w:hint="default"/>
      </w:rPr>
    </w:lvl>
    <w:lvl w:ilvl="4">
      <w:start w:val="1"/>
      <w:numFmt w:val="decimal"/>
      <w:lvlText w:val="%1.%2.%3.%4.%5."/>
      <w:lvlJc w:val="left"/>
      <w:pPr>
        <w:ind w:left="116" w:hanging="720"/>
      </w:pPr>
      <w:rPr>
        <w:rFonts w:hint="default"/>
      </w:rPr>
    </w:lvl>
    <w:lvl w:ilvl="5">
      <w:start w:val="1"/>
      <w:numFmt w:val="decimal"/>
      <w:lvlText w:val="%1.%2.%3.%4.%5.%6."/>
      <w:lvlJc w:val="left"/>
      <w:pPr>
        <w:ind w:left="325" w:hanging="1080"/>
      </w:pPr>
      <w:rPr>
        <w:rFonts w:hint="default"/>
      </w:rPr>
    </w:lvl>
    <w:lvl w:ilvl="6">
      <w:start w:val="1"/>
      <w:numFmt w:val="decimal"/>
      <w:lvlText w:val="%1.%2.%3.%4.%5.%6.%7."/>
      <w:lvlJc w:val="left"/>
      <w:pPr>
        <w:ind w:left="174" w:hanging="1080"/>
      </w:pPr>
      <w:rPr>
        <w:rFonts w:hint="default"/>
      </w:rPr>
    </w:lvl>
    <w:lvl w:ilvl="7">
      <w:start w:val="1"/>
      <w:numFmt w:val="decimal"/>
      <w:lvlText w:val="%1.%2.%3.%4.%5.%6.%7.%8."/>
      <w:lvlJc w:val="left"/>
      <w:pPr>
        <w:ind w:left="383" w:hanging="1440"/>
      </w:pPr>
      <w:rPr>
        <w:rFonts w:hint="default"/>
      </w:rPr>
    </w:lvl>
    <w:lvl w:ilvl="8">
      <w:start w:val="1"/>
      <w:numFmt w:val="decimal"/>
      <w:lvlText w:val="%1.%2.%3.%4.%5.%6.%7.%8.%9."/>
      <w:lvlJc w:val="left"/>
      <w:pPr>
        <w:ind w:left="232" w:hanging="1440"/>
      </w:pPr>
      <w:rPr>
        <w:rFonts w:hint="default"/>
      </w:rPr>
    </w:lvl>
  </w:abstractNum>
  <w:abstractNum w:abstractNumId="6">
    <w:nsid w:val="2FE6527F"/>
    <w:multiLevelType w:val="hybridMultilevel"/>
    <w:tmpl w:val="2DA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347A1"/>
    <w:multiLevelType w:val="hybridMultilevel"/>
    <w:tmpl w:val="B456D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70BB"/>
    <w:multiLevelType w:val="multilevel"/>
    <w:tmpl w:val="BCA0D42A"/>
    <w:lvl w:ilvl="0">
      <w:start w:val="1"/>
      <w:numFmt w:val="upperLetter"/>
      <w:pStyle w:val="FirstHeading"/>
      <w:lvlText w:val="%1."/>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9">
    <w:nsid w:val="32F177F9"/>
    <w:multiLevelType w:val="multilevel"/>
    <w:tmpl w:val="BB0C6204"/>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52D3474"/>
    <w:multiLevelType w:val="multilevel"/>
    <w:tmpl w:val="0202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9B4991"/>
    <w:multiLevelType w:val="multilevel"/>
    <w:tmpl w:val="EB5EFE5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2">
    <w:nsid w:val="360D3C31"/>
    <w:multiLevelType w:val="hybridMultilevel"/>
    <w:tmpl w:val="B1F0FBEE"/>
    <w:lvl w:ilvl="0" w:tplc="922636DA">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5DA709B"/>
    <w:multiLevelType w:val="multilevel"/>
    <w:tmpl w:val="8CCE65E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9704E7"/>
    <w:multiLevelType w:val="hybridMultilevel"/>
    <w:tmpl w:val="40CC2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54A4C"/>
    <w:multiLevelType w:val="multilevel"/>
    <w:tmpl w:val="22B00B00"/>
    <w:lvl w:ilvl="0">
      <w:start w:val="1"/>
      <w:numFmt w:val="decimal"/>
      <w:lvlText w:val="%1"/>
      <w:lvlJc w:val="left"/>
      <w:pPr>
        <w:ind w:left="420" w:hanging="420"/>
      </w:pPr>
      <w:rPr>
        <w:rFonts w:hint="default"/>
      </w:rPr>
    </w:lvl>
    <w:lvl w:ilvl="1">
      <w:start w:val="16"/>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5167F7C"/>
    <w:multiLevelType w:val="multilevel"/>
    <w:tmpl w:val="3188B532"/>
    <w:lvl w:ilvl="0">
      <w:start w:val="3"/>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nsid w:val="569905A8"/>
    <w:multiLevelType w:val="multilevel"/>
    <w:tmpl w:val="0C4C110A"/>
    <w:lvl w:ilvl="0">
      <w:start w:val="1"/>
      <w:numFmt w:val="upperRoman"/>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8">
    <w:nsid w:val="5F981AF1"/>
    <w:multiLevelType w:val="hybridMultilevel"/>
    <w:tmpl w:val="98404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25F1D"/>
    <w:multiLevelType w:val="multilevel"/>
    <w:tmpl w:val="8CCE65E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B51903"/>
    <w:multiLevelType w:val="hybridMultilevel"/>
    <w:tmpl w:val="7998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65949"/>
    <w:multiLevelType w:val="multilevel"/>
    <w:tmpl w:val="83A24530"/>
    <w:lvl w:ilvl="0">
      <w:start w:val="1"/>
      <w:numFmt w:val="decimal"/>
      <w:lvlText w:val="%1."/>
      <w:lvlJc w:val="left"/>
      <w:pPr>
        <w:ind w:left="99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10" w:hanging="1800"/>
      </w:pPr>
      <w:rPr>
        <w:rFonts w:hint="default"/>
      </w:rPr>
    </w:lvl>
  </w:abstractNum>
  <w:abstractNum w:abstractNumId="22">
    <w:nsid w:val="6EB14861"/>
    <w:multiLevelType w:val="multilevel"/>
    <w:tmpl w:val="E94C87F4"/>
    <w:lvl w:ilvl="0">
      <w:start w:val="1"/>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2B56B47"/>
    <w:multiLevelType w:val="hybridMultilevel"/>
    <w:tmpl w:val="7C3EBAF8"/>
    <w:lvl w:ilvl="0" w:tplc="0409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6266852"/>
    <w:multiLevelType w:val="multilevel"/>
    <w:tmpl w:val="C316C8C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A265FED"/>
    <w:multiLevelType w:val="hybridMultilevel"/>
    <w:tmpl w:val="AE36C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5"/>
  </w:num>
  <w:num w:numId="7">
    <w:abstractNumId w:val="11"/>
  </w:num>
  <w:num w:numId="8">
    <w:abstractNumId w:val="0"/>
  </w:num>
  <w:num w:numId="9">
    <w:abstractNumId w:val="9"/>
  </w:num>
  <w:num w:numId="10">
    <w:abstractNumId w:val="20"/>
  </w:num>
  <w:num w:numId="11">
    <w:abstractNumId w:val="8"/>
  </w:num>
  <w:num w:numId="12">
    <w:abstractNumId w:val="23"/>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21"/>
  </w:num>
  <w:num w:numId="28">
    <w:abstractNumId w:val="3"/>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
  </w:num>
  <w:num w:numId="33">
    <w:abstractNumId w:val="1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num>
  <w:num w:numId="86">
    <w:abstractNumId w:val="24"/>
  </w:num>
  <w:num w:numId="87">
    <w:abstractNumId w:val="15"/>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09"/>
    <w:rsid w:val="0000072F"/>
    <w:rsid w:val="00000D53"/>
    <w:rsid w:val="00001476"/>
    <w:rsid w:val="000026F9"/>
    <w:rsid w:val="00002C1D"/>
    <w:rsid w:val="00002F35"/>
    <w:rsid w:val="00003CE2"/>
    <w:rsid w:val="00004E9E"/>
    <w:rsid w:val="00005773"/>
    <w:rsid w:val="00005B4B"/>
    <w:rsid w:val="00005DC0"/>
    <w:rsid w:val="000068FB"/>
    <w:rsid w:val="00006DBD"/>
    <w:rsid w:val="0000707F"/>
    <w:rsid w:val="00010084"/>
    <w:rsid w:val="0001126D"/>
    <w:rsid w:val="00011326"/>
    <w:rsid w:val="0001231F"/>
    <w:rsid w:val="000128E8"/>
    <w:rsid w:val="00013274"/>
    <w:rsid w:val="0001344B"/>
    <w:rsid w:val="000139FE"/>
    <w:rsid w:val="000145B1"/>
    <w:rsid w:val="0001507F"/>
    <w:rsid w:val="000152C0"/>
    <w:rsid w:val="0001736F"/>
    <w:rsid w:val="000177EA"/>
    <w:rsid w:val="00020F9D"/>
    <w:rsid w:val="000216C7"/>
    <w:rsid w:val="000217C3"/>
    <w:rsid w:val="00021F2A"/>
    <w:rsid w:val="00022567"/>
    <w:rsid w:val="00022C5E"/>
    <w:rsid w:val="00024742"/>
    <w:rsid w:val="00024770"/>
    <w:rsid w:val="00024CDB"/>
    <w:rsid w:val="000254A7"/>
    <w:rsid w:val="000267FF"/>
    <w:rsid w:val="000272A5"/>
    <w:rsid w:val="00027966"/>
    <w:rsid w:val="00027BDC"/>
    <w:rsid w:val="00027E12"/>
    <w:rsid w:val="00030AF7"/>
    <w:rsid w:val="00030BA8"/>
    <w:rsid w:val="00032314"/>
    <w:rsid w:val="000328EB"/>
    <w:rsid w:val="00033070"/>
    <w:rsid w:val="0003329B"/>
    <w:rsid w:val="000334A2"/>
    <w:rsid w:val="0003420D"/>
    <w:rsid w:val="00034875"/>
    <w:rsid w:val="00034B8A"/>
    <w:rsid w:val="000352A9"/>
    <w:rsid w:val="000352AD"/>
    <w:rsid w:val="000352CB"/>
    <w:rsid w:val="00035835"/>
    <w:rsid w:val="00035A0F"/>
    <w:rsid w:val="00035DBF"/>
    <w:rsid w:val="0003617E"/>
    <w:rsid w:val="00036622"/>
    <w:rsid w:val="00036F93"/>
    <w:rsid w:val="00037D45"/>
    <w:rsid w:val="0004015B"/>
    <w:rsid w:val="000409F3"/>
    <w:rsid w:val="00041E0D"/>
    <w:rsid w:val="00042886"/>
    <w:rsid w:val="00042A64"/>
    <w:rsid w:val="00042F31"/>
    <w:rsid w:val="0004372E"/>
    <w:rsid w:val="00043847"/>
    <w:rsid w:val="0004443E"/>
    <w:rsid w:val="0004478E"/>
    <w:rsid w:val="00044A0A"/>
    <w:rsid w:val="000458B6"/>
    <w:rsid w:val="000464BC"/>
    <w:rsid w:val="00046894"/>
    <w:rsid w:val="00047673"/>
    <w:rsid w:val="00047DAC"/>
    <w:rsid w:val="00050EBD"/>
    <w:rsid w:val="00051577"/>
    <w:rsid w:val="0005192C"/>
    <w:rsid w:val="00052026"/>
    <w:rsid w:val="000525F9"/>
    <w:rsid w:val="00053891"/>
    <w:rsid w:val="00053F30"/>
    <w:rsid w:val="00054099"/>
    <w:rsid w:val="00054271"/>
    <w:rsid w:val="0005472B"/>
    <w:rsid w:val="00055FB7"/>
    <w:rsid w:val="000569F7"/>
    <w:rsid w:val="000575B7"/>
    <w:rsid w:val="0005779A"/>
    <w:rsid w:val="000607DA"/>
    <w:rsid w:val="000611E4"/>
    <w:rsid w:val="00061697"/>
    <w:rsid w:val="00061936"/>
    <w:rsid w:val="00061CAB"/>
    <w:rsid w:val="00061E8A"/>
    <w:rsid w:val="00062D2C"/>
    <w:rsid w:val="000646A0"/>
    <w:rsid w:val="00064DE0"/>
    <w:rsid w:val="00064E12"/>
    <w:rsid w:val="00066023"/>
    <w:rsid w:val="00066713"/>
    <w:rsid w:val="00067709"/>
    <w:rsid w:val="00067789"/>
    <w:rsid w:val="00067B88"/>
    <w:rsid w:val="00067D94"/>
    <w:rsid w:val="000708C9"/>
    <w:rsid w:val="00070A45"/>
    <w:rsid w:val="00070F5A"/>
    <w:rsid w:val="0007167B"/>
    <w:rsid w:val="000721AE"/>
    <w:rsid w:val="000726E0"/>
    <w:rsid w:val="00072D0D"/>
    <w:rsid w:val="00073DCB"/>
    <w:rsid w:val="000756AE"/>
    <w:rsid w:val="0007695B"/>
    <w:rsid w:val="000774B7"/>
    <w:rsid w:val="000800B6"/>
    <w:rsid w:val="00081562"/>
    <w:rsid w:val="00082A8B"/>
    <w:rsid w:val="000839A3"/>
    <w:rsid w:val="0008447C"/>
    <w:rsid w:val="00085EAA"/>
    <w:rsid w:val="000861F9"/>
    <w:rsid w:val="000868DD"/>
    <w:rsid w:val="000869D8"/>
    <w:rsid w:val="00086B91"/>
    <w:rsid w:val="00086CC1"/>
    <w:rsid w:val="0008767D"/>
    <w:rsid w:val="0009012E"/>
    <w:rsid w:val="000902F2"/>
    <w:rsid w:val="000929B2"/>
    <w:rsid w:val="00092DFD"/>
    <w:rsid w:val="00093156"/>
    <w:rsid w:val="000936B9"/>
    <w:rsid w:val="0009386A"/>
    <w:rsid w:val="0009457D"/>
    <w:rsid w:val="00095478"/>
    <w:rsid w:val="00095E5E"/>
    <w:rsid w:val="0009667C"/>
    <w:rsid w:val="00096946"/>
    <w:rsid w:val="000A020C"/>
    <w:rsid w:val="000A069A"/>
    <w:rsid w:val="000A08C4"/>
    <w:rsid w:val="000A09B7"/>
    <w:rsid w:val="000A0E51"/>
    <w:rsid w:val="000A1944"/>
    <w:rsid w:val="000A195D"/>
    <w:rsid w:val="000A1D83"/>
    <w:rsid w:val="000A1F77"/>
    <w:rsid w:val="000A1FEF"/>
    <w:rsid w:val="000A20BC"/>
    <w:rsid w:val="000A256B"/>
    <w:rsid w:val="000A26DF"/>
    <w:rsid w:val="000A3E43"/>
    <w:rsid w:val="000A47F4"/>
    <w:rsid w:val="000A4961"/>
    <w:rsid w:val="000A63F0"/>
    <w:rsid w:val="000A641B"/>
    <w:rsid w:val="000B0F5F"/>
    <w:rsid w:val="000B3C21"/>
    <w:rsid w:val="000B412F"/>
    <w:rsid w:val="000B4851"/>
    <w:rsid w:val="000B5699"/>
    <w:rsid w:val="000B5811"/>
    <w:rsid w:val="000B5C5C"/>
    <w:rsid w:val="000B6624"/>
    <w:rsid w:val="000B69BD"/>
    <w:rsid w:val="000B6D01"/>
    <w:rsid w:val="000B7022"/>
    <w:rsid w:val="000B7915"/>
    <w:rsid w:val="000B7AA6"/>
    <w:rsid w:val="000C0E15"/>
    <w:rsid w:val="000C0EBC"/>
    <w:rsid w:val="000C120F"/>
    <w:rsid w:val="000C2722"/>
    <w:rsid w:val="000C29F0"/>
    <w:rsid w:val="000C571D"/>
    <w:rsid w:val="000C5D5E"/>
    <w:rsid w:val="000C6425"/>
    <w:rsid w:val="000C6537"/>
    <w:rsid w:val="000C74C0"/>
    <w:rsid w:val="000D0152"/>
    <w:rsid w:val="000D0377"/>
    <w:rsid w:val="000D0649"/>
    <w:rsid w:val="000D24B0"/>
    <w:rsid w:val="000D2F1A"/>
    <w:rsid w:val="000D348E"/>
    <w:rsid w:val="000D38F4"/>
    <w:rsid w:val="000D47B1"/>
    <w:rsid w:val="000D59F7"/>
    <w:rsid w:val="000D61C5"/>
    <w:rsid w:val="000E0A11"/>
    <w:rsid w:val="000E0CD3"/>
    <w:rsid w:val="000E1522"/>
    <w:rsid w:val="000E24F5"/>
    <w:rsid w:val="000E290A"/>
    <w:rsid w:val="000E4733"/>
    <w:rsid w:val="000E4C80"/>
    <w:rsid w:val="000E4DD4"/>
    <w:rsid w:val="000E5801"/>
    <w:rsid w:val="000E62B6"/>
    <w:rsid w:val="000E6652"/>
    <w:rsid w:val="000E6DF6"/>
    <w:rsid w:val="000E76C3"/>
    <w:rsid w:val="000F03EF"/>
    <w:rsid w:val="000F164C"/>
    <w:rsid w:val="000F23A9"/>
    <w:rsid w:val="000F3552"/>
    <w:rsid w:val="000F3700"/>
    <w:rsid w:val="000F3E10"/>
    <w:rsid w:val="000F428D"/>
    <w:rsid w:val="000F43B4"/>
    <w:rsid w:val="000F4BFA"/>
    <w:rsid w:val="000F4EA1"/>
    <w:rsid w:val="000F54D6"/>
    <w:rsid w:val="000F5615"/>
    <w:rsid w:val="000F67CB"/>
    <w:rsid w:val="000F7213"/>
    <w:rsid w:val="000F7961"/>
    <w:rsid w:val="00100359"/>
    <w:rsid w:val="00100ADB"/>
    <w:rsid w:val="001011B7"/>
    <w:rsid w:val="00102158"/>
    <w:rsid w:val="00102361"/>
    <w:rsid w:val="001039D2"/>
    <w:rsid w:val="001049DC"/>
    <w:rsid w:val="00105F46"/>
    <w:rsid w:val="00107253"/>
    <w:rsid w:val="001076A7"/>
    <w:rsid w:val="0010798F"/>
    <w:rsid w:val="001101BC"/>
    <w:rsid w:val="001101C1"/>
    <w:rsid w:val="001103FB"/>
    <w:rsid w:val="00110729"/>
    <w:rsid w:val="00110943"/>
    <w:rsid w:val="0011298A"/>
    <w:rsid w:val="00112E35"/>
    <w:rsid w:val="00113B3B"/>
    <w:rsid w:val="00113C70"/>
    <w:rsid w:val="00113CEB"/>
    <w:rsid w:val="00114115"/>
    <w:rsid w:val="00114971"/>
    <w:rsid w:val="00114F2E"/>
    <w:rsid w:val="00115777"/>
    <w:rsid w:val="0011591E"/>
    <w:rsid w:val="001162CA"/>
    <w:rsid w:val="00116858"/>
    <w:rsid w:val="00116FC9"/>
    <w:rsid w:val="0011740F"/>
    <w:rsid w:val="001176C5"/>
    <w:rsid w:val="00121057"/>
    <w:rsid w:val="00121E4B"/>
    <w:rsid w:val="00121EC0"/>
    <w:rsid w:val="00121F2F"/>
    <w:rsid w:val="00122DDF"/>
    <w:rsid w:val="001232A7"/>
    <w:rsid w:val="00123363"/>
    <w:rsid w:val="0012596B"/>
    <w:rsid w:val="00126634"/>
    <w:rsid w:val="0012669A"/>
    <w:rsid w:val="0012764A"/>
    <w:rsid w:val="00127E37"/>
    <w:rsid w:val="00130116"/>
    <w:rsid w:val="00130218"/>
    <w:rsid w:val="00130F9E"/>
    <w:rsid w:val="00132122"/>
    <w:rsid w:val="001328A9"/>
    <w:rsid w:val="0013302E"/>
    <w:rsid w:val="001335D5"/>
    <w:rsid w:val="00133A47"/>
    <w:rsid w:val="00134EB2"/>
    <w:rsid w:val="0013605B"/>
    <w:rsid w:val="0013629E"/>
    <w:rsid w:val="001374C6"/>
    <w:rsid w:val="00140586"/>
    <w:rsid w:val="001407EE"/>
    <w:rsid w:val="00140D8D"/>
    <w:rsid w:val="00141426"/>
    <w:rsid w:val="001414CD"/>
    <w:rsid w:val="00141762"/>
    <w:rsid w:val="0014206B"/>
    <w:rsid w:val="001421B9"/>
    <w:rsid w:val="00142F1D"/>
    <w:rsid w:val="0014328B"/>
    <w:rsid w:val="00143F85"/>
    <w:rsid w:val="00144C04"/>
    <w:rsid w:val="00144DB0"/>
    <w:rsid w:val="00145718"/>
    <w:rsid w:val="00146D39"/>
    <w:rsid w:val="00146F7B"/>
    <w:rsid w:val="00147C46"/>
    <w:rsid w:val="001511A6"/>
    <w:rsid w:val="0015127E"/>
    <w:rsid w:val="00151E22"/>
    <w:rsid w:val="0015239B"/>
    <w:rsid w:val="00152C87"/>
    <w:rsid w:val="00154FEE"/>
    <w:rsid w:val="00155B08"/>
    <w:rsid w:val="00155EE6"/>
    <w:rsid w:val="0015654B"/>
    <w:rsid w:val="001565DA"/>
    <w:rsid w:val="00156AE3"/>
    <w:rsid w:val="00157A3E"/>
    <w:rsid w:val="0016026A"/>
    <w:rsid w:val="00161811"/>
    <w:rsid w:val="00162069"/>
    <w:rsid w:val="001631AC"/>
    <w:rsid w:val="00163207"/>
    <w:rsid w:val="00163D85"/>
    <w:rsid w:val="001640BB"/>
    <w:rsid w:val="0016418B"/>
    <w:rsid w:val="00164AEE"/>
    <w:rsid w:val="00165096"/>
    <w:rsid w:val="001660E0"/>
    <w:rsid w:val="001669E3"/>
    <w:rsid w:val="0016726D"/>
    <w:rsid w:val="001674A5"/>
    <w:rsid w:val="0016764F"/>
    <w:rsid w:val="001700E0"/>
    <w:rsid w:val="0017018C"/>
    <w:rsid w:val="001702CA"/>
    <w:rsid w:val="00170446"/>
    <w:rsid w:val="00170838"/>
    <w:rsid w:val="00170F45"/>
    <w:rsid w:val="00171523"/>
    <w:rsid w:val="0017175C"/>
    <w:rsid w:val="00171EDD"/>
    <w:rsid w:val="0017264E"/>
    <w:rsid w:val="00173A56"/>
    <w:rsid w:val="0017423F"/>
    <w:rsid w:val="00175056"/>
    <w:rsid w:val="00177052"/>
    <w:rsid w:val="00177724"/>
    <w:rsid w:val="001805BE"/>
    <w:rsid w:val="001814B7"/>
    <w:rsid w:val="00181811"/>
    <w:rsid w:val="00181998"/>
    <w:rsid w:val="00181B0D"/>
    <w:rsid w:val="0018356A"/>
    <w:rsid w:val="001844E9"/>
    <w:rsid w:val="0018466D"/>
    <w:rsid w:val="0018521C"/>
    <w:rsid w:val="00185FB0"/>
    <w:rsid w:val="0019070A"/>
    <w:rsid w:val="00191CEA"/>
    <w:rsid w:val="00191EB5"/>
    <w:rsid w:val="0019224C"/>
    <w:rsid w:val="001927E7"/>
    <w:rsid w:val="00192D5E"/>
    <w:rsid w:val="00193086"/>
    <w:rsid w:val="00194609"/>
    <w:rsid w:val="00194BC0"/>
    <w:rsid w:val="00195DBF"/>
    <w:rsid w:val="00196BA3"/>
    <w:rsid w:val="00197169"/>
    <w:rsid w:val="00197A8B"/>
    <w:rsid w:val="00197B52"/>
    <w:rsid w:val="00197F19"/>
    <w:rsid w:val="001A03A3"/>
    <w:rsid w:val="001A0FAB"/>
    <w:rsid w:val="001A27AB"/>
    <w:rsid w:val="001A2B05"/>
    <w:rsid w:val="001A2D4B"/>
    <w:rsid w:val="001A32A4"/>
    <w:rsid w:val="001A4EBB"/>
    <w:rsid w:val="001A52DE"/>
    <w:rsid w:val="001A58D0"/>
    <w:rsid w:val="001A590F"/>
    <w:rsid w:val="001A5D2A"/>
    <w:rsid w:val="001A62A2"/>
    <w:rsid w:val="001A6FBE"/>
    <w:rsid w:val="001A6FEA"/>
    <w:rsid w:val="001A714E"/>
    <w:rsid w:val="001B1512"/>
    <w:rsid w:val="001B153C"/>
    <w:rsid w:val="001B1AC2"/>
    <w:rsid w:val="001B260F"/>
    <w:rsid w:val="001B2EC0"/>
    <w:rsid w:val="001B314F"/>
    <w:rsid w:val="001B42F4"/>
    <w:rsid w:val="001B4942"/>
    <w:rsid w:val="001B4FD5"/>
    <w:rsid w:val="001B52DF"/>
    <w:rsid w:val="001B5DF5"/>
    <w:rsid w:val="001B63D5"/>
    <w:rsid w:val="001B7075"/>
    <w:rsid w:val="001B72CF"/>
    <w:rsid w:val="001B7635"/>
    <w:rsid w:val="001B7FD4"/>
    <w:rsid w:val="001C0288"/>
    <w:rsid w:val="001C0736"/>
    <w:rsid w:val="001C1A9E"/>
    <w:rsid w:val="001C29EE"/>
    <w:rsid w:val="001C2B89"/>
    <w:rsid w:val="001C3CDF"/>
    <w:rsid w:val="001C3FAF"/>
    <w:rsid w:val="001C4CD8"/>
    <w:rsid w:val="001C4D36"/>
    <w:rsid w:val="001C5430"/>
    <w:rsid w:val="001C63D6"/>
    <w:rsid w:val="001C6878"/>
    <w:rsid w:val="001C7444"/>
    <w:rsid w:val="001D01EA"/>
    <w:rsid w:val="001D3ABE"/>
    <w:rsid w:val="001D3E86"/>
    <w:rsid w:val="001D43DA"/>
    <w:rsid w:val="001D5118"/>
    <w:rsid w:val="001D5E43"/>
    <w:rsid w:val="001D609B"/>
    <w:rsid w:val="001D7D42"/>
    <w:rsid w:val="001E0D6B"/>
    <w:rsid w:val="001E1050"/>
    <w:rsid w:val="001E1AC2"/>
    <w:rsid w:val="001E3B46"/>
    <w:rsid w:val="001E406E"/>
    <w:rsid w:val="001E4085"/>
    <w:rsid w:val="001E42E0"/>
    <w:rsid w:val="001E642A"/>
    <w:rsid w:val="001E66AD"/>
    <w:rsid w:val="001E74B1"/>
    <w:rsid w:val="001F0C45"/>
    <w:rsid w:val="001F10DB"/>
    <w:rsid w:val="001F1299"/>
    <w:rsid w:val="001F196F"/>
    <w:rsid w:val="001F1BC3"/>
    <w:rsid w:val="001F21CC"/>
    <w:rsid w:val="001F35FC"/>
    <w:rsid w:val="001F3D0D"/>
    <w:rsid w:val="001F3DAD"/>
    <w:rsid w:val="001F40A9"/>
    <w:rsid w:val="001F468F"/>
    <w:rsid w:val="001F46F1"/>
    <w:rsid w:val="001F52D0"/>
    <w:rsid w:val="001F52EC"/>
    <w:rsid w:val="001F57E9"/>
    <w:rsid w:val="001F5F05"/>
    <w:rsid w:val="001F65A9"/>
    <w:rsid w:val="001F6A83"/>
    <w:rsid w:val="001F6AD1"/>
    <w:rsid w:val="001F6EEF"/>
    <w:rsid w:val="001F7DE9"/>
    <w:rsid w:val="002006E7"/>
    <w:rsid w:val="00200D1D"/>
    <w:rsid w:val="00200D7C"/>
    <w:rsid w:val="0020188B"/>
    <w:rsid w:val="002018B1"/>
    <w:rsid w:val="002020BF"/>
    <w:rsid w:val="00202BF5"/>
    <w:rsid w:val="00202C4B"/>
    <w:rsid w:val="002034B4"/>
    <w:rsid w:val="002038A5"/>
    <w:rsid w:val="002044E0"/>
    <w:rsid w:val="002046FC"/>
    <w:rsid w:val="002049C8"/>
    <w:rsid w:val="002049ED"/>
    <w:rsid w:val="002059EB"/>
    <w:rsid w:val="00205A5F"/>
    <w:rsid w:val="00205B7C"/>
    <w:rsid w:val="00207842"/>
    <w:rsid w:val="00207E5C"/>
    <w:rsid w:val="0021000C"/>
    <w:rsid w:val="0021062E"/>
    <w:rsid w:val="00211BFB"/>
    <w:rsid w:val="00211D70"/>
    <w:rsid w:val="00212446"/>
    <w:rsid w:val="00214B90"/>
    <w:rsid w:val="00214CCA"/>
    <w:rsid w:val="00214F81"/>
    <w:rsid w:val="00215159"/>
    <w:rsid w:val="0021523B"/>
    <w:rsid w:val="00216328"/>
    <w:rsid w:val="0021670B"/>
    <w:rsid w:val="002170C5"/>
    <w:rsid w:val="00220A84"/>
    <w:rsid w:val="002227C7"/>
    <w:rsid w:val="00222E79"/>
    <w:rsid w:val="00223276"/>
    <w:rsid w:val="00223449"/>
    <w:rsid w:val="00224192"/>
    <w:rsid w:val="0022462D"/>
    <w:rsid w:val="00224AB8"/>
    <w:rsid w:val="00224F5C"/>
    <w:rsid w:val="002254A5"/>
    <w:rsid w:val="002254C4"/>
    <w:rsid w:val="00225AA7"/>
    <w:rsid w:val="00225ABB"/>
    <w:rsid w:val="00225E99"/>
    <w:rsid w:val="00226E67"/>
    <w:rsid w:val="0022713D"/>
    <w:rsid w:val="00227A6B"/>
    <w:rsid w:val="0023076D"/>
    <w:rsid w:val="00231247"/>
    <w:rsid w:val="0023167E"/>
    <w:rsid w:val="0023184D"/>
    <w:rsid w:val="00231D6B"/>
    <w:rsid w:val="00231E73"/>
    <w:rsid w:val="002322FA"/>
    <w:rsid w:val="0023250A"/>
    <w:rsid w:val="00233746"/>
    <w:rsid w:val="00233BC7"/>
    <w:rsid w:val="00234BE8"/>
    <w:rsid w:val="00234D52"/>
    <w:rsid w:val="0023503D"/>
    <w:rsid w:val="00235702"/>
    <w:rsid w:val="00235EA8"/>
    <w:rsid w:val="002360D8"/>
    <w:rsid w:val="00236183"/>
    <w:rsid w:val="0023640A"/>
    <w:rsid w:val="00240818"/>
    <w:rsid w:val="002409E5"/>
    <w:rsid w:val="00240B8A"/>
    <w:rsid w:val="00240EDF"/>
    <w:rsid w:val="00242009"/>
    <w:rsid w:val="00242C05"/>
    <w:rsid w:val="00243A24"/>
    <w:rsid w:val="00244707"/>
    <w:rsid w:val="00244F6D"/>
    <w:rsid w:val="00245B59"/>
    <w:rsid w:val="00245D28"/>
    <w:rsid w:val="002470E4"/>
    <w:rsid w:val="002471E8"/>
    <w:rsid w:val="00247E1C"/>
    <w:rsid w:val="00250856"/>
    <w:rsid w:val="00250F3E"/>
    <w:rsid w:val="0025124E"/>
    <w:rsid w:val="0025138F"/>
    <w:rsid w:val="00252057"/>
    <w:rsid w:val="002521AD"/>
    <w:rsid w:val="00252CF9"/>
    <w:rsid w:val="002534CF"/>
    <w:rsid w:val="002536C5"/>
    <w:rsid w:val="0025517E"/>
    <w:rsid w:val="002551EC"/>
    <w:rsid w:val="002552ED"/>
    <w:rsid w:val="00255317"/>
    <w:rsid w:val="00255422"/>
    <w:rsid w:val="00256EDE"/>
    <w:rsid w:val="00257C76"/>
    <w:rsid w:val="00260263"/>
    <w:rsid w:val="00261C92"/>
    <w:rsid w:val="002620B1"/>
    <w:rsid w:val="00262B72"/>
    <w:rsid w:val="00263678"/>
    <w:rsid w:val="002636E5"/>
    <w:rsid w:val="00266185"/>
    <w:rsid w:val="00266637"/>
    <w:rsid w:val="0026682D"/>
    <w:rsid w:val="002672CB"/>
    <w:rsid w:val="002673BA"/>
    <w:rsid w:val="0027042E"/>
    <w:rsid w:val="00270743"/>
    <w:rsid w:val="002708FA"/>
    <w:rsid w:val="00270C25"/>
    <w:rsid w:val="00270C65"/>
    <w:rsid w:val="00271604"/>
    <w:rsid w:val="00271DE2"/>
    <w:rsid w:val="002729FC"/>
    <w:rsid w:val="00272D67"/>
    <w:rsid w:val="0027324B"/>
    <w:rsid w:val="00274042"/>
    <w:rsid w:val="0027478F"/>
    <w:rsid w:val="002747B1"/>
    <w:rsid w:val="00276390"/>
    <w:rsid w:val="002767CF"/>
    <w:rsid w:val="00276AA8"/>
    <w:rsid w:val="00276BB3"/>
    <w:rsid w:val="00276D69"/>
    <w:rsid w:val="0027722A"/>
    <w:rsid w:val="0027754A"/>
    <w:rsid w:val="00277585"/>
    <w:rsid w:val="002775DC"/>
    <w:rsid w:val="002776E8"/>
    <w:rsid w:val="00277DAE"/>
    <w:rsid w:val="002800D9"/>
    <w:rsid w:val="00280ADF"/>
    <w:rsid w:val="00282544"/>
    <w:rsid w:val="002828B2"/>
    <w:rsid w:val="00282E1C"/>
    <w:rsid w:val="0028389B"/>
    <w:rsid w:val="00283BE7"/>
    <w:rsid w:val="00283FB5"/>
    <w:rsid w:val="00284526"/>
    <w:rsid w:val="00284997"/>
    <w:rsid w:val="0028578F"/>
    <w:rsid w:val="00285A05"/>
    <w:rsid w:val="002876E7"/>
    <w:rsid w:val="00290053"/>
    <w:rsid w:val="00290787"/>
    <w:rsid w:val="0029207C"/>
    <w:rsid w:val="00292EA5"/>
    <w:rsid w:val="0029349C"/>
    <w:rsid w:val="00293DF8"/>
    <w:rsid w:val="00294449"/>
    <w:rsid w:val="0029459A"/>
    <w:rsid w:val="00294A22"/>
    <w:rsid w:val="002958DE"/>
    <w:rsid w:val="00295B70"/>
    <w:rsid w:val="0029619B"/>
    <w:rsid w:val="00296234"/>
    <w:rsid w:val="0029761E"/>
    <w:rsid w:val="00297EC2"/>
    <w:rsid w:val="00297F33"/>
    <w:rsid w:val="00297FE4"/>
    <w:rsid w:val="002A0937"/>
    <w:rsid w:val="002A1A33"/>
    <w:rsid w:val="002A1A83"/>
    <w:rsid w:val="002A2E7E"/>
    <w:rsid w:val="002A2F2F"/>
    <w:rsid w:val="002A3278"/>
    <w:rsid w:val="002A35C8"/>
    <w:rsid w:val="002A3BED"/>
    <w:rsid w:val="002A3C67"/>
    <w:rsid w:val="002A6294"/>
    <w:rsid w:val="002A6F7E"/>
    <w:rsid w:val="002A6FCD"/>
    <w:rsid w:val="002A774C"/>
    <w:rsid w:val="002A7D3E"/>
    <w:rsid w:val="002A7F83"/>
    <w:rsid w:val="002B0C02"/>
    <w:rsid w:val="002B1E3E"/>
    <w:rsid w:val="002B1FBD"/>
    <w:rsid w:val="002B23AD"/>
    <w:rsid w:val="002B2820"/>
    <w:rsid w:val="002B2F77"/>
    <w:rsid w:val="002B338A"/>
    <w:rsid w:val="002B3914"/>
    <w:rsid w:val="002B4527"/>
    <w:rsid w:val="002B6241"/>
    <w:rsid w:val="002B7049"/>
    <w:rsid w:val="002B735C"/>
    <w:rsid w:val="002B772D"/>
    <w:rsid w:val="002B77E3"/>
    <w:rsid w:val="002B7BD4"/>
    <w:rsid w:val="002B7C14"/>
    <w:rsid w:val="002C2064"/>
    <w:rsid w:val="002C2796"/>
    <w:rsid w:val="002C47D6"/>
    <w:rsid w:val="002C4D13"/>
    <w:rsid w:val="002C5BBD"/>
    <w:rsid w:val="002C65C4"/>
    <w:rsid w:val="002C7935"/>
    <w:rsid w:val="002C7A2C"/>
    <w:rsid w:val="002D0767"/>
    <w:rsid w:val="002D0DE3"/>
    <w:rsid w:val="002D1497"/>
    <w:rsid w:val="002D229A"/>
    <w:rsid w:val="002D3A5A"/>
    <w:rsid w:val="002D3D17"/>
    <w:rsid w:val="002D43C6"/>
    <w:rsid w:val="002D4A87"/>
    <w:rsid w:val="002D4C8B"/>
    <w:rsid w:val="002D4E5D"/>
    <w:rsid w:val="002D5465"/>
    <w:rsid w:val="002D55E0"/>
    <w:rsid w:val="002D578F"/>
    <w:rsid w:val="002D5C1A"/>
    <w:rsid w:val="002D5D00"/>
    <w:rsid w:val="002D68AD"/>
    <w:rsid w:val="002D7827"/>
    <w:rsid w:val="002D7BB8"/>
    <w:rsid w:val="002D7E5D"/>
    <w:rsid w:val="002D7FEE"/>
    <w:rsid w:val="002E0190"/>
    <w:rsid w:val="002E0D47"/>
    <w:rsid w:val="002E0FDD"/>
    <w:rsid w:val="002E2300"/>
    <w:rsid w:val="002E243B"/>
    <w:rsid w:val="002E28B0"/>
    <w:rsid w:val="002E34B4"/>
    <w:rsid w:val="002E3A0F"/>
    <w:rsid w:val="002E3A69"/>
    <w:rsid w:val="002E3C63"/>
    <w:rsid w:val="002E4CDB"/>
    <w:rsid w:val="002E547E"/>
    <w:rsid w:val="002E5590"/>
    <w:rsid w:val="002E652B"/>
    <w:rsid w:val="002E6CF1"/>
    <w:rsid w:val="002E6F45"/>
    <w:rsid w:val="002E7212"/>
    <w:rsid w:val="002F0489"/>
    <w:rsid w:val="002F0D53"/>
    <w:rsid w:val="002F11A7"/>
    <w:rsid w:val="002F1419"/>
    <w:rsid w:val="002F1543"/>
    <w:rsid w:val="002F1854"/>
    <w:rsid w:val="002F2934"/>
    <w:rsid w:val="002F4370"/>
    <w:rsid w:val="002F4D8E"/>
    <w:rsid w:val="002F5153"/>
    <w:rsid w:val="002F6147"/>
    <w:rsid w:val="002F68EC"/>
    <w:rsid w:val="002F6D38"/>
    <w:rsid w:val="002F75F5"/>
    <w:rsid w:val="002F7955"/>
    <w:rsid w:val="002F7AE6"/>
    <w:rsid w:val="003001E8"/>
    <w:rsid w:val="00300C3B"/>
    <w:rsid w:val="00304939"/>
    <w:rsid w:val="00304F29"/>
    <w:rsid w:val="00305191"/>
    <w:rsid w:val="00306A83"/>
    <w:rsid w:val="00306F71"/>
    <w:rsid w:val="00306FED"/>
    <w:rsid w:val="00310744"/>
    <w:rsid w:val="00310F55"/>
    <w:rsid w:val="003115A7"/>
    <w:rsid w:val="00312F22"/>
    <w:rsid w:val="00313822"/>
    <w:rsid w:val="00313B18"/>
    <w:rsid w:val="00313B1E"/>
    <w:rsid w:val="00313C62"/>
    <w:rsid w:val="00313F9B"/>
    <w:rsid w:val="003140AB"/>
    <w:rsid w:val="00314D8A"/>
    <w:rsid w:val="00314DB9"/>
    <w:rsid w:val="003160C7"/>
    <w:rsid w:val="0031641C"/>
    <w:rsid w:val="003177D3"/>
    <w:rsid w:val="003200AE"/>
    <w:rsid w:val="00320238"/>
    <w:rsid w:val="00321B01"/>
    <w:rsid w:val="00321EC5"/>
    <w:rsid w:val="00322C3B"/>
    <w:rsid w:val="00322CB9"/>
    <w:rsid w:val="00323B98"/>
    <w:rsid w:val="003241BA"/>
    <w:rsid w:val="0032489E"/>
    <w:rsid w:val="003248C6"/>
    <w:rsid w:val="00325586"/>
    <w:rsid w:val="00326247"/>
    <w:rsid w:val="00326898"/>
    <w:rsid w:val="00326A3A"/>
    <w:rsid w:val="00327241"/>
    <w:rsid w:val="00330DDD"/>
    <w:rsid w:val="00331788"/>
    <w:rsid w:val="0033257B"/>
    <w:rsid w:val="0033279D"/>
    <w:rsid w:val="0033395B"/>
    <w:rsid w:val="00333B13"/>
    <w:rsid w:val="00333BFC"/>
    <w:rsid w:val="00334A5E"/>
    <w:rsid w:val="00334D28"/>
    <w:rsid w:val="00335143"/>
    <w:rsid w:val="003352A9"/>
    <w:rsid w:val="00335F1C"/>
    <w:rsid w:val="003360B5"/>
    <w:rsid w:val="00337D68"/>
    <w:rsid w:val="00337DFD"/>
    <w:rsid w:val="00340313"/>
    <w:rsid w:val="00340AAE"/>
    <w:rsid w:val="00340C53"/>
    <w:rsid w:val="00340F9B"/>
    <w:rsid w:val="00341DE9"/>
    <w:rsid w:val="00341EF1"/>
    <w:rsid w:val="0034235D"/>
    <w:rsid w:val="00342CC5"/>
    <w:rsid w:val="00342E83"/>
    <w:rsid w:val="003435A2"/>
    <w:rsid w:val="003443AD"/>
    <w:rsid w:val="0034459B"/>
    <w:rsid w:val="00344FA5"/>
    <w:rsid w:val="0034738F"/>
    <w:rsid w:val="00347689"/>
    <w:rsid w:val="003479DA"/>
    <w:rsid w:val="00347BBF"/>
    <w:rsid w:val="0035019A"/>
    <w:rsid w:val="0035045A"/>
    <w:rsid w:val="00351793"/>
    <w:rsid w:val="00351DA8"/>
    <w:rsid w:val="00352738"/>
    <w:rsid w:val="003528D7"/>
    <w:rsid w:val="00352C1A"/>
    <w:rsid w:val="003530CA"/>
    <w:rsid w:val="00353931"/>
    <w:rsid w:val="00353FC0"/>
    <w:rsid w:val="0035442B"/>
    <w:rsid w:val="00354869"/>
    <w:rsid w:val="00354C3A"/>
    <w:rsid w:val="003551E4"/>
    <w:rsid w:val="00355634"/>
    <w:rsid w:val="003557B1"/>
    <w:rsid w:val="00355B31"/>
    <w:rsid w:val="00355D55"/>
    <w:rsid w:val="00356B15"/>
    <w:rsid w:val="0035784C"/>
    <w:rsid w:val="00357B7D"/>
    <w:rsid w:val="00357D8F"/>
    <w:rsid w:val="003610BB"/>
    <w:rsid w:val="00361F9E"/>
    <w:rsid w:val="0036291C"/>
    <w:rsid w:val="00363663"/>
    <w:rsid w:val="00364009"/>
    <w:rsid w:val="00364193"/>
    <w:rsid w:val="00365477"/>
    <w:rsid w:val="00365F4B"/>
    <w:rsid w:val="00365F76"/>
    <w:rsid w:val="00366959"/>
    <w:rsid w:val="00366CED"/>
    <w:rsid w:val="00366ECD"/>
    <w:rsid w:val="00366F4D"/>
    <w:rsid w:val="0036736E"/>
    <w:rsid w:val="003717DA"/>
    <w:rsid w:val="00373047"/>
    <w:rsid w:val="00373324"/>
    <w:rsid w:val="00374074"/>
    <w:rsid w:val="0037430C"/>
    <w:rsid w:val="00374361"/>
    <w:rsid w:val="00374FA4"/>
    <w:rsid w:val="003751A7"/>
    <w:rsid w:val="00375FF7"/>
    <w:rsid w:val="003761B1"/>
    <w:rsid w:val="00376527"/>
    <w:rsid w:val="00376918"/>
    <w:rsid w:val="00377823"/>
    <w:rsid w:val="003805FA"/>
    <w:rsid w:val="00381A3E"/>
    <w:rsid w:val="00381BC0"/>
    <w:rsid w:val="00382001"/>
    <w:rsid w:val="003828FE"/>
    <w:rsid w:val="00382DE7"/>
    <w:rsid w:val="00383F95"/>
    <w:rsid w:val="003845B0"/>
    <w:rsid w:val="003851E8"/>
    <w:rsid w:val="0038528A"/>
    <w:rsid w:val="0038572A"/>
    <w:rsid w:val="00385752"/>
    <w:rsid w:val="00390B97"/>
    <w:rsid w:val="00390F00"/>
    <w:rsid w:val="0039134B"/>
    <w:rsid w:val="003914CE"/>
    <w:rsid w:val="003919C5"/>
    <w:rsid w:val="003922B4"/>
    <w:rsid w:val="00392656"/>
    <w:rsid w:val="00392E7B"/>
    <w:rsid w:val="003931D3"/>
    <w:rsid w:val="003938DE"/>
    <w:rsid w:val="00393943"/>
    <w:rsid w:val="003942B6"/>
    <w:rsid w:val="00394472"/>
    <w:rsid w:val="00394BF7"/>
    <w:rsid w:val="00394DA0"/>
    <w:rsid w:val="00395183"/>
    <w:rsid w:val="0039557E"/>
    <w:rsid w:val="003955D1"/>
    <w:rsid w:val="003959B5"/>
    <w:rsid w:val="00395BC0"/>
    <w:rsid w:val="00395EF4"/>
    <w:rsid w:val="00395F55"/>
    <w:rsid w:val="0039631C"/>
    <w:rsid w:val="0039670F"/>
    <w:rsid w:val="003973E6"/>
    <w:rsid w:val="00397F4D"/>
    <w:rsid w:val="003A0EF9"/>
    <w:rsid w:val="003A12A1"/>
    <w:rsid w:val="003A1AF2"/>
    <w:rsid w:val="003A1EED"/>
    <w:rsid w:val="003A1FAC"/>
    <w:rsid w:val="003A22A2"/>
    <w:rsid w:val="003A26F4"/>
    <w:rsid w:val="003A2A35"/>
    <w:rsid w:val="003A40DE"/>
    <w:rsid w:val="003A4630"/>
    <w:rsid w:val="003A4EF3"/>
    <w:rsid w:val="003A50BC"/>
    <w:rsid w:val="003B0C20"/>
    <w:rsid w:val="003B0E0B"/>
    <w:rsid w:val="003B165A"/>
    <w:rsid w:val="003B30EB"/>
    <w:rsid w:val="003B3510"/>
    <w:rsid w:val="003B3D16"/>
    <w:rsid w:val="003B476A"/>
    <w:rsid w:val="003B47BC"/>
    <w:rsid w:val="003B52B2"/>
    <w:rsid w:val="003B7DE2"/>
    <w:rsid w:val="003C05BF"/>
    <w:rsid w:val="003C0C5F"/>
    <w:rsid w:val="003C1547"/>
    <w:rsid w:val="003C15EA"/>
    <w:rsid w:val="003C27BB"/>
    <w:rsid w:val="003C280C"/>
    <w:rsid w:val="003C2C6B"/>
    <w:rsid w:val="003C2DD5"/>
    <w:rsid w:val="003C33E2"/>
    <w:rsid w:val="003C3B1C"/>
    <w:rsid w:val="003C4490"/>
    <w:rsid w:val="003C4BB5"/>
    <w:rsid w:val="003C61AB"/>
    <w:rsid w:val="003C6812"/>
    <w:rsid w:val="003C6911"/>
    <w:rsid w:val="003C75A4"/>
    <w:rsid w:val="003C7944"/>
    <w:rsid w:val="003C7D35"/>
    <w:rsid w:val="003D2AFA"/>
    <w:rsid w:val="003D3788"/>
    <w:rsid w:val="003D46DA"/>
    <w:rsid w:val="003D4AF5"/>
    <w:rsid w:val="003D5165"/>
    <w:rsid w:val="003D5FA8"/>
    <w:rsid w:val="003D7FFD"/>
    <w:rsid w:val="003E035D"/>
    <w:rsid w:val="003E05AD"/>
    <w:rsid w:val="003E072A"/>
    <w:rsid w:val="003E092F"/>
    <w:rsid w:val="003E1646"/>
    <w:rsid w:val="003E17BE"/>
    <w:rsid w:val="003E1F5B"/>
    <w:rsid w:val="003E20A2"/>
    <w:rsid w:val="003E22BA"/>
    <w:rsid w:val="003E2665"/>
    <w:rsid w:val="003E27D7"/>
    <w:rsid w:val="003E3183"/>
    <w:rsid w:val="003E3D4D"/>
    <w:rsid w:val="003E3DFD"/>
    <w:rsid w:val="003E3DFE"/>
    <w:rsid w:val="003E4932"/>
    <w:rsid w:val="003E57EA"/>
    <w:rsid w:val="003E5914"/>
    <w:rsid w:val="003E6831"/>
    <w:rsid w:val="003F0342"/>
    <w:rsid w:val="003F04EF"/>
    <w:rsid w:val="003F0C72"/>
    <w:rsid w:val="003F1A40"/>
    <w:rsid w:val="003F1D72"/>
    <w:rsid w:val="003F1EC6"/>
    <w:rsid w:val="003F2011"/>
    <w:rsid w:val="003F2403"/>
    <w:rsid w:val="003F4F3D"/>
    <w:rsid w:val="003F599C"/>
    <w:rsid w:val="003F5A31"/>
    <w:rsid w:val="003F6DCA"/>
    <w:rsid w:val="003F706F"/>
    <w:rsid w:val="003F7930"/>
    <w:rsid w:val="003F7935"/>
    <w:rsid w:val="004012A3"/>
    <w:rsid w:val="00402084"/>
    <w:rsid w:val="0040260B"/>
    <w:rsid w:val="00402694"/>
    <w:rsid w:val="00402860"/>
    <w:rsid w:val="00402BA5"/>
    <w:rsid w:val="0040309D"/>
    <w:rsid w:val="00403528"/>
    <w:rsid w:val="00403BE7"/>
    <w:rsid w:val="00403C5A"/>
    <w:rsid w:val="00404FEE"/>
    <w:rsid w:val="00405802"/>
    <w:rsid w:val="00406264"/>
    <w:rsid w:val="00407745"/>
    <w:rsid w:val="00407F9F"/>
    <w:rsid w:val="00412B5D"/>
    <w:rsid w:val="004143D7"/>
    <w:rsid w:val="00414923"/>
    <w:rsid w:val="00414B63"/>
    <w:rsid w:val="004152D9"/>
    <w:rsid w:val="00415538"/>
    <w:rsid w:val="004158F7"/>
    <w:rsid w:val="0041778D"/>
    <w:rsid w:val="00417E37"/>
    <w:rsid w:val="0042096B"/>
    <w:rsid w:val="004209D3"/>
    <w:rsid w:val="00421460"/>
    <w:rsid w:val="00421E19"/>
    <w:rsid w:val="004224DD"/>
    <w:rsid w:val="004226CA"/>
    <w:rsid w:val="00422D39"/>
    <w:rsid w:val="00422DD3"/>
    <w:rsid w:val="00423393"/>
    <w:rsid w:val="0042569F"/>
    <w:rsid w:val="00425806"/>
    <w:rsid w:val="0042683D"/>
    <w:rsid w:val="00427370"/>
    <w:rsid w:val="004300C0"/>
    <w:rsid w:val="00431EB9"/>
    <w:rsid w:val="00432151"/>
    <w:rsid w:val="0043221D"/>
    <w:rsid w:val="004368AC"/>
    <w:rsid w:val="004369B4"/>
    <w:rsid w:val="00436BB3"/>
    <w:rsid w:val="00437AD4"/>
    <w:rsid w:val="0044147D"/>
    <w:rsid w:val="00441DA7"/>
    <w:rsid w:val="00441F5A"/>
    <w:rsid w:val="00442156"/>
    <w:rsid w:val="00442BDC"/>
    <w:rsid w:val="00442C23"/>
    <w:rsid w:val="004431D2"/>
    <w:rsid w:val="00443AAA"/>
    <w:rsid w:val="0044442C"/>
    <w:rsid w:val="004458CF"/>
    <w:rsid w:val="00446070"/>
    <w:rsid w:val="004473CA"/>
    <w:rsid w:val="004478E5"/>
    <w:rsid w:val="00450457"/>
    <w:rsid w:val="00450892"/>
    <w:rsid w:val="00450AA9"/>
    <w:rsid w:val="004510FC"/>
    <w:rsid w:val="0045277D"/>
    <w:rsid w:val="004529C4"/>
    <w:rsid w:val="00452A97"/>
    <w:rsid w:val="00453083"/>
    <w:rsid w:val="00453FA6"/>
    <w:rsid w:val="004545C4"/>
    <w:rsid w:val="00455C67"/>
    <w:rsid w:val="00456A56"/>
    <w:rsid w:val="00456E61"/>
    <w:rsid w:val="00456F08"/>
    <w:rsid w:val="004605A9"/>
    <w:rsid w:val="00460FB5"/>
    <w:rsid w:val="00461FD0"/>
    <w:rsid w:val="0046294D"/>
    <w:rsid w:val="00462DBF"/>
    <w:rsid w:val="0046352E"/>
    <w:rsid w:val="00463743"/>
    <w:rsid w:val="00465BED"/>
    <w:rsid w:val="00465D0C"/>
    <w:rsid w:val="004673E4"/>
    <w:rsid w:val="00467457"/>
    <w:rsid w:val="00467BB0"/>
    <w:rsid w:val="00467EAF"/>
    <w:rsid w:val="0047058C"/>
    <w:rsid w:val="004706BF"/>
    <w:rsid w:val="00470705"/>
    <w:rsid w:val="00470FC9"/>
    <w:rsid w:val="00471453"/>
    <w:rsid w:val="004715D8"/>
    <w:rsid w:val="00472103"/>
    <w:rsid w:val="004724AA"/>
    <w:rsid w:val="004724FF"/>
    <w:rsid w:val="0047253C"/>
    <w:rsid w:val="004725CB"/>
    <w:rsid w:val="00473650"/>
    <w:rsid w:val="0047405E"/>
    <w:rsid w:val="0047439A"/>
    <w:rsid w:val="00474B71"/>
    <w:rsid w:val="00476F01"/>
    <w:rsid w:val="004779F7"/>
    <w:rsid w:val="00480836"/>
    <w:rsid w:val="00480DC5"/>
    <w:rsid w:val="00480FFA"/>
    <w:rsid w:val="0048143D"/>
    <w:rsid w:val="0048146D"/>
    <w:rsid w:val="00481BB0"/>
    <w:rsid w:val="00482180"/>
    <w:rsid w:val="00482A7D"/>
    <w:rsid w:val="00482A97"/>
    <w:rsid w:val="0048493C"/>
    <w:rsid w:val="00484E23"/>
    <w:rsid w:val="004851B2"/>
    <w:rsid w:val="00485989"/>
    <w:rsid w:val="00485E5C"/>
    <w:rsid w:val="0048699C"/>
    <w:rsid w:val="00487F13"/>
    <w:rsid w:val="00487F7B"/>
    <w:rsid w:val="004900ED"/>
    <w:rsid w:val="00490BE4"/>
    <w:rsid w:val="00490F15"/>
    <w:rsid w:val="00491032"/>
    <w:rsid w:val="004913E1"/>
    <w:rsid w:val="00491773"/>
    <w:rsid w:val="00491E9A"/>
    <w:rsid w:val="0049211B"/>
    <w:rsid w:val="004921D5"/>
    <w:rsid w:val="004923D0"/>
    <w:rsid w:val="00492680"/>
    <w:rsid w:val="00492C0E"/>
    <w:rsid w:val="00493F08"/>
    <w:rsid w:val="0049464B"/>
    <w:rsid w:val="00494AC2"/>
    <w:rsid w:val="0049667C"/>
    <w:rsid w:val="00497E92"/>
    <w:rsid w:val="004A0139"/>
    <w:rsid w:val="004A0BDA"/>
    <w:rsid w:val="004A0C79"/>
    <w:rsid w:val="004A13BE"/>
    <w:rsid w:val="004A2A7B"/>
    <w:rsid w:val="004A2EB5"/>
    <w:rsid w:val="004A4153"/>
    <w:rsid w:val="004A47E2"/>
    <w:rsid w:val="004A4A2C"/>
    <w:rsid w:val="004A4B0A"/>
    <w:rsid w:val="004A4ECB"/>
    <w:rsid w:val="004A4FEA"/>
    <w:rsid w:val="004A535E"/>
    <w:rsid w:val="004A5C78"/>
    <w:rsid w:val="004A60EC"/>
    <w:rsid w:val="004A6AF1"/>
    <w:rsid w:val="004A7164"/>
    <w:rsid w:val="004B043E"/>
    <w:rsid w:val="004B0AC5"/>
    <w:rsid w:val="004B0B7F"/>
    <w:rsid w:val="004B118E"/>
    <w:rsid w:val="004B12C1"/>
    <w:rsid w:val="004B1F81"/>
    <w:rsid w:val="004B28CA"/>
    <w:rsid w:val="004B39B2"/>
    <w:rsid w:val="004B3C86"/>
    <w:rsid w:val="004B4360"/>
    <w:rsid w:val="004B4603"/>
    <w:rsid w:val="004B4659"/>
    <w:rsid w:val="004B470A"/>
    <w:rsid w:val="004B5EC2"/>
    <w:rsid w:val="004B6112"/>
    <w:rsid w:val="004B635C"/>
    <w:rsid w:val="004B6795"/>
    <w:rsid w:val="004B78D4"/>
    <w:rsid w:val="004B7935"/>
    <w:rsid w:val="004B7E16"/>
    <w:rsid w:val="004C12D7"/>
    <w:rsid w:val="004C22D3"/>
    <w:rsid w:val="004C2669"/>
    <w:rsid w:val="004C29DE"/>
    <w:rsid w:val="004C2C37"/>
    <w:rsid w:val="004C3358"/>
    <w:rsid w:val="004C3759"/>
    <w:rsid w:val="004C443F"/>
    <w:rsid w:val="004C4D83"/>
    <w:rsid w:val="004C4EFB"/>
    <w:rsid w:val="004C5E24"/>
    <w:rsid w:val="004C679A"/>
    <w:rsid w:val="004C7115"/>
    <w:rsid w:val="004C7736"/>
    <w:rsid w:val="004D0032"/>
    <w:rsid w:val="004D09B6"/>
    <w:rsid w:val="004D10CC"/>
    <w:rsid w:val="004D1446"/>
    <w:rsid w:val="004D168E"/>
    <w:rsid w:val="004D196A"/>
    <w:rsid w:val="004D28FA"/>
    <w:rsid w:val="004D2E84"/>
    <w:rsid w:val="004D3829"/>
    <w:rsid w:val="004D39B1"/>
    <w:rsid w:val="004D49EB"/>
    <w:rsid w:val="004D5B3F"/>
    <w:rsid w:val="004D5FDF"/>
    <w:rsid w:val="004D6390"/>
    <w:rsid w:val="004D6A71"/>
    <w:rsid w:val="004D6B4D"/>
    <w:rsid w:val="004D6B68"/>
    <w:rsid w:val="004D6DBB"/>
    <w:rsid w:val="004D6FEF"/>
    <w:rsid w:val="004D7737"/>
    <w:rsid w:val="004E163D"/>
    <w:rsid w:val="004E1716"/>
    <w:rsid w:val="004E1F86"/>
    <w:rsid w:val="004E2367"/>
    <w:rsid w:val="004E2C88"/>
    <w:rsid w:val="004E333E"/>
    <w:rsid w:val="004E3419"/>
    <w:rsid w:val="004E3560"/>
    <w:rsid w:val="004E3918"/>
    <w:rsid w:val="004E3C60"/>
    <w:rsid w:val="004E3D33"/>
    <w:rsid w:val="004E4889"/>
    <w:rsid w:val="004E4F76"/>
    <w:rsid w:val="004E59A4"/>
    <w:rsid w:val="004E602A"/>
    <w:rsid w:val="004E658C"/>
    <w:rsid w:val="004E7180"/>
    <w:rsid w:val="004F0B0B"/>
    <w:rsid w:val="004F0BDD"/>
    <w:rsid w:val="004F1829"/>
    <w:rsid w:val="004F18E3"/>
    <w:rsid w:val="004F1929"/>
    <w:rsid w:val="004F1A0F"/>
    <w:rsid w:val="004F1BC1"/>
    <w:rsid w:val="004F24B1"/>
    <w:rsid w:val="004F2EB0"/>
    <w:rsid w:val="004F31FD"/>
    <w:rsid w:val="004F4010"/>
    <w:rsid w:val="004F4194"/>
    <w:rsid w:val="004F43BF"/>
    <w:rsid w:val="004F4F0A"/>
    <w:rsid w:val="004F5C61"/>
    <w:rsid w:val="004F5FD6"/>
    <w:rsid w:val="004F64C9"/>
    <w:rsid w:val="004F6A5D"/>
    <w:rsid w:val="004F6A75"/>
    <w:rsid w:val="004F6DDB"/>
    <w:rsid w:val="004F7B12"/>
    <w:rsid w:val="00500E73"/>
    <w:rsid w:val="005011FD"/>
    <w:rsid w:val="00501238"/>
    <w:rsid w:val="00502181"/>
    <w:rsid w:val="005023BC"/>
    <w:rsid w:val="0050255A"/>
    <w:rsid w:val="00502EFB"/>
    <w:rsid w:val="005031F4"/>
    <w:rsid w:val="005043E8"/>
    <w:rsid w:val="005043EC"/>
    <w:rsid w:val="0050607F"/>
    <w:rsid w:val="00506A7F"/>
    <w:rsid w:val="00507261"/>
    <w:rsid w:val="005105D0"/>
    <w:rsid w:val="00511339"/>
    <w:rsid w:val="00512142"/>
    <w:rsid w:val="00512240"/>
    <w:rsid w:val="005128FC"/>
    <w:rsid w:val="005132B0"/>
    <w:rsid w:val="00513661"/>
    <w:rsid w:val="00513BD7"/>
    <w:rsid w:val="00515DAB"/>
    <w:rsid w:val="00516DAD"/>
    <w:rsid w:val="005209DF"/>
    <w:rsid w:val="005210F2"/>
    <w:rsid w:val="00524999"/>
    <w:rsid w:val="00524FD5"/>
    <w:rsid w:val="005251BE"/>
    <w:rsid w:val="00525644"/>
    <w:rsid w:val="005258F0"/>
    <w:rsid w:val="0052633D"/>
    <w:rsid w:val="00526AFA"/>
    <w:rsid w:val="00526DA0"/>
    <w:rsid w:val="00527AE0"/>
    <w:rsid w:val="00527E4E"/>
    <w:rsid w:val="00531113"/>
    <w:rsid w:val="00531BD3"/>
    <w:rsid w:val="00532E4A"/>
    <w:rsid w:val="00533315"/>
    <w:rsid w:val="00533BA9"/>
    <w:rsid w:val="00535568"/>
    <w:rsid w:val="00536AAE"/>
    <w:rsid w:val="00537E7B"/>
    <w:rsid w:val="00540E4B"/>
    <w:rsid w:val="00541594"/>
    <w:rsid w:val="00541600"/>
    <w:rsid w:val="00541BD0"/>
    <w:rsid w:val="00541F33"/>
    <w:rsid w:val="00542280"/>
    <w:rsid w:val="00542A26"/>
    <w:rsid w:val="005434F3"/>
    <w:rsid w:val="00545AA5"/>
    <w:rsid w:val="00545B2E"/>
    <w:rsid w:val="00545F7F"/>
    <w:rsid w:val="00546285"/>
    <w:rsid w:val="00550105"/>
    <w:rsid w:val="005503DC"/>
    <w:rsid w:val="005509D1"/>
    <w:rsid w:val="00550D2B"/>
    <w:rsid w:val="005513D3"/>
    <w:rsid w:val="00551846"/>
    <w:rsid w:val="00552A86"/>
    <w:rsid w:val="00553A8E"/>
    <w:rsid w:val="00554CC3"/>
    <w:rsid w:val="00555236"/>
    <w:rsid w:val="00555688"/>
    <w:rsid w:val="00556D61"/>
    <w:rsid w:val="0055709A"/>
    <w:rsid w:val="005570DC"/>
    <w:rsid w:val="00557147"/>
    <w:rsid w:val="00557209"/>
    <w:rsid w:val="005572A2"/>
    <w:rsid w:val="0055780C"/>
    <w:rsid w:val="005579C1"/>
    <w:rsid w:val="005611F5"/>
    <w:rsid w:val="00562EFB"/>
    <w:rsid w:val="00563010"/>
    <w:rsid w:val="005632EA"/>
    <w:rsid w:val="005641D4"/>
    <w:rsid w:val="00566446"/>
    <w:rsid w:val="00566BF6"/>
    <w:rsid w:val="005675BE"/>
    <w:rsid w:val="0056776F"/>
    <w:rsid w:val="00567A0E"/>
    <w:rsid w:val="005703BC"/>
    <w:rsid w:val="00571C8F"/>
    <w:rsid w:val="005730C4"/>
    <w:rsid w:val="00573729"/>
    <w:rsid w:val="00573C96"/>
    <w:rsid w:val="00573D8F"/>
    <w:rsid w:val="005741C5"/>
    <w:rsid w:val="00574D9E"/>
    <w:rsid w:val="00574F53"/>
    <w:rsid w:val="0057537F"/>
    <w:rsid w:val="005754A1"/>
    <w:rsid w:val="005754F2"/>
    <w:rsid w:val="005755F9"/>
    <w:rsid w:val="0057661A"/>
    <w:rsid w:val="0057698A"/>
    <w:rsid w:val="00576EE8"/>
    <w:rsid w:val="00577EBA"/>
    <w:rsid w:val="00577F4B"/>
    <w:rsid w:val="0058031D"/>
    <w:rsid w:val="00581808"/>
    <w:rsid w:val="00581D41"/>
    <w:rsid w:val="0058206E"/>
    <w:rsid w:val="0058309E"/>
    <w:rsid w:val="005834D2"/>
    <w:rsid w:val="00583939"/>
    <w:rsid w:val="00583A26"/>
    <w:rsid w:val="00583ADB"/>
    <w:rsid w:val="00584B10"/>
    <w:rsid w:val="00585C0F"/>
    <w:rsid w:val="00586719"/>
    <w:rsid w:val="00586FC4"/>
    <w:rsid w:val="00587522"/>
    <w:rsid w:val="00587C97"/>
    <w:rsid w:val="00590EA4"/>
    <w:rsid w:val="00591768"/>
    <w:rsid w:val="0059193D"/>
    <w:rsid w:val="00591D9D"/>
    <w:rsid w:val="00591E89"/>
    <w:rsid w:val="00592062"/>
    <w:rsid w:val="00592163"/>
    <w:rsid w:val="005939D1"/>
    <w:rsid w:val="00595343"/>
    <w:rsid w:val="0059555A"/>
    <w:rsid w:val="0059565F"/>
    <w:rsid w:val="005959C9"/>
    <w:rsid w:val="00595A0F"/>
    <w:rsid w:val="00596734"/>
    <w:rsid w:val="00597106"/>
    <w:rsid w:val="005A0234"/>
    <w:rsid w:val="005A0A0D"/>
    <w:rsid w:val="005A13F9"/>
    <w:rsid w:val="005A1BC6"/>
    <w:rsid w:val="005A2076"/>
    <w:rsid w:val="005A2738"/>
    <w:rsid w:val="005A3B33"/>
    <w:rsid w:val="005A3F00"/>
    <w:rsid w:val="005B1362"/>
    <w:rsid w:val="005B1622"/>
    <w:rsid w:val="005B183F"/>
    <w:rsid w:val="005B1A7B"/>
    <w:rsid w:val="005B40C0"/>
    <w:rsid w:val="005B503E"/>
    <w:rsid w:val="005B5076"/>
    <w:rsid w:val="005B566D"/>
    <w:rsid w:val="005B5A14"/>
    <w:rsid w:val="005B667F"/>
    <w:rsid w:val="005B6C21"/>
    <w:rsid w:val="005B776F"/>
    <w:rsid w:val="005B784B"/>
    <w:rsid w:val="005C0927"/>
    <w:rsid w:val="005C167A"/>
    <w:rsid w:val="005C1994"/>
    <w:rsid w:val="005C2794"/>
    <w:rsid w:val="005C387B"/>
    <w:rsid w:val="005C396D"/>
    <w:rsid w:val="005C39D8"/>
    <w:rsid w:val="005C4AC8"/>
    <w:rsid w:val="005C5954"/>
    <w:rsid w:val="005C65FE"/>
    <w:rsid w:val="005C6EC7"/>
    <w:rsid w:val="005C7DC4"/>
    <w:rsid w:val="005D03DC"/>
    <w:rsid w:val="005D15D6"/>
    <w:rsid w:val="005D1A17"/>
    <w:rsid w:val="005D1D11"/>
    <w:rsid w:val="005D431F"/>
    <w:rsid w:val="005D53BB"/>
    <w:rsid w:val="005D56BD"/>
    <w:rsid w:val="005D5F50"/>
    <w:rsid w:val="005D6319"/>
    <w:rsid w:val="005D6844"/>
    <w:rsid w:val="005E12A3"/>
    <w:rsid w:val="005E1EE1"/>
    <w:rsid w:val="005E2F8C"/>
    <w:rsid w:val="005E3345"/>
    <w:rsid w:val="005E3715"/>
    <w:rsid w:val="005E49A0"/>
    <w:rsid w:val="005E4E4A"/>
    <w:rsid w:val="005E535D"/>
    <w:rsid w:val="005E59D7"/>
    <w:rsid w:val="005E5C78"/>
    <w:rsid w:val="005E6DF4"/>
    <w:rsid w:val="005E6F70"/>
    <w:rsid w:val="005E7091"/>
    <w:rsid w:val="005E74A8"/>
    <w:rsid w:val="005E7900"/>
    <w:rsid w:val="005E7AA4"/>
    <w:rsid w:val="005F040F"/>
    <w:rsid w:val="005F0845"/>
    <w:rsid w:val="005F1025"/>
    <w:rsid w:val="005F1BDB"/>
    <w:rsid w:val="005F2281"/>
    <w:rsid w:val="005F342B"/>
    <w:rsid w:val="005F46A1"/>
    <w:rsid w:val="005F4CF2"/>
    <w:rsid w:val="005F4DE7"/>
    <w:rsid w:val="005F53C9"/>
    <w:rsid w:val="005F5A6E"/>
    <w:rsid w:val="005F686E"/>
    <w:rsid w:val="005F6A27"/>
    <w:rsid w:val="005F6ACF"/>
    <w:rsid w:val="005F74CE"/>
    <w:rsid w:val="005F7DB7"/>
    <w:rsid w:val="005F7F4F"/>
    <w:rsid w:val="00600572"/>
    <w:rsid w:val="006006C7"/>
    <w:rsid w:val="00602251"/>
    <w:rsid w:val="00602664"/>
    <w:rsid w:val="006026BA"/>
    <w:rsid w:val="006036E3"/>
    <w:rsid w:val="00604796"/>
    <w:rsid w:val="00604E9A"/>
    <w:rsid w:val="00605268"/>
    <w:rsid w:val="00605E14"/>
    <w:rsid w:val="00605E6E"/>
    <w:rsid w:val="00606A60"/>
    <w:rsid w:val="006071BE"/>
    <w:rsid w:val="006073B4"/>
    <w:rsid w:val="00607832"/>
    <w:rsid w:val="006103EA"/>
    <w:rsid w:val="00611B09"/>
    <w:rsid w:val="00611DFF"/>
    <w:rsid w:val="0061208D"/>
    <w:rsid w:val="006120D2"/>
    <w:rsid w:val="00613A20"/>
    <w:rsid w:val="00614204"/>
    <w:rsid w:val="00615555"/>
    <w:rsid w:val="00615EBD"/>
    <w:rsid w:val="006168AE"/>
    <w:rsid w:val="00616AEC"/>
    <w:rsid w:val="006200C8"/>
    <w:rsid w:val="00620128"/>
    <w:rsid w:val="0062085E"/>
    <w:rsid w:val="00621939"/>
    <w:rsid w:val="006221F6"/>
    <w:rsid w:val="006222AD"/>
    <w:rsid w:val="006222D3"/>
    <w:rsid w:val="0062316F"/>
    <w:rsid w:val="00623EA7"/>
    <w:rsid w:val="00624701"/>
    <w:rsid w:val="0062477D"/>
    <w:rsid w:val="00625091"/>
    <w:rsid w:val="00630084"/>
    <w:rsid w:val="00630654"/>
    <w:rsid w:val="00632933"/>
    <w:rsid w:val="0063464C"/>
    <w:rsid w:val="00634ACE"/>
    <w:rsid w:val="00634E37"/>
    <w:rsid w:val="006360AE"/>
    <w:rsid w:val="0063761A"/>
    <w:rsid w:val="006378A0"/>
    <w:rsid w:val="00637930"/>
    <w:rsid w:val="0064048C"/>
    <w:rsid w:val="00640560"/>
    <w:rsid w:val="00640866"/>
    <w:rsid w:val="0064147B"/>
    <w:rsid w:val="0064165A"/>
    <w:rsid w:val="00641FD5"/>
    <w:rsid w:val="006421A9"/>
    <w:rsid w:val="00642FBB"/>
    <w:rsid w:val="00643E0D"/>
    <w:rsid w:val="006441E5"/>
    <w:rsid w:val="00644B4A"/>
    <w:rsid w:val="0064598F"/>
    <w:rsid w:val="00645C62"/>
    <w:rsid w:val="00645D44"/>
    <w:rsid w:val="00646C9A"/>
    <w:rsid w:val="00647F94"/>
    <w:rsid w:val="006501EB"/>
    <w:rsid w:val="006506D2"/>
    <w:rsid w:val="00650736"/>
    <w:rsid w:val="006509BF"/>
    <w:rsid w:val="006524E6"/>
    <w:rsid w:val="00652988"/>
    <w:rsid w:val="00652C48"/>
    <w:rsid w:val="0065412D"/>
    <w:rsid w:val="00654188"/>
    <w:rsid w:val="006547B7"/>
    <w:rsid w:val="006549B4"/>
    <w:rsid w:val="00655262"/>
    <w:rsid w:val="00655FE3"/>
    <w:rsid w:val="00656150"/>
    <w:rsid w:val="00656E0B"/>
    <w:rsid w:val="006573A4"/>
    <w:rsid w:val="0066011C"/>
    <w:rsid w:val="00660957"/>
    <w:rsid w:val="006612DD"/>
    <w:rsid w:val="00661E73"/>
    <w:rsid w:val="00662890"/>
    <w:rsid w:val="00663B59"/>
    <w:rsid w:val="00663F00"/>
    <w:rsid w:val="00664D00"/>
    <w:rsid w:val="0066546E"/>
    <w:rsid w:val="00665794"/>
    <w:rsid w:val="006658B5"/>
    <w:rsid w:val="00665DAF"/>
    <w:rsid w:val="00667468"/>
    <w:rsid w:val="0066789B"/>
    <w:rsid w:val="0067018B"/>
    <w:rsid w:val="0067031D"/>
    <w:rsid w:val="0067063C"/>
    <w:rsid w:val="006707AD"/>
    <w:rsid w:val="00670B08"/>
    <w:rsid w:val="00670E72"/>
    <w:rsid w:val="00671A9E"/>
    <w:rsid w:val="00672DA0"/>
    <w:rsid w:val="00672EC6"/>
    <w:rsid w:val="0067353E"/>
    <w:rsid w:val="006744AE"/>
    <w:rsid w:val="00674519"/>
    <w:rsid w:val="0067478D"/>
    <w:rsid w:val="006748EF"/>
    <w:rsid w:val="006754F1"/>
    <w:rsid w:val="00676537"/>
    <w:rsid w:val="00676861"/>
    <w:rsid w:val="00676D62"/>
    <w:rsid w:val="00676DD8"/>
    <w:rsid w:val="00676DEA"/>
    <w:rsid w:val="0067708A"/>
    <w:rsid w:val="00677273"/>
    <w:rsid w:val="006776E7"/>
    <w:rsid w:val="0067798E"/>
    <w:rsid w:val="00680483"/>
    <w:rsid w:val="0068074C"/>
    <w:rsid w:val="00685273"/>
    <w:rsid w:val="00685E3C"/>
    <w:rsid w:val="00686628"/>
    <w:rsid w:val="00687902"/>
    <w:rsid w:val="00690563"/>
    <w:rsid w:val="00690B72"/>
    <w:rsid w:val="00690CBB"/>
    <w:rsid w:val="006922EC"/>
    <w:rsid w:val="0069297A"/>
    <w:rsid w:val="00692BC7"/>
    <w:rsid w:val="00692D67"/>
    <w:rsid w:val="006948BE"/>
    <w:rsid w:val="006951BA"/>
    <w:rsid w:val="0069609F"/>
    <w:rsid w:val="0069655B"/>
    <w:rsid w:val="00696F72"/>
    <w:rsid w:val="006A0931"/>
    <w:rsid w:val="006A1A34"/>
    <w:rsid w:val="006A1F75"/>
    <w:rsid w:val="006A2713"/>
    <w:rsid w:val="006A2EDD"/>
    <w:rsid w:val="006A32BE"/>
    <w:rsid w:val="006A3594"/>
    <w:rsid w:val="006A3698"/>
    <w:rsid w:val="006A3C62"/>
    <w:rsid w:val="006A42C4"/>
    <w:rsid w:val="006A4AD9"/>
    <w:rsid w:val="006A5A13"/>
    <w:rsid w:val="006A5C74"/>
    <w:rsid w:val="006A600B"/>
    <w:rsid w:val="006A675B"/>
    <w:rsid w:val="006A7F35"/>
    <w:rsid w:val="006B002B"/>
    <w:rsid w:val="006B0912"/>
    <w:rsid w:val="006B0B55"/>
    <w:rsid w:val="006B0C02"/>
    <w:rsid w:val="006B1D23"/>
    <w:rsid w:val="006B2B40"/>
    <w:rsid w:val="006B4D9C"/>
    <w:rsid w:val="006B4E3C"/>
    <w:rsid w:val="006B50EC"/>
    <w:rsid w:val="006B5750"/>
    <w:rsid w:val="006B5881"/>
    <w:rsid w:val="006B5B3A"/>
    <w:rsid w:val="006B61EC"/>
    <w:rsid w:val="006B6407"/>
    <w:rsid w:val="006B64E3"/>
    <w:rsid w:val="006B652D"/>
    <w:rsid w:val="006B68C8"/>
    <w:rsid w:val="006B6CE0"/>
    <w:rsid w:val="006B7A7C"/>
    <w:rsid w:val="006B7B15"/>
    <w:rsid w:val="006C00DD"/>
    <w:rsid w:val="006C04FC"/>
    <w:rsid w:val="006C0A47"/>
    <w:rsid w:val="006C0B0D"/>
    <w:rsid w:val="006C1107"/>
    <w:rsid w:val="006C164E"/>
    <w:rsid w:val="006C32FC"/>
    <w:rsid w:val="006C3D65"/>
    <w:rsid w:val="006C4A92"/>
    <w:rsid w:val="006C5414"/>
    <w:rsid w:val="006C560B"/>
    <w:rsid w:val="006C583A"/>
    <w:rsid w:val="006C5FC6"/>
    <w:rsid w:val="006C6190"/>
    <w:rsid w:val="006C6532"/>
    <w:rsid w:val="006C65CB"/>
    <w:rsid w:val="006C676D"/>
    <w:rsid w:val="006C67FC"/>
    <w:rsid w:val="006D0B5B"/>
    <w:rsid w:val="006D180E"/>
    <w:rsid w:val="006D1BE1"/>
    <w:rsid w:val="006D2125"/>
    <w:rsid w:val="006D37C8"/>
    <w:rsid w:val="006D4E44"/>
    <w:rsid w:val="006D6451"/>
    <w:rsid w:val="006D71B1"/>
    <w:rsid w:val="006D7901"/>
    <w:rsid w:val="006E0403"/>
    <w:rsid w:val="006E0758"/>
    <w:rsid w:val="006E0CF6"/>
    <w:rsid w:val="006E169F"/>
    <w:rsid w:val="006E2E4D"/>
    <w:rsid w:val="006E2F70"/>
    <w:rsid w:val="006E30C4"/>
    <w:rsid w:val="006E33B3"/>
    <w:rsid w:val="006E4B4A"/>
    <w:rsid w:val="006E4C1E"/>
    <w:rsid w:val="006E53BF"/>
    <w:rsid w:val="006E5CC6"/>
    <w:rsid w:val="006E5E37"/>
    <w:rsid w:val="006E647D"/>
    <w:rsid w:val="006F011B"/>
    <w:rsid w:val="006F1444"/>
    <w:rsid w:val="006F1C9F"/>
    <w:rsid w:val="006F23F1"/>
    <w:rsid w:val="006F2CF2"/>
    <w:rsid w:val="006F4453"/>
    <w:rsid w:val="006F4DC2"/>
    <w:rsid w:val="006F5390"/>
    <w:rsid w:val="006F57F5"/>
    <w:rsid w:val="006F583B"/>
    <w:rsid w:val="006F5AF7"/>
    <w:rsid w:val="006F6741"/>
    <w:rsid w:val="006F716A"/>
    <w:rsid w:val="006F7247"/>
    <w:rsid w:val="006F7551"/>
    <w:rsid w:val="00700026"/>
    <w:rsid w:val="00700767"/>
    <w:rsid w:val="00700BAC"/>
    <w:rsid w:val="00700CD5"/>
    <w:rsid w:val="00701D7D"/>
    <w:rsid w:val="007020B8"/>
    <w:rsid w:val="0070238B"/>
    <w:rsid w:val="00702714"/>
    <w:rsid w:val="0070390C"/>
    <w:rsid w:val="007047F3"/>
    <w:rsid w:val="00704F97"/>
    <w:rsid w:val="007053AE"/>
    <w:rsid w:val="007069AA"/>
    <w:rsid w:val="00710D23"/>
    <w:rsid w:val="00710F26"/>
    <w:rsid w:val="00711175"/>
    <w:rsid w:val="0071194C"/>
    <w:rsid w:val="00713953"/>
    <w:rsid w:val="007149FD"/>
    <w:rsid w:val="00714E89"/>
    <w:rsid w:val="007170A8"/>
    <w:rsid w:val="007172AE"/>
    <w:rsid w:val="00717695"/>
    <w:rsid w:val="00717736"/>
    <w:rsid w:val="00721586"/>
    <w:rsid w:val="0072159B"/>
    <w:rsid w:val="0072180F"/>
    <w:rsid w:val="007224BA"/>
    <w:rsid w:val="00722555"/>
    <w:rsid w:val="00722CC9"/>
    <w:rsid w:val="00722E01"/>
    <w:rsid w:val="007242AB"/>
    <w:rsid w:val="007246A4"/>
    <w:rsid w:val="007254D9"/>
    <w:rsid w:val="00725807"/>
    <w:rsid w:val="007258D6"/>
    <w:rsid w:val="00726EA7"/>
    <w:rsid w:val="00727128"/>
    <w:rsid w:val="007306DD"/>
    <w:rsid w:val="007318DC"/>
    <w:rsid w:val="00731C67"/>
    <w:rsid w:val="00731CB0"/>
    <w:rsid w:val="00731F1D"/>
    <w:rsid w:val="00732309"/>
    <w:rsid w:val="0073311A"/>
    <w:rsid w:val="00736B49"/>
    <w:rsid w:val="007373CE"/>
    <w:rsid w:val="0073794A"/>
    <w:rsid w:val="00737FAC"/>
    <w:rsid w:val="0074037F"/>
    <w:rsid w:val="0074050A"/>
    <w:rsid w:val="00741E9C"/>
    <w:rsid w:val="00742606"/>
    <w:rsid w:val="00742C10"/>
    <w:rsid w:val="00742D82"/>
    <w:rsid w:val="00743438"/>
    <w:rsid w:val="007439E3"/>
    <w:rsid w:val="0074488C"/>
    <w:rsid w:val="007454BC"/>
    <w:rsid w:val="00745590"/>
    <w:rsid w:val="0074582C"/>
    <w:rsid w:val="00745A4D"/>
    <w:rsid w:val="0074659B"/>
    <w:rsid w:val="00747376"/>
    <w:rsid w:val="00747854"/>
    <w:rsid w:val="0074798D"/>
    <w:rsid w:val="00750ECD"/>
    <w:rsid w:val="00750EFD"/>
    <w:rsid w:val="00751603"/>
    <w:rsid w:val="00751D39"/>
    <w:rsid w:val="007525C9"/>
    <w:rsid w:val="007526E1"/>
    <w:rsid w:val="00752BAC"/>
    <w:rsid w:val="00752CFA"/>
    <w:rsid w:val="0075302C"/>
    <w:rsid w:val="00753D4C"/>
    <w:rsid w:val="00753F90"/>
    <w:rsid w:val="00754AE1"/>
    <w:rsid w:val="00754AFE"/>
    <w:rsid w:val="007552A3"/>
    <w:rsid w:val="0075574F"/>
    <w:rsid w:val="00756177"/>
    <w:rsid w:val="00756D7A"/>
    <w:rsid w:val="00757883"/>
    <w:rsid w:val="007578E1"/>
    <w:rsid w:val="00760353"/>
    <w:rsid w:val="00761507"/>
    <w:rsid w:val="00761A99"/>
    <w:rsid w:val="00761D74"/>
    <w:rsid w:val="00762539"/>
    <w:rsid w:val="00762A18"/>
    <w:rsid w:val="00763F08"/>
    <w:rsid w:val="007643A6"/>
    <w:rsid w:val="007649C4"/>
    <w:rsid w:val="00764FD3"/>
    <w:rsid w:val="007652A5"/>
    <w:rsid w:val="007661CC"/>
    <w:rsid w:val="00766397"/>
    <w:rsid w:val="00770386"/>
    <w:rsid w:val="007708BF"/>
    <w:rsid w:val="00770A3B"/>
    <w:rsid w:val="00771935"/>
    <w:rsid w:val="00771F9F"/>
    <w:rsid w:val="00772047"/>
    <w:rsid w:val="00772509"/>
    <w:rsid w:val="00772CFD"/>
    <w:rsid w:val="00772E6F"/>
    <w:rsid w:val="00773C77"/>
    <w:rsid w:val="00773F40"/>
    <w:rsid w:val="007746C9"/>
    <w:rsid w:val="00775417"/>
    <w:rsid w:val="00775A4D"/>
    <w:rsid w:val="0077710E"/>
    <w:rsid w:val="00777319"/>
    <w:rsid w:val="00780B49"/>
    <w:rsid w:val="00780CAD"/>
    <w:rsid w:val="00780D38"/>
    <w:rsid w:val="00780EF8"/>
    <w:rsid w:val="00781BD4"/>
    <w:rsid w:val="00781C63"/>
    <w:rsid w:val="00781EB8"/>
    <w:rsid w:val="00782C29"/>
    <w:rsid w:val="00782CD9"/>
    <w:rsid w:val="00783E10"/>
    <w:rsid w:val="00784FF6"/>
    <w:rsid w:val="00785239"/>
    <w:rsid w:val="007859F9"/>
    <w:rsid w:val="00785BCB"/>
    <w:rsid w:val="00785FB7"/>
    <w:rsid w:val="0078600A"/>
    <w:rsid w:val="007869C8"/>
    <w:rsid w:val="00786B82"/>
    <w:rsid w:val="00791643"/>
    <w:rsid w:val="00791804"/>
    <w:rsid w:val="007918CC"/>
    <w:rsid w:val="007924FA"/>
    <w:rsid w:val="0079251D"/>
    <w:rsid w:val="00792928"/>
    <w:rsid w:val="00792BB1"/>
    <w:rsid w:val="00793998"/>
    <w:rsid w:val="007940B7"/>
    <w:rsid w:val="007940C4"/>
    <w:rsid w:val="0079437E"/>
    <w:rsid w:val="00794F13"/>
    <w:rsid w:val="007956DD"/>
    <w:rsid w:val="007959BF"/>
    <w:rsid w:val="00795AEF"/>
    <w:rsid w:val="00795F11"/>
    <w:rsid w:val="00796E99"/>
    <w:rsid w:val="00797504"/>
    <w:rsid w:val="00797687"/>
    <w:rsid w:val="00797AF9"/>
    <w:rsid w:val="00797C9F"/>
    <w:rsid w:val="00797E3B"/>
    <w:rsid w:val="007A1457"/>
    <w:rsid w:val="007A15E3"/>
    <w:rsid w:val="007A17FE"/>
    <w:rsid w:val="007A18D3"/>
    <w:rsid w:val="007A19CB"/>
    <w:rsid w:val="007A19E1"/>
    <w:rsid w:val="007A1EA5"/>
    <w:rsid w:val="007A25B6"/>
    <w:rsid w:val="007A385D"/>
    <w:rsid w:val="007A3BF7"/>
    <w:rsid w:val="007A66FA"/>
    <w:rsid w:val="007B04B6"/>
    <w:rsid w:val="007B0940"/>
    <w:rsid w:val="007B0F4B"/>
    <w:rsid w:val="007B132E"/>
    <w:rsid w:val="007B16A5"/>
    <w:rsid w:val="007B1DA4"/>
    <w:rsid w:val="007B23BB"/>
    <w:rsid w:val="007B252F"/>
    <w:rsid w:val="007B2690"/>
    <w:rsid w:val="007B26C5"/>
    <w:rsid w:val="007B2E0E"/>
    <w:rsid w:val="007B4017"/>
    <w:rsid w:val="007B4357"/>
    <w:rsid w:val="007B51A7"/>
    <w:rsid w:val="007B5BAF"/>
    <w:rsid w:val="007B66F2"/>
    <w:rsid w:val="007B72F2"/>
    <w:rsid w:val="007B798B"/>
    <w:rsid w:val="007B7BC5"/>
    <w:rsid w:val="007B7FA5"/>
    <w:rsid w:val="007C0EE9"/>
    <w:rsid w:val="007C1178"/>
    <w:rsid w:val="007C1605"/>
    <w:rsid w:val="007C19CF"/>
    <w:rsid w:val="007C1AF9"/>
    <w:rsid w:val="007C1D1C"/>
    <w:rsid w:val="007C1D3D"/>
    <w:rsid w:val="007C28FF"/>
    <w:rsid w:val="007C2BF7"/>
    <w:rsid w:val="007C2DC4"/>
    <w:rsid w:val="007C303B"/>
    <w:rsid w:val="007C3E8E"/>
    <w:rsid w:val="007C4665"/>
    <w:rsid w:val="007C4C3C"/>
    <w:rsid w:val="007C5048"/>
    <w:rsid w:val="007C5376"/>
    <w:rsid w:val="007C58A9"/>
    <w:rsid w:val="007D0893"/>
    <w:rsid w:val="007D18B8"/>
    <w:rsid w:val="007D23D0"/>
    <w:rsid w:val="007D3A4F"/>
    <w:rsid w:val="007D4143"/>
    <w:rsid w:val="007D53AE"/>
    <w:rsid w:val="007D58DE"/>
    <w:rsid w:val="007D602A"/>
    <w:rsid w:val="007D6EE7"/>
    <w:rsid w:val="007D722D"/>
    <w:rsid w:val="007D72D3"/>
    <w:rsid w:val="007D79F1"/>
    <w:rsid w:val="007D7ED6"/>
    <w:rsid w:val="007E2366"/>
    <w:rsid w:val="007E2758"/>
    <w:rsid w:val="007E2EE9"/>
    <w:rsid w:val="007E35BA"/>
    <w:rsid w:val="007E363B"/>
    <w:rsid w:val="007E3750"/>
    <w:rsid w:val="007E3A5D"/>
    <w:rsid w:val="007E3E56"/>
    <w:rsid w:val="007E4577"/>
    <w:rsid w:val="007E5BD9"/>
    <w:rsid w:val="007E6643"/>
    <w:rsid w:val="007E6759"/>
    <w:rsid w:val="007E6918"/>
    <w:rsid w:val="007F0FB1"/>
    <w:rsid w:val="007F118D"/>
    <w:rsid w:val="007F19FF"/>
    <w:rsid w:val="007F2A41"/>
    <w:rsid w:val="007F3EDF"/>
    <w:rsid w:val="007F5562"/>
    <w:rsid w:val="007F5AB2"/>
    <w:rsid w:val="007F685E"/>
    <w:rsid w:val="007F6D41"/>
    <w:rsid w:val="007F6DC8"/>
    <w:rsid w:val="007F70C8"/>
    <w:rsid w:val="007F71EB"/>
    <w:rsid w:val="007F75E7"/>
    <w:rsid w:val="007F7D38"/>
    <w:rsid w:val="0080141E"/>
    <w:rsid w:val="00801620"/>
    <w:rsid w:val="00801784"/>
    <w:rsid w:val="00801E91"/>
    <w:rsid w:val="0080233C"/>
    <w:rsid w:val="00802C45"/>
    <w:rsid w:val="00802F5F"/>
    <w:rsid w:val="00803445"/>
    <w:rsid w:val="00803827"/>
    <w:rsid w:val="0080383D"/>
    <w:rsid w:val="0080394B"/>
    <w:rsid w:val="00803AB2"/>
    <w:rsid w:val="00804446"/>
    <w:rsid w:val="00806198"/>
    <w:rsid w:val="00806A1E"/>
    <w:rsid w:val="00807339"/>
    <w:rsid w:val="00807414"/>
    <w:rsid w:val="00811482"/>
    <w:rsid w:val="00813B16"/>
    <w:rsid w:val="008141E2"/>
    <w:rsid w:val="00814459"/>
    <w:rsid w:val="00814A7D"/>
    <w:rsid w:val="00816687"/>
    <w:rsid w:val="00817DD9"/>
    <w:rsid w:val="0082095E"/>
    <w:rsid w:val="00821111"/>
    <w:rsid w:val="008217BD"/>
    <w:rsid w:val="00821C4A"/>
    <w:rsid w:val="0082239C"/>
    <w:rsid w:val="008231C1"/>
    <w:rsid w:val="00824A6F"/>
    <w:rsid w:val="00824E37"/>
    <w:rsid w:val="008264AF"/>
    <w:rsid w:val="00826518"/>
    <w:rsid w:val="00826E4B"/>
    <w:rsid w:val="00827445"/>
    <w:rsid w:val="0082761D"/>
    <w:rsid w:val="00827D16"/>
    <w:rsid w:val="00827D58"/>
    <w:rsid w:val="008308A2"/>
    <w:rsid w:val="00830D41"/>
    <w:rsid w:val="00830D44"/>
    <w:rsid w:val="008310F8"/>
    <w:rsid w:val="00831192"/>
    <w:rsid w:val="008311AD"/>
    <w:rsid w:val="0083183A"/>
    <w:rsid w:val="00831EFF"/>
    <w:rsid w:val="008323D5"/>
    <w:rsid w:val="0083241D"/>
    <w:rsid w:val="00832E60"/>
    <w:rsid w:val="00833B17"/>
    <w:rsid w:val="0083452E"/>
    <w:rsid w:val="008348A1"/>
    <w:rsid w:val="0083584D"/>
    <w:rsid w:val="00835F93"/>
    <w:rsid w:val="008367CE"/>
    <w:rsid w:val="00836949"/>
    <w:rsid w:val="00836C4C"/>
    <w:rsid w:val="00836FEA"/>
    <w:rsid w:val="00837B8F"/>
    <w:rsid w:val="00837DF9"/>
    <w:rsid w:val="008406E8"/>
    <w:rsid w:val="00841044"/>
    <w:rsid w:val="008411A8"/>
    <w:rsid w:val="00841532"/>
    <w:rsid w:val="008416B6"/>
    <w:rsid w:val="00843334"/>
    <w:rsid w:val="008449CE"/>
    <w:rsid w:val="008454D2"/>
    <w:rsid w:val="00845D7A"/>
    <w:rsid w:val="00846434"/>
    <w:rsid w:val="00846AC0"/>
    <w:rsid w:val="0084737A"/>
    <w:rsid w:val="008473AE"/>
    <w:rsid w:val="00847485"/>
    <w:rsid w:val="00850583"/>
    <w:rsid w:val="008505A2"/>
    <w:rsid w:val="00851BF0"/>
    <w:rsid w:val="00852B54"/>
    <w:rsid w:val="00852BDF"/>
    <w:rsid w:val="0085360A"/>
    <w:rsid w:val="008543B0"/>
    <w:rsid w:val="00855EDB"/>
    <w:rsid w:val="00855F34"/>
    <w:rsid w:val="008567CD"/>
    <w:rsid w:val="0085718F"/>
    <w:rsid w:val="00857D77"/>
    <w:rsid w:val="00857E02"/>
    <w:rsid w:val="00860C52"/>
    <w:rsid w:val="00860C9C"/>
    <w:rsid w:val="00861DA4"/>
    <w:rsid w:val="00861FF6"/>
    <w:rsid w:val="0086243E"/>
    <w:rsid w:val="00862688"/>
    <w:rsid w:val="008641B9"/>
    <w:rsid w:val="008642F9"/>
    <w:rsid w:val="00864E03"/>
    <w:rsid w:val="00866335"/>
    <w:rsid w:val="00866E20"/>
    <w:rsid w:val="00866E76"/>
    <w:rsid w:val="00867A00"/>
    <w:rsid w:val="0087093D"/>
    <w:rsid w:val="00870FB8"/>
    <w:rsid w:val="00872868"/>
    <w:rsid w:val="00872E9F"/>
    <w:rsid w:val="008732B9"/>
    <w:rsid w:val="0087393B"/>
    <w:rsid w:val="008751B6"/>
    <w:rsid w:val="0087594F"/>
    <w:rsid w:val="00875A3F"/>
    <w:rsid w:val="00875A51"/>
    <w:rsid w:val="008761D5"/>
    <w:rsid w:val="00877D27"/>
    <w:rsid w:val="00877DBA"/>
    <w:rsid w:val="00877EBF"/>
    <w:rsid w:val="008800C8"/>
    <w:rsid w:val="00880E4C"/>
    <w:rsid w:val="00880F18"/>
    <w:rsid w:val="008817A5"/>
    <w:rsid w:val="00881A24"/>
    <w:rsid w:val="00881A97"/>
    <w:rsid w:val="00882473"/>
    <w:rsid w:val="008832D5"/>
    <w:rsid w:val="008834E5"/>
    <w:rsid w:val="00884745"/>
    <w:rsid w:val="00884D5E"/>
    <w:rsid w:val="00885745"/>
    <w:rsid w:val="008868F5"/>
    <w:rsid w:val="0088713C"/>
    <w:rsid w:val="0088783F"/>
    <w:rsid w:val="00887A40"/>
    <w:rsid w:val="008907F4"/>
    <w:rsid w:val="00890A89"/>
    <w:rsid w:val="00892D6A"/>
    <w:rsid w:val="008932B2"/>
    <w:rsid w:val="00893A54"/>
    <w:rsid w:val="008941F4"/>
    <w:rsid w:val="00894EC1"/>
    <w:rsid w:val="008951C3"/>
    <w:rsid w:val="00895839"/>
    <w:rsid w:val="00895B9B"/>
    <w:rsid w:val="008974CA"/>
    <w:rsid w:val="008975DD"/>
    <w:rsid w:val="00897793"/>
    <w:rsid w:val="00897A21"/>
    <w:rsid w:val="008A210B"/>
    <w:rsid w:val="008A2129"/>
    <w:rsid w:val="008A22A3"/>
    <w:rsid w:val="008A22BA"/>
    <w:rsid w:val="008A3BDE"/>
    <w:rsid w:val="008A3BE8"/>
    <w:rsid w:val="008A44F8"/>
    <w:rsid w:val="008A504E"/>
    <w:rsid w:val="008A5931"/>
    <w:rsid w:val="008A613B"/>
    <w:rsid w:val="008A678D"/>
    <w:rsid w:val="008A6F75"/>
    <w:rsid w:val="008A7460"/>
    <w:rsid w:val="008B0EBE"/>
    <w:rsid w:val="008B0F51"/>
    <w:rsid w:val="008B13C2"/>
    <w:rsid w:val="008B1412"/>
    <w:rsid w:val="008B2739"/>
    <w:rsid w:val="008B285C"/>
    <w:rsid w:val="008B2B3D"/>
    <w:rsid w:val="008B2B5A"/>
    <w:rsid w:val="008B2BE3"/>
    <w:rsid w:val="008B2F24"/>
    <w:rsid w:val="008B385F"/>
    <w:rsid w:val="008B4196"/>
    <w:rsid w:val="008B575E"/>
    <w:rsid w:val="008B629F"/>
    <w:rsid w:val="008B79EF"/>
    <w:rsid w:val="008C0141"/>
    <w:rsid w:val="008C0306"/>
    <w:rsid w:val="008C0A9F"/>
    <w:rsid w:val="008C1DFF"/>
    <w:rsid w:val="008C2361"/>
    <w:rsid w:val="008C29FE"/>
    <w:rsid w:val="008C3120"/>
    <w:rsid w:val="008C338B"/>
    <w:rsid w:val="008C3D72"/>
    <w:rsid w:val="008C418D"/>
    <w:rsid w:val="008C54DE"/>
    <w:rsid w:val="008C58C8"/>
    <w:rsid w:val="008C60B6"/>
    <w:rsid w:val="008C6562"/>
    <w:rsid w:val="008C6859"/>
    <w:rsid w:val="008C6B91"/>
    <w:rsid w:val="008C7946"/>
    <w:rsid w:val="008C7B37"/>
    <w:rsid w:val="008D08CE"/>
    <w:rsid w:val="008D215E"/>
    <w:rsid w:val="008D2878"/>
    <w:rsid w:val="008D3216"/>
    <w:rsid w:val="008D321A"/>
    <w:rsid w:val="008D3D11"/>
    <w:rsid w:val="008D415B"/>
    <w:rsid w:val="008D41A4"/>
    <w:rsid w:val="008D49F9"/>
    <w:rsid w:val="008D6464"/>
    <w:rsid w:val="008D6946"/>
    <w:rsid w:val="008D6F65"/>
    <w:rsid w:val="008D7DB2"/>
    <w:rsid w:val="008E0B68"/>
    <w:rsid w:val="008E110B"/>
    <w:rsid w:val="008E2799"/>
    <w:rsid w:val="008E2FF9"/>
    <w:rsid w:val="008E31AF"/>
    <w:rsid w:val="008E3DBF"/>
    <w:rsid w:val="008E3F28"/>
    <w:rsid w:val="008E41EA"/>
    <w:rsid w:val="008E5695"/>
    <w:rsid w:val="008E684F"/>
    <w:rsid w:val="008E6AFD"/>
    <w:rsid w:val="008E6C80"/>
    <w:rsid w:val="008E78AA"/>
    <w:rsid w:val="008F111A"/>
    <w:rsid w:val="008F116A"/>
    <w:rsid w:val="008F1D3D"/>
    <w:rsid w:val="008F1F0B"/>
    <w:rsid w:val="008F3014"/>
    <w:rsid w:val="008F35C7"/>
    <w:rsid w:val="008F4126"/>
    <w:rsid w:val="008F4D61"/>
    <w:rsid w:val="008F4D90"/>
    <w:rsid w:val="008F54BD"/>
    <w:rsid w:val="008F6D3A"/>
    <w:rsid w:val="008F762C"/>
    <w:rsid w:val="008F78ED"/>
    <w:rsid w:val="0090040A"/>
    <w:rsid w:val="00900441"/>
    <w:rsid w:val="00900F08"/>
    <w:rsid w:val="0090121C"/>
    <w:rsid w:val="009014A8"/>
    <w:rsid w:val="009031D6"/>
    <w:rsid w:val="00903304"/>
    <w:rsid w:val="009045F4"/>
    <w:rsid w:val="009046BA"/>
    <w:rsid w:val="00905183"/>
    <w:rsid w:val="00905A08"/>
    <w:rsid w:val="00906337"/>
    <w:rsid w:val="00907325"/>
    <w:rsid w:val="00911545"/>
    <w:rsid w:val="00912CCF"/>
    <w:rsid w:val="0091300E"/>
    <w:rsid w:val="009132FF"/>
    <w:rsid w:val="00913C1C"/>
    <w:rsid w:val="00913C7F"/>
    <w:rsid w:val="00914E38"/>
    <w:rsid w:val="0091587E"/>
    <w:rsid w:val="00915C11"/>
    <w:rsid w:val="0091645A"/>
    <w:rsid w:val="0091710C"/>
    <w:rsid w:val="009226E6"/>
    <w:rsid w:val="0092272E"/>
    <w:rsid w:val="00922A65"/>
    <w:rsid w:val="00923051"/>
    <w:rsid w:val="009234AD"/>
    <w:rsid w:val="0092375A"/>
    <w:rsid w:val="00923D8B"/>
    <w:rsid w:val="00923DBF"/>
    <w:rsid w:val="00924FE5"/>
    <w:rsid w:val="00925625"/>
    <w:rsid w:val="009257B2"/>
    <w:rsid w:val="0092625D"/>
    <w:rsid w:val="009266A3"/>
    <w:rsid w:val="009267CA"/>
    <w:rsid w:val="009271E5"/>
    <w:rsid w:val="00927264"/>
    <w:rsid w:val="00930797"/>
    <w:rsid w:val="00930A31"/>
    <w:rsid w:val="0093121F"/>
    <w:rsid w:val="009319C3"/>
    <w:rsid w:val="00931EFE"/>
    <w:rsid w:val="00932081"/>
    <w:rsid w:val="00932549"/>
    <w:rsid w:val="0093314B"/>
    <w:rsid w:val="00933D4F"/>
    <w:rsid w:val="0093427F"/>
    <w:rsid w:val="0093539A"/>
    <w:rsid w:val="00935964"/>
    <w:rsid w:val="0093608D"/>
    <w:rsid w:val="0093648C"/>
    <w:rsid w:val="00936621"/>
    <w:rsid w:val="00937759"/>
    <w:rsid w:val="00937977"/>
    <w:rsid w:val="00937A92"/>
    <w:rsid w:val="00937C05"/>
    <w:rsid w:val="0094072B"/>
    <w:rsid w:val="00940E90"/>
    <w:rsid w:val="00941108"/>
    <w:rsid w:val="009417CC"/>
    <w:rsid w:val="009427C2"/>
    <w:rsid w:val="00942818"/>
    <w:rsid w:val="00945059"/>
    <w:rsid w:val="00945633"/>
    <w:rsid w:val="00946DC7"/>
    <w:rsid w:val="009475B0"/>
    <w:rsid w:val="009501DD"/>
    <w:rsid w:val="00951760"/>
    <w:rsid w:val="00952881"/>
    <w:rsid w:val="009532E3"/>
    <w:rsid w:val="0095369A"/>
    <w:rsid w:val="00954D33"/>
    <w:rsid w:val="009555C4"/>
    <w:rsid w:val="0095640A"/>
    <w:rsid w:val="00956833"/>
    <w:rsid w:val="00956AD8"/>
    <w:rsid w:val="00956EC4"/>
    <w:rsid w:val="00956F9E"/>
    <w:rsid w:val="00957412"/>
    <w:rsid w:val="00957582"/>
    <w:rsid w:val="00957717"/>
    <w:rsid w:val="00957D4E"/>
    <w:rsid w:val="009604BB"/>
    <w:rsid w:val="00961499"/>
    <w:rsid w:val="00963028"/>
    <w:rsid w:val="00963EB4"/>
    <w:rsid w:val="00964DE5"/>
    <w:rsid w:val="00966CAA"/>
    <w:rsid w:val="0096742E"/>
    <w:rsid w:val="009678A2"/>
    <w:rsid w:val="00970EC1"/>
    <w:rsid w:val="009720E8"/>
    <w:rsid w:val="009749FA"/>
    <w:rsid w:val="00974E1E"/>
    <w:rsid w:val="00975625"/>
    <w:rsid w:val="009771E9"/>
    <w:rsid w:val="009774A3"/>
    <w:rsid w:val="00977F95"/>
    <w:rsid w:val="00980643"/>
    <w:rsid w:val="00980660"/>
    <w:rsid w:val="00980C49"/>
    <w:rsid w:val="00981A3B"/>
    <w:rsid w:val="00981E88"/>
    <w:rsid w:val="00982391"/>
    <w:rsid w:val="0098292C"/>
    <w:rsid w:val="00982DA0"/>
    <w:rsid w:val="00983A62"/>
    <w:rsid w:val="00983A68"/>
    <w:rsid w:val="00983C62"/>
    <w:rsid w:val="00983FCA"/>
    <w:rsid w:val="00984309"/>
    <w:rsid w:val="00984892"/>
    <w:rsid w:val="00984899"/>
    <w:rsid w:val="0098611E"/>
    <w:rsid w:val="00986E1B"/>
    <w:rsid w:val="00987E97"/>
    <w:rsid w:val="00991377"/>
    <w:rsid w:val="00991484"/>
    <w:rsid w:val="0099210D"/>
    <w:rsid w:val="0099281A"/>
    <w:rsid w:val="00992912"/>
    <w:rsid w:val="00993E5F"/>
    <w:rsid w:val="00994BBF"/>
    <w:rsid w:val="00995715"/>
    <w:rsid w:val="0099574B"/>
    <w:rsid w:val="00995C20"/>
    <w:rsid w:val="009963C7"/>
    <w:rsid w:val="009966B3"/>
    <w:rsid w:val="00997197"/>
    <w:rsid w:val="009974AC"/>
    <w:rsid w:val="009A061C"/>
    <w:rsid w:val="009A23BF"/>
    <w:rsid w:val="009A2A81"/>
    <w:rsid w:val="009A40BC"/>
    <w:rsid w:val="009A4DC0"/>
    <w:rsid w:val="009A5F3D"/>
    <w:rsid w:val="009A7A86"/>
    <w:rsid w:val="009B04F3"/>
    <w:rsid w:val="009B0A6A"/>
    <w:rsid w:val="009B1312"/>
    <w:rsid w:val="009B14D3"/>
    <w:rsid w:val="009B1FFA"/>
    <w:rsid w:val="009B2941"/>
    <w:rsid w:val="009B3EDD"/>
    <w:rsid w:val="009B3FC0"/>
    <w:rsid w:val="009B5C5E"/>
    <w:rsid w:val="009B6304"/>
    <w:rsid w:val="009B6AD5"/>
    <w:rsid w:val="009B71F1"/>
    <w:rsid w:val="009B765E"/>
    <w:rsid w:val="009B77D5"/>
    <w:rsid w:val="009C1396"/>
    <w:rsid w:val="009C218D"/>
    <w:rsid w:val="009C2B80"/>
    <w:rsid w:val="009C2DE7"/>
    <w:rsid w:val="009C31B2"/>
    <w:rsid w:val="009C3A3B"/>
    <w:rsid w:val="009C4697"/>
    <w:rsid w:val="009C46C8"/>
    <w:rsid w:val="009C5B55"/>
    <w:rsid w:val="009C5C2C"/>
    <w:rsid w:val="009C5ED8"/>
    <w:rsid w:val="009C6540"/>
    <w:rsid w:val="009C6646"/>
    <w:rsid w:val="009C7053"/>
    <w:rsid w:val="009C7328"/>
    <w:rsid w:val="009D0F02"/>
    <w:rsid w:val="009D1ED2"/>
    <w:rsid w:val="009D2308"/>
    <w:rsid w:val="009D24AB"/>
    <w:rsid w:val="009D28C6"/>
    <w:rsid w:val="009D29F7"/>
    <w:rsid w:val="009D2AFE"/>
    <w:rsid w:val="009D3193"/>
    <w:rsid w:val="009D3801"/>
    <w:rsid w:val="009D3894"/>
    <w:rsid w:val="009D3BDF"/>
    <w:rsid w:val="009D3E8F"/>
    <w:rsid w:val="009D4862"/>
    <w:rsid w:val="009D5E7A"/>
    <w:rsid w:val="009D62FF"/>
    <w:rsid w:val="009D6945"/>
    <w:rsid w:val="009D6CEF"/>
    <w:rsid w:val="009E02AA"/>
    <w:rsid w:val="009E0961"/>
    <w:rsid w:val="009E09C4"/>
    <w:rsid w:val="009E0A75"/>
    <w:rsid w:val="009E0DAD"/>
    <w:rsid w:val="009E0EDA"/>
    <w:rsid w:val="009E17BF"/>
    <w:rsid w:val="009E1CEA"/>
    <w:rsid w:val="009E2483"/>
    <w:rsid w:val="009E2F41"/>
    <w:rsid w:val="009E334C"/>
    <w:rsid w:val="009E337A"/>
    <w:rsid w:val="009E3CB5"/>
    <w:rsid w:val="009E580C"/>
    <w:rsid w:val="009E587C"/>
    <w:rsid w:val="009E648F"/>
    <w:rsid w:val="009E64E1"/>
    <w:rsid w:val="009E6538"/>
    <w:rsid w:val="009E6A56"/>
    <w:rsid w:val="009E6A5B"/>
    <w:rsid w:val="009E6A5C"/>
    <w:rsid w:val="009E715A"/>
    <w:rsid w:val="009E768D"/>
    <w:rsid w:val="009E7735"/>
    <w:rsid w:val="009E7C7F"/>
    <w:rsid w:val="009F04B5"/>
    <w:rsid w:val="009F0C67"/>
    <w:rsid w:val="009F10F0"/>
    <w:rsid w:val="009F59B3"/>
    <w:rsid w:val="009F5C72"/>
    <w:rsid w:val="009F67AA"/>
    <w:rsid w:val="009F6F75"/>
    <w:rsid w:val="009F7F3D"/>
    <w:rsid w:val="00A006EE"/>
    <w:rsid w:val="00A00C4F"/>
    <w:rsid w:val="00A01088"/>
    <w:rsid w:val="00A01571"/>
    <w:rsid w:val="00A025B6"/>
    <w:rsid w:val="00A02E4B"/>
    <w:rsid w:val="00A036CF"/>
    <w:rsid w:val="00A037C6"/>
    <w:rsid w:val="00A039FC"/>
    <w:rsid w:val="00A03BC9"/>
    <w:rsid w:val="00A03C0B"/>
    <w:rsid w:val="00A04515"/>
    <w:rsid w:val="00A04879"/>
    <w:rsid w:val="00A058B4"/>
    <w:rsid w:val="00A05B09"/>
    <w:rsid w:val="00A05DA5"/>
    <w:rsid w:val="00A07364"/>
    <w:rsid w:val="00A07A39"/>
    <w:rsid w:val="00A07C2C"/>
    <w:rsid w:val="00A103C6"/>
    <w:rsid w:val="00A10484"/>
    <w:rsid w:val="00A10999"/>
    <w:rsid w:val="00A10A3B"/>
    <w:rsid w:val="00A10AD8"/>
    <w:rsid w:val="00A116F8"/>
    <w:rsid w:val="00A12061"/>
    <w:rsid w:val="00A12526"/>
    <w:rsid w:val="00A12692"/>
    <w:rsid w:val="00A12F37"/>
    <w:rsid w:val="00A13324"/>
    <w:rsid w:val="00A133AE"/>
    <w:rsid w:val="00A13818"/>
    <w:rsid w:val="00A13885"/>
    <w:rsid w:val="00A13CF7"/>
    <w:rsid w:val="00A13D4B"/>
    <w:rsid w:val="00A13F57"/>
    <w:rsid w:val="00A14331"/>
    <w:rsid w:val="00A14342"/>
    <w:rsid w:val="00A171B5"/>
    <w:rsid w:val="00A20568"/>
    <w:rsid w:val="00A2059E"/>
    <w:rsid w:val="00A217CF"/>
    <w:rsid w:val="00A218F2"/>
    <w:rsid w:val="00A21A9E"/>
    <w:rsid w:val="00A21B5C"/>
    <w:rsid w:val="00A220EB"/>
    <w:rsid w:val="00A24ED2"/>
    <w:rsid w:val="00A253BC"/>
    <w:rsid w:val="00A2553B"/>
    <w:rsid w:val="00A30F2E"/>
    <w:rsid w:val="00A3244B"/>
    <w:rsid w:val="00A3287F"/>
    <w:rsid w:val="00A33A20"/>
    <w:rsid w:val="00A33AB6"/>
    <w:rsid w:val="00A33DD6"/>
    <w:rsid w:val="00A33DF4"/>
    <w:rsid w:val="00A3414E"/>
    <w:rsid w:val="00A34188"/>
    <w:rsid w:val="00A34A20"/>
    <w:rsid w:val="00A3680A"/>
    <w:rsid w:val="00A408EB"/>
    <w:rsid w:val="00A40A96"/>
    <w:rsid w:val="00A4117D"/>
    <w:rsid w:val="00A42D43"/>
    <w:rsid w:val="00A43143"/>
    <w:rsid w:val="00A432CC"/>
    <w:rsid w:val="00A43457"/>
    <w:rsid w:val="00A4389E"/>
    <w:rsid w:val="00A43D25"/>
    <w:rsid w:val="00A440C7"/>
    <w:rsid w:val="00A4429C"/>
    <w:rsid w:val="00A4442F"/>
    <w:rsid w:val="00A44AD6"/>
    <w:rsid w:val="00A44C7F"/>
    <w:rsid w:val="00A45454"/>
    <w:rsid w:val="00A454DD"/>
    <w:rsid w:val="00A459AB"/>
    <w:rsid w:val="00A468C1"/>
    <w:rsid w:val="00A46E8C"/>
    <w:rsid w:val="00A476CB"/>
    <w:rsid w:val="00A50463"/>
    <w:rsid w:val="00A50613"/>
    <w:rsid w:val="00A50628"/>
    <w:rsid w:val="00A51467"/>
    <w:rsid w:val="00A52122"/>
    <w:rsid w:val="00A528A2"/>
    <w:rsid w:val="00A53B90"/>
    <w:rsid w:val="00A53D60"/>
    <w:rsid w:val="00A54126"/>
    <w:rsid w:val="00A54F2B"/>
    <w:rsid w:val="00A554FB"/>
    <w:rsid w:val="00A556FF"/>
    <w:rsid w:val="00A5606C"/>
    <w:rsid w:val="00A56687"/>
    <w:rsid w:val="00A56C83"/>
    <w:rsid w:val="00A56C98"/>
    <w:rsid w:val="00A579B3"/>
    <w:rsid w:val="00A57FA7"/>
    <w:rsid w:val="00A63949"/>
    <w:rsid w:val="00A63DC6"/>
    <w:rsid w:val="00A65875"/>
    <w:rsid w:val="00A66D5B"/>
    <w:rsid w:val="00A66F72"/>
    <w:rsid w:val="00A67178"/>
    <w:rsid w:val="00A6766E"/>
    <w:rsid w:val="00A678B2"/>
    <w:rsid w:val="00A67A5A"/>
    <w:rsid w:val="00A67EA0"/>
    <w:rsid w:val="00A704F7"/>
    <w:rsid w:val="00A72610"/>
    <w:rsid w:val="00A72782"/>
    <w:rsid w:val="00A73163"/>
    <w:rsid w:val="00A731C8"/>
    <w:rsid w:val="00A73213"/>
    <w:rsid w:val="00A738DA"/>
    <w:rsid w:val="00A73D7A"/>
    <w:rsid w:val="00A73ECB"/>
    <w:rsid w:val="00A74044"/>
    <w:rsid w:val="00A747D2"/>
    <w:rsid w:val="00A7697A"/>
    <w:rsid w:val="00A8024F"/>
    <w:rsid w:val="00A8042D"/>
    <w:rsid w:val="00A8063F"/>
    <w:rsid w:val="00A8068B"/>
    <w:rsid w:val="00A80CED"/>
    <w:rsid w:val="00A8169D"/>
    <w:rsid w:val="00A81D2A"/>
    <w:rsid w:val="00A8274B"/>
    <w:rsid w:val="00A82DCC"/>
    <w:rsid w:val="00A82FD7"/>
    <w:rsid w:val="00A8422F"/>
    <w:rsid w:val="00A8470A"/>
    <w:rsid w:val="00A86521"/>
    <w:rsid w:val="00A86878"/>
    <w:rsid w:val="00A86A04"/>
    <w:rsid w:val="00A86F81"/>
    <w:rsid w:val="00A87333"/>
    <w:rsid w:val="00A87820"/>
    <w:rsid w:val="00A92754"/>
    <w:rsid w:val="00A92977"/>
    <w:rsid w:val="00A93461"/>
    <w:rsid w:val="00A93B78"/>
    <w:rsid w:val="00A94F0D"/>
    <w:rsid w:val="00A95E9F"/>
    <w:rsid w:val="00A96A7D"/>
    <w:rsid w:val="00A96C3D"/>
    <w:rsid w:val="00A96D26"/>
    <w:rsid w:val="00A974AA"/>
    <w:rsid w:val="00A97C14"/>
    <w:rsid w:val="00A97E8B"/>
    <w:rsid w:val="00AA004C"/>
    <w:rsid w:val="00AA18A9"/>
    <w:rsid w:val="00AA2708"/>
    <w:rsid w:val="00AA29CB"/>
    <w:rsid w:val="00AA3FA0"/>
    <w:rsid w:val="00AA4357"/>
    <w:rsid w:val="00AA462C"/>
    <w:rsid w:val="00AA5259"/>
    <w:rsid w:val="00AA5329"/>
    <w:rsid w:val="00AA5CC1"/>
    <w:rsid w:val="00AA6989"/>
    <w:rsid w:val="00AB05EC"/>
    <w:rsid w:val="00AB080F"/>
    <w:rsid w:val="00AB0A4C"/>
    <w:rsid w:val="00AB0AAB"/>
    <w:rsid w:val="00AB1F74"/>
    <w:rsid w:val="00AB2A0B"/>
    <w:rsid w:val="00AB30E5"/>
    <w:rsid w:val="00AB38F9"/>
    <w:rsid w:val="00AB3B5B"/>
    <w:rsid w:val="00AB500C"/>
    <w:rsid w:val="00AB52F0"/>
    <w:rsid w:val="00AB53AB"/>
    <w:rsid w:val="00AB5690"/>
    <w:rsid w:val="00AB621B"/>
    <w:rsid w:val="00AB65C3"/>
    <w:rsid w:val="00AB7207"/>
    <w:rsid w:val="00AB7A7C"/>
    <w:rsid w:val="00AB7B93"/>
    <w:rsid w:val="00AC065A"/>
    <w:rsid w:val="00AC0CF1"/>
    <w:rsid w:val="00AC12DB"/>
    <w:rsid w:val="00AC12F4"/>
    <w:rsid w:val="00AC1992"/>
    <w:rsid w:val="00AC3ACA"/>
    <w:rsid w:val="00AC3E9D"/>
    <w:rsid w:val="00AC4119"/>
    <w:rsid w:val="00AC4461"/>
    <w:rsid w:val="00AC4A97"/>
    <w:rsid w:val="00AC5A4E"/>
    <w:rsid w:val="00AC72B8"/>
    <w:rsid w:val="00AC78C3"/>
    <w:rsid w:val="00AC7B38"/>
    <w:rsid w:val="00AC7B6F"/>
    <w:rsid w:val="00AD01BA"/>
    <w:rsid w:val="00AD241F"/>
    <w:rsid w:val="00AD2490"/>
    <w:rsid w:val="00AD363A"/>
    <w:rsid w:val="00AD3A46"/>
    <w:rsid w:val="00AD3E0D"/>
    <w:rsid w:val="00AD418E"/>
    <w:rsid w:val="00AD59E3"/>
    <w:rsid w:val="00AE16DE"/>
    <w:rsid w:val="00AE171D"/>
    <w:rsid w:val="00AE18A5"/>
    <w:rsid w:val="00AE28E7"/>
    <w:rsid w:val="00AE2D93"/>
    <w:rsid w:val="00AE37C8"/>
    <w:rsid w:val="00AE38FD"/>
    <w:rsid w:val="00AE5ACA"/>
    <w:rsid w:val="00AE6B4B"/>
    <w:rsid w:val="00AE71E3"/>
    <w:rsid w:val="00AE77AB"/>
    <w:rsid w:val="00AE7BE5"/>
    <w:rsid w:val="00AE7FE8"/>
    <w:rsid w:val="00AF029E"/>
    <w:rsid w:val="00AF0663"/>
    <w:rsid w:val="00AF1B5D"/>
    <w:rsid w:val="00AF1C02"/>
    <w:rsid w:val="00AF2292"/>
    <w:rsid w:val="00AF2C21"/>
    <w:rsid w:val="00AF2F72"/>
    <w:rsid w:val="00AF3422"/>
    <w:rsid w:val="00AF36A2"/>
    <w:rsid w:val="00AF3C6E"/>
    <w:rsid w:val="00AF41BC"/>
    <w:rsid w:val="00AF501C"/>
    <w:rsid w:val="00AF6B4C"/>
    <w:rsid w:val="00B0041B"/>
    <w:rsid w:val="00B0145D"/>
    <w:rsid w:val="00B0148C"/>
    <w:rsid w:val="00B01BE8"/>
    <w:rsid w:val="00B032BE"/>
    <w:rsid w:val="00B03551"/>
    <w:rsid w:val="00B039D9"/>
    <w:rsid w:val="00B04072"/>
    <w:rsid w:val="00B04CAC"/>
    <w:rsid w:val="00B07DBB"/>
    <w:rsid w:val="00B10D6A"/>
    <w:rsid w:val="00B112BA"/>
    <w:rsid w:val="00B115C5"/>
    <w:rsid w:val="00B12946"/>
    <w:rsid w:val="00B12DDC"/>
    <w:rsid w:val="00B131E3"/>
    <w:rsid w:val="00B133D0"/>
    <w:rsid w:val="00B13756"/>
    <w:rsid w:val="00B13CB1"/>
    <w:rsid w:val="00B14144"/>
    <w:rsid w:val="00B1457D"/>
    <w:rsid w:val="00B1728A"/>
    <w:rsid w:val="00B1735B"/>
    <w:rsid w:val="00B17397"/>
    <w:rsid w:val="00B2026E"/>
    <w:rsid w:val="00B215A2"/>
    <w:rsid w:val="00B217DB"/>
    <w:rsid w:val="00B219B8"/>
    <w:rsid w:val="00B230B2"/>
    <w:rsid w:val="00B254D4"/>
    <w:rsid w:val="00B25964"/>
    <w:rsid w:val="00B2679D"/>
    <w:rsid w:val="00B26A0E"/>
    <w:rsid w:val="00B27425"/>
    <w:rsid w:val="00B274B4"/>
    <w:rsid w:val="00B27AC5"/>
    <w:rsid w:val="00B27B43"/>
    <w:rsid w:val="00B30E84"/>
    <w:rsid w:val="00B316B7"/>
    <w:rsid w:val="00B31F8B"/>
    <w:rsid w:val="00B333D3"/>
    <w:rsid w:val="00B34053"/>
    <w:rsid w:val="00B343F8"/>
    <w:rsid w:val="00B344EF"/>
    <w:rsid w:val="00B34851"/>
    <w:rsid w:val="00B34BBE"/>
    <w:rsid w:val="00B34C88"/>
    <w:rsid w:val="00B34C8F"/>
    <w:rsid w:val="00B34C91"/>
    <w:rsid w:val="00B3556C"/>
    <w:rsid w:val="00B367D6"/>
    <w:rsid w:val="00B36A01"/>
    <w:rsid w:val="00B37356"/>
    <w:rsid w:val="00B3742A"/>
    <w:rsid w:val="00B379BE"/>
    <w:rsid w:val="00B37A3B"/>
    <w:rsid w:val="00B37FE5"/>
    <w:rsid w:val="00B40889"/>
    <w:rsid w:val="00B42346"/>
    <w:rsid w:val="00B42543"/>
    <w:rsid w:val="00B42B37"/>
    <w:rsid w:val="00B42B52"/>
    <w:rsid w:val="00B430F6"/>
    <w:rsid w:val="00B437C5"/>
    <w:rsid w:val="00B44513"/>
    <w:rsid w:val="00B45B04"/>
    <w:rsid w:val="00B45BC1"/>
    <w:rsid w:val="00B46799"/>
    <w:rsid w:val="00B468B8"/>
    <w:rsid w:val="00B47460"/>
    <w:rsid w:val="00B47578"/>
    <w:rsid w:val="00B50332"/>
    <w:rsid w:val="00B508A7"/>
    <w:rsid w:val="00B50C43"/>
    <w:rsid w:val="00B50F7C"/>
    <w:rsid w:val="00B51EBB"/>
    <w:rsid w:val="00B5340A"/>
    <w:rsid w:val="00B53B5F"/>
    <w:rsid w:val="00B55C9E"/>
    <w:rsid w:val="00B55F45"/>
    <w:rsid w:val="00B56324"/>
    <w:rsid w:val="00B565D4"/>
    <w:rsid w:val="00B56D3B"/>
    <w:rsid w:val="00B57332"/>
    <w:rsid w:val="00B60DD3"/>
    <w:rsid w:val="00B6133E"/>
    <w:rsid w:val="00B62229"/>
    <w:rsid w:val="00B6250E"/>
    <w:rsid w:val="00B62862"/>
    <w:rsid w:val="00B62E0E"/>
    <w:rsid w:val="00B649FF"/>
    <w:rsid w:val="00B64FA9"/>
    <w:rsid w:val="00B65174"/>
    <w:rsid w:val="00B65AB9"/>
    <w:rsid w:val="00B67410"/>
    <w:rsid w:val="00B67C2A"/>
    <w:rsid w:val="00B7029D"/>
    <w:rsid w:val="00B705D2"/>
    <w:rsid w:val="00B705F5"/>
    <w:rsid w:val="00B70893"/>
    <w:rsid w:val="00B70E7A"/>
    <w:rsid w:val="00B71378"/>
    <w:rsid w:val="00B7168D"/>
    <w:rsid w:val="00B72370"/>
    <w:rsid w:val="00B724BA"/>
    <w:rsid w:val="00B72722"/>
    <w:rsid w:val="00B728CA"/>
    <w:rsid w:val="00B72B5C"/>
    <w:rsid w:val="00B72D41"/>
    <w:rsid w:val="00B72E78"/>
    <w:rsid w:val="00B73363"/>
    <w:rsid w:val="00B73744"/>
    <w:rsid w:val="00B7395F"/>
    <w:rsid w:val="00B73BF1"/>
    <w:rsid w:val="00B73D5E"/>
    <w:rsid w:val="00B741EF"/>
    <w:rsid w:val="00B74C8A"/>
    <w:rsid w:val="00B75EE0"/>
    <w:rsid w:val="00B7610A"/>
    <w:rsid w:val="00B778C0"/>
    <w:rsid w:val="00B77A33"/>
    <w:rsid w:val="00B803E7"/>
    <w:rsid w:val="00B8146A"/>
    <w:rsid w:val="00B81609"/>
    <w:rsid w:val="00B82637"/>
    <w:rsid w:val="00B8350D"/>
    <w:rsid w:val="00B836ED"/>
    <w:rsid w:val="00B84D86"/>
    <w:rsid w:val="00B851CC"/>
    <w:rsid w:val="00B85270"/>
    <w:rsid w:val="00B85694"/>
    <w:rsid w:val="00B86001"/>
    <w:rsid w:val="00B86648"/>
    <w:rsid w:val="00B872BA"/>
    <w:rsid w:val="00B877FE"/>
    <w:rsid w:val="00B87D46"/>
    <w:rsid w:val="00B90705"/>
    <w:rsid w:val="00B91455"/>
    <w:rsid w:val="00B9149C"/>
    <w:rsid w:val="00B914AC"/>
    <w:rsid w:val="00B91FC9"/>
    <w:rsid w:val="00B9478B"/>
    <w:rsid w:val="00B949F0"/>
    <w:rsid w:val="00B95200"/>
    <w:rsid w:val="00B95335"/>
    <w:rsid w:val="00B961C6"/>
    <w:rsid w:val="00B9629D"/>
    <w:rsid w:val="00B96605"/>
    <w:rsid w:val="00B96A71"/>
    <w:rsid w:val="00B978EB"/>
    <w:rsid w:val="00BA0153"/>
    <w:rsid w:val="00BA1087"/>
    <w:rsid w:val="00BA1462"/>
    <w:rsid w:val="00BA1996"/>
    <w:rsid w:val="00BA1C6F"/>
    <w:rsid w:val="00BA24A7"/>
    <w:rsid w:val="00BA26D7"/>
    <w:rsid w:val="00BA2F9E"/>
    <w:rsid w:val="00BA304B"/>
    <w:rsid w:val="00BA4232"/>
    <w:rsid w:val="00BA4971"/>
    <w:rsid w:val="00BA5EB8"/>
    <w:rsid w:val="00BA65EF"/>
    <w:rsid w:val="00BA6CFA"/>
    <w:rsid w:val="00BA7A86"/>
    <w:rsid w:val="00BA7D50"/>
    <w:rsid w:val="00BA7E77"/>
    <w:rsid w:val="00BB028F"/>
    <w:rsid w:val="00BB0724"/>
    <w:rsid w:val="00BB0C3E"/>
    <w:rsid w:val="00BB0FFD"/>
    <w:rsid w:val="00BB12E2"/>
    <w:rsid w:val="00BB3153"/>
    <w:rsid w:val="00BB3171"/>
    <w:rsid w:val="00BB346B"/>
    <w:rsid w:val="00BB3F13"/>
    <w:rsid w:val="00BB56EB"/>
    <w:rsid w:val="00BB5BAF"/>
    <w:rsid w:val="00BB63F5"/>
    <w:rsid w:val="00BB6BB5"/>
    <w:rsid w:val="00BB73C0"/>
    <w:rsid w:val="00BB74E7"/>
    <w:rsid w:val="00BC130C"/>
    <w:rsid w:val="00BC1A17"/>
    <w:rsid w:val="00BC2AB9"/>
    <w:rsid w:val="00BC2C30"/>
    <w:rsid w:val="00BC379A"/>
    <w:rsid w:val="00BC3833"/>
    <w:rsid w:val="00BC3C53"/>
    <w:rsid w:val="00BC4902"/>
    <w:rsid w:val="00BC53E3"/>
    <w:rsid w:val="00BC5476"/>
    <w:rsid w:val="00BC5647"/>
    <w:rsid w:val="00BC57FA"/>
    <w:rsid w:val="00BC5806"/>
    <w:rsid w:val="00BC5CC0"/>
    <w:rsid w:val="00BC6843"/>
    <w:rsid w:val="00BC72F3"/>
    <w:rsid w:val="00BD0D19"/>
    <w:rsid w:val="00BD0DFD"/>
    <w:rsid w:val="00BD1364"/>
    <w:rsid w:val="00BD1701"/>
    <w:rsid w:val="00BD1976"/>
    <w:rsid w:val="00BD3014"/>
    <w:rsid w:val="00BD332D"/>
    <w:rsid w:val="00BD339C"/>
    <w:rsid w:val="00BD3746"/>
    <w:rsid w:val="00BD406C"/>
    <w:rsid w:val="00BD4143"/>
    <w:rsid w:val="00BD4177"/>
    <w:rsid w:val="00BD4EED"/>
    <w:rsid w:val="00BD5B22"/>
    <w:rsid w:val="00BD5CAE"/>
    <w:rsid w:val="00BD6903"/>
    <w:rsid w:val="00BD69BC"/>
    <w:rsid w:val="00BD6E7F"/>
    <w:rsid w:val="00BD779D"/>
    <w:rsid w:val="00BE061E"/>
    <w:rsid w:val="00BE1254"/>
    <w:rsid w:val="00BE188E"/>
    <w:rsid w:val="00BE2501"/>
    <w:rsid w:val="00BE2BC9"/>
    <w:rsid w:val="00BE3AC8"/>
    <w:rsid w:val="00BE58BA"/>
    <w:rsid w:val="00BF0533"/>
    <w:rsid w:val="00BF0B23"/>
    <w:rsid w:val="00BF15CE"/>
    <w:rsid w:val="00BF18D7"/>
    <w:rsid w:val="00BF280F"/>
    <w:rsid w:val="00BF302C"/>
    <w:rsid w:val="00BF385D"/>
    <w:rsid w:val="00BF3A57"/>
    <w:rsid w:val="00BF3DFA"/>
    <w:rsid w:val="00BF3FD1"/>
    <w:rsid w:val="00BF4D85"/>
    <w:rsid w:val="00BF767B"/>
    <w:rsid w:val="00BF7C15"/>
    <w:rsid w:val="00C001B6"/>
    <w:rsid w:val="00C00F50"/>
    <w:rsid w:val="00C01338"/>
    <w:rsid w:val="00C01543"/>
    <w:rsid w:val="00C01609"/>
    <w:rsid w:val="00C01701"/>
    <w:rsid w:val="00C01796"/>
    <w:rsid w:val="00C01C58"/>
    <w:rsid w:val="00C026F5"/>
    <w:rsid w:val="00C0274D"/>
    <w:rsid w:val="00C028A8"/>
    <w:rsid w:val="00C02C49"/>
    <w:rsid w:val="00C035CD"/>
    <w:rsid w:val="00C040FC"/>
    <w:rsid w:val="00C0552E"/>
    <w:rsid w:val="00C0560D"/>
    <w:rsid w:val="00C06B4D"/>
    <w:rsid w:val="00C10A39"/>
    <w:rsid w:val="00C10EFF"/>
    <w:rsid w:val="00C1317D"/>
    <w:rsid w:val="00C13841"/>
    <w:rsid w:val="00C1384F"/>
    <w:rsid w:val="00C15560"/>
    <w:rsid w:val="00C15585"/>
    <w:rsid w:val="00C168BD"/>
    <w:rsid w:val="00C16AA7"/>
    <w:rsid w:val="00C179A2"/>
    <w:rsid w:val="00C17C53"/>
    <w:rsid w:val="00C201A8"/>
    <w:rsid w:val="00C2029F"/>
    <w:rsid w:val="00C2080D"/>
    <w:rsid w:val="00C20915"/>
    <w:rsid w:val="00C20BA5"/>
    <w:rsid w:val="00C20F89"/>
    <w:rsid w:val="00C21DF6"/>
    <w:rsid w:val="00C22797"/>
    <w:rsid w:val="00C23E5C"/>
    <w:rsid w:val="00C2489F"/>
    <w:rsid w:val="00C24E83"/>
    <w:rsid w:val="00C25204"/>
    <w:rsid w:val="00C2525B"/>
    <w:rsid w:val="00C26351"/>
    <w:rsid w:val="00C26572"/>
    <w:rsid w:val="00C26E96"/>
    <w:rsid w:val="00C30418"/>
    <w:rsid w:val="00C3047D"/>
    <w:rsid w:val="00C30F57"/>
    <w:rsid w:val="00C316B4"/>
    <w:rsid w:val="00C31759"/>
    <w:rsid w:val="00C323E2"/>
    <w:rsid w:val="00C324FA"/>
    <w:rsid w:val="00C33439"/>
    <w:rsid w:val="00C339A6"/>
    <w:rsid w:val="00C35769"/>
    <w:rsid w:val="00C35B9B"/>
    <w:rsid w:val="00C35CC5"/>
    <w:rsid w:val="00C37A39"/>
    <w:rsid w:val="00C37CDB"/>
    <w:rsid w:val="00C401CF"/>
    <w:rsid w:val="00C403E7"/>
    <w:rsid w:val="00C43D2A"/>
    <w:rsid w:val="00C444A5"/>
    <w:rsid w:val="00C458A1"/>
    <w:rsid w:val="00C45B40"/>
    <w:rsid w:val="00C460DE"/>
    <w:rsid w:val="00C4661F"/>
    <w:rsid w:val="00C469EE"/>
    <w:rsid w:val="00C46CA6"/>
    <w:rsid w:val="00C519CA"/>
    <w:rsid w:val="00C520C7"/>
    <w:rsid w:val="00C52176"/>
    <w:rsid w:val="00C52681"/>
    <w:rsid w:val="00C53122"/>
    <w:rsid w:val="00C54D93"/>
    <w:rsid w:val="00C558B0"/>
    <w:rsid w:val="00C57607"/>
    <w:rsid w:val="00C57DEB"/>
    <w:rsid w:val="00C57E0C"/>
    <w:rsid w:val="00C60B8B"/>
    <w:rsid w:val="00C61C00"/>
    <w:rsid w:val="00C61E1F"/>
    <w:rsid w:val="00C61ECD"/>
    <w:rsid w:val="00C628BF"/>
    <w:rsid w:val="00C64003"/>
    <w:rsid w:val="00C6421A"/>
    <w:rsid w:val="00C6458C"/>
    <w:rsid w:val="00C651E5"/>
    <w:rsid w:val="00C65D69"/>
    <w:rsid w:val="00C65E62"/>
    <w:rsid w:val="00C66795"/>
    <w:rsid w:val="00C66AFE"/>
    <w:rsid w:val="00C66C91"/>
    <w:rsid w:val="00C677F1"/>
    <w:rsid w:val="00C71796"/>
    <w:rsid w:val="00C71934"/>
    <w:rsid w:val="00C71F79"/>
    <w:rsid w:val="00C73929"/>
    <w:rsid w:val="00C73B4F"/>
    <w:rsid w:val="00C7401D"/>
    <w:rsid w:val="00C75295"/>
    <w:rsid w:val="00C755B7"/>
    <w:rsid w:val="00C7565E"/>
    <w:rsid w:val="00C75670"/>
    <w:rsid w:val="00C75B86"/>
    <w:rsid w:val="00C766A1"/>
    <w:rsid w:val="00C76B08"/>
    <w:rsid w:val="00C76C14"/>
    <w:rsid w:val="00C8112F"/>
    <w:rsid w:val="00C822FD"/>
    <w:rsid w:val="00C82ACF"/>
    <w:rsid w:val="00C853F2"/>
    <w:rsid w:val="00C85C70"/>
    <w:rsid w:val="00C85E82"/>
    <w:rsid w:val="00C86144"/>
    <w:rsid w:val="00C868FC"/>
    <w:rsid w:val="00C87174"/>
    <w:rsid w:val="00C877D9"/>
    <w:rsid w:val="00C878F5"/>
    <w:rsid w:val="00C87D59"/>
    <w:rsid w:val="00C90D0A"/>
    <w:rsid w:val="00C916E6"/>
    <w:rsid w:val="00C9197D"/>
    <w:rsid w:val="00C91C7E"/>
    <w:rsid w:val="00C93FEB"/>
    <w:rsid w:val="00C9432E"/>
    <w:rsid w:val="00C9446A"/>
    <w:rsid w:val="00C9510D"/>
    <w:rsid w:val="00C95140"/>
    <w:rsid w:val="00C95301"/>
    <w:rsid w:val="00C95B78"/>
    <w:rsid w:val="00C95BA7"/>
    <w:rsid w:val="00C96FE0"/>
    <w:rsid w:val="00C9726F"/>
    <w:rsid w:val="00C974B4"/>
    <w:rsid w:val="00C97FF0"/>
    <w:rsid w:val="00CA076A"/>
    <w:rsid w:val="00CA0A18"/>
    <w:rsid w:val="00CA0D61"/>
    <w:rsid w:val="00CA2B5A"/>
    <w:rsid w:val="00CA2E16"/>
    <w:rsid w:val="00CA3759"/>
    <w:rsid w:val="00CA3894"/>
    <w:rsid w:val="00CA4DA8"/>
    <w:rsid w:val="00CA562E"/>
    <w:rsid w:val="00CA64E2"/>
    <w:rsid w:val="00CA6B50"/>
    <w:rsid w:val="00CA79D2"/>
    <w:rsid w:val="00CB03ED"/>
    <w:rsid w:val="00CB05CC"/>
    <w:rsid w:val="00CB0745"/>
    <w:rsid w:val="00CB07C6"/>
    <w:rsid w:val="00CB08AE"/>
    <w:rsid w:val="00CB08D5"/>
    <w:rsid w:val="00CB0F4C"/>
    <w:rsid w:val="00CB286A"/>
    <w:rsid w:val="00CB30A2"/>
    <w:rsid w:val="00CB44D3"/>
    <w:rsid w:val="00CB5566"/>
    <w:rsid w:val="00CB665B"/>
    <w:rsid w:val="00CB6CC4"/>
    <w:rsid w:val="00CB7361"/>
    <w:rsid w:val="00CB7708"/>
    <w:rsid w:val="00CC084A"/>
    <w:rsid w:val="00CC1AC9"/>
    <w:rsid w:val="00CC1DFE"/>
    <w:rsid w:val="00CC25E4"/>
    <w:rsid w:val="00CC472A"/>
    <w:rsid w:val="00CC4A41"/>
    <w:rsid w:val="00CC5DD8"/>
    <w:rsid w:val="00CC5F19"/>
    <w:rsid w:val="00CC6005"/>
    <w:rsid w:val="00CC609B"/>
    <w:rsid w:val="00CC631B"/>
    <w:rsid w:val="00CC662C"/>
    <w:rsid w:val="00CC6C4A"/>
    <w:rsid w:val="00CC7F62"/>
    <w:rsid w:val="00CD0C29"/>
    <w:rsid w:val="00CD1883"/>
    <w:rsid w:val="00CD1BC6"/>
    <w:rsid w:val="00CD1F2B"/>
    <w:rsid w:val="00CD2D08"/>
    <w:rsid w:val="00CD3D99"/>
    <w:rsid w:val="00CD3DD7"/>
    <w:rsid w:val="00CD4447"/>
    <w:rsid w:val="00CD473F"/>
    <w:rsid w:val="00CD56C3"/>
    <w:rsid w:val="00CD5790"/>
    <w:rsid w:val="00CD5B83"/>
    <w:rsid w:val="00CD6EB3"/>
    <w:rsid w:val="00CE0978"/>
    <w:rsid w:val="00CE0A8C"/>
    <w:rsid w:val="00CE1781"/>
    <w:rsid w:val="00CE214A"/>
    <w:rsid w:val="00CE2697"/>
    <w:rsid w:val="00CE3A27"/>
    <w:rsid w:val="00CE48B4"/>
    <w:rsid w:val="00CE52AE"/>
    <w:rsid w:val="00CE5760"/>
    <w:rsid w:val="00CE6306"/>
    <w:rsid w:val="00CE63DF"/>
    <w:rsid w:val="00CE6BF2"/>
    <w:rsid w:val="00CE6FB3"/>
    <w:rsid w:val="00CE78D7"/>
    <w:rsid w:val="00CF0130"/>
    <w:rsid w:val="00CF0AAD"/>
    <w:rsid w:val="00CF0FF0"/>
    <w:rsid w:val="00CF1448"/>
    <w:rsid w:val="00CF1602"/>
    <w:rsid w:val="00CF1E9F"/>
    <w:rsid w:val="00CF25E0"/>
    <w:rsid w:val="00CF29EC"/>
    <w:rsid w:val="00CF2BD0"/>
    <w:rsid w:val="00CF3DF7"/>
    <w:rsid w:val="00CF469B"/>
    <w:rsid w:val="00CF4E86"/>
    <w:rsid w:val="00CF6494"/>
    <w:rsid w:val="00CF683C"/>
    <w:rsid w:val="00CF7BA9"/>
    <w:rsid w:val="00D0095F"/>
    <w:rsid w:val="00D01A16"/>
    <w:rsid w:val="00D01E0C"/>
    <w:rsid w:val="00D02325"/>
    <w:rsid w:val="00D024AC"/>
    <w:rsid w:val="00D02625"/>
    <w:rsid w:val="00D036A9"/>
    <w:rsid w:val="00D03ABA"/>
    <w:rsid w:val="00D03CAD"/>
    <w:rsid w:val="00D04ABB"/>
    <w:rsid w:val="00D04D19"/>
    <w:rsid w:val="00D056AE"/>
    <w:rsid w:val="00D059BD"/>
    <w:rsid w:val="00D06F69"/>
    <w:rsid w:val="00D07B78"/>
    <w:rsid w:val="00D10022"/>
    <w:rsid w:val="00D11273"/>
    <w:rsid w:val="00D11FED"/>
    <w:rsid w:val="00D124CB"/>
    <w:rsid w:val="00D1250A"/>
    <w:rsid w:val="00D136EE"/>
    <w:rsid w:val="00D141DD"/>
    <w:rsid w:val="00D14C6D"/>
    <w:rsid w:val="00D1526C"/>
    <w:rsid w:val="00D162BF"/>
    <w:rsid w:val="00D17178"/>
    <w:rsid w:val="00D17790"/>
    <w:rsid w:val="00D20EB1"/>
    <w:rsid w:val="00D213AD"/>
    <w:rsid w:val="00D219C4"/>
    <w:rsid w:val="00D22408"/>
    <w:rsid w:val="00D228D1"/>
    <w:rsid w:val="00D23001"/>
    <w:rsid w:val="00D23185"/>
    <w:rsid w:val="00D23DB3"/>
    <w:rsid w:val="00D2420B"/>
    <w:rsid w:val="00D247B3"/>
    <w:rsid w:val="00D247C1"/>
    <w:rsid w:val="00D251A9"/>
    <w:rsid w:val="00D259C9"/>
    <w:rsid w:val="00D263E5"/>
    <w:rsid w:val="00D26928"/>
    <w:rsid w:val="00D26EBB"/>
    <w:rsid w:val="00D27683"/>
    <w:rsid w:val="00D27D05"/>
    <w:rsid w:val="00D27E73"/>
    <w:rsid w:val="00D30DE8"/>
    <w:rsid w:val="00D31244"/>
    <w:rsid w:val="00D314E2"/>
    <w:rsid w:val="00D31B37"/>
    <w:rsid w:val="00D32A56"/>
    <w:rsid w:val="00D32C5C"/>
    <w:rsid w:val="00D32CCC"/>
    <w:rsid w:val="00D33004"/>
    <w:rsid w:val="00D33A6A"/>
    <w:rsid w:val="00D33AA9"/>
    <w:rsid w:val="00D345D6"/>
    <w:rsid w:val="00D3481B"/>
    <w:rsid w:val="00D34EDF"/>
    <w:rsid w:val="00D35249"/>
    <w:rsid w:val="00D35889"/>
    <w:rsid w:val="00D35F92"/>
    <w:rsid w:val="00D363D6"/>
    <w:rsid w:val="00D36F31"/>
    <w:rsid w:val="00D37096"/>
    <w:rsid w:val="00D378DE"/>
    <w:rsid w:val="00D37CBD"/>
    <w:rsid w:val="00D403E7"/>
    <w:rsid w:val="00D4050A"/>
    <w:rsid w:val="00D40BDA"/>
    <w:rsid w:val="00D415EA"/>
    <w:rsid w:val="00D415FD"/>
    <w:rsid w:val="00D42AE4"/>
    <w:rsid w:val="00D42E52"/>
    <w:rsid w:val="00D4387B"/>
    <w:rsid w:val="00D43B2E"/>
    <w:rsid w:val="00D43FEC"/>
    <w:rsid w:val="00D455C3"/>
    <w:rsid w:val="00D457D7"/>
    <w:rsid w:val="00D45FCB"/>
    <w:rsid w:val="00D46BE9"/>
    <w:rsid w:val="00D47497"/>
    <w:rsid w:val="00D50566"/>
    <w:rsid w:val="00D507F7"/>
    <w:rsid w:val="00D515ED"/>
    <w:rsid w:val="00D5335E"/>
    <w:rsid w:val="00D53855"/>
    <w:rsid w:val="00D54037"/>
    <w:rsid w:val="00D54D62"/>
    <w:rsid w:val="00D54F99"/>
    <w:rsid w:val="00D5526D"/>
    <w:rsid w:val="00D5568D"/>
    <w:rsid w:val="00D563AB"/>
    <w:rsid w:val="00D56742"/>
    <w:rsid w:val="00D5682A"/>
    <w:rsid w:val="00D57233"/>
    <w:rsid w:val="00D57A6E"/>
    <w:rsid w:val="00D61BAE"/>
    <w:rsid w:val="00D627F0"/>
    <w:rsid w:val="00D646E8"/>
    <w:rsid w:val="00D66378"/>
    <w:rsid w:val="00D668A7"/>
    <w:rsid w:val="00D66969"/>
    <w:rsid w:val="00D67074"/>
    <w:rsid w:val="00D67FBD"/>
    <w:rsid w:val="00D701AF"/>
    <w:rsid w:val="00D70661"/>
    <w:rsid w:val="00D71ACD"/>
    <w:rsid w:val="00D728E5"/>
    <w:rsid w:val="00D73425"/>
    <w:rsid w:val="00D73DA5"/>
    <w:rsid w:val="00D74003"/>
    <w:rsid w:val="00D7515F"/>
    <w:rsid w:val="00D7540D"/>
    <w:rsid w:val="00D75C55"/>
    <w:rsid w:val="00D7615D"/>
    <w:rsid w:val="00D76DB4"/>
    <w:rsid w:val="00D76F23"/>
    <w:rsid w:val="00D77495"/>
    <w:rsid w:val="00D8059A"/>
    <w:rsid w:val="00D8064D"/>
    <w:rsid w:val="00D810F1"/>
    <w:rsid w:val="00D82A7A"/>
    <w:rsid w:val="00D83C8E"/>
    <w:rsid w:val="00D84796"/>
    <w:rsid w:val="00D84DA4"/>
    <w:rsid w:val="00D85307"/>
    <w:rsid w:val="00D85480"/>
    <w:rsid w:val="00D857CA"/>
    <w:rsid w:val="00D85B88"/>
    <w:rsid w:val="00D85BBF"/>
    <w:rsid w:val="00D87499"/>
    <w:rsid w:val="00D87F26"/>
    <w:rsid w:val="00D907D7"/>
    <w:rsid w:val="00D91847"/>
    <w:rsid w:val="00D93A6A"/>
    <w:rsid w:val="00D94A38"/>
    <w:rsid w:val="00D94D12"/>
    <w:rsid w:val="00D94EB6"/>
    <w:rsid w:val="00D94FB8"/>
    <w:rsid w:val="00D964EE"/>
    <w:rsid w:val="00D96B3B"/>
    <w:rsid w:val="00D96DBC"/>
    <w:rsid w:val="00D970FF"/>
    <w:rsid w:val="00DA0D68"/>
    <w:rsid w:val="00DA117B"/>
    <w:rsid w:val="00DA23A0"/>
    <w:rsid w:val="00DA312F"/>
    <w:rsid w:val="00DA4331"/>
    <w:rsid w:val="00DA6099"/>
    <w:rsid w:val="00DA6ECB"/>
    <w:rsid w:val="00DA7037"/>
    <w:rsid w:val="00DA7175"/>
    <w:rsid w:val="00DA78FC"/>
    <w:rsid w:val="00DA790B"/>
    <w:rsid w:val="00DA795A"/>
    <w:rsid w:val="00DA7FE3"/>
    <w:rsid w:val="00DB000D"/>
    <w:rsid w:val="00DB0C08"/>
    <w:rsid w:val="00DB167B"/>
    <w:rsid w:val="00DB389C"/>
    <w:rsid w:val="00DB4D56"/>
    <w:rsid w:val="00DB552F"/>
    <w:rsid w:val="00DB562B"/>
    <w:rsid w:val="00DB7902"/>
    <w:rsid w:val="00DC05DA"/>
    <w:rsid w:val="00DC1565"/>
    <w:rsid w:val="00DC1568"/>
    <w:rsid w:val="00DC17E4"/>
    <w:rsid w:val="00DC198B"/>
    <w:rsid w:val="00DC3000"/>
    <w:rsid w:val="00DC3515"/>
    <w:rsid w:val="00DC3A04"/>
    <w:rsid w:val="00DC3A74"/>
    <w:rsid w:val="00DC40CC"/>
    <w:rsid w:val="00DC4951"/>
    <w:rsid w:val="00DC4A4B"/>
    <w:rsid w:val="00DC4B3E"/>
    <w:rsid w:val="00DC5462"/>
    <w:rsid w:val="00DC55A6"/>
    <w:rsid w:val="00DC5E96"/>
    <w:rsid w:val="00DC685C"/>
    <w:rsid w:val="00DC7E1F"/>
    <w:rsid w:val="00DD01FB"/>
    <w:rsid w:val="00DD0577"/>
    <w:rsid w:val="00DD05A7"/>
    <w:rsid w:val="00DD089B"/>
    <w:rsid w:val="00DD0F90"/>
    <w:rsid w:val="00DD0FE0"/>
    <w:rsid w:val="00DD1EAA"/>
    <w:rsid w:val="00DD207B"/>
    <w:rsid w:val="00DD2559"/>
    <w:rsid w:val="00DD296F"/>
    <w:rsid w:val="00DD2E7B"/>
    <w:rsid w:val="00DD49A8"/>
    <w:rsid w:val="00DD53EF"/>
    <w:rsid w:val="00DD5C03"/>
    <w:rsid w:val="00DD664F"/>
    <w:rsid w:val="00DE1A27"/>
    <w:rsid w:val="00DE1FA4"/>
    <w:rsid w:val="00DE2361"/>
    <w:rsid w:val="00DE2491"/>
    <w:rsid w:val="00DE350A"/>
    <w:rsid w:val="00DE42E6"/>
    <w:rsid w:val="00DE4DA2"/>
    <w:rsid w:val="00DE4F14"/>
    <w:rsid w:val="00DE4FF0"/>
    <w:rsid w:val="00DE53D9"/>
    <w:rsid w:val="00DE576C"/>
    <w:rsid w:val="00DE5F5C"/>
    <w:rsid w:val="00DE61D2"/>
    <w:rsid w:val="00DE6656"/>
    <w:rsid w:val="00DE6708"/>
    <w:rsid w:val="00DE6CB4"/>
    <w:rsid w:val="00DE71FA"/>
    <w:rsid w:val="00DE7B52"/>
    <w:rsid w:val="00DF0B26"/>
    <w:rsid w:val="00DF1197"/>
    <w:rsid w:val="00DF161E"/>
    <w:rsid w:val="00DF19CC"/>
    <w:rsid w:val="00DF214A"/>
    <w:rsid w:val="00DF2C15"/>
    <w:rsid w:val="00DF3888"/>
    <w:rsid w:val="00DF3895"/>
    <w:rsid w:val="00DF3F9E"/>
    <w:rsid w:val="00DF4F14"/>
    <w:rsid w:val="00DF5A59"/>
    <w:rsid w:val="00DF68A2"/>
    <w:rsid w:val="00DF6999"/>
    <w:rsid w:val="00DF6C8D"/>
    <w:rsid w:val="00DF753C"/>
    <w:rsid w:val="00E00069"/>
    <w:rsid w:val="00E005EC"/>
    <w:rsid w:val="00E012F5"/>
    <w:rsid w:val="00E0164C"/>
    <w:rsid w:val="00E01980"/>
    <w:rsid w:val="00E01BD5"/>
    <w:rsid w:val="00E01E40"/>
    <w:rsid w:val="00E01ED0"/>
    <w:rsid w:val="00E01FAE"/>
    <w:rsid w:val="00E02127"/>
    <w:rsid w:val="00E039A6"/>
    <w:rsid w:val="00E0445A"/>
    <w:rsid w:val="00E045F0"/>
    <w:rsid w:val="00E0467B"/>
    <w:rsid w:val="00E04B89"/>
    <w:rsid w:val="00E04C7B"/>
    <w:rsid w:val="00E0569B"/>
    <w:rsid w:val="00E059BD"/>
    <w:rsid w:val="00E05D7F"/>
    <w:rsid w:val="00E06224"/>
    <w:rsid w:val="00E06400"/>
    <w:rsid w:val="00E06717"/>
    <w:rsid w:val="00E0734A"/>
    <w:rsid w:val="00E0744F"/>
    <w:rsid w:val="00E07911"/>
    <w:rsid w:val="00E07F68"/>
    <w:rsid w:val="00E10F29"/>
    <w:rsid w:val="00E10FBF"/>
    <w:rsid w:val="00E119F4"/>
    <w:rsid w:val="00E11BB5"/>
    <w:rsid w:val="00E11E4E"/>
    <w:rsid w:val="00E11FD6"/>
    <w:rsid w:val="00E131EB"/>
    <w:rsid w:val="00E133D7"/>
    <w:rsid w:val="00E14062"/>
    <w:rsid w:val="00E14D87"/>
    <w:rsid w:val="00E157DE"/>
    <w:rsid w:val="00E157F2"/>
    <w:rsid w:val="00E166FD"/>
    <w:rsid w:val="00E17785"/>
    <w:rsid w:val="00E179AA"/>
    <w:rsid w:val="00E20226"/>
    <w:rsid w:val="00E20683"/>
    <w:rsid w:val="00E20852"/>
    <w:rsid w:val="00E208FC"/>
    <w:rsid w:val="00E209DE"/>
    <w:rsid w:val="00E20BD7"/>
    <w:rsid w:val="00E20C4C"/>
    <w:rsid w:val="00E21DEE"/>
    <w:rsid w:val="00E22C32"/>
    <w:rsid w:val="00E22EC9"/>
    <w:rsid w:val="00E232AA"/>
    <w:rsid w:val="00E2371C"/>
    <w:rsid w:val="00E27931"/>
    <w:rsid w:val="00E31099"/>
    <w:rsid w:val="00E314C0"/>
    <w:rsid w:val="00E315DB"/>
    <w:rsid w:val="00E31C7C"/>
    <w:rsid w:val="00E330C8"/>
    <w:rsid w:val="00E3382B"/>
    <w:rsid w:val="00E349BD"/>
    <w:rsid w:val="00E37F02"/>
    <w:rsid w:val="00E37F72"/>
    <w:rsid w:val="00E40EF8"/>
    <w:rsid w:val="00E412F8"/>
    <w:rsid w:val="00E4145E"/>
    <w:rsid w:val="00E414EF"/>
    <w:rsid w:val="00E421BF"/>
    <w:rsid w:val="00E42862"/>
    <w:rsid w:val="00E43100"/>
    <w:rsid w:val="00E431DE"/>
    <w:rsid w:val="00E432BA"/>
    <w:rsid w:val="00E4371D"/>
    <w:rsid w:val="00E43D9D"/>
    <w:rsid w:val="00E43F17"/>
    <w:rsid w:val="00E442C4"/>
    <w:rsid w:val="00E4528B"/>
    <w:rsid w:val="00E457C7"/>
    <w:rsid w:val="00E45817"/>
    <w:rsid w:val="00E45D01"/>
    <w:rsid w:val="00E46215"/>
    <w:rsid w:val="00E468CC"/>
    <w:rsid w:val="00E46CB2"/>
    <w:rsid w:val="00E46EA2"/>
    <w:rsid w:val="00E5048E"/>
    <w:rsid w:val="00E50AA2"/>
    <w:rsid w:val="00E51946"/>
    <w:rsid w:val="00E521BF"/>
    <w:rsid w:val="00E53816"/>
    <w:rsid w:val="00E5399D"/>
    <w:rsid w:val="00E543F5"/>
    <w:rsid w:val="00E5480A"/>
    <w:rsid w:val="00E54D10"/>
    <w:rsid w:val="00E55340"/>
    <w:rsid w:val="00E554C1"/>
    <w:rsid w:val="00E55A7E"/>
    <w:rsid w:val="00E5619D"/>
    <w:rsid w:val="00E56662"/>
    <w:rsid w:val="00E57215"/>
    <w:rsid w:val="00E6031D"/>
    <w:rsid w:val="00E60824"/>
    <w:rsid w:val="00E61653"/>
    <w:rsid w:val="00E626DA"/>
    <w:rsid w:val="00E631B9"/>
    <w:rsid w:val="00E6324C"/>
    <w:rsid w:val="00E63427"/>
    <w:rsid w:val="00E645B1"/>
    <w:rsid w:val="00E64D27"/>
    <w:rsid w:val="00E65797"/>
    <w:rsid w:val="00E65DC3"/>
    <w:rsid w:val="00E66841"/>
    <w:rsid w:val="00E66F49"/>
    <w:rsid w:val="00E67599"/>
    <w:rsid w:val="00E67BFB"/>
    <w:rsid w:val="00E702DC"/>
    <w:rsid w:val="00E708F9"/>
    <w:rsid w:val="00E70B7C"/>
    <w:rsid w:val="00E71CD3"/>
    <w:rsid w:val="00E71EA1"/>
    <w:rsid w:val="00E74544"/>
    <w:rsid w:val="00E76501"/>
    <w:rsid w:val="00E768B6"/>
    <w:rsid w:val="00E775F1"/>
    <w:rsid w:val="00E77C1D"/>
    <w:rsid w:val="00E8169B"/>
    <w:rsid w:val="00E81CD6"/>
    <w:rsid w:val="00E81E30"/>
    <w:rsid w:val="00E82895"/>
    <w:rsid w:val="00E82C9C"/>
    <w:rsid w:val="00E8344F"/>
    <w:rsid w:val="00E835DC"/>
    <w:rsid w:val="00E8383D"/>
    <w:rsid w:val="00E83C3A"/>
    <w:rsid w:val="00E83C99"/>
    <w:rsid w:val="00E846D8"/>
    <w:rsid w:val="00E864E3"/>
    <w:rsid w:val="00E8661F"/>
    <w:rsid w:val="00E9023E"/>
    <w:rsid w:val="00E911F3"/>
    <w:rsid w:val="00E913AC"/>
    <w:rsid w:val="00E91BFC"/>
    <w:rsid w:val="00E91FBB"/>
    <w:rsid w:val="00E9308D"/>
    <w:rsid w:val="00E9368A"/>
    <w:rsid w:val="00E93DC7"/>
    <w:rsid w:val="00E94371"/>
    <w:rsid w:val="00E94E82"/>
    <w:rsid w:val="00E9500A"/>
    <w:rsid w:val="00E95438"/>
    <w:rsid w:val="00E95BB8"/>
    <w:rsid w:val="00E96739"/>
    <w:rsid w:val="00E969A7"/>
    <w:rsid w:val="00EA0916"/>
    <w:rsid w:val="00EA0B38"/>
    <w:rsid w:val="00EA1C97"/>
    <w:rsid w:val="00EA34F0"/>
    <w:rsid w:val="00EA3639"/>
    <w:rsid w:val="00EA3973"/>
    <w:rsid w:val="00EA3FEE"/>
    <w:rsid w:val="00EA4900"/>
    <w:rsid w:val="00EA5542"/>
    <w:rsid w:val="00EA58BC"/>
    <w:rsid w:val="00EA5BBE"/>
    <w:rsid w:val="00EA5FAD"/>
    <w:rsid w:val="00EA6422"/>
    <w:rsid w:val="00EA68BE"/>
    <w:rsid w:val="00EA6FA4"/>
    <w:rsid w:val="00EA7611"/>
    <w:rsid w:val="00EB074A"/>
    <w:rsid w:val="00EB0849"/>
    <w:rsid w:val="00EB0C88"/>
    <w:rsid w:val="00EB16D1"/>
    <w:rsid w:val="00EB2504"/>
    <w:rsid w:val="00EB27F3"/>
    <w:rsid w:val="00EB2A83"/>
    <w:rsid w:val="00EB39F8"/>
    <w:rsid w:val="00EB41DF"/>
    <w:rsid w:val="00EB4214"/>
    <w:rsid w:val="00EB45EB"/>
    <w:rsid w:val="00EB5006"/>
    <w:rsid w:val="00EB5F20"/>
    <w:rsid w:val="00EB71CF"/>
    <w:rsid w:val="00EB721C"/>
    <w:rsid w:val="00EB740B"/>
    <w:rsid w:val="00EB787F"/>
    <w:rsid w:val="00EB7A23"/>
    <w:rsid w:val="00EB7D94"/>
    <w:rsid w:val="00EC07DF"/>
    <w:rsid w:val="00EC26C4"/>
    <w:rsid w:val="00EC280B"/>
    <w:rsid w:val="00EC2A75"/>
    <w:rsid w:val="00EC3074"/>
    <w:rsid w:val="00EC311D"/>
    <w:rsid w:val="00EC3AE1"/>
    <w:rsid w:val="00EC3B79"/>
    <w:rsid w:val="00EC40D7"/>
    <w:rsid w:val="00EC45CC"/>
    <w:rsid w:val="00EC4819"/>
    <w:rsid w:val="00EC4C7D"/>
    <w:rsid w:val="00EC6093"/>
    <w:rsid w:val="00EC66FF"/>
    <w:rsid w:val="00EC704A"/>
    <w:rsid w:val="00EC795A"/>
    <w:rsid w:val="00ED0069"/>
    <w:rsid w:val="00ED011B"/>
    <w:rsid w:val="00ED23EC"/>
    <w:rsid w:val="00ED2F33"/>
    <w:rsid w:val="00ED3D19"/>
    <w:rsid w:val="00ED4438"/>
    <w:rsid w:val="00ED4E76"/>
    <w:rsid w:val="00ED57C8"/>
    <w:rsid w:val="00ED5B1E"/>
    <w:rsid w:val="00ED6750"/>
    <w:rsid w:val="00ED67D4"/>
    <w:rsid w:val="00ED6915"/>
    <w:rsid w:val="00ED6A23"/>
    <w:rsid w:val="00EE043A"/>
    <w:rsid w:val="00EE1485"/>
    <w:rsid w:val="00EE1A63"/>
    <w:rsid w:val="00EE1C65"/>
    <w:rsid w:val="00EE2883"/>
    <w:rsid w:val="00EE2993"/>
    <w:rsid w:val="00EE2A6D"/>
    <w:rsid w:val="00EE2E77"/>
    <w:rsid w:val="00EE35E0"/>
    <w:rsid w:val="00EE3A9E"/>
    <w:rsid w:val="00EE3AAD"/>
    <w:rsid w:val="00EE3CF0"/>
    <w:rsid w:val="00EE3E3B"/>
    <w:rsid w:val="00EE4DF1"/>
    <w:rsid w:val="00EE521C"/>
    <w:rsid w:val="00EE5D18"/>
    <w:rsid w:val="00EE5D1C"/>
    <w:rsid w:val="00EE66EB"/>
    <w:rsid w:val="00EE7371"/>
    <w:rsid w:val="00EE73A5"/>
    <w:rsid w:val="00EE79E2"/>
    <w:rsid w:val="00EF0D34"/>
    <w:rsid w:val="00EF0F86"/>
    <w:rsid w:val="00EF1FA6"/>
    <w:rsid w:val="00EF265D"/>
    <w:rsid w:val="00EF2F9E"/>
    <w:rsid w:val="00EF31DE"/>
    <w:rsid w:val="00EF3F40"/>
    <w:rsid w:val="00EF442E"/>
    <w:rsid w:val="00EF4B4C"/>
    <w:rsid w:val="00EF4F37"/>
    <w:rsid w:val="00EF50BD"/>
    <w:rsid w:val="00EF5413"/>
    <w:rsid w:val="00EF5890"/>
    <w:rsid w:val="00EF6138"/>
    <w:rsid w:val="00EF719A"/>
    <w:rsid w:val="00EF747E"/>
    <w:rsid w:val="00EF7C64"/>
    <w:rsid w:val="00EF7FC3"/>
    <w:rsid w:val="00F00394"/>
    <w:rsid w:val="00F00951"/>
    <w:rsid w:val="00F015D3"/>
    <w:rsid w:val="00F02B34"/>
    <w:rsid w:val="00F03415"/>
    <w:rsid w:val="00F039F4"/>
    <w:rsid w:val="00F04076"/>
    <w:rsid w:val="00F0456D"/>
    <w:rsid w:val="00F04D4E"/>
    <w:rsid w:val="00F04F66"/>
    <w:rsid w:val="00F0594B"/>
    <w:rsid w:val="00F06238"/>
    <w:rsid w:val="00F06DE0"/>
    <w:rsid w:val="00F07D48"/>
    <w:rsid w:val="00F07E1C"/>
    <w:rsid w:val="00F10EFD"/>
    <w:rsid w:val="00F11AEB"/>
    <w:rsid w:val="00F13DBC"/>
    <w:rsid w:val="00F13E9C"/>
    <w:rsid w:val="00F14D3F"/>
    <w:rsid w:val="00F15346"/>
    <w:rsid w:val="00F15DA1"/>
    <w:rsid w:val="00F16121"/>
    <w:rsid w:val="00F16B13"/>
    <w:rsid w:val="00F17000"/>
    <w:rsid w:val="00F174B1"/>
    <w:rsid w:val="00F179C0"/>
    <w:rsid w:val="00F17B69"/>
    <w:rsid w:val="00F20913"/>
    <w:rsid w:val="00F236A4"/>
    <w:rsid w:val="00F241C8"/>
    <w:rsid w:val="00F25093"/>
    <w:rsid w:val="00F252AD"/>
    <w:rsid w:val="00F253C6"/>
    <w:rsid w:val="00F2548D"/>
    <w:rsid w:val="00F25CF7"/>
    <w:rsid w:val="00F30094"/>
    <w:rsid w:val="00F309A3"/>
    <w:rsid w:val="00F3110C"/>
    <w:rsid w:val="00F3273C"/>
    <w:rsid w:val="00F329F1"/>
    <w:rsid w:val="00F33C21"/>
    <w:rsid w:val="00F34323"/>
    <w:rsid w:val="00F34E91"/>
    <w:rsid w:val="00F34EB3"/>
    <w:rsid w:val="00F34EE4"/>
    <w:rsid w:val="00F34F3A"/>
    <w:rsid w:val="00F35461"/>
    <w:rsid w:val="00F35EE4"/>
    <w:rsid w:val="00F362F2"/>
    <w:rsid w:val="00F372AD"/>
    <w:rsid w:val="00F37C22"/>
    <w:rsid w:val="00F40B41"/>
    <w:rsid w:val="00F41A59"/>
    <w:rsid w:val="00F41FBB"/>
    <w:rsid w:val="00F42677"/>
    <w:rsid w:val="00F42F99"/>
    <w:rsid w:val="00F43129"/>
    <w:rsid w:val="00F4312E"/>
    <w:rsid w:val="00F43EB6"/>
    <w:rsid w:val="00F44048"/>
    <w:rsid w:val="00F461FB"/>
    <w:rsid w:val="00F4659C"/>
    <w:rsid w:val="00F46B21"/>
    <w:rsid w:val="00F47996"/>
    <w:rsid w:val="00F5076D"/>
    <w:rsid w:val="00F509E1"/>
    <w:rsid w:val="00F5184A"/>
    <w:rsid w:val="00F520A6"/>
    <w:rsid w:val="00F5296E"/>
    <w:rsid w:val="00F53063"/>
    <w:rsid w:val="00F552A0"/>
    <w:rsid w:val="00F55414"/>
    <w:rsid w:val="00F5563A"/>
    <w:rsid w:val="00F55AB0"/>
    <w:rsid w:val="00F55E67"/>
    <w:rsid w:val="00F579A7"/>
    <w:rsid w:val="00F6257C"/>
    <w:rsid w:val="00F625E8"/>
    <w:rsid w:val="00F62CEB"/>
    <w:rsid w:val="00F62F6C"/>
    <w:rsid w:val="00F638E9"/>
    <w:rsid w:val="00F63AB5"/>
    <w:rsid w:val="00F642CE"/>
    <w:rsid w:val="00F643D2"/>
    <w:rsid w:val="00F64A4F"/>
    <w:rsid w:val="00F64BD1"/>
    <w:rsid w:val="00F64EB0"/>
    <w:rsid w:val="00F657EF"/>
    <w:rsid w:val="00F6771B"/>
    <w:rsid w:val="00F70380"/>
    <w:rsid w:val="00F712CF"/>
    <w:rsid w:val="00F72EBB"/>
    <w:rsid w:val="00F73AF1"/>
    <w:rsid w:val="00F74252"/>
    <w:rsid w:val="00F761D6"/>
    <w:rsid w:val="00F7620B"/>
    <w:rsid w:val="00F77965"/>
    <w:rsid w:val="00F81307"/>
    <w:rsid w:val="00F8277D"/>
    <w:rsid w:val="00F82F52"/>
    <w:rsid w:val="00F834AC"/>
    <w:rsid w:val="00F839F1"/>
    <w:rsid w:val="00F84E07"/>
    <w:rsid w:val="00F903E7"/>
    <w:rsid w:val="00F907B1"/>
    <w:rsid w:val="00F921B8"/>
    <w:rsid w:val="00F922A7"/>
    <w:rsid w:val="00F9279A"/>
    <w:rsid w:val="00F92FCD"/>
    <w:rsid w:val="00F937D9"/>
    <w:rsid w:val="00F942E2"/>
    <w:rsid w:val="00F9536A"/>
    <w:rsid w:val="00F95848"/>
    <w:rsid w:val="00F95A84"/>
    <w:rsid w:val="00F968E3"/>
    <w:rsid w:val="00F978B8"/>
    <w:rsid w:val="00FA0412"/>
    <w:rsid w:val="00FA11FE"/>
    <w:rsid w:val="00FA1827"/>
    <w:rsid w:val="00FA190E"/>
    <w:rsid w:val="00FA3468"/>
    <w:rsid w:val="00FA3C76"/>
    <w:rsid w:val="00FA4FEA"/>
    <w:rsid w:val="00FA5195"/>
    <w:rsid w:val="00FA5F4E"/>
    <w:rsid w:val="00FA66BB"/>
    <w:rsid w:val="00FA6732"/>
    <w:rsid w:val="00FA68DF"/>
    <w:rsid w:val="00FA6AF0"/>
    <w:rsid w:val="00FA6BFC"/>
    <w:rsid w:val="00FA6D85"/>
    <w:rsid w:val="00FA6E3E"/>
    <w:rsid w:val="00FA7E88"/>
    <w:rsid w:val="00FB04F9"/>
    <w:rsid w:val="00FB143A"/>
    <w:rsid w:val="00FB1B66"/>
    <w:rsid w:val="00FB225D"/>
    <w:rsid w:val="00FB2304"/>
    <w:rsid w:val="00FB2C92"/>
    <w:rsid w:val="00FB2D9F"/>
    <w:rsid w:val="00FB3550"/>
    <w:rsid w:val="00FB37BA"/>
    <w:rsid w:val="00FB390F"/>
    <w:rsid w:val="00FB3AA7"/>
    <w:rsid w:val="00FB4588"/>
    <w:rsid w:val="00FB603F"/>
    <w:rsid w:val="00FB7921"/>
    <w:rsid w:val="00FC0241"/>
    <w:rsid w:val="00FC0931"/>
    <w:rsid w:val="00FC0B30"/>
    <w:rsid w:val="00FC120C"/>
    <w:rsid w:val="00FC1FD8"/>
    <w:rsid w:val="00FC2138"/>
    <w:rsid w:val="00FC2768"/>
    <w:rsid w:val="00FC28B5"/>
    <w:rsid w:val="00FC2B3C"/>
    <w:rsid w:val="00FC3249"/>
    <w:rsid w:val="00FC3422"/>
    <w:rsid w:val="00FC41CB"/>
    <w:rsid w:val="00FC6587"/>
    <w:rsid w:val="00FC6D45"/>
    <w:rsid w:val="00FC79B2"/>
    <w:rsid w:val="00FD083B"/>
    <w:rsid w:val="00FD22A4"/>
    <w:rsid w:val="00FD2E53"/>
    <w:rsid w:val="00FD2E63"/>
    <w:rsid w:val="00FD300F"/>
    <w:rsid w:val="00FD4A5E"/>
    <w:rsid w:val="00FD62DA"/>
    <w:rsid w:val="00FD6919"/>
    <w:rsid w:val="00FD6D21"/>
    <w:rsid w:val="00FD7E94"/>
    <w:rsid w:val="00FE0027"/>
    <w:rsid w:val="00FE1A1A"/>
    <w:rsid w:val="00FE1A98"/>
    <w:rsid w:val="00FE1E52"/>
    <w:rsid w:val="00FE27E0"/>
    <w:rsid w:val="00FE34EF"/>
    <w:rsid w:val="00FE3974"/>
    <w:rsid w:val="00FE461B"/>
    <w:rsid w:val="00FE4905"/>
    <w:rsid w:val="00FE52E5"/>
    <w:rsid w:val="00FE532A"/>
    <w:rsid w:val="00FE5729"/>
    <w:rsid w:val="00FE5E5B"/>
    <w:rsid w:val="00FE5FC4"/>
    <w:rsid w:val="00FE65DB"/>
    <w:rsid w:val="00FF0896"/>
    <w:rsid w:val="00FF10ED"/>
    <w:rsid w:val="00FF1E7C"/>
    <w:rsid w:val="00FF1E8C"/>
    <w:rsid w:val="00FF2B5C"/>
    <w:rsid w:val="00FF2CC9"/>
    <w:rsid w:val="00FF31FB"/>
    <w:rsid w:val="00FF4263"/>
    <w:rsid w:val="00FF5612"/>
    <w:rsid w:val="00FF57A0"/>
    <w:rsid w:val="00FF58A2"/>
    <w:rsid w:val="00FF5EB7"/>
    <w:rsid w:val="00FF670E"/>
    <w:rsid w:val="00FF68C2"/>
    <w:rsid w:val="00FF693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center"/>
    </w:pPr>
    <w:rPr>
      <w:sz w:val="24"/>
      <w:szCs w:val="18"/>
      <w:lang w:val="es-AR"/>
    </w:rPr>
  </w:style>
  <w:style w:type="paragraph" w:styleId="Heading3">
    <w:name w:val="heading 3"/>
    <w:basedOn w:val="Normal"/>
    <w:link w:val="Heading3Char"/>
    <w:uiPriority w:val="9"/>
    <w:qFormat/>
    <w:rsid w:val="00C33439"/>
    <w:pPr>
      <w:spacing w:before="100" w:beforeAutospacing="1" w:after="100" w:afterAutospacing="1" w:line="240" w:lineRule="auto"/>
      <w:jc w:val="left"/>
      <w:outlineLvl w:val="2"/>
    </w:pPr>
    <w:rPr>
      <w:rFonts w:eastAsia="Times New Roman"/>
      <w:b/>
      <w:bCs/>
      <w:sz w:val="27"/>
      <w:szCs w:val="27"/>
      <w:lang w:eastAsia="es-AR"/>
    </w:rPr>
  </w:style>
  <w:style w:type="paragraph" w:styleId="Heading5">
    <w:name w:val="heading 5"/>
    <w:basedOn w:val="Normal"/>
    <w:next w:val="Normal"/>
    <w:link w:val="Heading5Char"/>
    <w:unhideWhenUsed/>
    <w:qFormat/>
    <w:rsid w:val="00F77965"/>
    <w:pPr>
      <w:keepNext/>
      <w:keepLines/>
      <w:numPr>
        <w:ilvl w:val="4"/>
        <w:numId w:val="11"/>
      </w:numPr>
      <w:spacing w:before="200" w:line="240" w:lineRule="auto"/>
      <w:jc w:val="left"/>
      <w:outlineLvl w:val="4"/>
    </w:pPr>
    <w:rPr>
      <w:rFonts w:ascii="Cambria" w:eastAsia="Times New Roman" w:hAnsi="Cambria"/>
      <w:color w:val="243F60"/>
      <w:szCs w:val="20"/>
      <w:lang w:val="es-ES_tradnl"/>
    </w:rPr>
  </w:style>
  <w:style w:type="paragraph" w:styleId="Heading6">
    <w:name w:val="heading 6"/>
    <w:basedOn w:val="Normal"/>
    <w:next w:val="Normal"/>
    <w:link w:val="Heading6Char"/>
    <w:unhideWhenUsed/>
    <w:qFormat/>
    <w:rsid w:val="00F77965"/>
    <w:pPr>
      <w:keepNext/>
      <w:keepLines/>
      <w:numPr>
        <w:ilvl w:val="5"/>
        <w:numId w:val="11"/>
      </w:numPr>
      <w:spacing w:before="200" w:line="240" w:lineRule="auto"/>
      <w:jc w:val="left"/>
      <w:outlineLvl w:val="5"/>
    </w:pPr>
    <w:rPr>
      <w:rFonts w:ascii="Cambria" w:eastAsia="Times New Roman" w:hAnsi="Cambria"/>
      <w:i/>
      <w:iCs/>
      <w:color w:val="243F60"/>
      <w:szCs w:val="20"/>
      <w:lang w:val="es-ES_tradnl"/>
    </w:rPr>
  </w:style>
  <w:style w:type="paragraph" w:styleId="Heading7">
    <w:name w:val="heading 7"/>
    <w:basedOn w:val="Normal"/>
    <w:next w:val="Normal"/>
    <w:link w:val="Heading7Char"/>
    <w:unhideWhenUsed/>
    <w:qFormat/>
    <w:rsid w:val="00F77965"/>
    <w:pPr>
      <w:keepNext/>
      <w:keepLines/>
      <w:numPr>
        <w:ilvl w:val="6"/>
        <w:numId w:val="11"/>
      </w:numPr>
      <w:spacing w:before="200" w:line="240" w:lineRule="auto"/>
      <w:jc w:val="left"/>
      <w:outlineLvl w:val="6"/>
    </w:pPr>
    <w:rPr>
      <w:rFonts w:ascii="Cambria" w:eastAsia="Times New Roman" w:hAnsi="Cambria"/>
      <w:i/>
      <w:iCs/>
      <w:color w:val="404040"/>
      <w:szCs w:val="20"/>
      <w:lang w:val="es-ES_tradnl"/>
    </w:rPr>
  </w:style>
  <w:style w:type="paragraph" w:styleId="Heading8">
    <w:name w:val="heading 8"/>
    <w:basedOn w:val="Normal"/>
    <w:next w:val="Normal"/>
    <w:link w:val="Heading8Char"/>
    <w:unhideWhenUsed/>
    <w:qFormat/>
    <w:rsid w:val="00F77965"/>
    <w:pPr>
      <w:keepNext/>
      <w:keepLines/>
      <w:numPr>
        <w:ilvl w:val="7"/>
        <w:numId w:val="11"/>
      </w:numPr>
      <w:spacing w:before="200" w:line="240" w:lineRule="auto"/>
      <w:jc w:val="left"/>
      <w:outlineLvl w:val="7"/>
    </w:pPr>
    <w:rPr>
      <w:rFonts w:ascii="Cambria" w:eastAsia="Times New Roman" w:hAnsi="Cambria"/>
      <w:color w:val="404040"/>
      <w:sz w:val="20"/>
      <w:szCs w:val="20"/>
      <w:lang w:val="es-ES_tradnl"/>
    </w:rPr>
  </w:style>
  <w:style w:type="paragraph" w:styleId="Heading9">
    <w:name w:val="heading 9"/>
    <w:basedOn w:val="Normal"/>
    <w:next w:val="Normal"/>
    <w:link w:val="Heading9Char"/>
    <w:unhideWhenUsed/>
    <w:qFormat/>
    <w:rsid w:val="00F77965"/>
    <w:pPr>
      <w:keepNext/>
      <w:keepLines/>
      <w:numPr>
        <w:ilvl w:val="8"/>
        <w:numId w:val="11"/>
      </w:numPr>
      <w:spacing w:before="200" w:line="240" w:lineRule="auto"/>
      <w:jc w:val="left"/>
      <w:outlineLvl w:val="8"/>
    </w:pPr>
    <w:rPr>
      <w:rFonts w:ascii="Cambria" w:eastAsia="Times New Roman" w:hAnsi="Cambria"/>
      <w:i/>
      <w:iCs/>
      <w:color w:val="404040"/>
      <w:sz w:val="20"/>
      <w:szCs w:val="20"/>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309"/>
  </w:style>
  <w:style w:type="paragraph" w:styleId="NormalWeb">
    <w:name w:val="Normal (Web)"/>
    <w:basedOn w:val="Normal"/>
    <w:uiPriority w:val="99"/>
    <w:unhideWhenUsed/>
    <w:rsid w:val="00405802"/>
    <w:pPr>
      <w:spacing w:before="100" w:beforeAutospacing="1" w:after="100" w:afterAutospacing="1" w:line="240" w:lineRule="auto"/>
      <w:jc w:val="left"/>
    </w:pPr>
    <w:rPr>
      <w:rFonts w:eastAsia="Times New Roman"/>
      <w:szCs w:val="24"/>
      <w:lang w:eastAsia="es-AR"/>
    </w:rPr>
  </w:style>
  <w:style w:type="character" w:styleId="Strong">
    <w:name w:val="Strong"/>
    <w:uiPriority w:val="22"/>
    <w:qFormat/>
    <w:rsid w:val="00405802"/>
    <w:rPr>
      <w:b/>
      <w:bCs/>
    </w:rPr>
  </w:style>
  <w:style w:type="character" w:styleId="Emphasis">
    <w:name w:val="Emphasis"/>
    <w:uiPriority w:val="20"/>
    <w:qFormat/>
    <w:rsid w:val="00405802"/>
    <w:rPr>
      <w:i/>
      <w:iCs/>
    </w:rPr>
  </w:style>
  <w:style w:type="paragraph" w:styleId="ListParagraph">
    <w:name w:val="List Paragraph"/>
    <w:basedOn w:val="Normal"/>
    <w:link w:val="ListParagraphChar"/>
    <w:uiPriority w:val="34"/>
    <w:qFormat/>
    <w:rsid w:val="003E072A"/>
    <w:pPr>
      <w:ind w:left="720"/>
      <w:contextualSpacing/>
    </w:pPr>
  </w:style>
  <w:style w:type="paragraph" w:styleId="FootnoteText">
    <w:name w:val="footnote text"/>
    <w:aliases w:val="fn,Texto de rodapé,nota_rodapé,nota de rodapé,ADB,foottextfra,footnote,F,Texto nota pie Car Car,FOOTNOTES,single space,footnote text,Footnote Text Char Char,texto de nota al pie,Nota a pie/Bibliog,foottextf,Geneva 9,Font: Geneva 9,Boston"/>
    <w:basedOn w:val="Normal"/>
    <w:link w:val="FootnoteTextChar"/>
    <w:uiPriority w:val="99"/>
    <w:unhideWhenUsed/>
    <w:qFormat/>
    <w:rsid w:val="00F62CEB"/>
    <w:pPr>
      <w:framePr w:wrap="around" w:vAnchor="text" w:hAnchor="text" w:y="1"/>
      <w:spacing w:line="240" w:lineRule="auto"/>
    </w:pPr>
    <w:rPr>
      <w:sz w:val="20"/>
      <w:szCs w:val="20"/>
    </w:rPr>
  </w:style>
  <w:style w:type="character" w:customStyle="1" w:styleId="FootnoteTextChar">
    <w:name w:val="Footnote Text Char"/>
    <w:aliases w:val="fn Char,Texto de rodapé Char,nota_rodapé Char,nota de rodapé Char,ADB Char,foottextfra Char,footnote Char,F Char,Texto nota pie Car Car Char,FOOTNOTES Char,single space Char,footnote text Char,Footnote Text Char Char Char,Boston Char"/>
    <w:link w:val="FootnoteText"/>
    <w:uiPriority w:val="99"/>
    <w:rsid w:val="00F62CEB"/>
    <w:rPr>
      <w:sz w:val="20"/>
      <w:szCs w:val="20"/>
    </w:rPr>
  </w:style>
  <w:style w:type="character" w:styleId="FootnoteReference">
    <w:name w:val="footnote reference"/>
    <w:aliases w:val="16 Point,Superscript 6 Point,ftref,Ref,de nota al pie,referencia nota al pie,titulo 2,Ref. de nota al pie.,Fußnotenzeichen DISS,Ref. de nota al pie EDEP,pie pddes,FC,Footnote Reference Number,Footnote Reference_LVL6,fr,SUPERS"/>
    <w:uiPriority w:val="99"/>
    <w:unhideWhenUsed/>
    <w:qFormat/>
    <w:rsid w:val="00634E37"/>
    <w:rPr>
      <w:vertAlign w:val="superscript"/>
    </w:rPr>
  </w:style>
  <w:style w:type="paragraph" w:styleId="BalloonText">
    <w:name w:val="Balloon Text"/>
    <w:basedOn w:val="Normal"/>
    <w:link w:val="BalloonTextChar"/>
    <w:uiPriority w:val="99"/>
    <w:semiHidden/>
    <w:unhideWhenUsed/>
    <w:rsid w:val="006E33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E33B3"/>
    <w:rPr>
      <w:rFonts w:ascii="Tahoma" w:hAnsi="Tahoma" w:cs="Tahoma"/>
      <w:sz w:val="16"/>
      <w:szCs w:val="16"/>
    </w:rPr>
  </w:style>
  <w:style w:type="character" w:styleId="Hyperlink">
    <w:name w:val="Hyperlink"/>
    <w:unhideWhenUsed/>
    <w:rsid w:val="00300C3B"/>
    <w:rPr>
      <w:color w:val="0000FF"/>
      <w:u w:val="single"/>
    </w:rPr>
  </w:style>
  <w:style w:type="paragraph" w:customStyle="1" w:styleId="Chapter">
    <w:name w:val="Chapter"/>
    <w:basedOn w:val="Normal"/>
    <w:next w:val="Normal"/>
    <w:rsid w:val="00300C3B"/>
    <w:pPr>
      <w:numPr>
        <w:numId w:val="3"/>
      </w:numPr>
      <w:tabs>
        <w:tab w:val="left" w:pos="1440"/>
      </w:tabs>
      <w:spacing w:before="240" w:after="240" w:line="240" w:lineRule="auto"/>
    </w:pPr>
    <w:rPr>
      <w:rFonts w:eastAsia="Times New Roman"/>
      <w:b/>
      <w:smallCaps/>
      <w:szCs w:val="20"/>
      <w:lang w:val="es-ES_tradnl"/>
    </w:rPr>
  </w:style>
  <w:style w:type="character" w:customStyle="1" w:styleId="ParagraphCar">
    <w:name w:val="Paragraph Car"/>
    <w:link w:val="Paragraph"/>
    <w:locked/>
    <w:rsid w:val="00300C3B"/>
    <w:rPr>
      <w:lang w:val="es-ES_tradnl"/>
    </w:rPr>
  </w:style>
  <w:style w:type="paragraph" w:customStyle="1" w:styleId="Paragraph">
    <w:name w:val="Paragraph"/>
    <w:aliases w:val="paragraph,p,PARAGRAPH,PG,pa,at"/>
    <w:basedOn w:val="BodyTextIndent"/>
    <w:link w:val="ParagraphCar"/>
    <w:qFormat/>
    <w:rsid w:val="00300C3B"/>
    <w:pPr>
      <w:numPr>
        <w:ilvl w:val="1"/>
        <w:numId w:val="3"/>
      </w:numPr>
      <w:spacing w:before="120" w:line="240" w:lineRule="auto"/>
      <w:jc w:val="both"/>
      <w:outlineLvl w:val="1"/>
    </w:pPr>
    <w:rPr>
      <w:lang w:val="es-ES_tradnl"/>
    </w:rPr>
  </w:style>
  <w:style w:type="paragraph" w:customStyle="1" w:styleId="subpar">
    <w:name w:val="subpar"/>
    <w:basedOn w:val="BodyTextIndent3"/>
    <w:rsid w:val="00300C3B"/>
    <w:pPr>
      <w:numPr>
        <w:ilvl w:val="2"/>
        <w:numId w:val="3"/>
      </w:numPr>
      <w:tabs>
        <w:tab w:val="clear" w:pos="2304"/>
        <w:tab w:val="num" w:pos="360"/>
        <w:tab w:val="num" w:pos="2160"/>
      </w:tabs>
      <w:spacing w:before="120" w:line="240" w:lineRule="auto"/>
      <w:ind w:left="864" w:firstLine="0"/>
      <w:jc w:val="both"/>
      <w:outlineLvl w:val="2"/>
    </w:pPr>
    <w:rPr>
      <w:rFonts w:eastAsia="Times New Roman"/>
      <w:sz w:val="24"/>
      <w:lang w:val="es-ES_tradnl"/>
    </w:rPr>
  </w:style>
  <w:style w:type="paragraph" w:customStyle="1" w:styleId="SubSubPar">
    <w:name w:val="SubSubPar"/>
    <w:basedOn w:val="subpar"/>
    <w:rsid w:val="00300C3B"/>
    <w:pPr>
      <w:numPr>
        <w:ilvl w:val="3"/>
      </w:numPr>
      <w:tabs>
        <w:tab w:val="clear" w:pos="2736"/>
        <w:tab w:val="left" w:pos="0"/>
        <w:tab w:val="num" w:pos="360"/>
        <w:tab w:val="num" w:pos="1296"/>
        <w:tab w:val="num" w:pos="2160"/>
        <w:tab w:val="num" w:pos="2880"/>
      </w:tabs>
      <w:ind w:left="1296" w:hanging="360"/>
    </w:pPr>
  </w:style>
  <w:style w:type="paragraph" w:customStyle="1" w:styleId="Default">
    <w:name w:val="Default"/>
    <w:rsid w:val="00300C3B"/>
    <w:pPr>
      <w:autoSpaceDE w:val="0"/>
      <w:autoSpaceDN w:val="0"/>
      <w:adjustRightInd w:val="0"/>
    </w:pPr>
    <w:rPr>
      <w:rFonts w:eastAsia="Times New Roman"/>
      <w:color w:val="000000"/>
      <w:sz w:val="24"/>
      <w:szCs w:val="24"/>
      <w:lang w:val="es-ES" w:eastAsia="es-ES"/>
    </w:rPr>
  </w:style>
  <w:style w:type="character" w:customStyle="1" w:styleId="A3">
    <w:name w:val="A3"/>
    <w:uiPriority w:val="99"/>
    <w:rsid w:val="00300C3B"/>
    <w:rPr>
      <w:rFonts w:ascii="Tundra Web Pro Light" w:hAnsi="Tundra Web Pro Light" w:cs="Tundra Web Pro Light" w:hint="default"/>
      <w:color w:val="000000"/>
      <w:sz w:val="20"/>
      <w:szCs w:val="20"/>
    </w:rPr>
  </w:style>
  <w:style w:type="character" w:customStyle="1" w:styleId="A16">
    <w:name w:val="A16"/>
    <w:uiPriority w:val="99"/>
    <w:rsid w:val="00300C3B"/>
    <w:rPr>
      <w:rFonts w:ascii="Frutiger 45 Light" w:hAnsi="Frutiger 45 Light" w:cs="Frutiger 45 Light" w:hint="default"/>
      <w:color w:val="000000"/>
      <w:sz w:val="12"/>
      <w:szCs w:val="12"/>
    </w:rPr>
  </w:style>
  <w:style w:type="paragraph" w:styleId="BodyTextIndent">
    <w:name w:val="Body Text Indent"/>
    <w:basedOn w:val="Normal"/>
    <w:link w:val="BodyTextIndentChar"/>
    <w:uiPriority w:val="99"/>
    <w:semiHidden/>
    <w:unhideWhenUsed/>
    <w:rsid w:val="00300C3B"/>
    <w:pPr>
      <w:spacing w:after="120"/>
      <w:ind w:left="360"/>
    </w:pPr>
  </w:style>
  <w:style w:type="character" w:customStyle="1" w:styleId="BodyTextIndentChar">
    <w:name w:val="Body Text Indent Char"/>
    <w:basedOn w:val="DefaultParagraphFont"/>
    <w:link w:val="BodyTextIndent"/>
    <w:uiPriority w:val="99"/>
    <w:semiHidden/>
    <w:rsid w:val="00300C3B"/>
  </w:style>
  <w:style w:type="paragraph" w:styleId="BodyTextIndent3">
    <w:name w:val="Body Text Indent 3"/>
    <w:basedOn w:val="Normal"/>
    <w:link w:val="BodyTextIndent3Char"/>
    <w:uiPriority w:val="99"/>
    <w:semiHidden/>
    <w:unhideWhenUsed/>
    <w:rsid w:val="00300C3B"/>
    <w:pPr>
      <w:spacing w:after="120"/>
      <w:ind w:left="360"/>
    </w:pPr>
    <w:rPr>
      <w:sz w:val="16"/>
      <w:szCs w:val="16"/>
    </w:rPr>
  </w:style>
  <w:style w:type="character" w:customStyle="1" w:styleId="BodyTextIndent3Char">
    <w:name w:val="Body Text Indent 3 Char"/>
    <w:link w:val="BodyTextIndent3"/>
    <w:uiPriority w:val="99"/>
    <w:semiHidden/>
    <w:rsid w:val="00300C3B"/>
    <w:rPr>
      <w:sz w:val="16"/>
      <w:szCs w:val="16"/>
    </w:rPr>
  </w:style>
  <w:style w:type="character" w:styleId="CommentReference">
    <w:name w:val="annotation reference"/>
    <w:uiPriority w:val="99"/>
    <w:semiHidden/>
    <w:unhideWhenUsed/>
    <w:rsid w:val="00743438"/>
    <w:rPr>
      <w:sz w:val="16"/>
      <w:szCs w:val="16"/>
    </w:rPr>
  </w:style>
  <w:style w:type="paragraph" w:styleId="CommentText">
    <w:name w:val="annotation text"/>
    <w:basedOn w:val="Normal"/>
    <w:link w:val="CommentTextChar"/>
    <w:uiPriority w:val="99"/>
    <w:semiHidden/>
    <w:unhideWhenUsed/>
    <w:rsid w:val="00743438"/>
    <w:pPr>
      <w:spacing w:line="240" w:lineRule="auto"/>
    </w:pPr>
    <w:rPr>
      <w:sz w:val="20"/>
      <w:szCs w:val="20"/>
    </w:rPr>
  </w:style>
  <w:style w:type="character" w:customStyle="1" w:styleId="CommentTextChar">
    <w:name w:val="Comment Text Char"/>
    <w:link w:val="CommentText"/>
    <w:uiPriority w:val="99"/>
    <w:semiHidden/>
    <w:rsid w:val="00743438"/>
    <w:rPr>
      <w:sz w:val="20"/>
      <w:szCs w:val="20"/>
    </w:rPr>
  </w:style>
  <w:style w:type="paragraph" w:styleId="CommentSubject">
    <w:name w:val="annotation subject"/>
    <w:basedOn w:val="CommentText"/>
    <w:next w:val="CommentText"/>
    <w:link w:val="CommentSubjectChar"/>
    <w:uiPriority w:val="99"/>
    <w:semiHidden/>
    <w:unhideWhenUsed/>
    <w:rsid w:val="00743438"/>
    <w:rPr>
      <w:b/>
      <w:bCs/>
    </w:rPr>
  </w:style>
  <w:style w:type="character" w:customStyle="1" w:styleId="CommentSubjectChar">
    <w:name w:val="Comment Subject Char"/>
    <w:link w:val="CommentSubject"/>
    <w:uiPriority w:val="99"/>
    <w:semiHidden/>
    <w:rsid w:val="00743438"/>
    <w:rPr>
      <w:b/>
      <w:bCs/>
      <w:sz w:val="20"/>
      <w:szCs w:val="20"/>
    </w:rPr>
  </w:style>
  <w:style w:type="character" w:customStyle="1" w:styleId="Heading3Char">
    <w:name w:val="Heading 3 Char"/>
    <w:link w:val="Heading3"/>
    <w:uiPriority w:val="9"/>
    <w:rsid w:val="00C33439"/>
    <w:rPr>
      <w:rFonts w:eastAsia="Times New Roman" w:cs="Times New Roman"/>
      <w:b/>
      <w:bCs/>
      <w:sz w:val="27"/>
      <w:szCs w:val="27"/>
      <w:lang w:eastAsia="es-AR"/>
    </w:rPr>
  </w:style>
  <w:style w:type="paragraph" w:styleId="NoSpacing">
    <w:name w:val="No Spacing"/>
    <w:uiPriority w:val="1"/>
    <w:qFormat/>
    <w:rsid w:val="00B7610A"/>
    <w:pPr>
      <w:jc w:val="center"/>
    </w:pPr>
    <w:rPr>
      <w:sz w:val="24"/>
      <w:szCs w:val="18"/>
      <w:lang w:val="es-AR"/>
    </w:rPr>
  </w:style>
  <w:style w:type="character" w:customStyle="1" w:styleId="ata11y">
    <w:name w:val="at_a11y"/>
    <w:basedOn w:val="DefaultParagraphFont"/>
    <w:rsid w:val="00BC5806"/>
  </w:style>
  <w:style w:type="paragraph" w:styleId="Header">
    <w:name w:val="header"/>
    <w:basedOn w:val="Normal"/>
    <w:link w:val="HeaderChar"/>
    <w:uiPriority w:val="99"/>
    <w:unhideWhenUsed/>
    <w:rsid w:val="00E83C3A"/>
    <w:pPr>
      <w:tabs>
        <w:tab w:val="center" w:pos="4419"/>
        <w:tab w:val="right" w:pos="8838"/>
      </w:tabs>
      <w:spacing w:line="240" w:lineRule="auto"/>
    </w:pPr>
  </w:style>
  <w:style w:type="character" w:customStyle="1" w:styleId="HeaderChar">
    <w:name w:val="Header Char"/>
    <w:basedOn w:val="DefaultParagraphFont"/>
    <w:link w:val="Header"/>
    <w:uiPriority w:val="99"/>
    <w:rsid w:val="00E83C3A"/>
  </w:style>
  <w:style w:type="paragraph" w:styleId="Footer">
    <w:name w:val="footer"/>
    <w:basedOn w:val="Normal"/>
    <w:link w:val="FooterChar"/>
    <w:uiPriority w:val="99"/>
    <w:unhideWhenUsed/>
    <w:rsid w:val="00E83C3A"/>
    <w:pPr>
      <w:tabs>
        <w:tab w:val="center" w:pos="4419"/>
        <w:tab w:val="right" w:pos="8838"/>
      </w:tabs>
      <w:spacing w:line="240" w:lineRule="auto"/>
    </w:pPr>
  </w:style>
  <w:style w:type="character" w:customStyle="1" w:styleId="FooterChar">
    <w:name w:val="Footer Char"/>
    <w:basedOn w:val="DefaultParagraphFont"/>
    <w:link w:val="Footer"/>
    <w:uiPriority w:val="99"/>
    <w:rsid w:val="00E83C3A"/>
  </w:style>
  <w:style w:type="paragraph" w:styleId="BodyText">
    <w:name w:val="Body Text"/>
    <w:basedOn w:val="Normal"/>
    <w:link w:val="BodyTextChar"/>
    <w:uiPriority w:val="99"/>
    <w:semiHidden/>
    <w:unhideWhenUsed/>
    <w:rsid w:val="008D6946"/>
    <w:pPr>
      <w:spacing w:after="120"/>
    </w:pPr>
  </w:style>
  <w:style w:type="character" w:customStyle="1" w:styleId="BodyTextChar">
    <w:name w:val="Body Text Char"/>
    <w:basedOn w:val="DefaultParagraphFont"/>
    <w:link w:val="BodyText"/>
    <w:uiPriority w:val="99"/>
    <w:semiHidden/>
    <w:rsid w:val="008D6946"/>
  </w:style>
  <w:style w:type="paragraph" w:styleId="Title">
    <w:name w:val="Title"/>
    <w:basedOn w:val="Normal"/>
    <w:link w:val="TitleChar"/>
    <w:qFormat/>
    <w:rsid w:val="008D6946"/>
    <w:pPr>
      <w:tabs>
        <w:tab w:val="left" w:pos="1440"/>
        <w:tab w:val="left" w:pos="3060"/>
      </w:tabs>
      <w:spacing w:line="240" w:lineRule="auto"/>
      <w:outlineLvl w:val="0"/>
    </w:pPr>
    <w:rPr>
      <w:rFonts w:eastAsia="Times New Roman"/>
      <w:szCs w:val="20"/>
      <w:lang w:val="en-US"/>
    </w:rPr>
  </w:style>
  <w:style w:type="character" w:customStyle="1" w:styleId="TitleChar">
    <w:name w:val="Title Char"/>
    <w:link w:val="Title"/>
    <w:rsid w:val="008D6946"/>
    <w:rPr>
      <w:rFonts w:eastAsia="Times New Roman" w:cs="Times New Roman"/>
      <w:szCs w:val="20"/>
      <w:lang w:val="en-US"/>
    </w:rPr>
  </w:style>
  <w:style w:type="paragraph" w:customStyle="1" w:styleId="Newpage">
    <w:name w:val="Newpage"/>
    <w:basedOn w:val="Normal"/>
    <w:rsid w:val="008D6946"/>
    <w:pPr>
      <w:tabs>
        <w:tab w:val="left" w:pos="1440"/>
        <w:tab w:val="left" w:pos="3060"/>
      </w:tabs>
      <w:spacing w:line="240" w:lineRule="auto"/>
    </w:pPr>
    <w:rPr>
      <w:rFonts w:eastAsia="Times New Roman" w:cs="Arial"/>
      <w:b/>
      <w:smallCaps/>
      <w:szCs w:val="20"/>
      <w:lang w:val="en-US"/>
    </w:rPr>
  </w:style>
  <w:style w:type="character" w:styleId="FollowedHyperlink">
    <w:name w:val="FollowedHyperlink"/>
    <w:uiPriority w:val="99"/>
    <w:semiHidden/>
    <w:unhideWhenUsed/>
    <w:rsid w:val="001103FB"/>
    <w:rPr>
      <w:color w:val="800080"/>
      <w:u w:val="single"/>
    </w:rPr>
  </w:style>
  <w:style w:type="character" w:customStyle="1" w:styleId="ParagraphChar">
    <w:name w:val="Paragraph Char"/>
    <w:rsid w:val="00D646E8"/>
    <w:rPr>
      <w:rFonts w:ascii="Times New Roman" w:eastAsia="Times New Roman" w:hAnsi="Times New Roman" w:cs="Times New Roman"/>
      <w:sz w:val="24"/>
      <w:szCs w:val="20"/>
      <w:lang w:val="es-ES"/>
    </w:rPr>
  </w:style>
  <w:style w:type="character" w:customStyle="1" w:styleId="Heading5Char">
    <w:name w:val="Heading 5 Char"/>
    <w:link w:val="Heading5"/>
    <w:rsid w:val="00F77965"/>
    <w:rPr>
      <w:rFonts w:ascii="Cambria" w:eastAsia="Times New Roman" w:hAnsi="Cambria" w:cs="Times New Roman"/>
      <w:color w:val="243F60"/>
      <w:szCs w:val="20"/>
      <w:lang w:val="es-ES_tradnl"/>
    </w:rPr>
  </w:style>
  <w:style w:type="character" w:customStyle="1" w:styleId="Heading6Char">
    <w:name w:val="Heading 6 Char"/>
    <w:link w:val="Heading6"/>
    <w:rsid w:val="00F77965"/>
    <w:rPr>
      <w:rFonts w:ascii="Cambria" w:eastAsia="Times New Roman" w:hAnsi="Cambria" w:cs="Times New Roman"/>
      <w:i/>
      <w:iCs/>
      <w:color w:val="243F60"/>
      <w:szCs w:val="20"/>
      <w:lang w:val="es-ES_tradnl"/>
    </w:rPr>
  </w:style>
  <w:style w:type="character" w:customStyle="1" w:styleId="Heading7Char">
    <w:name w:val="Heading 7 Char"/>
    <w:link w:val="Heading7"/>
    <w:rsid w:val="00F77965"/>
    <w:rPr>
      <w:rFonts w:ascii="Cambria" w:eastAsia="Times New Roman" w:hAnsi="Cambria" w:cs="Times New Roman"/>
      <w:i/>
      <w:iCs/>
      <w:color w:val="404040"/>
      <w:szCs w:val="20"/>
      <w:lang w:val="es-ES_tradnl"/>
    </w:rPr>
  </w:style>
  <w:style w:type="character" w:customStyle="1" w:styleId="Heading8Char">
    <w:name w:val="Heading 8 Char"/>
    <w:link w:val="Heading8"/>
    <w:rsid w:val="00F77965"/>
    <w:rPr>
      <w:rFonts w:ascii="Cambria" w:eastAsia="Times New Roman" w:hAnsi="Cambria" w:cs="Times New Roman"/>
      <w:color w:val="404040"/>
      <w:sz w:val="20"/>
      <w:szCs w:val="20"/>
      <w:lang w:val="es-ES_tradnl"/>
    </w:rPr>
  </w:style>
  <w:style w:type="character" w:customStyle="1" w:styleId="Heading9Char">
    <w:name w:val="Heading 9 Char"/>
    <w:link w:val="Heading9"/>
    <w:rsid w:val="00F77965"/>
    <w:rPr>
      <w:rFonts w:ascii="Cambria" w:eastAsia="Times New Roman" w:hAnsi="Cambria" w:cs="Times New Roman"/>
      <w:i/>
      <w:iCs/>
      <w:color w:val="404040"/>
      <w:sz w:val="20"/>
      <w:szCs w:val="20"/>
      <w:lang w:val="es-ES_tradnl"/>
    </w:rPr>
  </w:style>
  <w:style w:type="paragraph" w:customStyle="1" w:styleId="FirstHeading">
    <w:name w:val="FirstHeading"/>
    <w:basedOn w:val="Normal"/>
    <w:next w:val="Normal"/>
    <w:rsid w:val="00F77965"/>
    <w:pPr>
      <w:keepNext/>
      <w:numPr>
        <w:numId w:val="11"/>
      </w:numPr>
      <w:tabs>
        <w:tab w:val="left" w:pos="0"/>
        <w:tab w:val="left" w:pos="86"/>
      </w:tabs>
      <w:spacing w:before="120" w:after="120" w:line="240" w:lineRule="auto"/>
      <w:jc w:val="left"/>
    </w:pPr>
    <w:rPr>
      <w:rFonts w:eastAsia="Times New Roman"/>
      <w:b/>
      <w:szCs w:val="20"/>
      <w:lang w:val="es-ES"/>
    </w:rPr>
  </w:style>
  <w:style w:type="paragraph" w:customStyle="1" w:styleId="SecHeading">
    <w:name w:val="SecHeading"/>
    <w:basedOn w:val="Normal"/>
    <w:next w:val="Paragraph"/>
    <w:rsid w:val="00F77965"/>
    <w:pPr>
      <w:keepNext/>
      <w:numPr>
        <w:ilvl w:val="1"/>
        <w:numId w:val="11"/>
      </w:numPr>
      <w:tabs>
        <w:tab w:val="clear" w:pos="5400"/>
        <w:tab w:val="num" w:pos="1296"/>
      </w:tabs>
      <w:spacing w:before="120" w:after="120" w:line="240" w:lineRule="auto"/>
      <w:ind w:left="1296"/>
      <w:jc w:val="left"/>
    </w:pPr>
    <w:rPr>
      <w:rFonts w:eastAsia="Times New Roman"/>
      <w:b/>
      <w:szCs w:val="20"/>
      <w:lang w:val="es-ES_tradnl"/>
    </w:rPr>
  </w:style>
  <w:style w:type="paragraph" w:customStyle="1" w:styleId="SubHeading1">
    <w:name w:val="SubHeading1"/>
    <w:basedOn w:val="SecHeading"/>
    <w:rsid w:val="00F77965"/>
    <w:pPr>
      <w:numPr>
        <w:ilvl w:val="2"/>
      </w:numPr>
      <w:tabs>
        <w:tab w:val="clear" w:pos="5976"/>
        <w:tab w:val="num" w:pos="1872"/>
      </w:tabs>
      <w:ind w:left="1872"/>
    </w:pPr>
  </w:style>
  <w:style w:type="paragraph" w:customStyle="1" w:styleId="Subheading2">
    <w:name w:val="Subheading2"/>
    <w:basedOn w:val="SecHeading"/>
    <w:rsid w:val="00F77965"/>
    <w:pPr>
      <w:numPr>
        <w:ilvl w:val="3"/>
      </w:numPr>
      <w:tabs>
        <w:tab w:val="clear" w:pos="6480"/>
        <w:tab w:val="num" w:pos="2376"/>
      </w:tabs>
      <w:ind w:left="2376"/>
    </w:pPr>
  </w:style>
  <w:style w:type="character" w:customStyle="1" w:styleId="ListParagraphChar">
    <w:name w:val="List Paragraph Char"/>
    <w:basedOn w:val="DefaultParagraphFont"/>
    <w:link w:val="ListParagraph"/>
    <w:uiPriority w:val="34"/>
    <w:rsid w:val="00CF6494"/>
  </w:style>
  <w:style w:type="table" w:styleId="TableGrid">
    <w:name w:val="Table Grid"/>
    <w:basedOn w:val="TableNormal"/>
    <w:uiPriority w:val="59"/>
    <w:rsid w:val="005A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center"/>
    </w:pPr>
    <w:rPr>
      <w:sz w:val="24"/>
      <w:szCs w:val="18"/>
      <w:lang w:val="es-AR"/>
    </w:rPr>
  </w:style>
  <w:style w:type="paragraph" w:styleId="Heading3">
    <w:name w:val="heading 3"/>
    <w:basedOn w:val="Normal"/>
    <w:link w:val="Heading3Char"/>
    <w:uiPriority w:val="9"/>
    <w:qFormat/>
    <w:rsid w:val="00C33439"/>
    <w:pPr>
      <w:spacing w:before="100" w:beforeAutospacing="1" w:after="100" w:afterAutospacing="1" w:line="240" w:lineRule="auto"/>
      <w:jc w:val="left"/>
      <w:outlineLvl w:val="2"/>
    </w:pPr>
    <w:rPr>
      <w:rFonts w:eastAsia="Times New Roman"/>
      <w:b/>
      <w:bCs/>
      <w:sz w:val="27"/>
      <w:szCs w:val="27"/>
      <w:lang w:eastAsia="es-AR"/>
    </w:rPr>
  </w:style>
  <w:style w:type="paragraph" w:styleId="Heading5">
    <w:name w:val="heading 5"/>
    <w:basedOn w:val="Normal"/>
    <w:next w:val="Normal"/>
    <w:link w:val="Heading5Char"/>
    <w:unhideWhenUsed/>
    <w:qFormat/>
    <w:rsid w:val="00F77965"/>
    <w:pPr>
      <w:keepNext/>
      <w:keepLines/>
      <w:numPr>
        <w:ilvl w:val="4"/>
        <w:numId w:val="11"/>
      </w:numPr>
      <w:spacing w:before="200" w:line="240" w:lineRule="auto"/>
      <w:jc w:val="left"/>
      <w:outlineLvl w:val="4"/>
    </w:pPr>
    <w:rPr>
      <w:rFonts w:ascii="Cambria" w:eastAsia="Times New Roman" w:hAnsi="Cambria"/>
      <w:color w:val="243F60"/>
      <w:szCs w:val="20"/>
      <w:lang w:val="es-ES_tradnl"/>
    </w:rPr>
  </w:style>
  <w:style w:type="paragraph" w:styleId="Heading6">
    <w:name w:val="heading 6"/>
    <w:basedOn w:val="Normal"/>
    <w:next w:val="Normal"/>
    <w:link w:val="Heading6Char"/>
    <w:unhideWhenUsed/>
    <w:qFormat/>
    <w:rsid w:val="00F77965"/>
    <w:pPr>
      <w:keepNext/>
      <w:keepLines/>
      <w:numPr>
        <w:ilvl w:val="5"/>
        <w:numId w:val="11"/>
      </w:numPr>
      <w:spacing w:before="200" w:line="240" w:lineRule="auto"/>
      <w:jc w:val="left"/>
      <w:outlineLvl w:val="5"/>
    </w:pPr>
    <w:rPr>
      <w:rFonts w:ascii="Cambria" w:eastAsia="Times New Roman" w:hAnsi="Cambria"/>
      <w:i/>
      <w:iCs/>
      <w:color w:val="243F60"/>
      <w:szCs w:val="20"/>
      <w:lang w:val="es-ES_tradnl"/>
    </w:rPr>
  </w:style>
  <w:style w:type="paragraph" w:styleId="Heading7">
    <w:name w:val="heading 7"/>
    <w:basedOn w:val="Normal"/>
    <w:next w:val="Normal"/>
    <w:link w:val="Heading7Char"/>
    <w:unhideWhenUsed/>
    <w:qFormat/>
    <w:rsid w:val="00F77965"/>
    <w:pPr>
      <w:keepNext/>
      <w:keepLines/>
      <w:numPr>
        <w:ilvl w:val="6"/>
        <w:numId w:val="11"/>
      </w:numPr>
      <w:spacing w:before="200" w:line="240" w:lineRule="auto"/>
      <w:jc w:val="left"/>
      <w:outlineLvl w:val="6"/>
    </w:pPr>
    <w:rPr>
      <w:rFonts w:ascii="Cambria" w:eastAsia="Times New Roman" w:hAnsi="Cambria"/>
      <w:i/>
      <w:iCs/>
      <w:color w:val="404040"/>
      <w:szCs w:val="20"/>
      <w:lang w:val="es-ES_tradnl"/>
    </w:rPr>
  </w:style>
  <w:style w:type="paragraph" w:styleId="Heading8">
    <w:name w:val="heading 8"/>
    <w:basedOn w:val="Normal"/>
    <w:next w:val="Normal"/>
    <w:link w:val="Heading8Char"/>
    <w:unhideWhenUsed/>
    <w:qFormat/>
    <w:rsid w:val="00F77965"/>
    <w:pPr>
      <w:keepNext/>
      <w:keepLines/>
      <w:numPr>
        <w:ilvl w:val="7"/>
        <w:numId w:val="11"/>
      </w:numPr>
      <w:spacing w:before="200" w:line="240" w:lineRule="auto"/>
      <w:jc w:val="left"/>
      <w:outlineLvl w:val="7"/>
    </w:pPr>
    <w:rPr>
      <w:rFonts w:ascii="Cambria" w:eastAsia="Times New Roman" w:hAnsi="Cambria"/>
      <w:color w:val="404040"/>
      <w:sz w:val="20"/>
      <w:szCs w:val="20"/>
      <w:lang w:val="es-ES_tradnl"/>
    </w:rPr>
  </w:style>
  <w:style w:type="paragraph" w:styleId="Heading9">
    <w:name w:val="heading 9"/>
    <w:basedOn w:val="Normal"/>
    <w:next w:val="Normal"/>
    <w:link w:val="Heading9Char"/>
    <w:unhideWhenUsed/>
    <w:qFormat/>
    <w:rsid w:val="00F77965"/>
    <w:pPr>
      <w:keepNext/>
      <w:keepLines/>
      <w:numPr>
        <w:ilvl w:val="8"/>
        <w:numId w:val="11"/>
      </w:numPr>
      <w:spacing w:before="200" w:line="240" w:lineRule="auto"/>
      <w:jc w:val="left"/>
      <w:outlineLvl w:val="8"/>
    </w:pPr>
    <w:rPr>
      <w:rFonts w:ascii="Cambria" w:eastAsia="Times New Roman" w:hAnsi="Cambria"/>
      <w:i/>
      <w:iCs/>
      <w:color w:val="404040"/>
      <w:sz w:val="20"/>
      <w:szCs w:val="20"/>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309"/>
  </w:style>
  <w:style w:type="paragraph" w:styleId="NormalWeb">
    <w:name w:val="Normal (Web)"/>
    <w:basedOn w:val="Normal"/>
    <w:uiPriority w:val="99"/>
    <w:unhideWhenUsed/>
    <w:rsid w:val="00405802"/>
    <w:pPr>
      <w:spacing w:before="100" w:beforeAutospacing="1" w:after="100" w:afterAutospacing="1" w:line="240" w:lineRule="auto"/>
      <w:jc w:val="left"/>
    </w:pPr>
    <w:rPr>
      <w:rFonts w:eastAsia="Times New Roman"/>
      <w:szCs w:val="24"/>
      <w:lang w:eastAsia="es-AR"/>
    </w:rPr>
  </w:style>
  <w:style w:type="character" w:styleId="Strong">
    <w:name w:val="Strong"/>
    <w:uiPriority w:val="22"/>
    <w:qFormat/>
    <w:rsid w:val="00405802"/>
    <w:rPr>
      <w:b/>
      <w:bCs/>
    </w:rPr>
  </w:style>
  <w:style w:type="character" w:styleId="Emphasis">
    <w:name w:val="Emphasis"/>
    <w:uiPriority w:val="20"/>
    <w:qFormat/>
    <w:rsid w:val="00405802"/>
    <w:rPr>
      <w:i/>
      <w:iCs/>
    </w:rPr>
  </w:style>
  <w:style w:type="paragraph" w:styleId="ListParagraph">
    <w:name w:val="List Paragraph"/>
    <w:basedOn w:val="Normal"/>
    <w:link w:val="ListParagraphChar"/>
    <w:uiPriority w:val="34"/>
    <w:qFormat/>
    <w:rsid w:val="003E072A"/>
    <w:pPr>
      <w:ind w:left="720"/>
      <w:contextualSpacing/>
    </w:pPr>
  </w:style>
  <w:style w:type="paragraph" w:styleId="FootnoteText">
    <w:name w:val="footnote text"/>
    <w:aliases w:val="fn,Texto de rodapé,nota_rodapé,nota de rodapé,ADB,foottextfra,footnote,F,Texto nota pie Car Car,FOOTNOTES,single space,footnote text,Footnote Text Char Char,texto de nota al pie,Nota a pie/Bibliog,foottextf,Geneva 9,Font: Geneva 9,Boston"/>
    <w:basedOn w:val="Normal"/>
    <w:link w:val="FootnoteTextChar"/>
    <w:uiPriority w:val="99"/>
    <w:unhideWhenUsed/>
    <w:qFormat/>
    <w:rsid w:val="00F62CEB"/>
    <w:pPr>
      <w:framePr w:wrap="around" w:vAnchor="text" w:hAnchor="text" w:y="1"/>
      <w:spacing w:line="240" w:lineRule="auto"/>
    </w:pPr>
    <w:rPr>
      <w:sz w:val="20"/>
      <w:szCs w:val="20"/>
    </w:rPr>
  </w:style>
  <w:style w:type="character" w:customStyle="1" w:styleId="FootnoteTextChar">
    <w:name w:val="Footnote Text Char"/>
    <w:aliases w:val="fn Char,Texto de rodapé Char,nota_rodapé Char,nota de rodapé Char,ADB Char,foottextfra Char,footnote Char,F Char,Texto nota pie Car Car Char,FOOTNOTES Char,single space Char,footnote text Char,Footnote Text Char Char Char,Boston Char"/>
    <w:link w:val="FootnoteText"/>
    <w:uiPriority w:val="99"/>
    <w:rsid w:val="00F62CEB"/>
    <w:rPr>
      <w:sz w:val="20"/>
      <w:szCs w:val="20"/>
    </w:rPr>
  </w:style>
  <w:style w:type="character" w:styleId="FootnoteReference">
    <w:name w:val="footnote reference"/>
    <w:aliases w:val="16 Point,Superscript 6 Point,ftref,Ref,de nota al pie,referencia nota al pie,titulo 2,Ref. de nota al pie.,Fußnotenzeichen DISS,Ref. de nota al pie EDEP,pie pddes,FC,Footnote Reference Number,Footnote Reference_LVL6,fr,SUPERS"/>
    <w:uiPriority w:val="99"/>
    <w:unhideWhenUsed/>
    <w:qFormat/>
    <w:rsid w:val="00634E37"/>
    <w:rPr>
      <w:vertAlign w:val="superscript"/>
    </w:rPr>
  </w:style>
  <w:style w:type="paragraph" w:styleId="BalloonText">
    <w:name w:val="Balloon Text"/>
    <w:basedOn w:val="Normal"/>
    <w:link w:val="BalloonTextChar"/>
    <w:uiPriority w:val="99"/>
    <w:semiHidden/>
    <w:unhideWhenUsed/>
    <w:rsid w:val="006E33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E33B3"/>
    <w:rPr>
      <w:rFonts w:ascii="Tahoma" w:hAnsi="Tahoma" w:cs="Tahoma"/>
      <w:sz w:val="16"/>
      <w:szCs w:val="16"/>
    </w:rPr>
  </w:style>
  <w:style w:type="character" w:styleId="Hyperlink">
    <w:name w:val="Hyperlink"/>
    <w:unhideWhenUsed/>
    <w:rsid w:val="00300C3B"/>
    <w:rPr>
      <w:color w:val="0000FF"/>
      <w:u w:val="single"/>
    </w:rPr>
  </w:style>
  <w:style w:type="paragraph" w:customStyle="1" w:styleId="Chapter">
    <w:name w:val="Chapter"/>
    <w:basedOn w:val="Normal"/>
    <w:next w:val="Normal"/>
    <w:rsid w:val="00300C3B"/>
    <w:pPr>
      <w:numPr>
        <w:numId w:val="3"/>
      </w:numPr>
      <w:tabs>
        <w:tab w:val="left" w:pos="1440"/>
      </w:tabs>
      <w:spacing w:before="240" w:after="240" w:line="240" w:lineRule="auto"/>
    </w:pPr>
    <w:rPr>
      <w:rFonts w:eastAsia="Times New Roman"/>
      <w:b/>
      <w:smallCaps/>
      <w:szCs w:val="20"/>
      <w:lang w:val="es-ES_tradnl"/>
    </w:rPr>
  </w:style>
  <w:style w:type="character" w:customStyle="1" w:styleId="ParagraphCar">
    <w:name w:val="Paragraph Car"/>
    <w:link w:val="Paragraph"/>
    <w:locked/>
    <w:rsid w:val="00300C3B"/>
    <w:rPr>
      <w:lang w:val="es-ES_tradnl"/>
    </w:rPr>
  </w:style>
  <w:style w:type="paragraph" w:customStyle="1" w:styleId="Paragraph">
    <w:name w:val="Paragraph"/>
    <w:aliases w:val="paragraph,p,PARAGRAPH,PG,pa,at"/>
    <w:basedOn w:val="BodyTextIndent"/>
    <w:link w:val="ParagraphCar"/>
    <w:qFormat/>
    <w:rsid w:val="00300C3B"/>
    <w:pPr>
      <w:numPr>
        <w:ilvl w:val="1"/>
        <w:numId w:val="3"/>
      </w:numPr>
      <w:spacing w:before="120" w:line="240" w:lineRule="auto"/>
      <w:jc w:val="both"/>
      <w:outlineLvl w:val="1"/>
    </w:pPr>
    <w:rPr>
      <w:lang w:val="es-ES_tradnl"/>
    </w:rPr>
  </w:style>
  <w:style w:type="paragraph" w:customStyle="1" w:styleId="subpar">
    <w:name w:val="subpar"/>
    <w:basedOn w:val="BodyTextIndent3"/>
    <w:rsid w:val="00300C3B"/>
    <w:pPr>
      <w:numPr>
        <w:ilvl w:val="2"/>
        <w:numId w:val="3"/>
      </w:numPr>
      <w:tabs>
        <w:tab w:val="clear" w:pos="2304"/>
        <w:tab w:val="num" w:pos="360"/>
        <w:tab w:val="num" w:pos="2160"/>
      </w:tabs>
      <w:spacing w:before="120" w:line="240" w:lineRule="auto"/>
      <w:ind w:left="864" w:firstLine="0"/>
      <w:jc w:val="both"/>
      <w:outlineLvl w:val="2"/>
    </w:pPr>
    <w:rPr>
      <w:rFonts w:eastAsia="Times New Roman"/>
      <w:sz w:val="24"/>
      <w:lang w:val="es-ES_tradnl"/>
    </w:rPr>
  </w:style>
  <w:style w:type="paragraph" w:customStyle="1" w:styleId="SubSubPar">
    <w:name w:val="SubSubPar"/>
    <w:basedOn w:val="subpar"/>
    <w:rsid w:val="00300C3B"/>
    <w:pPr>
      <w:numPr>
        <w:ilvl w:val="3"/>
      </w:numPr>
      <w:tabs>
        <w:tab w:val="clear" w:pos="2736"/>
        <w:tab w:val="left" w:pos="0"/>
        <w:tab w:val="num" w:pos="360"/>
        <w:tab w:val="num" w:pos="1296"/>
        <w:tab w:val="num" w:pos="2160"/>
        <w:tab w:val="num" w:pos="2880"/>
      </w:tabs>
      <w:ind w:left="1296" w:hanging="360"/>
    </w:pPr>
  </w:style>
  <w:style w:type="paragraph" w:customStyle="1" w:styleId="Default">
    <w:name w:val="Default"/>
    <w:rsid w:val="00300C3B"/>
    <w:pPr>
      <w:autoSpaceDE w:val="0"/>
      <w:autoSpaceDN w:val="0"/>
      <w:adjustRightInd w:val="0"/>
    </w:pPr>
    <w:rPr>
      <w:rFonts w:eastAsia="Times New Roman"/>
      <w:color w:val="000000"/>
      <w:sz w:val="24"/>
      <w:szCs w:val="24"/>
      <w:lang w:val="es-ES" w:eastAsia="es-ES"/>
    </w:rPr>
  </w:style>
  <w:style w:type="character" w:customStyle="1" w:styleId="A3">
    <w:name w:val="A3"/>
    <w:uiPriority w:val="99"/>
    <w:rsid w:val="00300C3B"/>
    <w:rPr>
      <w:rFonts w:ascii="Tundra Web Pro Light" w:hAnsi="Tundra Web Pro Light" w:cs="Tundra Web Pro Light" w:hint="default"/>
      <w:color w:val="000000"/>
      <w:sz w:val="20"/>
      <w:szCs w:val="20"/>
    </w:rPr>
  </w:style>
  <w:style w:type="character" w:customStyle="1" w:styleId="A16">
    <w:name w:val="A16"/>
    <w:uiPriority w:val="99"/>
    <w:rsid w:val="00300C3B"/>
    <w:rPr>
      <w:rFonts w:ascii="Frutiger 45 Light" w:hAnsi="Frutiger 45 Light" w:cs="Frutiger 45 Light" w:hint="default"/>
      <w:color w:val="000000"/>
      <w:sz w:val="12"/>
      <w:szCs w:val="12"/>
    </w:rPr>
  </w:style>
  <w:style w:type="paragraph" w:styleId="BodyTextIndent">
    <w:name w:val="Body Text Indent"/>
    <w:basedOn w:val="Normal"/>
    <w:link w:val="BodyTextIndentChar"/>
    <w:uiPriority w:val="99"/>
    <w:semiHidden/>
    <w:unhideWhenUsed/>
    <w:rsid w:val="00300C3B"/>
    <w:pPr>
      <w:spacing w:after="120"/>
      <w:ind w:left="360"/>
    </w:pPr>
  </w:style>
  <w:style w:type="character" w:customStyle="1" w:styleId="BodyTextIndentChar">
    <w:name w:val="Body Text Indent Char"/>
    <w:basedOn w:val="DefaultParagraphFont"/>
    <w:link w:val="BodyTextIndent"/>
    <w:uiPriority w:val="99"/>
    <w:semiHidden/>
    <w:rsid w:val="00300C3B"/>
  </w:style>
  <w:style w:type="paragraph" w:styleId="BodyTextIndent3">
    <w:name w:val="Body Text Indent 3"/>
    <w:basedOn w:val="Normal"/>
    <w:link w:val="BodyTextIndent3Char"/>
    <w:uiPriority w:val="99"/>
    <w:semiHidden/>
    <w:unhideWhenUsed/>
    <w:rsid w:val="00300C3B"/>
    <w:pPr>
      <w:spacing w:after="120"/>
      <w:ind w:left="360"/>
    </w:pPr>
    <w:rPr>
      <w:sz w:val="16"/>
      <w:szCs w:val="16"/>
    </w:rPr>
  </w:style>
  <w:style w:type="character" w:customStyle="1" w:styleId="BodyTextIndent3Char">
    <w:name w:val="Body Text Indent 3 Char"/>
    <w:link w:val="BodyTextIndent3"/>
    <w:uiPriority w:val="99"/>
    <w:semiHidden/>
    <w:rsid w:val="00300C3B"/>
    <w:rPr>
      <w:sz w:val="16"/>
      <w:szCs w:val="16"/>
    </w:rPr>
  </w:style>
  <w:style w:type="character" w:styleId="CommentReference">
    <w:name w:val="annotation reference"/>
    <w:uiPriority w:val="99"/>
    <w:semiHidden/>
    <w:unhideWhenUsed/>
    <w:rsid w:val="00743438"/>
    <w:rPr>
      <w:sz w:val="16"/>
      <w:szCs w:val="16"/>
    </w:rPr>
  </w:style>
  <w:style w:type="paragraph" w:styleId="CommentText">
    <w:name w:val="annotation text"/>
    <w:basedOn w:val="Normal"/>
    <w:link w:val="CommentTextChar"/>
    <w:uiPriority w:val="99"/>
    <w:semiHidden/>
    <w:unhideWhenUsed/>
    <w:rsid w:val="00743438"/>
    <w:pPr>
      <w:spacing w:line="240" w:lineRule="auto"/>
    </w:pPr>
    <w:rPr>
      <w:sz w:val="20"/>
      <w:szCs w:val="20"/>
    </w:rPr>
  </w:style>
  <w:style w:type="character" w:customStyle="1" w:styleId="CommentTextChar">
    <w:name w:val="Comment Text Char"/>
    <w:link w:val="CommentText"/>
    <w:uiPriority w:val="99"/>
    <w:semiHidden/>
    <w:rsid w:val="00743438"/>
    <w:rPr>
      <w:sz w:val="20"/>
      <w:szCs w:val="20"/>
    </w:rPr>
  </w:style>
  <w:style w:type="paragraph" w:styleId="CommentSubject">
    <w:name w:val="annotation subject"/>
    <w:basedOn w:val="CommentText"/>
    <w:next w:val="CommentText"/>
    <w:link w:val="CommentSubjectChar"/>
    <w:uiPriority w:val="99"/>
    <w:semiHidden/>
    <w:unhideWhenUsed/>
    <w:rsid w:val="00743438"/>
    <w:rPr>
      <w:b/>
      <w:bCs/>
    </w:rPr>
  </w:style>
  <w:style w:type="character" w:customStyle="1" w:styleId="CommentSubjectChar">
    <w:name w:val="Comment Subject Char"/>
    <w:link w:val="CommentSubject"/>
    <w:uiPriority w:val="99"/>
    <w:semiHidden/>
    <w:rsid w:val="00743438"/>
    <w:rPr>
      <w:b/>
      <w:bCs/>
      <w:sz w:val="20"/>
      <w:szCs w:val="20"/>
    </w:rPr>
  </w:style>
  <w:style w:type="character" w:customStyle="1" w:styleId="Heading3Char">
    <w:name w:val="Heading 3 Char"/>
    <w:link w:val="Heading3"/>
    <w:uiPriority w:val="9"/>
    <w:rsid w:val="00C33439"/>
    <w:rPr>
      <w:rFonts w:eastAsia="Times New Roman" w:cs="Times New Roman"/>
      <w:b/>
      <w:bCs/>
      <w:sz w:val="27"/>
      <w:szCs w:val="27"/>
      <w:lang w:eastAsia="es-AR"/>
    </w:rPr>
  </w:style>
  <w:style w:type="paragraph" w:styleId="NoSpacing">
    <w:name w:val="No Spacing"/>
    <w:uiPriority w:val="1"/>
    <w:qFormat/>
    <w:rsid w:val="00B7610A"/>
    <w:pPr>
      <w:jc w:val="center"/>
    </w:pPr>
    <w:rPr>
      <w:sz w:val="24"/>
      <w:szCs w:val="18"/>
      <w:lang w:val="es-AR"/>
    </w:rPr>
  </w:style>
  <w:style w:type="character" w:customStyle="1" w:styleId="ata11y">
    <w:name w:val="at_a11y"/>
    <w:basedOn w:val="DefaultParagraphFont"/>
    <w:rsid w:val="00BC5806"/>
  </w:style>
  <w:style w:type="paragraph" w:styleId="Header">
    <w:name w:val="header"/>
    <w:basedOn w:val="Normal"/>
    <w:link w:val="HeaderChar"/>
    <w:uiPriority w:val="99"/>
    <w:unhideWhenUsed/>
    <w:rsid w:val="00E83C3A"/>
    <w:pPr>
      <w:tabs>
        <w:tab w:val="center" w:pos="4419"/>
        <w:tab w:val="right" w:pos="8838"/>
      </w:tabs>
      <w:spacing w:line="240" w:lineRule="auto"/>
    </w:pPr>
  </w:style>
  <w:style w:type="character" w:customStyle="1" w:styleId="HeaderChar">
    <w:name w:val="Header Char"/>
    <w:basedOn w:val="DefaultParagraphFont"/>
    <w:link w:val="Header"/>
    <w:uiPriority w:val="99"/>
    <w:rsid w:val="00E83C3A"/>
  </w:style>
  <w:style w:type="paragraph" w:styleId="Footer">
    <w:name w:val="footer"/>
    <w:basedOn w:val="Normal"/>
    <w:link w:val="FooterChar"/>
    <w:uiPriority w:val="99"/>
    <w:unhideWhenUsed/>
    <w:rsid w:val="00E83C3A"/>
    <w:pPr>
      <w:tabs>
        <w:tab w:val="center" w:pos="4419"/>
        <w:tab w:val="right" w:pos="8838"/>
      </w:tabs>
      <w:spacing w:line="240" w:lineRule="auto"/>
    </w:pPr>
  </w:style>
  <w:style w:type="character" w:customStyle="1" w:styleId="FooterChar">
    <w:name w:val="Footer Char"/>
    <w:basedOn w:val="DefaultParagraphFont"/>
    <w:link w:val="Footer"/>
    <w:uiPriority w:val="99"/>
    <w:rsid w:val="00E83C3A"/>
  </w:style>
  <w:style w:type="paragraph" w:styleId="BodyText">
    <w:name w:val="Body Text"/>
    <w:basedOn w:val="Normal"/>
    <w:link w:val="BodyTextChar"/>
    <w:uiPriority w:val="99"/>
    <w:semiHidden/>
    <w:unhideWhenUsed/>
    <w:rsid w:val="008D6946"/>
    <w:pPr>
      <w:spacing w:after="120"/>
    </w:pPr>
  </w:style>
  <w:style w:type="character" w:customStyle="1" w:styleId="BodyTextChar">
    <w:name w:val="Body Text Char"/>
    <w:basedOn w:val="DefaultParagraphFont"/>
    <w:link w:val="BodyText"/>
    <w:uiPriority w:val="99"/>
    <w:semiHidden/>
    <w:rsid w:val="008D6946"/>
  </w:style>
  <w:style w:type="paragraph" w:styleId="Title">
    <w:name w:val="Title"/>
    <w:basedOn w:val="Normal"/>
    <w:link w:val="TitleChar"/>
    <w:qFormat/>
    <w:rsid w:val="008D6946"/>
    <w:pPr>
      <w:tabs>
        <w:tab w:val="left" w:pos="1440"/>
        <w:tab w:val="left" w:pos="3060"/>
      </w:tabs>
      <w:spacing w:line="240" w:lineRule="auto"/>
      <w:outlineLvl w:val="0"/>
    </w:pPr>
    <w:rPr>
      <w:rFonts w:eastAsia="Times New Roman"/>
      <w:szCs w:val="20"/>
      <w:lang w:val="en-US"/>
    </w:rPr>
  </w:style>
  <w:style w:type="character" w:customStyle="1" w:styleId="TitleChar">
    <w:name w:val="Title Char"/>
    <w:link w:val="Title"/>
    <w:rsid w:val="008D6946"/>
    <w:rPr>
      <w:rFonts w:eastAsia="Times New Roman" w:cs="Times New Roman"/>
      <w:szCs w:val="20"/>
      <w:lang w:val="en-US"/>
    </w:rPr>
  </w:style>
  <w:style w:type="paragraph" w:customStyle="1" w:styleId="Newpage">
    <w:name w:val="Newpage"/>
    <w:basedOn w:val="Normal"/>
    <w:rsid w:val="008D6946"/>
    <w:pPr>
      <w:tabs>
        <w:tab w:val="left" w:pos="1440"/>
        <w:tab w:val="left" w:pos="3060"/>
      </w:tabs>
      <w:spacing w:line="240" w:lineRule="auto"/>
    </w:pPr>
    <w:rPr>
      <w:rFonts w:eastAsia="Times New Roman" w:cs="Arial"/>
      <w:b/>
      <w:smallCaps/>
      <w:szCs w:val="20"/>
      <w:lang w:val="en-US"/>
    </w:rPr>
  </w:style>
  <w:style w:type="character" w:styleId="FollowedHyperlink">
    <w:name w:val="FollowedHyperlink"/>
    <w:uiPriority w:val="99"/>
    <w:semiHidden/>
    <w:unhideWhenUsed/>
    <w:rsid w:val="001103FB"/>
    <w:rPr>
      <w:color w:val="800080"/>
      <w:u w:val="single"/>
    </w:rPr>
  </w:style>
  <w:style w:type="character" w:customStyle="1" w:styleId="ParagraphChar">
    <w:name w:val="Paragraph Char"/>
    <w:rsid w:val="00D646E8"/>
    <w:rPr>
      <w:rFonts w:ascii="Times New Roman" w:eastAsia="Times New Roman" w:hAnsi="Times New Roman" w:cs="Times New Roman"/>
      <w:sz w:val="24"/>
      <w:szCs w:val="20"/>
      <w:lang w:val="es-ES"/>
    </w:rPr>
  </w:style>
  <w:style w:type="character" w:customStyle="1" w:styleId="Heading5Char">
    <w:name w:val="Heading 5 Char"/>
    <w:link w:val="Heading5"/>
    <w:rsid w:val="00F77965"/>
    <w:rPr>
      <w:rFonts w:ascii="Cambria" w:eastAsia="Times New Roman" w:hAnsi="Cambria" w:cs="Times New Roman"/>
      <w:color w:val="243F60"/>
      <w:szCs w:val="20"/>
      <w:lang w:val="es-ES_tradnl"/>
    </w:rPr>
  </w:style>
  <w:style w:type="character" w:customStyle="1" w:styleId="Heading6Char">
    <w:name w:val="Heading 6 Char"/>
    <w:link w:val="Heading6"/>
    <w:rsid w:val="00F77965"/>
    <w:rPr>
      <w:rFonts w:ascii="Cambria" w:eastAsia="Times New Roman" w:hAnsi="Cambria" w:cs="Times New Roman"/>
      <w:i/>
      <w:iCs/>
      <w:color w:val="243F60"/>
      <w:szCs w:val="20"/>
      <w:lang w:val="es-ES_tradnl"/>
    </w:rPr>
  </w:style>
  <w:style w:type="character" w:customStyle="1" w:styleId="Heading7Char">
    <w:name w:val="Heading 7 Char"/>
    <w:link w:val="Heading7"/>
    <w:rsid w:val="00F77965"/>
    <w:rPr>
      <w:rFonts w:ascii="Cambria" w:eastAsia="Times New Roman" w:hAnsi="Cambria" w:cs="Times New Roman"/>
      <w:i/>
      <w:iCs/>
      <w:color w:val="404040"/>
      <w:szCs w:val="20"/>
      <w:lang w:val="es-ES_tradnl"/>
    </w:rPr>
  </w:style>
  <w:style w:type="character" w:customStyle="1" w:styleId="Heading8Char">
    <w:name w:val="Heading 8 Char"/>
    <w:link w:val="Heading8"/>
    <w:rsid w:val="00F77965"/>
    <w:rPr>
      <w:rFonts w:ascii="Cambria" w:eastAsia="Times New Roman" w:hAnsi="Cambria" w:cs="Times New Roman"/>
      <w:color w:val="404040"/>
      <w:sz w:val="20"/>
      <w:szCs w:val="20"/>
      <w:lang w:val="es-ES_tradnl"/>
    </w:rPr>
  </w:style>
  <w:style w:type="character" w:customStyle="1" w:styleId="Heading9Char">
    <w:name w:val="Heading 9 Char"/>
    <w:link w:val="Heading9"/>
    <w:rsid w:val="00F77965"/>
    <w:rPr>
      <w:rFonts w:ascii="Cambria" w:eastAsia="Times New Roman" w:hAnsi="Cambria" w:cs="Times New Roman"/>
      <w:i/>
      <w:iCs/>
      <w:color w:val="404040"/>
      <w:sz w:val="20"/>
      <w:szCs w:val="20"/>
      <w:lang w:val="es-ES_tradnl"/>
    </w:rPr>
  </w:style>
  <w:style w:type="paragraph" w:customStyle="1" w:styleId="FirstHeading">
    <w:name w:val="FirstHeading"/>
    <w:basedOn w:val="Normal"/>
    <w:next w:val="Normal"/>
    <w:rsid w:val="00F77965"/>
    <w:pPr>
      <w:keepNext/>
      <w:numPr>
        <w:numId w:val="11"/>
      </w:numPr>
      <w:tabs>
        <w:tab w:val="left" w:pos="0"/>
        <w:tab w:val="left" w:pos="86"/>
      </w:tabs>
      <w:spacing w:before="120" w:after="120" w:line="240" w:lineRule="auto"/>
      <w:jc w:val="left"/>
    </w:pPr>
    <w:rPr>
      <w:rFonts w:eastAsia="Times New Roman"/>
      <w:b/>
      <w:szCs w:val="20"/>
      <w:lang w:val="es-ES"/>
    </w:rPr>
  </w:style>
  <w:style w:type="paragraph" w:customStyle="1" w:styleId="SecHeading">
    <w:name w:val="SecHeading"/>
    <w:basedOn w:val="Normal"/>
    <w:next w:val="Paragraph"/>
    <w:rsid w:val="00F77965"/>
    <w:pPr>
      <w:keepNext/>
      <w:numPr>
        <w:ilvl w:val="1"/>
        <w:numId w:val="11"/>
      </w:numPr>
      <w:tabs>
        <w:tab w:val="clear" w:pos="5400"/>
        <w:tab w:val="num" w:pos="1296"/>
      </w:tabs>
      <w:spacing w:before="120" w:after="120" w:line="240" w:lineRule="auto"/>
      <w:ind w:left="1296"/>
      <w:jc w:val="left"/>
    </w:pPr>
    <w:rPr>
      <w:rFonts w:eastAsia="Times New Roman"/>
      <w:b/>
      <w:szCs w:val="20"/>
      <w:lang w:val="es-ES_tradnl"/>
    </w:rPr>
  </w:style>
  <w:style w:type="paragraph" w:customStyle="1" w:styleId="SubHeading1">
    <w:name w:val="SubHeading1"/>
    <w:basedOn w:val="SecHeading"/>
    <w:rsid w:val="00F77965"/>
    <w:pPr>
      <w:numPr>
        <w:ilvl w:val="2"/>
      </w:numPr>
      <w:tabs>
        <w:tab w:val="clear" w:pos="5976"/>
        <w:tab w:val="num" w:pos="1872"/>
      </w:tabs>
      <w:ind w:left="1872"/>
    </w:pPr>
  </w:style>
  <w:style w:type="paragraph" w:customStyle="1" w:styleId="Subheading2">
    <w:name w:val="Subheading2"/>
    <w:basedOn w:val="SecHeading"/>
    <w:rsid w:val="00F77965"/>
    <w:pPr>
      <w:numPr>
        <w:ilvl w:val="3"/>
      </w:numPr>
      <w:tabs>
        <w:tab w:val="clear" w:pos="6480"/>
        <w:tab w:val="num" w:pos="2376"/>
      </w:tabs>
      <w:ind w:left="2376"/>
    </w:pPr>
  </w:style>
  <w:style w:type="character" w:customStyle="1" w:styleId="ListParagraphChar">
    <w:name w:val="List Paragraph Char"/>
    <w:basedOn w:val="DefaultParagraphFont"/>
    <w:link w:val="ListParagraph"/>
    <w:uiPriority w:val="34"/>
    <w:rsid w:val="00CF6494"/>
  </w:style>
  <w:style w:type="table" w:styleId="TableGrid">
    <w:name w:val="Table Grid"/>
    <w:basedOn w:val="TableNormal"/>
    <w:uiPriority w:val="59"/>
    <w:rsid w:val="005A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4015">
      <w:bodyDiv w:val="1"/>
      <w:marLeft w:val="0"/>
      <w:marRight w:val="0"/>
      <w:marTop w:val="0"/>
      <w:marBottom w:val="0"/>
      <w:divBdr>
        <w:top w:val="none" w:sz="0" w:space="0" w:color="auto"/>
        <w:left w:val="none" w:sz="0" w:space="0" w:color="auto"/>
        <w:bottom w:val="none" w:sz="0" w:space="0" w:color="auto"/>
        <w:right w:val="none" w:sz="0" w:space="0" w:color="auto"/>
      </w:divBdr>
      <w:divsChild>
        <w:div w:id="180052649">
          <w:marLeft w:val="0"/>
          <w:marRight w:val="0"/>
          <w:marTop w:val="0"/>
          <w:marBottom w:val="0"/>
          <w:divBdr>
            <w:top w:val="none" w:sz="0" w:space="0" w:color="auto"/>
            <w:left w:val="none" w:sz="0" w:space="0" w:color="auto"/>
            <w:bottom w:val="none" w:sz="0" w:space="0" w:color="auto"/>
            <w:right w:val="none" w:sz="0" w:space="0" w:color="auto"/>
          </w:divBdr>
          <w:divsChild>
            <w:div w:id="530537565">
              <w:marLeft w:val="0"/>
              <w:marRight w:val="0"/>
              <w:marTop w:val="0"/>
              <w:marBottom w:val="0"/>
              <w:divBdr>
                <w:top w:val="none" w:sz="0" w:space="0" w:color="auto"/>
                <w:left w:val="none" w:sz="0" w:space="0" w:color="auto"/>
                <w:bottom w:val="none" w:sz="0" w:space="0" w:color="auto"/>
                <w:right w:val="none" w:sz="0" w:space="0" w:color="auto"/>
              </w:divBdr>
              <w:divsChild>
                <w:div w:id="1441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0403">
      <w:bodyDiv w:val="1"/>
      <w:marLeft w:val="0"/>
      <w:marRight w:val="0"/>
      <w:marTop w:val="0"/>
      <w:marBottom w:val="0"/>
      <w:divBdr>
        <w:top w:val="none" w:sz="0" w:space="0" w:color="auto"/>
        <w:left w:val="none" w:sz="0" w:space="0" w:color="auto"/>
        <w:bottom w:val="none" w:sz="0" w:space="0" w:color="auto"/>
        <w:right w:val="none" w:sz="0" w:space="0" w:color="auto"/>
      </w:divBdr>
      <w:divsChild>
        <w:div w:id="1033653207">
          <w:marLeft w:val="0"/>
          <w:marRight w:val="0"/>
          <w:marTop w:val="0"/>
          <w:marBottom w:val="0"/>
          <w:divBdr>
            <w:top w:val="none" w:sz="0" w:space="0" w:color="auto"/>
            <w:left w:val="none" w:sz="0" w:space="0" w:color="auto"/>
            <w:bottom w:val="none" w:sz="0" w:space="0" w:color="auto"/>
            <w:right w:val="none" w:sz="0" w:space="0" w:color="auto"/>
          </w:divBdr>
        </w:div>
      </w:divsChild>
    </w:div>
    <w:div w:id="1162891076">
      <w:bodyDiv w:val="1"/>
      <w:marLeft w:val="0"/>
      <w:marRight w:val="0"/>
      <w:marTop w:val="0"/>
      <w:marBottom w:val="0"/>
      <w:divBdr>
        <w:top w:val="none" w:sz="0" w:space="0" w:color="auto"/>
        <w:left w:val="none" w:sz="0" w:space="0" w:color="auto"/>
        <w:bottom w:val="none" w:sz="0" w:space="0" w:color="auto"/>
        <w:right w:val="none" w:sz="0" w:space="0" w:color="auto"/>
      </w:divBdr>
    </w:div>
    <w:div w:id="1228538941">
      <w:bodyDiv w:val="1"/>
      <w:marLeft w:val="0"/>
      <w:marRight w:val="0"/>
      <w:marTop w:val="0"/>
      <w:marBottom w:val="0"/>
      <w:divBdr>
        <w:top w:val="none" w:sz="0" w:space="0" w:color="auto"/>
        <w:left w:val="none" w:sz="0" w:space="0" w:color="auto"/>
        <w:bottom w:val="none" w:sz="0" w:space="0" w:color="auto"/>
        <w:right w:val="none" w:sz="0" w:space="0" w:color="auto"/>
      </w:divBdr>
    </w:div>
    <w:div w:id="1568564768">
      <w:bodyDiv w:val="1"/>
      <w:marLeft w:val="0"/>
      <w:marRight w:val="0"/>
      <w:marTop w:val="0"/>
      <w:marBottom w:val="0"/>
      <w:divBdr>
        <w:top w:val="none" w:sz="0" w:space="0" w:color="auto"/>
        <w:left w:val="none" w:sz="0" w:space="0" w:color="auto"/>
        <w:bottom w:val="none" w:sz="0" w:space="0" w:color="auto"/>
        <w:right w:val="none" w:sz="0" w:space="0" w:color="auto"/>
      </w:divBdr>
    </w:div>
    <w:div w:id="1652515902">
      <w:bodyDiv w:val="1"/>
      <w:marLeft w:val="0"/>
      <w:marRight w:val="0"/>
      <w:marTop w:val="0"/>
      <w:marBottom w:val="0"/>
      <w:divBdr>
        <w:top w:val="none" w:sz="0" w:space="0" w:color="auto"/>
        <w:left w:val="none" w:sz="0" w:space="0" w:color="auto"/>
        <w:bottom w:val="none" w:sz="0" w:space="0" w:color="auto"/>
        <w:right w:val="none" w:sz="0" w:space="0" w:color="auto"/>
      </w:divBdr>
    </w:div>
    <w:div w:id="167503815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20">
          <w:marLeft w:val="0"/>
          <w:marRight w:val="0"/>
          <w:marTop w:val="0"/>
          <w:marBottom w:val="0"/>
          <w:divBdr>
            <w:top w:val="none" w:sz="0" w:space="0" w:color="auto"/>
            <w:left w:val="none" w:sz="0" w:space="0" w:color="auto"/>
            <w:bottom w:val="none" w:sz="0" w:space="0" w:color="auto"/>
            <w:right w:val="none" w:sz="0" w:space="0" w:color="auto"/>
          </w:divBdr>
        </w:div>
        <w:div w:id="1334911321">
          <w:marLeft w:val="0"/>
          <w:marRight w:val="0"/>
          <w:marTop w:val="0"/>
          <w:marBottom w:val="0"/>
          <w:divBdr>
            <w:top w:val="single" w:sz="6" w:space="3" w:color="CCCCCC"/>
            <w:left w:val="none" w:sz="0" w:space="3" w:color="auto"/>
            <w:bottom w:val="single" w:sz="6" w:space="3" w:color="CCCCCC"/>
            <w:right w:val="none" w:sz="0" w:space="3" w:color="auto"/>
          </w:divBdr>
          <w:divsChild>
            <w:div w:id="1999646148">
              <w:marLeft w:val="0"/>
              <w:marRight w:val="0"/>
              <w:marTop w:val="135"/>
              <w:marBottom w:val="120"/>
              <w:divBdr>
                <w:top w:val="none" w:sz="0" w:space="0" w:color="auto"/>
                <w:left w:val="none" w:sz="0" w:space="0" w:color="auto"/>
                <w:bottom w:val="none" w:sz="0" w:space="0" w:color="auto"/>
                <w:right w:val="none" w:sz="0" w:space="0" w:color="auto"/>
              </w:divBdr>
              <w:divsChild>
                <w:div w:id="785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2.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adopublico.cl" TargetMode="External"/><Relationship Id="rId24" Type="http://schemas.openxmlformats.org/officeDocument/2006/relationships/header" Target="header1.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mercadopublico.cl" TargetMode="External"/><Relationship Id="rId28" Type="http://schemas.openxmlformats.org/officeDocument/2006/relationships/customXml" Target="../customXml/item2.xml"/><Relationship Id="rId10" Type="http://schemas.openxmlformats.org/officeDocument/2006/relationships/hyperlink" Target="http://idbdocs.iadb.org/wsdocs/getdocument.aspx?docnum=40309075" TargetMode="External"/><Relationship Id="rId19" Type="http://schemas.openxmlformats.org/officeDocument/2006/relationships/image" Target="media/image1.png"/><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agendadeprobidad.gob.cl/" TargetMode="External"/><Relationship Id="rId14" Type="http://schemas.openxmlformats.org/officeDocument/2006/relationships/chart" Target="charts/chart3.xml"/><Relationship Id="rId22" Type="http://schemas.openxmlformats.org/officeDocument/2006/relationships/hyperlink" Target="http://www.mercadopublico.cl"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consejoanticorrupcion.cl/wp-content/uploads/2015/03/Decreto.CAP_.pdf" TargetMode="External"/><Relationship Id="rId2" Type="http://schemas.openxmlformats.org/officeDocument/2006/relationships/hyperlink" Target="http://info.worldbank.org/governance/wgi/index.aspx" TargetMode="External"/><Relationship Id="rId1" Type="http://schemas.openxmlformats.org/officeDocument/2006/relationships/hyperlink" Target="http://www.leychile.cl/Navegar?idNorma=19664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ATA.IDB\Documents\Corruption%20Transparency%20in%20LAC%20at%20a%20glance\TRC%20LAC%20at%20a%20glance%208abr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ATA.IDB\Documents\Corruption%20Transparency%20in%20LAC%20at%20a%20glance\TRC%20LAC%20at%20a%20glance%208abr201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ATA.IDB\Documents\Corruption%20Transparency%20in%20LAC%20at%20a%20glance\TRC%20LAC%20at%20a%20glance%208abr201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ATA.IDB\Documents\Corruption%20Transparency%20in%20LAC%20at%20a%20glance\TRC%20LAC%20at%20a%20glance%208abr201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ATA.IDB\Documents\Corruption%20Transparency%20in%20LAC%20at%20a%20glance\TRC%20LAC%20at%20a%20glance%208abr2016.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DATA.IDB\Documents\Corruption%20Transparency%20in%20LAC%20at%20a%20glance\TRC%20LAC%20at%20a%20glance%208abr2016.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DATA.IDB\Documents\Corruption%20Transparency%20in%20LAC%20at%20a%20glance\TRC%20LAC%20at%20a%20glance%208abr2016.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Control de la Corrupción</a:t>
            </a:r>
          </a:p>
        </c:rich>
      </c:tx>
      <c:layout/>
      <c:overlay val="0"/>
    </c:title>
    <c:autoTitleDeleted val="0"/>
    <c:plotArea>
      <c:layout/>
      <c:lineChart>
        <c:grouping val="standard"/>
        <c:varyColors val="0"/>
        <c:ser>
          <c:idx val="0"/>
          <c:order val="0"/>
          <c:tx>
            <c:v>Chile</c:v>
          </c:tx>
          <c:marker>
            <c:symbol val="none"/>
          </c:marker>
          <c:cat>
            <c:numRef>
              <c:f>'WBI-Contr. Corruption'!$E$22:$T$22</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'WBI-Contr. Corruption'!$E$63:$T$63</c:f>
              <c:numCache>
                <c:formatCode>0.00</c:formatCode>
                <c:ptCount val="16"/>
                <c:pt idx="0">
                  <c:v>1.4532814025878906</c:v>
                </c:pt>
                <c:pt idx="1">
                  <c:v>1.3609752655029297</c:v>
                </c:pt>
                <c:pt idx="2">
                  <c:v>1.5424120426177979</c:v>
                </c:pt>
                <c:pt idx="3">
                  <c:v>1.5532277822494507</c:v>
                </c:pt>
                <c:pt idx="4">
                  <c:v>1.2946650981903076</c:v>
                </c:pt>
                <c:pt idx="5">
                  <c:v>1.3713772296905518</c:v>
                </c:pt>
                <c:pt idx="6">
                  <c:v>1.4533767700195312</c:v>
                </c:pt>
                <c:pt idx="7">
                  <c:v>1.418433666229248</c:v>
                </c:pt>
                <c:pt idx="8">
                  <c:v>1.3264849185943604</c:v>
                </c:pt>
                <c:pt idx="9">
                  <c:v>1.3247052431106567</c:v>
                </c:pt>
                <c:pt idx="10">
                  <c:v>1.3502798080444336</c:v>
                </c:pt>
                <c:pt idx="11">
                  <c:v>1.4859126806259155</c:v>
                </c:pt>
                <c:pt idx="12">
                  <c:v>1.5230990648269653</c:v>
                </c:pt>
                <c:pt idx="13">
                  <c:v>1.5636388063430786</c:v>
                </c:pt>
                <c:pt idx="14">
                  <c:v>1.5184669494628906</c:v>
                </c:pt>
                <c:pt idx="15">
                  <c:v>1.4772028923034668</c:v>
                </c:pt>
              </c:numCache>
            </c:numRef>
          </c:val>
          <c:smooth val="0"/>
        </c:ser>
        <c:ser>
          <c:idx val="1"/>
          <c:order val="1"/>
          <c:tx>
            <c:v>OCDE</c:v>
          </c:tx>
          <c:marker>
            <c:symbol val="none"/>
          </c:marker>
          <c:cat>
            <c:numRef>
              <c:f>'WBI-Contr. Corruption'!$E$22:$T$22</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'WBI-Contr. Corruption'!$E$243:$T$243</c:f>
              <c:numCache>
                <c:formatCode>0.00</c:formatCode>
                <c:ptCount val="16"/>
                <c:pt idx="0">
                  <c:v>1.2896291574134546</c:v>
                </c:pt>
                <c:pt idx="1">
                  <c:v>1.342557050725993</c:v>
                </c:pt>
                <c:pt idx="2">
                  <c:v>1.3407831643434132</c:v>
                </c:pt>
                <c:pt idx="3">
                  <c:v>1.3035215174450594</c:v>
                </c:pt>
                <c:pt idx="4">
                  <c:v>1.2988095769987387</c:v>
                </c:pt>
                <c:pt idx="5">
                  <c:v>1.2946457141900765</c:v>
                </c:pt>
                <c:pt idx="6">
                  <c:v>1.2573267314583063</c:v>
                </c:pt>
                <c:pt idx="7">
                  <c:v>1.2844492754322667</c:v>
                </c:pt>
                <c:pt idx="8">
                  <c:v>1.2545211608795559</c:v>
                </c:pt>
                <c:pt idx="9">
                  <c:v>1.2458940652363442</c:v>
                </c:pt>
                <c:pt idx="10">
                  <c:v>1.2426191892967944</c:v>
                </c:pt>
                <c:pt idx="11">
                  <c:v>1.3051917275413871</c:v>
                </c:pt>
                <c:pt idx="12">
                  <c:v>1.2272782334510017</c:v>
                </c:pt>
                <c:pt idx="13">
                  <c:v>1.2142433189403485</c:v>
                </c:pt>
                <c:pt idx="14">
                  <c:v>1.2008289496469147</c:v>
                </c:pt>
                <c:pt idx="15">
                  <c:v>1.1668705723303205</c:v>
                </c:pt>
              </c:numCache>
            </c:numRef>
          </c:val>
          <c:smooth val="0"/>
        </c:ser>
        <c:ser>
          <c:idx val="2"/>
          <c:order val="2"/>
          <c:tx>
            <c:v>ALC</c:v>
          </c:tx>
          <c:marker>
            <c:symbol val="none"/>
          </c:marker>
          <c:cat>
            <c:numRef>
              <c:f>'WBI-Contr. Corruption'!$E$22:$T$22</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'WBI-Contr. Corruption'!$E$246:$T$246</c:f>
              <c:numCache>
                <c:formatCode>0.00</c:formatCode>
                <c:ptCount val="16"/>
                <c:pt idx="0">
                  <c:v>-0.16303420872785723</c:v>
                </c:pt>
                <c:pt idx="1">
                  <c:v>-0.18188926253396159</c:v>
                </c:pt>
                <c:pt idx="2">
                  <c:v>-0.17768358718603849</c:v>
                </c:pt>
                <c:pt idx="3">
                  <c:v>-0.24632786751653141</c:v>
                </c:pt>
                <c:pt idx="4">
                  <c:v>-0.20684823049948767</c:v>
                </c:pt>
                <c:pt idx="5">
                  <c:v>-0.20088693556877282</c:v>
                </c:pt>
                <c:pt idx="6">
                  <c:v>-0.21847122305860886</c:v>
                </c:pt>
                <c:pt idx="7">
                  <c:v>-0.21859377794540846</c:v>
                </c:pt>
                <c:pt idx="8">
                  <c:v>-0.22067467381174749</c:v>
                </c:pt>
                <c:pt idx="9">
                  <c:v>-0.19511368799094969</c:v>
                </c:pt>
                <c:pt idx="10">
                  <c:v>-0.19739907550124022</c:v>
                </c:pt>
                <c:pt idx="11">
                  <c:v>-0.18706826004898175</c:v>
                </c:pt>
                <c:pt idx="12">
                  <c:v>-0.16486789056887993</c:v>
                </c:pt>
                <c:pt idx="13">
                  <c:v>-0.22024390773059657</c:v>
                </c:pt>
                <c:pt idx="14">
                  <c:v>-0.22078861776166236</c:v>
                </c:pt>
                <c:pt idx="15">
                  <c:v>-0.31912511587142944</c:v>
                </c:pt>
              </c:numCache>
            </c:numRef>
          </c:val>
          <c:smooth val="0"/>
        </c:ser>
        <c:dLbls>
          <c:showLegendKey val="0"/>
          <c:showVal val="0"/>
          <c:showCatName val="0"/>
          <c:showSerName val="0"/>
          <c:showPercent val="0"/>
          <c:showBubbleSize val="0"/>
        </c:dLbls>
        <c:marker val="1"/>
        <c:smooth val="0"/>
        <c:axId val="58704640"/>
        <c:axId val="58706176"/>
      </c:lineChart>
      <c:catAx>
        <c:axId val="58704640"/>
        <c:scaling>
          <c:orientation val="minMax"/>
        </c:scaling>
        <c:delete val="0"/>
        <c:axPos val="b"/>
        <c:numFmt formatCode="General" sourceLinked="1"/>
        <c:majorTickMark val="out"/>
        <c:minorTickMark val="none"/>
        <c:tickLblPos val="low"/>
        <c:txPr>
          <a:bodyPr rot="-5400000" vert="horz"/>
          <a:lstStyle/>
          <a:p>
            <a:pPr>
              <a:defRPr/>
            </a:pPr>
            <a:endParaRPr lang="en-US"/>
          </a:p>
        </c:txPr>
        <c:crossAx val="58706176"/>
        <c:crosses val="autoZero"/>
        <c:auto val="1"/>
        <c:lblAlgn val="ctr"/>
        <c:lblOffset val="100"/>
        <c:noMultiLvlLbl val="0"/>
      </c:catAx>
      <c:valAx>
        <c:axId val="58706176"/>
        <c:scaling>
          <c:orientation val="minMax"/>
        </c:scaling>
        <c:delete val="0"/>
        <c:axPos val="l"/>
        <c:numFmt formatCode="0.0" sourceLinked="0"/>
        <c:majorTickMark val="out"/>
        <c:minorTickMark val="none"/>
        <c:tickLblPos val="nextTo"/>
        <c:crossAx val="58704640"/>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US" sz="1200" b="1" i="0" baseline="0">
                <a:effectLst/>
              </a:rPr>
              <a:t>Efectividad del Gobierno</a:t>
            </a:r>
            <a:endParaRPr lang="en-US" sz="1050">
              <a:effectLst/>
            </a:endParaRPr>
          </a:p>
        </c:rich>
      </c:tx>
      <c:layout/>
      <c:overlay val="0"/>
    </c:title>
    <c:autoTitleDeleted val="0"/>
    <c:plotArea>
      <c:layout/>
      <c:lineChart>
        <c:grouping val="standard"/>
        <c:varyColors val="0"/>
        <c:ser>
          <c:idx val="0"/>
          <c:order val="0"/>
          <c:tx>
            <c:v>OCDE</c:v>
          </c:tx>
          <c:spPr>
            <a:ln>
              <a:solidFill>
                <a:schemeClr val="accent3"/>
              </a:solidFill>
            </a:ln>
          </c:spPr>
          <c:marker>
            <c:symbol val="none"/>
          </c:marker>
          <c:dLbls>
            <c:dLbl>
              <c:idx val="15"/>
              <c:layout/>
              <c:dLblPos val="t"/>
              <c:showLegendKey val="0"/>
              <c:showVal val="1"/>
              <c:showCatName val="0"/>
              <c:showSerName val="0"/>
              <c:showPercent val="0"/>
              <c:showBubbleSize val="0"/>
            </c:dLbl>
            <c:showLegendKey val="0"/>
            <c:showVal val="0"/>
            <c:showCatName val="0"/>
            <c:showSerName val="0"/>
            <c:showPercent val="0"/>
            <c:showBubbleSize val="0"/>
          </c:dLbls>
          <c:cat>
            <c:numRef>
              <c:f>'WBI-Gov Effecti'!$E$18:$T$18</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'WBI-Gov Effecti'!$E$132:$T$132</c:f>
              <c:numCache>
                <c:formatCode>0.00</c:formatCode>
                <c:ptCount val="16"/>
                <c:pt idx="0">
                  <c:v>1.2733600361217909</c:v>
                </c:pt>
                <c:pt idx="1">
                  <c:v>1.2935669106595657</c:v>
                </c:pt>
                <c:pt idx="2">
                  <c:v>1.3078337321879672</c:v>
                </c:pt>
                <c:pt idx="3">
                  <c:v>1.3266174886375666</c:v>
                </c:pt>
                <c:pt idx="4">
                  <c:v>1.3482990836834206</c:v>
                </c:pt>
                <c:pt idx="5">
                  <c:v>1.3866121707593693</c:v>
                </c:pt>
                <c:pt idx="6">
                  <c:v>1.2914088911869948</c:v>
                </c:pt>
                <c:pt idx="7">
                  <c:v>1.2692061684587423</c:v>
                </c:pt>
                <c:pt idx="8">
                  <c:v>1.2308414486401222</c:v>
                </c:pt>
                <c:pt idx="9">
                  <c:v>1.2316777789417435</c:v>
                </c:pt>
                <c:pt idx="10">
                  <c:v>1.2441603133783621</c:v>
                </c:pt>
                <c:pt idx="11">
                  <c:v>1.2438196925555958</c:v>
                </c:pt>
                <c:pt idx="12">
                  <c:v>1.2377032576238407</c:v>
                </c:pt>
                <c:pt idx="13">
                  <c:v>1.2110264511669384</c:v>
                </c:pt>
                <c:pt idx="14">
                  <c:v>1.2162451358402477</c:v>
                </c:pt>
                <c:pt idx="15">
                  <c:v>1.2313862561303026</c:v>
                </c:pt>
              </c:numCache>
            </c:numRef>
          </c:val>
          <c:smooth val="0"/>
        </c:ser>
        <c:ser>
          <c:idx val="1"/>
          <c:order val="1"/>
          <c:tx>
            <c:v>ALC</c:v>
          </c:tx>
          <c:spPr>
            <a:ln>
              <a:solidFill>
                <a:schemeClr val="accent2"/>
              </a:solidFill>
            </a:ln>
          </c:spPr>
          <c:marker>
            <c:symbol val="none"/>
          </c:marker>
          <c:dLbls>
            <c:dLbl>
              <c:idx val="15"/>
              <c:layout>
                <c:manualLayout>
                  <c:x val="-3.2335480958971823E-3"/>
                  <c:y val="3.7178052411731256E-2"/>
                </c:manualLayout>
              </c:layout>
              <c:dLblPos val="r"/>
              <c:showLegendKey val="0"/>
              <c:showVal val="1"/>
              <c:showCatName val="0"/>
              <c:showSerName val="0"/>
              <c:showPercent val="0"/>
              <c:showBubbleSize val="0"/>
            </c:dLbl>
            <c:showLegendKey val="0"/>
            <c:showVal val="0"/>
            <c:showCatName val="0"/>
            <c:showSerName val="0"/>
            <c:showPercent val="0"/>
            <c:showBubbleSize val="0"/>
          </c:dLbls>
          <c:cat>
            <c:numRef>
              <c:f>'WBI-Gov Effecti'!$E$18:$T$18</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'WBI-Gov Effecti'!$E$133:$T$133</c:f>
              <c:numCache>
                <c:formatCode>0.00</c:formatCode>
                <c:ptCount val="16"/>
                <c:pt idx="0">
                  <c:v>-0.10939638073054644</c:v>
                </c:pt>
                <c:pt idx="1">
                  <c:v>-3.7240953451076239E-2</c:v>
                </c:pt>
                <c:pt idx="2">
                  <c:v>-8.9229670317413717E-2</c:v>
                </c:pt>
                <c:pt idx="3">
                  <c:v>-0.15284869604958937</c:v>
                </c:pt>
                <c:pt idx="4">
                  <c:v>-0.11147102029421009</c:v>
                </c:pt>
                <c:pt idx="5">
                  <c:v>-0.16375731805769297</c:v>
                </c:pt>
                <c:pt idx="6">
                  <c:v>-0.18422823470945543</c:v>
                </c:pt>
                <c:pt idx="7">
                  <c:v>-0.17898954637348652</c:v>
                </c:pt>
                <c:pt idx="8">
                  <c:v>-0.14756327910492054</c:v>
                </c:pt>
                <c:pt idx="9">
                  <c:v>-0.13386308459135202</c:v>
                </c:pt>
                <c:pt idx="10">
                  <c:v>-0.15400600454841668</c:v>
                </c:pt>
                <c:pt idx="11">
                  <c:v>-0.13602422499276984</c:v>
                </c:pt>
                <c:pt idx="12">
                  <c:v>-0.11341594847349021</c:v>
                </c:pt>
                <c:pt idx="13">
                  <c:v>-0.10853488725395156</c:v>
                </c:pt>
                <c:pt idx="14">
                  <c:v>-0.10935176819419631</c:v>
                </c:pt>
                <c:pt idx="15">
                  <c:v>-0.19199468302898681</c:v>
                </c:pt>
              </c:numCache>
            </c:numRef>
          </c:val>
          <c:smooth val="0"/>
        </c:ser>
        <c:ser>
          <c:idx val="2"/>
          <c:order val="2"/>
          <c:tx>
            <c:v>Chile</c:v>
          </c:tx>
          <c:spPr>
            <a:ln>
              <a:solidFill>
                <a:schemeClr val="accent1"/>
              </a:solidFill>
            </a:ln>
          </c:spPr>
          <c:marker>
            <c:symbol val="none"/>
          </c:marker>
          <c:dLbls>
            <c:dLbl>
              <c:idx val="15"/>
              <c:layout/>
              <c:dLblPos val="b"/>
              <c:showLegendKey val="0"/>
              <c:showVal val="1"/>
              <c:showCatName val="0"/>
              <c:showSerName val="0"/>
              <c:showPercent val="0"/>
              <c:showBubbleSize val="0"/>
            </c:dLbl>
            <c:showLegendKey val="0"/>
            <c:showVal val="0"/>
            <c:showCatName val="0"/>
            <c:showSerName val="0"/>
            <c:showPercent val="0"/>
            <c:showBubbleSize val="0"/>
          </c:dLbls>
          <c:val>
            <c:numRef>
              <c:f>'WBI-Gov Effecti'!$E$40:$T$40</c:f>
              <c:numCache>
                <c:formatCode>0.00</c:formatCode>
                <c:ptCount val="16"/>
                <c:pt idx="0">
                  <c:v>1.2778474092483521</c:v>
                </c:pt>
                <c:pt idx="1">
                  <c:v>1.167111873626709</c:v>
                </c:pt>
                <c:pt idx="2">
                  <c:v>1.1208131313323975</c:v>
                </c:pt>
                <c:pt idx="3">
                  <c:v>1.1361147165298462</c:v>
                </c:pt>
                <c:pt idx="4">
                  <c:v>1.2358111143112183</c:v>
                </c:pt>
                <c:pt idx="5">
                  <c:v>1.2001852989196777</c:v>
                </c:pt>
                <c:pt idx="6">
                  <c:v>1.2164701223373413</c:v>
                </c:pt>
                <c:pt idx="7">
                  <c:v>1.1042696237564087</c:v>
                </c:pt>
                <c:pt idx="8">
                  <c:v>1.2563972473144531</c:v>
                </c:pt>
                <c:pt idx="9">
                  <c:v>1.1699327230453491</c:v>
                </c:pt>
                <c:pt idx="10">
                  <c:v>1.2306654453277588</c:v>
                </c:pt>
                <c:pt idx="11">
                  <c:v>1.2611789703369141</c:v>
                </c:pt>
                <c:pt idx="12">
                  <c:v>1.2561602592468262</c:v>
                </c:pt>
                <c:pt idx="13">
                  <c:v>1.2522964477539062</c:v>
                </c:pt>
                <c:pt idx="14">
                  <c:v>1.2448049783706665</c:v>
                </c:pt>
                <c:pt idx="15">
                  <c:v>1.1422920227050781</c:v>
                </c:pt>
              </c:numCache>
            </c:numRef>
          </c:val>
          <c:smooth val="0"/>
        </c:ser>
        <c:dLbls>
          <c:showLegendKey val="0"/>
          <c:showVal val="0"/>
          <c:showCatName val="0"/>
          <c:showSerName val="0"/>
          <c:showPercent val="0"/>
          <c:showBubbleSize val="0"/>
        </c:dLbls>
        <c:marker val="1"/>
        <c:smooth val="0"/>
        <c:axId val="58439936"/>
        <c:axId val="58608256"/>
      </c:lineChart>
      <c:catAx>
        <c:axId val="58439936"/>
        <c:scaling>
          <c:orientation val="minMax"/>
        </c:scaling>
        <c:delete val="0"/>
        <c:axPos val="b"/>
        <c:numFmt formatCode="General" sourceLinked="1"/>
        <c:majorTickMark val="out"/>
        <c:minorTickMark val="none"/>
        <c:tickLblPos val="low"/>
        <c:txPr>
          <a:bodyPr rot="-5400000" vert="horz"/>
          <a:lstStyle/>
          <a:p>
            <a:pPr>
              <a:defRPr/>
            </a:pPr>
            <a:endParaRPr lang="en-US"/>
          </a:p>
        </c:txPr>
        <c:crossAx val="58608256"/>
        <c:crosses val="autoZero"/>
        <c:auto val="1"/>
        <c:lblAlgn val="ctr"/>
        <c:lblOffset val="100"/>
        <c:noMultiLvlLbl val="0"/>
      </c:catAx>
      <c:valAx>
        <c:axId val="58608256"/>
        <c:scaling>
          <c:orientation val="minMax"/>
        </c:scaling>
        <c:delete val="0"/>
        <c:axPos val="l"/>
        <c:numFmt formatCode="0.00" sourceLinked="1"/>
        <c:majorTickMark val="out"/>
        <c:minorTickMark val="none"/>
        <c:tickLblPos val="nextTo"/>
        <c:crossAx val="58439936"/>
        <c:crosses val="autoZero"/>
        <c:crossBetween val="between"/>
      </c:valAx>
    </c:plotArea>
    <c:legend>
      <c:legendPos val="b"/>
      <c:layout/>
      <c:overlay val="0"/>
      <c:txPr>
        <a:bodyPr/>
        <a:lstStyle/>
        <a:p>
          <a:pPr>
            <a:defRPr sz="1300"/>
          </a:pPr>
          <a:endParaRPr lang="en-US"/>
        </a:p>
      </c:txPr>
    </c:legend>
    <c:plotVisOnly val="1"/>
    <c:dispBlanksAs val="gap"/>
    <c:showDLblsOverMax val="0"/>
  </c:chart>
  <c:spPr>
    <a:ln>
      <a:noFill/>
    </a:ln>
  </c:spPr>
  <c:txPr>
    <a:bodyPr/>
    <a:lstStyle/>
    <a:p>
      <a:pPr>
        <a:defRPr sz="11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Nivel</a:t>
            </a:r>
            <a:r>
              <a:rPr lang="en-US" sz="1200" baseline="0"/>
              <a:t> de Libertad y Expresión</a:t>
            </a:r>
            <a:endParaRPr lang="en-US" sz="1200"/>
          </a:p>
        </c:rich>
      </c:tx>
      <c:layout/>
      <c:overlay val="0"/>
    </c:title>
    <c:autoTitleDeleted val="0"/>
    <c:plotArea>
      <c:layout/>
      <c:lineChart>
        <c:grouping val="standard"/>
        <c:varyColors val="0"/>
        <c:ser>
          <c:idx val="0"/>
          <c:order val="0"/>
          <c:tx>
            <c:v>Chile</c:v>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Pos val="b"/>
            <c:showLegendKey val="0"/>
            <c:showVal val="1"/>
            <c:showCatName val="0"/>
            <c:showSerName val="0"/>
            <c:showPercent val="0"/>
            <c:showBubbleSize val="0"/>
            <c:showLeaderLines val="0"/>
          </c:dLbls>
          <c:cat>
            <c:numRef>
              <c:f>'WBI-Voice Account.'!$D$19:$S$19</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'WBI-Voice Account.'!$D$60:$S$60</c:f>
              <c:numCache>
                <c:formatCode>0.00</c:formatCode>
                <c:ptCount val="16"/>
                <c:pt idx="0">
                  <c:v>0.65353691577911377</c:v>
                </c:pt>
                <c:pt idx="1">
                  <c:v>0.49224069714546204</c:v>
                </c:pt>
                <c:pt idx="2">
                  <c:v>0.83872115612030029</c:v>
                </c:pt>
                <c:pt idx="3">
                  <c:v>1.0553604364395142</c:v>
                </c:pt>
                <c:pt idx="4">
                  <c:v>0.97928744554519653</c:v>
                </c:pt>
                <c:pt idx="5">
                  <c:v>1.1664100885391235</c:v>
                </c:pt>
                <c:pt idx="6">
                  <c:v>1.244145393371582</c:v>
                </c:pt>
                <c:pt idx="7">
                  <c:v>1.0604182481765747</c:v>
                </c:pt>
                <c:pt idx="8">
                  <c:v>1.0811724662780762</c:v>
                </c:pt>
                <c:pt idx="9">
                  <c:v>0.99681568145751953</c:v>
                </c:pt>
                <c:pt idx="10">
                  <c:v>1.0088415145874023</c:v>
                </c:pt>
                <c:pt idx="11">
                  <c:v>1.0915977954864502</c:v>
                </c:pt>
                <c:pt idx="12">
                  <c:v>1.0756262540817261</c:v>
                </c:pt>
                <c:pt idx="13">
                  <c:v>1.0630650520324707</c:v>
                </c:pt>
                <c:pt idx="14">
                  <c:v>1.0918415784835815</c:v>
                </c:pt>
                <c:pt idx="15">
                  <c:v>1.0608119964599609</c:v>
                </c:pt>
              </c:numCache>
            </c:numRef>
          </c:val>
          <c:smooth val="0"/>
        </c:ser>
        <c:ser>
          <c:idx val="1"/>
          <c:order val="1"/>
          <c:tx>
            <c:v>OCDE</c:v>
          </c:tx>
          <c:marker>
            <c:symbol val="none"/>
          </c:marker>
          <c:dLbls>
            <c:dLbl>
              <c:idx val="15"/>
              <c:layout/>
              <c:dLblPos val="t"/>
              <c:showLegendKey val="0"/>
              <c:showVal val="1"/>
              <c:showCatName val="0"/>
              <c:showSerName val="0"/>
              <c:showPercent val="0"/>
              <c:showBubbleSize val="0"/>
            </c:dLbl>
            <c:showLegendKey val="0"/>
            <c:showVal val="0"/>
            <c:showCatName val="0"/>
            <c:showSerName val="0"/>
            <c:showPercent val="0"/>
            <c:showBubbleSize val="0"/>
          </c:dLbls>
          <c:cat>
            <c:numRef>
              <c:f>'WBI-Voice Account.'!$D$19:$S$19</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'WBI-Voice Account.'!$D$243:$S$243</c:f>
              <c:numCache>
                <c:formatCode>0.00</c:formatCode>
                <c:ptCount val="16"/>
                <c:pt idx="0">
                  <c:v>1.1097245071740711</c:v>
                </c:pt>
                <c:pt idx="1">
                  <c:v>1.05201258165214</c:v>
                </c:pt>
                <c:pt idx="2">
                  <c:v>1.0936261021039064</c:v>
                </c:pt>
                <c:pt idx="3">
                  <c:v>1.0863119512796402</c:v>
                </c:pt>
                <c:pt idx="4">
                  <c:v>1.090693473815918</c:v>
                </c:pt>
                <c:pt idx="5">
                  <c:v>1.2129405625712346</c:v>
                </c:pt>
                <c:pt idx="6">
                  <c:v>1.1504651145899998</c:v>
                </c:pt>
                <c:pt idx="7">
                  <c:v>1.0804711477283169</c:v>
                </c:pt>
                <c:pt idx="8">
                  <c:v>1.0782536518047838</c:v>
                </c:pt>
                <c:pt idx="9">
                  <c:v>1.0769966810065157</c:v>
                </c:pt>
                <c:pt idx="10">
                  <c:v>1.0678531862795353</c:v>
                </c:pt>
                <c:pt idx="11">
                  <c:v>1.0734484686571009</c:v>
                </c:pt>
                <c:pt idx="12">
                  <c:v>1.0782066353541964</c:v>
                </c:pt>
                <c:pt idx="13">
                  <c:v>1.0798789385487051</c:v>
                </c:pt>
                <c:pt idx="14">
                  <c:v>1.0702552861150574</c:v>
                </c:pt>
                <c:pt idx="15">
                  <c:v>1.0527987584252567</c:v>
                </c:pt>
              </c:numCache>
            </c:numRef>
          </c:val>
          <c:smooth val="0"/>
        </c:ser>
        <c:ser>
          <c:idx val="2"/>
          <c:order val="2"/>
          <c:tx>
            <c:v>ALC</c:v>
          </c:tx>
          <c:marker>
            <c:symbol val="none"/>
          </c:marker>
          <c:dLbls>
            <c:dLbl>
              <c:idx val="15"/>
              <c:layout/>
              <c:dLblPos val="t"/>
              <c:showLegendKey val="0"/>
              <c:showVal val="1"/>
              <c:showCatName val="0"/>
              <c:showSerName val="0"/>
              <c:showPercent val="0"/>
              <c:showBubbleSize val="0"/>
            </c:dLbl>
            <c:showLegendKey val="0"/>
            <c:showVal val="0"/>
            <c:showCatName val="0"/>
            <c:showSerName val="0"/>
            <c:showPercent val="0"/>
            <c:showBubbleSize val="0"/>
          </c:dLbls>
          <c:cat>
            <c:numRef>
              <c:f>'WBI-Voice Account.'!$D$19:$S$19</c:f>
              <c:numCache>
                <c:formatCode>General</c:formatCode>
                <c:ptCount val="16"/>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'WBI-Voice Account.'!$D$244:$S$244</c:f>
              <c:numCache>
                <c:formatCode>0.00</c:formatCode>
                <c:ptCount val="16"/>
                <c:pt idx="0">
                  <c:v>0.14654542598873377</c:v>
                </c:pt>
                <c:pt idx="1">
                  <c:v>0.23653434682637453</c:v>
                </c:pt>
                <c:pt idx="2">
                  <c:v>0.22688362374901772</c:v>
                </c:pt>
                <c:pt idx="3">
                  <c:v>0.26237017575364846</c:v>
                </c:pt>
                <c:pt idx="4">
                  <c:v>0.24695519931041277</c:v>
                </c:pt>
                <c:pt idx="5">
                  <c:v>0.18837646692274854</c:v>
                </c:pt>
                <c:pt idx="6">
                  <c:v>0.14706405796683752</c:v>
                </c:pt>
                <c:pt idx="7">
                  <c:v>0.24249343459422773</c:v>
                </c:pt>
                <c:pt idx="8">
                  <c:v>0.25284162657380177</c:v>
                </c:pt>
                <c:pt idx="9">
                  <c:v>0.23853647809189099</c:v>
                </c:pt>
                <c:pt idx="10">
                  <c:v>0.22207235215375057</c:v>
                </c:pt>
                <c:pt idx="11">
                  <c:v>0.21254289852311978</c:v>
                </c:pt>
                <c:pt idx="12">
                  <c:v>0.19537449803633186</c:v>
                </c:pt>
                <c:pt idx="13">
                  <c:v>0.17672117384007344</c:v>
                </c:pt>
                <c:pt idx="14">
                  <c:v>0.17942993733315513</c:v>
                </c:pt>
                <c:pt idx="15">
                  <c:v>0.21855158057923502</c:v>
                </c:pt>
              </c:numCache>
            </c:numRef>
          </c:val>
          <c:smooth val="0"/>
        </c:ser>
        <c:dLbls>
          <c:showLegendKey val="0"/>
          <c:showVal val="0"/>
          <c:showCatName val="0"/>
          <c:showSerName val="0"/>
          <c:showPercent val="0"/>
          <c:showBubbleSize val="0"/>
        </c:dLbls>
        <c:marker val="1"/>
        <c:smooth val="0"/>
        <c:axId val="58424320"/>
        <c:axId val="58564992"/>
      </c:lineChart>
      <c:catAx>
        <c:axId val="58424320"/>
        <c:scaling>
          <c:orientation val="minMax"/>
        </c:scaling>
        <c:delete val="0"/>
        <c:axPos val="b"/>
        <c:numFmt formatCode="General" sourceLinked="1"/>
        <c:majorTickMark val="out"/>
        <c:minorTickMark val="none"/>
        <c:tickLblPos val="nextTo"/>
        <c:crossAx val="58564992"/>
        <c:crosses val="autoZero"/>
        <c:auto val="1"/>
        <c:lblAlgn val="ctr"/>
        <c:lblOffset val="100"/>
        <c:tickLblSkip val="3"/>
        <c:noMultiLvlLbl val="0"/>
      </c:catAx>
      <c:valAx>
        <c:axId val="58564992"/>
        <c:scaling>
          <c:orientation val="minMax"/>
        </c:scaling>
        <c:delete val="0"/>
        <c:axPos val="l"/>
        <c:numFmt formatCode="0.0" sourceLinked="0"/>
        <c:majorTickMark val="out"/>
        <c:minorTickMark val="none"/>
        <c:tickLblPos val="nextTo"/>
        <c:txPr>
          <a:bodyPr/>
          <a:lstStyle/>
          <a:p>
            <a:pPr>
              <a:defRPr sz="1000"/>
            </a:pPr>
            <a:endParaRPr lang="en-US"/>
          </a:p>
        </c:txPr>
        <c:crossAx val="58424320"/>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1" i="0" baseline="0">
                <a:effectLst/>
              </a:rPr>
              <a:t>Nivel de Transparencia en Políticas de Gobierno</a:t>
            </a:r>
            <a:endParaRPr lang="en-US" sz="1200">
              <a:effectLst/>
            </a:endParaRPr>
          </a:p>
        </c:rich>
      </c:tx>
      <c:layout/>
      <c:overlay val="0"/>
    </c:title>
    <c:autoTitleDeleted val="0"/>
    <c:plotArea>
      <c:layout/>
      <c:lineChart>
        <c:grouping val="standard"/>
        <c:varyColors val="0"/>
        <c:ser>
          <c:idx val="0"/>
          <c:order val="0"/>
          <c:tx>
            <c:v>Chile</c:v>
          </c:tx>
          <c:marker>
            <c:symbol val="none"/>
          </c:marker>
          <c:cat>
            <c:strRef>
              <c:f>('WEF 2015-2016'!$C$4663,'WEF 2015-2016'!$C$4313,'WEF 2015-2016'!$C$3955,'WEF 2015-2016'!$C$3592,'WEF 2015-2016'!$C$3206,'WEF 2015-2016'!$C$2816,'WEF 2015-2016'!$C$2418,'WEF 2015-2016'!$C$1943,'WEF 2015-2016'!$C$1037,'WEF 2015-2016'!$C$89)</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('WEF 2015-2016'!$AK$4663,'WEF 2015-2016'!$AK$4313,'WEF 2015-2016'!$AK$3955,'WEF 2015-2016'!$AK$3592,'WEF 2015-2016'!$AK$3206,'WEF 2015-2016'!$AK$2816,'WEF 2015-2016'!$AK$2418,'WEF 2015-2016'!$AK$1943,'WEF 2015-2016'!$AK$1037,'WEF 2015-2016'!$AK$89)</c:f>
              <c:numCache>
                <c:formatCode>_(* #,##0.0_);_(* \(#,##0.0\);_(* "-"??_);_(@_)</c:formatCode>
                <c:ptCount val="10"/>
                <c:pt idx="0">
                  <c:v>5.0405405405405403</c:v>
                </c:pt>
                <c:pt idx="1">
                  <c:v>5.135814459003436</c:v>
                </c:pt>
                <c:pt idx="2">
                  <c:v>4.911530514900889</c:v>
                </c:pt>
                <c:pt idx="3">
                  <c:v>5.1820380519337021</c:v>
                </c:pt>
                <c:pt idx="4">
                  <c:v>5.5533202260869565</c:v>
                </c:pt>
                <c:pt idx="5">
                  <c:v>5.3319777358490565</c:v>
                </c:pt>
                <c:pt idx="6">
                  <c:v>5.2752545549019612</c:v>
                </c:pt>
                <c:pt idx="7">
                  <c:v>5.1183380875000006</c:v>
                </c:pt>
                <c:pt idx="8">
                  <c:v>5.0186864830237976</c:v>
                </c:pt>
                <c:pt idx="9">
                  <c:v>4.8654281499538019</c:v>
                </c:pt>
              </c:numCache>
            </c:numRef>
          </c:val>
          <c:smooth val="0"/>
        </c:ser>
        <c:ser>
          <c:idx val="1"/>
          <c:order val="1"/>
          <c:tx>
            <c:v>LAC </c:v>
          </c:tx>
          <c:marker>
            <c:symbol val="none"/>
          </c:marker>
          <c:val>
            <c:numRef>
              <c:f>('WEF 2015-2016'!$FE$4663,'WEF 2015-2016'!$FE$4313,'WEF 2015-2016'!$FE$3955,'WEF 2015-2016'!$FE$3592,'WEF 2015-2016'!$FE$3206,'WEF 2015-2016'!$FE$2816,'WEF 2015-2016'!$FE$2418,'WEF 2015-2016'!$FE$1943,'WEF 2015-2016'!$FE$1037,'WEF 2015-2016'!$FE$89)</c:f>
              <c:numCache>
                <c:formatCode>_(* #,##0.0_);_(* \(#,##0.0\);_(* "-"??_);_(@_)</c:formatCode>
                <c:ptCount val="10"/>
                <c:pt idx="0">
                  <c:v>3.245078947461562</c:v>
                </c:pt>
                <c:pt idx="1">
                  <c:v>3.3076492023531419</c:v>
                </c:pt>
                <c:pt idx="2">
                  <c:v>3.3041337466497804</c:v>
                </c:pt>
                <c:pt idx="3">
                  <c:v>3.5018596607082526</c:v>
                </c:pt>
                <c:pt idx="4">
                  <c:v>3.7125626145063917</c:v>
                </c:pt>
                <c:pt idx="5">
                  <c:v>4.0814733601010786</c:v>
                </c:pt>
                <c:pt idx="6">
                  <c:v>3.9090637438076694</c:v>
                </c:pt>
                <c:pt idx="7">
                  <c:v>3.7773114323956047</c:v>
                </c:pt>
                <c:pt idx="8">
                  <c:v>3.4859534882734327</c:v>
                </c:pt>
                <c:pt idx="9">
                  <c:v>3.7644122490410599</c:v>
                </c:pt>
              </c:numCache>
            </c:numRef>
          </c:val>
          <c:smooth val="0"/>
        </c:ser>
        <c:ser>
          <c:idx val="2"/>
          <c:order val="2"/>
          <c:tx>
            <c:v>OCDE</c:v>
          </c:tx>
          <c:marker>
            <c:symbol val="none"/>
          </c:marker>
          <c:val>
            <c:numRef>
              <c:f>('WEF 2015-2016'!$FU$4663,'WEF 2015-2016'!$FU$4313,'WEF 2015-2016'!$FU$3955,'WEF 2015-2016'!$FU$3592,'WEF 2015-2016'!$FU$3206,'WEF 2015-2016'!$FU$2816,'WEF 2015-2016'!$FU$2418,'WEF 2015-2016'!$FU$1943,'WEF 2015-2016'!$FU$1037,'WEF 2015-2016'!$FU$89)</c:f>
              <c:numCache>
                <c:formatCode>_(* #,##0.0_);_(* \(#,##0.0\);_(* "-"??_);_(@_)</c:formatCode>
                <c:ptCount val="10"/>
                <c:pt idx="0">
                  <c:v>4.9131393378189676</c:v>
                </c:pt>
                <c:pt idx="1">
                  <c:v>4.898880572479924</c:v>
                </c:pt>
                <c:pt idx="2">
                  <c:v>4.7920369398579687</c:v>
                </c:pt>
                <c:pt idx="3">
                  <c:v>4.8304992628219567</c:v>
                </c:pt>
                <c:pt idx="4">
                  <c:v>4.9247045669766063</c:v>
                </c:pt>
                <c:pt idx="5">
                  <c:v>4.8487682026320673</c:v>
                </c:pt>
                <c:pt idx="6">
                  <c:v>4.7879181285814578</c:v>
                </c:pt>
                <c:pt idx="7">
                  <c:v>4.6417160119076755</c:v>
                </c:pt>
                <c:pt idx="8">
                  <c:v>4.530777201147937</c:v>
                </c:pt>
                <c:pt idx="9">
                  <c:v>4.7677186982367923</c:v>
                </c:pt>
              </c:numCache>
            </c:numRef>
          </c:val>
          <c:smooth val="0"/>
        </c:ser>
        <c:dLbls>
          <c:showLegendKey val="0"/>
          <c:showVal val="0"/>
          <c:showCatName val="0"/>
          <c:showSerName val="0"/>
          <c:showPercent val="0"/>
          <c:showBubbleSize val="0"/>
        </c:dLbls>
        <c:marker val="1"/>
        <c:smooth val="0"/>
        <c:axId val="58161408"/>
        <c:axId val="58247424"/>
      </c:lineChart>
      <c:catAx>
        <c:axId val="58161408"/>
        <c:scaling>
          <c:orientation val="minMax"/>
        </c:scaling>
        <c:delete val="0"/>
        <c:axPos val="b"/>
        <c:majorTickMark val="out"/>
        <c:minorTickMark val="none"/>
        <c:tickLblPos val="nextTo"/>
        <c:crossAx val="58247424"/>
        <c:crosses val="autoZero"/>
        <c:auto val="1"/>
        <c:lblAlgn val="ctr"/>
        <c:lblOffset val="100"/>
        <c:noMultiLvlLbl val="0"/>
      </c:catAx>
      <c:valAx>
        <c:axId val="58247424"/>
        <c:scaling>
          <c:orientation val="minMax"/>
        </c:scaling>
        <c:delete val="0"/>
        <c:axPos val="l"/>
        <c:numFmt formatCode="_(* #,##0.0_);_(* \(#,##0.0\);_(* &quot;-&quot;??_);_(@_)" sourceLinked="1"/>
        <c:majorTickMark val="out"/>
        <c:minorTickMark val="none"/>
        <c:tickLblPos val="nextTo"/>
        <c:crossAx val="58161408"/>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Ethics</a:t>
            </a:r>
            <a:r>
              <a:rPr lang="en-US" sz="1200" baseline="0"/>
              <a:t> and Corruption</a:t>
            </a:r>
            <a:endParaRPr lang="en-US" sz="1200"/>
          </a:p>
        </c:rich>
      </c:tx>
      <c:layout/>
      <c:overlay val="0"/>
    </c:title>
    <c:autoTitleDeleted val="0"/>
    <c:plotArea>
      <c:layout/>
      <c:lineChart>
        <c:grouping val="standard"/>
        <c:varyColors val="0"/>
        <c:ser>
          <c:idx val="0"/>
          <c:order val="0"/>
          <c:tx>
            <c:v>Chile</c:v>
          </c:tx>
          <c:marker>
            <c:symbol val="none"/>
          </c:marker>
          <c:cat>
            <c:strRef>
              <c:f>('WEF 2015-2016'!$C$4649,'WEF 2015-2016'!$C$4299,'WEF 2015-2016'!$C$3941,'WEF 2015-2016'!$C$3574,'WEF 2015-2016'!$C$3188,'WEF 2015-2016'!$C$2798,'WEF 2015-2016'!$C$2400,'WEF 2015-2016'!$C$1919,'WEF 2015-2016'!$C$989,'WEF 2015-2016'!$C$41)</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('WEF 2015-2016'!$AK$4649,'WEF 2015-2016'!$AK$4299,'WEF 2015-2016'!$AK$3941,'WEF 2015-2016'!$AK$3574,'WEF 2015-2016'!$AK$3188,'WEF 2015-2016'!$AK$2798,'WEF 2015-2016'!$AK$2400,'WEF 2015-2016'!$AK$1919,'WEF 2015-2016'!$AK$989,'WEF 2015-2016'!$AK$41)</c:f>
              <c:numCache>
                <c:formatCode>_(* #,##0.0_);_(* \(#,##0.0\);_(* "-"??_);_(@_)</c:formatCode>
                <c:ptCount val="10"/>
                <c:pt idx="0">
                  <c:v>4.3032552694636781</c:v>
                </c:pt>
                <c:pt idx="1">
                  <c:v>4.119049526204245</c:v>
                </c:pt>
                <c:pt idx="2">
                  <c:v>3.6379277682633155</c:v>
                </c:pt>
                <c:pt idx="3">
                  <c:v>3.6244134077348065</c:v>
                </c:pt>
                <c:pt idx="4">
                  <c:v>4.7010868255072467</c:v>
                </c:pt>
                <c:pt idx="5">
                  <c:v>5.0323034329559748</c:v>
                </c:pt>
                <c:pt idx="6">
                  <c:v>4.9707794793464046</c:v>
                </c:pt>
                <c:pt idx="7">
                  <c:v>4.8539540975</c:v>
                </c:pt>
                <c:pt idx="8">
                  <c:v>4.8039811262629533</c:v>
                </c:pt>
                <c:pt idx="9">
                  <c:v>4.4409959074904171</c:v>
                </c:pt>
              </c:numCache>
            </c:numRef>
          </c:val>
          <c:smooth val="0"/>
        </c:ser>
        <c:ser>
          <c:idx val="1"/>
          <c:order val="1"/>
          <c:tx>
            <c:v>ALC</c:v>
          </c:tx>
          <c:marker>
            <c:symbol val="none"/>
          </c:marker>
          <c:val>
            <c:numRef>
              <c:f>('WEF 2015-2016'!$FE$4649,'WEF 2015-2016'!$FE$4299,'WEF 2015-2016'!$FE$3941,'WEF 2015-2016'!$FE$3574,'WEF 2015-2016'!$FE$3188,'WEF 2015-2016'!$FE$2798,'WEF 2015-2016'!$FE$2400,'WEF 2015-2016'!$FE$1919,'WEF 2015-2016'!$FE$989,'WEF 2015-2016'!$FE$41)</c:f>
              <c:numCache>
                <c:formatCode>_(* #,##0.0_);_(* \(#,##0.0\);_(* "-"??_);_(@_)</c:formatCode>
                <c:ptCount val="10"/>
                <c:pt idx="0">
                  <c:v>2.1775651200391271</c:v>
                </c:pt>
                <c:pt idx="1">
                  <c:v>2.2992149190644686</c:v>
                </c:pt>
                <c:pt idx="2">
                  <c:v>2.3111999766827971</c:v>
                </c:pt>
                <c:pt idx="3">
                  <c:v>2.3169702832959289</c:v>
                </c:pt>
                <c:pt idx="4">
                  <c:v>2.672954457237942</c:v>
                </c:pt>
                <c:pt idx="5">
                  <c:v>3.0102183333513564</c:v>
                </c:pt>
                <c:pt idx="6">
                  <c:v>2.8758079238537961</c:v>
                </c:pt>
                <c:pt idx="7">
                  <c:v>2.8706212141972505</c:v>
                </c:pt>
                <c:pt idx="8">
                  <c:v>2.7218207311366611</c:v>
                </c:pt>
                <c:pt idx="9">
                  <c:v>2.7964108650123443</c:v>
                </c:pt>
              </c:numCache>
            </c:numRef>
          </c:val>
          <c:smooth val="0"/>
        </c:ser>
        <c:ser>
          <c:idx val="2"/>
          <c:order val="2"/>
          <c:tx>
            <c:v>OCDE</c:v>
          </c:tx>
          <c:marker>
            <c:symbol val="none"/>
          </c:marker>
          <c:val>
            <c:numRef>
              <c:f>('WEF 2015-2016'!$FU$4649,'WEF 2015-2016'!$FU$4299,'WEF 2015-2016'!$FU$3941,'WEF 2015-2016'!$FU$3574,'WEF 2015-2016'!$FU$3188,'WEF 2015-2016'!$FU$2798,'WEF 2015-2016'!$FU$2400,'WEF 2015-2016'!$FU$1919,'WEF 2015-2016'!$FU$989,'WEF 2015-2016'!$FU$41)</c:f>
              <c:numCache>
                <c:formatCode>_(* #,##0.0_);_(* \(#,##0.0\);_(* "-"??_);_(@_)</c:formatCode>
                <c:ptCount val="10"/>
                <c:pt idx="0">
                  <c:v>4.4946170324164161</c:v>
                </c:pt>
                <c:pt idx="1">
                  <c:v>4.6004626611276036</c:v>
                </c:pt>
                <c:pt idx="2">
                  <c:v>4.5855656967164524</c:v>
                </c:pt>
                <c:pt idx="3">
                  <c:v>4.4962532878903865</c:v>
                </c:pt>
                <c:pt idx="4">
                  <c:v>4.787049491604038</c:v>
                </c:pt>
                <c:pt idx="5">
                  <c:v>4.7172549119869567</c:v>
                </c:pt>
                <c:pt idx="6">
                  <c:v>4.6218802097231118</c:v>
                </c:pt>
                <c:pt idx="7">
                  <c:v>4.6155077509103215</c:v>
                </c:pt>
                <c:pt idx="8">
                  <c:v>4.6704185414285817</c:v>
                </c:pt>
                <c:pt idx="9">
                  <c:v>4.7571709834202194</c:v>
                </c:pt>
              </c:numCache>
            </c:numRef>
          </c:val>
          <c:smooth val="0"/>
        </c:ser>
        <c:dLbls>
          <c:showLegendKey val="0"/>
          <c:showVal val="0"/>
          <c:showCatName val="0"/>
          <c:showSerName val="0"/>
          <c:showPercent val="0"/>
          <c:showBubbleSize val="0"/>
        </c:dLbls>
        <c:marker val="1"/>
        <c:smooth val="0"/>
        <c:axId val="58087296"/>
        <c:axId val="58220544"/>
      </c:lineChart>
      <c:catAx>
        <c:axId val="58087296"/>
        <c:scaling>
          <c:orientation val="minMax"/>
        </c:scaling>
        <c:delete val="0"/>
        <c:axPos val="b"/>
        <c:majorTickMark val="out"/>
        <c:minorTickMark val="none"/>
        <c:tickLblPos val="nextTo"/>
        <c:crossAx val="58220544"/>
        <c:crosses val="autoZero"/>
        <c:auto val="1"/>
        <c:lblAlgn val="ctr"/>
        <c:lblOffset val="100"/>
        <c:noMultiLvlLbl val="0"/>
      </c:catAx>
      <c:valAx>
        <c:axId val="58220544"/>
        <c:scaling>
          <c:orientation val="minMax"/>
        </c:scaling>
        <c:delete val="0"/>
        <c:axPos val="l"/>
        <c:numFmt formatCode="_(* #,##0.0_);_(* \(#,##0.0\);_(* &quot;-&quot;??_);_(@_)" sourceLinked="1"/>
        <c:majorTickMark val="out"/>
        <c:minorTickMark val="none"/>
        <c:tickLblPos val="nextTo"/>
        <c:crossAx val="58087296"/>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effectLst/>
              </a:rPr>
              <a:t>Pagos irregulares y coimas</a:t>
            </a:r>
            <a:endParaRPr lang="en-US" sz="1200">
              <a:effectLst/>
            </a:endParaRPr>
          </a:p>
        </c:rich>
      </c:tx>
      <c:layout>
        <c:manualLayout>
          <c:xMode val="edge"/>
          <c:yMode val="edge"/>
          <c:x val="0.35729824231936941"/>
          <c:y val="4.9440058930686759E-2"/>
        </c:manualLayout>
      </c:layout>
      <c:overlay val="0"/>
    </c:title>
    <c:autoTitleDeleted val="0"/>
    <c:plotArea>
      <c:layout/>
      <c:lineChart>
        <c:grouping val="standard"/>
        <c:varyColors val="0"/>
        <c:ser>
          <c:idx val="0"/>
          <c:order val="0"/>
          <c:tx>
            <c:strRef>
              <c:f>'WEF 2015-2016'!$AK$4</c:f>
              <c:strCache>
                <c:ptCount val="1"/>
                <c:pt idx="0">
                  <c:v>Chile</c:v>
                </c:pt>
              </c:strCache>
            </c:strRef>
          </c:tx>
          <c:marker>
            <c:symbol val="none"/>
          </c:marker>
          <c:cat>
            <c:strRef>
              <c:f>('WEF 2015-2016'!$C$3186,'WEF 2015-2016'!$C$2796,'WEF 2015-2016'!$C$2398,'WEF 2015-2016'!$C$1916,'WEF 2015-2016'!$C$983,'WEF 2015-2016'!$C$35)</c:f>
              <c:strCache>
                <c:ptCount val="6"/>
                <c:pt idx="0">
                  <c:v>2010-2011</c:v>
                </c:pt>
                <c:pt idx="1">
                  <c:v>2011-2012</c:v>
                </c:pt>
                <c:pt idx="2">
                  <c:v>2012-2013</c:v>
                </c:pt>
                <c:pt idx="3">
                  <c:v>2013-2014</c:v>
                </c:pt>
                <c:pt idx="4">
                  <c:v>2014-2015</c:v>
                </c:pt>
                <c:pt idx="5">
                  <c:v>2015-2016</c:v>
                </c:pt>
              </c:strCache>
            </c:strRef>
          </c:cat>
          <c:val>
            <c:numRef>
              <c:f>('WEF 2015-2016'!$AK$3186,'WEF 2015-2016'!$AK$2796,'WEF 2015-2016'!$AK$2398,'WEF 2015-2016'!$AK$1916,'WEF 2015-2016'!$AK$983,'WEF 2015-2016'!$AK$35)</c:f>
              <c:numCache>
                <c:formatCode>General</c:formatCode>
                <c:ptCount val="6"/>
                <c:pt idx="0">
                  <c:v>5.6814861547826094</c:v>
                </c:pt>
                <c:pt idx="1">
                  <c:v>5.875514298867925</c:v>
                </c:pt>
                <c:pt idx="2">
                  <c:v>5.7412848850980387</c:v>
                </c:pt>
                <c:pt idx="3">
                  <c:v>5.6573262174999996</c:v>
                </c:pt>
                <c:pt idx="4" formatCode="_(* #,##0.0_);_(* \(#,##0.0\);_(* &quot;-&quot;??_);_(@_)">
                  <c:v>5.6526309782722404</c:v>
                </c:pt>
                <c:pt idx="5" formatCode="_(* #,##0.0_);_(* \(#,##0.0\);_(* &quot;-&quot;??_);_(@_)">
                  <c:v>5.4628739126692425</c:v>
                </c:pt>
              </c:numCache>
            </c:numRef>
          </c:val>
          <c:smooth val="0"/>
        </c:ser>
        <c:ser>
          <c:idx val="1"/>
          <c:order val="1"/>
          <c:tx>
            <c:v>ALC</c:v>
          </c:tx>
          <c:marker>
            <c:symbol val="none"/>
          </c:marker>
          <c:cat>
            <c:strRef>
              <c:f>('WEF 2015-2016'!$C$3186,'WEF 2015-2016'!$C$2796,'WEF 2015-2016'!$C$2398,'WEF 2015-2016'!$C$1916,'WEF 2015-2016'!$C$983,'WEF 2015-2016'!$C$35)</c:f>
              <c:strCache>
                <c:ptCount val="6"/>
                <c:pt idx="0">
                  <c:v>2010-2011</c:v>
                </c:pt>
                <c:pt idx="1">
                  <c:v>2011-2012</c:v>
                </c:pt>
                <c:pt idx="2">
                  <c:v>2012-2013</c:v>
                </c:pt>
                <c:pt idx="3">
                  <c:v>2013-2014</c:v>
                </c:pt>
                <c:pt idx="4">
                  <c:v>2014-2015</c:v>
                </c:pt>
                <c:pt idx="5">
                  <c:v>2015-2016</c:v>
                </c:pt>
              </c:strCache>
            </c:strRef>
          </c:cat>
          <c:val>
            <c:numRef>
              <c:f>('WEF 2015-2016'!$FE$3186,'WEF 2015-2016'!$FE$2796,'WEF 2015-2016'!$FE$2398,'WEF 2015-2016'!$FE$1916,'WEF 2015-2016'!$FE$983,'WEF 2015-2016'!$FE$35)</c:f>
              <c:numCache>
                <c:formatCode>_(* #,##0.0_);_(* \(#,##0.0\);_(* "-"??_);_(@_)</c:formatCode>
                <c:ptCount val="6"/>
                <c:pt idx="0">
                  <c:v>3.3459786099023803</c:v>
                </c:pt>
                <c:pt idx="1">
                  <c:v>3.727623211632606</c:v>
                </c:pt>
                <c:pt idx="2">
                  <c:v>3.5272751953046515</c:v>
                </c:pt>
                <c:pt idx="3">
                  <c:v>3.4807005957836794</c:v>
                </c:pt>
                <c:pt idx="4">
                  <c:v>3.3137960427309259</c:v>
                </c:pt>
                <c:pt idx="5">
                  <c:v>3.5172807139021534</c:v>
                </c:pt>
              </c:numCache>
            </c:numRef>
          </c:val>
          <c:smooth val="0"/>
        </c:ser>
        <c:ser>
          <c:idx val="2"/>
          <c:order val="2"/>
          <c:tx>
            <c:v>OCDE</c:v>
          </c:tx>
          <c:marker>
            <c:symbol val="none"/>
          </c:marker>
          <c:cat>
            <c:strRef>
              <c:f>('WEF 2015-2016'!$C$3186,'WEF 2015-2016'!$C$2796,'WEF 2015-2016'!$C$2398,'WEF 2015-2016'!$C$1916,'WEF 2015-2016'!$C$983,'WEF 2015-2016'!$C$35)</c:f>
              <c:strCache>
                <c:ptCount val="6"/>
                <c:pt idx="0">
                  <c:v>2010-2011</c:v>
                </c:pt>
                <c:pt idx="1">
                  <c:v>2011-2012</c:v>
                </c:pt>
                <c:pt idx="2">
                  <c:v>2012-2013</c:v>
                </c:pt>
                <c:pt idx="3">
                  <c:v>2013-2014</c:v>
                </c:pt>
                <c:pt idx="4">
                  <c:v>2014-2015</c:v>
                </c:pt>
                <c:pt idx="5">
                  <c:v>2015-2016</c:v>
                </c:pt>
              </c:strCache>
            </c:strRef>
          </c:cat>
          <c:val>
            <c:numRef>
              <c:f>('WEF 2015-2016'!$FU$3186,'WEF 2015-2016'!$FU$2796,'WEF 2015-2016'!$FU$2398,'WEF 2015-2016'!$FU$1916,'WEF 2015-2016'!$FU$983,'WEF 2015-2016'!$FU$35)</c:f>
              <c:numCache>
                <c:formatCode>0.0</c:formatCode>
                <c:ptCount val="6"/>
                <c:pt idx="0">
                  <c:v>5.6211113669044437</c:v>
                </c:pt>
                <c:pt idx="1">
                  <c:v>5.5755805886549963</c:v>
                </c:pt>
                <c:pt idx="2">
                  <c:v>5.4864317605102579</c:v>
                </c:pt>
                <c:pt idx="3">
                  <c:v>5.4301566866168427</c:v>
                </c:pt>
                <c:pt idx="4">
                  <c:v>5.4285818141324329</c:v>
                </c:pt>
                <c:pt idx="5">
                  <c:v>5.5368691276647697</c:v>
                </c:pt>
              </c:numCache>
            </c:numRef>
          </c:val>
          <c:smooth val="0"/>
        </c:ser>
        <c:dLbls>
          <c:showLegendKey val="0"/>
          <c:showVal val="0"/>
          <c:showCatName val="0"/>
          <c:showSerName val="0"/>
          <c:showPercent val="0"/>
          <c:showBubbleSize val="0"/>
        </c:dLbls>
        <c:marker val="1"/>
        <c:smooth val="0"/>
        <c:axId val="58065664"/>
        <c:axId val="58068352"/>
      </c:lineChart>
      <c:catAx>
        <c:axId val="58065664"/>
        <c:scaling>
          <c:orientation val="minMax"/>
        </c:scaling>
        <c:delete val="0"/>
        <c:axPos val="b"/>
        <c:majorTickMark val="out"/>
        <c:minorTickMark val="none"/>
        <c:tickLblPos val="nextTo"/>
        <c:crossAx val="58068352"/>
        <c:crosses val="autoZero"/>
        <c:auto val="1"/>
        <c:lblAlgn val="ctr"/>
        <c:lblOffset val="100"/>
        <c:noMultiLvlLbl val="0"/>
      </c:catAx>
      <c:valAx>
        <c:axId val="58068352"/>
        <c:scaling>
          <c:orientation val="minMax"/>
        </c:scaling>
        <c:delete val="0"/>
        <c:axPos val="l"/>
        <c:numFmt formatCode="General" sourceLinked="1"/>
        <c:majorTickMark val="out"/>
        <c:minorTickMark val="none"/>
        <c:tickLblPos val="nextTo"/>
        <c:crossAx val="58065664"/>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Favoritismo</a:t>
            </a:r>
            <a:r>
              <a:rPr lang="en-US" sz="1200" baseline="0"/>
              <a:t> en las Decisiones de los Funcionarios</a:t>
            </a:r>
            <a:endParaRPr lang="en-US" sz="1200"/>
          </a:p>
        </c:rich>
      </c:tx>
      <c:layout/>
      <c:overlay val="0"/>
    </c:title>
    <c:autoTitleDeleted val="0"/>
    <c:plotArea>
      <c:layout/>
      <c:lineChart>
        <c:grouping val="standard"/>
        <c:varyColors val="0"/>
        <c:ser>
          <c:idx val="0"/>
          <c:order val="0"/>
          <c:tx>
            <c:strRef>
              <c:f>'WEF 2015-2016'!$AK$4</c:f>
              <c:strCache>
                <c:ptCount val="1"/>
                <c:pt idx="0">
                  <c:v>Chile</c:v>
                </c:pt>
              </c:strCache>
            </c:strRef>
          </c:tx>
          <c:marker>
            <c:symbol val="none"/>
          </c:marker>
          <c:dLbls>
            <c:dLbl>
              <c:idx val="9"/>
              <c:layout>
                <c:manualLayout>
                  <c:x val="-1.2847390378857234E-3"/>
                  <c:y val="4.4375809253549125E-4"/>
                </c:manualLayout>
              </c:layout>
              <c:dLblPos val="r"/>
              <c:showLegendKey val="0"/>
              <c:showVal val="1"/>
              <c:showCatName val="0"/>
              <c:showSerName val="0"/>
              <c:showPercent val="0"/>
              <c:showBubbleSize val="0"/>
            </c:dLbl>
            <c:numFmt formatCode="#,##0.0" sourceLinked="0"/>
            <c:showLegendKey val="0"/>
            <c:showVal val="0"/>
            <c:showCatName val="0"/>
            <c:showSerName val="0"/>
            <c:showPercent val="0"/>
            <c:showBubbleSize val="0"/>
          </c:dLbls>
          <c:cat>
            <c:strRef>
              <c:f>('WEF 2015-2016'!$C$4654,'WEF 2015-2016'!$C$4304,'WEF 2015-2016'!$C$3946,'WEF 2015-2016'!$C$3579,'WEF 2015-2016'!$C$3193,'WEF 2015-2016'!$C$2803,'WEF 2015-2016'!$C$2405,'WEF 2015-2016'!$C$1925,'WEF 2015-2016'!$C$1001,'WEF 2015-2016'!$C$53)</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('WEF 2015-2016'!$AK$4654,'WEF 2015-2016'!$AK$4304,'WEF 2015-2016'!$AK$3946,'WEF 2015-2016'!$AK$3579,'WEF 2015-2016'!$AK$3193,'WEF 2015-2016'!$AK$2803,'WEF 2015-2016'!$AK$2405,'WEF 2015-2016'!$AK$1925,'WEF 2015-2016'!$AK$1001,'WEF 2015-2016'!$AK$53)</c:f>
              <c:numCache>
                <c:formatCode>General</c:formatCode>
                <c:ptCount val="10"/>
                <c:pt idx="0">
                  <c:v>4.0735707382232675</c:v>
                </c:pt>
                <c:pt idx="1">
                  <c:v>3.8394107039053003</c:v>
                </c:pt>
                <c:pt idx="2">
                  <c:v>3.5989021558704453</c:v>
                </c:pt>
                <c:pt idx="3">
                  <c:v>3.5898193779005521</c:v>
                </c:pt>
                <c:pt idx="4">
                  <c:v>4.2709435391304345</c:v>
                </c:pt>
                <c:pt idx="5">
                  <c:v>4.6260579584905663</c:v>
                </c:pt>
                <c:pt idx="6">
                  <c:v>4.27121668627451</c:v>
                </c:pt>
                <c:pt idx="7">
                  <c:v>4.1167609875000002</c:v>
                </c:pt>
                <c:pt idx="8">
                  <c:v>3.9818610333102273</c:v>
                </c:pt>
                <c:pt idx="9">
                  <c:v>3.5570614252530093</c:v>
                </c:pt>
              </c:numCache>
            </c:numRef>
          </c:val>
          <c:smooth val="0"/>
        </c:ser>
        <c:ser>
          <c:idx val="1"/>
          <c:order val="1"/>
          <c:tx>
            <c:v>ALC</c:v>
          </c:tx>
          <c:marker>
            <c:symbol val="none"/>
          </c:marker>
          <c:dLbls>
            <c:dLbl>
              <c:idx val="9"/>
              <c:layout>
                <c:manualLayout>
                  <c:x val="-8.4201222687563585E-4"/>
                  <c:y val="4.7722740489108666E-3"/>
                </c:manualLayout>
              </c:layout>
              <c:dLblPos val="r"/>
              <c:showLegendKey val="0"/>
              <c:showVal val="1"/>
              <c:showCatName val="0"/>
              <c:showSerName val="0"/>
              <c:showPercent val="0"/>
              <c:showBubbleSize val="0"/>
            </c:dLbl>
            <c:showLegendKey val="0"/>
            <c:showVal val="0"/>
            <c:showCatName val="0"/>
            <c:showSerName val="0"/>
            <c:showPercent val="0"/>
            <c:showBubbleSize val="0"/>
          </c:dLbls>
          <c:cat>
            <c:strRef>
              <c:f>('WEF 2015-2016'!$C$4654,'WEF 2015-2016'!$C$4304,'WEF 2015-2016'!$C$3946,'WEF 2015-2016'!$C$3579,'WEF 2015-2016'!$C$3193,'WEF 2015-2016'!$C$2803,'WEF 2015-2016'!$C$2405,'WEF 2015-2016'!$C$1925,'WEF 2015-2016'!$C$1001,'WEF 2015-2016'!$C$53)</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('WEF 2015-2016'!$FE$4654,'WEF 2015-2016'!$FE$4304,'WEF 2015-2016'!$FE$3946,'WEF 2015-2016'!$FE$3579,'WEF 2015-2016'!$FE$3193,'WEF 2015-2016'!$FE$2803,'WEF 2015-2016'!$FE$2405,'WEF 2015-2016'!$FE$1925,'WEF 2015-2016'!$FE$1001,'WEF 2015-2016'!$FE$53)</c:f>
              <c:numCache>
                <c:formatCode>_(* #,##0.0_);_(* \(#,##0.0\);_(* "-"??_);_(@_)</c:formatCode>
                <c:ptCount val="10"/>
                <c:pt idx="0">
                  <c:v>2.3580130820155514</c:v>
                </c:pt>
                <c:pt idx="1">
                  <c:v>2.3663154010945378</c:v>
                </c:pt>
                <c:pt idx="2">
                  <c:v>2.3587228013917105</c:v>
                </c:pt>
                <c:pt idx="3">
                  <c:v>2.3752307424162193</c:v>
                </c:pt>
                <c:pt idx="4">
                  <c:v>2.402129644972657</c:v>
                </c:pt>
                <c:pt idx="5">
                  <c:v>2.6890877170851137</c:v>
                </c:pt>
                <c:pt idx="6">
                  <c:v>2.6428421288340269</c:v>
                </c:pt>
                <c:pt idx="7">
                  <c:v>2.652773219433517</c:v>
                </c:pt>
                <c:pt idx="8">
                  <c:v>2.4917517761852248</c:v>
                </c:pt>
                <c:pt idx="9">
                  <c:v>2.5108467414770028</c:v>
                </c:pt>
              </c:numCache>
            </c:numRef>
          </c:val>
          <c:smooth val="0"/>
        </c:ser>
        <c:ser>
          <c:idx val="2"/>
          <c:order val="2"/>
          <c:tx>
            <c:v>OCDE</c:v>
          </c:tx>
          <c:marker>
            <c:symbol val="none"/>
          </c:marker>
          <c:dLbls>
            <c:dLbl>
              <c:idx val="9"/>
              <c:layout>
                <c:manualLayout>
                  <c:x val="-1.2847390378857234E-3"/>
                  <c:y val="-1.7757821918036994E-2"/>
                </c:manualLayout>
              </c:layout>
              <c:dLblPos val="r"/>
              <c:showLegendKey val="0"/>
              <c:showVal val="1"/>
              <c:showCatName val="0"/>
              <c:showSerName val="0"/>
              <c:showPercent val="0"/>
              <c:showBubbleSize val="0"/>
            </c:dLbl>
            <c:numFmt formatCode="#,##0.0" sourceLinked="0"/>
            <c:showLegendKey val="0"/>
            <c:showVal val="0"/>
            <c:showCatName val="0"/>
            <c:showSerName val="0"/>
            <c:showPercent val="0"/>
            <c:showBubbleSize val="0"/>
          </c:dLbls>
          <c:val>
            <c:numRef>
              <c:f>('WEF 2015-2016'!$FU$4654,'WEF 2015-2016'!$FU$4304,'WEF 2015-2016'!$FU$3946,'WEF 2015-2016'!$FU$3579,'WEF 2015-2016'!$FU$3193,'WEF 2015-2016'!$FU$2803,'WEF 2015-2016'!$FU$2405,'WEF 2015-2016'!$FU$1925,'WEF 2015-2016'!$FU$1001,'WEF 2015-2016'!$FU$53)</c:f>
              <c:numCache>
                <c:formatCode>General</c:formatCode>
                <c:ptCount val="10"/>
                <c:pt idx="0">
                  <c:v>4.0451384557649268</c:v>
                </c:pt>
                <c:pt idx="1">
                  <c:v>4.2619007510942586</c:v>
                </c:pt>
                <c:pt idx="2">
                  <c:v>4.3110092900516754</c:v>
                </c:pt>
                <c:pt idx="3">
                  <c:v>4.1190409798047734</c:v>
                </c:pt>
                <c:pt idx="4">
                  <c:v>3.9963560145850745</c:v>
                </c:pt>
                <c:pt idx="5">
                  <c:v>3.9601465440343029</c:v>
                </c:pt>
                <c:pt idx="6">
                  <c:v>3.897539373564487</c:v>
                </c:pt>
                <c:pt idx="7">
                  <c:v>3.8779510498092828</c:v>
                </c:pt>
                <c:pt idx="8">
                  <c:v>3.9206674043341008</c:v>
                </c:pt>
                <c:pt idx="9">
                  <c:v>3.9612902608012299</c:v>
                </c:pt>
              </c:numCache>
            </c:numRef>
          </c:val>
          <c:smooth val="0"/>
        </c:ser>
        <c:dLbls>
          <c:showLegendKey val="0"/>
          <c:showVal val="0"/>
          <c:showCatName val="0"/>
          <c:showSerName val="0"/>
          <c:showPercent val="0"/>
          <c:showBubbleSize val="0"/>
        </c:dLbls>
        <c:marker val="1"/>
        <c:smooth val="0"/>
        <c:axId val="56313344"/>
        <c:axId val="56314880"/>
      </c:lineChart>
      <c:catAx>
        <c:axId val="56313344"/>
        <c:scaling>
          <c:orientation val="minMax"/>
        </c:scaling>
        <c:delete val="0"/>
        <c:axPos val="b"/>
        <c:majorTickMark val="out"/>
        <c:minorTickMark val="none"/>
        <c:tickLblPos val="nextTo"/>
        <c:crossAx val="56314880"/>
        <c:crosses val="autoZero"/>
        <c:auto val="1"/>
        <c:lblAlgn val="ctr"/>
        <c:lblOffset val="100"/>
        <c:noMultiLvlLbl val="0"/>
      </c:catAx>
      <c:valAx>
        <c:axId val="56314880"/>
        <c:scaling>
          <c:orientation val="minMax"/>
        </c:scaling>
        <c:delete val="0"/>
        <c:axPos val="l"/>
        <c:numFmt formatCode="#,##0.0" sourceLinked="0"/>
        <c:majorTickMark val="out"/>
        <c:minorTickMark val="none"/>
        <c:tickLblPos val="nextTo"/>
        <c:crossAx val="56313344"/>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9B1D2C89B61CE4DB712BB950CB60064" ma:contentTypeVersion="0" ma:contentTypeDescription="A content type to manage public (operations) IDB documents" ma:contentTypeScope="" ma:versionID="e8966138061e23cd6084fccd4d49ece6">
  <xsd:schema xmlns:xsd="http://www.w3.org/2001/XMLSchema" xmlns:xs="http://www.w3.org/2001/XMLSchema" xmlns:p="http://schemas.microsoft.com/office/2006/metadata/properties" xmlns:ns2="9c571b2f-e523-4ab2-ba2e-09e151a03ef4" targetNamespace="http://schemas.microsoft.com/office/2006/metadata/properties" ma:root="true" ma:fieldsID="5cef9acc7f5f2c21ae68466fda6a47c8"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09f7d02-9c79-4040-8fb6-60e7837b3d3f}" ma:internalName="TaxCatchAll" ma:showField="CatchAllData"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9f7d02-9c79-4040-8fb6-60e7837b3d3f}" ma:internalName="TaxCatchAllLabel" ma:readOnly="true" ma:showField="CatchAllDataLabel"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40309248</IDBDocs_x0020_Number>
    <Document_x0020_Author xmlns="9c571b2f-e523-4ab2-ba2e-09e151a03ef4">Jarquin Ramos, Maria Jose</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CH-L1111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Proposal&lt;/USER_STAGE&gt;&lt;PD_OBJ_TYPE&gt;0&lt;/PD_OBJ_TYPE&gt;&lt;DTAPPROVAL&gt;Sep 21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EC94E3BD-E285-4E31-A946-2B0CBF3AD3D7}"/>
</file>

<file path=customXml/itemProps2.xml><?xml version="1.0" encoding="utf-8"?>
<ds:datastoreItem xmlns:ds="http://schemas.openxmlformats.org/officeDocument/2006/customXml" ds:itemID="{ED5B8EB9-FFA1-4A9C-9E8C-41D2033B7EB4}"/>
</file>

<file path=customXml/itemProps3.xml><?xml version="1.0" encoding="utf-8"?>
<ds:datastoreItem xmlns:ds="http://schemas.openxmlformats.org/officeDocument/2006/customXml" ds:itemID="{3B9CD084-EC53-4CD2-9680-05367B8C578E}"/>
</file>

<file path=customXml/itemProps4.xml><?xml version="1.0" encoding="utf-8"?>
<ds:datastoreItem xmlns:ds="http://schemas.openxmlformats.org/officeDocument/2006/customXml" ds:itemID="{1027CCEC-67C8-459C-A659-2F1665E2193E}"/>
</file>

<file path=customXml/itemProps5.xml><?xml version="1.0" encoding="utf-8"?>
<ds:datastoreItem xmlns:ds="http://schemas.openxmlformats.org/officeDocument/2006/customXml" ds:itemID="{9048F1CE-6407-4990-B143-63693483AE91}"/>
</file>

<file path=customXml/itemProps6.xml><?xml version="1.0" encoding="utf-8"?>
<ds:datastoreItem xmlns:ds="http://schemas.openxmlformats.org/officeDocument/2006/customXml" ds:itemID="{9FB979A6-2C9C-44A2-95A7-ADC6DF63E09B}"/>
</file>

<file path=docProps/app.xml><?xml version="1.0" encoding="utf-8"?>
<Properties xmlns="http://schemas.openxmlformats.org/officeDocument/2006/extended-properties" xmlns:vt="http://schemas.openxmlformats.org/officeDocument/2006/docPropsVTypes">
  <Template>Normal.dotm</Template>
  <TotalTime>0</TotalTime>
  <Pages>33</Pages>
  <Words>8785</Words>
  <Characters>50078</Characters>
  <Application>Microsoft Office Word</Application>
  <DocSecurity>0</DocSecurity>
  <Lines>417</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userrr</Company>
  <LinksUpToDate>false</LinksUpToDate>
  <CharactersWithSpaces>58746</CharactersWithSpaces>
  <SharedDoc>false</SharedDoc>
  <HLinks>
    <vt:vector size="48" baseType="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8257579</vt:i4>
      </vt:variant>
      <vt:variant>
        <vt:i4>3</vt:i4>
      </vt:variant>
      <vt:variant>
        <vt:i4>0</vt:i4>
      </vt:variant>
      <vt:variant>
        <vt:i4>5</vt:i4>
      </vt:variant>
      <vt:variant>
        <vt:lpwstr>http://idbdocs.iadb.org/wsdocs/getdocument.aspx?docnum=40309075</vt:lpwstr>
      </vt:variant>
      <vt:variant>
        <vt:lpwstr/>
      </vt:variant>
      <vt:variant>
        <vt:i4>3866667</vt:i4>
      </vt:variant>
      <vt:variant>
        <vt:i4>0</vt:i4>
      </vt:variant>
      <vt:variant>
        <vt:i4>0</vt:i4>
      </vt:variant>
      <vt:variant>
        <vt:i4>5</vt:i4>
      </vt:variant>
      <vt:variant>
        <vt:lpwstr>http://www.agendadeprobidad.gob.cl/</vt:lpwstr>
      </vt:variant>
      <vt:variant>
        <vt:lpwstr/>
      </vt:variant>
      <vt:variant>
        <vt:i4>2162701</vt:i4>
      </vt:variant>
      <vt:variant>
        <vt:i4>6</vt:i4>
      </vt:variant>
      <vt:variant>
        <vt:i4>0</vt:i4>
      </vt:variant>
      <vt:variant>
        <vt:i4>5</vt:i4>
      </vt:variant>
      <vt:variant>
        <vt:lpwstr>http://consejoanticorrupcion.cl/wp-content/uploads/2015/03/Decreto.CAP_.pdf</vt:lpwstr>
      </vt:variant>
      <vt:variant>
        <vt:lpwstr/>
      </vt:variant>
      <vt:variant>
        <vt:i4>6881342</vt:i4>
      </vt:variant>
      <vt:variant>
        <vt:i4>3</vt:i4>
      </vt:variant>
      <vt:variant>
        <vt:i4>0</vt:i4>
      </vt:variant>
      <vt:variant>
        <vt:i4>5</vt:i4>
      </vt:variant>
      <vt:variant>
        <vt:lpwstr>http://info.worldbank.org/governance/wgi/index.aspx</vt:lpwstr>
      </vt:variant>
      <vt:variant>
        <vt:lpwstr>home</vt:lpwstr>
      </vt:variant>
      <vt:variant>
        <vt:i4>5373976</vt:i4>
      </vt:variant>
      <vt:variant>
        <vt:i4>0</vt:i4>
      </vt:variant>
      <vt:variant>
        <vt:i4>0</vt:i4>
      </vt:variant>
      <vt:variant>
        <vt:i4>5</vt:i4>
      </vt:variant>
      <vt:variant>
        <vt:lpwstr>http://www.leychile.cl/Navegar?idNorma=196640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Ecónomico </dc:title>
  <dc:subject/>
  <dc:creator>broseth@IADB.ORG</dc:creator>
  <cp:keywords/>
  <cp:lastModifiedBy>Melissa Gonzalez</cp:lastModifiedBy>
  <cp:revision>3</cp:revision>
  <cp:lastPrinted>2016-04-14T14:37:00Z</cp:lastPrinted>
  <dcterms:created xsi:type="dcterms:W3CDTF">2016-08-30T20:49:00Z</dcterms:created>
  <dcterms:modified xsi:type="dcterms:W3CDTF">2016-08-30T20:49:00Z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0x01010046CF21643EE8D14686A648AA6DAD089200F9B1D2C89B61CE4DB712BB950CB60064</vt:lpwstr>
  </property>
  <property fmtid="{D5CDD505-2E9C-101B-9397-08002B2CF9AE}" pid="5" name="TaxKeywordTaxHTField">
    <vt:lpwstr/>
  </property>
  <property fmtid="{D5CDD505-2E9C-101B-9397-08002B2CF9AE}" pid="6" name="Series Operations IDB">
    <vt:lpwstr>6;#Unclassified|a6dff32e-d477-44cd-a56b-85efe9e0a56c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6;#Unclassified|a6dff32e-d477-44cd-a56b-85efe9e0a56c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7;#IDBDocs|cca77002-e150-4b2d-ab1f-1d7a7cdcae16</vt:lpwstr>
  </property>
</Properties>
</file>