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F" w:rsidRPr="0091002C" w:rsidRDefault="00870F1F" w:rsidP="00E63985">
      <w:pPr>
        <w:pStyle w:val="SubSubPar"/>
        <w:numPr>
          <w:ilvl w:val="0"/>
          <w:numId w:val="0"/>
        </w:numPr>
        <w:spacing w:after="0" w:line="276" w:lineRule="auto"/>
        <w:jc w:val="center"/>
        <w:rPr>
          <w:rFonts w:ascii="Arial" w:hAnsi="Arial" w:cs="Arial"/>
          <w:smallCaps/>
          <w:sz w:val="22"/>
          <w:szCs w:val="22"/>
          <w:lang w:val="es-ES"/>
        </w:rPr>
      </w:pPr>
      <w:bookmarkStart w:id="0" w:name="_Toc394918510"/>
      <w:bookmarkStart w:id="1" w:name="_GoBack"/>
      <w:bookmarkEnd w:id="1"/>
      <w:r w:rsidRPr="0091002C">
        <w:rPr>
          <w:rFonts w:ascii="Arial" w:hAnsi="Arial" w:cs="Arial"/>
          <w:smallCaps/>
          <w:sz w:val="22"/>
          <w:szCs w:val="22"/>
          <w:lang w:val="es-ES"/>
        </w:rPr>
        <w:t>Documento del Banco Interamericano de Desarrollo</w:t>
      </w:r>
    </w:p>
    <w:p w:rsidR="00870F1F" w:rsidRPr="0091002C" w:rsidRDefault="00870F1F"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rPr>
          <w:rFonts w:cs="Arial"/>
          <w:smallCaps/>
          <w:lang w:val="es-ES"/>
        </w:rPr>
      </w:pPr>
    </w:p>
    <w:p w:rsidR="00151445" w:rsidRPr="0091002C" w:rsidRDefault="00151445" w:rsidP="00E63985">
      <w:pPr>
        <w:tabs>
          <w:tab w:val="left" w:pos="1440"/>
          <w:tab w:val="left" w:pos="3060"/>
        </w:tabs>
        <w:jc w:val="center"/>
        <w:rPr>
          <w:rFonts w:cs="Arial"/>
          <w:smallCaps/>
          <w:lang w:val="es-ES"/>
        </w:rPr>
      </w:pPr>
    </w:p>
    <w:p w:rsidR="00151445" w:rsidRPr="0091002C" w:rsidRDefault="00151445"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rPr>
          <w:rFonts w:cs="Arial"/>
          <w:b/>
          <w:smallCaps/>
          <w:sz w:val="28"/>
          <w:szCs w:val="28"/>
          <w:lang w:val="es-ES"/>
        </w:rPr>
      </w:pPr>
      <w:r w:rsidRPr="0091002C">
        <w:rPr>
          <w:rFonts w:cs="Arial"/>
          <w:b/>
          <w:smallCaps/>
          <w:sz w:val="28"/>
          <w:szCs w:val="28"/>
          <w:lang w:val="es-ES"/>
        </w:rPr>
        <w:t>Chile</w:t>
      </w:r>
    </w:p>
    <w:p w:rsidR="00870F1F" w:rsidRPr="0091002C" w:rsidRDefault="00870F1F"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rPr>
          <w:rFonts w:cs="Arial"/>
          <w:smallCaps/>
          <w:szCs w:val="24"/>
          <w:lang w:val="es-ES"/>
        </w:rPr>
      </w:pPr>
    </w:p>
    <w:p w:rsidR="00870F1F" w:rsidRPr="0091002C" w:rsidRDefault="00870F1F" w:rsidP="00E63985">
      <w:pPr>
        <w:tabs>
          <w:tab w:val="left" w:pos="1440"/>
          <w:tab w:val="left" w:pos="3060"/>
        </w:tabs>
        <w:jc w:val="center"/>
        <w:rPr>
          <w:rFonts w:cs="Arial"/>
          <w:smallCaps/>
          <w:szCs w:val="24"/>
          <w:lang w:val="es-ES"/>
        </w:rPr>
      </w:pPr>
    </w:p>
    <w:p w:rsidR="00870F1F" w:rsidRPr="0091002C" w:rsidRDefault="00870F1F" w:rsidP="00E63985">
      <w:pPr>
        <w:pStyle w:val="Newpage"/>
        <w:keepNext/>
        <w:spacing w:line="276" w:lineRule="auto"/>
        <w:jc w:val="left"/>
        <w:rPr>
          <w:rFonts w:ascii="Arial" w:hAnsi="Arial" w:cs="Arial"/>
          <w:sz w:val="28"/>
          <w:szCs w:val="28"/>
        </w:rPr>
      </w:pPr>
    </w:p>
    <w:p w:rsidR="00870F1F" w:rsidRPr="0091002C" w:rsidRDefault="00870F1F" w:rsidP="00E63985">
      <w:pPr>
        <w:tabs>
          <w:tab w:val="left" w:pos="1440"/>
          <w:tab w:val="left" w:pos="3060"/>
        </w:tabs>
        <w:jc w:val="center"/>
        <w:rPr>
          <w:rFonts w:cs="Arial"/>
          <w:b/>
          <w:smallCaps/>
          <w:szCs w:val="24"/>
          <w:lang w:val="es-ES"/>
        </w:rPr>
      </w:pPr>
      <w:r w:rsidRPr="0091002C">
        <w:rPr>
          <w:rFonts w:eastAsia="Times New Roman" w:cs="Arial"/>
          <w:b/>
          <w:smallCaps/>
          <w:sz w:val="28"/>
          <w:szCs w:val="28"/>
          <w:lang w:val="es-ES"/>
        </w:rPr>
        <w:t>Programa de Apoyo a la Agenda de Probidad y Transparencia de Chile</w:t>
      </w:r>
      <w:r w:rsidR="00B8726B" w:rsidRPr="00A87D8E">
        <w:rPr>
          <w:rFonts w:eastAsia="Times New Roman" w:cs="Arial"/>
          <w:b/>
          <w:caps/>
          <w:sz w:val="28"/>
          <w:szCs w:val="28"/>
          <w:lang w:val="es-ES"/>
        </w:rPr>
        <w:t xml:space="preserve"> ii</w:t>
      </w:r>
    </w:p>
    <w:p w:rsidR="00870F1F" w:rsidRPr="0091002C" w:rsidRDefault="00870F1F" w:rsidP="00E63985">
      <w:pPr>
        <w:tabs>
          <w:tab w:val="left" w:pos="1440"/>
          <w:tab w:val="left" w:pos="3060"/>
        </w:tabs>
        <w:jc w:val="center"/>
        <w:rPr>
          <w:rFonts w:cs="Arial"/>
          <w:b/>
          <w:smallCaps/>
          <w:lang w:val="es-ES"/>
        </w:rPr>
      </w:pPr>
      <w:r w:rsidRPr="0091002C">
        <w:rPr>
          <w:rFonts w:cs="Arial"/>
          <w:b/>
          <w:smallCaps/>
          <w:lang w:val="es-ES"/>
        </w:rPr>
        <w:t>(CH-L111</w:t>
      </w:r>
      <w:r w:rsidR="006922FD" w:rsidRPr="0091002C">
        <w:rPr>
          <w:rFonts w:cs="Arial"/>
          <w:b/>
          <w:smallCaps/>
          <w:lang w:val="es-ES"/>
        </w:rPr>
        <w:t>1</w:t>
      </w:r>
      <w:r w:rsidRPr="0091002C">
        <w:rPr>
          <w:rFonts w:cs="Arial"/>
          <w:b/>
          <w:smallCaps/>
          <w:lang w:val="es-ES"/>
        </w:rPr>
        <w:t>)</w:t>
      </w:r>
    </w:p>
    <w:p w:rsidR="00870F1F" w:rsidRPr="0091002C" w:rsidRDefault="00870F1F" w:rsidP="00E63985">
      <w:pPr>
        <w:pStyle w:val="Newpage"/>
        <w:spacing w:line="276" w:lineRule="auto"/>
        <w:rPr>
          <w:rFonts w:ascii="Arial" w:hAnsi="Arial" w:cs="Arial"/>
          <w:b w:val="0"/>
          <w:caps/>
          <w:smallCaps w:val="0"/>
        </w:rPr>
      </w:pPr>
    </w:p>
    <w:p w:rsidR="00870F1F" w:rsidRPr="0091002C" w:rsidRDefault="00870F1F"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rPr>
          <w:rFonts w:cs="Arial"/>
          <w:smallCaps/>
          <w:lang w:val="es-ES"/>
        </w:rPr>
      </w:pPr>
    </w:p>
    <w:p w:rsidR="00870F1F" w:rsidRPr="0091002C" w:rsidRDefault="00870F1F" w:rsidP="00E63985">
      <w:pPr>
        <w:tabs>
          <w:tab w:val="left" w:pos="1440"/>
          <w:tab w:val="left" w:pos="3060"/>
        </w:tabs>
        <w:jc w:val="center"/>
        <w:outlineLvl w:val="0"/>
        <w:rPr>
          <w:rFonts w:cs="Arial"/>
          <w:b/>
          <w:smallCaps/>
          <w:szCs w:val="24"/>
          <w:lang w:val="es-ES"/>
        </w:rPr>
      </w:pPr>
      <w:r w:rsidRPr="0091002C">
        <w:rPr>
          <w:rFonts w:cs="Arial"/>
          <w:b/>
          <w:smallCaps/>
          <w:szCs w:val="24"/>
          <w:lang w:val="es-ES"/>
        </w:rPr>
        <w:t>Plan de Monitoreo y Evaluación</w:t>
      </w:r>
    </w:p>
    <w:p w:rsidR="00870F1F" w:rsidRPr="0091002C" w:rsidRDefault="00870F1F" w:rsidP="00E63985">
      <w:pPr>
        <w:tabs>
          <w:tab w:val="left" w:pos="1440"/>
          <w:tab w:val="left" w:pos="3060"/>
        </w:tabs>
        <w:jc w:val="center"/>
        <w:rPr>
          <w:rFonts w:cs="Arial"/>
          <w:lang w:val="es-ES"/>
        </w:rPr>
      </w:pPr>
    </w:p>
    <w:p w:rsidR="00870F1F" w:rsidRPr="0091002C" w:rsidRDefault="00870F1F" w:rsidP="00E63985">
      <w:pPr>
        <w:tabs>
          <w:tab w:val="left" w:pos="1440"/>
          <w:tab w:val="left" w:pos="3060"/>
        </w:tabs>
        <w:rPr>
          <w:rFonts w:cs="Arial"/>
          <w:lang w:val="es-ES"/>
        </w:rPr>
      </w:pPr>
    </w:p>
    <w:p w:rsidR="00870F1F" w:rsidRPr="0091002C" w:rsidRDefault="00870F1F" w:rsidP="00E63985">
      <w:pPr>
        <w:tabs>
          <w:tab w:val="left" w:pos="1440"/>
          <w:tab w:val="left" w:pos="3060"/>
        </w:tabs>
        <w:jc w:val="center"/>
        <w:rPr>
          <w:rFonts w:cs="Arial"/>
          <w:lang w:val="es-ES"/>
        </w:rPr>
      </w:pPr>
    </w:p>
    <w:p w:rsidR="00042B63" w:rsidRPr="0091002C" w:rsidRDefault="00042B63" w:rsidP="00E63985">
      <w:pPr>
        <w:pStyle w:val="BodyText"/>
        <w:pBdr>
          <w:top w:val="single" w:sz="4" w:space="1" w:color="auto"/>
          <w:left w:val="single" w:sz="4" w:space="4" w:color="auto"/>
          <w:bottom w:val="single" w:sz="4" w:space="1" w:color="auto"/>
          <w:right w:val="single" w:sz="4" w:space="4" w:color="auto"/>
        </w:pBdr>
        <w:tabs>
          <w:tab w:val="left" w:pos="1440"/>
        </w:tabs>
        <w:jc w:val="both"/>
        <w:rPr>
          <w:rFonts w:cs="Arial"/>
          <w:sz w:val="20"/>
          <w:szCs w:val="20"/>
          <w:lang w:val="es-ES"/>
        </w:rPr>
      </w:pPr>
      <w:r w:rsidRPr="0091002C">
        <w:rPr>
          <w:rFonts w:cs="Arial"/>
          <w:sz w:val="20"/>
          <w:szCs w:val="20"/>
          <w:lang w:val="es-ES"/>
        </w:rPr>
        <w:t>El documento original del Programa fue elaborado por el equipo de proyecto del BID con el apoyo del consultor Martin Rossi, como parte de los Enlaces Opcionales de</w:t>
      </w:r>
      <w:r w:rsidR="001664D5" w:rsidRPr="0091002C">
        <w:rPr>
          <w:rFonts w:cs="Arial"/>
          <w:sz w:val="20"/>
          <w:szCs w:val="20"/>
          <w:lang w:val="es-ES"/>
        </w:rPr>
        <w:t xml:space="preserve"> </w:t>
      </w:r>
      <w:r w:rsidRPr="0091002C">
        <w:rPr>
          <w:rFonts w:cs="Arial"/>
          <w:sz w:val="20"/>
          <w:szCs w:val="20"/>
          <w:lang w:val="es-ES"/>
        </w:rPr>
        <w:t>l</w:t>
      </w:r>
      <w:r w:rsidR="001664D5" w:rsidRPr="0091002C">
        <w:rPr>
          <w:rFonts w:cs="Arial"/>
          <w:sz w:val="20"/>
          <w:szCs w:val="20"/>
          <w:lang w:val="es-ES"/>
        </w:rPr>
        <w:t>a primera operación (CH-L1110)</w:t>
      </w:r>
      <w:r w:rsidRPr="0091002C">
        <w:rPr>
          <w:rFonts w:cs="Arial"/>
          <w:sz w:val="20"/>
          <w:szCs w:val="20"/>
          <w:lang w:val="es-ES"/>
        </w:rPr>
        <w:t xml:space="preserve"> de éste. Este documento fue </w:t>
      </w:r>
      <w:r w:rsidR="008024D1" w:rsidRPr="0091002C">
        <w:rPr>
          <w:rFonts w:cs="Arial"/>
          <w:sz w:val="20"/>
          <w:szCs w:val="20"/>
          <w:lang w:val="es-ES"/>
        </w:rPr>
        <w:t xml:space="preserve">elaborado, sobre la base del documento original anotado, </w:t>
      </w:r>
      <w:r w:rsidRPr="0091002C">
        <w:rPr>
          <w:rFonts w:cs="Arial"/>
          <w:sz w:val="20"/>
          <w:szCs w:val="20"/>
          <w:lang w:val="es-ES"/>
        </w:rPr>
        <w:t>p</w:t>
      </w:r>
      <w:r w:rsidR="00B202C7">
        <w:rPr>
          <w:rFonts w:cs="Arial"/>
          <w:sz w:val="20"/>
          <w:szCs w:val="20"/>
          <w:lang w:val="es-ES"/>
        </w:rPr>
        <w:t xml:space="preserve">or Benjamin Roseth (IFD/ICS), </w:t>
      </w:r>
      <w:r w:rsidRPr="0091002C">
        <w:rPr>
          <w:rFonts w:cs="Arial"/>
          <w:sz w:val="20"/>
          <w:szCs w:val="20"/>
          <w:lang w:val="es-ES"/>
        </w:rPr>
        <w:t>Ana Cuesta (SPD/SDV) y Melissa González (IFD/ICS)</w:t>
      </w:r>
      <w:r w:rsidR="008024D1" w:rsidRPr="0091002C">
        <w:rPr>
          <w:rFonts w:cs="Arial"/>
          <w:sz w:val="20"/>
          <w:szCs w:val="20"/>
          <w:lang w:val="es-ES"/>
        </w:rPr>
        <w:t xml:space="preserve">, </w:t>
      </w:r>
      <w:r w:rsidR="001664D5" w:rsidRPr="0091002C">
        <w:rPr>
          <w:rFonts w:cs="Arial"/>
          <w:sz w:val="20"/>
          <w:szCs w:val="20"/>
          <w:lang w:val="es-ES"/>
        </w:rPr>
        <w:t>como parte de los Enlaces Opcionales de la segunda operación del programa (CH-L1111)</w:t>
      </w:r>
      <w:r w:rsidRPr="0091002C">
        <w:rPr>
          <w:rFonts w:cs="Arial"/>
          <w:sz w:val="20"/>
          <w:szCs w:val="20"/>
          <w:lang w:val="es-ES"/>
        </w:rPr>
        <w:t>.</w:t>
      </w:r>
    </w:p>
    <w:p w:rsidR="009147C7" w:rsidRPr="0091002C" w:rsidRDefault="009147C7" w:rsidP="00E63985">
      <w:pPr>
        <w:rPr>
          <w:rFonts w:eastAsia="Times New Roman"/>
          <w:b/>
          <w:kern w:val="28"/>
          <w:sz w:val="28"/>
          <w:szCs w:val="20"/>
          <w:lang w:val="es-ES"/>
        </w:rPr>
      </w:pPr>
      <w:r w:rsidRPr="0091002C">
        <w:rPr>
          <w:lang w:val="es-ES"/>
        </w:rPr>
        <w:br w:type="page"/>
      </w:r>
    </w:p>
    <w:p w:rsidR="00A135AE" w:rsidRPr="0091002C" w:rsidRDefault="00870F1F" w:rsidP="00537028">
      <w:pPr>
        <w:pStyle w:val="Heading1"/>
        <w:jc w:val="center"/>
        <w:rPr>
          <w:sz w:val="24"/>
          <w:szCs w:val="24"/>
          <w:lang w:val="es-ES"/>
        </w:rPr>
      </w:pPr>
      <w:r w:rsidRPr="0091002C">
        <w:rPr>
          <w:sz w:val="24"/>
          <w:szCs w:val="24"/>
          <w:lang w:val="es-ES"/>
        </w:rPr>
        <w:lastRenderedPageBreak/>
        <w:t>Introducción</w:t>
      </w:r>
    </w:p>
    <w:p w:rsidR="00870F1F" w:rsidRPr="0091002C" w:rsidRDefault="00870F1F"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sz w:val="22"/>
          <w:szCs w:val="22"/>
        </w:rPr>
        <w:t>Este documento describe los mecanismos de monitoreo y evaluación del Programa de Apoyo a la Agenda de Probidad y Transparencia de Chile.</w:t>
      </w:r>
    </w:p>
    <w:p w:rsidR="001664D5" w:rsidRPr="0091002C" w:rsidRDefault="001664D5"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sz w:val="22"/>
          <w:szCs w:val="22"/>
        </w:rPr>
        <w:t xml:space="preserve">En septiembre de 2015, el Gobierno de Chile y el Banco Interamericano de Desarrollo (Banco) acordaron un Préstamo Programático </w:t>
      </w:r>
      <w:r w:rsidR="00844D68">
        <w:rPr>
          <w:rFonts w:ascii="Arial" w:hAnsi="Arial" w:cs="Arial"/>
          <w:sz w:val="22"/>
          <w:szCs w:val="22"/>
        </w:rPr>
        <w:t xml:space="preserve">en </w:t>
      </w:r>
      <w:r w:rsidRPr="0091002C">
        <w:rPr>
          <w:rFonts w:ascii="Arial" w:hAnsi="Arial" w:cs="Arial"/>
          <w:sz w:val="22"/>
          <w:szCs w:val="22"/>
        </w:rPr>
        <w:t xml:space="preserve">Apoyo </w:t>
      </w:r>
      <w:r w:rsidR="00844D68">
        <w:rPr>
          <w:rFonts w:ascii="Arial" w:hAnsi="Arial" w:cs="Arial"/>
          <w:sz w:val="22"/>
          <w:szCs w:val="22"/>
        </w:rPr>
        <w:t xml:space="preserve">de </w:t>
      </w:r>
      <w:r w:rsidRPr="0091002C">
        <w:rPr>
          <w:rFonts w:ascii="Arial" w:hAnsi="Arial" w:cs="Arial"/>
          <w:sz w:val="22"/>
          <w:szCs w:val="22"/>
        </w:rPr>
        <w:t xml:space="preserve">Reformas de Política (PBP), que prevé dos operaciones individuales y secuenciales, de </w:t>
      </w:r>
      <w:r w:rsidRPr="0091002C">
        <w:rPr>
          <w:rFonts w:ascii="Arial" w:hAnsi="Arial" w:cs="Arial"/>
          <w:b/>
          <w:sz w:val="22"/>
          <w:szCs w:val="22"/>
        </w:rPr>
        <w:t>apoyo a la</w:t>
      </w:r>
      <w:r w:rsidRPr="0091002C">
        <w:rPr>
          <w:rFonts w:ascii="Arial" w:hAnsi="Arial" w:cs="Arial"/>
          <w:sz w:val="22"/>
          <w:szCs w:val="22"/>
        </w:rPr>
        <w:t xml:space="preserve"> </w:t>
      </w:r>
      <w:hyperlink r:id="rId9" w:history="1">
        <w:r w:rsidRPr="0091002C">
          <w:rPr>
            <w:rStyle w:val="Hyperlink"/>
            <w:rFonts w:ascii="Arial" w:hAnsi="Arial" w:cs="Arial"/>
            <w:b/>
            <w:sz w:val="22"/>
            <w:szCs w:val="22"/>
          </w:rPr>
          <w:t>Agenda de Probidad y Transparencia</w:t>
        </w:r>
      </w:hyperlink>
      <w:r w:rsidRPr="0091002C">
        <w:rPr>
          <w:rFonts w:ascii="Arial" w:hAnsi="Arial" w:cs="Arial"/>
          <w:b/>
          <w:sz w:val="22"/>
          <w:szCs w:val="22"/>
        </w:rPr>
        <w:t xml:space="preserve"> de Chile (APT)</w:t>
      </w:r>
      <w:r w:rsidRPr="0091002C">
        <w:rPr>
          <w:rFonts w:ascii="Arial" w:hAnsi="Arial" w:cs="Arial"/>
          <w:sz w:val="22"/>
          <w:szCs w:val="22"/>
        </w:rPr>
        <w:t>, y en este documento referido, en adelante, como el “</w:t>
      </w:r>
      <w:r w:rsidRPr="0091002C">
        <w:rPr>
          <w:rFonts w:ascii="Arial" w:hAnsi="Arial" w:cs="Arial"/>
          <w:b/>
          <w:sz w:val="22"/>
          <w:szCs w:val="22"/>
        </w:rPr>
        <w:t>Programa</w:t>
      </w:r>
      <w:r w:rsidRPr="0091002C">
        <w:rPr>
          <w:rFonts w:ascii="Arial" w:hAnsi="Arial" w:cs="Arial"/>
          <w:sz w:val="22"/>
          <w:szCs w:val="22"/>
        </w:rPr>
        <w:t xml:space="preserve">”. El objetivo del Programa es apoyar la APT de Chile, que considera un conjunto de medidas de política dirigidas a </w:t>
      </w:r>
      <w:r w:rsidR="007F1A6C">
        <w:rPr>
          <w:rFonts w:ascii="Arial" w:hAnsi="Arial" w:cs="Arial"/>
          <w:sz w:val="22"/>
          <w:szCs w:val="22"/>
        </w:rPr>
        <w:t>contribuir a</w:t>
      </w:r>
      <w:r w:rsidR="007F1A6C" w:rsidRPr="0091002C">
        <w:rPr>
          <w:rFonts w:ascii="Arial" w:hAnsi="Arial" w:cs="Arial"/>
          <w:sz w:val="22"/>
          <w:szCs w:val="22"/>
        </w:rPr>
        <w:t xml:space="preserve"> </w:t>
      </w:r>
      <w:r w:rsidRPr="0091002C">
        <w:rPr>
          <w:rFonts w:ascii="Arial" w:hAnsi="Arial" w:cs="Arial"/>
          <w:sz w:val="22"/>
          <w:szCs w:val="22"/>
        </w:rPr>
        <w:t xml:space="preserve">la observancia de </w:t>
      </w:r>
      <w:r w:rsidR="007F1A6C">
        <w:rPr>
          <w:rFonts w:ascii="Arial" w:hAnsi="Arial" w:cs="Arial"/>
          <w:sz w:val="22"/>
          <w:szCs w:val="22"/>
        </w:rPr>
        <w:t xml:space="preserve">la </w:t>
      </w:r>
      <w:r w:rsidRPr="0091002C">
        <w:rPr>
          <w:rFonts w:ascii="Arial" w:hAnsi="Arial" w:cs="Arial"/>
          <w:sz w:val="22"/>
          <w:szCs w:val="22"/>
        </w:rPr>
        <w:t>probidad y transparencia en el funcionamiento del sector público y el sector privado, y promover conductas afines entre la ciudadanía.</w:t>
      </w:r>
    </w:p>
    <w:p w:rsidR="001664D5" w:rsidRPr="0091002C" w:rsidRDefault="004049D1" w:rsidP="00537028">
      <w:pPr>
        <w:pStyle w:val="Paragraph"/>
        <w:numPr>
          <w:ilvl w:val="1"/>
          <w:numId w:val="3"/>
        </w:numPr>
        <w:tabs>
          <w:tab w:val="clear" w:pos="2448"/>
          <w:tab w:val="num" w:pos="720"/>
        </w:tabs>
        <w:ind w:left="720" w:hanging="720"/>
        <w:rPr>
          <w:rFonts w:ascii="Arial" w:hAnsi="Arial" w:cs="Arial"/>
          <w:sz w:val="22"/>
          <w:szCs w:val="22"/>
        </w:rPr>
      </w:pPr>
      <w:r>
        <w:rPr>
          <w:rFonts w:ascii="Arial" w:hAnsi="Arial" w:cs="Arial"/>
          <w:sz w:val="22"/>
          <w:szCs w:val="22"/>
        </w:rPr>
        <w:t xml:space="preserve">La primera operación </w:t>
      </w:r>
      <w:r w:rsidR="001664D5" w:rsidRPr="0091002C">
        <w:rPr>
          <w:rFonts w:ascii="Arial" w:hAnsi="Arial" w:cs="Arial"/>
          <w:sz w:val="22"/>
          <w:szCs w:val="22"/>
        </w:rPr>
        <w:t xml:space="preserve">de </w:t>
      </w:r>
      <w:hyperlink r:id="rId10" w:history="1">
        <w:r w:rsidR="001664D5" w:rsidRPr="004049D1">
          <w:rPr>
            <w:rStyle w:val="Hyperlink"/>
            <w:rFonts w:ascii="Arial" w:hAnsi="Arial" w:cs="Arial"/>
            <w:sz w:val="22"/>
            <w:szCs w:val="22"/>
          </w:rPr>
          <w:t>préstamo No. 3617/OC-CH (CH-L1110)</w:t>
        </w:r>
      </w:hyperlink>
      <w:r>
        <w:rPr>
          <w:rFonts w:ascii="Arial" w:hAnsi="Arial" w:cs="Arial"/>
          <w:sz w:val="22"/>
          <w:szCs w:val="22"/>
        </w:rPr>
        <w:t>, por US$130 </w:t>
      </w:r>
      <w:r w:rsidR="001664D5" w:rsidRPr="0091002C">
        <w:rPr>
          <w:rFonts w:ascii="Arial" w:hAnsi="Arial" w:cs="Arial"/>
          <w:sz w:val="22"/>
          <w:szCs w:val="22"/>
        </w:rPr>
        <w:t>millones, fue aprobada por el Directorio del Banco el 11 de Diciembre de 2015. Para el logro de los objetivos del Programa, la primera operación apoyó doce (12) medidas legislativas y administrativas; además de mantener un contexto macroeconómico congruente con los objetivos del Programa (</w:t>
      </w:r>
      <w:hyperlink r:id="rId11" w:history="1">
        <w:r w:rsidR="001664D5" w:rsidRPr="004049D1">
          <w:rPr>
            <w:rStyle w:val="Hyperlink"/>
            <w:rFonts w:ascii="Arial" w:hAnsi="Arial" w:cs="Arial"/>
            <w:sz w:val="22"/>
            <w:szCs w:val="22"/>
          </w:rPr>
          <w:t>Ver Matriz de Política de la primera operación</w:t>
        </w:r>
      </w:hyperlink>
      <w:r w:rsidR="001664D5" w:rsidRPr="0091002C">
        <w:rPr>
          <w:rFonts w:ascii="Arial" w:hAnsi="Arial" w:cs="Arial"/>
          <w:sz w:val="22"/>
          <w:szCs w:val="22"/>
        </w:rPr>
        <w:t>). Todas las medidas fueron cumplidas y el préstamo fue de declarado elegible con fecha 18 de mayo de 2016; y el primer y único tramo de desembolso fue realizado con fecha 19 de mayo de 2016.</w:t>
      </w:r>
    </w:p>
    <w:p w:rsidR="001664D5" w:rsidRPr="0091002C" w:rsidRDefault="001664D5"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sz w:val="22"/>
          <w:szCs w:val="22"/>
        </w:rPr>
        <w:t xml:space="preserve">Considerando los avances en el cumplimiento de los mecanismos activadores de la primera operación antes referidos, y el ejercicio de programación del Banco con el país, en marzo de 2016, el Gobierno de Chile y el Banco acordaron la preparación y aprobación de la </w:t>
      </w:r>
      <w:r w:rsidRPr="0091002C">
        <w:rPr>
          <w:rFonts w:ascii="Arial" w:hAnsi="Arial" w:cs="Arial"/>
          <w:b/>
          <w:sz w:val="22"/>
          <w:szCs w:val="22"/>
        </w:rPr>
        <w:t>segunda operación de préstamo(CH-L1111)</w:t>
      </w:r>
      <w:r w:rsidRPr="0091002C">
        <w:rPr>
          <w:rFonts w:ascii="Arial" w:hAnsi="Arial" w:cs="Arial"/>
          <w:sz w:val="22"/>
          <w:szCs w:val="22"/>
        </w:rPr>
        <w:t xml:space="preserve">, por US$100 mdd, a fin de dar  continuidad al Programa, apoyando la consolidación de las medidas institucionales y regulatorias que se desarrollaron en el marco de la primera operación, y la ampliación, gradual y sostenida, de la APT, según detalle por cada uno de los tres componentes </w:t>
      </w:r>
      <w:r w:rsidR="008024D1" w:rsidRPr="0091002C">
        <w:rPr>
          <w:rFonts w:ascii="Arial" w:hAnsi="Arial" w:cs="Arial"/>
          <w:sz w:val="22"/>
          <w:szCs w:val="22"/>
        </w:rPr>
        <w:t xml:space="preserve">en que se estructura el programa y </w:t>
      </w:r>
      <w:r w:rsidRPr="0091002C">
        <w:rPr>
          <w:rFonts w:ascii="Arial" w:hAnsi="Arial" w:cs="Arial"/>
          <w:sz w:val="22"/>
          <w:szCs w:val="22"/>
        </w:rPr>
        <w:t>que se anota a continuación (</w:t>
      </w:r>
      <w:hyperlink r:id="rId12" w:history="1">
        <w:r w:rsidRPr="004049D1">
          <w:rPr>
            <w:rStyle w:val="Hyperlink"/>
            <w:rFonts w:ascii="Arial" w:hAnsi="Arial" w:cs="Arial"/>
            <w:sz w:val="22"/>
            <w:szCs w:val="22"/>
          </w:rPr>
          <w:t>Ver Matriz de Política de la primera operación</w:t>
        </w:r>
        <w:r w:rsidR="00EE2C61" w:rsidRPr="004049D1">
          <w:rPr>
            <w:rStyle w:val="Hyperlink"/>
            <w:rFonts w:ascii="Arial" w:hAnsi="Arial" w:cs="Arial"/>
            <w:sz w:val="22"/>
            <w:szCs w:val="22"/>
          </w:rPr>
          <w:t>, CH-L1110</w:t>
        </w:r>
      </w:hyperlink>
      <w:r w:rsidRPr="0091002C">
        <w:rPr>
          <w:rFonts w:ascii="Arial" w:hAnsi="Arial" w:cs="Arial"/>
          <w:sz w:val="22"/>
          <w:szCs w:val="22"/>
        </w:rPr>
        <w:t>)</w:t>
      </w:r>
    </w:p>
    <w:p w:rsidR="008024D1" w:rsidRPr="0091002C" w:rsidRDefault="007C0867"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b/>
          <w:sz w:val="22"/>
          <w:szCs w:val="22"/>
        </w:rPr>
        <w:t xml:space="preserve">Componente I. </w:t>
      </w:r>
      <w:r w:rsidR="00B90643" w:rsidRPr="0091002C">
        <w:rPr>
          <w:rFonts w:ascii="Arial" w:hAnsi="Arial" w:cs="Arial"/>
          <w:b/>
          <w:sz w:val="22"/>
          <w:szCs w:val="22"/>
        </w:rPr>
        <w:t>E</w:t>
      </w:r>
      <w:r w:rsidRPr="0091002C">
        <w:rPr>
          <w:rFonts w:ascii="Arial" w:hAnsi="Arial" w:cs="Arial"/>
          <w:b/>
          <w:sz w:val="22"/>
          <w:szCs w:val="22"/>
        </w:rPr>
        <w:t>stabilidad Macroeconómica</w:t>
      </w:r>
      <w:r w:rsidRPr="0091002C">
        <w:rPr>
          <w:rFonts w:ascii="Arial" w:hAnsi="Arial" w:cs="Arial"/>
          <w:sz w:val="22"/>
          <w:szCs w:val="22"/>
        </w:rPr>
        <w:t>.</w:t>
      </w:r>
      <w:r w:rsidR="008024D1" w:rsidRPr="0091002C">
        <w:rPr>
          <w:rFonts w:ascii="Arial" w:hAnsi="Arial" w:cs="Arial"/>
          <w:sz w:val="22"/>
          <w:szCs w:val="22"/>
        </w:rPr>
        <w:t xml:space="preserve"> El objetivo de este componente es mantener un contexto macroeconómico congruente con los objetivos del programa según lo establecido en la Matriz de Políticas</w:t>
      </w:r>
      <w:r w:rsidR="00EE2C61" w:rsidRPr="0091002C">
        <w:rPr>
          <w:rFonts w:ascii="Arial" w:hAnsi="Arial" w:cs="Arial"/>
          <w:sz w:val="22"/>
          <w:szCs w:val="22"/>
        </w:rPr>
        <w:t xml:space="preserve"> de la segunda operación, Anexo II del Documento de Propuesta de Préstamo (CH-L1111)</w:t>
      </w:r>
      <w:r w:rsidR="008024D1" w:rsidRPr="0091002C">
        <w:rPr>
          <w:rFonts w:ascii="Arial" w:hAnsi="Arial" w:cs="Arial"/>
          <w:sz w:val="22"/>
          <w:szCs w:val="22"/>
        </w:rPr>
        <w:t>.</w:t>
      </w:r>
    </w:p>
    <w:p w:rsidR="00432567" w:rsidRPr="0091002C" w:rsidRDefault="007C0867" w:rsidP="00537028">
      <w:pPr>
        <w:pStyle w:val="Paragraph"/>
        <w:numPr>
          <w:ilvl w:val="1"/>
          <w:numId w:val="3"/>
        </w:numPr>
        <w:tabs>
          <w:tab w:val="clear" w:pos="2448"/>
          <w:tab w:val="num" w:pos="720"/>
        </w:tabs>
        <w:ind w:left="720" w:hanging="720"/>
        <w:rPr>
          <w:rFonts w:ascii="Arial" w:hAnsi="Arial" w:cs="Arial"/>
        </w:rPr>
      </w:pPr>
      <w:r w:rsidRPr="0091002C">
        <w:rPr>
          <w:rFonts w:ascii="Arial" w:hAnsi="Arial" w:cs="Arial"/>
          <w:b/>
          <w:sz w:val="22"/>
          <w:szCs w:val="22"/>
        </w:rPr>
        <w:t xml:space="preserve">Componente II. Fortalecer el marco legal e institucional de probidad y transparencia. </w:t>
      </w:r>
      <w:r w:rsidR="00845A0F" w:rsidRPr="0091002C">
        <w:rPr>
          <w:rFonts w:ascii="Arial" w:hAnsi="Arial" w:cs="Arial"/>
          <w:sz w:val="22"/>
          <w:szCs w:val="22"/>
        </w:rPr>
        <w:t>El objetivo es fortalecer el marco legal e institucional según los principios de probidad administrativa y de transparencia, y el derecho de acceso a la información pública, que define la ley</w:t>
      </w:r>
      <w:r w:rsidR="00432567" w:rsidRPr="0091002C">
        <w:rPr>
          <w:rFonts w:ascii="Arial" w:hAnsi="Arial" w:cs="Arial"/>
          <w:sz w:val="22"/>
          <w:szCs w:val="22"/>
        </w:rPr>
        <w:t>.</w:t>
      </w:r>
    </w:p>
    <w:p w:rsidR="00F4676A" w:rsidRPr="004049D1" w:rsidRDefault="00845A0F"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sz w:val="22"/>
          <w:szCs w:val="22"/>
        </w:rPr>
        <w:t>La segunda operación consolida las medidas institucionales y regulatorias que se desarrollaron en el marco de la primera operación en lo referido al fortalecimiento de</w:t>
      </w:r>
      <w:r w:rsidR="004049D1">
        <w:rPr>
          <w:rFonts w:ascii="Arial" w:hAnsi="Arial" w:cs="Arial"/>
          <w:sz w:val="22"/>
          <w:szCs w:val="22"/>
        </w:rPr>
        <w:t>:</w:t>
      </w:r>
      <w:r w:rsidRPr="0091002C">
        <w:rPr>
          <w:rFonts w:ascii="Arial" w:hAnsi="Arial" w:cs="Arial"/>
          <w:sz w:val="22"/>
          <w:szCs w:val="22"/>
        </w:rPr>
        <w:t xml:space="preserve"> (i) la integridad en la gestión pública</w:t>
      </w:r>
      <w:r w:rsidR="004049D1">
        <w:rPr>
          <w:rFonts w:ascii="Arial" w:hAnsi="Arial" w:cs="Arial"/>
          <w:sz w:val="22"/>
          <w:szCs w:val="22"/>
        </w:rPr>
        <w:t>;</w:t>
      </w:r>
      <w:r w:rsidRPr="0091002C">
        <w:rPr>
          <w:rFonts w:ascii="Arial" w:hAnsi="Arial" w:cs="Arial"/>
          <w:sz w:val="22"/>
          <w:szCs w:val="22"/>
        </w:rPr>
        <w:t xml:space="preserve"> y (ii) la institucionalidad responsables de administrar la actividad electora. Adicionalmente, profundiza en el objetivo de este componente ampliando el apoyo al fortalecimiento de</w:t>
      </w:r>
      <w:r w:rsidR="004049D1">
        <w:rPr>
          <w:rFonts w:ascii="Arial" w:hAnsi="Arial" w:cs="Arial"/>
          <w:sz w:val="22"/>
          <w:szCs w:val="22"/>
        </w:rPr>
        <w:t>:</w:t>
      </w:r>
      <w:r w:rsidRPr="0091002C">
        <w:rPr>
          <w:rFonts w:ascii="Arial" w:hAnsi="Arial" w:cs="Arial"/>
          <w:sz w:val="22"/>
          <w:szCs w:val="22"/>
        </w:rPr>
        <w:t xml:space="preserve"> (i) la democracia interna y los deberes de dar acceso a información y de </w:t>
      </w:r>
      <w:r w:rsidRPr="004049D1">
        <w:rPr>
          <w:rFonts w:ascii="Arial" w:hAnsi="Arial" w:cs="Arial"/>
          <w:sz w:val="22"/>
          <w:szCs w:val="22"/>
        </w:rPr>
        <w:t xml:space="preserve">transparencia de los partidos políticos; y (ii) protección de datos personales. </w:t>
      </w:r>
      <w:r w:rsidR="007C0867" w:rsidRPr="004049D1">
        <w:rPr>
          <w:rFonts w:ascii="Arial" w:hAnsi="Arial" w:cs="Arial"/>
          <w:sz w:val="22"/>
          <w:szCs w:val="22"/>
        </w:rPr>
        <w:t xml:space="preserve">Para ello se propone: </w:t>
      </w:r>
    </w:p>
    <w:p w:rsidR="00F4676A" w:rsidRPr="004049D1" w:rsidRDefault="00E442FF" w:rsidP="001F3AEE">
      <w:pPr>
        <w:pStyle w:val="Heading9"/>
        <w:tabs>
          <w:tab w:val="clear" w:pos="6120"/>
          <w:tab w:val="num" w:pos="1440"/>
        </w:tabs>
        <w:ind w:left="1440" w:hanging="720"/>
        <w:jc w:val="both"/>
        <w:rPr>
          <w:b w:val="0"/>
          <w:i w:val="0"/>
          <w:sz w:val="22"/>
          <w:szCs w:val="22"/>
          <w:lang w:val="es-ES"/>
        </w:rPr>
      </w:pPr>
      <w:r>
        <w:rPr>
          <w:b w:val="0"/>
          <w:i w:val="0"/>
          <w:sz w:val="22"/>
          <w:szCs w:val="22"/>
          <w:lang w:val="es-ES"/>
        </w:rPr>
        <w:lastRenderedPageBreak/>
        <w:t>R</w:t>
      </w:r>
      <w:r w:rsidR="00F4676A" w:rsidRPr="004049D1">
        <w:rPr>
          <w:b w:val="0"/>
          <w:i w:val="0"/>
          <w:sz w:val="22"/>
          <w:szCs w:val="22"/>
          <w:lang w:val="es-ES"/>
        </w:rPr>
        <w:t>eglament</w:t>
      </w:r>
      <w:r>
        <w:rPr>
          <w:b w:val="0"/>
          <w:i w:val="0"/>
          <w:sz w:val="22"/>
          <w:szCs w:val="22"/>
          <w:lang w:val="es-ES"/>
        </w:rPr>
        <w:t>ación</w:t>
      </w:r>
      <w:r w:rsidR="00F4676A" w:rsidRPr="004049D1">
        <w:rPr>
          <w:b w:val="0"/>
          <w:i w:val="0"/>
          <w:sz w:val="22"/>
          <w:szCs w:val="22"/>
          <w:lang w:val="es-ES"/>
        </w:rPr>
        <w:t xml:space="preserve"> de la</w:t>
      </w:r>
      <w:r w:rsidR="001F3AEE">
        <w:rPr>
          <w:b w:val="0"/>
          <w:i w:val="0"/>
          <w:sz w:val="22"/>
          <w:szCs w:val="22"/>
          <w:lang w:val="es-ES"/>
        </w:rPr>
        <w:t xml:space="preserve"> Ley No. 20.880,</w:t>
      </w:r>
      <w:r w:rsidR="00F4676A" w:rsidRPr="004049D1">
        <w:rPr>
          <w:b w:val="0"/>
          <w:i w:val="0"/>
          <w:sz w:val="22"/>
          <w:szCs w:val="22"/>
          <w:lang w:val="es-ES"/>
        </w:rPr>
        <w:t xml:space="preserve"> “Ley sobre Probidad en la Función Pública y Prevención de los Conflictos de Intereses”</w:t>
      </w:r>
      <w:r w:rsidR="001F3AEE">
        <w:rPr>
          <w:b w:val="0"/>
          <w:i w:val="0"/>
          <w:sz w:val="22"/>
          <w:szCs w:val="22"/>
          <w:lang w:val="es-ES"/>
        </w:rPr>
        <w:t>;</w:t>
      </w:r>
      <w:r>
        <w:rPr>
          <w:b w:val="0"/>
          <w:i w:val="0"/>
          <w:sz w:val="22"/>
          <w:szCs w:val="22"/>
          <w:lang w:val="es-ES"/>
        </w:rPr>
        <w:t xml:space="preserve"> </w:t>
      </w:r>
    </w:p>
    <w:p w:rsidR="00F4676A" w:rsidRPr="004049D1" w:rsidRDefault="00F4676A" w:rsidP="001F3AEE">
      <w:pPr>
        <w:pStyle w:val="Heading9"/>
        <w:tabs>
          <w:tab w:val="clear" w:pos="6120"/>
          <w:tab w:val="num" w:pos="1440"/>
        </w:tabs>
        <w:ind w:left="1440" w:hanging="720"/>
        <w:jc w:val="both"/>
        <w:rPr>
          <w:rFonts w:cs="Arial"/>
          <w:b w:val="0"/>
          <w:i w:val="0"/>
          <w:sz w:val="22"/>
          <w:szCs w:val="22"/>
          <w:lang w:val="es-ES"/>
        </w:rPr>
      </w:pPr>
      <w:r w:rsidRPr="004049D1">
        <w:rPr>
          <w:rFonts w:cs="Arial"/>
          <w:b w:val="0"/>
          <w:i w:val="0"/>
          <w:sz w:val="22"/>
          <w:szCs w:val="22"/>
          <w:lang w:val="es-ES"/>
        </w:rPr>
        <w:t xml:space="preserve">Ingreso al Congreso Nacional de Indicaciones del Ejecutivo a la moción parlamentaria que “Modifica la Ley Orgánica Constitucional del Congreso Nacional y otros cuerpos legales en lo relativo a probidad y transparencia”. Entre otros aspectos, estas </w:t>
      </w:r>
      <w:r w:rsidR="00E855AB" w:rsidRPr="004049D1">
        <w:rPr>
          <w:rFonts w:cs="Arial"/>
          <w:b w:val="0"/>
          <w:i w:val="0"/>
          <w:sz w:val="22"/>
          <w:szCs w:val="22"/>
          <w:lang w:val="es-ES"/>
        </w:rPr>
        <w:t>i</w:t>
      </w:r>
      <w:r w:rsidRPr="004049D1">
        <w:rPr>
          <w:rFonts w:cs="Arial"/>
          <w:b w:val="0"/>
          <w:i w:val="0"/>
          <w:sz w:val="22"/>
          <w:szCs w:val="22"/>
          <w:lang w:val="es-ES"/>
        </w:rPr>
        <w:t>ndicaciones: (</w:t>
      </w:r>
      <w:r w:rsidR="00E855AB" w:rsidRPr="004049D1">
        <w:rPr>
          <w:rFonts w:cs="Arial"/>
          <w:b w:val="0"/>
          <w:i w:val="0"/>
          <w:sz w:val="22"/>
          <w:szCs w:val="22"/>
          <w:lang w:val="es-ES"/>
        </w:rPr>
        <w:t>i</w:t>
      </w:r>
      <w:r w:rsidRPr="004049D1">
        <w:rPr>
          <w:rFonts w:cs="Arial"/>
          <w:b w:val="0"/>
          <w:i w:val="0"/>
          <w:sz w:val="22"/>
          <w:szCs w:val="22"/>
          <w:lang w:val="es-ES"/>
        </w:rPr>
        <w:t>) profundizan la separación entre la función parlamentaria y el ejercicio del lobby</w:t>
      </w:r>
      <w:r w:rsidR="008B1BC9">
        <w:rPr>
          <w:rFonts w:cs="Arial"/>
          <w:b w:val="0"/>
          <w:i w:val="0"/>
          <w:sz w:val="22"/>
          <w:szCs w:val="22"/>
          <w:lang w:val="es-ES"/>
        </w:rPr>
        <w:t xml:space="preserve"> (cabildeo)</w:t>
      </w:r>
      <w:r w:rsidRPr="004049D1">
        <w:rPr>
          <w:rFonts w:cs="Arial"/>
          <w:b w:val="0"/>
          <w:i w:val="0"/>
          <w:sz w:val="22"/>
          <w:szCs w:val="22"/>
          <w:lang w:val="es-ES"/>
        </w:rPr>
        <w:t>; (</w:t>
      </w:r>
      <w:r w:rsidR="00E855AB" w:rsidRPr="004049D1">
        <w:rPr>
          <w:rFonts w:cs="Arial"/>
          <w:b w:val="0"/>
          <w:i w:val="0"/>
          <w:sz w:val="22"/>
          <w:szCs w:val="22"/>
          <w:lang w:val="es-ES"/>
        </w:rPr>
        <w:t>ii</w:t>
      </w:r>
      <w:r w:rsidR="004049D1">
        <w:rPr>
          <w:rFonts w:cs="Arial"/>
          <w:b w:val="0"/>
          <w:i w:val="0"/>
          <w:sz w:val="22"/>
          <w:szCs w:val="22"/>
          <w:lang w:val="es-ES"/>
        </w:rPr>
        <w:t>) </w:t>
      </w:r>
      <w:r w:rsidRPr="004049D1">
        <w:rPr>
          <w:rFonts w:cs="Arial"/>
          <w:b w:val="0"/>
          <w:i w:val="0"/>
          <w:sz w:val="22"/>
          <w:szCs w:val="22"/>
          <w:lang w:val="es-ES"/>
        </w:rPr>
        <w:t>amplían la observancia de las normas básicas de probidad y transparencia de diputados y senadores a todos quienes presten servicios a alguna de las Cámaras o a sus servicios comunes; (</w:t>
      </w:r>
      <w:r w:rsidR="00E855AB" w:rsidRPr="004049D1">
        <w:rPr>
          <w:rFonts w:cs="Arial"/>
          <w:b w:val="0"/>
          <w:i w:val="0"/>
          <w:sz w:val="22"/>
          <w:szCs w:val="22"/>
          <w:lang w:val="es-ES"/>
        </w:rPr>
        <w:t>iii</w:t>
      </w:r>
      <w:r w:rsidR="004049D1">
        <w:rPr>
          <w:rFonts w:cs="Arial"/>
          <w:b w:val="0"/>
          <w:i w:val="0"/>
          <w:sz w:val="22"/>
          <w:szCs w:val="22"/>
          <w:lang w:val="es-ES"/>
        </w:rPr>
        <w:t>) </w:t>
      </w:r>
      <w:r w:rsidRPr="004049D1">
        <w:rPr>
          <w:rFonts w:cs="Arial"/>
          <w:b w:val="0"/>
          <w:i w:val="0"/>
          <w:sz w:val="22"/>
          <w:szCs w:val="22"/>
          <w:lang w:val="es-ES"/>
        </w:rPr>
        <w:t>establecen la publicación, en el sitio web de la corporación respectiva, de todas las solicitudes de inhabilitación y de lo resuelto; y (</w:t>
      </w:r>
      <w:r w:rsidR="00E855AB" w:rsidRPr="004049D1">
        <w:rPr>
          <w:rFonts w:cs="Arial"/>
          <w:b w:val="0"/>
          <w:i w:val="0"/>
          <w:sz w:val="22"/>
          <w:szCs w:val="22"/>
          <w:lang w:val="es-ES"/>
        </w:rPr>
        <w:t>iv</w:t>
      </w:r>
      <w:r w:rsidR="004049D1">
        <w:rPr>
          <w:rFonts w:cs="Arial"/>
          <w:b w:val="0"/>
          <w:i w:val="0"/>
          <w:sz w:val="22"/>
          <w:szCs w:val="22"/>
          <w:lang w:val="es-ES"/>
        </w:rPr>
        <w:t>) </w:t>
      </w:r>
      <w:r w:rsidRPr="004049D1">
        <w:rPr>
          <w:rFonts w:cs="Arial"/>
          <w:b w:val="0"/>
          <w:i w:val="0"/>
          <w:sz w:val="22"/>
          <w:szCs w:val="22"/>
          <w:lang w:val="es-ES"/>
        </w:rPr>
        <w:t xml:space="preserve">amplían </w:t>
      </w:r>
      <w:r w:rsidR="00205A97">
        <w:rPr>
          <w:rFonts w:cs="Arial"/>
          <w:b w:val="0"/>
          <w:i w:val="0"/>
          <w:sz w:val="22"/>
          <w:szCs w:val="22"/>
          <w:lang w:val="es-ES"/>
        </w:rPr>
        <w:t>los criterios de</w:t>
      </w:r>
      <w:r w:rsidRPr="004049D1">
        <w:rPr>
          <w:rFonts w:cs="Arial"/>
          <w:b w:val="0"/>
          <w:i w:val="0"/>
          <w:sz w:val="22"/>
          <w:szCs w:val="22"/>
          <w:lang w:val="es-ES"/>
        </w:rPr>
        <w:t xml:space="preserve"> incompatibilidad para integrar la Dirección de Ética y Transparencia Parlamentaria;</w:t>
      </w:r>
    </w:p>
    <w:p w:rsidR="00F4676A" w:rsidRPr="004049D1" w:rsidRDefault="00F4676A" w:rsidP="001F3AEE">
      <w:pPr>
        <w:pStyle w:val="Heading9"/>
        <w:tabs>
          <w:tab w:val="clear" w:pos="6120"/>
          <w:tab w:val="num" w:pos="1440"/>
        </w:tabs>
        <w:ind w:left="1440" w:hanging="720"/>
        <w:jc w:val="both"/>
        <w:rPr>
          <w:rFonts w:cs="Arial"/>
          <w:b w:val="0"/>
          <w:i w:val="0"/>
          <w:sz w:val="22"/>
          <w:szCs w:val="22"/>
          <w:lang w:val="es-ES"/>
        </w:rPr>
      </w:pPr>
      <w:r w:rsidRPr="004049D1">
        <w:rPr>
          <w:rFonts w:cs="Arial"/>
          <w:b w:val="0"/>
          <w:i w:val="0"/>
          <w:sz w:val="22"/>
          <w:szCs w:val="22"/>
          <w:lang w:val="es-ES"/>
        </w:rPr>
        <w:t>Reglamentación de la “Ley para el Fortalecimiento y Transparencia de la Democracia” mediante: (i) determina</w:t>
      </w:r>
      <w:r w:rsidR="00C8703E" w:rsidRPr="004049D1">
        <w:rPr>
          <w:rFonts w:cs="Arial"/>
          <w:b w:val="0"/>
          <w:i w:val="0"/>
          <w:sz w:val="22"/>
          <w:szCs w:val="22"/>
          <w:lang w:val="es-ES"/>
        </w:rPr>
        <w:t>ndo el</w:t>
      </w:r>
      <w:r w:rsidRPr="004049D1">
        <w:rPr>
          <w:rFonts w:cs="Arial"/>
          <w:b w:val="0"/>
          <w:i w:val="0"/>
          <w:sz w:val="22"/>
          <w:szCs w:val="22"/>
          <w:lang w:val="es-ES"/>
        </w:rPr>
        <w:t xml:space="preserve"> límite de gasto electoral para candidatos a alcalde y concejal con ocasión de las elecciones municipales 2016; (ii) </w:t>
      </w:r>
      <w:r w:rsidR="00C8703E" w:rsidRPr="004049D1">
        <w:rPr>
          <w:rFonts w:cs="Arial"/>
          <w:b w:val="0"/>
          <w:i w:val="0"/>
          <w:sz w:val="22"/>
          <w:szCs w:val="22"/>
          <w:lang w:val="es-ES"/>
        </w:rPr>
        <w:t xml:space="preserve">estableciendo </w:t>
      </w:r>
      <w:r w:rsidRPr="004049D1">
        <w:rPr>
          <w:rFonts w:cs="Arial"/>
          <w:b w:val="0"/>
          <w:i w:val="0"/>
          <w:sz w:val="22"/>
          <w:szCs w:val="22"/>
          <w:lang w:val="es-ES"/>
        </w:rPr>
        <w:t>instrucciones para la presentación, publicación y custodia de las declaraciones de patrimonio e intereses de pre-candidatos presidenciales y candidatos en elecciones generales; y (</w:t>
      </w:r>
      <w:r w:rsidR="00C8703E" w:rsidRPr="004049D1">
        <w:rPr>
          <w:rFonts w:cs="Arial"/>
          <w:b w:val="0"/>
          <w:i w:val="0"/>
          <w:sz w:val="22"/>
          <w:szCs w:val="22"/>
          <w:lang w:val="es-ES"/>
        </w:rPr>
        <w:t>iii</w:t>
      </w:r>
      <w:r w:rsidRPr="004049D1">
        <w:rPr>
          <w:rFonts w:cs="Arial"/>
          <w:b w:val="0"/>
          <w:i w:val="0"/>
          <w:sz w:val="22"/>
          <w:szCs w:val="22"/>
          <w:lang w:val="es-ES"/>
        </w:rPr>
        <w:t xml:space="preserve">) </w:t>
      </w:r>
      <w:r w:rsidR="00C8703E" w:rsidRPr="004049D1">
        <w:rPr>
          <w:rFonts w:cs="Arial"/>
          <w:b w:val="0"/>
          <w:i w:val="0"/>
          <w:sz w:val="22"/>
          <w:szCs w:val="22"/>
          <w:lang w:val="es-ES"/>
        </w:rPr>
        <w:t xml:space="preserve">determinando </w:t>
      </w:r>
      <w:r w:rsidRPr="004049D1">
        <w:rPr>
          <w:rFonts w:cs="Arial"/>
          <w:b w:val="0"/>
          <w:i w:val="0"/>
          <w:sz w:val="22"/>
          <w:szCs w:val="22"/>
          <w:lang w:val="es-ES"/>
        </w:rPr>
        <w:t>máximos de aportes electorales por aportante para las elecciones municipales 2016.</w:t>
      </w:r>
      <w:r w:rsidRPr="004049D1" w:rsidDel="00F4676A">
        <w:rPr>
          <w:rFonts w:cs="Arial"/>
          <w:b w:val="0"/>
          <w:i w:val="0"/>
          <w:sz w:val="22"/>
          <w:szCs w:val="22"/>
          <w:lang w:val="es-ES"/>
        </w:rPr>
        <w:t xml:space="preserve"> </w:t>
      </w:r>
    </w:p>
    <w:p w:rsidR="00F4676A" w:rsidRPr="004049D1" w:rsidRDefault="00FB7BE4" w:rsidP="001F3AEE">
      <w:pPr>
        <w:pStyle w:val="Heading9"/>
        <w:tabs>
          <w:tab w:val="clear" w:pos="6120"/>
          <w:tab w:val="num" w:pos="1440"/>
        </w:tabs>
        <w:ind w:left="1440" w:hanging="720"/>
        <w:jc w:val="both"/>
        <w:rPr>
          <w:rFonts w:cs="Arial"/>
          <w:b w:val="0"/>
          <w:i w:val="0"/>
          <w:sz w:val="22"/>
          <w:szCs w:val="22"/>
          <w:lang w:val="es-ES"/>
        </w:rPr>
      </w:pPr>
      <w:r w:rsidRPr="004049D1">
        <w:rPr>
          <w:rFonts w:cs="Arial"/>
          <w:b w:val="0"/>
          <w:i w:val="0"/>
          <w:sz w:val="22"/>
          <w:szCs w:val="22"/>
          <w:lang w:val="es-ES"/>
        </w:rPr>
        <w:t xml:space="preserve">Dotación a los partidos políticos de un marco normativo que fortalezca la democracia interna y los deberes de dar acceso a información y de transparencia de los partidos políticos, mediante la promulgación </w:t>
      </w:r>
      <w:r w:rsidR="00C82B9D">
        <w:rPr>
          <w:rFonts w:cs="Arial"/>
          <w:b w:val="0"/>
          <w:i w:val="0"/>
          <w:sz w:val="22"/>
          <w:szCs w:val="22"/>
          <w:lang w:val="es-ES"/>
        </w:rPr>
        <w:t xml:space="preserve">y publicación </w:t>
      </w:r>
      <w:r w:rsidRPr="004049D1">
        <w:rPr>
          <w:rFonts w:cs="Arial"/>
          <w:b w:val="0"/>
          <w:i w:val="0"/>
          <w:sz w:val="22"/>
          <w:szCs w:val="22"/>
          <w:lang w:val="es-ES"/>
        </w:rPr>
        <w:t>de la Ley que “Fortalece el Carácter Público y Democrático de los Partidos Políticos y Facilita su Modernización” que establezca, entre otros</w:t>
      </w:r>
      <w:r w:rsidR="00C61EE2">
        <w:rPr>
          <w:rFonts w:cs="Arial"/>
          <w:b w:val="0"/>
          <w:i w:val="0"/>
          <w:sz w:val="22"/>
          <w:szCs w:val="22"/>
          <w:lang w:val="es-ES"/>
        </w:rPr>
        <w:t>, los siguientes</w:t>
      </w:r>
      <w:r w:rsidRPr="004049D1">
        <w:rPr>
          <w:rFonts w:cs="Arial"/>
          <w:b w:val="0"/>
          <w:i w:val="0"/>
          <w:sz w:val="22"/>
          <w:szCs w:val="22"/>
          <w:lang w:val="es-ES"/>
        </w:rPr>
        <w:t xml:space="preserve"> aspectos</w:t>
      </w:r>
      <w:r w:rsidR="00C61EE2">
        <w:rPr>
          <w:rFonts w:cs="Arial"/>
          <w:b w:val="0"/>
          <w:i w:val="0"/>
          <w:sz w:val="22"/>
          <w:szCs w:val="22"/>
          <w:lang w:val="es-ES"/>
        </w:rPr>
        <w:t>: (i)</w:t>
      </w:r>
      <w:r w:rsidRPr="004049D1">
        <w:rPr>
          <w:rFonts w:cs="Arial"/>
          <w:b w:val="0"/>
          <w:i w:val="0"/>
          <w:sz w:val="22"/>
          <w:szCs w:val="22"/>
          <w:lang w:val="es-ES"/>
        </w:rPr>
        <w:t xml:space="preserve"> que </w:t>
      </w:r>
      <w:r w:rsidR="00C61EE2">
        <w:rPr>
          <w:rFonts w:cs="Arial"/>
          <w:b w:val="0"/>
          <w:i w:val="0"/>
          <w:sz w:val="22"/>
          <w:szCs w:val="22"/>
          <w:lang w:val="es-ES"/>
        </w:rPr>
        <w:t>los partidos políticos</w:t>
      </w:r>
      <w:r w:rsidRPr="004049D1">
        <w:rPr>
          <w:rFonts w:cs="Arial"/>
          <w:b w:val="0"/>
          <w:i w:val="0"/>
          <w:sz w:val="22"/>
          <w:szCs w:val="22"/>
          <w:lang w:val="es-ES"/>
        </w:rPr>
        <w:t xml:space="preserve"> se constituyan como personas jurídicas de derecho público ante la función pública que ejercen; </w:t>
      </w:r>
      <w:r w:rsidR="00C61EE2">
        <w:rPr>
          <w:rFonts w:cs="Arial"/>
          <w:b w:val="0"/>
          <w:i w:val="0"/>
          <w:sz w:val="22"/>
          <w:szCs w:val="22"/>
          <w:lang w:val="es-ES"/>
        </w:rPr>
        <w:t xml:space="preserve">(ii) </w:t>
      </w:r>
      <w:r w:rsidRPr="004049D1">
        <w:rPr>
          <w:rFonts w:cs="Arial"/>
          <w:b w:val="0"/>
          <w:i w:val="0"/>
          <w:sz w:val="22"/>
          <w:szCs w:val="22"/>
          <w:lang w:val="es-ES"/>
        </w:rPr>
        <w:t xml:space="preserve">que los mecanismos de elecciones internas periódicas de los partidos políticos sean supervisados por el SERVEL; y </w:t>
      </w:r>
      <w:r w:rsidR="00C61EE2">
        <w:rPr>
          <w:rFonts w:cs="Arial"/>
          <w:b w:val="0"/>
          <w:i w:val="0"/>
          <w:sz w:val="22"/>
          <w:szCs w:val="22"/>
          <w:lang w:val="es-ES"/>
        </w:rPr>
        <w:t xml:space="preserve">(iii) </w:t>
      </w:r>
      <w:r w:rsidRPr="004049D1">
        <w:rPr>
          <w:rFonts w:cs="Arial"/>
          <w:b w:val="0"/>
          <w:i w:val="0"/>
          <w:sz w:val="22"/>
          <w:szCs w:val="22"/>
          <w:lang w:val="es-ES"/>
        </w:rPr>
        <w:t>que exista obligación de mantener a disposición permanente del público</w:t>
      </w:r>
      <w:r w:rsidR="00C61EE2" w:rsidRPr="004049D1" w:rsidDel="00C61EE2">
        <w:rPr>
          <w:rFonts w:cs="Arial"/>
          <w:b w:val="0"/>
          <w:i w:val="0"/>
          <w:sz w:val="22"/>
          <w:szCs w:val="22"/>
          <w:lang w:val="es-ES"/>
        </w:rPr>
        <w:t xml:space="preserve"> </w:t>
      </w:r>
      <w:r w:rsidR="00C61EE2">
        <w:rPr>
          <w:rFonts w:cs="Arial"/>
          <w:b w:val="0"/>
          <w:i w:val="0"/>
          <w:sz w:val="22"/>
          <w:szCs w:val="22"/>
          <w:lang w:val="es-ES"/>
        </w:rPr>
        <w:t>el</w:t>
      </w:r>
      <w:r w:rsidRPr="004049D1">
        <w:rPr>
          <w:rFonts w:cs="Arial"/>
          <w:b w:val="0"/>
          <w:i w:val="0"/>
          <w:sz w:val="22"/>
          <w:szCs w:val="22"/>
          <w:lang w:val="es-ES"/>
        </w:rPr>
        <w:t xml:space="preserve"> balance anual y la declaración de patrimonio e intereses de los</w:t>
      </w:r>
      <w:r w:rsidR="00C61EE2">
        <w:rPr>
          <w:rFonts w:cs="Arial"/>
          <w:b w:val="0"/>
          <w:i w:val="0"/>
          <w:sz w:val="22"/>
          <w:szCs w:val="22"/>
          <w:lang w:val="es-ES"/>
        </w:rPr>
        <w:t xml:space="preserve"> partidos políticos y de los</w:t>
      </w:r>
      <w:r w:rsidRPr="004049D1">
        <w:rPr>
          <w:rFonts w:cs="Arial"/>
          <w:b w:val="0"/>
          <w:i w:val="0"/>
          <w:sz w:val="22"/>
          <w:szCs w:val="22"/>
          <w:lang w:val="es-ES"/>
        </w:rPr>
        <w:t xml:space="preserve"> miembros de</w:t>
      </w:r>
      <w:r w:rsidR="00C61EE2">
        <w:rPr>
          <w:rFonts w:cs="Arial"/>
          <w:b w:val="0"/>
          <w:i w:val="0"/>
          <w:sz w:val="22"/>
          <w:szCs w:val="22"/>
          <w:lang w:val="es-ES"/>
        </w:rPr>
        <w:t>l órgano ejecutivo</w:t>
      </w:r>
      <w:r w:rsidR="00432567" w:rsidRPr="004049D1">
        <w:rPr>
          <w:rFonts w:cs="Arial"/>
          <w:b w:val="0"/>
          <w:i w:val="0"/>
          <w:sz w:val="22"/>
          <w:szCs w:val="22"/>
          <w:lang w:val="es-ES"/>
        </w:rPr>
        <w:t xml:space="preserve"> de cada partido político.</w:t>
      </w:r>
    </w:p>
    <w:p w:rsidR="007C0867" w:rsidRPr="004049D1" w:rsidRDefault="00FB7BE4" w:rsidP="001F3AEE">
      <w:pPr>
        <w:pStyle w:val="Heading9"/>
        <w:tabs>
          <w:tab w:val="clear" w:pos="6120"/>
          <w:tab w:val="num" w:pos="1440"/>
        </w:tabs>
        <w:ind w:left="1440" w:hanging="720"/>
        <w:jc w:val="both"/>
        <w:rPr>
          <w:rFonts w:cs="Arial"/>
          <w:b w:val="0"/>
          <w:i w:val="0"/>
          <w:sz w:val="22"/>
          <w:szCs w:val="22"/>
          <w:lang w:val="es-ES"/>
        </w:rPr>
      </w:pPr>
      <w:r w:rsidRPr="004049D1">
        <w:rPr>
          <w:rFonts w:cs="Arial"/>
          <w:b w:val="0"/>
          <w:i w:val="0"/>
          <w:sz w:val="22"/>
          <w:szCs w:val="22"/>
          <w:lang w:val="es-ES"/>
        </w:rPr>
        <w:t xml:space="preserve">Reforzamiento de la protección de datos para los particulares y establecimiento de un mayor equilibrio para los funcionarios públicos entre una mayor transparencia en relación con su vinculación con el Estado y la necesaria protección de su privacidad, mediante ingreso al Congreso Nacional del Mensaje del Ejecutivo con el que se inicia la tramitación de un proyecto de ley </w:t>
      </w:r>
      <w:r w:rsidR="00312EB9" w:rsidRPr="00312EB9">
        <w:rPr>
          <w:rFonts w:cs="Arial"/>
          <w:b w:val="0"/>
          <w:i w:val="0"/>
          <w:sz w:val="22"/>
          <w:szCs w:val="22"/>
          <w:lang w:val="es-ES_tradnl"/>
        </w:rPr>
        <w:t xml:space="preserve">que crea </w:t>
      </w:r>
      <w:r w:rsidR="001F3AEE">
        <w:rPr>
          <w:rFonts w:cs="Arial"/>
          <w:b w:val="0"/>
          <w:i w:val="0"/>
          <w:sz w:val="22"/>
          <w:szCs w:val="22"/>
          <w:lang w:val="es-ES_tradnl"/>
        </w:rPr>
        <w:t>un nuevo marco normativo sobre p</w:t>
      </w:r>
      <w:r w:rsidR="00312EB9" w:rsidRPr="00312EB9">
        <w:rPr>
          <w:rFonts w:cs="Arial"/>
          <w:b w:val="0"/>
          <w:i w:val="0"/>
          <w:sz w:val="22"/>
          <w:szCs w:val="22"/>
          <w:lang w:val="es-ES_tradnl"/>
        </w:rPr>
        <w:t xml:space="preserve">rotección de datos personales y/o introduce modificaciones </w:t>
      </w:r>
      <w:r w:rsidR="001F3AEE">
        <w:rPr>
          <w:rFonts w:cs="Arial"/>
          <w:b w:val="0"/>
          <w:i w:val="0"/>
          <w:sz w:val="22"/>
          <w:szCs w:val="22"/>
          <w:lang w:val="es-ES_tradnl"/>
        </w:rPr>
        <w:t xml:space="preserve">a la </w:t>
      </w:r>
      <w:r w:rsidR="00312EB9" w:rsidRPr="00312EB9">
        <w:rPr>
          <w:rFonts w:cs="Arial"/>
          <w:b w:val="0"/>
          <w:i w:val="0"/>
          <w:sz w:val="22"/>
          <w:szCs w:val="22"/>
          <w:lang w:val="es-ES_tradnl"/>
        </w:rPr>
        <w:t>Ley No 19.628 sobre Protección de la Vida Privada</w:t>
      </w:r>
      <w:r w:rsidRPr="004049D1">
        <w:rPr>
          <w:rFonts w:cs="Arial"/>
          <w:b w:val="0"/>
          <w:i w:val="0"/>
          <w:sz w:val="22"/>
          <w:szCs w:val="22"/>
          <w:lang w:val="es-ES"/>
        </w:rPr>
        <w:t>.</w:t>
      </w:r>
      <w:r w:rsidRPr="004049D1" w:rsidDel="00F4676A">
        <w:rPr>
          <w:rFonts w:cs="Arial"/>
          <w:b w:val="0"/>
          <w:i w:val="0"/>
          <w:sz w:val="22"/>
          <w:szCs w:val="22"/>
          <w:lang w:val="es-ES"/>
        </w:rPr>
        <w:t xml:space="preserve"> </w:t>
      </w:r>
    </w:p>
    <w:p w:rsidR="00432567" w:rsidRPr="004A15DC" w:rsidRDefault="007C0867" w:rsidP="00537028">
      <w:pPr>
        <w:pStyle w:val="Paragraph"/>
        <w:numPr>
          <w:ilvl w:val="1"/>
          <w:numId w:val="3"/>
        </w:numPr>
        <w:tabs>
          <w:tab w:val="clear" w:pos="2448"/>
          <w:tab w:val="num" w:pos="720"/>
        </w:tabs>
        <w:ind w:left="720" w:hanging="720"/>
        <w:rPr>
          <w:rFonts w:ascii="Arial" w:hAnsi="Arial" w:cs="Arial"/>
          <w:sz w:val="22"/>
          <w:szCs w:val="22"/>
        </w:rPr>
      </w:pPr>
      <w:r w:rsidRPr="004A15DC">
        <w:rPr>
          <w:rFonts w:ascii="Arial" w:hAnsi="Arial" w:cs="Arial"/>
          <w:b/>
          <w:sz w:val="22"/>
          <w:szCs w:val="22"/>
        </w:rPr>
        <w:t xml:space="preserve">Componente III. </w:t>
      </w:r>
      <w:r w:rsidR="00FA46CD">
        <w:rPr>
          <w:rFonts w:ascii="Arial" w:hAnsi="Arial" w:cs="Arial"/>
          <w:b/>
          <w:sz w:val="22"/>
          <w:szCs w:val="22"/>
        </w:rPr>
        <w:t xml:space="preserve">Contribuir a la </w:t>
      </w:r>
      <w:r w:rsidRPr="004A15DC">
        <w:rPr>
          <w:rFonts w:ascii="Arial" w:hAnsi="Arial" w:cs="Arial"/>
          <w:b/>
          <w:sz w:val="22"/>
          <w:szCs w:val="22"/>
        </w:rPr>
        <w:t>probidad y transparencia en la gestión de los recursos públicos</w:t>
      </w:r>
      <w:r w:rsidR="003C2506" w:rsidRPr="0091002C">
        <w:rPr>
          <w:rFonts w:ascii="Arial" w:hAnsi="Arial" w:cs="Arial"/>
          <w:b/>
          <w:sz w:val="22"/>
          <w:szCs w:val="22"/>
        </w:rPr>
        <w:t>, en el fortalecimiento de la profesionalización de la gestión pública,</w:t>
      </w:r>
      <w:r w:rsidRPr="004A15DC">
        <w:rPr>
          <w:rFonts w:ascii="Arial" w:hAnsi="Arial" w:cs="Arial"/>
          <w:b/>
          <w:sz w:val="22"/>
          <w:szCs w:val="22"/>
        </w:rPr>
        <w:t xml:space="preserve"> y promover conductas probas entre los diferentes actores </w:t>
      </w:r>
      <w:r w:rsidRPr="004A15DC">
        <w:rPr>
          <w:rFonts w:ascii="Arial" w:hAnsi="Arial" w:cs="Arial"/>
          <w:b/>
          <w:sz w:val="22"/>
          <w:szCs w:val="22"/>
        </w:rPr>
        <w:lastRenderedPageBreak/>
        <w:t>de la sociedad</w:t>
      </w:r>
      <w:r w:rsidRPr="004A15DC">
        <w:rPr>
          <w:rFonts w:ascii="Arial" w:hAnsi="Arial" w:cs="Arial"/>
          <w:sz w:val="22"/>
          <w:szCs w:val="22"/>
        </w:rPr>
        <w:t>.</w:t>
      </w:r>
      <w:r w:rsidR="00845A0F" w:rsidRPr="0091002C">
        <w:rPr>
          <w:rFonts w:ascii="Arial" w:hAnsi="Arial" w:cs="Arial"/>
          <w:sz w:val="22"/>
          <w:szCs w:val="22"/>
        </w:rPr>
        <w:t xml:space="preserve"> El objetivo es </w:t>
      </w:r>
      <w:r w:rsidR="001F3AEE">
        <w:rPr>
          <w:rFonts w:ascii="Arial" w:hAnsi="Arial" w:cs="Arial"/>
          <w:sz w:val="22"/>
          <w:szCs w:val="22"/>
        </w:rPr>
        <w:t xml:space="preserve">contribuir a </w:t>
      </w:r>
      <w:r w:rsidR="00845A0F" w:rsidRPr="0091002C">
        <w:rPr>
          <w:rFonts w:ascii="Arial" w:hAnsi="Arial" w:cs="Arial"/>
          <w:sz w:val="22"/>
          <w:szCs w:val="22"/>
        </w:rPr>
        <w:t xml:space="preserve">la observancia de </w:t>
      </w:r>
      <w:r w:rsidR="001F3AEE">
        <w:rPr>
          <w:rFonts w:ascii="Arial" w:hAnsi="Arial" w:cs="Arial"/>
          <w:sz w:val="22"/>
          <w:szCs w:val="22"/>
        </w:rPr>
        <w:t xml:space="preserve">la </w:t>
      </w:r>
      <w:r w:rsidR="00845A0F" w:rsidRPr="0091002C">
        <w:rPr>
          <w:rFonts w:ascii="Arial" w:hAnsi="Arial" w:cs="Arial"/>
          <w:sz w:val="22"/>
          <w:szCs w:val="22"/>
        </w:rPr>
        <w:t>probidad y transparencia en la gestión de los recursos públicos, en el fortalecimiento de la profesiona</w:t>
      </w:r>
      <w:r w:rsidR="004049D1">
        <w:rPr>
          <w:rFonts w:ascii="Arial" w:hAnsi="Arial" w:cs="Arial"/>
          <w:sz w:val="22"/>
          <w:szCs w:val="22"/>
        </w:rPr>
        <w:t xml:space="preserve">lización de la gestión pública </w:t>
      </w:r>
      <w:r w:rsidR="00845A0F" w:rsidRPr="0091002C">
        <w:rPr>
          <w:rFonts w:ascii="Arial" w:hAnsi="Arial" w:cs="Arial"/>
          <w:sz w:val="22"/>
          <w:szCs w:val="22"/>
        </w:rPr>
        <w:t>y en los negocios del sector privado, así como promover conductas afines  entre la ciudadanía</w:t>
      </w:r>
      <w:r w:rsidR="00432567" w:rsidRPr="004A15DC">
        <w:rPr>
          <w:rFonts w:ascii="Arial" w:hAnsi="Arial" w:cs="Arial"/>
          <w:sz w:val="22"/>
          <w:szCs w:val="22"/>
        </w:rPr>
        <w:t>.</w:t>
      </w:r>
    </w:p>
    <w:p w:rsidR="00972C82" w:rsidRPr="004A15DC" w:rsidRDefault="00432567" w:rsidP="00537028">
      <w:pPr>
        <w:pStyle w:val="Paragraph"/>
        <w:numPr>
          <w:ilvl w:val="1"/>
          <w:numId w:val="3"/>
        </w:numPr>
        <w:tabs>
          <w:tab w:val="clear" w:pos="2448"/>
          <w:tab w:val="num" w:pos="720"/>
        </w:tabs>
        <w:ind w:left="720" w:hanging="720"/>
        <w:rPr>
          <w:rFonts w:ascii="Arial" w:hAnsi="Arial" w:cs="Arial"/>
          <w:sz w:val="22"/>
          <w:szCs w:val="22"/>
        </w:rPr>
      </w:pPr>
      <w:r w:rsidRPr="0091002C">
        <w:rPr>
          <w:rFonts w:ascii="Arial" w:hAnsi="Arial" w:cs="Arial"/>
          <w:sz w:val="22"/>
          <w:szCs w:val="22"/>
        </w:rPr>
        <w:t xml:space="preserve">La segunda operación consolida las medidas institucionales y regulatorias que se desarrollaron en el marco de la primera </w:t>
      </w:r>
      <w:r w:rsidR="004049D1">
        <w:rPr>
          <w:rFonts w:ascii="Arial" w:hAnsi="Arial" w:cs="Arial"/>
          <w:sz w:val="22"/>
          <w:szCs w:val="22"/>
        </w:rPr>
        <w:t>operación en lo referido a: (i) </w:t>
      </w:r>
      <w:r w:rsidRPr="0091002C">
        <w:rPr>
          <w:rFonts w:ascii="Arial" w:hAnsi="Arial" w:cs="Arial"/>
          <w:sz w:val="22"/>
          <w:szCs w:val="22"/>
        </w:rPr>
        <w:t>perfeccionamiento del Sistema de Alta</w:t>
      </w:r>
      <w:r w:rsidR="004049D1">
        <w:rPr>
          <w:rFonts w:ascii="Arial" w:hAnsi="Arial" w:cs="Arial"/>
          <w:sz w:val="22"/>
          <w:szCs w:val="22"/>
        </w:rPr>
        <w:t xml:space="preserve"> Dirección Pública (SADP); (ii) </w:t>
      </w:r>
      <w:r w:rsidRPr="0091002C">
        <w:rPr>
          <w:rFonts w:ascii="Arial" w:hAnsi="Arial" w:cs="Arial"/>
          <w:sz w:val="22"/>
          <w:szCs w:val="22"/>
        </w:rPr>
        <w:t xml:space="preserve">fortalecimiento de las facultades de la Dirección Nacional del Servicio Civil (DNSC); (iii) ampliación de la difusión y la transparencia de las convocatorias a concursos públicos y procesos de postulación </w:t>
      </w:r>
      <w:r w:rsidR="004049D1">
        <w:rPr>
          <w:rFonts w:ascii="Arial" w:hAnsi="Arial" w:cs="Arial"/>
          <w:sz w:val="22"/>
          <w:szCs w:val="22"/>
        </w:rPr>
        <w:t>y/o selección de personas; (iv) </w:t>
      </w:r>
      <w:r w:rsidRPr="0091002C">
        <w:rPr>
          <w:rFonts w:ascii="Arial" w:hAnsi="Arial" w:cs="Arial"/>
          <w:sz w:val="22"/>
          <w:szCs w:val="22"/>
        </w:rPr>
        <w:t>definición de estándares de comportamiento ético de los funcionarios públicos; (v) fortalecimiento de las exigencias de p</w:t>
      </w:r>
      <w:r w:rsidR="004049D1">
        <w:rPr>
          <w:rFonts w:ascii="Arial" w:hAnsi="Arial" w:cs="Arial"/>
          <w:sz w:val="22"/>
          <w:szCs w:val="22"/>
        </w:rPr>
        <w:t xml:space="preserve">robidad y transparencia en las </w:t>
      </w:r>
      <w:r w:rsidRPr="0091002C">
        <w:rPr>
          <w:rFonts w:ascii="Arial" w:hAnsi="Arial" w:cs="Arial"/>
          <w:sz w:val="22"/>
          <w:szCs w:val="22"/>
        </w:rPr>
        <w:t xml:space="preserve">Compras Públicas; (vi) fortalecimiento del Ministerio de Obras Públicas (MOP); (vii) creación de la Comisión de Valores y Seguros; y (viii) elaboración de un Plan de Formación Ciudadana. Adicionalmente, profundiza en el objetivo de este componente ampliando el apoyo fortalecimiento del Consejo de Auditoría Interna General (CAIGG). </w:t>
      </w:r>
      <w:r w:rsidR="00A03E23" w:rsidRPr="004A15DC">
        <w:rPr>
          <w:rFonts w:ascii="Arial" w:hAnsi="Arial" w:cs="Arial"/>
          <w:sz w:val="22"/>
          <w:szCs w:val="22"/>
        </w:rPr>
        <w:t xml:space="preserve">Para ello se propone: </w:t>
      </w:r>
    </w:p>
    <w:p w:rsidR="00972C82" w:rsidRPr="0091002C" w:rsidRDefault="00972C82"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Promulgación</w:t>
      </w:r>
      <w:r w:rsidR="00216214" w:rsidRPr="0091002C">
        <w:rPr>
          <w:rFonts w:ascii="Arial" w:hAnsi="Arial" w:cs="Arial"/>
          <w:sz w:val="22"/>
          <w:szCs w:val="22"/>
        </w:rPr>
        <w:t xml:space="preserve"> </w:t>
      </w:r>
      <w:r w:rsidR="001F3AEE">
        <w:rPr>
          <w:rFonts w:ascii="Arial" w:hAnsi="Arial" w:cs="Arial"/>
          <w:sz w:val="22"/>
          <w:szCs w:val="22"/>
        </w:rPr>
        <w:t xml:space="preserve">y publicación </w:t>
      </w:r>
      <w:r w:rsidRPr="0091002C">
        <w:rPr>
          <w:rFonts w:ascii="Arial" w:hAnsi="Arial" w:cs="Arial"/>
          <w:sz w:val="22"/>
          <w:szCs w:val="22"/>
        </w:rPr>
        <w:t>de la Ley que “Perfecciona al Sistema de Alta Dirección Pública (SADP) y Fortalece la Dirección Nacional del Servicio Civil (DNSC)”;</w:t>
      </w:r>
      <w:r w:rsidR="0055726B">
        <w:rPr>
          <w:rFonts w:ascii="Arial" w:hAnsi="Arial" w:cs="Arial"/>
          <w:sz w:val="22"/>
          <w:szCs w:val="22"/>
        </w:rPr>
        <w:t xml:space="preserve"> </w:t>
      </w:r>
    </w:p>
    <w:p w:rsidR="00216214" w:rsidRPr="0091002C" w:rsidRDefault="00216214"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 xml:space="preserve">Requerimiento por parte de la DNSC dirigida a los </w:t>
      </w:r>
      <w:r w:rsidR="001F3AEE">
        <w:rPr>
          <w:rFonts w:ascii="Arial" w:hAnsi="Arial" w:cs="Arial"/>
          <w:sz w:val="22"/>
          <w:szCs w:val="22"/>
        </w:rPr>
        <w:t>S</w:t>
      </w:r>
      <w:r w:rsidRPr="0091002C">
        <w:rPr>
          <w:rFonts w:ascii="Arial" w:hAnsi="Arial" w:cs="Arial"/>
          <w:sz w:val="22"/>
          <w:szCs w:val="22"/>
        </w:rPr>
        <w:t xml:space="preserve">ervicios </w:t>
      </w:r>
      <w:r w:rsidR="001F3AEE">
        <w:rPr>
          <w:rFonts w:ascii="Arial" w:hAnsi="Arial" w:cs="Arial"/>
          <w:sz w:val="22"/>
          <w:szCs w:val="22"/>
        </w:rPr>
        <w:t>P</w:t>
      </w:r>
      <w:r w:rsidRPr="0091002C">
        <w:rPr>
          <w:rFonts w:ascii="Arial" w:hAnsi="Arial" w:cs="Arial"/>
          <w:sz w:val="22"/>
          <w:szCs w:val="22"/>
        </w:rPr>
        <w:t xml:space="preserve">úblicos </w:t>
      </w:r>
      <w:r w:rsidR="001F3AEE">
        <w:rPr>
          <w:rFonts w:ascii="Arial" w:hAnsi="Arial" w:cs="Arial"/>
          <w:sz w:val="22"/>
          <w:szCs w:val="22"/>
        </w:rPr>
        <w:t xml:space="preserve">de la Administración Civil del Estado solicitando: </w:t>
      </w:r>
      <w:r w:rsidRPr="0091002C">
        <w:rPr>
          <w:rFonts w:ascii="Arial" w:hAnsi="Arial" w:cs="Arial"/>
          <w:sz w:val="22"/>
          <w:szCs w:val="22"/>
        </w:rPr>
        <w:t xml:space="preserve">(i) información actualizada al 31 de diciembre de 2015 sobre los cargos </w:t>
      </w:r>
      <w:r w:rsidR="00AF5DCA">
        <w:rPr>
          <w:rFonts w:ascii="Arial" w:hAnsi="Arial" w:cs="Arial"/>
          <w:sz w:val="22"/>
          <w:szCs w:val="22"/>
        </w:rPr>
        <w:t xml:space="preserve">vacantes </w:t>
      </w:r>
      <w:r w:rsidRPr="0091002C">
        <w:rPr>
          <w:rFonts w:ascii="Arial" w:hAnsi="Arial" w:cs="Arial"/>
          <w:sz w:val="22"/>
          <w:szCs w:val="22"/>
        </w:rPr>
        <w:t>de planta; (ii) información sobre el escalafón de méritos y ascensos; y (iii) un plan de trabajo para la realización de los concursos de los cargos de planta que se encuentran vacantes, estableciendo plazos y criterios de tra</w:t>
      </w:r>
      <w:r w:rsidR="00AF5DCA">
        <w:rPr>
          <w:rFonts w:ascii="Arial" w:hAnsi="Arial" w:cs="Arial"/>
          <w:sz w:val="22"/>
          <w:szCs w:val="22"/>
        </w:rPr>
        <w:t>n</w:t>
      </w:r>
      <w:r w:rsidRPr="0091002C">
        <w:rPr>
          <w:rFonts w:ascii="Arial" w:hAnsi="Arial" w:cs="Arial"/>
          <w:sz w:val="22"/>
          <w:szCs w:val="22"/>
        </w:rPr>
        <w:t>sparencia e igualdad;</w:t>
      </w:r>
    </w:p>
    <w:p w:rsidR="00216214" w:rsidRPr="0091002C" w:rsidRDefault="00216214"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 xml:space="preserve">Entrada en </w:t>
      </w:r>
      <w:r w:rsidR="00C61EE2">
        <w:rPr>
          <w:rFonts w:ascii="Arial" w:hAnsi="Arial" w:cs="Arial"/>
          <w:sz w:val="22"/>
          <w:szCs w:val="22"/>
        </w:rPr>
        <w:t>funcionamiento</w:t>
      </w:r>
      <w:r w:rsidR="00C61EE2" w:rsidRPr="0091002C">
        <w:rPr>
          <w:rFonts w:ascii="Arial" w:hAnsi="Arial" w:cs="Arial"/>
          <w:sz w:val="22"/>
          <w:szCs w:val="22"/>
        </w:rPr>
        <w:t xml:space="preserve"> </w:t>
      </w:r>
      <w:r w:rsidRPr="0091002C">
        <w:rPr>
          <w:rFonts w:ascii="Arial" w:hAnsi="Arial" w:cs="Arial"/>
          <w:sz w:val="22"/>
          <w:szCs w:val="22"/>
        </w:rPr>
        <w:t>del nuevo sistema de gestión de la Alta Dirección Pública (ADP) y su portal correspondiente, de conformidad con las normas de transparencia que establece el proyecto de Ley que “Perfecciona al Sistema de Alta Dirección Pública (SADP) y Fortalece la Dirección Nacional del Servicio Civil (DNSC)”, con el fin de incrementar la difusión y la transparencia de las convocatorias públicas a los procesos de selección del SADP;</w:t>
      </w:r>
    </w:p>
    <w:p w:rsidR="00972C82" w:rsidRPr="0091002C" w:rsidRDefault="001F3AEE" w:rsidP="0047047E">
      <w:pPr>
        <w:pStyle w:val="Paragraph"/>
        <w:numPr>
          <w:ilvl w:val="0"/>
          <w:numId w:val="10"/>
        </w:numPr>
        <w:ind w:left="1440" w:hanging="720"/>
        <w:rPr>
          <w:rFonts w:ascii="Arial" w:hAnsi="Arial" w:cs="Arial"/>
          <w:sz w:val="22"/>
          <w:szCs w:val="22"/>
        </w:rPr>
      </w:pPr>
      <w:r w:rsidRPr="001F3AEE">
        <w:rPr>
          <w:rFonts w:ascii="Arial" w:hAnsi="Arial" w:cs="Arial"/>
          <w:sz w:val="22"/>
          <w:szCs w:val="22"/>
          <w:lang w:val="es-CO"/>
        </w:rPr>
        <w:t>Elaboración y aprobación de los códigos de ética de la SEGPRES, la Secretaría y Administración General del Ministerio de Hacienda y de los Servicios Públicos sometidos a la dependencia y/o supervigilancia del Ministerio de Hacienda</w:t>
      </w:r>
      <w:r w:rsidR="00972C82" w:rsidRPr="0091002C">
        <w:rPr>
          <w:rStyle w:val="FootnoteReference"/>
          <w:rFonts w:ascii="Arial" w:hAnsi="Arial" w:cs="Arial"/>
          <w:sz w:val="22"/>
          <w:szCs w:val="22"/>
        </w:rPr>
        <w:footnoteReference w:id="1"/>
      </w:r>
      <w:r w:rsidR="00972C82" w:rsidRPr="0091002C">
        <w:rPr>
          <w:rFonts w:ascii="Arial" w:hAnsi="Arial" w:cs="Arial"/>
          <w:sz w:val="22"/>
          <w:szCs w:val="22"/>
        </w:rPr>
        <w:t>;</w:t>
      </w:r>
    </w:p>
    <w:p w:rsidR="00216214" w:rsidRPr="0091002C" w:rsidRDefault="0082520C" w:rsidP="0047047E">
      <w:pPr>
        <w:pStyle w:val="Paragraph"/>
        <w:numPr>
          <w:ilvl w:val="0"/>
          <w:numId w:val="10"/>
        </w:numPr>
        <w:ind w:left="1440" w:hanging="720"/>
        <w:rPr>
          <w:rFonts w:ascii="Arial" w:hAnsi="Arial" w:cs="Arial"/>
        </w:rPr>
      </w:pPr>
      <w:r w:rsidRPr="0082520C">
        <w:rPr>
          <w:rFonts w:ascii="Arial" w:hAnsi="Arial" w:cs="Arial"/>
          <w:sz w:val="22"/>
          <w:szCs w:val="22"/>
          <w:lang w:val="es-CO"/>
        </w:rPr>
        <w:t xml:space="preserve">Implementación </w:t>
      </w:r>
      <w:r w:rsidRPr="005C6045">
        <w:rPr>
          <w:rFonts w:ascii="Arial" w:hAnsi="Arial" w:cs="Arial"/>
          <w:sz w:val="22"/>
          <w:szCs w:val="22"/>
          <w:lang w:val="es-ES_tradnl"/>
        </w:rPr>
        <w:t>de las nuevas disposiciones de probidad y transparencia en las compras públicas, en materia de Licitaciones Públicas, mediante</w:t>
      </w:r>
      <w:r w:rsidRPr="0082520C">
        <w:rPr>
          <w:rFonts w:ascii="Arial" w:hAnsi="Arial" w:cs="Arial"/>
          <w:sz w:val="22"/>
          <w:szCs w:val="22"/>
          <w:lang w:val="es-CO"/>
        </w:rPr>
        <w:t xml:space="preserve"> la</w:t>
      </w:r>
      <w:r w:rsidRPr="005C6045">
        <w:rPr>
          <w:rFonts w:ascii="Arial" w:hAnsi="Arial" w:cs="Arial"/>
          <w:sz w:val="22"/>
          <w:szCs w:val="22"/>
          <w:lang w:val="es-ES_tradnl"/>
        </w:rPr>
        <w:t xml:space="preserve"> </w:t>
      </w:r>
      <w:r>
        <w:rPr>
          <w:rFonts w:ascii="Arial" w:hAnsi="Arial" w:cs="Arial"/>
          <w:sz w:val="22"/>
          <w:szCs w:val="22"/>
          <w:lang w:val="es-ES_tradnl"/>
        </w:rPr>
        <w:t xml:space="preserve">elaboración de </w:t>
      </w:r>
      <w:r w:rsidR="00216214" w:rsidRPr="0091002C">
        <w:rPr>
          <w:rFonts w:ascii="Arial" w:hAnsi="Arial" w:cs="Arial"/>
          <w:sz w:val="22"/>
          <w:szCs w:val="22"/>
        </w:rPr>
        <w:t>Informes Finales de las Comisiones Evaluadoras de acuerdo con los nuevos criterios de probidad y transparencia establecidos en el artículo 40 bis del Reglamento de la Ley No. 19.886 de Bases sobre Contratos Administrativos de Suministros y Prestación de Servicios;</w:t>
      </w:r>
    </w:p>
    <w:p w:rsidR="00216214" w:rsidRPr="0091002C" w:rsidRDefault="00216214" w:rsidP="0047047E">
      <w:pPr>
        <w:pStyle w:val="Paragraph"/>
        <w:numPr>
          <w:ilvl w:val="0"/>
          <w:numId w:val="10"/>
        </w:numPr>
        <w:ind w:left="1440" w:hanging="720"/>
        <w:rPr>
          <w:rFonts w:ascii="Arial" w:hAnsi="Arial" w:cs="Arial"/>
        </w:rPr>
      </w:pPr>
      <w:r w:rsidRPr="0091002C">
        <w:rPr>
          <w:rFonts w:ascii="Arial" w:hAnsi="Arial" w:cs="Arial"/>
          <w:sz w:val="22"/>
          <w:szCs w:val="22"/>
        </w:rPr>
        <w:lastRenderedPageBreak/>
        <w:t>Cumplimiento de las condiciones necesarias para la habilitación</w:t>
      </w:r>
      <w:r w:rsidR="001F3AEE">
        <w:rPr>
          <w:rFonts w:ascii="Arial" w:hAnsi="Arial" w:cs="Arial"/>
          <w:sz w:val="22"/>
          <w:szCs w:val="22"/>
        </w:rPr>
        <w:t>,</w:t>
      </w:r>
      <w:r w:rsidRPr="0091002C">
        <w:rPr>
          <w:rFonts w:ascii="Arial" w:hAnsi="Arial" w:cs="Arial"/>
          <w:sz w:val="22"/>
          <w:szCs w:val="22"/>
        </w:rPr>
        <w:t xml:space="preserve"> en </w:t>
      </w:r>
      <w:r w:rsidR="001F3AEE">
        <w:rPr>
          <w:rFonts w:ascii="Arial" w:hAnsi="Arial" w:cs="Arial"/>
          <w:sz w:val="22"/>
          <w:szCs w:val="22"/>
        </w:rPr>
        <w:t xml:space="preserve">al menos </w:t>
      </w:r>
      <w:r w:rsidR="00C61EE2">
        <w:rPr>
          <w:rFonts w:ascii="Arial" w:hAnsi="Arial" w:cs="Arial"/>
          <w:sz w:val="22"/>
          <w:szCs w:val="22"/>
        </w:rPr>
        <w:t>5</w:t>
      </w:r>
      <w:r w:rsidR="00C61EE2" w:rsidRPr="0091002C">
        <w:rPr>
          <w:rFonts w:ascii="Arial" w:hAnsi="Arial" w:cs="Arial"/>
          <w:sz w:val="22"/>
          <w:szCs w:val="22"/>
        </w:rPr>
        <w:t xml:space="preserve"> </w:t>
      </w:r>
      <w:r w:rsidRPr="0091002C">
        <w:rPr>
          <w:rFonts w:ascii="Arial" w:hAnsi="Arial" w:cs="Arial"/>
          <w:sz w:val="22"/>
          <w:szCs w:val="22"/>
        </w:rPr>
        <w:t xml:space="preserve">organismos públicos </w:t>
      </w:r>
      <w:r w:rsidR="001F3AEE">
        <w:rPr>
          <w:rFonts w:ascii="Arial" w:hAnsi="Arial" w:cs="Arial"/>
          <w:sz w:val="22"/>
          <w:szCs w:val="22"/>
        </w:rPr>
        <w:t xml:space="preserve">para </w:t>
      </w:r>
      <w:r w:rsidRPr="0091002C">
        <w:rPr>
          <w:rFonts w:ascii="Arial" w:hAnsi="Arial" w:cs="Arial"/>
          <w:sz w:val="22"/>
          <w:szCs w:val="22"/>
        </w:rPr>
        <w:t>publicar las bases de licitación</w:t>
      </w:r>
      <w:r w:rsidR="001F3AEE">
        <w:rPr>
          <w:rFonts w:ascii="Arial" w:hAnsi="Arial" w:cs="Arial"/>
          <w:sz w:val="22"/>
          <w:szCs w:val="22"/>
        </w:rPr>
        <w:t xml:space="preserve"> pública</w:t>
      </w:r>
      <w:r w:rsidRPr="0091002C">
        <w:rPr>
          <w:rFonts w:ascii="Arial" w:hAnsi="Arial" w:cs="Arial"/>
          <w:sz w:val="22"/>
          <w:szCs w:val="22"/>
        </w:rPr>
        <w:t>, con firma electrónica</w:t>
      </w:r>
      <w:r w:rsidR="001F3AEE">
        <w:rPr>
          <w:rFonts w:ascii="Arial" w:hAnsi="Arial" w:cs="Arial"/>
          <w:sz w:val="22"/>
          <w:szCs w:val="22"/>
        </w:rPr>
        <w:t xml:space="preserve"> avanzada</w:t>
      </w:r>
      <w:r w:rsidR="001F3AEE">
        <w:rPr>
          <w:rStyle w:val="FootnoteReference"/>
          <w:rFonts w:ascii="Arial" w:hAnsi="Arial" w:cs="Arial"/>
          <w:sz w:val="22"/>
          <w:szCs w:val="22"/>
        </w:rPr>
        <w:footnoteReference w:id="2"/>
      </w:r>
      <w:r w:rsidRPr="0091002C">
        <w:rPr>
          <w:rFonts w:ascii="Arial" w:hAnsi="Arial" w:cs="Arial"/>
          <w:sz w:val="22"/>
          <w:szCs w:val="22"/>
        </w:rPr>
        <w:t xml:space="preserve">, en el portal </w:t>
      </w:r>
      <w:hyperlink r:id="rId13" w:history="1">
        <w:r w:rsidRPr="0091002C">
          <w:rPr>
            <w:rFonts w:ascii="Arial" w:hAnsi="Arial" w:cs="Arial"/>
            <w:sz w:val="22"/>
            <w:szCs w:val="22"/>
          </w:rPr>
          <w:t>www.mercadopublico.cl</w:t>
        </w:r>
      </w:hyperlink>
      <w:r w:rsidRPr="0091002C">
        <w:rPr>
          <w:rFonts w:ascii="Arial" w:hAnsi="Arial" w:cs="Arial"/>
          <w:sz w:val="22"/>
          <w:szCs w:val="22"/>
        </w:rPr>
        <w:t>; lo que permitirá avanzar con el uso obligatorio de formularios electrónicos estandarizados de bases de licitación;</w:t>
      </w:r>
    </w:p>
    <w:p w:rsidR="00972C82" w:rsidRPr="0091002C" w:rsidRDefault="00972C82"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 xml:space="preserve">Suscripción </w:t>
      </w:r>
      <w:r w:rsidR="00216214" w:rsidRPr="0091002C">
        <w:rPr>
          <w:rFonts w:ascii="Arial" w:hAnsi="Arial" w:cs="Arial"/>
          <w:sz w:val="22"/>
          <w:szCs w:val="22"/>
        </w:rPr>
        <w:t xml:space="preserve">y entrada en vigencia </w:t>
      </w:r>
      <w:r w:rsidRPr="0091002C">
        <w:rPr>
          <w:rFonts w:ascii="Arial" w:hAnsi="Arial" w:cs="Arial"/>
          <w:sz w:val="22"/>
          <w:szCs w:val="22"/>
        </w:rPr>
        <w:t xml:space="preserve">de un Convenio entre la Dirección General de Obras Públicas del MOP y la </w:t>
      </w:r>
      <w:r w:rsidR="00C61EE2">
        <w:rPr>
          <w:rFonts w:ascii="Arial" w:hAnsi="Arial" w:cs="Arial"/>
          <w:sz w:val="22"/>
          <w:szCs w:val="22"/>
        </w:rPr>
        <w:t>Dirección de Compras y Contrataci</w:t>
      </w:r>
      <w:r w:rsidR="00F93AEF">
        <w:rPr>
          <w:rFonts w:ascii="Arial" w:hAnsi="Arial" w:cs="Arial"/>
          <w:sz w:val="22"/>
          <w:szCs w:val="22"/>
        </w:rPr>
        <w:t>ón</w:t>
      </w:r>
      <w:r w:rsidR="00C61EE2">
        <w:rPr>
          <w:rFonts w:ascii="Arial" w:hAnsi="Arial" w:cs="Arial"/>
          <w:sz w:val="22"/>
          <w:szCs w:val="22"/>
        </w:rPr>
        <w:t xml:space="preserve"> Pública </w:t>
      </w:r>
      <w:r w:rsidR="002F2D8C" w:rsidRPr="0091002C">
        <w:rPr>
          <w:rFonts w:ascii="Arial" w:hAnsi="Arial" w:cs="Arial"/>
          <w:sz w:val="22"/>
          <w:szCs w:val="22"/>
        </w:rPr>
        <w:t>(ChileCompra)</w:t>
      </w:r>
      <w:r w:rsidRPr="0091002C">
        <w:rPr>
          <w:rFonts w:ascii="Arial" w:hAnsi="Arial" w:cs="Arial"/>
          <w:sz w:val="22"/>
          <w:szCs w:val="22"/>
        </w:rPr>
        <w:t xml:space="preserve">, en el cual se establece la implementación de una plataforma que </w:t>
      </w:r>
      <w:r w:rsidR="0024501B">
        <w:rPr>
          <w:rFonts w:ascii="Arial" w:hAnsi="Arial" w:cs="Arial"/>
          <w:sz w:val="22"/>
          <w:szCs w:val="22"/>
        </w:rPr>
        <w:t xml:space="preserve">permite </w:t>
      </w:r>
      <w:r w:rsidRPr="0091002C">
        <w:rPr>
          <w:rFonts w:ascii="Arial" w:hAnsi="Arial" w:cs="Arial"/>
          <w:sz w:val="22"/>
          <w:szCs w:val="22"/>
        </w:rPr>
        <w:t xml:space="preserve">el registro </w:t>
      </w:r>
      <w:r w:rsidR="0024501B">
        <w:rPr>
          <w:rFonts w:ascii="Arial" w:hAnsi="Arial" w:cs="Arial"/>
          <w:sz w:val="22"/>
          <w:szCs w:val="22"/>
        </w:rPr>
        <w:t xml:space="preserve">en línea </w:t>
      </w:r>
      <w:r w:rsidRPr="0091002C">
        <w:rPr>
          <w:rFonts w:ascii="Arial" w:hAnsi="Arial" w:cs="Arial"/>
          <w:sz w:val="22"/>
          <w:szCs w:val="22"/>
        </w:rPr>
        <w:t>de contratistas y consultores</w:t>
      </w:r>
      <w:r w:rsidR="00C93F9A">
        <w:rPr>
          <w:rFonts w:ascii="Arial" w:hAnsi="Arial" w:cs="Arial"/>
          <w:sz w:val="22"/>
          <w:szCs w:val="22"/>
        </w:rPr>
        <w:t xml:space="preserve"> del MOP</w:t>
      </w:r>
      <w:r w:rsidRPr="0091002C">
        <w:rPr>
          <w:rFonts w:ascii="Arial" w:hAnsi="Arial" w:cs="Arial"/>
          <w:sz w:val="22"/>
          <w:szCs w:val="22"/>
        </w:rPr>
        <w:t xml:space="preserve">, </w:t>
      </w:r>
      <w:r w:rsidR="00F93EE2" w:rsidRPr="0091002C">
        <w:rPr>
          <w:rFonts w:ascii="Arial" w:hAnsi="Arial" w:cs="Arial"/>
          <w:sz w:val="22"/>
          <w:szCs w:val="22"/>
        </w:rPr>
        <w:t>en línea con la estrategia de</w:t>
      </w:r>
      <w:r w:rsidR="00C93F9A">
        <w:rPr>
          <w:rFonts w:ascii="Arial" w:hAnsi="Arial" w:cs="Arial"/>
          <w:sz w:val="22"/>
          <w:szCs w:val="22"/>
        </w:rPr>
        <w:t xml:space="preserve"> éste</w:t>
      </w:r>
      <w:r w:rsidR="00F93EE2" w:rsidRPr="0091002C">
        <w:rPr>
          <w:rFonts w:ascii="Arial" w:hAnsi="Arial" w:cs="Arial"/>
          <w:sz w:val="22"/>
          <w:szCs w:val="22"/>
        </w:rPr>
        <w:t xml:space="preserve"> de transparentar sus relaciones con sus contratistas y proveedores.</w:t>
      </w:r>
    </w:p>
    <w:p w:rsidR="00972C82" w:rsidRPr="0091002C" w:rsidRDefault="00972C82"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Promulgación y publicación en el Diario Oficial de la Ley que “Crea la Comisión de Valores y Seguros”;</w:t>
      </w:r>
    </w:p>
    <w:p w:rsidR="00F93EE2" w:rsidRPr="0091002C" w:rsidRDefault="00F93EE2"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 xml:space="preserve">Implementación de la </w:t>
      </w:r>
      <w:r w:rsidR="0024501B">
        <w:rPr>
          <w:rFonts w:ascii="Arial" w:hAnsi="Arial" w:cs="Arial"/>
          <w:sz w:val="22"/>
          <w:szCs w:val="22"/>
        </w:rPr>
        <w:t xml:space="preserve">Ley No. 20.911, </w:t>
      </w:r>
      <w:r w:rsidRPr="0091002C">
        <w:rPr>
          <w:rFonts w:ascii="Arial" w:hAnsi="Arial" w:cs="Arial"/>
          <w:sz w:val="22"/>
          <w:szCs w:val="22"/>
        </w:rPr>
        <w:t xml:space="preserve">“Ley que crea el Plan de Formación Ciudadana para los </w:t>
      </w:r>
      <w:r w:rsidR="0024501B">
        <w:rPr>
          <w:rFonts w:ascii="Arial" w:hAnsi="Arial" w:cs="Arial"/>
          <w:sz w:val="22"/>
          <w:szCs w:val="22"/>
        </w:rPr>
        <w:t>E</w:t>
      </w:r>
      <w:r w:rsidRPr="0091002C">
        <w:rPr>
          <w:rFonts w:ascii="Arial" w:hAnsi="Arial" w:cs="Arial"/>
          <w:sz w:val="22"/>
          <w:szCs w:val="22"/>
        </w:rPr>
        <w:t xml:space="preserve">stablecimientos </w:t>
      </w:r>
      <w:r w:rsidR="0024501B">
        <w:rPr>
          <w:rFonts w:ascii="Arial" w:hAnsi="Arial" w:cs="Arial"/>
          <w:sz w:val="22"/>
          <w:szCs w:val="22"/>
        </w:rPr>
        <w:t>E</w:t>
      </w:r>
      <w:r w:rsidRPr="0091002C">
        <w:rPr>
          <w:rFonts w:ascii="Arial" w:hAnsi="Arial" w:cs="Arial"/>
          <w:sz w:val="22"/>
          <w:szCs w:val="22"/>
        </w:rPr>
        <w:t>ducacionales reconocidos por el Estado” publicada en el Diario Oficial el 2 de abril de 2016</w:t>
      </w:r>
      <w:r w:rsidR="0024501B">
        <w:rPr>
          <w:rFonts w:ascii="Arial" w:hAnsi="Arial" w:cs="Arial"/>
          <w:sz w:val="22"/>
          <w:szCs w:val="22"/>
        </w:rPr>
        <w:t xml:space="preserve"> a través de</w:t>
      </w:r>
      <w:r w:rsidRPr="0091002C">
        <w:rPr>
          <w:rFonts w:ascii="Arial" w:hAnsi="Arial" w:cs="Arial"/>
          <w:sz w:val="22"/>
          <w:szCs w:val="22"/>
        </w:rPr>
        <w:t>: (</w:t>
      </w:r>
      <w:r w:rsidR="0024501B">
        <w:rPr>
          <w:rFonts w:ascii="Arial" w:hAnsi="Arial" w:cs="Arial"/>
          <w:sz w:val="22"/>
          <w:szCs w:val="22"/>
        </w:rPr>
        <w:t>a</w:t>
      </w:r>
      <w:r w:rsidRPr="0091002C">
        <w:rPr>
          <w:rFonts w:ascii="Arial" w:hAnsi="Arial" w:cs="Arial"/>
          <w:sz w:val="22"/>
          <w:szCs w:val="22"/>
        </w:rPr>
        <w:t xml:space="preserve">) </w:t>
      </w:r>
      <w:r w:rsidR="0024501B">
        <w:rPr>
          <w:rFonts w:ascii="Arial" w:hAnsi="Arial" w:cs="Arial"/>
          <w:sz w:val="22"/>
          <w:szCs w:val="22"/>
        </w:rPr>
        <w:t xml:space="preserve">emisión de </w:t>
      </w:r>
      <w:r w:rsidR="000F55F5" w:rsidRPr="0091002C">
        <w:rPr>
          <w:rFonts w:ascii="Arial" w:hAnsi="Arial" w:cs="Arial"/>
          <w:sz w:val="22"/>
          <w:szCs w:val="22"/>
        </w:rPr>
        <w:t xml:space="preserve">orientaciones por parte del </w:t>
      </w:r>
      <w:r w:rsidRPr="0091002C">
        <w:rPr>
          <w:rFonts w:ascii="Arial" w:hAnsi="Arial" w:cs="Arial"/>
          <w:sz w:val="22"/>
          <w:szCs w:val="22"/>
        </w:rPr>
        <w:t xml:space="preserve">Ministerio de Educación (MINEDUC) a las Secretarias Regionales Ministeriales (SEREMIS) en materia </w:t>
      </w:r>
      <w:r w:rsidR="000F55F5" w:rsidRPr="0091002C">
        <w:rPr>
          <w:rFonts w:ascii="Arial" w:hAnsi="Arial" w:cs="Arial"/>
          <w:sz w:val="22"/>
          <w:szCs w:val="22"/>
        </w:rPr>
        <w:t xml:space="preserve">curricular y en materia </w:t>
      </w:r>
      <w:r w:rsidRPr="0091002C">
        <w:rPr>
          <w:rFonts w:ascii="Arial" w:hAnsi="Arial" w:cs="Arial"/>
          <w:sz w:val="22"/>
          <w:szCs w:val="22"/>
        </w:rPr>
        <w:t>de formulación e implementación de los planes de formación ciudadana; y (</w:t>
      </w:r>
      <w:r w:rsidR="0024501B">
        <w:rPr>
          <w:rFonts w:ascii="Arial" w:hAnsi="Arial" w:cs="Arial"/>
          <w:sz w:val="22"/>
          <w:szCs w:val="22"/>
        </w:rPr>
        <w:t>b</w:t>
      </w:r>
      <w:r w:rsidRPr="0091002C">
        <w:rPr>
          <w:rFonts w:ascii="Arial" w:hAnsi="Arial" w:cs="Arial"/>
          <w:sz w:val="22"/>
          <w:szCs w:val="22"/>
        </w:rPr>
        <w:t xml:space="preserve">) </w:t>
      </w:r>
      <w:r w:rsidR="0024501B">
        <w:rPr>
          <w:rFonts w:ascii="Arial" w:hAnsi="Arial" w:cs="Arial"/>
          <w:sz w:val="22"/>
          <w:szCs w:val="22"/>
        </w:rPr>
        <w:t xml:space="preserve">suscripción de al menos </w:t>
      </w:r>
      <w:r w:rsidRPr="0091002C">
        <w:rPr>
          <w:rFonts w:ascii="Arial" w:hAnsi="Arial" w:cs="Arial"/>
          <w:sz w:val="22"/>
          <w:szCs w:val="22"/>
        </w:rPr>
        <w:t>1</w:t>
      </w:r>
      <w:r w:rsidR="0024501B">
        <w:rPr>
          <w:rFonts w:ascii="Arial" w:hAnsi="Arial" w:cs="Arial"/>
          <w:sz w:val="22"/>
          <w:szCs w:val="22"/>
        </w:rPr>
        <w:t>1</w:t>
      </w:r>
      <w:r w:rsidRPr="0091002C">
        <w:rPr>
          <w:rFonts w:ascii="Arial" w:hAnsi="Arial" w:cs="Arial"/>
          <w:sz w:val="22"/>
          <w:szCs w:val="22"/>
        </w:rPr>
        <w:t xml:space="preserve"> convenios de colaboración entre el </w:t>
      </w:r>
      <w:r w:rsidR="000F55F5" w:rsidRPr="0091002C">
        <w:rPr>
          <w:rFonts w:ascii="Arial" w:hAnsi="Arial" w:cs="Arial"/>
          <w:sz w:val="22"/>
          <w:szCs w:val="22"/>
        </w:rPr>
        <w:t>MINEDUC</w:t>
      </w:r>
      <w:r w:rsidR="000F55F5" w:rsidRPr="0091002C" w:rsidDel="000F55F5">
        <w:rPr>
          <w:rFonts w:ascii="Arial" w:hAnsi="Arial" w:cs="Arial"/>
          <w:sz w:val="22"/>
          <w:szCs w:val="22"/>
        </w:rPr>
        <w:t xml:space="preserve"> </w:t>
      </w:r>
      <w:r w:rsidRPr="0091002C">
        <w:rPr>
          <w:rFonts w:ascii="Arial" w:hAnsi="Arial" w:cs="Arial"/>
          <w:sz w:val="22"/>
          <w:szCs w:val="22"/>
        </w:rPr>
        <w:t>e instituciones de educación superior para la implementación de un programa de capacitación para docentes en formación ciudadana.</w:t>
      </w:r>
    </w:p>
    <w:p w:rsidR="00972C82" w:rsidRPr="0091002C" w:rsidRDefault="004A485D" w:rsidP="0047047E">
      <w:pPr>
        <w:pStyle w:val="Paragraph"/>
        <w:numPr>
          <w:ilvl w:val="0"/>
          <w:numId w:val="10"/>
        </w:numPr>
        <w:ind w:left="1440" w:hanging="720"/>
        <w:rPr>
          <w:rFonts w:ascii="Arial" w:hAnsi="Arial" w:cs="Arial"/>
          <w:sz w:val="22"/>
          <w:szCs w:val="22"/>
        </w:rPr>
      </w:pPr>
      <w:r w:rsidRPr="0091002C">
        <w:rPr>
          <w:rFonts w:ascii="Arial" w:hAnsi="Arial" w:cs="Arial"/>
          <w:sz w:val="22"/>
          <w:szCs w:val="22"/>
        </w:rPr>
        <w:t>Ingreso</w:t>
      </w:r>
      <w:r w:rsidR="00972C82" w:rsidRPr="0091002C">
        <w:rPr>
          <w:rFonts w:ascii="Arial" w:hAnsi="Arial" w:cs="Arial"/>
          <w:sz w:val="22"/>
          <w:szCs w:val="22"/>
        </w:rPr>
        <w:t xml:space="preserve"> al Congreso Nacional del Mensaje del Ejecutivo con el que se inicia la tramitación de un proyecto de ley </w:t>
      </w:r>
      <w:r w:rsidR="005755C1">
        <w:rPr>
          <w:rFonts w:ascii="Arial" w:hAnsi="Arial" w:cs="Arial"/>
          <w:sz w:val="22"/>
          <w:szCs w:val="22"/>
        </w:rPr>
        <w:t xml:space="preserve">que establece la Auditoría Interna General de Gobierno. </w:t>
      </w:r>
    </w:p>
    <w:p w:rsidR="00A135AE" w:rsidRPr="0091002C" w:rsidRDefault="00A135AE" w:rsidP="00537028">
      <w:pPr>
        <w:pStyle w:val="Heading1"/>
        <w:jc w:val="center"/>
        <w:rPr>
          <w:sz w:val="24"/>
          <w:szCs w:val="24"/>
          <w:lang w:val="es-ES"/>
        </w:rPr>
      </w:pPr>
      <w:r w:rsidRPr="0091002C">
        <w:rPr>
          <w:sz w:val="24"/>
          <w:szCs w:val="24"/>
          <w:lang w:val="es-ES"/>
        </w:rPr>
        <w:t>Monitoreo</w:t>
      </w:r>
      <w:bookmarkEnd w:id="0"/>
    </w:p>
    <w:p w:rsidR="006F3173"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El Mi</w:t>
      </w:r>
      <w:r w:rsidR="00350A85" w:rsidRPr="0091002C">
        <w:rPr>
          <w:rFonts w:ascii="Arial" w:hAnsi="Arial" w:cs="Arial"/>
          <w:sz w:val="22"/>
          <w:szCs w:val="22"/>
        </w:rPr>
        <w:t xml:space="preserve">nisterio de Hacienda de Chile, </w:t>
      </w:r>
      <w:r w:rsidRPr="0091002C">
        <w:rPr>
          <w:rFonts w:ascii="Arial" w:hAnsi="Arial" w:cs="Arial"/>
          <w:sz w:val="22"/>
          <w:szCs w:val="22"/>
        </w:rPr>
        <w:t>como Organismo Ejecutor (OE) del programa, presentará al Banco la evidencia de cumplimiento de los compromisos de política y</w:t>
      </w:r>
      <w:r w:rsidR="00350A85" w:rsidRPr="0091002C">
        <w:rPr>
          <w:rFonts w:ascii="Arial" w:hAnsi="Arial" w:cs="Arial"/>
          <w:sz w:val="22"/>
          <w:szCs w:val="22"/>
        </w:rPr>
        <w:t xml:space="preserve"> otros aspectos </w:t>
      </w:r>
      <w:r w:rsidRPr="0091002C">
        <w:rPr>
          <w:rFonts w:ascii="Arial" w:hAnsi="Arial" w:cs="Arial"/>
          <w:sz w:val="22"/>
          <w:szCs w:val="22"/>
        </w:rPr>
        <w:t xml:space="preserve">del mismo que el BID necesite para aprobar el desembolso respectivo. </w:t>
      </w:r>
      <w:r w:rsidR="00F93EE2" w:rsidRPr="004A15DC">
        <w:rPr>
          <w:rFonts w:ascii="Arial" w:eastAsia="Arial" w:hAnsi="Arial" w:cs="Arial"/>
          <w:sz w:val="22"/>
          <w:szCs w:val="22"/>
        </w:rPr>
        <w:t xml:space="preserve">La utilización de los recursos del Banco será llevada a cabo por la República de Chile por intermedio de la DIPRES. </w:t>
      </w:r>
      <w:r w:rsidRPr="0091002C">
        <w:rPr>
          <w:rFonts w:ascii="Arial" w:hAnsi="Arial" w:cs="Arial"/>
          <w:sz w:val="22"/>
          <w:szCs w:val="22"/>
        </w:rPr>
        <w:t>El OE</w:t>
      </w:r>
      <w:r w:rsidR="00BF3555" w:rsidRPr="0091002C">
        <w:rPr>
          <w:rFonts w:ascii="Arial" w:hAnsi="Arial" w:cs="Arial"/>
          <w:sz w:val="22"/>
          <w:szCs w:val="22"/>
        </w:rPr>
        <w:t xml:space="preserve">, </w:t>
      </w:r>
      <w:r w:rsidR="00BF3555" w:rsidRPr="004A15DC">
        <w:rPr>
          <w:rFonts w:ascii="Arial" w:eastAsia="Arial" w:hAnsi="Arial" w:cs="Arial"/>
          <w:color w:val="000000"/>
          <w:sz w:val="22"/>
          <w:szCs w:val="22"/>
        </w:rPr>
        <w:t>en coordinación con el Ministerio Secretaría General de la Presidencia (SEGPRES),</w:t>
      </w:r>
      <w:r w:rsidRPr="0091002C">
        <w:rPr>
          <w:rFonts w:ascii="Arial" w:hAnsi="Arial" w:cs="Arial"/>
          <w:sz w:val="22"/>
          <w:szCs w:val="22"/>
        </w:rPr>
        <w:t xml:space="preserve"> será la entidad responsable del monitoreo y seguimiento técnico </w:t>
      </w:r>
      <w:r w:rsidR="00870F1F" w:rsidRPr="0091002C">
        <w:rPr>
          <w:rFonts w:ascii="Arial" w:hAnsi="Arial" w:cs="Arial"/>
          <w:sz w:val="22"/>
          <w:szCs w:val="22"/>
        </w:rPr>
        <w:t>de los resultados del préstamo</w:t>
      </w:r>
      <w:r w:rsidRPr="0091002C">
        <w:rPr>
          <w:rFonts w:ascii="Arial" w:hAnsi="Arial" w:cs="Arial"/>
          <w:sz w:val="22"/>
          <w:szCs w:val="22"/>
        </w:rPr>
        <w:t>.</w:t>
      </w:r>
      <w:r w:rsidR="008478FF" w:rsidRPr="0091002C">
        <w:rPr>
          <w:rFonts w:ascii="Arial" w:hAnsi="Arial" w:cs="Arial"/>
          <w:sz w:val="22"/>
          <w:szCs w:val="22"/>
        </w:rPr>
        <w:t xml:space="preserve"> Otros organismos responsables serán el Ministerio del Interior y Seguridad Pública, Ministerio de Educación, Ministerio de Justicia, </w:t>
      </w:r>
      <w:r w:rsidR="00BF3555" w:rsidRPr="0091002C">
        <w:rPr>
          <w:rFonts w:ascii="Arial" w:hAnsi="Arial" w:cs="Arial"/>
          <w:sz w:val="22"/>
          <w:szCs w:val="22"/>
        </w:rPr>
        <w:t xml:space="preserve">y </w:t>
      </w:r>
      <w:r w:rsidR="008478FF" w:rsidRPr="0091002C">
        <w:rPr>
          <w:rFonts w:ascii="Arial" w:hAnsi="Arial" w:cs="Arial"/>
          <w:sz w:val="22"/>
          <w:szCs w:val="22"/>
        </w:rPr>
        <w:t xml:space="preserve">la </w:t>
      </w:r>
      <w:r w:rsidR="00F33F91" w:rsidRPr="0091002C">
        <w:rPr>
          <w:rFonts w:ascii="Arial" w:hAnsi="Arial" w:cs="Arial"/>
          <w:sz w:val="22"/>
          <w:szCs w:val="22"/>
        </w:rPr>
        <w:t xml:space="preserve">misma </w:t>
      </w:r>
      <w:r w:rsidR="00BF3555" w:rsidRPr="0091002C">
        <w:rPr>
          <w:rFonts w:ascii="Arial" w:hAnsi="Arial" w:cs="Arial"/>
          <w:sz w:val="22"/>
          <w:szCs w:val="22"/>
        </w:rPr>
        <w:t>SEGPRES</w:t>
      </w:r>
      <w:r w:rsidR="00F33F91" w:rsidRPr="0091002C">
        <w:rPr>
          <w:rFonts w:ascii="Arial" w:hAnsi="Arial" w:cs="Arial"/>
          <w:sz w:val="22"/>
          <w:szCs w:val="22"/>
        </w:rPr>
        <w:t>; cuyos compromisos en el marco de la APT que apoya este programa, son coordinados y monitoreados por la SEGPRES</w:t>
      </w:r>
      <w:r w:rsidR="008478FF" w:rsidRPr="0091002C">
        <w:rPr>
          <w:rFonts w:ascii="Arial" w:hAnsi="Arial" w:cs="Arial"/>
          <w:sz w:val="22"/>
          <w:szCs w:val="22"/>
        </w:rPr>
        <w:t>.</w:t>
      </w:r>
      <w:r w:rsidRPr="0091002C">
        <w:rPr>
          <w:rFonts w:ascii="Arial" w:hAnsi="Arial" w:cs="Arial"/>
          <w:sz w:val="22"/>
          <w:szCs w:val="22"/>
        </w:rPr>
        <w:t xml:space="preserve"> El Banco y el prestatario han acordado utilizar los siguientes instrumentos que conforman el plan de </w:t>
      </w:r>
      <w:r w:rsidR="004A485D" w:rsidRPr="0091002C">
        <w:rPr>
          <w:rFonts w:ascii="Arial" w:hAnsi="Arial" w:cs="Arial"/>
          <w:sz w:val="22"/>
          <w:szCs w:val="22"/>
        </w:rPr>
        <w:t>monitoreo y evaluación (</w:t>
      </w:r>
      <w:r w:rsidRPr="0091002C">
        <w:rPr>
          <w:rFonts w:ascii="Arial" w:hAnsi="Arial" w:cs="Arial"/>
          <w:sz w:val="22"/>
          <w:szCs w:val="22"/>
        </w:rPr>
        <w:t>M&amp;E</w:t>
      </w:r>
      <w:r w:rsidR="004A485D" w:rsidRPr="0091002C">
        <w:rPr>
          <w:rFonts w:ascii="Arial" w:hAnsi="Arial" w:cs="Arial"/>
          <w:sz w:val="22"/>
          <w:szCs w:val="22"/>
        </w:rPr>
        <w:t>)</w:t>
      </w:r>
      <w:r w:rsidRPr="0091002C">
        <w:rPr>
          <w:rFonts w:ascii="Arial" w:hAnsi="Arial" w:cs="Arial"/>
          <w:sz w:val="22"/>
          <w:szCs w:val="22"/>
        </w:rPr>
        <w:t>: </w:t>
      </w:r>
      <w:r w:rsidR="002C43C0" w:rsidRPr="0091002C">
        <w:rPr>
          <w:rFonts w:ascii="Arial" w:hAnsi="Arial" w:cs="Arial"/>
          <w:sz w:val="22"/>
          <w:szCs w:val="22"/>
        </w:rPr>
        <w:t>(i) Matriz de Políticas (Anexo II</w:t>
      </w:r>
      <w:r w:rsidR="00EE2C61" w:rsidRPr="0091002C">
        <w:rPr>
          <w:rFonts w:ascii="Arial" w:hAnsi="Arial" w:cs="Arial"/>
          <w:sz w:val="22"/>
          <w:szCs w:val="22"/>
        </w:rPr>
        <w:t xml:space="preserve"> del Documento de Propuesta de Préstamo CH-L1111</w:t>
      </w:r>
      <w:r w:rsidR="002C43C0" w:rsidRPr="0091002C">
        <w:rPr>
          <w:rFonts w:ascii="Arial" w:hAnsi="Arial" w:cs="Arial"/>
          <w:sz w:val="22"/>
          <w:szCs w:val="22"/>
        </w:rPr>
        <w:t xml:space="preserve">); (ii) Matriz de Medios de Verificación; </w:t>
      </w:r>
      <w:r w:rsidR="00981D4F" w:rsidRPr="0091002C">
        <w:rPr>
          <w:rFonts w:ascii="Arial" w:hAnsi="Arial" w:cs="Arial"/>
          <w:sz w:val="22"/>
          <w:szCs w:val="22"/>
        </w:rPr>
        <w:t xml:space="preserve">y </w:t>
      </w:r>
      <w:r w:rsidR="002C43C0" w:rsidRPr="0091002C">
        <w:rPr>
          <w:rFonts w:ascii="Arial" w:hAnsi="Arial" w:cs="Arial"/>
          <w:sz w:val="22"/>
          <w:szCs w:val="22"/>
        </w:rPr>
        <w:t>(iii) Matriz de Resultados. Estos configuran los parámetros clave para la supervisión y evaluación de los resultados del programa.</w:t>
      </w:r>
    </w:p>
    <w:p w:rsidR="00F33F91" w:rsidRPr="0091002C" w:rsidRDefault="006F3173" w:rsidP="0047047E">
      <w:pPr>
        <w:pStyle w:val="ListParagraph"/>
        <w:numPr>
          <w:ilvl w:val="1"/>
          <w:numId w:val="6"/>
        </w:numPr>
        <w:spacing w:after="0" w:line="240" w:lineRule="auto"/>
        <w:ind w:left="720" w:hanging="720"/>
        <w:contextualSpacing w:val="0"/>
        <w:jc w:val="both"/>
        <w:rPr>
          <w:rFonts w:cs="Arial"/>
          <w:lang w:val="es-ES"/>
        </w:rPr>
      </w:pPr>
      <w:r w:rsidRPr="0091002C">
        <w:rPr>
          <w:rFonts w:cs="Arial"/>
          <w:lang w:val="es-ES"/>
        </w:rPr>
        <w:lastRenderedPageBreak/>
        <w:t>El objetivo del monitoreo es: (i) verificar el cumplimiento de los compromisos de política del Gobierno de Chile establecidos en la Matriz de Políticas (Anexo II</w:t>
      </w:r>
      <w:r w:rsidR="00EE2C61" w:rsidRPr="0091002C">
        <w:rPr>
          <w:rFonts w:cs="Arial"/>
          <w:lang w:val="es-ES"/>
        </w:rPr>
        <w:t xml:space="preserve"> del Documento de Propuesta de Préstamo CH-L1111</w:t>
      </w:r>
      <w:r w:rsidRPr="0091002C">
        <w:rPr>
          <w:rFonts w:cs="Arial"/>
          <w:lang w:val="es-ES"/>
        </w:rPr>
        <w:t>); y (ii) verificar su alcance e impacto de acuerdo a las metas e indicadores establecidos en la Matriz de Resultados utilizando como referencia la Evaluación Macroeconómica Independiente del Banco</w:t>
      </w:r>
      <w:r w:rsidR="00811EC2" w:rsidRPr="0091002C">
        <w:rPr>
          <w:rFonts w:cs="Arial"/>
          <w:lang w:val="es-ES"/>
        </w:rPr>
        <w:t xml:space="preserve"> (IMAC)</w:t>
      </w:r>
      <w:r w:rsidRPr="0091002C">
        <w:rPr>
          <w:rFonts w:cs="Arial"/>
          <w:lang w:val="es-ES"/>
        </w:rPr>
        <w:t>.</w:t>
      </w:r>
      <w:r w:rsidR="00F33F91" w:rsidRPr="0091002C">
        <w:rPr>
          <w:rFonts w:cs="Arial"/>
          <w:lang w:val="es-ES"/>
        </w:rPr>
        <w:t xml:space="preserve"> Los medios de verificación serán la fuente de información que determinará el cumplimiento de las metas de política.</w:t>
      </w:r>
    </w:p>
    <w:p w:rsidR="00A135AE" w:rsidRPr="0091002C" w:rsidRDefault="002C43C0"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El </w:t>
      </w:r>
      <w:r w:rsidR="004B5CB3" w:rsidRPr="0091002C">
        <w:rPr>
          <w:rFonts w:ascii="Arial" w:hAnsi="Arial" w:cs="Arial"/>
          <w:sz w:val="22"/>
          <w:szCs w:val="22"/>
        </w:rPr>
        <w:t xml:space="preserve">equipo de proyecto del </w:t>
      </w:r>
      <w:r w:rsidRPr="0091002C">
        <w:rPr>
          <w:rFonts w:ascii="Arial" w:hAnsi="Arial" w:cs="Arial"/>
          <w:sz w:val="22"/>
          <w:szCs w:val="22"/>
        </w:rPr>
        <w:t>BID monitoreará su ejecución desde la oficina de país, así como desde la División de Capacidad Institucional del Estado</w:t>
      </w:r>
      <w:r w:rsidR="00EF5A97" w:rsidRPr="0091002C">
        <w:rPr>
          <w:rFonts w:ascii="Arial" w:hAnsi="Arial" w:cs="Arial"/>
          <w:sz w:val="22"/>
          <w:szCs w:val="22"/>
        </w:rPr>
        <w:t xml:space="preserve"> (ICS)</w:t>
      </w:r>
      <w:r w:rsidRPr="0091002C">
        <w:rPr>
          <w:rFonts w:ascii="Arial" w:hAnsi="Arial" w:cs="Arial"/>
          <w:sz w:val="22"/>
          <w:szCs w:val="22"/>
        </w:rPr>
        <w:t>. El OE será la entidad responsable del monitoreo y seguimiento de los resultados de la operación, en coordinación con la SEGPRES, a efectos de informar debidamente al Banco.</w:t>
      </w:r>
    </w:p>
    <w:p w:rsidR="003E4D28" w:rsidRPr="0091002C" w:rsidRDefault="006F3173"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El monitoreo del equipo de proyecto tendrá inicio después de la aprobación de la operación en el Directorio del Banco, con el objetivo de elaborar el Memorando de Desembolso</w:t>
      </w:r>
      <w:r w:rsidR="004B5CB3" w:rsidRPr="0091002C">
        <w:rPr>
          <w:rFonts w:ascii="Arial" w:hAnsi="Arial" w:cs="Arial"/>
          <w:sz w:val="22"/>
          <w:szCs w:val="22"/>
        </w:rPr>
        <w:t xml:space="preserve"> sobre la base de la verificación del cumplimiento de lo</w:t>
      </w:r>
      <w:r w:rsidR="00FB78D9" w:rsidRPr="0091002C">
        <w:rPr>
          <w:rFonts w:ascii="Arial" w:hAnsi="Arial" w:cs="Arial"/>
          <w:sz w:val="22"/>
          <w:szCs w:val="22"/>
        </w:rPr>
        <w:t>s</w:t>
      </w:r>
      <w:r w:rsidR="004B5CB3" w:rsidRPr="0091002C">
        <w:rPr>
          <w:rFonts w:ascii="Arial" w:hAnsi="Arial" w:cs="Arial"/>
          <w:sz w:val="22"/>
          <w:szCs w:val="22"/>
        </w:rPr>
        <w:t xml:space="preserve"> compromisos de política</w:t>
      </w:r>
      <w:r w:rsidR="003C7C51" w:rsidRPr="0091002C">
        <w:rPr>
          <w:rFonts w:ascii="Arial" w:hAnsi="Arial" w:cs="Arial"/>
          <w:sz w:val="22"/>
          <w:szCs w:val="22"/>
        </w:rPr>
        <w:t xml:space="preserve"> establecidos en la Matriz de Políticas (Anexo II</w:t>
      </w:r>
      <w:r w:rsidR="00EE2C61" w:rsidRPr="0091002C">
        <w:rPr>
          <w:rFonts w:ascii="Arial" w:hAnsi="Arial" w:cs="Arial"/>
          <w:sz w:val="22"/>
          <w:szCs w:val="22"/>
        </w:rPr>
        <w:t xml:space="preserve"> del Documento de Propuesta de Préstamo CH-L1111</w:t>
      </w:r>
      <w:r w:rsidR="003C7C51" w:rsidRPr="0091002C">
        <w:rPr>
          <w:rFonts w:ascii="Arial" w:hAnsi="Arial" w:cs="Arial"/>
          <w:sz w:val="22"/>
          <w:szCs w:val="22"/>
        </w:rPr>
        <w:t>) en base a los medios definidos en la Matriz de Medios de Verificación</w:t>
      </w:r>
      <w:r w:rsidRPr="0091002C">
        <w:rPr>
          <w:rFonts w:ascii="Arial" w:hAnsi="Arial" w:cs="Arial"/>
          <w:sz w:val="22"/>
          <w:szCs w:val="22"/>
        </w:rPr>
        <w:t xml:space="preserve">. Por otro lado, el monitoreo de las metas e indicadores </w:t>
      </w:r>
      <w:r w:rsidR="00F647DC" w:rsidRPr="0091002C">
        <w:rPr>
          <w:rFonts w:ascii="Arial" w:hAnsi="Arial" w:cs="Arial"/>
          <w:sz w:val="22"/>
          <w:szCs w:val="22"/>
        </w:rPr>
        <w:t>de</w:t>
      </w:r>
      <w:r w:rsidRPr="0091002C">
        <w:rPr>
          <w:rFonts w:ascii="Arial" w:hAnsi="Arial" w:cs="Arial"/>
          <w:sz w:val="22"/>
          <w:szCs w:val="22"/>
        </w:rPr>
        <w:t xml:space="preserve"> </w:t>
      </w:r>
      <w:r w:rsidR="007049DD" w:rsidRPr="0091002C">
        <w:rPr>
          <w:rFonts w:ascii="Arial" w:hAnsi="Arial" w:cs="Arial"/>
          <w:sz w:val="22"/>
          <w:szCs w:val="22"/>
        </w:rPr>
        <w:t xml:space="preserve">productos, </w:t>
      </w:r>
      <w:r w:rsidRPr="0091002C">
        <w:rPr>
          <w:rFonts w:ascii="Arial" w:hAnsi="Arial" w:cs="Arial"/>
          <w:sz w:val="22"/>
          <w:szCs w:val="22"/>
        </w:rPr>
        <w:t xml:space="preserve">resultados </w:t>
      </w:r>
      <w:r w:rsidR="007049DD" w:rsidRPr="0091002C">
        <w:rPr>
          <w:rFonts w:ascii="Arial" w:hAnsi="Arial" w:cs="Arial"/>
          <w:sz w:val="22"/>
          <w:szCs w:val="22"/>
        </w:rPr>
        <w:t xml:space="preserve">y propósitos </w:t>
      </w:r>
      <w:r w:rsidRPr="0091002C">
        <w:rPr>
          <w:rFonts w:ascii="Arial" w:hAnsi="Arial" w:cs="Arial"/>
          <w:sz w:val="22"/>
          <w:szCs w:val="22"/>
        </w:rPr>
        <w:t>tendrá inicio una vez desembolsados los recursos de la operación.</w:t>
      </w:r>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El esquema de monitoreo del programa incluirá, por lo menos:</w:t>
      </w:r>
    </w:p>
    <w:p w:rsidR="00A135AE" w:rsidRPr="0091002C" w:rsidRDefault="003E4D28" w:rsidP="0047047E">
      <w:pPr>
        <w:pStyle w:val="Paragraph"/>
        <w:numPr>
          <w:ilvl w:val="2"/>
          <w:numId w:val="6"/>
        </w:numPr>
        <w:ind w:hanging="1080"/>
        <w:rPr>
          <w:rFonts w:ascii="Arial" w:hAnsi="Arial" w:cs="Arial"/>
          <w:sz w:val="22"/>
          <w:szCs w:val="22"/>
        </w:rPr>
      </w:pPr>
      <w:r w:rsidRPr="0091002C">
        <w:rPr>
          <w:rFonts w:ascii="Arial" w:hAnsi="Arial" w:cs="Arial"/>
          <w:sz w:val="22"/>
          <w:szCs w:val="22"/>
        </w:rPr>
        <w:t>L</w:t>
      </w:r>
      <w:r w:rsidR="00A135AE" w:rsidRPr="0091002C">
        <w:rPr>
          <w:rFonts w:ascii="Arial" w:hAnsi="Arial" w:cs="Arial"/>
          <w:sz w:val="22"/>
          <w:szCs w:val="22"/>
        </w:rPr>
        <w:t>a realización de misiones de supervisión para el apoyo y seguimiento técnico y operativo de los avances del programa</w:t>
      </w:r>
      <w:r w:rsidR="004F4740" w:rsidRPr="0091002C">
        <w:rPr>
          <w:rFonts w:ascii="Arial" w:hAnsi="Arial" w:cs="Arial"/>
          <w:sz w:val="22"/>
          <w:szCs w:val="22"/>
        </w:rPr>
        <w:t xml:space="preserve"> y reuniones periódicas</w:t>
      </w:r>
      <w:r w:rsidR="00A135AE" w:rsidRPr="0091002C">
        <w:rPr>
          <w:rFonts w:ascii="Arial" w:hAnsi="Arial" w:cs="Arial"/>
          <w:sz w:val="22"/>
          <w:szCs w:val="22"/>
        </w:rPr>
        <w:t>, en las que participarán los actores institucionales relevantes y el Banco, dando luego debida difusión a los acuerdos de gestión alcanzados</w:t>
      </w:r>
      <w:r w:rsidRPr="0091002C">
        <w:rPr>
          <w:rFonts w:ascii="Arial" w:hAnsi="Arial" w:cs="Arial"/>
          <w:sz w:val="22"/>
          <w:szCs w:val="22"/>
        </w:rPr>
        <w:t>.</w:t>
      </w:r>
    </w:p>
    <w:p w:rsidR="00A135AE" w:rsidRPr="0091002C" w:rsidRDefault="003E4D28" w:rsidP="0047047E">
      <w:pPr>
        <w:pStyle w:val="Paragraph"/>
        <w:numPr>
          <w:ilvl w:val="2"/>
          <w:numId w:val="6"/>
        </w:numPr>
        <w:ind w:hanging="1080"/>
        <w:rPr>
          <w:rFonts w:ascii="Arial" w:hAnsi="Arial" w:cs="Arial"/>
          <w:sz w:val="22"/>
          <w:szCs w:val="22"/>
        </w:rPr>
      </w:pPr>
      <w:r w:rsidRPr="0091002C">
        <w:rPr>
          <w:rFonts w:ascii="Arial" w:hAnsi="Arial" w:cs="Arial"/>
          <w:sz w:val="22"/>
          <w:szCs w:val="22"/>
        </w:rPr>
        <w:t>L</w:t>
      </w:r>
      <w:r w:rsidR="00A135AE" w:rsidRPr="0091002C">
        <w:rPr>
          <w:rFonts w:ascii="Arial" w:hAnsi="Arial" w:cs="Arial"/>
          <w:sz w:val="22"/>
          <w:szCs w:val="22"/>
        </w:rPr>
        <w:t>os informes semestrales de los avances de cada uno de los componentes y el desempeño del programa según la Matriz de Resultados acordada</w:t>
      </w:r>
      <w:r w:rsidRPr="0091002C">
        <w:rPr>
          <w:rFonts w:ascii="Arial" w:hAnsi="Arial" w:cs="Arial"/>
          <w:sz w:val="22"/>
          <w:szCs w:val="22"/>
        </w:rPr>
        <w:t>.</w:t>
      </w:r>
    </w:p>
    <w:p w:rsidR="00F53FA4" w:rsidRPr="0091002C" w:rsidRDefault="00F53FA4"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Este esquema estará vigente mientras este activa la operación, y finalizará cuando concluya la misma.</w:t>
      </w:r>
      <w:r w:rsidR="004F4740" w:rsidRPr="0091002C">
        <w:rPr>
          <w:rFonts w:ascii="Arial" w:hAnsi="Arial" w:cs="Arial"/>
          <w:sz w:val="22"/>
          <w:szCs w:val="22"/>
        </w:rPr>
        <w:t xml:space="preserve"> Posterior a esto, el equipo de proyecto monitorearía, únicamente y de forma anual, </w:t>
      </w:r>
      <w:r w:rsidR="00AB6A3E" w:rsidRPr="0091002C">
        <w:rPr>
          <w:rFonts w:ascii="Arial" w:hAnsi="Arial" w:cs="Arial"/>
          <w:sz w:val="22"/>
          <w:szCs w:val="22"/>
        </w:rPr>
        <w:t xml:space="preserve">el avance en </w:t>
      </w:r>
      <w:r w:rsidR="004F4740" w:rsidRPr="0091002C">
        <w:rPr>
          <w:rFonts w:ascii="Arial" w:hAnsi="Arial" w:cs="Arial"/>
          <w:sz w:val="22"/>
          <w:szCs w:val="22"/>
        </w:rPr>
        <w:t>los indicadores de resultado de la Matriz de Resultados</w:t>
      </w:r>
      <w:r w:rsidR="00AB6A3E" w:rsidRPr="0091002C">
        <w:rPr>
          <w:rFonts w:ascii="Arial" w:hAnsi="Arial" w:cs="Arial"/>
          <w:sz w:val="22"/>
          <w:szCs w:val="22"/>
        </w:rPr>
        <w:t xml:space="preserve"> acordada hasta la evaluación de impacto que se propone en este documento.</w:t>
      </w:r>
      <w:r w:rsidR="004F4740" w:rsidRPr="0091002C">
        <w:rPr>
          <w:rFonts w:ascii="Arial" w:hAnsi="Arial" w:cs="Arial"/>
          <w:sz w:val="22"/>
          <w:szCs w:val="22"/>
        </w:rPr>
        <w:t xml:space="preserve"> </w:t>
      </w:r>
      <w:r w:rsidRPr="0091002C">
        <w:rPr>
          <w:rFonts w:ascii="Arial" w:hAnsi="Arial" w:cs="Arial"/>
          <w:sz w:val="22"/>
          <w:szCs w:val="22"/>
        </w:rPr>
        <w:t xml:space="preserve"> </w:t>
      </w:r>
    </w:p>
    <w:p w:rsidR="009147C7" w:rsidRPr="004049D1" w:rsidRDefault="00A135AE" w:rsidP="004049D1">
      <w:pPr>
        <w:pStyle w:val="Heading2"/>
        <w:ind w:hanging="720"/>
        <w:rPr>
          <w:sz w:val="22"/>
          <w:szCs w:val="22"/>
          <w:lang w:val="es-ES"/>
        </w:rPr>
      </w:pPr>
      <w:bookmarkStart w:id="2" w:name="_Toc429646046"/>
      <w:bookmarkStart w:id="3" w:name="_Toc429652578"/>
      <w:bookmarkStart w:id="4" w:name="_Toc429655314"/>
      <w:bookmarkStart w:id="5" w:name="_Toc429655349"/>
      <w:bookmarkStart w:id="6" w:name="_Toc429655493"/>
      <w:bookmarkStart w:id="7" w:name="_Toc429655690"/>
      <w:bookmarkStart w:id="8" w:name="_Toc429657383"/>
      <w:bookmarkStart w:id="9" w:name="_Toc430679376"/>
      <w:bookmarkStart w:id="10" w:name="_Toc430679400"/>
      <w:bookmarkStart w:id="11" w:name="_Toc434845957"/>
      <w:bookmarkStart w:id="12" w:name="_Toc434846225"/>
      <w:bookmarkStart w:id="13" w:name="_Toc434846938"/>
      <w:bookmarkStart w:id="14" w:name="_Toc437759766"/>
      <w:bookmarkStart w:id="15" w:name="_Toc444883307"/>
      <w:bookmarkStart w:id="16" w:name="_Toc445703758"/>
      <w:bookmarkStart w:id="17" w:name="_Toc445703977"/>
      <w:bookmarkStart w:id="18" w:name="_Toc450478047"/>
      <w:bookmarkStart w:id="19" w:name="_Toc451059699"/>
      <w:bookmarkStart w:id="20" w:name="_Toc451059763"/>
      <w:bookmarkStart w:id="21" w:name="_Toc451922471"/>
      <w:bookmarkStart w:id="22" w:name="_Toc456499462"/>
      <w:bookmarkStart w:id="23" w:name="_Toc456499556"/>
      <w:bookmarkStart w:id="24" w:name="_Toc456499751"/>
      <w:bookmarkStart w:id="25" w:name="_Toc456503319"/>
      <w:bookmarkStart w:id="26" w:name="_Toc456503689"/>
      <w:bookmarkStart w:id="27" w:name="_Toc456504241"/>
      <w:bookmarkStart w:id="28" w:name="_Toc456504329"/>
      <w:bookmarkStart w:id="29" w:name="_Toc456504423"/>
      <w:bookmarkStart w:id="30" w:name="_Toc456504510"/>
      <w:bookmarkStart w:id="31" w:name="_Toc394918511"/>
      <w:r w:rsidRPr="004049D1">
        <w:rPr>
          <w:sz w:val="22"/>
          <w:szCs w:val="22"/>
          <w:lang w:val="es-ES"/>
        </w:rPr>
        <w:t>Indicadores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Los indicadores de monitoreo medirán el grado de avance en la consecución anual de cada uno de los productos, resultados y propósitos listados en la </w:t>
      </w:r>
      <w:r w:rsidR="000E695C" w:rsidRPr="0091002C">
        <w:rPr>
          <w:rFonts w:ascii="Arial" w:hAnsi="Arial" w:cs="Arial"/>
          <w:sz w:val="22"/>
          <w:szCs w:val="22"/>
        </w:rPr>
        <w:t xml:space="preserve">Matriz de Políticas (Anexo II) y la </w:t>
      </w:r>
      <w:r w:rsidRPr="0091002C">
        <w:rPr>
          <w:rFonts w:ascii="Arial" w:hAnsi="Arial" w:cs="Arial"/>
          <w:sz w:val="22"/>
          <w:szCs w:val="22"/>
        </w:rPr>
        <w:t>Matriz de Resultados</w:t>
      </w:r>
      <w:r w:rsidR="000F3E67" w:rsidRPr="0091002C">
        <w:rPr>
          <w:rFonts w:ascii="Arial" w:hAnsi="Arial" w:cs="Arial"/>
          <w:sz w:val="22"/>
          <w:szCs w:val="22"/>
        </w:rPr>
        <w:t>.</w:t>
      </w:r>
    </w:p>
    <w:p w:rsidR="00455127" w:rsidRPr="0091002C" w:rsidRDefault="000E695C" w:rsidP="0047047E">
      <w:pPr>
        <w:pStyle w:val="Paragraph"/>
        <w:numPr>
          <w:ilvl w:val="1"/>
          <w:numId w:val="6"/>
        </w:numPr>
        <w:ind w:left="720" w:hanging="720"/>
        <w:rPr>
          <w:rFonts w:ascii="Arial" w:hAnsi="Arial" w:cs="Arial"/>
          <w:sz w:val="22"/>
          <w:szCs w:val="22"/>
        </w:rPr>
      </w:pPr>
      <w:r w:rsidRPr="0091002C">
        <w:rPr>
          <w:rFonts w:ascii="Arial" w:hAnsi="Arial" w:cs="Arial"/>
          <w:b/>
          <w:sz w:val="22"/>
          <w:szCs w:val="22"/>
        </w:rPr>
        <w:t xml:space="preserve">Indicadores de </w:t>
      </w:r>
      <w:r w:rsidR="00455127" w:rsidRPr="0091002C">
        <w:rPr>
          <w:rFonts w:ascii="Arial" w:hAnsi="Arial" w:cs="Arial"/>
          <w:b/>
          <w:sz w:val="22"/>
          <w:szCs w:val="22"/>
        </w:rPr>
        <w:t>productos</w:t>
      </w:r>
      <w:r w:rsidRPr="0091002C">
        <w:rPr>
          <w:rFonts w:ascii="Arial" w:hAnsi="Arial" w:cs="Arial"/>
          <w:sz w:val="22"/>
          <w:szCs w:val="22"/>
        </w:rPr>
        <w:t xml:space="preserve">. </w:t>
      </w:r>
      <w:r w:rsidR="00EC2F7D" w:rsidRPr="0091002C">
        <w:rPr>
          <w:rFonts w:ascii="Arial" w:hAnsi="Arial" w:cs="Arial"/>
          <w:sz w:val="22"/>
          <w:szCs w:val="22"/>
        </w:rPr>
        <w:t xml:space="preserve">Al tratarse de un préstamo </w:t>
      </w:r>
      <w:r w:rsidRPr="0091002C">
        <w:rPr>
          <w:rFonts w:ascii="Arial" w:hAnsi="Arial" w:cs="Arial"/>
          <w:sz w:val="22"/>
          <w:szCs w:val="22"/>
        </w:rPr>
        <w:t>programático</w:t>
      </w:r>
      <w:r w:rsidR="00EC2F7D" w:rsidRPr="0091002C">
        <w:rPr>
          <w:rFonts w:ascii="Arial" w:hAnsi="Arial" w:cs="Arial"/>
          <w:sz w:val="22"/>
          <w:szCs w:val="22"/>
        </w:rPr>
        <w:t>, los indicadores a los que se dará seguimiento como parte de la verificación del cumplimiento de las acciones del programa son aquéllos contenidos en la Matriz de Políticas</w:t>
      </w:r>
      <w:r w:rsidRPr="0091002C">
        <w:rPr>
          <w:rFonts w:ascii="Arial" w:hAnsi="Arial" w:cs="Arial"/>
          <w:sz w:val="22"/>
          <w:szCs w:val="22"/>
        </w:rPr>
        <w:t xml:space="preserve">. </w:t>
      </w:r>
      <w:r w:rsidR="00455127" w:rsidRPr="0091002C">
        <w:rPr>
          <w:rFonts w:ascii="Arial" w:hAnsi="Arial" w:cs="Arial"/>
          <w:sz w:val="22"/>
          <w:szCs w:val="22"/>
        </w:rPr>
        <w:t xml:space="preserve">El cumplimiento de dichos indicadores será comprobado mediante la información contenida en la Matriz de Medios de Verificación. </w:t>
      </w:r>
      <w:r w:rsidR="00A86794" w:rsidRPr="0091002C">
        <w:rPr>
          <w:rFonts w:ascii="Arial" w:hAnsi="Arial" w:cs="Arial"/>
          <w:sz w:val="22"/>
          <w:szCs w:val="22"/>
        </w:rPr>
        <w:t>D</w:t>
      </w:r>
      <w:r w:rsidR="00455127" w:rsidRPr="0091002C">
        <w:rPr>
          <w:rFonts w:ascii="Arial" w:hAnsi="Arial" w:cs="Arial"/>
          <w:sz w:val="22"/>
          <w:szCs w:val="22"/>
        </w:rPr>
        <w:t>icha Matriz especifica todas las acciones a ser implementadas en el programa, las entidades responsables por llevar a cabo cada una de dichas acciones, y la información específica que permitirá al Banco verificar su cumplimiento</w:t>
      </w:r>
      <w:r w:rsidR="00A86794" w:rsidRPr="0091002C">
        <w:rPr>
          <w:rFonts w:ascii="Arial" w:hAnsi="Arial" w:cs="Arial"/>
          <w:sz w:val="22"/>
          <w:szCs w:val="22"/>
        </w:rPr>
        <w:t>.</w:t>
      </w:r>
    </w:p>
    <w:p w:rsidR="00EC2F7D" w:rsidRPr="004A15DC" w:rsidRDefault="00A86794" w:rsidP="0047047E">
      <w:pPr>
        <w:pStyle w:val="Paragraph"/>
        <w:numPr>
          <w:ilvl w:val="1"/>
          <w:numId w:val="6"/>
        </w:numPr>
        <w:ind w:left="720" w:hanging="720"/>
        <w:rPr>
          <w:rFonts w:ascii="Arial" w:hAnsi="Arial" w:cs="Arial"/>
          <w:sz w:val="22"/>
          <w:szCs w:val="22"/>
        </w:rPr>
      </w:pPr>
      <w:r w:rsidRPr="004A15DC">
        <w:rPr>
          <w:rFonts w:ascii="Arial" w:hAnsi="Arial" w:cs="Arial"/>
          <w:b/>
          <w:sz w:val="22"/>
          <w:szCs w:val="22"/>
        </w:rPr>
        <w:lastRenderedPageBreak/>
        <w:t xml:space="preserve">Indicadores </w:t>
      </w:r>
      <w:r w:rsidR="000121AF" w:rsidRPr="004A15DC">
        <w:rPr>
          <w:rFonts w:ascii="Arial" w:hAnsi="Arial" w:cs="Arial"/>
          <w:b/>
          <w:sz w:val="22"/>
          <w:szCs w:val="22"/>
        </w:rPr>
        <w:t>de resultados</w:t>
      </w:r>
      <w:r w:rsidR="000121AF" w:rsidRPr="004A15DC">
        <w:rPr>
          <w:rFonts w:ascii="Arial" w:hAnsi="Arial" w:cs="Arial"/>
          <w:sz w:val="22"/>
          <w:szCs w:val="22"/>
        </w:rPr>
        <w:t xml:space="preserve">. </w:t>
      </w:r>
      <w:r w:rsidR="000121AF" w:rsidRPr="0091002C">
        <w:rPr>
          <w:rFonts w:ascii="Arial" w:hAnsi="Arial" w:cs="Arial"/>
          <w:sz w:val="22"/>
          <w:szCs w:val="22"/>
        </w:rPr>
        <w:t xml:space="preserve">Los indicadores a los que se dará seguimiento son aquéllos contenidos en la Matriz de </w:t>
      </w:r>
      <w:r w:rsidR="009A5BD1" w:rsidRPr="0091002C">
        <w:rPr>
          <w:rFonts w:ascii="Arial" w:hAnsi="Arial" w:cs="Arial"/>
          <w:sz w:val="22"/>
          <w:szCs w:val="22"/>
        </w:rPr>
        <w:t>Resultados</w:t>
      </w:r>
      <w:r w:rsidR="000121AF" w:rsidRPr="0091002C">
        <w:rPr>
          <w:rFonts w:ascii="Arial" w:hAnsi="Arial" w:cs="Arial"/>
          <w:sz w:val="22"/>
          <w:szCs w:val="22"/>
        </w:rPr>
        <w:t xml:space="preserve">. El </w:t>
      </w:r>
      <w:r w:rsidR="00A06778" w:rsidRPr="0091002C">
        <w:rPr>
          <w:rFonts w:ascii="Arial" w:hAnsi="Arial" w:cs="Arial"/>
          <w:sz w:val="22"/>
          <w:szCs w:val="22"/>
        </w:rPr>
        <w:t xml:space="preserve">progreso </w:t>
      </w:r>
      <w:r w:rsidR="000121AF" w:rsidRPr="0091002C">
        <w:rPr>
          <w:rFonts w:ascii="Arial" w:hAnsi="Arial" w:cs="Arial"/>
          <w:sz w:val="22"/>
          <w:szCs w:val="22"/>
        </w:rPr>
        <w:t>de dichos indicadores será</w:t>
      </w:r>
      <w:r w:rsidR="00A06778" w:rsidRPr="0091002C">
        <w:rPr>
          <w:rFonts w:ascii="Arial" w:hAnsi="Arial" w:cs="Arial"/>
          <w:sz w:val="22"/>
          <w:szCs w:val="22"/>
        </w:rPr>
        <w:t xml:space="preserve"> relevado </w:t>
      </w:r>
      <w:r w:rsidR="00A072E2" w:rsidRPr="0091002C">
        <w:rPr>
          <w:rFonts w:ascii="Arial" w:hAnsi="Arial" w:cs="Arial"/>
          <w:sz w:val="22"/>
          <w:szCs w:val="22"/>
        </w:rPr>
        <w:t>en base a informes de avance elaborados por el OE</w:t>
      </w:r>
      <w:r w:rsidR="000121AF" w:rsidRPr="0091002C">
        <w:rPr>
          <w:rFonts w:ascii="Arial" w:hAnsi="Arial" w:cs="Arial"/>
          <w:sz w:val="22"/>
          <w:szCs w:val="22"/>
        </w:rPr>
        <w:t>.</w:t>
      </w:r>
    </w:p>
    <w:p w:rsidR="00A135AE" w:rsidRPr="004049D1" w:rsidRDefault="00A135AE" w:rsidP="00537028">
      <w:pPr>
        <w:pStyle w:val="Heading2"/>
        <w:ind w:hanging="720"/>
        <w:rPr>
          <w:sz w:val="22"/>
          <w:szCs w:val="22"/>
          <w:lang w:val="es-ES"/>
        </w:rPr>
      </w:pPr>
      <w:bookmarkStart w:id="32" w:name="_Toc394918512"/>
      <w:r w:rsidRPr="004049D1">
        <w:rPr>
          <w:sz w:val="22"/>
          <w:szCs w:val="22"/>
          <w:lang w:val="es-ES"/>
        </w:rPr>
        <w:t>Recopilación de datos e instrumentos</w:t>
      </w:r>
      <w:bookmarkEnd w:id="32"/>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El objetivo de esta actividad es hacer un seguimiento cercano a la ejecución del programa, monitoreando el cumplimiento de las metas tanto en términos de eficacia como en términos de oportunidad (que las acciones lleguen en los momentos efectivamente planificados). Esto se conseguirá con el </w:t>
      </w:r>
      <w:r w:rsidR="00B23FCE" w:rsidRPr="0091002C">
        <w:rPr>
          <w:rFonts w:ascii="Arial" w:hAnsi="Arial" w:cs="Arial"/>
          <w:sz w:val="22"/>
          <w:szCs w:val="22"/>
        </w:rPr>
        <w:t>cumplimiento en fecha de las acciones de política acordadas</w:t>
      </w:r>
      <w:r w:rsidRPr="0091002C">
        <w:rPr>
          <w:rFonts w:ascii="Arial" w:hAnsi="Arial" w:cs="Arial"/>
          <w:sz w:val="22"/>
          <w:szCs w:val="22"/>
        </w:rPr>
        <w:t xml:space="preserve">. </w:t>
      </w:r>
    </w:p>
    <w:p w:rsidR="003E4D28"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La información sobre los productos se obtendrá a partir de </w:t>
      </w:r>
      <w:r w:rsidR="00557963" w:rsidRPr="0091002C">
        <w:rPr>
          <w:rFonts w:ascii="Arial" w:hAnsi="Arial" w:cs="Arial"/>
          <w:sz w:val="22"/>
          <w:szCs w:val="22"/>
        </w:rPr>
        <w:t xml:space="preserve">la evidencia de cumplimiento de los compromisos de política y otros aspectos que el OE, </w:t>
      </w:r>
      <w:r w:rsidR="00557963" w:rsidRPr="004A15DC">
        <w:rPr>
          <w:rFonts w:ascii="Arial" w:eastAsia="Arial" w:hAnsi="Arial" w:cs="Arial"/>
          <w:color w:val="000000"/>
          <w:sz w:val="22"/>
          <w:szCs w:val="22"/>
        </w:rPr>
        <w:t xml:space="preserve">en coordinación con </w:t>
      </w:r>
      <w:r w:rsidR="006F55C7" w:rsidRPr="004A15DC">
        <w:rPr>
          <w:rFonts w:ascii="Arial" w:eastAsia="Arial" w:hAnsi="Arial" w:cs="Arial"/>
          <w:color w:val="000000"/>
          <w:sz w:val="22"/>
          <w:szCs w:val="22"/>
        </w:rPr>
        <w:t xml:space="preserve">la </w:t>
      </w:r>
      <w:r w:rsidR="00557963" w:rsidRPr="004A15DC">
        <w:rPr>
          <w:rFonts w:ascii="Arial" w:eastAsia="Arial" w:hAnsi="Arial" w:cs="Arial"/>
          <w:color w:val="000000"/>
          <w:sz w:val="22"/>
          <w:szCs w:val="22"/>
        </w:rPr>
        <w:t>SEGPRES,</w:t>
      </w:r>
      <w:r w:rsidR="006F55C7" w:rsidRPr="004A15DC">
        <w:rPr>
          <w:rFonts w:ascii="Arial" w:eastAsia="Arial" w:hAnsi="Arial" w:cs="Arial"/>
          <w:color w:val="000000"/>
          <w:sz w:val="22"/>
          <w:szCs w:val="22"/>
        </w:rPr>
        <w:t xml:space="preserve"> remita al BID a partir de la fecha de aprobación del préstamo hasta la </w:t>
      </w:r>
      <w:r w:rsidR="00C2039E" w:rsidRPr="004A15DC">
        <w:rPr>
          <w:rFonts w:ascii="Arial" w:eastAsia="Arial" w:hAnsi="Arial" w:cs="Arial"/>
          <w:color w:val="000000"/>
          <w:sz w:val="22"/>
          <w:szCs w:val="22"/>
        </w:rPr>
        <w:t>ejecución del único Desembolso</w:t>
      </w:r>
      <w:r w:rsidR="00B23FCE" w:rsidRPr="0091002C">
        <w:rPr>
          <w:rFonts w:ascii="Arial" w:hAnsi="Arial" w:cs="Arial"/>
          <w:sz w:val="22"/>
          <w:szCs w:val="22"/>
        </w:rPr>
        <w:t>.</w:t>
      </w:r>
      <w:r w:rsidR="00A51E86" w:rsidRPr="0091002C">
        <w:rPr>
          <w:rFonts w:ascii="Arial" w:hAnsi="Arial" w:cs="Arial"/>
          <w:sz w:val="22"/>
          <w:szCs w:val="22"/>
        </w:rPr>
        <w:t xml:space="preserve"> Ver en Cuadro 1 el plan de trabajo de </w:t>
      </w:r>
      <w:r w:rsidR="00472BFC" w:rsidRPr="0091002C">
        <w:rPr>
          <w:rFonts w:ascii="Arial" w:hAnsi="Arial" w:cs="Arial"/>
          <w:sz w:val="22"/>
          <w:szCs w:val="22"/>
        </w:rPr>
        <w:t>actividades de</w:t>
      </w:r>
      <w:r w:rsidR="00DB0E30" w:rsidRPr="0091002C">
        <w:rPr>
          <w:rFonts w:ascii="Arial" w:hAnsi="Arial" w:cs="Arial"/>
          <w:sz w:val="22"/>
          <w:szCs w:val="22"/>
        </w:rPr>
        <w:t xml:space="preserve"> monitoreo</w:t>
      </w:r>
      <w:r w:rsidR="00A51E86" w:rsidRPr="0091002C">
        <w:rPr>
          <w:rFonts w:ascii="Arial" w:hAnsi="Arial" w:cs="Arial"/>
          <w:sz w:val="22"/>
          <w:szCs w:val="22"/>
        </w:rPr>
        <w:t>.</w:t>
      </w:r>
    </w:p>
    <w:p w:rsidR="006D61FB" w:rsidRPr="0091002C" w:rsidRDefault="006D61FB"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La información sobre los resultados y propósitos se obtendrá a partir de informes de los avances de cada uno de los componentes y el desempeño del programa según la Matriz de Resultados acordada que el OE, </w:t>
      </w:r>
      <w:r w:rsidRPr="004A15DC">
        <w:rPr>
          <w:rFonts w:ascii="Arial" w:eastAsia="Arial" w:hAnsi="Arial" w:cs="Arial"/>
          <w:color w:val="000000"/>
          <w:sz w:val="22"/>
          <w:szCs w:val="22"/>
        </w:rPr>
        <w:t>en coordinación con la SEGPRES, remita al BID semestralmente.</w:t>
      </w:r>
      <w:r w:rsidR="00A06778" w:rsidRPr="004A15DC">
        <w:rPr>
          <w:rFonts w:ascii="Arial" w:eastAsia="Arial" w:hAnsi="Arial" w:cs="Arial"/>
          <w:color w:val="000000"/>
          <w:sz w:val="22"/>
          <w:szCs w:val="22"/>
        </w:rPr>
        <w:t xml:space="preserve"> </w:t>
      </w:r>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La publicación de los resultados del monitoreo del proyecto, conformada principalmente por los documentos </w:t>
      </w:r>
      <w:r w:rsidR="00B23FCE" w:rsidRPr="0091002C">
        <w:rPr>
          <w:rFonts w:ascii="Arial" w:hAnsi="Arial" w:cs="Arial"/>
          <w:sz w:val="22"/>
          <w:szCs w:val="22"/>
        </w:rPr>
        <w:t>que se describirán a continuación</w:t>
      </w:r>
      <w:r w:rsidRPr="0091002C">
        <w:rPr>
          <w:rFonts w:ascii="Arial" w:hAnsi="Arial" w:cs="Arial"/>
          <w:sz w:val="22"/>
          <w:szCs w:val="22"/>
        </w:rPr>
        <w:t xml:space="preserve">, se irá realizando a medida que se vayan formulando los informes. Se estima que se tendrá disponible el archivo de todos los documentos hasta a más tardar </w:t>
      </w:r>
      <w:r w:rsidR="005C07B0" w:rsidRPr="0091002C">
        <w:rPr>
          <w:rFonts w:ascii="Arial" w:hAnsi="Arial" w:cs="Arial"/>
          <w:sz w:val="22"/>
          <w:szCs w:val="22"/>
        </w:rPr>
        <w:t>cinco</w:t>
      </w:r>
      <w:r w:rsidRPr="0091002C">
        <w:rPr>
          <w:rFonts w:ascii="Arial" w:hAnsi="Arial" w:cs="Arial"/>
          <w:sz w:val="22"/>
          <w:szCs w:val="22"/>
        </w:rPr>
        <w:t xml:space="preserve">  años luego del desembolso de la última operación del programa.</w:t>
      </w:r>
    </w:p>
    <w:p w:rsidR="00A135AE" w:rsidRPr="004049D1" w:rsidRDefault="00A135AE" w:rsidP="00537028">
      <w:pPr>
        <w:pStyle w:val="Heading2"/>
        <w:ind w:hanging="720"/>
        <w:rPr>
          <w:sz w:val="22"/>
          <w:szCs w:val="22"/>
          <w:lang w:val="es-ES"/>
        </w:rPr>
      </w:pPr>
      <w:bookmarkStart w:id="33" w:name="_Toc394918513"/>
      <w:r w:rsidRPr="004049D1">
        <w:rPr>
          <w:sz w:val="22"/>
          <w:szCs w:val="22"/>
          <w:lang w:val="es-ES"/>
        </w:rPr>
        <w:t>Presentación de informes</w:t>
      </w:r>
      <w:bookmarkEnd w:id="33"/>
    </w:p>
    <w:p w:rsidR="00A135AE" w:rsidRPr="0091002C" w:rsidRDefault="00B23FCE" w:rsidP="0047047E">
      <w:pPr>
        <w:pStyle w:val="Paragraph"/>
        <w:keepNext/>
        <w:keepLines/>
        <w:numPr>
          <w:ilvl w:val="1"/>
          <w:numId w:val="6"/>
        </w:numPr>
        <w:tabs>
          <w:tab w:val="left" w:pos="720"/>
        </w:tabs>
        <w:ind w:left="720" w:hanging="720"/>
        <w:rPr>
          <w:rFonts w:ascii="Arial" w:hAnsi="Arial" w:cs="Arial"/>
          <w:sz w:val="22"/>
          <w:szCs w:val="22"/>
        </w:rPr>
      </w:pPr>
      <w:r w:rsidRPr="0091002C">
        <w:rPr>
          <w:rFonts w:ascii="Arial" w:hAnsi="Arial" w:cs="Arial"/>
          <w:sz w:val="22"/>
          <w:szCs w:val="22"/>
        </w:rPr>
        <w:t>El Ministerio de Hacienda</w:t>
      </w:r>
      <w:r w:rsidR="00E20C33" w:rsidRPr="0091002C">
        <w:rPr>
          <w:rFonts w:ascii="Arial" w:hAnsi="Arial" w:cs="Arial"/>
          <w:sz w:val="22"/>
          <w:szCs w:val="22"/>
        </w:rPr>
        <w:t>, en coordinación con la SEGPRES,</w:t>
      </w:r>
      <w:r w:rsidRPr="0091002C">
        <w:rPr>
          <w:rFonts w:ascii="Arial" w:hAnsi="Arial" w:cs="Arial"/>
          <w:sz w:val="22"/>
          <w:szCs w:val="22"/>
        </w:rPr>
        <w:t xml:space="preserve"> </w:t>
      </w:r>
      <w:r w:rsidR="00A135AE" w:rsidRPr="0091002C">
        <w:rPr>
          <w:rFonts w:ascii="Arial" w:hAnsi="Arial" w:cs="Arial"/>
          <w:sz w:val="22"/>
          <w:szCs w:val="22"/>
        </w:rPr>
        <w:t xml:space="preserve">presentará informes de progreso con datos sobre los avances en la ejecución, incluyendo los indicadores de productos y resultados. Estos informes serán de periodicidad semestral. </w:t>
      </w:r>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En cuanto a la información para monitorear el avance de los resultados, se utilizarán principalmente los informes generados por </w:t>
      </w:r>
      <w:r w:rsidR="00B23FCE" w:rsidRPr="0091002C">
        <w:rPr>
          <w:rFonts w:ascii="Arial" w:hAnsi="Arial" w:cs="Arial"/>
          <w:sz w:val="22"/>
          <w:szCs w:val="22"/>
        </w:rPr>
        <w:t>el Ministerio de Hacienda</w:t>
      </w:r>
      <w:r w:rsidR="008D329B" w:rsidRPr="0091002C">
        <w:rPr>
          <w:rFonts w:ascii="Arial" w:hAnsi="Arial" w:cs="Arial"/>
          <w:sz w:val="22"/>
          <w:szCs w:val="22"/>
        </w:rPr>
        <w:t>, en coordinación con la SEGPRES</w:t>
      </w:r>
      <w:r w:rsidRPr="0091002C">
        <w:rPr>
          <w:rFonts w:ascii="Arial" w:hAnsi="Arial" w:cs="Arial"/>
          <w:sz w:val="22"/>
          <w:szCs w:val="22"/>
        </w:rPr>
        <w:t>. Los informes de avance serán generados semestralmente, ya que las reformas contempladas en este programa toman tiempo, y dadas las complejidades técnicas y operativas, es fundamental hacer un seguimiento continuo para visualizar avances y solucionar inconvenientes oportunamente El levantamiento y seguimiento de los indicadores de la matriz permitirá contar con la información necesaria para evaluar los resultados de l</w:t>
      </w:r>
      <w:r w:rsidR="00225B2C" w:rsidRPr="0091002C">
        <w:rPr>
          <w:rFonts w:ascii="Arial" w:hAnsi="Arial" w:cs="Arial"/>
          <w:sz w:val="22"/>
          <w:szCs w:val="22"/>
        </w:rPr>
        <w:t>a</w:t>
      </w:r>
      <w:r w:rsidRPr="0091002C">
        <w:rPr>
          <w:rFonts w:ascii="Arial" w:hAnsi="Arial" w:cs="Arial"/>
          <w:sz w:val="22"/>
          <w:szCs w:val="22"/>
        </w:rPr>
        <w:t xml:space="preserve">s </w:t>
      </w:r>
      <w:r w:rsidR="00225B2C" w:rsidRPr="0091002C">
        <w:rPr>
          <w:rFonts w:ascii="Arial" w:hAnsi="Arial" w:cs="Arial"/>
          <w:sz w:val="22"/>
          <w:szCs w:val="22"/>
        </w:rPr>
        <w:t xml:space="preserve">dos operaciones programáticas </w:t>
      </w:r>
      <w:r w:rsidRPr="0091002C">
        <w:rPr>
          <w:rFonts w:ascii="Arial" w:hAnsi="Arial" w:cs="Arial"/>
          <w:sz w:val="22"/>
          <w:szCs w:val="22"/>
        </w:rPr>
        <w:t>del programa al final del</w:t>
      </w:r>
      <w:r w:rsidR="003D38C9" w:rsidRPr="0091002C">
        <w:rPr>
          <w:rFonts w:ascii="Arial" w:hAnsi="Arial" w:cs="Arial"/>
          <w:sz w:val="22"/>
          <w:szCs w:val="22"/>
        </w:rPr>
        <w:t xml:space="preserve"> quinto</w:t>
      </w:r>
      <w:r w:rsidRPr="0091002C">
        <w:rPr>
          <w:rFonts w:ascii="Arial" w:hAnsi="Arial" w:cs="Arial"/>
          <w:sz w:val="22"/>
          <w:szCs w:val="22"/>
        </w:rPr>
        <w:t xml:space="preserve"> año.</w:t>
      </w:r>
    </w:p>
    <w:p w:rsidR="00A135AE" w:rsidRPr="004049D1" w:rsidRDefault="00A135AE" w:rsidP="00537028">
      <w:pPr>
        <w:pStyle w:val="Heading2"/>
        <w:ind w:hanging="720"/>
        <w:rPr>
          <w:sz w:val="22"/>
          <w:szCs w:val="22"/>
          <w:lang w:val="es-ES"/>
        </w:rPr>
      </w:pPr>
      <w:bookmarkStart w:id="34" w:name="_Toc394918514"/>
      <w:r w:rsidRPr="004049D1">
        <w:rPr>
          <w:sz w:val="22"/>
          <w:szCs w:val="22"/>
          <w:lang w:val="es-ES"/>
        </w:rPr>
        <w:t>Coordinación, plan de trabajo y presupuesto del monitoreo</w:t>
      </w:r>
      <w:bookmarkEnd w:id="34"/>
    </w:p>
    <w:p w:rsidR="00A135AE"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t xml:space="preserve">Como ya fue mencionado, el </w:t>
      </w:r>
      <w:r w:rsidR="00B23FCE" w:rsidRPr="0091002C">
        <w:rPr>
          <w:rFonts w:ascii="Arial" w:hAnsi="Arial" w:cs="Arial"/>
          <w:sz w:val="22"/>
          <w:szCs w:val="22"/>
        </w:rPr>
        <w:t xml:space="preserve">Ministerio de Hacienda </w:t>
      </w:r>
      <w:r w:rsidRPr="0091002C">
        <w:rPr>
          <w:rFonts w:ascii="Arial" w:hAnsi="Arial" w:cs="Arial"/>
          <w:sz w:val="22"/>
          <w:szCs w:val="22"/>
        </w:rPr>
        <w:t xml:space="preserve">será </w:t>
      </w:r>
      <w:r w:rsidR="00B23FCE" w:rsidRPr="0091002C">
        <w:rPr>
          <w:rFonts w:ascii="Arial" w:hAnsi="Arial" w:cs="Arial"/>
          <w:sz w:val="22"/>
          <w:szCs w:val="22"/>
        </w:rPr>
        <w:t>el</w:t>
      </w:r>
      <w:r w:rsidRPr="0091002C">
        <w:rPr>
          <w:rFonts w:ascii="Arial" w:hAnsi="Arial" w:cs="Arial"/>
          <w:sz w:val="22"/>
          <w:szCs w:val="22"/>
        </w:rPr>
        <w:t xml:space="preserve"> responsable del Monitoreo y Evaluación</w:t>
      </w:r>
      <w:r w:rsidR="00FA781E" w:rsidRPr="0091002C">
        <w:rPr>
          <w:rFonts w:ascii="Arial" w:hAnsi="Arial" w:cs="Arial"/>
          <w:sz w:val="22"/>
          <w:szCs w:val="22"/>
        </w:rPr>
        <w:t>, en coordinación con la SEGPRES</w:t>
      </w:r>
      <w:r w:rsidRPr="0091002C">
        <w:rPr>
          <w:rFonts w:ascii="Arial" w:hAnsi="Arial" w:cs="Arial"/>
          <w:sz w:val="22"/>
          <w:szCs w:val="22"/>
        </w:rPr>
        <w:t xml:space="preserve">. Será responsabilidad de esta unidad realizar y presentar los informes semestrales descritos </w:t>
      </w:r>
      <w:r w:rsidR="00FA781E" w:rsidRPr="0091002C">
        <w:rPr>
          <w:rFonts w:ascii="Arial" w:hAnsi="Arial" w:cs="Arial"/>
          <w:sz w:val="22"/>
          <w:szCs w:val="22"/>
        </w:rPr>
        <w:t>antes</w:t>
      </w:r>
      <w:r w:rsidRPr="0091002C">
        <w:rPr>
          <w:rFonts w:ascii="Arial" w:hAnsi="Arial" w:cs="Arial"/>
          <w:sz w:val="22"/>
          <w:szCs w:val="22"/>
        </w:rPr>
        <w:t xml:space="preserve"> y el continuo monitoreo de los indicadores de productos y resultados dentro de la Matriz de Resultados. </w:t>
      </w:r>
    </w:p>
    <w:p w:rsidR="00DB0E30" w:rsidRPr="0091002C" w:rsidRDefault="00A135AE" w:rsidP="0047047E">
      <w:pPr>
        <w:pStyle w:val="Paragraph"/>
        <w:numPr>
          <w:ilvl w:val="1"/>
          <w:numId w:val="6"/>
        </w:numPr>
        <w:ind w:left="720" w:hanging="720"/>
        <w:rPr>
          <w:rFonts w:ascii="Arial" w:hAnsi="Arial" w:cs="Arial"/>
          <w:sz w:val="22"/>
          <w:szCs w:val="22"/>
        </w:rPr>
      </w:pPr>
      <w:r w:rsidRPr="0091002C">
        <w:rPr>
          <w:rFonts w:ascii="Arial" w:hAnsi="Arial" w:cs="Arial"/>
          <w:sz w:val="22"/>
          <w:szCs w:val="22"/>
        </w:rPr>
        <w:lastRenderedPageBreak/>
        <w:t xml:space="preserve">El BID realizará, además del apoyo regular al proyecto, misiones de administración, con periodicidad anual, para hacer seguimiento al avance del programa en términos de productos y resultados. El seguimiento estará compuesto de actividades de periodicidad semestral (actualización periódica de la base de datos) y otras de periodicidad anual (informes de productos y resultados, misiones de administración del BID). Así, el presupuesto para las actividades de monitoreo y evaluación estará cubierto por </w:t>
      </w:r>
      <w:r w:rsidR="003D38C9" w:rsidRPr="0091002C">
        <w:rPr>
          <w:rFonts w:ascii="Arial" w:hAnsi="Arial" w:cs="Arial"/>
          <w:sz w:val="22"/>
          <w:szCs w:val="22"/>
        </w:rPr>
        <w:t>recursos internos del BID.</w:t>
      </w:r>
    </w:p>
    <w:p w:rsidR="00F33F91" w:rsidRPr="0091002C" w:rsidRDefault="00F33F91" w:rsidP="00095133">
      <w:pPr>
        <w:spacing w:after="0" w:line="240" w:lineRule="auto"/>
        <w:jc w:val="center"/>
        <w:rPr>
          <w:rFonts w:cs="Arial"/>
          <w:b/>
          <w:lang w:val="es-ES"/>
        </w:rPr>
        <w:sectPr w:rsidR="00F33F91" w:rsidRPr="0091002C" w:rsidSect="00AC1B21">
          <w:headerReference w:type="default" r:id="rId14"/>
          <w:type w:val="continuous"/>
          <w:pgSz w:w="12240" w:h="15840" w:code="1"/>
          <w:pgMar w:top="1440" w:right="1800" w:bottom="1440" w:left="1800" w:header="706" w:footer="706" w:gutter="0"/>
          <w:cols w:space="720"/>
          <w:formProt w:val="0"/>
          <w:titlePg/>
          <w:docGrid w:linePitch="326"/>
        </w:sectPr>
      </w:pPr>
    </w:p>
    <w:p w:rsidR="00EB54D4" w:rsidRPr="0091002C" w:rsidRDefault="00C37F45" w:rsidP="00095133">
      <w:pPr>
        <w:spacing w:after="0" w:line="240" w:lineRule="auto"/>
        <w:jc w:val="center"/>
        <w:rPr>
          <w:rFonts w:eastAsia="Times New Roman" w:cs="Arial"/>
          <w:highlight w:val="red"/>
          <w:lang w:val="es-ES"/>
        </w:rPr>
      </w:pPr>
      <w:r w:rsidRPr="0091002C">
        <w:rPr>
          <w:rFonts w:cs="Arial"/>
          <w:b/>
          <w:lang w:val="es-ES"/>
        </w:rPr>
        <w:lastRenderedPageBreak/>
        <w:t xml:space="preserve">Cuadro I </w:t>
      </w:r>
      <w:r w:rsidR="00472BFC" w:rsidRPr="0091002C">
        <w:rPr>
          <w:rFonts w:cs="Arial"/>
          <w:b/>
          <w:lang w:val="es-ES"/>
        </w:rPr>
        <w:t xml:space="preserve">– Plan de Trabajo de </w:t>
      </w:r>
      <w:r w:rsidRPr="0091002C">
        <w:rPr>
          <w:rFonts w:cs="Arial"/>
          <w:b/>
          <w:lang w:val="es-ES"/>
        </w:rPr>
        <w:t>Actividades de Monitoreo</w:t>
      </w:r>
    </w:p>
    <w:p w:rsidR="00055637" w:rsidRPr="0091002C" w:rsidRDefault="00055637" w:rsidP="00E63985">
      <w:pPr>
        <w:spacing w:after="0"/>
        <w:rPr>
          <w:rFonts w:cs="Arial"/>
          <w:b/>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40"/>
        <w:gridCol w:w="630"/>
        <w:gridCol w:w="720"/>
        <w:gridCol w:w="1260"/>
        <w:gridCol w:w="3150"/>
        <w:gridCol w:w="1080"/>
        <w:gridCol w:w="1620"/>
      </w:tblGrid>
      <w:tr w:rsidR="00FA46CD" w:rsidRPr="00003A68" w:rsidTr="004A15DC">
        <w:trPr>
          <w:trHeight w:val="521"/>
          <w:tblHeader/>
        </w:trPr>
        <w:tc>
          <w:tcPr>
            <w:tcW w:w="4248" w:type="dxa"/>
            <w:vMerge w:val="restart"/>
            <w:shd w:val="clear" w:color="auto" w:fill="95B3D7"/>
            <w:vAlign w:val="center"/>
          </w:tcPr>
          <w:p w:rsidR="00C213A4" w:rsidRPr="00003A68" w:rsidRDefault="00C213A4"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Actividades de seguimiento/Productos por actividad</w:t>
            </w:r>
          </w:p>
        </w:tc>
        <w:tc>
          <w:tcPr>
            <w:tcW w:w="1890" w:type="dxa"/>
            <w:gridSpan w:val="3"/>
            <w:shd w:val="clear" w:color="auto" w:fill="95B3D7"/>
            <w:vAlign w:val="center"/>
          </w:tcPr>
          <w:p w:rsidR="00C213A4" w:rsidRPr="00003A68" w:rsidRDefault="000241A7"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Año</w:t>
            </w:r>
          </w:p>
        </w:tc>
        <w:tc>
          <w:tcPr>
            <w:tcW w:w="1260" w:type="dxa"/>
            <w:vMerge w:val="restart"/>
            <w:shd w:val="clear" w:color="auto" w:fill="95B3D7"/>
            <w:vAlign w:val="center"/>
          </w:tcPr>
          <w:p w:rsidR="00C213A4" w:rsidRPr="00003A68" w:rsidRDefault="00C213A4"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Responsable</w:t>
            </w:r>
          </w:p>
        </w:tc>
        <w:tc>
          <w:tcPr>
            <w:tcW w:w="3150" w:type="dxa"/>
            <w:vMerge w:val="restart"/>
            <w:shd w:val="clear" w:color="auto" w:fill="95B3D7"/>
            <w:vAlign w:val="center"/>
          </w:tcPr>
          <w:p w:rsidR="00C213A4" w:rsidRPr="00003A68" w:rsidRDefault="00FB36DB"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 xml:space="preserve">Medios </w:t>
            </w:r>
            <w:r w:rsidR="00C213A4" w:rsidRPr="00003A68">
              <w:rPr>
                <w:rFonts w:eastAsia="Times New Roman" w:cs="Arial"/>
                <w:b/>
                <w:sz w:val="18"/>
                <w:szCs w:val="18"/>
                <w:lang w:val="es-ES"/>
              </w:rPr>
              <w:t>de verificación</w:t>
            </w:r>
          </w:p>
        </w:tc>
        <w:tc>
          <w:tcPr>
            <w:tcW w:w="1080" w:type="dxa"/>
            <w:vMerge w:val="restart"/>
            <w:shd w:val="clear" w:color="auto" w:fill="95B3D7"/>
            <w:vAlign w:val="center"/>
          </w:tcPr>
          <w:p w:rsidR="00C213A4" w:rsidRPr="00003A68" w:rsidRDefault="00C213A4"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Costo</w:t>
            </w:r>
          </w:p>
          <w:p w:rsidR="00C213A4" w:rsidRPr="00003A68" w:rsidRDefault="00C213A4"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(US$)</w:t>
            </w:r>
          </w:p>
        </w:tc>
        <w:tc>
          <w:tcPr>
            <w:tcW w:w="1620" w:type="dxa"/>
            <w:vMerge w:val="restart"/>
            <w:shd w:val="clear" w:color="auto" w:fill="95B3D7"/>
            <w:vAlign w:val="center"/>
          </w:tcPr>
          <w:p w:rsidR="00C213A4" w:rsidRPr="00003A68" w:rsidRDefault="00C213A4"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Financiamiento</w:t>
            </w:r>
          </w:p>
        </w:tc>
      </w:tr>
      <w:tr w:rsidR="00FA46CD" w:rsidRPr="00003A68" w:rsidTr="004A15DC">
        <w:trPr>
          <w:trHeight w:val="60"/>
          <w:tblHeader/>
        </w:trPr>
        <w:tc>
          <w:tcPr>
            <w:tcW w:w="4248" w:type="dxa"/>
            <w:vMerge/>
            <w:shd w:val="clear" w:color="auto" w:fill="95B3D7"/>
          </w:tcPr>
          <w:p w:rsidR="00C213A4" w:rsidRPr="00003A68" w:rsidRDefault="00C213A4" w:rsidP="004A15DC">
            <w:pPr>
              <w:spacing w:after="0" w:line="240" w:lineRule="auto"/>
              <w:jc w:val="center"/>
              <w:rPr>
                <w:rFonts w:eastAsia="Times New Roman" w:cs="Arial"/>
                <w:sz w:val="18"/>
                <w:szCs w:val="18"/>
                <w:lang w:val="es-ES"/>
              </w:rPr>
            </w:pPr>
          </w:p>
        </w:tc>
        <w:tc>
          <w:tcPr>
            <w:tcW w:w="540" w:type="dxa"/>
            <w:shd w:val="clear" w:color="auto" w:fill="95B3D7"/>
          </w:tcPr>
          <w:p w:rsidR="00C213A4" w:rsidRPr="00003A68" w:rsidRDefault="00C213A4"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1</w:t>
            </w:r>
          </w:p>
        </w:tc>
        <w:tc>
          <w:tcPr>
            <w:tcW w:w="630" w:type="dxa"/>
            <w:shd w:val="clear" w:color="auto" w:fill="95B3D7"/>
          </w:tcPr>
          <w:p w:rsidR="00C213A4" w:rsidRPr="00003A68" w:rsidRDefault="000B66E1" w:rsidP="004A15DC">
            <w:pPr>
              <w:spacing w:after="0" w:line="240" w:lineRule="auto"/>
              <w:jc w:val="center"/>
              <w:rPr>
                <w:rFonts w:eastAsia="Times New Roman" w:cs="Arial"/>
                <w:sz w:val="18"/>
                <w:szCs w:val="18"/>
                <w:lang w:val="es-ES"/>
              </w:rPr>
            </w:pPr>
            <w:r w:rsidRPr="00003A68">
              <w:rPr>
                <w:rStyle w:val="FootnoteReference"/>
                <w:rFonts w:eastAsia="Times New Roman" w:cs="Arial"/>
                <w:sz w:val="18"/>
                <w:szCs w:val="18"/>
                <w:lang w:val="es-ES"/>
              </w:rPr>
              <w:footnoteReference w:id="3"/>
            </w:r>
            <w:r w:rsidR="00C213A4" w:rsidRPr="00003A68">
              <w:rPr>
                <w:rFonts w:eastAsia="Times New Roman" w:cs="Arial"/>
                <w:sz w:val="18"/>
                <w:szCs w:val="18"/>
                <w:lang w:val="es-ES"/>
              </w:rPr>
              <w:t>2</w:t>
            </w:r>
          </w:p>
        </w:tc>
        <w:tc>
          <w:tcPr>
            <w:tcW w:w="720" w:type="dxa"/>
            <w:shd w:val="clear" w:color="auto" w:fill="95B3D7"/>
          </w:tcPr>
          <w:p w:rsidR="00C213A4" w:rsidRPr="00003A68" w:rsidRDefault="00C213A4"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3</w:t>
            </w:r>
          </w:p>
        </w:tc>
        <w:tc>
          <w:tcPr>
            <w:tcW w:w="1260" w:type="dxa"/>
            <w:vMerge/>
            <w:shd w:val="clear" w:color="auto" w:fill="95B3D7"/>
          </w:tcPr>
          <w:p w:rsidR="00C213A4" w:rsidRPr="00003A68" w:rsidRDefault="00C213A4" w:rsidP="004A15DC">
            <w:pPr>
              <w:spacing w:after="0" w:line="240" w:lineRule="auto"/>
              <w:jc w:val="center"/>
              <w:rPr>
                <w:rFonts w:eastAsia="Times New Roman" w:cs="Arial"/>
                <w:sz w:val="18"/>
                <w:szCs w:val="18"/>
                <w:lang w:val="es-ES"/>
              </w:rPr>
            </w:pPr>
          </w:p>
        </w:tc>
        <w:tc>
          <w:tcPr>
            <w:tcW w:w="3150" w:type="dxa"/>
            <w:vMerge/>
            <w:shd w:val="clear" w:color="auto" w:fill="95B3D7"/>
          </w:tcPr>
          <w:p w:rsidR="00C213A4" w:rsidRPr="00003A68" w:rsidRDefault="00C213A4" w:rsidP="004A15DC">
            <w:pPr>
              <w:spacing w:after="0" w:line="240" w:lineRule="auto"/>
              <w:jc w:val="center"/>
              <w:rPr>
                <w:rFonts w:eastAsia="Times New Roman" w:cs="Arial"/>
                <w:sz w:val="18"/>
                <w:szCs w:val="18"/>
                <w:lang w:val="es-ES"/>
              </w:rPr>
            </w:pPr>
          </w:p>
        </w:tc>
        <w:tc>
          <w:tcPr>
            <w:tcW w:w="1080" w:type="dxa"/>
            <w:vMerge/>
            <w:shd w:val="clear" w:color="auto" w:fill="95B3D7"/>
            <w:vAlign w:val="center"/>
          </w:tcPr>
          <w:p w:rsidR="00C213A4" w:rsidRPr="00003A68" w:rsidRDefault="00C213A4" w:rsidP="004A15DC">
            <w:pPr>
              <w:spacing w:after="0" w:line="240" w:lineRule="auto"/>
              <w:jc w:val="right"/>
              <w:rPr>
                <w:rFonts w:eastAsia="Times New Roman" w:cs="Arial"/>
                <w:sz w:val="18"/>
                <w:szCs w:val="18"/>
                <w:lang w:val="es-ES"/>
              </w:rPr>
            </w:pPr>
          </w:p>
        </w:tc>
        <w:tc>
          <w:tcPr>
            <w:tcW w:w="1620" w:type="dxa"/>
            <w:vMerge/>
            <w:shd w:val="clear" w:color="auto" w:fill="95B3D7"/>
          </w:tcPr>
          <w:p w:rsidR="00C213A4" w:rsidRPr="00003A68" w:rsidRDefault="00C213A4" w:rsidP="004A15DC">
            <w:pPr>
              <w:spacing w:after="0" w:line="240" w:lineRule="auto"/>
              <w:jc w:val="center"/>
              <w:rPr>
                <w:rFonts w:eastAsia="Times New Roman" w:cs="Arial"/>
                <w:sz w:val="18"/>
                <w:szCs w:val="18"/>
                <w:lang w:val="es-ES"/>
              </w:rPr>
            </w:pPr>
          </w:p>
        </w:tc>
      </w:tr>
      <w:tr w:rsidR="00FA46CD" w:rsidRPr="00717665" w:rsidTr="004A15DC">
        <w:tc>
          <w:tcPr>
            <w:tcW w:w="10548" w:type="dxa"/>
            <w:gridSpan w:val="6"/>
            <w:shd w:val="clear" w:color="auto" w:fill="DBE5F1"/>
            <w:vAlign w:val="center"/>
          </w:tcPr>
          <w:p w:rsidR="00217CD0" w:rsidRPr="00003A68" w:rsidRDefault="00217CD0" w:rsidP="004A15DC">
            <w:pPr>
              <w:pStyle w:val="ListParagraph"/>
              <w:numPr>
                <w:ilvl w:val="0"/>
                <w:numId w:val="9"/>
              </w:numPr>
              <w:spacing w:after="0" w:line="240" w:lineRule="auto"/>
              <w:rPr>
                <w:rFonts w:eastAsia="Times New Roman" w:cs="Arial"/>
                <w:b/>
                <w:sz w:val="18"/>
                <w:szCs w:val="18"/>
                <w:lang w:val="es-ES"/>
              </w:rPr>
            </w:pPr>
            <w:r w:rsidRPr="00003A68">
              <w:rPr>
                <w:rFonts w:eastAsia="Times New Roman" w:cs="Arial"/>
                <w:b/>
                <w:sz w:val="18"/>
                <w:szCs w:val="18"/>
                <w:lang w:val="es-ES"/>
              </w:rPr>
              <w:t>Seguimiento al cumplimiento de los compromisos de política</w:t>
            </w:r>
          </w:p>
        </w:tc>
        <w:tc>
          <w:tcPr>
            <w:tcW w:w="1080" w:type="dxa"/>
            <w:shd w:val="clear" w:color="auto" w:fill="DBE5F1"/>
            <w:vAlign w:val="center"/>
          </w:tcPr>
          <w:p w:rsidR="00217CD0" w:rsidRPr="00003A68" w:rsidRDefault="00023981" w:rsidP="004A15DC">
            <w:pPr>
              <w:spacing w:after="0" w:line="240" w:lineRule="auto"/>
              <w:jc w:val="right"/>
              <w:rPr>
                <w:rFonts w:eastAsia="Times New Roman" w:cs="Arial"/>
                <w:b/>
                <w:sz w:val="18"/>
                <w:szCs w:val="18"/>
                <w:lang w:val="es-ES"/>
              </w:rPr>
            </w:pPr>
            <w:r w:rsidRPr="00003A68">
              <w:rPr>
                <w:rFonts w:eastAsia="Times New Roman" w:cs="Arial"/>
                <w:b/>
                <w:sz w:val="18"/>
                <w:szCs w:val="18"/>
                <w:lang w:val="es-ES"/>
              </w:rPr>
              <w:t>4</w:t>
            </w:r>
            <w:r w:rsidR="00217CD0" w:rsidRPr="00003A68">
              <w:rPr>
                <w:rFonts w:eastAsia="Times New Roman" w:cs="Arial"/>
                <w:b/>
                <w:sz w:val="18"/>
                <w:szCs w:val="18"/>
                <w:lang w:val="es-ES"/>
              </w:rPr>
              <w:t>0,000</w:t>
            </w:r>
            <w:r w:rsidR="00F25C86" w:rsidRPr="00003A68">
              <w:rPr>
                <w:rFonts w:eastAsia="Times New Roman" w:cs="Arial"/>
                <w:b/>
                <w:sz w:val="18"/>
                <w:szCs w:val="18"/>
                <w:lang w:val="es-ES"/>
              </w:rPr>
              <w:t>.00</w:t>
            </w:r>
          </w:p>
        </w:tc>
        <w:tc>
          <w:tcPr>
            <w:tcW w:w="1620" w:type="dxa"/>
            <w:shd w:val="clear" w:color="auto" w:fill="DBE5F1"/>
            <w:vAlign w:val="center"/>
          </w:tcPr>
          <w:p w:rsidR="00217CD0" w:rsidRPr="00003A68" w:rsidRDefault="00217CD0" w:rsidP="004A15DC">
            <w:pPr>
              <w:jc w:val="center"/>
              <w:rPr>
                <w:rFonts w:eastAsia="Times New Roman" w:cs="Arial"/>
                <w:b/>
                <w:sz w:val="18"/>
                <w:szCs w:val="18"/>
                <w:lang w:val="es-ES"/>
              </w:rPr>
            </w:pPr>
            <w:r w:rsidRPr="00003A68">
              <w:rPr>
                <w:rFonts w:eastAsia="Times New Roman" w:cs="Arial"/>
                <w:b/>
                <w:sz w:val="18"/>
                <w:szCs w:val="18"/>
                <w:lang w:val="es-ES"/>
              </w:rPr>
              <w:t xml:space="preserve">Recursos de </w:t>
            </w:r>
            <w:r w:rsidR="00A4447C" w:rsidRPr="00003A68">
              <w:rPr>
                <w:rFonts w:eastAsia="Times New Roman" w:cs="Arial"/>
                <w:b/>
                <w:sz w:val="18"/>
                <w:szCs w:val="18"/>
                <w:lang w:val="es-ES"/>
              </w:rPr>
              <w:t>supervisión</w:t>
            </w:r>
            <w:r w:rsidRPr="00003A68">
              <w:rPr>
                <w:rFonts w:eastAsia="Times New Roman" w:cs="Arial"/>
                <w:b/>
                <w:sz w:val="18"/>
                <w:szCs w:val="18"/>
                <w:lang w:val="es-ES"/>
              </w:rPr>
              <w:t xml:space="preserve"> del proyecto</w:t>
            </w:r>
          </w:p>
        </w:tc>
      </w:tr>
      <w:tr w:rsidR="00354488" w:rsidRPr="00717665" w:rsidTr="004A15DC">
        <w:tc>
          <w:tcPr>
            <w:tcW w:w="13248" w:type="dxa"/>
            <w:gridSpan w:val="8"/>
            <w:shd w:val="clear" w:color="auto" w:fill="D9D9D9"/>
            <w:vAlign w:val="center"/>
          </w:tcPr>
          <w:p w:rsidR="00354488" w:rsidRPr="00003A68" w:rsidRDefault="00354488" w:rsidP="004A15DC">
            <w:pPr>
              <w:spacing w:after="0" w:line="240" w:lineRule="auto"/>
              <w:rPr>
                <w:rFonts w:eastAsia="Times New Roman" w:cs="Arial"/>
                <w:sz w:val="18"/>
                <w:szCs w:val="18"/>
                <w:highlight w:val="yellow"/>
                <w:lang w:val="es-ES"/>
              </w:rPr>
            </w:pPr>
            <w:r w:rsidRPr="00003A68">
              <w:rPr>
                <w:rFonts w:eastAsia="Times New Roman" w:cs="Arial"/>
                <w:b/>
                <w:sz w:val="18"/>
                <w:szCs w:val="18"/>
                <w:lang w:val="es-ES"/>
              </w:rPr>
              <w:t>COMPONENTE II.  Fortalecer el marco legal e institucional de probidad y transparencia</w:t>
            </w:r>
          </w:p>
        </w:tc>
      </w:tr>
      <w:tr w:rsidR="00FA46CD" w:rsidRPr="00717665" w:rsidTr="004A15DC">
        <w:trPr>
          <w:hidden/>
        </w:trPr>
        <w:tc>
          <w:tcPr>
            <w:tcW w:w="4248" w:type="dxa"/>
            <w:shd w:val="clear" w:color="auto" w:fill="auto"/>
          </w:tcPr>
          <w:p w:rsidR="000C3B9A" w:rsidRPr="00003A68" w:rsidRDefault="000C3B9A" w:rsidP="004A15DC">
            <w:pPr>
              <w:pStyle w:val="ListParagraph"/>
              <w:numPr>
                <w:ilvl w:val="0"/>
                <w:numId w:val="12"/>
              </w:numPr>
              <w:spacing w:after="0" w:line="240" w:lineRule="auto"/>
              <w:ind w:left="360"/>
              <w:jc w:val="both"/>
              <w:rPr>
                <w:rFonts w:eastAsia="Times New Roman" w:cs="Arial"/>
                <w:vanish/>
                <w:sz w:val="18"/>
                <w:szCs w:val="18"/>
                <w:lang w:val="es-ES"/>
              </w:rPr>
            </w:pPr>
          </w:p>
          <w:p w:rsidR="00895216" w:rsidRPr="00003A68" w:rsidRDefault="005E0B9D"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R</w:t>
            </w:r>
            <w:r w:rsidR="00FB36DB" w:rsidRPr="00003A68">
              <w:rPr>
                <w:rFonts w:eastAsia="Times New Roman" w:cs="Arial"/>
                <w:sz w:val="18"/>
                <w:szCs w:val="18"/>
                <w:lang w:val="es-ES"/>
              </w:rPr>
              <w:t>eglamento de la</w:t>
            </w:r>
            <w:r w:rsidR="00231F21" w:rsidRPr="00003A68">
              <w:rPr>
                <w:rFonts w:eastAsia="Times New Roman" w:cs="Arial"/>
                <w:sz w:val="18"/>
                <w:szCs w:val="18"/>
                <w:lang w:val="es-ES"/>
              </w:rPr>
              <w:t xml:space="preserve"> Ley No. 20.880,</w:t>
            </w:r>
            <w:r w:rsidR="00FB36DB" w:rsidRPr="00003A68">
              <w:rPr>
                <w:rFonts w:eastAsia="Times New Roman" w:cs="Arial"/>
                <w:sz w:val="18"/>
                <w:szCs w:val="18"/>
                <w:lang w:val="es-ES"/>
              </w:rPr>
              <w:t xml:space="preserve"> “Ley sobre Probidad en la Función Pública y Prevención de los Conflictos de Intereses”.</w:t>
            </w:r>
          </w:p>
        </w:tc>
        <w:tc>
          <w:tcPr>
            <w:tcW w:w="540" w:type="dxa"/>
            <w:shd w:val="clear" w:color="auto" w:fill="auto"/>
          </w:tcPr>
          <w:p w:rsidR="007049DD" w:rsidRPr="00003A68" w:rsidRDefault="007049DD" w:rsidP="004A15DC">
            <w:pPr>
              <w:spacing w:after="0" w:line="240" w:lineRule="auto"/>
              <w:jc w:val="both"/>
              <w:rPr>
                <w:rFonts w:eastAsia="Times New Roman" w:cs="Arial"/>
                <w:sz w:val="18"/>
                <w:szCs w:val="18"/>
                <w:lang w:val="es-ES"/>
              </w:rPr>
            </w:pPr>
          </w:p>
        </w:tc>
        <w:tc>
          <w:tcPr>
            <w:tcW w:w="630" w:type="dxa"/>
            <w:shd w:val="clear" w:color="auto" w:fill="auto"/>
          </w:tcPr>
          <w:p w:rsidR="007049DD"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7049DD" w:rsidRPr="00003A68" w:rsidRDefault="007049DD" w:rsidP="004A15DC">
            <w:pPr>
              <w:spacing w:after="0" w:line="240" w:lineRule="auto"/>
              <w:jc w:val="both"/>
              <w:rPr>
                <w:rFonts w:eastAsia="Times New Roman" w:cs="Arial"/>
                <w:sz w:val="18"/>
                <w:szCs w:val="18"/>
                <w:lang w:val="es-ES"/>
              </w:rPr>
            </w:pPr>
          </w:p>
        </w:tc>
        <w:tc>
          <w:tcPr>
            <w:tcW w:w="1260" w:type="dxa"/>
            <w:shd w:val="clear" w:color="auto" w:fill="auto"/>
          </w:tcPr>
          <w:p w:rsidR="007049DD" w:rsidRPr="00003A68" w:rsidRDefault="00316D78" w:rsidP="004A15DC">
            <w:pPr>
              <w:spacing w:after="0" w:line="240" w:lineRule="auto"/>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7049DD" w:rsidRPr="00003A68" w:rsidRDefault="00504228" w:rsidP="004A15DC">
            <w:pPr>
              <w:tabs>
                <w:tab w:val="left" w:pos="72"/>
              </w:tabs>
              <w:spacing w:after="0" w:line="240" w:lineRule="auto"/>
              <w:jc w:val="both"/>
              <w:rPr>
                <w:rFonts w:eastAsia="Times New Roman" w:cs="Arial"/>
                <w:sz w:val="18"/>
                <w:szCs w:val="18"/>
                <w:lang w:val="es-ES"/>
              </w:rPr>
            </w:pPr>
            <w:r>
              <w:rPr>
                <w:rFonts w:cs="Arial"/>
                <w:sz w:val="18"/>
                <w:szCs w:val="18"/>
                <w:lang w:val="es-ES_tradnl"/>
              </w:rPr>
              <w:t>Copia del Decreto Supremo del Ministerio de la SEPGRES que aprueba el Reglamento de la ley No. 20.880 publicado en el Diario Oficial.</w:t>
            </w:r>
          </w:p>
        </w:tc>
        <w:tc>
          <w:tcPr>
            <w:tcW w:w="1080" w:type="dxa"/>
            <w:shd w:val="clear" w:color="auto" w:fill="auto"/>
            <w:vAlign w:val="center"/>
          </w:tcPr>
          <w:p w:rsidR="007049DD" w:rsidRPr="00003A68" w:rsidRDefault="007049DD" w:rsidP="004A15DC">
            <w:pPr>
              <w:spacing w:after="0" w:line="240" w:lineRule="auto"/>
              <w:jc w:val="right"/>
              <w:rPr>
                <w:rFonts w:eastAsia="Times New Roman" w:cs="Arial"/>
                <w:sz w:val="18"/>
                <w:szCs w:val="18"/>
                <w:lang w:val="es-ES"/>
              </w:rPr>
            </w:pPr>
          </w:p>
        </w:tc>
        <w:tc>
          <w:tcPr>
            <w:tcW w:w="1620" w:type="dxa"/>
            <w:shd w:val="clear" w:color="auto" w:fill="auto"/>
          </w:tcPr>
          <w:p w:rsidR="007049DD" w:rsidRPr="00003A68" w:rsidRDefault="007049DD" w:rsidP="004A15DC">
            <w:pPr>
              <w:spacing w:after="0" w:line="240" w:lineRule="auto"/>
              <w:jc w:val="center"/>
              <w:rPr>
                <w:rFonts w:eastAsia="Times New Roman" w:cs="Arial"/>
                <w:sz w:val="18"/>
                <w:szCs w:val="18"/>
                <w:highlight w:val="yellow"/>
                <w:lang w:val="es-ES"/>
              </w:rPr>
            </w:pPr>
          </w:p>
        </w:tc>
      </w:tr>
      <w:tr w:rsidR="00FA46CD" w:rsidRPr="00717665" w:rsidTr="004A15DC">
        <w:tc>
          <w:tcPr>
            <w:tcW w:w="4248" w:type="dxa"/>
            <w:shd w:val="clear" w:color="auto" w:fill="auto"/>
          </w:tcPr>
          <w:p w:rsidR="00D9007A" w:rsidRPr="00003A68" w:rsidRDefault="00FB36DB"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Indicaciones del Ejecutivo a la moción parlamentaria que “Modifica la Ley Orgánica Constitucional del Congreso Nacional y otros cuerpos legales en lo relativo a probidad y transparencia”.</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4F1E9F" w:rsidRPr="00003A68" w:rsidRDefault="00FB36DB"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 las Indicaciones del Ejecutivo </w:t>
            </w:r>
            <w:r w:rsidR="005E0B9D" w:rsidRPr="00003A68">
              <w:rPr>
                <w:rFonts w:eastAsia="Times New Roman" w:cs="Arial"/>
                <w:sz w:val="18"/>
                <w:szCs w:val="18"/>
                <w:lang w:val="es-ES"/>
              </w:rPr>
              <w:t>ingresadas al Congreso Nacional.</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895216" w:rsidRPr="00003A68" w:rsidRDefault="005E0B9D" w:rsidP="00504228">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R</w:t>
            </w:r>
            <w:r w:rsidR="00FB36DB" w:rsidRPr="00003A68">
              <w:rPr>
                <w:rFonts w:eastAsia="Times New Roman" w:cs="Arial"/>
                <w:sz w:val="18"/>
                <w:szCs w:val="18"/>
                <w:lang w:val="es-ES"/>
              </w:rPr>
              <w:t>esoluci</w:t>
            </w:r>
            <w:r w:rsidRPr="00003A68">
              <w:rPr>
                <w:rFonts w:eastAsia="Times New Roman" w:cs="Arial"/>
                <w:sz w:val="18"/>
                <w:szCs w:val="18"/>
                <w:lang w:val="es-ES"/>
              </w:rPr>
              <w:t>o</w:t>
            </w:r>
            <w:r w:rsidR="00FB36DB" w:rsidRPr="00003A68">
              <w:rPr>
                <w:rFonts w:eastAsia="Times New Roman" w:cs="Arial"/>
                <w:sz w:val="18"/>
                <w:szCs w:val="18"/>
                <w:lang w:val="es-ES"/>
              </w:rPr>
              <w:t>n</w:t>
            </w:r>
            <w:r w:rsidRPr="00003A68">
              <w:rPr>
                <w:rFonts w:eastAsia="Times New Roman" w:cs="Arial"/>
                <w:sz w:val="18"/>
                <w:szCs w:val="18"/>
                <w:lang w:val="es-ES"/>
              </w:rPr>
              <w:t>es</w:t>
            </w:r>
            <w:r w:rsidR="00FB36DB" w:rsidRPr="00003A68">
              <w:rPr>
                <w:rFonts w:eastAsia="Times New Roman" w:cs="Arial"/>
                <w:sz w:val="18"/>
                <w:szCs w:val="18"/>
                <w:lang w:val="es-ES"/>
              </w:rPr>
              <w:t xml:space="preserve"> del Servicio Electoral (SERVEL) </w:t>
            </w:r>
            <w:r w:rsidRPr="00003A68">
              <w:rPr>
                <w:rFonts w:eastAsia="Times New Roman" w:cs="Arial"/>
                <w:sz w:val="18"/>
                <w:szCs w:val="18"/>
                <w:lang w:val="es-ES"/>
              </w:rPr>
              <w:t xml:space="preserve">en materia de: (i) </w:t>
            </w:r>
            <w:r w:rsidR="00FB36DB" w:rsidRPr="00003A68">
              <w:rPr>
                <w:rFonts w:eastAsia="Times New Roman" w:cs="Arial"/>
                <w:sz w:val="18"/>
                <w:szCs w:val="18"/>
                <w:lang w:val="es-ES"/>
              </w:rPr>
              <w:t>límite de gasto electoral</w:t>
            </w:r>
            <w:r w:rsidRPr="00003A68">
              <w:rPr>
                <w:rFonts w:eastAsia="Times New Roman" w:cs="Arial"/>
                <w:sz w:val="18"/>
                <w:szCs w:val="18"/>
                <w:lang w:val="es-ES"/>
              </w:rPr>
              <w:t>;</w:t>
            </w:r>
            <w:r w:rsidR="00FB36DB" w:rsidRPr="00003A68">
              <w:rPr>
                <w:rFonts w:eastAsia="Times New Roman" w:cs="Arial"/>
                <w:sz w:val="18"/>
                <w:szCs w:val="18"/>
                <w:lang w:val="es-ES"/>
              </w:rPr>
              <w:t xml:space="preserve"> (ii) </w:t>
            </w:r>
            <w:r w:rsidRPr="00003A68">
              <w:rPr>
                <w:rFonts w:eastAsia="Times New Roman" w:cs="Arial"/>
                <w:sz w:val="18"/>
                <w:szCs w:val="18"/>
                <w:lang w:val="es-ES"/>
              </w:rPr>
              <w:t xml:space="preserve">declaraciones de patrimonio e intereses de pre-candidatos presidenciales y candidatos en elecciones generales; y (iii) </w:t>
            </w:r>
            <w:r w:rsidR="00FB36DB" w:rsidRPr="00003A68">
              <w:rPr>
                <w:rFonts w:eastAsia="Times New Roman" w:cs="Arial"/>
                <w:sz w:val="18"/>
                <w:szCs w:val="18"/>
                <w:lang w:val="es-ES"/>
              </w:rPr>
              <w:t>máximos de aportes electorales.</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4F1E9F" w:rsidRPr="00003A68" w:rsidRDefault="00087552" w:rsidP="00717665">
            <w:pPr>
              <w:pStyle w:val="ListParagraph"/>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(i) Copia de la </w:t>
            </w:r>
            <w:r w:rsidR="005E0B9D" w:rsidRPr="00003A68">
              <w:rPr>
                <w:rFonts w:eastAsia="Times New Roman" w:cs="Arial"/>
                <w:sz w:val="18"/>
                <w:szCs w:val="18"/>
                <w:lang w:val="es-ES"/>
              </w:rPr>
              <w:t>R</w:t>
            </w:r>
            <w:r w:rsidRPr="00003A68">
              <w:rPr>
                <w:rFonts w:eastAsia="Times New Roman" w:cs="Arial"/>
                <w:sz w:val="18"/>
                <w:szCs w:val="18"/>
                <w:lang w:val="es-ES"/>
              </w:rPr>
              <w:t xml:space="preserve">esolución del Servicio Electoral (SERVEL) </w:t>
            </w:r>
            <w:r w:rsidR="005E0B9D" w:rsidRPr="00003A68">
              <w:rPr>
                <w:rFonts w:eastAsia="Times New Roman" w:cs="Arial"/>
                <w:sz w:val="18"/>
                <w:szCs w:val="18"/>
                <w:lang w:val="es-ES"/>
              </w:rPr>
              <w:t>en el Diario Oficial y en la página</w:t>
            </w:r>
            <w:r w:rsidRPr="00003A68">
              <w:rPr>
                <w:rFonts w:eastAsia="Times New Roman" w:cs="Arial"/>
                <w:sz w:val="18"/>
                <w:szCs w:val="18"/>
                <w:lang w:val="es-ES"/>
              </w:rPr>
              <w:t xml:space="preserve"> web del </w:t>
            </w:r>
            <w:r w:rsidR="005E0B9D" w:rsidRPr="00003A68">
              <w:rPr>
                <w:rFonts w:eastAsia="Times New Roman" w:cs="Arial"/>
                <w:sz w:val="18"/>
                <w:szCs w:val="18"/>
                <w:lang w:val="es-ES"/>
              </w:rPr>
              <w:t xml:space="preserve">servicio. </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DF4602" w:rsidRPr="00003A68" w:rsidRDefault="00087552"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Ley que “Fortalece el Carácter Público y Democrático de los Partidos Políticos y Facilita su Modernización”</w:t>
            </w:r>
            <w:r w:rsidR="00EE2D13" w:rsidRPr="00003A68">
              <w:rPr>
                <w:rFonts w:eastAsia="Times New Roman" w:cs="Arial"/>
                <w:sz w:val="18"/>
                <w:szCs w:val="18"/>
                <w:lang w:val="es-ES"/>
              </w:rPr>
              <w:t>.</w:t>
            </w:r>
            <w:r w:rsidRPr="00003A68">
              <w:rPr>
                <w:rFonts w:eastAsia="Times New Roman" w:cs="Arial"/>
                <w:sz w:val="18"/>
                <w:szCs w:val="18"/>
                <w:lang w:val="es-ES"/>
              </w:rPr>
              <w:t xml:space="preserve"> </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A7040C"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 la ley </w:t>
            </w:r>
            <w:r w:rsidR="00EE2D13" w:rsidRPr="00003A68">
              <w:rPr>
                <w:rFonts w:eastAsia="Times New Roman" w:cs="Arial"/>
                <w:sz w:val="18"/>
                <w:szCs w:val="18"/>
                <w:lang w:val="es-ES"/>
              </w:rPr>
              <w:t xml:space="preserve">publicada en </w:t>
            </w:r>
            <w:r w:rsidR="00504228">
              <w:rPr>
                <w:rFonts w:eastAsia="Times New Roman" w:cs="Arial"/>
                <w:sz w:val="18"/>
                <w:szCs w:val="18"/>
                <w:lang w:val="es-ES"/>
              </w:rPr>
              <w:t xml:space="preserve">el </w:t>
            </w:r>
            <w:r w:rsidR="00EE2D13" w:rsidRPr="00003A68">
              <w:rPr>
                <w:rFonts w:eastAsia="Times New Roman" w:cs="Arial"/>
                <w:sz w:val="18"/>
                <w:szCs w:val="18"/>
                <w:lang w:val="es-ES"/>
              </w:rPr>
              <w:t>Diario Oficial.</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087552" w:rsidRPr="00003A68" w:rsidRDefault="00504228" w:rsidP="00717665">
            <w:pPr>
              <w:pStyle w:val="ListParagraph"/>
              <w:numPr>
                <w:ilvl w:val="1"/>
                <w:numId w:val="12"/>
              </w:numPr>
              <w:spacing w:after="0" w:line="240" w:lineRule="auto"/>
              <w:ind w:left="360"/>
              <w:jc w:val="both"/>
              <w:rPr>
                <w:rFonts w:eastAsia="Times New Roman" w:cs="Arial"/>
                <w:sz w:val="18"/>
                <w:szCs w:val="18"/>
                <w:lang w:val="es-ES"/>
              </w:rPr>
            </w:pPr>
            <w:r w:rsidRPr="00504228">
              <w:rPr>
                <w:rFonts w:eastAsia="Times New Roman" w:cs="Arial"/>
                <w:sz w:val="18"/>
                <w:szCs w:val="18"/>
                <w:lang w:val="es-ES_tradnl"/>
              </w:rPr>
              <w:t xml:space="preserve">Mensaje del Ejecutivo con el que se inicia la tramitación de un proyecto de ley que crea un nuevo marco normativo sobre protección de datos personales y/o introduce modificaciones al a Ley No 19.628 sobre Protección de la Vida Privada. </w:t>
            </w:r>
          </w:p>
        </w:tc>
        <w:tc>
          <w:tcPr>
            <w:tcW w:w="540" w:type="dxa"/>
            <w:shd w:val="clear" w:color="auto" w:fill="auto"/>
          </w:tcPr>
          <w:p w:rsidR="00087552" w:rsidRPr="00003A68" w:rsidRDefault="00087552" w:rsidP="004A15DC">
            <w:pPr>
              <w:spacing w:after="0" w:line="240" w:lineRule="auto"/>
              <w:jc w:val="both"/>
              <w:rPr>
                <w:rFonts w:eastAsia="Times New Roman" w:cs="Arial"/>
                <w:sz w:val="18"/>
                <w:szCs w:val="18"/>
                <w:lang w:val="es-ES"/>
              </w:rPr>
            </w:pPr>
          </w:p>
        </w:tc>
        <w:tc>
          <w:tcPr>
            <w:tcW w:w="630" w:type="dxa"/>
            <w:shd w:val="clear" w:color="auto" w:fill="auto"/>
          </w:tcPr>
          <w:p w:rsidR="00087552"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087552" w:rsidRPr="00003A68" w:rsidRDefault="00087552" w:rsidP="004A15DC">
            <w:pPr>
              <w:spacing w:after="0" w:line="240" w:lineRule="auto"/>
              <w:jc w:val="both"/>
              <w:rPr>
                <w:rFonts w:eastAsia="Times New Roman" w:cs="Arial"/>
                <w:sz w:val="18"/>
                <w:szCs w:val="18"/>
                <w:lang w:val="es-ES"/>
              </w:rPr>
            </w:pPr>
          </w:p>
        </w:tc>
        <w:tc>
          <w:tcPr>
            <w:tcW w:w="1260" w:type="dxa"/>
            <w:shd w:val="clear" w:color="auto" w:fill="auto"/>
          </w:tcPr>
          <w:p w:rsidR="00087552" w:rsidRPr="00003A68" w:rsidRDefault="00087552" w:rsidP="004A15DC">
            <w:pPr>
              <w:spacing w:after="0" w:line="240" w:lineRule="auto"/>
              <w:rPr>
                <w:rFonts w:eastAsia="Times New Roman" w:cs="Arial"/>
                <w:sz w:val="18"/>
                <w:szCs w:val="18"/>
                <w:lang w:val="es-ES"/>
              </w:rPr>
            </w:pPr>
          </w:p>
        </w:tc>
        <w:tc>
          <w:tcPr>
            <w:tcW w:w="3150" w:type="dxa"/>
            <w:shd w:val="clear" w:color="auto" w:fill="auto"/>
          </w:tcPr>
          <w:p w:rsidR="00087552"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Copia del Mensaje del Ejecutivo ingresado al Congreso Nacional.</w:t>
            </w:r>
          </w:p>
        </w:tc>
        <w:tc>
          <w:tcPr>
            <w:tcW w:w="1080" w:type="dxa"/>
            <w:shd w:val="clear" w:color="auto" w:fill="auto"/>
            <w:vAlign w:val="center"/>
          </w:tcPr>
          <w:p w:rsidR="00087552" w:rsidRPr="00003A68" w:rsidRDefault="00087552" w:rsidP="004A15DC">
            <w:pPr>
              <w:spacing w:after="0" w:line="240" w:lineRule="auto"/>
              <w:jc w:val="right"/>
              <w:rPr>
                <w:rFonts w:eastAsia="Times New Roman" w:cs="Arial"/>
                <w:sz w:val="18"/>
                <w:szCs w:val="18"/>
                <w:lang w:val="es-ES"/>
              </w:rPr>
            </w:pPr>
          </w:p>
        </w:tc>
        <w:tc>
          <w:tcPr>
            <w:tcW w:w="1620" w:type="dxa"/>
            <w:shd w:val="clear" w:color="auto" w:fill="auto"/>
          </w:tcPr>
          <w:p w:rsidR="00087552" w:rsidRPr="00003A68" w:rsidRDefault="00087552" w:rsidP="004A15DC">
            <w:pPr>
              <w:spacing w:after="0" w:line="240" w:lineRule="auto"/>
              <w:jc w:val="center"/>
              <w:rPr>
                <w:rFonts w:eastAsia="Times New Roman" w:cs="Arial"/>
                <w:sz w:val="18"/>
                <w:szCs w:val="18"/>
                <w:lang w:val="es-ES"/>
              </w:rPr>
            </w:pPr>
          </w:p>
        </w:tc>
      </w:tr>
      <w:tr w:rsidR="00354488" w:rsidRPr="00717665" w:rsidTr="004A15DC">
        <w:tc>
          <w:tcPr>
            <w:tcW w:w="13248" w:type="dxa"/>
            <w:gridSpan w:val="8"/>
            <w:shd w:val="clear" w:color="auto" w:fill="D9D9D9"/>
            <w:vAlign w:val="center"/>
          </w:tcPr>
          <w:p w:rsidR="00354488" w:rsidRPr="00003A68" w:rsidRDefault="00354488" w:rsidP="00717665">
            <w:pPr>
              <w:spacing w:after="0" w:line="240" w:lineRule="auto"/>
              <w:rPr>
                <w:rFonts w:eastAsia="Times New Roman" w:cs="Arial"/>
                <w:sz w:val="18"/>
                <w:szCs w:val="18"/>
                <w:highlight w:val="yellow"/>
                <w:lang w:val="es-ES"/>
              </w:rPr>
            </w:pPr>
            <w:r w:rsidRPr="00003A68">
              <w:rPr>
                <w:rFonts w:eastAsia="Times New Roman" w:cs="Arial"/>
                <w:b/>
                <w:sz w:val="18"/>
                <w:szCs w:val="18"/>
                <w:lang w:val="es-ES"/>
              </w:rPr>
              <w:t xml:space="preserve">COMPONENTE III.  </w:t>
            </w:r>
            <w:r w:rsidR="003721C9" w:rsidRPr="00003A68">
              <w:rPr>
                <w:rFonts w:eastAsia="Times New Roman" w:cs="Arial"/>
                <w:b/>
                <w:sz w:val="18"/>
                <w:szCs w:val="18"/>
                <w:lang w:val="es-ES"/>
              </w:rPr>
              <w:t xml:space="preserve">Contribuir a la </w:t>
            </w:r>
            <w:r w:rsidRPr="00003A68">
              <w:rPr>
                <w:rFonts w:eastAsia="Times New Roman" w:cs="Arial"/>
                <w:b/>
                <w:sz w:val="18"/>
                <w:szCs w:val="18"/>
                <w:lang w:val="es-ES"/>
              </w:rPr>
              <w:t>transparencia en la gestión de los recursos públicos</w:t>
            </w:r>
            <w:r w:rsidRPr="00003A68">
              <w:rPr>
                <w:rFonts w:eastAsia="Times New Roman" w:cs="Arial"/>
                <w:sz w:val="18"/>
                <w:szCs w:val="18"/>
                <w:lang w:val="es-ES"/>
              </w:rPr>
              <w:t xml:space="preserve">, </w:t>
            </w:r>
            <w:r w:rsidRPr="00003A68">
              <w:rPr>
                <w:rFonts w:eastAsia="Times New Roman" w:cs="Arial"/>
                <w:b/>
                <w:sz w:val="18"/>
                <w:szCs w:val="18"/>
                <w:lang w:val="es-ES"/>
              </w:rPr>
              <w:t>en el fortalecimiento de la profesionalización de la gestión pública,  y promover conductas probas entre los diferentes actores de la sociedad</w:t>
            </w:r>
          </w:p>
        </w:tc>
      </w:tr>
      <w:tr w:rsidR="00FA46CD" w:rsidRPr="00717665" w:rsidTr="004A15DC">
        <w:tc>
          <w:tcPr>
            <w:tcW w:w="4248" w:type="dxa"/>
            <w:shd w:val="clear" w:color="auto" w:fill="auto"/>
          </w:tcPr>
          <w:p w:rsidR="00895216" w:rsidRPr="00003A68" w:rsidRDefault="00087552"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Ley que “Perfecciona al Sistema de Alta </w:t>
            </w:r>
            <w:r w:rsidRPr="00003A68">
              <w:rPr>
                <w:rFonts w:eastAsia="Times New Roman" w:cs="Arial"/>
                <w:sz w:val="18"/>
                <w:szCs w:val="18"/>
                <w:lang w:val="es-ES"/>
              </w:rPr>
              <w:lastRenderedPageBreak/>
              <w:t>Dirección Pública (SADP) y Fortalece la Dirección Nacional del Servicio Civil (DNSC)”.</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rPr>
                <w:rFonts w:eastAsia="Times New Roman" w:cs="Arial"/>
                <w:sz w:val="18"/>
                <w:szCs w:val="18"/>
                <w:lang w:val="es-ES"/>
              </w:rPr>
            </w:pPr>
            <w:r w:rsidRPr="00003A68">
              <w:rPr>
                <w:rFonts w:eastAsia="Times New Roman" w:cs="Arial"/>
                <w:sz w:val="18"/>
                <w:szCs w:val="18"/>
                <w:lang w:val="es-ES"/>
              </w:rPr>
              <w:t xml:space="preserve">Equipo de </w:t>
            </w:r>
            <w:r w:rsidRPr="00003A68">
              <w:rPr>
                <w:rFonts w:eastAsia="Times New Roman" w:cs="Arial"/>
                <w:sz w:val="18"/>
                <w:szCs w:val="18"/>
                <w:lang w:val="es-ES"/>
              </w:rPr>
              <w:lastRenderedPageBreak/>
              <w:t>Proyecto</w:t>
            </w:r>
          </w:p>
        </w:tc>
        <w:tc>
          <w:tcPr>
            <w:tcW w:w="3150" w:type="dxa"/>
            <w:shd w:val="clear" w:color="auto" w:fill="auto"/>
          </w:tcPr>
          <w:p w:rsidR="004F1E9F"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lastRenderedPageBreak/>
              <w:t xml:space="preserve">Copia de Ley </w:t>
            </w:r>
            <w:r w:rsidR="00083C2A" w:rsidRPr="00003A68">
              <w:rPr>
                <w:rFonts w:eastAsia="Times New Roman" w:cs="Arial"/>
                <w:sz w:val="18"/>
                <w:szCs w:val="18"/>
                <w:lang w:val="es-ES"/>
              </w:rPr>
              <w:t xml:space="preserve">publicada en el Diario </w:t>
            </w:r>
            <w:r w:rsidR="00083C2A" w:rsidRPr="00003A68">
              <w:rPr>
                <w:rFonts w:eastAsia="Times New Roman" w:cs="Arial"/>
                <w:sz w:val="18"/>
                <w:szCs w:val="18"/>
                <w:lang w:val="es-ES"/>
              </w:rPr>
              <w:lastRenderedPageBreak/>
              <w:t xml:space="preserve">Oficial. </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4F1E9F" w:rsidRPr="00003A68" w:rsidRDefault="00083C2A"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lastRenderedPageBreak/>
              <w:t>Requerimiento de la</w:t>
            </w:r>
            <w:r w:rsidR="00354488" w:rsidRPr="00003A68">
              <w:rPr>
                <w:rFonts w:eastAsia="Times New Roman" w:cs="Arial"/>
                <w:sz w:val="18"/>
                <w:szCs w:val="18"/>
                <w:lang w:val="es-ES"/>
              </w:rPr>
              <w:t xml:space="preserve"> DNSC a los servicios públicos.</w:t>
            </w:r>
          </w:p>
        </w:tc>
        <w:tc>
          <w:tcPr>
            <w:tcW w:w="540" w:type="dxa"/>
            <w:shd w:val="clear" w:color="auto" w:fill="auto"/>
          </w:tcPr>
          <w:p w:rsidR="004F1E9F" w:rsidRPr="00003A68" w:rsidRDefault="004F1E9F" w:rsidP="004A15DC">
            <w:pPr>
              <w:tabs>
                <w:tab w:val="left" w:pos="72"/>
              </w:tabs>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tabs>
                <w:tab w:val="left" w:pos="72"/>
              </w:tabs>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tabs>
                <w:tab w:val="left" w:pos="72"/>
              </w:tabs>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tabs>
                <w:tab w:val="left" w:pos="72"/>
              </w:tabs>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087552"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(i) Copia de </w:t>
            </w:r>
            <w:r w:rsidR="00083C2A" w:rsidRPr="00003A68">
              <w:rPr>
                <w:rFonts w:eastAsia="Times New Roman" w:cs="Arial"/>
                <w:sz w:val="18"/>
                <w:szCs w:val="18"/>
                <w:lang w:val="es-ES"/>
              </w:rPr>
              <w:t xml:space="preserve">oficio de la DNSC con requerimiento. </w:t>
            </w:r>
          </w:p>
          <w:p w:rsidR="004F1E9F" w:rsidRPr="00003A68" w:rsidRDefault="004F1E9F" w:rsidP="004A15DC">
            <w:pPr>
              <w:spacing w:after="0" w:line="240" w:lineRule="auto"/>
              <w:jc w:val="both"/>
              <w:rPr>
                <w:rFonts w:eastAsia="Times New Roman" w:cs="Arial"/>
                <w:sz w:val="18"/>
                <w:szCs w:val="18"/>
                <w:lang w:val="es-ES"/>
              </w:rPr>
            </w:pPr>
          </w:p>
        </w:tc>
        <w:tc>
          <w:tcPr>
            <w:tcW w:w="1080" w:type="dxa"/>
            <w:shd w:val="clear" w:color="auto" w:fill="auto"/>
            <w:vAlign w:val="center"/>
          </w:tcPr>
          <w:p w:rsidR="004F1E9F" w:rsidRPr="00003A68" w:rsidRDefault="004F1E9F" w:rsidP="004A15DC">
            <w:pPr>
              <w:tabs>
                <w:tab w:val="left" w:pos="72"/>
              </w:tabs>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tabs>
                <w:tab w:val="left" w:pos="72"/>
              </w:tabs>
              <w:spacing w:after="0" w:line="240" w:lineRule="auto"/>
              <w:rPr>
                <w:rFonts w:eastAsia="Times New Roman" w:cs="Arial"/>
                <w:sz w:val="18"/>
                <w:szCs w:val="18"/>
                <w:lang w:val="es-ES"/>
              </w:rPr>
            </w:pPr>
          </w:p>
        </w:tc>
      </w:tr>
      <w:tr w:rsidR="00FA46CD" w:rsidRPr="00717665" w:rsidTr="004A15DC">
        <w:tc>
          <w:tcPr>
            <w:tcW w:w="4248" w:type="dxa"/>
            <w:shd w:val="clear" w:color="auto" w:fill="auto"/>
          </w:tcPr>
          <w:p w:rsidR="00FD1202" w:rsidRPr="00003A68" w:rsidRDefault="00083C2A"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Nuevo sistema de gestión y el portal de </w:t>
            </w:r>
            <w:r w:rsidR="00087552" w:rsidRPr="00003A68">
              <w:rPr>
                <w:rFonts w:eastAsia="Times New Roman" w:cs="Arial"/>
                <w:sz w:val="18"/>
                <w:szCs w:val="18"/>
                <w:lang w:val="es-ES"/>
              </w:rPr>
              <w:t>la Alta Dirección Pública (ADP)</w:t>
            </w:r>
            <w:r w:rsidRPr="00003A68">
              <w:rPr>
                <w:rFonts w:eastAsia="Times New Roman" w:cs="Arial"/>
                <w:sz w:val="18"/>
                <w:szCs w:val="18"/>
                <w:lang w:val="es-ES"/>
              </w:rPr>
              <w:t>.</w:t>
            </w:r>
            <w:r w:rsidR="00087552" w:rsidRPr="00003A68">
              <w:rPr>
                <w:rFonts w:eastAsia="Times New Roman" w:cs="Arial"/>
                <w:sz w:val="18"/>
                <w:szCs w:val="18"/>
                <w:lang w:val="es-ES"/>
              </w:rPr>
              <w:t xml:space="preserve"> </w:t>
            </w:r>
          </w:p>
        </w:tc>
        <w:tc>
          <w:tcPr>
            <w:tcW w:w="540" w:type="dxa"/>
            <w:shd w:val="clear" w:color="auto" w:fill="auto"/>
          </w:tcPr>
          <w:p w:rsidR="00FD1202" w:rsidRPr="00003A68" w:rsidRDefault="00FD1202" w:rsidP="004A15DC">
            <w:pPr>
              <w:spacing w:after="0" w:line="240" w:lineRule="auto"/>
              <w:jc w:val="both"/>
              <w:rPr>
                <w:rFonts w:eastAsia="Times New Roman" w:cs="Arial"/>
                <w:sz w:val="18"/>
                <w:szCs w:val="18"/>
                <w:lang w:val="es-ES"/>
              </w:rPr>
            </w:pPr>
          </w:p>
        </w:tc>
        <w:tc>
          <w:tcPr>
            <w:tcW w:w="630" w:type="dxa"/>
            <w:shd w:val="clear" w:color="auto" w:fill="auto"/>
          </w:tcPr>
          <w:p w:rsidR="00FD1202"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FD1202" w:rsidRPr="00003A68" w:rsidRDefault="00FD1202" w:rsidP="004A15DC">
            <w:pPr>
              <w:spacing w:after="0" w:line="240" w:lineRule="auto"/>
              <w:jc w:val="both"/>
              <w:rPr>
                <w:rFonts w:eastAsia="Times New Roman" w:cs="Arial"/>
                <w:sz w:val="18"/>
                <w:szCs w:val="18"/>
                <w:lang w:val="es-ES"/>
              </w:rPr>
            </w:pPr>
          </w:p>
        </w:tc>
        <w:tc>
          <w:tcPr>
            <w:tcW w:w="1260" w:type="dxa"/>
            <w:shd w:val="clear" w:color="auto" w:fill="auto"/>
          </w:tcPr>
          <w:p w:rsidR="00FD1202" w:rsidRPr="00003A68" w:rsidRDefault="0002515F"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FD1202"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Informe </w:t>
            </w:r>
            <w:r w:rsidR="00083C2A" w:rsidRPr="00003A68">
              <w:rPr>
                <w:rFonts w:eastAsia="Times New Roman" w:cs="Arial"/>
                <w:sz w:val="18"/>
                <w:szCs w:val="18"/>
                <w:lang w:val="es-ES"/>
              </w:rPr>
              <w:t xml:space="preserve">de la </w:t>
            </w:r>
            <w:r w:rsidRPr="00003A68">
              <w:rPr>
                <w:rFonts w:eastAsia="Times New Roman" w:cs="Arial"/>
                <w:sz w:val="18"/>
                <w:szCs w:val="18"/>
                <w:lang w:val="es-ES"/>
              </w:rPr>
              <w:t>DNSC</w:t>
            </w:r>
            <w:r w:rsidR="00083C2A" w:rsidRPr="00003A68">
              <w:rPr>
                <w:rFonts w:eastAsia="Times New Roman" w:cs="Arial"/>
                <w:sz w:val="18"/>
                <w:szCs w:val="18"/>
                <w:lang w:val="es-ES"/>
              </w:rPr>
              <w:t>.</w:t>
            </w:r>
          </w:p>
        </w:tc>
        <w:tc>
          <w:tcPr>
            <w:tcW w:w="1080" w:type="dxa"/>
            <w:shd w:val="clear" w:color="auto" w:fill="auto"/>
            <w:vAlign w:val="center"/>
          </w:tcPr>
          <w:p w:rsidR="00FD1202" w:rsidRPr="00003A68" w:rsidRDefault="00FD1202" w:rsidP="004A15DC">
            <w:pPr>
              <w:spacing w:after="0" w:line="240" w:lineRule="auto"/>
              <w:jc w:val="right"/>
              <w:rPr>
                <w:rFonts w:eastAsia="Times New Roman" w:cs="Arial"/>
                <w:sz w:val="18"/>
                <w:szCs w:val="18"/>
                <w:lang w:val="es-ES"/>
              </w:rPr>
            </w:pPr>
          </w:p>
        </w:tc>
        <w:tc>
          <w:tcPr>
            <w:tcW w:w="1620" w:type="dxa"/>
            <w:shd w:val="clear" w:color="auto" w:fill="auto"/>
          </w:tcPr>
          <w:p w:rsidR="00FD1202" w:rsidRPr="00003A68" w:rsidRDefault="00FD1202"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4F1E9F" w:rsidRPr="00003A68" w:rsidRDefault="00354488"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Códigos de </w:t>
            </w:r>
            <w:r w:rsidR="00083C2A" w:rsidRPr="00003A68">
              <w:rPr>
                <w:rFonts w:eastAsia="Times New Roman" w:cs="Arial"/>
                <w:sz w:val="18"/>
                <w:szCs w:val="18"/>
                <w:lang w:val="es-ES"/>
              </w:rPr>
              <w:t xml:space="preserve">éticas. </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EA3420"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4F1E9F" w:rsidRPr="00003A68" w:rsidRDefault="00087552"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 resoluciones </w:t>
            </w:r>
            <w:r w:rsidR="00083C2A" w:rsidRPr="00003A68">
              <w:rPr>
                <w:rFonts w:eastAsia="Times New Roman" w:cs="Arial"/>
                <w:sz w:val="18"/>
                <w:szCs w:val="18"/>
                <w:lang w:val="es-ES"/>
              </w:rPr>
              <w:t>sobre 13 Códigos de ‘Ética.</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C22871" w:rsidRPr="00003A68" w:rsidRDefault="00504228" w:rsidP="00717665">
            <w:pPr>
              <w:pStyle w:val="ListParagraph"/>
              <w:numPr>
                <w:ilvl w:val="1"/>
                <w:numId w:val="12"/>
              </w:numPr>
              <w:spacing w:after="0" w:line="240" w:lineRule="auto"/>
              <w:ind w:left="360"/>
              <w:jc w:val="both"/>
              <w:rPr>
                <w:rFonts w:eastAsia="Times New Roman" w:cs="Arial"/>
                <w:sz w:val="18"/>
                <w:szCs w:val="18"/>
                <w:lang w:val="es-ES"/>
              </w:rPr>
            </w:pPr>
            <w:r>
              <w:rPr>
                <w:rFonts w:eastAsia="Times New Roman" w:cs="Arial"/>
                <w:sz w:val="18"/>
                <w:szCs w:val="18"/>
                <w:lang w:val="es-ES"/>
              </w:rPr>
              <w:t xml:space="preserve">Informe sobre el grado de cumplimiento de los </w:t>
            </w:r>
            <w:r w:rsidR="00083C2A" w:rsidRPr="00003A68">
              <w:rPr>
                <w:rFonts w:eastAsia="Times New Roman" w:cs="Arial"/>
                <w:sz w:val="18"/>
                <w:szCs w:val="18"/>
                <w:lang w:val="es-ES"/>
              </w:rPr>
              <w:t>Informes Finales de las Comisiones Evaluadoras</w:t>
            </w:r>
            <w:r w:rsidR="008E36BE">
              <w:rPr>
                <w:rFonts w:eastAsia="Times New Roman" w:cs="Arial"/>
                <w:sz w:val="18"/>
                <w:szCs w:val="18"/>
                <w:lang w:val="es-ES"/>
              </w:rPr>
              <w:t>.</w:t>
            </w:r>
            <w:r w:rsidR="00CF6178" w:rsidRPr="00003A68">
              <w:rPr>
                <w:rFonts w:eastAsia="Times New Roman" w:cs="Arial"/>
                <w:sz w:val="18"/>
                <w:szCs w:val="18"/>
                <w:lang w:val="es-ES"/>
              </w:rPr>
              <w:t xml:space="preserve"> </w:t>
            </w:r>
          </w:p>
        </w:tc>
        <w:tc>
          <w:tcPr>
            <w:tcW w:w="540" w:type="dxa"/>
            <w:shd w:val="clear" w:color="auto" w:fill="auto"/>
          </w:tcPr>
          <w:p w:rsidR="00C22871" w:rsidRPr="00003A68" w:rsidRDefault="00C22871" w:rsidP="004A15DC">
            <w:pPr>
              <w:spacing w:after="0" w:line="240" w:lineRule="auto"/>
              <w:jc w:val="both"/>
              <w:rPr>
                <w:rFonts w:eastAsia="Times New Roman" w:cs="Arial"/>
                <w:sz w:val="18"/>
                <w:szCs w:val="18"/>
                <w:lang w:val="es-ES"/>
              </w:rPr>
            </w:pPr>
          </w:p>
        </w:tc>
        <w:tc>
          <w:tcPr>
            <w:tcW w:w="630" w:type="dxa"/>
            <w:shd w:val="clear" w:color="auto" w:fill="auto"/>
          </w:tcPr>
          <w:p w:rsidR="00C22871"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C22871" w:rsidRPr="00003A68" w:rsidRDefault="00C22871" w:rsidP="004A15DC">
            <w:pPr>
              <w:spacing w:after="0" w:line="240" w:lineRule="auto"/>
              <w:jc w:val="both"/>
              <w:rPr>
                <w:rFonts w:eastAsia="Times New Roman" w:cs="Arial"/>
                <w:sz w:val="18"/>
                <w:szCs w:val="18"/>
                <w:lang w:val="es-ES"/>
              </w:rPr>
            </w:pPr>
          </w:p>
        </w:tc>
        <w:tc>
          <w:tcPr>
            <w:tcW w:w="1260" w:type="dxa"/>
            <w:shd w:val="clear" w:color="auto" w:fill="auto"/>
          </w:tcPr>
          <w:p w:rsidR="00C22871" w:rsidRPr="00003A68" w:rsidRDefault="00C213A4"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C22871" w:rsidRPr="00003A68" w:rsidRDefault="00CD6B30"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Informe </w:t>
            </w:r>
            <w:r w:rsidR="00083C2A" w:rsidRPr="00003A68">
              <w:rPr>
                <w:rFonts w:eastAsia="Times New Roman" w:cs="Arial"/>
                <w:sz w:val="18"/>
                <w:szCs w:val="18"/>
                <w:lang w:val="es-ES"/>
              </w:rPr>
              <w:t xml:space="preserve">de </w:t>
            </w:r>
            <w:r w:rsidRPr="00003A68">
              <w:rPr>
                <w:rFonts w:eastAsia="Times New Roman" w:cs="Arial"/>
                <w:sz w:val="18"/>
                <w:szCs w:val="18"/>
                <w:lang w:val="es-ES"/>
              </w:rPr>
              <w:t>la Dirección de Compras y Contratación Pública (ChileCompra)</w:t>
            </w:r>
            <w:r w:rsidR="00083C2A" w:rsidRPr="00003A68">
              <w:rPr>
                <w:rFonts w:eastAsia="Times New Roman" w:cs="Arial"/>
                <w:sz w:val="18"/>
                <w:szCs w:val="18"/>
                <w:lang w:val="es-ES"/>
              </w:rPr>
              <w:t>.</w:t>
            </w:r>
            <w:r w:rsidRPr="00003A68">
              <w:rPr>
                <w:rFonts w:eastAsia="Times New Roman" w:cs="Arial"/>
                <w:sz w:val="18"/>
                <w:szCs w:val="18"/>
                <w:lang w:val="es-ES"/>
              </w:rPr>
              <w:t xml:space="preserve"> </w:t>
            </w:r>
          </w:p>
        </w:tc>
        <w:tc>
          <w:tcPr>
            <w:tcW w:w="1080" w:type="dxa"/>
            <w:shd w:val="clear" w:color="auto" w:fill="auto"/>
            <w:vAlign w:val="center"/>
          </w:tcPr>
          <w:p w:rsidR="00C22871" w:rsidRPr="00003A68" w:rsidRDefault="00C22871" w:rsidP="004A15DC">
            <w:pPr>
              <w:spacing w:after="0" w:line="240" w:lineRule="auto"/>
              <w:jc w:val="right"/>
              <w:rPr>
                <w:rFonts w:eastAsia="Times New Roman" w:cs="Arial"/>
                <w:sz w:val="18"/>
                <w:szCs w:val="18"/>
                <w:lang w:val="es-ES"/>
              </w:rPr>
            </w:pPr>
          </w:p>
        </w:tc>
        <w:tc>
          <w:tcPr>
            <w:tcW w:w="1620" w:type="dxa"/>
            <w:shd w:val="clear" w:color="auto" w:fill="auto"/>
          </w:tcPr>
          <w:p w:rsidR="00C22871" w:rsidRPr="00003A68" w:rsidRDefault="00C22871"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083C2A" w:rsidRPr="00003A68" w:rsidRDefault="00CF6178"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Organismos públicos con</w:t>
            </w:r>
            <w:r w:rsidR="00083C2A" w:rsidRPr="00003A68">
              <w:rPr>
                <w:rFonts w:eastAsia="Times New Roman" w:cs="Arial"/>
                <w:sz w:val="18"/>
                <w:szCs w:val="18"/>
                <w:lang w:val="es-ES"/>
              </w:rPr>
              <w:t xml:space="preserve"> bases de licitación</w:t>
            </w:r>
            <w:r w:rsidR="008E36BE">
              <w:rPr>
                <w:rFonts w:eastAsia="Times New Roman" w:cs="Arial"/>
                <w:sz w:val="18"/>
                <w:szCs w:val="18"/>
                <w:lang w:val="es-ES"/>
              </w:rPr>
              <w:t xml:space="preserve"> pública</w:t>
            </w:r>
            <w:r w:rsidR="00083C2A" w:rsidRPr="00003A68">
              <w:rPr>
                <w:rFonts w:eastAsia="Times New Roman" w:cs="Arial"/>
                <w:sz w:val="18"/>
                <w:szCs w:val="18"/>
                <w:lang w:val="es-ES"/>
              </w:rPr>
              <w:t>, con firma electrónica</w:t>
            </w:r>
            <w:r w:rsidR="008E36BE">
              <w:rPr>
                <w:rFonts w:eastAsia="Times New Roman" w:cs="Arial"/>
                <w:sz w:val="18"/>
                <w:szCs w:val="18"/>
                <w:lang w:val="es-ES"/>
              </w:rPr>
              <w:t xml:space="preserve"> avanzada</w:t>
            </w:r>
            <w:r w:rsidR="00083C2A" w:rsidRPr="00003A68">
              <w:rPr>
                <w:rFonts w:eastAsia="Times New Roman" w:cs="Arial"/>
                <w:sz w:val="18"/>
                <w:szCs w:val="18"/>
                <w:lang w:val="es-ES"/>
              </w:rPr>
              <w:t>.</w:t>
            </w:r>
          </w:p>
        </w:tc>
        <w:tc>
          <w:tcPr>
            <w:tcW w:w="540" w:type="dxa"/>
            <w:shd w:val="clear" w:color="auto" w:fill="auto"/>
          </w:tcPr>
          <w:p w:rsidR="00083C2A" w:rsidRPr="00003A68" w:rsidRDefault="00083C2A" w:rsidP="004A15DC">
            <w:pPr>
              <w:spacing w:after="0" w:line="240" w:lineRule="auto"/>
              <w:jc w:val="both"/>
              <w:rPr>
                <w:rFonts w:eastAsia="Times New Roman" w:cs="Arial"/>
                <w:sz w:val="18"/>
                <w:szCs w:val="18"/>
                <w:lang w:val="es-ES"/>
              </w:rPr>
            </w:pPr>
          </w:p>
        </w:tc>
        <w:tc>
          <w:tcPr>
            <w:tcW w:w="630" w:type="dxa"/>
            <w:shd w:val="clear" w:color="auto" w:fill="auto"/>
          </w:tcPr>
          <w:p w:rsidR="00083C2A"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083C2A" w:rsidRPr="00003A68" w:rsidRDefault="00083C2A" w:rsidP="004A15DC">
            <w:pPr>
              <w:spacing w:after="0" w:line="240" w:lineRule="auto"/>
              <w:jc w:val="both"/>
              <w:rPr>
                <w:rFonts w:eastAsia="Times New Roman" w:cs="Arial"/>
                <w:sz w:val="18"/>
                <w:szCs w:val="18"/>
                <w:lang w:val="es-ES"/>
              </w:rPr>
            </w:pPr>
          </w:p>
        </w:tc>
        <w:tc>
          <w:tcPr>
            <w:tcW w:w="1260" w:type="dxa"/>
            <w:shd w:val="clear" w:color="auto" w:fill="auto"/>
          </w:tcPr>
          <w:p w:rsidR="00083C2A" w:rsidRPr="00003A68" w:rsidRDefault="00083C2A" w:rsidP="004A15DC">
            <w:pPr>
              <w:spacing w:after="0" w:line="240" w:lineRule="auto"/>
              <w:jc w:val="both"/>
              <w:rPr>
                <w:rFonts w:eastAsia="Times New Roman" w:cs="Arial"/>
                <w:sz w:val="18"/>
                <w:szCs w:val="18"/>
                <w:lang w:val="es-ES"/>
              </w:rPr>
            </w:pPr>
          </w:p>
        </w:tc>
        <w:tc>
          <w:tcPr>
            <w:tcW w:w="3150" w:type="dxa"/>
            <w:shd w:val="clear" w:color="auto" w:fill="auto"/>
          </w:tcPr>
          <w:p w:rsidR="00083C2A" w:rsidRPr="00003A68" w:rsidDel="00083C2A" w:rsidRDefault="00083C2A"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Informe de la Dirección de Compras y Contratación Pública (ChileCompra).</w:t>
            </w:r>
          </w:p>
        </w:tc>
        <w:tc>
          <w:tcPr>
            <w:tcW w:w="1080" w:type="dxa"/>
            <w:shd w:val="clear" w:color="auto" w:fill="auto"/>
            <w:vAlign w:val="center"/>
          </w:tcPr>
          <w:p w:rsidR="00083C2A" w:rsidRPr="00003A68" w:rsidRDefault="00083C2A" w:rsidP="004A15DC">
            <w:pPr>
              <w:spacing w:after="0" w:line="240" w:lineRule="auto"/>
              <w:jc w:val="right"/>
              <w:rPr>
                <w:rFonts w:eastAsia="Times New Roman" w:cs="Arial"/>
                <w:sz w:val="18"/>
                <w:szCs w:val="18"/>
                <w:lang w:val="es-ES"/>
              </w:rPr>
            </w:pPr>
          </w:p>
        </w:tc>
        <w:tc>
          <w:tcPr>
            <w:tcW w:w="1620" w:type="dxa"/>
            <w:shd w:val="clear" w:color="auto" w:fill="auto"/>
          </w:tcPr>
          <w:p w:rsidR="00083C2A" w:rsidRPr="00003A68" w:rsidRDefault="00083C2A"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5128D1" w:rsidRPr="00003A68" w:rsidRDefault="00CD6B30"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Convenio de </w:t>
            </w:r>
            <w:r w:rsidR="00083C2A" w:rsidRPr="00003A68">
              <w:rPr>
                <w:rFonts w:eastAsia="Times New Roman" w:cs="Arial"/>
                <w:sz w:val="18"/>
                <w:szCs w:val="18"/>
                <w:lang w:val="es-ES"/>
              </w:rPr>
              <w:t>c</w:t>
            </w:r>
            <w:r w:rsidRPr="00003A68">
              <w:rPr>
                <w:rFonts w:eastAsia="Times New Roman" w:cs="Arial"/>
                <w:sz w:val="18"/>
                <w:szCs w:val="18"/>
                <w:lang w:val="es-ES"/>
              </w:rPr>
              <w:t xml:space="preserve">olaboración entre la Dirección General de Obras Públicas del MOP y la Dirección de Compras y Contratación Pública, en </w:t>
            </w:r>
            <w:r w:rsidR="00083C2A" w:rsidRPr="00003A68">
              <w:rPr>
                <w:rFonts w:eastAsia="Times New Roman" w:cs="Arial"/>
                <w:sz w:val="18"/>
                <w:szCs w:val="18"/>
                <w:lang w:val="es-ES"/>
              </w:rPr>
              <w:t xml:space="preserve">materia de compras públicas. </w:t>
            </w:r>
          </w:p>
        </w:tc>
        <w:tc>
          <w:tcPr>
            <w:tcW w:w="540" w:type="dxa"/>
            <w:shd w:val="clear" w:color="auto" w:fill="auto"/>
          </w:tcPr>
          <w:p w:rsidR="005128D1" w:rsidRPr="00003A68" w:rsidRDefault="005128D1" w:rsidP="004A15DC">
            <w:pPr>
              <w:spacing w:after="0" w:line="240" w:lineRule="auto"/>
              <w:jc w:val="both"/>
              <w:rPr>
                <w:rFonts w:eastAsia="Times New Roman" w:cs="Arial"/>
                <w:sz w:val="18"/>
                <w:szCs w:val="18"/>
                <w:lang w:val="es-ES"/>
              </w:rPr>
            </w:pPr>
          </w:p>
        </w:tc>
        <w:tc>
          <w:tcPr>
            <w:tcW w:w="630" w:type="dxa"/>
            <w:shd w:val="clear" w:color="auto" w:fill="auto"/>
          </w:tcPr>
          <w:p w:rsidR="005128D1"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5128D1" w:rsidRPr="00003A68" w:rsidRDefault="005128D1" w:rsidP="004A15DC">
            <w:pPr>
              <w:spacing w:after="0" w:line="240" w:lineRule="auto"/>
              <w:jc w:val="both"/>
              <w:rPr>
                <w:rFonts w:eastAsia="Times New Roman" w:cs="Arial"/>
                <w:sz w:val="18"/>
                <w:szCs w:val="18"/>
                <w:lang w:val="es-ES"/>
              </w:rPr>
            </w:pPr>
          </w:p>
        </w:tc>
        <w:tc>
          <w:tcPr>
            <w:tcW w:w="1260" w:type="dxa"/>
            <w:shd w:val="clear" w:color="auto" w:fill="auto"/>
          </w:tcPr>
          <w:p w:rsidR="005128D1" w:rsidRPr="00003A68" w:rsidRDefault="005128D1"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5128D1" w:rsidRPr="00003A68" w:rsidRDefault="00CD6B30" w:rsidP="004A15DC">
            <w:pPr>
              <w:tabs>
                <w:tab w:val="left" w:pos="72"/>
              </w:tabs>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del </w:t>
            </w:r>
            <w:r w:rsidR="00083C2A" w:rsidRPr="00003A68">
              <w:rPr>
                <w:rFonts w:eastAsia="Times New Roman" w:cs="Arial"/>
                <w:sz w:val="18"/>
                <w:szCs w:val="18"/>
                <w:lang w:val="es-ES"/>
              </w:rPr>
              <w:t>c</w:t>
            </w:r>
            <w:r w:rsidRPr="00003A68">
              <w:rPr>
                <w:rFonts w:eastAsia="Times New Roman" w:cs="Arial"/>
                <w:sz w:val="18"/>
                <w:szCs w:val="18"/>
                <w:lang w:val="es-ES"/>
              </w:rPr>
              <w:t>onvenio</w:t>
            </w:r>
            <w:r w:rsidR="00083C2A" w:rsidRPr="00003A68">
              <w:rPr>
                <w:rFonts w:eastAsia="Times New Roman" w:cs="Arial"/>
                <w:sz w:val="18"/>
                <w:szCs w:val="18"/>
                <w:lang w:val="es-ES"/>
              </w:rPr>
              <w:t>.</w:t>
            </w:r>
          </w:p>
        </w:tc>
        <w:tc>
          <w:tcPr>
            <w:tcW w:w="1080" w:type="dxa"/>
            <w:shd w:val="clear" w:color="auto" w:fill="auto"/>
            <w:vAlign w:val="center"/>
          </w:tcPr>
          <w:p w:rsidR="005128D1" w:rsidRPr="00003A68" w:rsidRDefault="005128D1" w:rsidP="004A15DC">
            <w:pPr>
              <w:spacing w:after="0" w:line="240" w:lineRule="auto"/>
              <w:jc w:val="right"/>
              <w:rPr>
                <w:rFonts w:eastAsia="Times New Roman" w:cs="Arial"/>
                <w:sz w:val="18"/>
                <w:szCs w:val="18"/>
                <w:lang w:val="es-ES"/>
              </w:rPr>
            </w:pPr>
          </w:p>
        </w:tc>
        <w:tc>
          <w:tcPr>
            <w:tcW w:w="1620" w:type="dxa"/>
            <w:shd w:val="clear" w:color="auto" w:fill="auto"/>
          </w:tcPr>
          <w:p w:rsidR="005128D1" w:rsidRPr="00003A68" w:rsidRDefault="005128D1"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4F1E9F" w:rsidRPr="00003A68" w:rsidRDefault="00CD6B30"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Ley que “Crea la Comisión de Valores y Seguros”</w:t>
            </w:r>
            <w:r w:rsidR="00083C2A" w:rsidRPr="00003A68">
              <w:rPr>
                <w:rFonts w:eastAsia="Times New Roman" w:cs="Arial"/>
                <w:sz w:val="18"/>
                <w:szCs w:val="18"/>
                <w:lang w:val="es-ES"/>
              </w:rPr>
              <w:t>.</w:t>
            </w:r>
            <w:r w:rsidRPr="00003A68">
              <w:rPr>
                <w:rFonts w:eastAsia="Times New Roman" w:cs="Arial"/>
                <w:sz w:val="18"/>
                <w:szCs w:val="18"/>
                <w:lang w:val="es-ES"/>
              </w:rPr>
              <w:t xml:space="preserve"> </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4F1E9F" w:rsidRPr="00003A68" w:rsidRDefault="00CD6B30"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 la </w:t>
            </w:r>
            <w:r w:rsidR="00083C2A" w:rsidRPr="00003A68">
              <w:rPr>
                <w:rFonts w:eastAsia="Times New Roman" w:cs="Arial"/>
                <w:sz w:val="18"/>
                <w:szCs w:val="18"/>
                <w:lang w:val="es-ES"/>
              </w:rPr>
              <w:t>l</w:t>
            </w:r>
            <w:r w:rsidRPr="00003A68">
              <w:rPr>
                <w:rFonts w:eastAsia="Times New Roman" w:cs="Arial"/>
                <w:sz w:val="18"/>
                <w:szCs w:val="18"/>
                <w:lang w:val="es-ES"/>
              </w:rPr>
              <w:t xml:space="preserve">ey </w:t>
            </w:r>
            <w:r w:rsidR="00083C2A" w:rsidRPr="00003A68">
              <w:rPr>
                <w:rFonts w:eastAsia="Times New Roman" w:cs="Arial"/>
                <w:sz w:val="18"/>
                <w:szCs w:val="18"/>
                <w:lang w:val="es-ES"/>
              </w:rPr>
              <w:t xml:space="preserve">publicada en el Diario Oficial. </w:t>
            </w: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003A68" w:rsidTr="004A15DC">
        <w:tc>
          <w:tcPr>
            <w:tcW w:w="4248" w:type="dxa"/>
            <w:shd w:val="clear" w:color="auto" w:fill="auto"/>
          </w:tcPr>
          <w:p w:rsidR="004F1E9F" w:rsidRPr="00003A68" w:rsidRDefault="00083C2A"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Decreto con Fuerza de </w:t>
            </w:r>
            <w:r w:rsidR="00CD6B30" w:rsidRPr="00003A68">
              <w:rPr>
                <w:rFonts w:eastAsia="Times New Roman" w:cs="Arial"/>
                <w:sz w:val="18"/>
                <w:szCs w:val="18"/>
                <w:lang w:val="es-ES"/>
              </w:rPr>
              <w:t xml:space="preserve">Ley que </w:t>
            </w:r>
            <w:r w:rsidRPr="00003A68">
              <w:rPr>
                <w:rFonts w:eastAsia="Times New Roman" w:cs="Arial"/>
                <w:sz w:val="18"/>
                <w:szCs w:val="18"/>
                <w:lang w:val="es-ES"/>
              </w:rPr>
              <w:t xml:space="preserve">determina la fecha de iniciación de actividades de la </w:t>
            </w:r>
            <w:r w:rsidR="00A07BE0" w:rsidRPr="00003A68">
              <w:rPr>
                <w:rFonts w:eastAsia="Times New Roman" w:cs="Arial"/>
                <w:sz w:val="18"/>
                <w:szCs w:val="18"/>
                <w:lang w:val="es-ES"/>
              </w:rPr>
              <w:t>Comisión</w:t>
            </w:r>
            <w:r w:rsidRPr="00003A68">
              <w:rPr>
                <w:rFonts w:eastAsia="Times New Roman" w:cs="Arial"/>
                <w:sz w:val="18"/>
                <w:szCs w:val="18"/>
                <w:lang w:val="es-ES"/>
              </w:rPr>
              <w:t xml:space="preserve"> de Valores y Seguros. </w:t>
            </w:r>
          </w:p>
        </w:tc>
        <w:tc>
          <w:tcPr>
            <w:tcW w:w="54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630" w:type="dxa"/>
            <w:shd w:val="clear" w:color="auto" w:fill="auto"/>
          </w:tcPr>
          <w:p w:rsidR="004F1E9F"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p>
        </w:tc>
        <w:tc>
          <w:tcPr>
            <w:tcW w:w="1260" w:type="dxa"/>
            <w:shd w:val="clear" w:color="auto" w:fill="auto"/>
          </w:tcPr>
          <w:p w:rsidR="004F1E9F" w:rsidRPr="00003A68" w:rsidRDefault="004F1E9F"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auto"/>
          </w:tcPr>
          <w:p w:rsidR="00CD6B30" w:rsidRPr="00003A68" w:rsidRDefault="00CD6B30"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del </w:t>
            </w:r>
            <w:r w:rsidR="00A07BE0" w:rsidRPr="00003A68">
              <w:rPr>
                <w:rFonts w:eastAsia="Times New Roman" w:cs="Arial"/>
                <w:sz w:val="18"/>
                <w:szCs w:val="18"/>
                <w:lang w:val="es-ES"/>
              </w:rPr>
              <w:t xml:space="preserve">Decreto. </w:t>
            </w:r>
          </w:p>
          <w:p w:rsidR="004F1E9F" w:rsidRPr="00003A68" w:rsidRDefault="004F1E9F" w:rsidP="004A15DC">
            <w:pPr>
              <w:tabs>
                <w:tab w:val="left" w:pos="72"/>
              </w:tabs>
              <w:spacing w:after="0" w:line="240" w:lineRule="auto"/>
              <w:jc w:val="both"/>
              <w:rPr>
                <w:rFonts w:eastAsia="Times New Roman" w:cs="Arial"/>
                <w:sz w:val="18"/>
                <w:szCs w:val="18"/>
                <w:lang w:val="es-ES"/>
              </w:rPr>
            </w:pPr>
          </w:p>
        </w:tc>
        <w:tc>
          <w:tcPr>
            <w:tcW w:w="1080" w:type="dxa"/>
            <w:shd w:val="clear" w:color="auto" w:fill="auto"/>
            <w:vAlign w:val="center"/>
          </w:tcPr>
          <w:p w:rsidR="004F1E9F" w:rsidRPr="00003A68" w:rsidRDefault="004F1E9F" w:rsidP="004A15DC">
            <w:pPr>
              <w:spacing w:after="0" w:line="240" w:lineRule="auto"/>
              <w:jc w:val="right"/>
              <w:rPr>
                <w:rFonts w:eastAsia="Times New Roman" w:cs="Arial"/>
                <w:sz w:val="18"/>
                <w:szCs w:val="18"/>
                <w:lang w:val="es-ES"/>
              </w:rPr>
            </w:pPr>
          </w:p>
        </w:tc>
        <w:tc>
          <w:tcPr>
            <w:tcW w:w="1620" w:type="dxa"/>
            <w:shd w:val="clear" w:color="auto" w:fill="auto"/>
          </w:tcPr>
          <w:p w:rsidR="004F1E9F" w:rsidRPr="00003A68" w:rsidRDefault="004F1E9F"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895216" w:rsidRPr="00003A68" w:rsidRDefault="00A07BE0"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Oficio del Ministerio de Educación (MINEDUC) a las Secretarias Regionales Ministeriales (SEREMIS) con orientaciones para la implementación de la “Ley que Crea el Plan de Formación Ciudadana para los </w:t>
            </w:r>
            <w:r w:rsidR="008E36BE">
              <w:rPr>
                <w:rFonts w:eastAsia="Times New Roman" w:cs="Arial"/>
                <w:sz w:val="18"/>
                <w:szCs w:val="18"/>
                <w:lang w:val="es-ES"/>
              </w:rPr>
              <w:t>E</w:t>
            </w:r>
            <w:r w:rsidRPr="00003A68">
              <w:rPr>
                <w:rFonts w:eastAsia="Times New Roman" w:cs="Arial"/>
                <w:sz w:val="18"/>
                <w:szCs w:val="18"/>
                <w:lang w:val="es-ES"/>
              </w:rPr>
              <w:t xml:space="preserve">stablecimientos </w:t>
            </w:r>
            <w:r w:rsidR="008E36BE">
              <w:rPr>
                <w:rFonts w:eastAsia="Times New Roman" w:cs="Arial"/>
                <w:sz w:val="18"/>
                <w:szCs w:val="18"/>
                <w:lang w:val="es-ES"/>
              </w:rPr>
              <w:t>E</w:t>
            </w:r>
            <w:r w:rsidRPr="00003A68">
              <w:rPr>
                <w:rFonts w:eastAsia="Times New Roman" w:cs="Arial"/>
                <w:sz w:val="18"/>
                <w:szCs w:val="18"/>
                <w:lang w:val="es-ES"/>
              </w:rPr>
              <w:t>ducacionales reconocidos por el Estado”.</w:t>
            </w:r>
          </w:p>
        </w:tc>
        <w:tc>
          <w:tcPr>
            <w:tcW w:w="54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630" w:type="dxa"/>
            <w:shd w:val="clear" w:color="auto" w:fill="auto"/>
          </w:tcPr>
          <w:p w:rsidR="00A07BE0"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126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3150" w:type="dxa"/>
            <w:shd w:val="clear" w:color="auto" w:fill="auto"/>
          </w:tcPr>
          <w:p w:rsidR="00A07BE0" w:rsidRPr="00003A68" w:rsidRDefault="00A07BE0" w:rsidP="004A15DC">
            <w:pPr>
              <w:spacing w:after="0" w:line="240" w:lineRule="auto"/>
              <w:rPr>
                <w:rFonts w:eastAsia="Times New Roman" w:cs="Arial"/>
                <w:sz w:val="18"/>
                <w:szCs w:val="18"/>
                <w:lang w:val="es-ES"/>
              </w:rPr>
            </w:pPr>
            <w:r w:rsidRPr="00003A68">
              <w:rPr>
                <w:rFonts w:eastAsia="Times New Roman" w:cs="Arial"/>
                <w:sz w:val="18"/>
                <w:szCs w:val="18"/>
                <w:lang w:val="es-ES"/>
              </w:rPr>
              <w:t>Copia del oficio y confirmación del envío a los SEREMIS.</w:t>
            </w:r>
          </w:p>
          <w:p w:rsidR="00A07BE0" w:rsidRPr="00003A68" w:rsidDel="00A07BE0" w:rsidRDefault="00A07BE0" w:rsidP="004A15DC">
            <w:pPr>
              <w:spacing w:after="0" w:line="240" w:lineRule="auto"/>
              <w:jc w:val="both"/>
              <w:rPr>
                <w:rFonts w:eastAsia="Times New Roman" w:cs="Arial"/>
                <w:sz w:val="18"/>
                <w:szCs w:val="18"/>
                <w:lang w:val="es-ES"/>
              </w:rPr>
            </w:pPr>
          </w:p>
        </w:tc>
        <w:tc>
          <w:tcPr>
            <w:tcW w:w="1080" w:type="dxa"/>
            <w:shd w:val="clear" w:color="auto" w:fill="auto"/>
            <w:vAlign w:val="center"/>
          </w:tcPr>
          <w:p w:rsidR="00A07BE0" w:rsidRPr="00003A68" w:rsidRDefault="00A07BE0" w:rsidP="004A15DC">
            <w:pPr>
              <w:spacing w:after="0" w:line="240" w:lineRule="auto"/>
              <w:jc w:val="right"/>
              <w:rPr>
                <w:rFonts w:eastAsia="Times New Roman" w:cs="Arial"/>
                <w:sz w:val="18"/>
                <w:szCs w:val="18"/>
                <w:lang w:val="es-ES"/>
              </w:rPr>
            </w:pPr>
          </w:p>
        </w:tc>
        <w:tc>
          <w:tcPr>
            <w:tcW w:w="1620" w:type="dxa"/>
            <w:shd w:val="clear" w:color="auto" w:fill="auto"/>
          </w:tcPr>
          <w:p w:rsidR="00A07BE0" w:rsidRPr="00003A68" w:rsidRDefault="00A07BE0"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895216" w:rsidRPr="00003A68" w:rsidRDefault="00A07BE0" w:rsidP="004A15DC">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Convenios de colaboración suscritos entre el MINEDUC e instituciones de educación superior para la implementación de un programa de capacitación para docentes en formación ciudadana.</w:t>
            </w:r>
          </w:p>
        </w:tc>
        <w:tc>
          <w:tcPr>
            <w:tcW w:w="54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630" w:type="dxa"/>
            <w:shd w:val="clear" w:color="auto" w:fill="auto"/>
          </w:tcPr>
          <w:p w:rsidR="00A07BE0"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1260" w:type="dxa"/>
            <w:shd w:val="clear" w:color="auto" w:fill="auto"/>
          </w:tcPr>
          <w:p w:rsidR="00A07BE0" w:rsidRPr="00003A68" w:rsidRDefault="00A07BE0" w:rsidP="004A15DC">
            <w:pPr>
              <w:spacing w:after="0" w:line="240" w:lineRule="auto"/>
              <w:jc w:val="both"/>
              <w:rPr>
                <w:rFonts w:eastAsia="Times New Roman" w:cs="Arial"/>
                <w:sz w:val="18"/>
                <w:szCs w:val="18"/>
                <w:lang w:val="es-ES"/>
              </w:rPr>
            </w:pPr>
          </w:p>
        </w:tc>
        <w:tc>
          <w:tcPr>
            <w:tcW w:w="3150" w:type="dxa"/>
            <w:shd w:val="clear" w:color="auto" w:fill="auto"/>
          </w:tcPr>
          <w:p w:rsidR="00A07BE0" w:rsidRPr="00003A68" w:rsidDel="00A07BE0" w:rsidRDefault="00A07BE0"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Copia de los Convenios.</w:t>
            </w:r>
          </w:p>
        </w:tc>
        <w:tc>
          <w:tcPr>
            <w:tcW w:w="1080" w:type="dxa"/>
            <w:shd w:val="clear" w:color="auto" w:fill="auto"/>
            <w:vAlign w:val="center"/>
          </w:tcPr>
          <w:p w:rsidR="00A07BE0" w:rsidRPr="00003A68" w:rsidRDefault="00A07BE0" w:rsidP="004A15DC">
            <w:pPr>
              <w:spacing w:after="0" w:line="240" w:lineRule="auto"/>
              <w:jc w:val="right"/>
              <w:rPr>
                <w:rFonts w:eastAsia="Times New Roman" w:cs="Arial"/>
                <w:sz w:val="18"/>
                <w:szCs w:val="18"/>
                <w:lang w:val="es-ES"/>
              </w:rPr>
            </w:pPr>
          </w:p>
        </w:tc>
        <w:tc>
          <w:tcPr>
            <w:tcW w:w="1620" w:type="dxa"/>
            <w:shd w:val="clear" w:color="auto" w:fill="auto"/>
          </w:tcPr>
          <w:p w:rsidR="00A07BE0" w:rsidRPr="00003A68" w:rsidRDefault="00A07BE0" w:rsidP="004A15DC">
            <w:pPr>
              <w:spacing w:after="0" w:line="240" w:lineRule="auto"/>
              <w:jc w:val="center"/>
              <w:rPr>
                <w:rFonts w:eastAsia="Times New Roman" w:cs="Arial"/>
                <w:sz w:val="18"/>
                <w:szCs w:val="18"/>
                <w:lang w:val="es-ES"/>
              </w:rPr>
            </w:pPr>
          </w:p>
        </w:tc>
      </w:tr>
      <w:tr w:rsidR="00FA46CD" w:rsidRPr="00717665" w:rsidTr="004A15DC">
        <w:tc>
          <w:tcPr>
            <w:tcW w:w="4248" w:type="dxa"/>
            <w:shd w:val="clear" w:color="auto" w:fill="auto"/>
          </w:tcPr>
          <w:p w:rsidR="00CD6B30" w:rsidRPr="00003A68" w:rsidRDefault="00CD6B30" w:rsidP="00717665">
            <w:pPr>
              <w:pStyle w:val="ListParagraph"/>
              <w:numPr>
                <w:ilvl w:val="1"/>
                <w:numId w:val="12"/>
              </w:numPr>
              <w:spacing w:after="0" w:line="240" w:lineRule="auto"/>
              <w:ind w:left="360"/>
              <w:jc w:val="both"/>
              <w:rPr>
                <w:rFonts w:eastAsia="Times New Roman" w:cs="Arial"/>
                <w:sz w:val="18"/>
                <w:szCs w:val="18"/>
                <w:lang w:val="es-ES"/>
              </w:rPr>
            </w:pPr>
            <w:r w:rsidRPr="00003A68">
              <w:rPr>
                <w:rFonts w:eastAsia="Times New Roman" w:cs="Arial"/>
                <w:sz w:val="18"/>
                <w:szCs w:val="18"/>
                <w:lang w:val="es-ES"/>
              </w:rPr>
              <w:t xml:space="preserve">Mensaje del Ejecutivo con el que se inicia la </w:t>
            </w:r>
            <w:r w:rsidRPr="00003A68">
              <w:rPr>
                <w:rFonts w:eastAsia="Times New Roman" w:cs="Arial"/>
                <w:sz w:val="18"/>
                <w:szCs w:val="18"/>
                <w:lang w:val="es-ES"/>
              </w:rPr>
              <w:lastRenderedPageBreak/>
              <w:t>tramitación de un proyecto de ley de fortalecimiento del Consejo de Auditoría Interna de Gobierno</w:t>
            </w:r>
            <w:r w:rsidR="00A07BE0" w:rsidRPr="00003A68">
              <w:rPr>
                <w:rFonts w:eastAsia="Times New Roman" w:cs="Arial"/>
                <w:sz w:val="18"/>
                <w:szCs w:val="18"/>
                <w:lang w:val="es-ES"/>
              </w:rPr>
              <w:t>.</w:t>
            </w:r>
          </w:p>
        </w:tc>
        <w:tc>
          <w:tcPr>
            <w:tcW w:w="540" w:type="dxa"/>
            <w:shd w:val="clear" w:color="auto" w:fill="auto"/>
          </w:tcPr>
          <w:p w:rsidR="00CD6B30" w:rsidRPr="00003A68" w:rsidRDefault="00CD6B30" w:rsidP="004A15DC">
            <w:pPr>
              <w:spacing w:after="0" w:line="240" w:lineRule="auto"/>
              <w:jc w:val="both"/>
              <w:rPr>
                <w:rFonts w:eastAsia="Times New Roman" w:cs="Arial"/>
                <w:sz w:val="18"/>
                <w:szCs w:val="18"/>
                <w:lang w:val="es-ES"/>
              </w:rPr>
            </w:pPr>
          </w:p>
        </w:tc>
        <w:tc>
          <w:tcPr>
            <w:tcW w:w="630" w:type="dxa"/>
            <w:shd w:val="clear" w:color="auto" w:fill="auto"/>
          </w:tcPr>
          <w:p w:rsidR="00CD6B30" w:rsidRPr="00003A68" w:rsidRDefault="000241A7"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720" w:type="dxa"/>
            <w:shd w:val="clear" w:color="auto" w:fill="auto"/>
          </w:tcPr>
          <w:p w:rsidR="00CD6B30" w:rsidRPr="00003A68" w:rsidRDefault="00CD6B30" w:rsidP="004A15DC">
            <w:pPr>
              <w:spacing w:after="0" w:line="240" w:lineRule="auto"/>
              <w:jc w:val="both"/>
              <w:rPr>
                <w:rFonts w:eastAsia="Times New Roman" w:cs="Arial"/>
                <w:sz w:val="18"/>
                <w:szCs w:val="18"/>
                <w:lang w:val="es-ES"/>
              </w:rPr>
            </w:pPr>
          </w:p>
        </w:tc>
        <w:tc>
          <w:tcPr>
            <w:tcW w:w="1260" w:type="dxa"/>
            <w:shd w:val="clear" w:color="auto" w:fill="auto"/>
          </w:tcPr>
          <w:p w:rsidR="00CD6B30" w:rsidRPr="00003A68" w:rsidRDefault="00CD6B30" w:rsidP="004A15DC">
            <w:pPr>
              <w:spacing w:after="0" w:line="240" w:lineRule="auto"/>
              <w:jc w:val="both"/>
              <w:rPr>
                <w:rFonts w:eastAsia="Times New Roman" w:cs="Arial"/>
                <w:sz w:val="18"/>
                <w:szCs w:val="18"/>
                <w:lang w:val="es-ES"/>
              </w:rPr>
            </w:pPr>
          </w:p>
        </w:tc>
        <w:tc>
          <w:tcPr>
            <w:tcW w:w="3150" w:type="dxa"/>
            <w:shd w:val="clear" w:color="auto" w:fill="auto"/>
          </w:tcPr>
          <w:p w:rsidR="00CD6B30" w:rsidRPr="00003A68" w:rsidRDefault="00CD6B30" w:rsidP="004A15DC">
            <w:pPr>
              <w:spacing w:after="0" w:line="240" w:lineRule="auto"/>
              <w:jc w:val="both"/>
              <w:rPr>
                <w:rFonts w:eastAsia="Times New Roman" w:cs="Arial"/>
                <w:sz w:val="18"/>
                <w:szCs w:val="18"/>
                <w:lang w:val="es-ES"/>
              </w:rPr>
            </w:pPr>
            <w:r w:rsidRPr="00003A68">
              <w:rPr>
                <w:rFonts w:eastAsia="Times New Roman" w:cs="Arial"/>
                <w:sz w:val="18"/>
                <w:szCs w:val="18"/>
                <w:lang w:val="es-ES"/>
              </w:rPr>
              <w:t xml:space="preserve">Copia del Mensaje del Ejecutivo </w:t>
            </w:r>
            <w:r w:rsidR="00A07BE0" w:rsidRPr="00003A68">
              <w:rPr>
                <w:rFonts w:eastAsia="Times New Roman" w:cs="Arial"/>
                <w:sz w:val="18"/>
                <w:szCs w:val="18"/>
                <w:lang w:val="es-ES"/>
              </w:rPr>
              <w:lastRenderedPageBreak/>
              <w:t xml:space="preserve">Nacional. </w:t>
            </w:r>
          </w:p>
        </w:tc>
        <w:tc>
          <w:tcPr>
            <w:tcW w:w="1080" w:type="dxa"/>
            <w:shd w:val="clear" w:color="auto" w:fill="auto"/>
            <w:vAlign w:val="center"/>
          </w:tcPr>
          <w:p w:rsidR="00CD6B30" w:rsidRPr="00003A68" w:rsidRDefault="00CD6B30" w:rsidP="004A15DC">
            <w:pPr>
              <w:spacing w:after="0" w:line="240" w:lineRule="auto"/>
              <w:jc w:val="right"/>
              <w:rPr>
                <w:rFonts w:eastAsia="Times New Roman" w:cs="Arial"/>
                <w:sz w:val="18"/>
                <w:szCs w:val="18"/>
                <w:lang w:val="es-ES"/>
              </w:rPr>
            </w:pPr>
          </w:p>
        </w:tc>
        <w:tc>
          <w:tcPr>
            <w:tcW w:w="1620" w:type="dxa"/>
            <w:shd w:val="clear" w:color="auto" w:fill="auto"/>
          </w:tcPr>
          <w:p w:rsidR="00CD6B30" w:rsidRPr="00003A68" w:rsidRDefault="00CD6B30" w:rsidP="004A15DC">
            <w:pPr>
              <w:spacing w:after="0" w:line="240" w:lineRule="auto"/>
              <w:jc w:val="center"/>
              <w:rPr>
                <w:rFonts w:eastAsia="Times New Roman" w:cs="Arial"/>
                <w:sz w:val="18"/>
                <w:szCs w:val="18"/>
                <w:lang w:val="es-ES"/>
              </w:rPr>
            </w:pPr>
          </w:p>
        </w:tc>
      </w:tr>
      <w:tr w:rsidR="00FA46CD" w:rsidRPr="00003A68" w:rsidTr="004A15DC">
        <w:tc>
          <w:tcPr>
            <w:tcW w:w="4248" w:type="dxa"/>
            <w:shd w:val="clear" w:color="auto" w:fill="DBE5F1"/>
          </w:tcPr>
          <w:p w:rsidR="007049DD" w:rsidRPr="00003A68" w:rsidRDefault="00FC1590" w:rsidP="004A15DC">
            <w:pPr>
              <w:pStyle w:val="ListParagraph"/>
              <w:numPr>
                <w:ilvl w:val="0"/>
                <w:numId w:val="9"/>
              </w:numPr>
              <w:spacing w:after="0" w:line="240" w:lineRule="auto"/>
              <w:rPr>
                <w:rFonts w:eastAsia="Times New Roman" w:cs="Arial"/>
                <w:b/>
                <w:sz w:val="18"/>
                <w:szCs w:val="18"/>
                <w:lang w:val="es-ES"/>
              </w:rPr>
            </w:pPr>
            <w:r w:rsidRPr="00003A68">
              <w:rPr>
                <w:rFonts w:eastAsia="Times New Roman" w:cs="Arial"/>
                <w:b/>
                <w:sz w:val="18"/>
                <w:szCs w:val="18"/>
                <w:lang w:val="es-ES"/>
              </w:rPr>
              <w:lastRenderedPageBreak/>
              <w:t>E</w:t>
            </w:r>
            <w:r w:rsidR="00CD4AB4" w:rsidRPr="00003A68">
              <w:rPr>
                <w:rFonts w:eastAsia="Times New Roman" w:cs="Arial"/>
                <w:b/>
                <w:sz w:val="18"/>
                <w:szCs w:val="18"/>
                <w:lang w:val="es-ES"/>
              </w:rPr>
              <w:t>l</w:t>
            </w:r>
            <w:r w:rsidRPr="00003A68">
              <w:rPr>
                <w:rFonts w:eastAsia="Times New Roman" w:cs="Arial"/>
                <w:b/>
                <w:sz w:val="18"/>
                <w:szCs w:val="18"/>
                <w:lang w:val="es-ES"/>
              </w:rPr>
              <w:t>aborar el Memorando de Desembolso sobre la base de la verificación del cumplimiento de los compromisos de política establecidos en la Matriz de Políticas (Anexo II</w:t>
            </w:r>
            <w:r w:rsidR="00EE2C61" w:rsidRPr="00003A68">
              <w:rPr>
                <w:rFonts w:eastAsia="Times New Roman" w:cs="Arial"/>
                <w:b/>
                <w:sz w:val="18"/>
                <w:szCs w:val="18"/>
                <w:lang w:val="es-ES"/>
              </w:rPr>
              <w:t xml:space="preserve"> del Documento de Propuesta de Préstamo CH-L1111</w:t>
            </w:r>
            <w:r w:rsidRPr="00003A68">
              <w:rPr>
                <w:rFonts w:eastAsia="Times New Roman" w:cs="Arial"/>
                <w:b/>
                <w:sz w:val="18"/>
                <w:szCs w:val="18"/>
                <w:lang w:val="es-ES"/>
              </w:rPr>
              <w:t>)</w:t>
            </w:r>
          </w:p>
        </w:tc>
        <w:tc>
          <w:tcPr>
            <w:tcW w:w="540" w:type="dxa"/>
            <w:shd w:val="clear" w:color="auto" w:fill="DBE5F1"/>
          </w:tcPr>
          <w:p w:rsidR="007049DD" w:rsidRPr="00003A68" w:rsidRDefault="007049DD" w:rsidP="004A15DC">
            <w:pPr>
              <w:spacing w:after="0" w:line="240" w:lineRule="auto"/>
              <w:jc w:val="center"/>
              <w:rPr>
                <w:rFonts w:eastAsia="Times New Roman" w:cs="Arial"/>
                <w:sz w:val="18"/>
                <w:szCs w:val="18"/>
                <w:lang w:val="es-ES"/>
              </w:rPr>
            </w:pPr>
          </w:p>
        </w:tc>
        <w:tc>
          <w:tcPr>
            <w:tcW w:w="630" w:type="dxa"/>
            <w:shd w:val="clear" w:color="auto" w:fill="DBE5F1"/>
          </w:tcPr>
          <w:p w:rsidR="007049DD" w:rsidRPr="00003A68" w:rsidRDefault="007049DD" w:rsidP="004A15DC">
            <w:pPr>
              <w:spacing w:after="0" w:line="240" w:lineRule="auto"/>
              <w:jc w:val="center"/>
              <w:rPr>
                <w:rFonts w:eastAsia="Times New Roman" w:cs="Arial"/>
                <w:sz w:val="18"/>
                <w:szCs w:val="18"/>
                <w:lang w:val="es-ES"/>
              </w:rPr>
            </w:pPr>
          </w:p>
        </w:tc>
        <w:tc>
          <w:tcPr>
            <w:tcW w:w="720" w:type="dxa"/>
            <w:shd w:val="clear" w:color="auto" w:fill="DBE5F1"/>
          </w:tcPr>
          <w:p w:rsidR="007049DD" w:rsidRPr="00003A68" w:rsidRDefault="005562CA" w:rsidP="004A15DC">
            <w:pPr>
              <w:spacing w:after="0" w:line="240" w:lineRule="auto"/>
              <w:jc w:val="center"/>
              <w:rPr>
                <w:rFonts w:eastAsia="Times New Roman" w:cs="Arial"/>
                <w:sz w:val="18"/>
                <w:szCs w:val="18"/>
                <w:lang w:val="es-ES"/>
              </w:rPr>
            </w:pPr>
            <w:r w:rsidRPr="00003A68">
              <w:rPr>
                <w:rFonts w:eastAsia="Times New Roman" w:cs="Arial"/>
                <w:sz w:val="18"/>
                <w:szCs w:val="18"/>
                <w:lang w:val="es-ES"/>
              </w:rPr>
              <w:t>X</w:t>
            </w:r>
          </w:p>
        </w:tc>
        <w:tc>
          <w:tcPr>
            <w:tcW w:w="1260" w:type="dxa"/>
            <w:shd w:val="clear" w:color="auto" w:fill="DBE5F1"/>
          </w:tcPr>
          <w:p w:rsidR="007049DD" w:rsidRPr="00003A68" w:rsidRDefault="005562CA" w:rsidP="004A15DC">
            <w:pPr>
              <w:spacing w:after="0" w:line="240" w:lineRule="auto"/>
              <w:rPr>
                <w:rFonts w:eastAsia="Times New Roman" w:cs="Arial"/>
                <w:sz w:val="18"/>
                <w:szCs w:val="18"/>
                <w:lang w:val="es-ES"/>
              </w:rPr>
            </w:pPr>
            <w:r w:rsidRPr="00003A68">
              <w:rPr>
                <w:rFonts w:eastAsia="Times New Roman" w:cs="Arial"/>
                <w:sz w:val="18"/>
                <w:szCs w:val="18"/>
                <w:lang w:val="es-ES"/>
              </w:rPr>
              <w:t>Equipo de Proyecto</w:t>
            </w:r>
          </w:p>
        </w:tc>
        <w:tc>
          <w:tcPr>
            <w:tcW w:w="3150" w:type="dxa"/>
            <w:shd w:val="clear" w:color="auto" w:fill="DBE5F1"/>
          </w:tcPr>
          <w:p w:rsidR="007049DD" w:rsidRPr="00003A68" w:rsidRDefault="007049DD" w:rsidP="004A15DC">
            <w:pPr>
              <w:tabs>
                <w:tab w:val="left" w:pos="72"/>
              </w:tabs>
              <w:spacing w:after="0" w:line="240" w:lineRule="auto"/>
              <w:rPr>
                <w:rFonts w:eastAsia="Times New Roman" w:cs="Arial"/>
                <w:sz w:val="18"/>
                <w:szCs w:val="18"/>
                <w:lang w:val="es-ES"/>
              </w:rPr>
            </w:pPr>
          </w:p>
        </w:tc>
        <w:tc>
          <w:tcPr>
            <w:tcW w:w="1080" w:type="dxa"/>
            <w:shd w:val="clear" w:color="auto" w:fill="DBE5F1"/>
            <w:vAlign w:val="center"/>
          </w:tcPr>
          <w:p w:rsidR="007049DD" w:rsidRPr="00003A68" w:rsidRDefault="00F25C86" w:rsidP="004A15DC">
            <w:pPr>
              <w:spacing w:after="0" w:line="240" w:lineRule="auto"/>
              <w:jc w:val="right"/>
              <w:rPr>
                <w:rFonts w:eastAsia="Times New Roman" w:cs="Arial"/>
                <w:sz w:val="18"/>
                <w:szCs w:val="18"/>
                <w:lang w:val="es-ES"/>
              </w:rPr>
            </w:pPr>
            <w:r w:rsidRPr="00003A68">
              <w:rPr>
                <w:rFonts w:eastAsia="Times New Roman" w:cs="Arial"/>
                <w:sz w:val="18"/>
                <w:szCs w:val="18"/>
                <w:lang w:val="es-ES"/>
              </w:rPr>
              <w:t>0.00</w:t>
            </w:r>
          </w:p>
        </w:tc>
        <w:tc>
          <w:tcPr>
            <w:tcW w:w="1620" w:type="dxa"/>
            <w:shd w:val="clear" w:color="auto" w:fill="DBE5F1"/>
          </w:tcPr>
          <w:p w:rsidR="007049DD" w:rsidRPr="00003A68" w:rsidRDefault="007049DD" w:rsidP="004A15DC">
            <w:pPr>
              <w:spacing w:after="0" w:line="240" w:lineRule="auto"/>
              <w:jc w:val="center"/>
              <w:rPr>
                <w:rFonts w:eastAsia="Times New Roman" w:cs="Arial"/>
                <w:sz w:val="18"/>
                <w:szCs w:val="18"/>
                <w:lang w:val="es-ES"/>
              </w:rPr>
            </w:pPr>
          </w:p>
        </w:tc>
      </w:tr>
      <w:tr w:rsidR="00FA46CD" w:rsidRPr="00717665" w:rsidTr="004A15DC">
        <w:trPr>
          <w:trHeight w:val="576"/>
        </w:trPr>
        <w:tc>
          <w:tcPr>
            <w:tcW w:w="10548" w:type="dxa"/>
            <w:gridSpan w:val="6"/>
            <w:shd w:val="clear" w:color="auto" w:fill="95B3D7"/>
            <w:vAlign w:val="center"/>
          </w:tcPr>
          <w:p w:rsidR="00CE1635" w:rsidRPr="00003A68" w:rsidRDefault="00CE1635" w:rsidP="004A15DC">
            <w:pPr>
              <w:tabs>
                <w:tab w:val="left" w:pos="72"/>
              </w:tabs>
              <w:spacing w:after="0" w:line="240" w:lineRule="auto"/>
              <w:jc w:val="right"/>
              <w:rPr>
                <w:rFonts w:eastAsia="Times New Roman" w:cs="Arial"/>
                <w:b/>
                <w:sz w:val="18"/>
                <w:szCs w:val="18"/>
                <w:lang w:val="es-ES"/>
              </w:rPr>
            </w:pPr>
            <w:r w:rsidRPr="00003A68">
              <w:rPr>
                <w:rFonts w:eastAsia="Times New Roman" w:cs="Arial"/>
                <w:b/>
                <w:sz w:val="18"/>
                <w:szCs w:val="18"/>
                <w:lang w:val="es-ES"/>
              </w:rPr>
              <w:t>Costo</w:t>
            </w:r>
            <w:r w:rsidR="00F25C86" w:rsidRPr="00003A68">
              <w:rPr>
                <w:rFonts w:eastAsia="Times New Roman" w:cs="Arial"/>
                <w:b/>
                <w:sz w:val="18"/>
                <w:szCs w:val="18"/>
                <w:lang w:val="es-ES"/>
              </w:rPr>
              <w:t xml:space="preserve"> Total</w:t>
            </w:r>
          </w:p>
        </w:tc>
        <w:tc>
          <w:tcPr>
            <w:tcW w:w="1080" w:type="dxa"/>
            <w:shd w:val="clear" w:color="auto" w:fill="95B3D7"/>
            <w:vAlign w:val="center"/>
          </w:tcPr>
          <w:p w:rsidR="00CE1635" w:rsidRPr="00003A68" w:rsidRDefault="00023981" w:rsidP="004A15DC">
            <w:pPr>
              <w:spacing w:after="0" w:line="240" w:lineRule="auto"/>
              <w:jc w:val="right"/>
              <w:rPr>
                <w:rFonts w:eastAsia="Times New Roman" w:cs="Arial"/>
                <w:b/>
                <w:sz w:val="18"/>
                <w:szCs w:val="18"/>
                <w:lang w:val="es-ES"/>
              </w:rPr>
            </w:pPr>
            <w:r w:rsidRPr="00003A68">
              <w:rPr>
                <w:rFonts w:eastAsia="Times New Roman" w:cs="Arial"/>
                <w:b/>
                <w:sz w:val="18"/>
                <w:szCs w:val="18"/>
                <w:lang w:val="es-ES"/>
              </w:rPr>
              <w:t>4</w:t>
            </w:r>
            <w:r w:rsidR="0072380C" w:rsidRPr="00003A68">
              <w:rPr>
                <w:rFonts w:eastAsia="Times New Roman" w:cs="Arial"/>
                <w:b/>
                <w:sz w:val="18"/>
                <w:szCs w:val="18"/>
                <w:lang w:val="es-ES"/>
              </w:rPr>
              <w:t>0,000</w:t>
            </w:r>
            <w:r w:rsidR="00F25C86" w:rsidRPr="00003A68">
              <w:rPr>
                <w:rFonts w:eastAsia="Times New Roman" w:cs="Arial"/>
                <w:b/>
                <w:sz w:val="18"/>
                <w:szCs w:val="18"/>
                <w:lang w:val="es-ES"/>
              </w:rPr>
              <w:t>.00</w:t>
            </w:r>
          </w:p>
        </w:tc>
        <w:tc>
          <w:tcPr>
            <w:tcW w:w="1620" w:type="dxa"/>
            <w:shd w:val="clear" w:color="auto" w:fill="95B3D7"/>
            <w:vAlign w:val="center"/>
          </w:tcPr>
          <w:p w:rsidR="00CE1635" w:rsidRPr="00003A68" w:rsidRDefault="0072380C" w:rsidP="004A15DC">
            <w:pPr>
              <w:spacing w:after="0" w:line="240" w:lineRule="auto"/>
              <w:jc w:val="center"/>
              <w:rPr>
                <w:rFonts w:eastAsia="Times New Roman" w:cs="Arial"/>
                <w:b/>
                <w:sz w:val="18"/>
                <w:szCs w:val="18"/>
                <w:lang w:val="es-ES"/>
              </w:rPr>
            </w:pPr>
            <w:r w:rsidRPr="00003A68">
              <w:rPr>
                <w:rFonts w:eastAsia="Times New Roman" w:cs="Arial"/>
                <w:b/>
                <w:sz w:val="18"/>
                <w:szCs w:val="18"/>
                <w:lang w:val="es-ES"/>
              </w:rPr>
              <w:t xml:space="preserve">Recursos de </w:t>
            </w:r>
            <w:r w:rsidR="004F4740" w:rsidRPr="00003A68">
              <w:rPr>
                <w:rFonts w:eastAsia="Times New Roman" w:cs="Arial"/>
                <w:b/>
                <w:sz w:val="18"/>
                <w:szCs w:val="18"/>
                <w:lang w:val="es-ES"/>
              </w:rPr>
              <w:t xml:space="preserve">supervisión </w:t>
            </w:r>
            <w:r w:rsidRPr="00003A68">
              <w:rPr>
                <w:rFonts w:eastAsia="Times New Roman" w:cs="Arial"/>
                <w:b/>
                <w:sz w:val="18"/>
                <w:szCs w:val="18"/>
                <w:lang w:val="es-ES"/>
              </w:rPr>
              <w:t>del proyecto</w:t>
            </w:r>
          </w:p>
        </w:tc>
      </w:tr>
    </w:tbl>
    <w:p w:rsidR="003372CB" w:rsidRPr="0091002C" w:rsidRDefault="003372CB" w:rsidP="00E63985">
      <w:pPr>
        <w:spacing w:after="0"/>
        <w:rPr>
          <w:rFonts w:cs="Arial"/>
          <w:b/>
          <w:lang w:val="es-ES"/>
        </w:rPr>
      </w:pPr>
    </w:p>
    <w:p w:rsidR="00AC1B21" w:rsidRPr="0091002C" w:rsidRDefault="00AC1B21" w:rsidP="00E63985">
      <w:pPr>
        <w:spacing w:after="0"/>
        <w:rPr>
          <w:rFonts w:cs="Arial"/>
          <w:b/>
          <w:lang w:val="es-ES"/>
        </w:rPr>
      </w:pPr>
    </w:p>
    <w:p w:rsidR="00AC1B21" w:rsidRPr="0091002C" w:rsidRDefault="00AC1B21" w:rsidP="00E63985">
      <w:pPr>
        <w:rPr>
          <w:rFonts w:cs="Arial"/>
          <w:b/>
          <w:lang w:val="es-ES"/>
        </w:rPr>
      </w:pPr>
      <w:r w:rsidRPr="0091002C">
        <w:rPr>
          <w:rFonts w:cs="Arial"/>
          <w:b/>
          <w:lang w:val="es-ES"/>
        </w:rPr>
        <w:br w:type="page"/>
      </w:r>
    </w:p>
    <w:p w:rsidR="00AC1B21" w:rsidRPr="0091002C" w:rsidRDefault="00AC1B21" w:rsidP="00E63985">
      <w:pPr>
        <w:spacing w:after="0"/>
        <w:rPr>
          <w:rFonts w:cs="Arial"/>
          <w:lang w:val="es-ES"/>
        </w:rPr>
        <w:sectPr w:rsidR="00AC1B21" w:rsidRPr="0091002C" w:rsidSect="00F33F91">
          <w:pgSz w:w="15840" w:h="12240" w:orient="landscape" w:code="1"/>
          <w:pgMar w:top="1800" w:right="1440" w:bottom="1800" w:left="1440" w:header="706" w:footer="706" w:gutter="0"/>
          <w:cols w:space="720"/>
          <w:formProt w:val="0"/>
          <w:titlePg/>
          <w:docGrid w:linePitch="326"/>
        </w:sectPr>
      </w:pPr>
      <w:bookmarkStart w:id="35" w:name="_Toc450478048"/>
      <w:bookmarkStart w:id="36" w:name="_Toc451059700"/>
      <w:bookmarkStart w:id="37" w:name="_Toc451059764"/>
      <w:bookmarkStart w:id="38" w:name="_Toc451922472"/>
      <w:bookmarkStart w:id="39" w:name="_Toc456499463"/>
      <w:bookmarkStart w:id="40" w:name="_Toc456499557"/>
      <w:bookmarkStart w:id="41" w:name="_Toc456499752"/>
      <w:bookmarkStart w:id="42" w:name="_Toc456503320"/>
      <w:bookmarkStart w:id="43" w:name="_Toc456503690"/>
      <w:bookmarkStart w:id="44" w:name="_Toc456504242"/>
      <w:bookmarkStart w:id="45" w:name="_Toc456504330"/>
      <w:bookmarkStart w:id="46" w:name="_Toc456504424"/>
      <w:bookmarkStart w:id="47" w:name="_Toc456504511"/>
      <w:bookmarkStart w:id="48" w:name="_Toc82922285"/>
      <w:bookmarkStart w:id="49" w:name="_Toc82924008"/>
      <w:bookmarkStart w:id="50" w:name="_Toc82924487"/>
      <w:bookmarkStart w:id="51" w:name="_Toc95628374"/>
      <w:bookmarkStart w:id="52" w:name="_Toc95628561"/>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A76EAC" w:rsidRPr="0091002C" w:rsidRDefault="00A76EAC" w:rsidP="00E63985">
      <w:pPr>
        <w:pStyle w:val="Heading1"/>
        <w:spacing w:line="276" w:lineRule="auto"/>
        <w:jc w:val="center"/>
        <w:rPr>
          <w:lang w:val="es-ES"/>
        </w:rPr>
      </w:pPr>
      <w:r w:rsidRPr="0091002C">
        <w:rPr>
          <w:lang w:val="es-ES"/>
        </w:rPr>
        <w:lastRenderedPageBreak/>
        <w:t>E</w:t>
      </w:r>
      <w:r w:rsidR="009147C7" w:rsidRPr="0091002C">
        <w:rPr>
          <w:lang w:val="es-ES"/>
        </w:rPr>
        <w:t>valuación</w:t>
      </w:r>
    </w:p>
    <w:p w:rsidR="00A76EAC" w:rsidRPr="0091002C" w:rsidRDefault="00A76EAC"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En esta sección se describirán los indicadores que se utilizarán para la evaluación del impacto del programa, la unidad de medida, la fuente y la frecuencia de los datos. Posteriormente, se detallará la metodología propuesta. Finalmente, se presentará el cronograma y los costos asociados a la evaluación.</w:t>
      </w:r>
    </w:p>
    <w:p w:rsidR="008F2528" w:rsidRPr="004049D1" w:rsidRDefault="008F2528" w:rsidP="004049D1">
      <w:pPr>
        <w:pStyle w:val="Heading2"/>
        <w:spacing w:line="276" w:lineRule="auto"/>
        <w:ind w:hanging="720"/>
        <w:rPr>
          <w:noProof/>
          <w:sz w:val="22"/>
          <w:szCs w:val="22"/>
          <w:lang w:val="es-ES"/>
        </w:rPr>
      </w:pPr>
      <w:r w:rsidRPr="004049D1">
        <w:rPr>
          <w:noProof/>
          <w:sz w:val="22"/>
          <w:szCs w:val="22"/>
          <w:lang w:val="es-ES"/>
        </w:rPr>
        <w:t>Introducción</w:t>
      </w:r>
    </w:p>
    <w:p w:rsidR="008F2528" w:rsidRPr="0091002C" w:rsidRDefault="00C83C65" w:rsidP="0047047E">
      <w:pPr>
        <w:pStyle w:val="Paragraph"/>
        <w:numPr>
          <w:ilvl w:val="1"/>
          <w:numId w:val="7"/>
        </w:numPr>
        <w:ind w:left="720" w:hanging="720"/>
      </w:pPr>
      <w:r w:rsidRPr="0091002C">
        <w:rPr>
          <w:rFonts w:ascii="Arial" w:hAnsi="Arial" w:cs="Arial"/>
          <w:sz w:val="22"/>
          <w:szCs w:val="22"/>
        </w:rPr>
        <w:t xml:space="preserve">El objetivo principal de este programa es apoyar la Agenda de Probidad y Transparencia de Chile (APT), por medio de medidas de política dirigidas a: (i) fortalecer el marco legal e institucional de probidad y transparencia; y (ii) </w:t>
      </w:r>
      <w:r w:rsidR="00E87FB6">
        <w:rPr>
          <w:rFonts w:ascii="Arial" w:hAnsi="Arial" w:cs="Arial"/>
          <w:sz w:val="22"/>
          <w:szCs w:val="22"/>
        </w:rPr>
        <w:t>contribuir a</w:t>
      </w:r>
      <w:r w:rsidR="00E87FB6" w:rsidRPr="0091002C">
        <w:rPr>
          <w:rFonts w:ascii="Arial" w:hAnsi="Arial" w:cs="Arial"/>
          <w:sz w:val="22"/>
          <w:szCs w:val="22"/>
        </w:rPr>
        <w:t xml:space="preserve"> </w:t>
      </w:r>
      <w:r w:rsidRPr="0091002C">
        <w:rPr>
          <w:rFonts w:ascii="Arial" w:hAnsi="Arial" w:cs="Arial"/>
          <w:sz w:val="22"/>
          <w:szCs w:val="22"/>
        </w:rPr>
        <w:t xml:space="preserve">la observancia de </w:t>
      </w:r>
      <w:r w:rsidR="00E87FB6">
        <w:rPr>
          <w:rFonts w:ascii="Arial" w:hAnsi="Arial" w:cs="Arial"/>
          <w:sz w:val="22"/>
          <w:szCs w:val="22"/>
        </w:rPr>
        <w:t xml:space="preserve">la </w:t>
      </w:r>
      <w:r w:rsidRPr="0091002C">
        <w:rPr>
          <w:rFonts w:ascii="Arial" w:hAnsi="Arial" w:cs="Arial"/>
          <w:sz w:val="22"/>
          <w:szCs w:val="22"/>
        </w:rPr>
        <w:t xml:space="preserve">probidad y transparencia en la gestión de los recursos públicos y en los negocios del sector privado, así como promover conductas afines en la ciudadanía. Los objetivos de cada componente del proyecto se consideraran satisfechos una vez que se promulguen ciertas leyes o proyectos de ley, disposiciones ministeriales e instructivos de las autoridades. El impacto del programa será a toda la población de Chile mediante el cumplimento de los estándares de ética, integridad y transparencia en el funcionamiento del sector público. En estos casos no es posible encontrar un contrafactual válido dentro del territorio que no sea afectado por la política. </w:t>
      </w:r>
    </w:p>
    <w:p w:rsidR="008F2528" w:rsidRPr="0091002C" w:rsidRDefault="008F2528"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 xml:space="preserve">Para poder atribuirle al programa los cambios que se encuentren en los indicadores, es necesario encontrar un contrafactual válido de Chile para el período posterior al proyecto. Se utilizará la metodología de controles sintéticos desarrollada por Abadie y Gardeazabal (2003) </w:t>
      </w:r>
      <w:r w:rsidR="00FE4B31" w:rsidRPr="0091002C">
        <w:rPr>
          <w:rFonts w:ascii="Arial" w:hAnsi="Arial" w:cs="Arial"/>
          <w:sz w:val="22"/>
          <w:szCs w:val="22"/>
        </w:rPr>
        <w:t>para definir la trayectoria que hubiera tenido Chile en los indicadores en ausencia del programa.</w:t>
      </w:r>
    </w:p>
    <w:p w:rsidR="00296339" w:rsidRPr="0091002C" w:rsidRDefault="00296339"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Se utilizarán indicadores relacionados con</w:t>
      </w:r>
      <w:r w:rsidR="008F2528" w:rsidRPr="0091002C">
        <w:rPr>
          <w:rFonts w:ascii="Arial" w:hAnsi="Arial" w:cs="Arial"/>
          <w:sz w:val="22"/>
          <w:szCs w:val="22"/>
        </w:rPr>
        <w:t xml:space="preserve"> ética,</w:t>
      </w:r>
      <w:r w:rsidRPr="0091002C">
        <w:rPr>
          <w:rFonts w:ascii="Arial" w:hAnsi="Arial" w:cs="Arial"/>
          <w:sz w:val="22"/>
          <w:szCs w:val="22"/>
        </w:rPr>
        <w:t xml:space="preserve"> corrupción, transparencia, efectividad del gobierno,  nivel de libertad y compromiso de sus ciudadan</w:t>
      </w:r>
      <w:r w:rsidR="000B3843" w:rsidRPr="0091002C">
        <w:rPr>
          <w:rFonts w:ascii="Arial" w:hAnsi="Arial" w:cs="Arial"/>
          <w:sz w:val="22"/>
          <w:szCs w:val="22"/>
        </w:rPr>
        <w:t>os</w:t>
      </w:r>
      <w:r w:rsidR="008F2528" w:rsidRPr="0091002C">
        <w:rPr>
          <w:rFonts w:ascii="Arial" w:hAnsi="Arial" w:cs="Arial"/>
          <w:sz w:val="22"/>
          <w:szCs w:val="22"/>
        </w:rPr>
        <w:t>. Estos indicadores buscarán medir si los objetivos que el proyecto se ha planteado cumplir mediante los productos mencionados, han logrado mejorar los índices.</w:t>
      </w:r>
      <w:r w:rsidR="004C0FAB" w:rsidRPr="0091002C">
        <w:rPr>
          <w:rFonts w:ascii="Arial" w:hAnsi="Arial" w:cs="Arial"/>
          <w:sz w:val="22"/>
          <w:szCs w:val="22"/>
        </w:rPr>
        <w:t xml:space="preserve"> </w:t>
      </w:r>
    </w:p>
    <w:p w:rsidR="008610F1" w:rsidRPr="0091002C" w:rsidRDefault="008610F1"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Dado que Chile presenta estándares altos en términos de todos los indicadores a ser utilizados, el impact</w:t>
      </w:r>
      <w:r w:rsidR="0028095C" w:rsidRPr="0091002C">
        <w:rPr>
          <w:rFonts w:ascii="Arial" w:hAnsi="Arial" w:cs="Arial"/>
          <w:sz w:val="22"/>
          <w:szCs w:val="22"/>
        </w:rPr>
        <w:t xml:space="preserve">o esperado es que el país logre </w:t>
      </w:r>
      <w:r w:rsidRPr="0091002C">
        <w:rPr>
          <w:rFonts w:ascii="Arial" w:hAnsi="Arial" w:cs="Arial"/>
          <w:sz w:val="22"/>
          <w:szCs w:val="22"/>
        </w:rPr>
        <w:t xml:space="preserve">mantener </w:t>
      </w:r>
      <w:r w:rsidR="0028095C" w:rsidRPr="0091002C">
        <w:rPr>
          <w:rFonts w:ascii="Arial" w:hAnsi="Arial" w:cs="Arial"/>
          <w:sz w:val="22"/>
          <w:szCs w:val="22"/>
        </w:rPr>
        <w:t xml:space="preserve">(o mejorar) </w:t>
      </w:r>
      <w:r w:rsidRPr="0091002C">
        <w:rPr>
          <w:rFonts w:ascii="Arial" w:hAnsi="Arial" w:cs="Arial"/>
          <w:sz w:val="22"/>
          <w:szCs w:val="22"/>
        </w:rPr>
        <w:t>los niveles de los indicadores relativos al contrafactual.</w:t>
      </w:r>
    </w:p>
    <w:p w:rsidR="00FE4B31" w:rsidRPr="0091002C" w:rsidRDefault="00FE4B31" w:rsidP="004049D1">
      <w:pPr>
        <w:pStyle w:val="Heading2"/>
        <w:ind w:hanging="720"/>
        <w:rPr>
          <w:rFonts w:cs="Arial"/>
          <w:noProof/>
          <w:sz w:val="22"/>
          <w:szCs w:val="22"/>
        </w:rPr>
      </w:pPr>
      <w:r w:rsidRPr="0091002C">
        <w:rPr>
          <w:rFonts w:cs="Arial"/>
          <w:noProof/>
          <w:sz w:val="22"/>
          <w:szCs w:val="22"/>
        </w:rPr>
        <w:t>Indicadores</w:t>
      </w:r>
    </w:p>
    <w:p w:rsidR="00D15ADC" w:rsidRPr="0091002C" w:rsidRDefault="00FE4B31"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Los indicadores propuestos provienen pr</w:t>
      </w:r>
      <w:r w:rsidR="00651A2C" w:rsidRPr="0091002C">
        <w:rPr>
          <w:rFonts w:ascii="Arial" w:hAnsi="Arial" w:cs="Arial"/>
          <w:sz w:val="22"/>
          <w:szCs w:val="22"/>
        </w:rPr>
        <w:t xml:space="preserve">incipalmente del Banco Mundial </w:t>
      </w:r>
      <w:r w:rsidRPr="0091002C">
        <w:rPr>
          <w:rFonts w:ascii="Arial" w:hAnsi="Arial" w:cs="Arial"/>
          <w:sz w:val="22"/>
          <w:szCs w:val="22"/>
        </w:rPr>
        <w:t xml:space="preserve">y del </w:t>
      </w:r>
      <w:r w:rsidR="003D2AC2" w:rsidRPr="0091002C">
        <w:rPr>
          <w:rFonts w:ascii="Arial" w:hAnsi="Arial" w:cs="Arial"/>
          <w:sz w:val="22"/>
          <w:szCs w:val="22"/>
        </w:rPr>
        <w:t>Foro Económico Mundial</w:t>
      </w:r>
      <w:r w:rsidRPr="0091002C">
        <w:rPr>
          <w:rFonts w:ascii="Arial" w:hAnsi="Arial" w:cs="Arial"/>
          <w:sz w:val="22"/>
          <w:szCs w:val="22"/>
        </w:rPr>
        <w:t xml:space="preserve">. Son medidas anuales </w:t>
      </w:r>
      <w:r w:rsidR="00651A2C" w:rsidRPr="0091002C">
        <w:rPr>
          <w:rFonts w:ascii="Arial" w:hAnsi="Arial" w:cs="Arial"/>
          <w:sz w:val="22"/>
          <w:szCs w:val="22"/>
        </w:rPr>
        <w:t>de</w:t>
      </w:r>
      <w:r w:rsidRPr="0091002C">
        <w:rPr>
          <w:rFonts w:ascii="Arial" w:hAnsi="Arial" w:cs="Arial"/>
          <w:sz w:val="22"/>
          <w:szCs w:val="22"/>
        </w:rPr>
        <w:t xml:space="preserve"> percepciones de la población</w:t>
      </w:r>
      <w:r w:rsidR="00651A2C" w:rsidRPr="0091002C">
        <w:rPr>
          <w:rFonts w:ascii="Arial" w:hAnsi="Arial" w:cs="Arial"/>
          <w:sz w:val="22"/>
          <w:szCs w:val="22"/>
        </w:rPr>
        <w:t>, especialistas y/o ejecutivos</w:t>
      </w:r>
      <w:r w:rsidRPr="0091002C">
        <w:rPr>
          <w:rFonts w:ascii="Arial" w:hAnsi="Arial" w:cs="Arial"/>
          <w:sz w:val="22"/>
          <w:szCs w:val="22"/>
        </w:rPr>
        <w:t>.</w:t>
      </w:r>
      <w:r w:rsidR="00D15ADC" w:rsidRPr="0091002C">
        <w:rPr>
          <w:rFonts w:ascii="Arial" w:hAnsi="Arial" w:cs="Arial"/>
          <w:sz w:val="22"/>
          <w:szCs w:val="22"/>
        </w:rPr>
        <w:t xml:space="preserve"> En el Cuadro II se describen los indicadores a utilizar:</w:t>
      </w:r>
    </w:p>
    <w:p w:rsidR="00D15ADC" w:rsidRPr="0091002C" w:rsidRDefault="00D15ADC" w:rsidP="00E63985">
      <w:pPr>
        <w:pStyle w:val="Paragraph"/>
        <w:numPr>
          <w:ilvl w:val="0"/>
          <w:numId w:val="0"/>
        </w:numPr>
        <w:spacing w:after="0" w:line="276" w:lineRule="auto"/>
        <w:ind w:left="720"/>
        <w:jc w:val="center"/>
        <w:rPr>
          <w:rFonts w:ascii="Arial" w:hAnsi="Arial" w:cs="Arial"/>
          <w:b/>
          <w:sz w:val="22"/>
          <w:szCs w:val="22"/>
        </w:rPr>
      </w:pPr>
      <w:r w:rsidRPr="0091002C">
        <w:rPr>
          <w:rFonts w:ascii="Arial" w:hAnsi="Arial" w:cs="Arial"/>
          <w:b/>
          <w:sz w:val="22"/>
          <w:szCs w:val="22"/>
        </w:rPr>
        <w:t>Cuadro II - Indicadores</w:t>
      </w:r>
    </w:p>
    <w:tbl>
      <w:tblPr>
        <w:tblW w:w="0" w:type="auto"/>
        <w:jc w:val="righ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4236"/>
        <w:gridCol w:w="1014"/>
        <w:gridCol w:w="1384"/>
      </w:tblGrid>
      <w:tr w:rsidR="00FA46CD" w:rsidRPr="004A15DC" w:rsidTr="004A15DC">
        <w:trPr>
          <w:tblHeader/>
          <w:jc w:val="right"/>
        </w:trPr>
        <w:tc>
          <w:tcPr>
            <w:tcW w:w="0" w:type="auto"/>
            <w:tcBorders>
              <w:top w:val="single" w:sz="4" w:space="0" w:color="auto"/>
              <w:left w:val="single" w:sz="4" w:space="0" w:color="auto"/>
              <w:bottom w:val="single" w:sz="4" w:space="0" w:color="auto"/>
              <w:right w:val="single" w:sz="4" w:space="0" w:color="auto"/>
            </w:tcBorders>
            <w:shd w:val="clear" w:color="auto" w:fill="B8CCE4"/>
            <w:hideMark/>
          </w:tcPr>
          <w:p w:rsidR="00C83C65" w:rsidRPr="004A15DC" w:rsidRDefault="00C83C65" w:rsidP="004A15DC">
            <w:pPr>
              <w:autoSpaceDE w:val="0"/>
              <w:autoSpaceDN w:val="0"/>
              <w:adjustRightInd w:val="0"/>
              <w:spacing w:after="0"/>
              <w:contextualSpacing/>
              <w:jc w:val="center"/>
              <w:rPr>
                <w:rFonts w:eastAsia="Times New Roman" w:cs="Arial"/>
                <w:b/>
                <w:sz w:val="20"/>
                <w:lang w:val="es-ES"/>
              </w:rPr>
            </w:pPr>
            <w:r w:rsidRPr="004A15DC">
              <w:rPr>
                <w:rFonts w:eastAsia="Times New Roman" w:cs="Arial"/>
                <w:b/>
                <w:sz w:val="20"/>
                <w:lang w:val="es-ES"/>
              </w:rPr>
              <w:t>Indicador</w:t>
            </w:r>
          </w:p>
        </w:tc>
        <w:tc>
          <w:tcPr>
            <w:tcW w:w="0" w:type="auto"/>
            <w:tcBorders>
              <w:top w:val="single" w:sz="4" w:space="0" w:color="auto"/>
              <w:left w:val="single" w:sz="4" w:space="0" w:color="auto"/>
              <w:bottom w:val="single" w:sz="4" w:space="0" w:color="auto"/>
              <w:right w:val="single" w:sz="4" w:space="0" w:color="auto"/>
            </w:tcBorders>
            <w:shd w:val="clear" w:color="auto" w:fill="B8CCE4"/>
            <w:hideMark/>
          </w:tcPr>
          <w:p w:rsidR="00C83C65" w:rsidRPr="004A15DC" w:rsidRDefault="00C83C65" w:rsidP="004A15DC">
            <w:pPr>
              <w:autoSpaceDE w:val="0"/>
              <w:autoSpaceDN w:val="0"/>
              <w:adjustRightInd w:val="0"/>
              <w:spacing w:after="0"/>
              <w:contextualSpacing/>
              <w:jc w:val="center"/>
              <w:rPr>
                <w:rFonts w:eastAsia="Times New Roman" w:cs="Arial"/>
                <w:b/>
                <w:sz w:val="20"/>
                <w:lang w:val="es-ES"/>
              </w:rPr>
            </w:pPr>
            <w:r w:rsidRPr="004A15DC">
              <w:rPr>
                <w:rFonts w:eastAsia="Times New Roman" w:cs="Arial"/>
                <w:b/>
                <w:sz w:val="20"/>
                <w:lang w:val="es-ES"/>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B8CCE4"/>
          </w:tcPr>
          <w:p w:rsidR="00C83C65" w:rsidRPr="004A15DC" w:rsidRDefault="00C83C65" w:rsidP="004A15DC">
            <w:pPr>
              <w:autoSpaceDE w:val="0"/>
              <w:autoSpaceDN w:val="0"/>
              <w:adjustRightInd w:val="0"/>
              <w:spacing w:after="0"/>
              <w:contextualSpacing/>
              <w:jc w:val="center"/>
              <w:rPr>
                <w:rFonts w:eastAsia="Times New Roman" w:cs="Arial"/>
                <w:b/>
                <w:sz w:val="20"/>
                <w:lang w:val="es-ES"/>
              </w:rPr>
            </w:pPr>
            <w:r w:rsidRPr="004A15DC">
              <w:rPr>
                <w:rFonts w:eastAsia="Times New Roman" w:cs="Arial"/>
                <w:b/>
                <w:sz w:val="20"/>
                <w:lang w:val="es-ES"/>
              </w:rPr>
              <w:t>Escala</w:t>
            </w:r>
          </w:p>
        </w:tc>
        <w:tc>
          <w:tcPr>
            <w:tcW w:w="0" w:type="auto"/>
            <w:tcBorders>
              <w:top w:val="single" w:sz="4" w:space="0" w:color="auto"/>
              <w:left w:val="single" w:sz="4" w:space="0" w:color="auto"/>
              <w:bottom w:val="single" w:sz="4" w:space="0" w:color="auto"/>
              <w:right w:val="single" w:sz="4" w:space="0" w:color="auto"/>
            </w:tcBorders>
            <w:shd w:val="clear" w:color="auto" w:fill="B8CCE4"/>
            <w:hideMark/>
          </w:tcPr>
          <w:p w:rsidR="00C83C65" w:rsidRPr="004A15DC" w:rsidRDefault="00C83C65" w:rsidP="004A15DC">
            <w:pPr>
              <w:autoSpaceDE w:val="0"/>
              <w:autoSpaceDN w:val="0"/>
              <w:adjustRightInd w:val="0"/>
              <w:spacing w:after="0"/>
              <w:contextualSpacing/>
              <w:jc w:val="center"/>
              <w:rPr>
                <w:rFonts w:eastAsia="Times New Roman" w:cs="Arial"/>
                <w:b/>
                <w:sz w:val="20"/>
                <w:lang w:val="es-ES"/>
              </w:rPr>
            </w:pPr>
            <w:r w:rsidRPr="004A15DC">
              <w:rPr>
                <w:rFonts w:eastAsia="Times New Roman" w:cs="Arial"/>
                <w:b/>
                <w:sz w:val="20"/>
                <w:lang w:val="es-ES"/>
              </w:rPr>
              <w:t>Fuente</w:t>
            </w:r>
          </w:p>
        </w:tc>
      </w:tr>
      <w:tr w:rsidR="00FA46CD" w:rsidRPr="004A15DC" w:rsidTr="004A15DC">
        <w:trPr>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Índice de Control de la Corrupción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Refleja la percepción de la población sobre la medida en la que el poder público se ejerce en beneficio privado. Incluye la percepción en la que el Estado es controlado por minorías selectas.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De -2.5 (pobre) a 2.5 (fuerte)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Banco Mundial</w:t>
            </w:r>
          </w:p>
        </w:tc>
      </w:tr>
      <w:tr w:rsidR="00FA46CD" w:rsidRPr="004A15DC" w:rsidTr="004A15DC">
        <w:trPr>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Efectividad del gobierno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 xml:space="preserve">Refleja la percepción de la población sobre la calidad de los servicios públicos, la calidad de la administración pública y el grado de su </w:t>
            </w:r>
            <w:r w:rsidRPr="004A15DC">
              <w:rPr>
                <w:rFonts w:eastAsia="Times New Roman" w:cs="Arial"/>
                <w:sz w:val="20"/>
                <w:lang w:val="es-ES"/>
              </w:rPr>
              <w:lastRenderedPageBreak/>
              <w:t>independencia de las presiones políticas, la calidad de la formulación y aplicación de políticas, y la credibilidad del compromiso del gobierno con esas políticas.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lastRenderedPageBreak/>
              <w:t xml:space="preserve">De -2.5 (pobre) a 2.5 </w:t>
            </w:r>
            <w:r w:rsidRPr="004A15DC">
              <w:rPr>
                <w:rFonts w:eastAsia="Times New Roman" w:cs="Arial"/>
                <w:sz w:val="20"/>
                <w:lang w:val="es-ES"/>
              </w:rPr>
              <w:lastRenderedPageBreak/>
              <w:t>(fuerte)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lastRenderedPageBreak/>
              <w:t>Banco Mundial</w:t>
            </w:r>
          </w:p>
        </w:tc>
      </w:tr>
      <w:tr w:rsidR="00FA46CD" w:rsidRPr="004A15DC" w:rsidTr="004A15DC">
        <w:trPr>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lastRenderedPageBreak/>
              <w:t>Nivel de libertad y compromiso de sus ciudadanos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Refleja la percepción de la población sobre la medida en que los ciudadanos de un país pueden participar en la selección de su gobierno, así como la libertad de expresión, la libertad de asociación y medios de comunicación libres.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De -2.5 (pobre) a 2.5 (fuerte)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Banco Mundial</w:t>
            </w:r>
          </w:p>
        </w:tc>
      </w:tr>
      <w:tr w:rsidR="00FA46CD" w:rsidRPr="004A15DC" w:rsidTr="004A15DC">
        <w:trPr>
          <w:trHeight w:val="1574"/>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Transparencia de las políticas del gobierno - Índice de competitividad global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Refleja la percepción de los ejecutivos de en qué medida es fácil para las empresas obtener información sobre los cambios en las políticas gubernamentales relativas a sus actividades.</w:t>
            </w:r>
            <w:r w:rsidRPr="004A15DC">
              <w:rPr>
                <w:rFonts w:eastAsia="Times New Roman" w:cs="Arial"/>
                <w:sz w:val="20"/>
                <w:lang w:val="es-ES"/>
              </w:rPr>
              <w:tab/>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De 1 (pobre) a 7 (fuerte)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rPr>
            </w:pPr>
            <w:r w:rsidRPr="004A15DC">
              <w:rPr>
                <w:rFonts w:eastAsia="Times New Roman" w:cs="Arial"/>
                <w:sz w:val="20"/>
              </w:rPr>
              <w:t>Executive Opinion Survey, World Economic Forum</w:t>
            </w:r>
          </w:p>
        </w:tc>
      </w:tr>
      <w:tr w:rsidR="00FA46CD" w:rsidRPr="004A15DC" w:rsidTr="004A15DC">
        <w:trPr>
          <w:trHeight w:val="1340"/>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Comportamiento ético de las empresas - Índice de competitividad global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Refleja cómo los ejecutivos calificarían la ética corporativa de las empresas (comportamiento ético en las interacciones con los funcionarios públicos, políticos, y otras empresas)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De 1 (pobre) a 7 (fuerte)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rPr>
            </w:pPr>
            <w:r w:rsidRPr="004A15DC">
              <w:rPr>
                <w:rFonts w:eastAsia="Times New Roman" w:cs="Arial"/>
                <w:sz w:val="20"/>
              </w:rPr>
              <w:t>Executive Opinion Survey, World Economic Forum</w:t>
            </w:r>
          </w:p>
        </w:tc>
      </w:tr>
      <w:tr w:rsidR="00FA46CD" w:rsidRPr="004A15DC" w:rsidTr="004A15DC">
        <w:trPr>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Eficiencia del gobierno - Índice de competitividad global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rPr>
                <w:rFonts w:eastAsia="Times New Roman" w:cs="Arial"/>
                <w:sz w:val="20"/>
                <w:lang w:val="es-ES"/>
              </w:rPr>
            </w:pPr>
            <w:r w:rsidRPr="004A15DC">
              <w:rPr>
                <w:rFonts w:eastAsia="Times New Roman" w:cs="Arial"/>
                <w:sz w:val="20"/>
                <w:lang w:val="es-ES"/>
              </w:rPr>
              <w:t>Refleja la opinión de los ejecutivos en los siguientes aspectos:</w:t>
            </w:r>
          </w:p>
          <w:p w:rsidR="00C83C65" w:rsidRPr="004A15DC" w:rsidRDefault="00C83C65" w:rsidP="004A15DC">
            <w:pPr>
              <w:pStyle w:val="ListParagraph"/>
              <w:numPr>
                <w:ilvl w:val="0"/>
                <w:numId w:val="8"/>
              </w:numPr>
              <w:autoSpaceDE w:val="0"/>
              <w:autoSpaceDN w:val="0"/>
              <w:adjustRightInd w:val="0"/>
              <w:spacing w:after="0"/>
              <w:rPr>
                <w:rFonts w:eastAsia="Times New Roman" w:cs="Arial"/>
                <w:sz w:val="20"/>
                <w:lang w:val="es-ES"/>
              </w:rPr>
            </w:pPr>
            <w:r w:rsidRPr="004A15DC">
              <w:rPr>
                <w:rFonts w:eastAsia="Times New Roman" w:cs="Arial"/>
                <w:sz w:val="20"/>
                <w:lang w:val="es-ES"/>
              </w:rPr>
              <w:t>eficiencia con qué el gobierno gasta los ingresos públicos.</w:t>
            </w:r>
          </w:p>
          <w:p w:rsidR="00C83C65" w:rsidRPr="004A15DC" w:rsidRDefault="00C83C65" w:rsidP="004A15DC">
            <w:pPr>
              <w:pStyle w:val="ListParagraph"/>
              <w:numPr>
                <w:ilvl w:val="0"/>
                <w:numId w:val="8"/>
              </w:numPr>
              <w:autoSpaceDE w:val="0"/>
              <w:autoSpaceDN w:val="0"/>
              <w:adjustRightInd w:val="0"/>
              <w:spacing w:after="0"/>
              <w:rPr>
                <w:rFonts w:eastAsia="Times New Roman" w:cs="Arial"/>
                <w:sz w:val="20"/>
                <w:lang w:val="es-ES"/>
              </w:rPr>
            </w:pPr>
            <w:r w:rsidRPr="004A15DC">
              <w:rPr>
                <w:rFonts w:eastAsia="Times New Roman" w:cs="Arial"/>
                <w:sz w:val="20"/>
                <w:lang w:val="es-ES"/>
              </w:rPr>
              <w:t>completitud para que las empresas cumplan con los requisitos administrativos gubernamentales (por ejemplo, permisos, reglamentos, informes)</w:t>
            </w:r>
          </w:p>
          <w:p w:rsidR="00C83C65" w:rsidRPr="004A15DC" w:rsidRDefault="00C83C65" w:rsidP="004A15DC">
            <w:pPr>
              <w:pStyle w:val="ListParagraph"/>
              <w:numPr>
                <w:ilvl w:val="0"/>
                <w:numId w:val="8"/>
              </w:numPr>
              <w:autoSpaceDE w:val="0"/>
              <w:autoSpaceDN w:val="0"/>
              <w:adjustRightInd w:val="0"/>
              <w:spacing w:after="0"/>
              <w:rPr>
                <w:rFonts w:eastAsia="Times New Roman" w:cs="Arial"/>
                <w:sz w:val="20"/>
                <w:lang w:val="es-ES"/>
              </w:rPr>
            </w:pPr>
            <w:r w:rsidRPr="004A15DC">
              <w:rPr>
                <w:rFonts w:eastAsia="Times New Roman" w:cs="Arial"/>
                <w:sz w:val="20"/>
                <w:lang w:val="es-ES"/>
              </w:rPr>
              <w:t>lo eficiente que es el marco jurídico de las empresas privadas en la solución de controversias</w:t>
            </w:r>
          </w:p>
          <w:p w:rsidR="00C83C65" w:rsidRPr="004A15DC" w:rsidRDefault="00C83C65" w:rsidP="004A15DC">
            <w:pPr>
              <w:pStyle w:val="ListParagraph"/>
              <w:numPr>
                <w:ilvl w:val="0"/>
                <w:numId w:val="8"/>
              </w:numPr>
              <w:autoSpaceDE w:val="0"/>
              <w:autoSpaceDN w:val="0"/>
              <w:adjustRightInd w:val="0"/>
              <w:spacing w:after="0"/>
              <w:rPr>
                <w:rFonts w:eastAsia="Times New Roman" w:cs="Arial"/>
                <w:sz w:val="20"/>
                <w:lang w:val="es-ES"/>
              </w:rPr>
            </w:pPr>
            <w:r w:rsidRPr="004A15DC">
              <w:rPr>
                <w:rFonts w:eastAsia="Times New Roman" w:cs="Arial"/>
                <w:sz w:val="20"/>
                <w:lang w:val="es-ES"/>
              </w:rPr>
              <w:t>facilidad para las empresas privadas para impugnar las acciones y / o regulaciones gubernamentales a través del sistema legal.</w:t>
            </w:r>
          </w:p>
          <w:p w:rsidR="00C83C65" w:rsidRPr="004A15DC" w:rsidRDefault="00C83C65" w:rsidP="004A15DC">
            <w:pPr>
              <w:pStyle w:val="ListParagraph"/>
              <w:numPr>
                <w:ilvl w:val="0"/>
                <w:numId w:val="8"/>
              </w:numPr>
              <w:autoSpaceDE w:val="0"/>
              <w:autoSpaceDN w:val="0"/>
              <w:adjustRightInd w:val="0"/>
              <w:spacing w:after="0"/>
              <w:rPr>
                <w:rFonts w:eastAsia="Times New Roman" w:cs="Arial"/>
                <w:sz w:val="20"/>
                <w:lang w:val="es-ES"/>
              </w:rPr>
            </w:pPr>
            <w:r w:rsidRPr="004A15DC">
              <w:rPr>
                <w:rFonts w:eastAsia="Times New Roman" w:cs="Arial"/>
                <w:sz w:val="20"/>
                <w:lang w:val="es-ES"/>
              </w:rPr>
              <w:t>facilidad para las empresas para obtener información sobre los cambios en las políticas y regulaciones gubernamentales que afectan a sus actividades.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lang w:val="es-ES"/>
              </w:rPr>
            </w:pPr>
            <w:r w:rsidRPr="004A15DC">
              <w:rPr>
                <w:rFonts w:eastAsia="Times New Roman" w:cs="Arial"/>
                <w:sz w:val="20"/>
                <w:lang w:val="es-ES"/>
              </w:rPr>
              <w:t>De 1 (pobre) a 7 (fuerte)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C65" w:rsidRPr="004A15DC" w:rsidRDefault="00C83C65" w:rsidP="004A15DC">
            <w:pPr>
              <w:autoSpaceDE w:val="0"/>
              <w:autoSpaceDN w:val="0"/>
              <w:adjustRightInd w:val="0"/>
              <w:spacing w:after="0"/>
              <w:contextualSpacing/>
              <w:rPr>
                <w:rFonts w:eastAsia="Times New Roman" w:cs="Arial"/>
                <w:sz w:val="20"/>
              </w:rPr>
            </w:pPr>
            <w:r w:rsidRPr="004A15DC">
              <w:rPr>
                <w:rFonts w:eastAsia="Times New Roman" w:cs="Arial"/>
                <w:sz w:val="20"/>
              </w:rPr>
              <w:t>Executive Opinion Survey, World Economic Forum</w:t>
            </w:r>
          </w:p>
        </w:tc>
      </w:tr>
    </w:tbl>
    <w:p w:rsidR="00D15ADC" w:rsidRPr="00B202C7" w:rsidRDefault="00D15ADC" w:rsidP="00C83C65">
      <w:pPr>
        <w:pStyle w:val="Paragraph"/>
        <w:numPr>
          <w:ilvl w:val="0"/>
          <w:numId w:val="0"/>
        </w:numPr>
        <w:spacing w:line="276" w:lineRule="auto"/>
        <w:ind w:left="810" w:hanging="720"/>
        <w:rPr>
          <w:rFonts w:ascii="Arial" w:hAnsi="Arial" w:cs="Arial"/>
          <w:sz w:val="22"/>
          <w:szCs w:val="22"/>
          <w:lang w:val="en-US"/>
        </w:rPr>
      </w:pPr>
    </w:p>
    <w:p w:rsidR="008F2528" w:rsidRPr="0091002C" w:rsidRDefault="00B94559" w:rsidP="004049D1">
      <w:pPr>
        <w:pStyle w:val="Heading2"/>
        <w:spacing w:line="276" w:lineRule="auto"/>
        <w:ind w:hanging="720"/>
        <w:rPr>
          <w:rFonts w:cs="Arial"/>
          <w:noProof/>
          <w:sz w:val="22"/>
          <w:szCs w:val="22"/>
        </w:rPr>
      </w:pPr>
      <w:r w:rsidRPr="0091002C">
        <w:rPr>
          <w:rFonts w:cs="Arial"/>
          <w:noProof/>
          <w:sz w:val="22"/>
          <w:szCs w:val="22"/>
        </w:rPr>
        <w:lastRenderedPageBreak/>
        <w:t>Metodología</w:t>
      </w:r>
    </w:p>
    <w:p w:rsidR="00B94559" w:rsidRPr="0091002C" w:rsidRDefault="00B94559" w:rsidP="0047047E">
      <w:pPr>
        <w:pStyle w:val="Paragraph"/>
        <w:numPr>
          <w:ilvl w:val="1"/>
          <w:numId w:val="7"/>
        </w:numPr>
        <w:ind w:left="720" w:hanging="720"/>
        <w:rPr>
          <w:rFonts w:ascii="Arial" w:hAnsi="Arial" w:cs="Arial"/>
          <w:sz w:val="22"/>
          <w:szCs w:val="22"/>
        </w:rPr>
      </w:pPr>
      <w:r w:rsidRPr="0091002C">
        <w:rPr>
          <w:rFonts w:ascii="Arial" w:hAnsi="Arial" w:cs="Arial"/>
          <w:sz w:val="22"/>
          <w:szCs w:val="22"/>
        </w:rPr>
        <w:t>Para cada uno de los indicadores se construirá un control sintético siguiendo la metodología de Abadie y Gardeazabal (2003), es decir, recon</w:t>
      </w:r>
      <w:r w:rsidR="00193D22" w:rsidRPr="0091002C">
        <w:rPr>
          <w:rFonts w:ascii="Arial" w:hAnsi="Arial" w:cs="Arial"/>
          <w:sz w:val="22"/>
          <w:szCs w:val="22"/>
        </w:rPr>
        <w:t>s</w:t>
      </w:r>
      <w:r w:rsidRPr="0091002C">
        <w:rPr>
          <w:rFonts w:ascii="Arial" w:hAnsi="Arial" w:cs="Arial"/>
          <w:sz w:val="22"/>
          <w:szCs w:val="22"/>
        </w:rPr>
        <w:t>truir el indicador previ</w:t>
      </w:r>
      <w:r w:rsidR="004C0FAB" w:rsidRPr="0091002C">
        <w:rPr>
          <w:rFonts w:ascii="Arial" w:hAnsi="Arial" w:cs="Arial"/>
          <w:sz w:val="22"/>
          <w:szCs w:val="22"/>
        </w:rPr>
        <w:t>o</w:t>
      </w:r>
      <w:r w:rsidRPr="0091002C">
        <w:rPr>
          <w:rFonts w:ascii="Arial" w:hAnsi="Arial" w:cs="Arial"/>
          <w:sz w:val="22"/>
          <w:szCs w:val="22"/>
        </w:rPr>
        <w:t xml:space="preserve"> al programa y utilizar esa estimación para calcular cómo hubiera sido la trayectoria del indicador para Chile en ausencia del programa. Este control sintético se construye a partir de los valores previos al programa de un grupo de países. Con esta metodología se obtienen ponderadores para algunos de estos países de manera de que al multiplicar esos ponderadores por la serie</w:t>
      </w:r>
      <w:r w:rsidR="00674678" w:rsidRPr="0091002C">
        <w:rPr>
          <w:rFonts w:ascii="Arial" w:hAnsi="Arial" w:cs="Arial"/>
          <w:sz w:val="22"/>
          <w:szCs w:val="22"/>
        </w:rPr>
        <w:t xml:space="preserve"> de</w:t>
      </w:r>
      <w:r w:rsidRPr="0091002C">
        <w:rPr>
          <w:rFonts w:ascii="Arial" w:hAnsi="Arial" w:cs="Arial"/>
          <w:sz w:val="22"/>
          <w:szCs w:val="22"/>
        </w:rPr>
        <w:t xml:space="preserve"> los países es posible reconstruir la serie de datos para Chile previo al programa. Se supone que si previo al programa los ponderadores lograron aproximar adecuadamente la trayectoria de Chile, esos mismos ponderadores luego del programa lograrán estimar correctamente el contrafactual de Chile.</w:t>
      </w:r>
      <w:r w:rsidR="00674678" w:rsidRPr="0091002C">
        <w:rPr>
          <w:rFonts w:ascii="Arial" w:hAnsi="Arial" w:cs="Arial"/>
          <w:sz w:val="22"/>
          <w:szCs w:val="22"/>
        </w:rPr>
        <w:t xml:space="preserve"> La diferencia entre la trayectoria de los indicadores en Chile y la trayectoria de los indicadores del Chile construido con los ponderadores, será la estimación del impacto del programa.</w:t>
      </w:r>
    </w:p>
    <w:p w:rsidR="00674678" w:rsidRPr="004A15DC" w:rsidRDefault="00674678"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 xml:space="preserve">Formalmente, Abadie </w:t>
      </w:r>
      <w:r w:rsidR="00C15C3E" w:rsidRPr="004A15DC">
        <w:rPr>
          <w:rFonts w:ascii="Arial" w:hAnsi="Arial" w:cs="Arial"/>
          <w:sz w:val="22"/>
          <w:szCs w:val="22"/>
        </w:rPr>
        <w:t>y</w:t>
      </w:r>
      <w:r w:rsidRPr="004A15DC">
        <w:rPr>
          <w:rFonts w:ascii="Arial" w:hAnsi="Arial" w:cs="Arial"/>
          <w:sz w:val="22"/>
          <w:szCs w:val="22"/>
        </w:rPr>
        <w:t xml:space="preserve"> Gardeazabal (2003) </w:t>
      </w:r>
      <w:r w:rsidR="00C15C3E" w:rsidRPr="004A15DC">
        <w:rPr>
          <w:rFonts w:ascii="Arial" w:hAnsi="Arial" w:cs="Arial"/>
          <w:sz w:val="22"/>
          <w:szCs w:val="22"/>
        </w:rPr>
        <w:t>y</w:t>
      </w:r>
      <w:r w:rsidRPr="004A15DC">
        <w:rPr>
          <w:rFonts w:ascii="Arial" w:hAnsi="Arial" w:cs="Arial"/>
          <w:sz w:val="22"/>
          <w:szCs w:val="22"/>
        </w:rPr>
        <w:t xml:space="preserve"> Abadie, Diamond </w:t>
      </w:r>
      <w:r w:rsidR="00C15C3E" w:rsidRPr="004A15DC">
        <w:rPr>
          <w:rFonts w:ascii="Arial" w:hAnsi="Arial" w:cs="Arial"/>
          <w:sz w:val="22"/>
          <w:szCs w:val="22"/>
        </w:rPr>
        <w:t>y</w:t>
      </w:r>
      <w:r w:rsidRPr="004A15DC">
        <w:rPr>
          <w:rFonts w:ascii="Arial" w:hAnsi="Arial" w:cs="Arial"/>
          <w:sz w:val="22"/>
          <w:szCs w:val="22"/>
        </w:rPr>
        <w:t xml:space="preserve"> Hainmueller (2010) llaman “donor pool” al grupo de J países disponibles para el grupo de control. Estos países no pueden haber sido afectados directa ni indirectamente por el programa. </w:t>
      </w:r>
      <w:r w:rsidR="00C15C3E" w:rsidRPr="004A15DC">
        <w:rPr>
          <w:rFonts w:ascii="Arial" w:hAnsi="Arial" w:cs="Arial"/>
          <w:sz w:val="22"/>
          <w:szCs w:val="22"/>
        </w:rPr>
        <w:t xml:space="preserve">Asimismo, </w:t>
      </w:r>
      <w:r w:rsidRPr="004A15DC">
        <w:rPr>
          <w:rFonts w:ascii="Arial" w:hAnsi="Arial" w:cs="Arial"/>
          <w:sz w:val="22"/>
          <w:szCs w:val="22"/>
        </w:rPr>
        <w:t>W = (w</w:t>
      </w:r>
      <w:r w:rsidRPr="004A15DC">
        <w:rPr>
          <w:rFonts w:ascii="Arial" w:hAnsi="Arial" w:cs="Arial"/>
          <w:sz w:val="22"/>
          <w:szCs w:val="22"/>
          <w:vertAlign w:val="subscript"/>
        </w:rPr>
        <w:t>1</w:t>
      </w:r>
      <w:r w:rsidRPr="004A15DC">
        <w:rPr>
          <w:rFonts w:ascii="Arial" w:hAnsi="Arial" w:cs="Arial"/>
          <w:sz w:val="22"/>
          <w:szCs w:val="22"/>
        </w:rPr>
        <w:t>,... , w</w:t>
      </w:r>
      <w:r w:rsidRPr="004A15DC">
        <w:rPr>
          <w:rFonts w:ascii="Arial" w:hAnsi="Arial" w:cs="Arial"/>
          <w:sz w:val="22"/>
          <w:szCs w:val="22"/>
          <w:vertAlign w:val="subscript"/>
        </w:rPr>
        <w:t>j</w:t>
      </w:r>
      <w:r w:rsidRPr="004A15DC">
        <w:rPr>
          <w:rFonts w:ascii="Arial" w:hAnsi="Arial" w:cs="Arial"/>
          <w:sz w:val="22"/>
          <w:szCs w:val="22"/>
        </w:rPr>
        <w:t xml:space="preserve">)' </w:t>
      </w:r>
      <w:r w:rsidR="00C15C3E" w:rsidRPr="004A15DC">
        <w:rPr>
          <w:rFonts w:ascii="Arial" w:hAnsi="Arial" w:cs="Arial"/>
          <w:sz w:val="22"/>
          <w:szCs w:val="22"/>
        </w:rPr>
        <w:t>e</w:t>
      </w:r>
      <w:r w:rsidRPr="004A15DC">
        <w:rPr>
          <w:rFonts w:ascii="Arial" w:hAnsi="Arial" w:cs="Arial"/>
          <w:sz w:val="22"/>
          <w:szCs w:val="22"/>
        </w:rPr>
        <w:t xml:space="preserve">s </w:t>
      </w:r>
      <w:r w:rsidR="00C15C3E" w:rsidRPr="004A15DC">
        <w:rPr>
          <w:rFonts w:ascii="Arial" w:hAnsi="Arial" w:cs="Arial"/>
          <w:sz w:val="22"/>
          <w:szCs w:val="22"/>
        </w:rPr>
        <w:t>un</w:t>
      </w:r>
      <w:r w:rsidRPr="004A15DC">
        <w:rPr>
          <w:rFonts w:ascii="Arial" w:hAnsi="Arial" w:cs="Arial"/>
          <w:sz w:val="22"/>
          <w:szCs w:val="22"/>
        </w:rPr>
        <w:t xml:space="preserve"> vector </w:t>
      </w:r>
      <w:r w:rsidR="00C15C3E" w:rsidRPr="004A15DC">
        <w:rPr>
          <w:rFonts w:ascii="Arial" w:hAnsi="Arial" w:cs="Arial"/>
          <w:sz w:val="22"/>
          <w:szCs w:val="22"/>
        </w:rPr>
        <w:t xml:space="preserve">(J x 1) </w:t>
      </w:r>
      <w:r w:rsidRPr="004A15DC">
        <w:rPr>
          <w:rFonts w:ascii="Arial" w:hAnsi="Arial" w:cs="Arial"/>
          <w:sz w:val="22"/>
          <w:szCs w:val="22"/>
        </w:rPr>
        <w:t>de ponderadores no negativos que suman uno. El escalar w</w:t>
      </w:r>
      <w:r w:rsidRPr="004A15DC">
        <w:rPr>
          <w:rFonts w:ascii="Arial" w:hAnsi="Arial" w:cs="Arial"/>
          <w:sz w:val="22"/>
          <w:szCs w:val="22"/>
          <w:vertAlign w:val="subscript"/>
        </w:rPr>
        <w:t xml:space="preserve">j </w:t>
      </w:r>
      <w:r w:rsidRPr="004A15DC">
        <w:rPr>
          <w:rFonts w:ascii="Arial" w:hAnsi="Arial" w:cs="Arial"/>
          <w:sz w:val="22"/>
          <w:szCs w:val="22"/>
        </w:rPr>
        <w:t xml:space="preserve">representa el ponderador del país </w:t>
      </w:r>
      <w:r w:rsidRPr="004A15DC">
        <w:rPr>
          <w:rFonts w:ascii="Arial" w:hAnsi="Arial" w:cs="Arial"/>
          <w:i/>
          <w:sz w:val="22"/>
          <w:szCs w:val="22"/>
        </w:rPr>
        <w:t>j</w:t>
      </w:r>
      <w:r w:rsidRPr="004A15DC">
        <w:rPr>
          <w:rFonts w:ascii="Arial" w:hAnsi="Arial" w:cs="Arial"/>
          <w:sz w:val="22"/>
          <w:szCs w:val="22"/>
        </w:rPr>
        <w:t xml:space="preserve"> en el control </w:t>
      </w:r>
      <w:r w:rsidR="00560A8B" w:rsidRPr="004A15DC">
        <w:rPr>
          <w:rFonts w:ascii="Arial" w:hAnsi="Arial" w:cs="Arial"/>
          <w:sz w:val="22"/>
          <w:szCs w:val="22"/>
        </w:rPr>
        <w:t>sintético</w:t>
      </w:r>
      <w:r w:rsidRPr="004A15DC">
        <w:rPr>
          <w:rFonts w:ascii="Arial" w:hAnsi="Arial" w:cs="Arial"/>
          <w:sz w:val="22"/>
          <w:szCs w:val="22"/>
        </w:rPr>
        <w:t xml:space="preserve">. </w:t>
      </w:r>
      <w:r w:rsidR="00560A8B" w:rsidRPr="004A15DC">
        <w:rPr>
          <w:rFonts w:ascii="Arial" w:hAnsi="Arial" w:cs="Arial"/>
          <w:sz w:val="22"/>
          <w:szCs w:val="22"/>
        </w:rPr>
        <w:t>Los ponderadores serán calc</w:t>
      </w:r>
      <w:r w:rsidR="00C15C3E" w:rsidRPr="004A15DC">
        <w:rPr>
          <w:rFonts w:ascii="Arial" w:hAnsi="Arial" w:cs="Arial"/>
          <w:sz w:val="22"/>
          <w:szCs w:val="22"/>
        </w:rPr>
        <w:t>u</w:t>
      </w:r>
      <w:r w:rsidR="00560A8B" w:rsidRPr="004A15DC">
        <w:rPr>
          <w:rFonts w:ascii="Arial" w:hAnsi="Arial" w:cs="Arial"/>
          <w:sz w:val="22"/>
          <w:szCs w:val="22"/>
        </w:rPr>
        <w:t>la</w:t>
      </w:r>
      <w:r w:rsidR="00C15C3E" w:rsidRPr="004A15DC">
        <w:rPr>
          <w:rFonts w:ascii="Arial" w:hAnsi="Arial" w:cs="Arial"/>
          <w:sz w:val="22"/>
          <w:szCs w:val="22"/>
        </w:rPr>
        <w:t>d</w:t>
      </w:r>
      <w:r w:rsidR="00560A8B" w:rsidRPr="004A15DC">
        <w:rPr>
          <w:rFonts w:ascii="Arial" w:hAnsi="Arial" w:cs="Arial"/>
          <w:sz w:val="22"/>
          <w:szCs w:val="22"/>
        </w:rPr>
        <w:t xml:space="preserve">os de manera </w:t>
      </w:r>
      <w:r w:rsidR="00C15C3E" w:rsidRPr="004A15DC">
        <w:rPr>
          <w:rFonts w:ascii="Arial" w:hAnsi="Arial" w:cs="Arial"/>
          <w:sz w:val="22"/>
          <w:szCs w:val="22"/>
        </w:rPr>
        <w:t xml:space="preserve">que </w:t>
      </w:r>
      <w:r w:rsidR="00560A8B" w:rsidRPr="004A15DC">
        <w:rPr>
          <w:rFonts w:ascii="Arial" w:hAnsi="Arial" w:cs="Arial"/>
          <w:sz w:val="22"/>
          <w:szCs w:val="22"/>
        </w:rPr>
        <w:t xml:space="preserve">el control sintético sea lo más similar posible a Chile previo a la intervención en los indicadores de interés. </w:t>
      </w:r>
      <w:r w:rsidR="00560A8B" w:rsidRPr="004A15DC">
        <w:rPr>
          <w:rFonts w:ascii="Arial" w:hAnsi="Arial" w:cs="Arial"/>
          <w:color w:val="000000"/>
          <w:sz w:val="22"/>
          <w:szCs w:val="22"/>
        </w:rPr>
        <w:t>X</w:t>
      </w:r>
      <w:r w:rsidR="00560A8B" w:rsidRPr="004A15DC">
        <w:rPr>
          <w:rFonts w:ascii="Arial" w:hAnsi="Arial" w:cs="Arial"/>
          <w:color w:val="000000"/>
          <w:sz w:val="22"/>
          <w:szCs w:val="22"/>
          <w:vertAlign w:val="subscript"/>
        </w:rPr>
        <w:t xml:space="preserve">1 </w:t>
      </w:r>
      <w:r w:rsidR="00560A8B" w:rsidRPr="004A15DC">
        <w:rPr>
          <w:rFonts w:ascii="Arial" w:hAnsi="Arial" w:cs="Arial"/>
          <w:color w:val="000000"/>
          <w:sz w:val="22"/>
          <w:szCs w:val="22"/>
        </w:rPr>
        <w:t>un vector de dimensiones Kx1 de valores previos a la intervención de variables que determinan a los indicadores de interés o que caractericen Chile en características físicas, políticas o económicas. X</w:t>
      </w:r>
      <w:r w:rsidR="00560A8B" w:rsidRPr="004A15DC">
        <w:rPr>
          <w:rFonts w:ascii="Arial" w:hAnsi="Arial" w:cs="Arial"/>
          <w:color w:val="000000"/>
          <w:sz w:val="22"/>
          <w:szCs w:val="22"/>
          <w:vertAlign w:val="subscript"/>
        </w:rPr>
        <w:t>0</w:t>
      </w:r>
      <w:r w:rsidR="00560A8B" w:rsidRPr="004A15DC">
        <w:rPr>
          <w:rFonts w:ascii="Arial" w:hAnsi="Arial" w:cs="Arial"/>
          <w:color w:val="000000"/>
          <w:sz w:val="22"/>
          <w:szCs w:val="22"/>
        </w:rPr>
        <w:t xml:space="preserve"> es una matriz de dimensión (K x J) que contiene los valores de X</w:t>
      </w:r>
      <w:r w:rsidR="00560A8B" w:rsidRPr="004A15DC">
        <w:rPr>
          <w:rFonts w:ascii="Arial" w:hAnsi="Arial" w:cs="Arial"/>
          <w:color w:val="000000"/>
          <w:sz w:val="22"/>
          <w:szCs w:val="22"/>
          <w:vertAlign w:val="subscript"/>
        </w:rPr>
        <w:t xml:space="preserve">1 </w:t>
      </w:r>
      <w:r w:rsidR="00560A8B" w:rsidRPr="004A15DC">
        <w:rPr>
          <w:rFonts w:ascii="Arial" w:hAnsi="Arial" w:cs="Arial"/>
          <w:color w:val="000000"/>
          <w:sz w:val="22"/>
          <w:szCs w:val="22"/>
        </w:rPr>
        <w:t>para cada uno de los J países en el grupo de países de control. V es una matriz diagonal con valores no negativos, que reflejan la importancia de cada uno de las diferentes K variables.</w:t>
      </w:r>
    </w:p>
    <w:p w:rsidR="00560A8B" w:rsidRPr="004A15DC" w:rsidRDefault="00560A8B"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El vector de ponderadores W* se elige para minimizar (X</w:t>
      </w:r>
      <w:r w:rsidRPr="004A15DC">
        <w:rPr>
          <w:rFonts w:ascii="Arial" w:hAnsi="Arial" w:cs="Arial"/>
          <w:sz w:val="22"/>
          <w:szCs w:val="22"/>
          <w:vertAlign w:val="subscript"/>
        </w:rPr>
        <w:t>1</w:t>
      </w:r>
      <w:r w:rsidRPr="004A15DC">
        <w:rPr>
          <w:rFonts w:ascii="Arial" w:hAnsi="Arial" w:cs="Arial"/>
          <w:sz w:val="22"/>
          <w:szCs w:val="22"/>
        </w:rPr>
        <w:t xml:space="preserve"> – X</w:t>
      </w:r>
      <w:r w:rsidRPr="004A15DC">
        <w:rPr>
          <w:rFonts w:ascii="Arial" w:hAnsi="Arial" w:cs="Arial"/>
          <w:sz w:val="22"/>
          <w:szCs w:val="22"/>
          <w:vertAlign w:val="subscript"/>
        </w:rPr>
        <w:t>0</w:t>
      </w:r>
      <w:r w:rsidRPr="004A15DC">
        <w:rPr>
          <w:rFonts w:ascii="Arial" w:hAnsi="Arial" w:cs="Arial"/>
          <w:sz w:val="22"/>
          <w:szCs w:val="22"/>
        </w:rPr>
        <w:t>W)'V(X</w:t>
      </w:r>
      <w:r w:rsidRPr="004A15DC">
        <w:rPr>
          <w:rFonts w:ascii="Arial" w:hAnsi="Arial" w:cs="Arial"/>
          <w:sz w:val="22"/>
          <w:szCs w:val="22"/>
          <w:vertAlign w:val="subscript"/>
        </w:rPr>
        <w:t>1</w:t>
      </w:r>
      <w:r w:rsidRPr="004A15DC">
        <w:rPr>
          <w:rFonts w:ascii="Arial" w:hAnsi="Arial" w:cs="Arial"/>
          <w:sz w:val="22"/>
          <w:szCs w:val="22"/>
        </w:rPr>
        <w:t xml:space="preserve"> – X</w:t>
      </w:r>
      <w:r w:rsidRPr="004A15DC">
        <w:rPr>
          <w:rFonts w:ascii="Arial" w:hAnsi="Arial" w:cs="Arial"/>
          <w:sz w:val="22"/>
          <w:szCs w:val="22"/>
          <w:vertAlign w:val="subscript"/>
        </w:rPr>
        <w:t>0</w:t>
      </w:r>
      <w:r w:rsidRPr="004A15DC">
        <w:rPr>
          <w:rFonts w:ascii="Arial" w:hAnsi="Arial" w:cs="Arial"/>
          <w:sz w:val="22"/>
          <w:szCs w:val="22"/>
        </w:rPr>
        <w:t>W) sujeto a w</w:t>
      </w:r>
      <w:r w:rsidRPr="004A15DC">
        <w:rPr>
          <w:rFonts w:ascii="Arial" w:hAnsi="Arial" w:cs="Arial"/>
          <w:i/>
          <w:sz w:val="22"/>
          <w:szCs w:val="22"/>
          <w:vertAlign w:val="subscript"/>
        </w:rPr>
        <w:t>j</w:t>
      </w:r>
      <w:r w:rsidRPr="004A15DC">
        <w:rPr>
          <w:rFonts w:ascii="Arial" w:hAnsi="Arial" w:cs="Arial"/>
          <w:sz w:val="22"/>
          <w:szCs w:val="22"/>
        </w:rPr>
        <w:t>'≥0 (j = 1, 2,..., J) y w</w:t>
      </w:r>
      <w:r w:rsidRPr="004A15DC">
        <w:rPr>
          <w:rFonts w:ascii="Arial" w:hAnsi="Arial" w:cs="Arial"/>
          <w:sz w:val="22"/>
          <w:szCs w:val="22"/>
          <w:vertAlign w:val="subscript"/>
        </w:rPr>
        <w:t>1</w:t>
      </w:r>
      <w:r w:rsidRPr="004A15DC">
        <w:rPr>
          <w:rFonts w:ascii="Arial" w:hAnsi="Arial" w:cs="Arial"/>
          <w:sz w:val="22"/>
          <w:szCs w:val="22"/>
        </w:rPr>
        <w:t xml:space="preserve"> + … + w</w:t>
      </w:r>
      <w:r w:rsidRPr="004A15DC">
        <w:rPr>
          <w:rFonts w:ascii="Arial" w:hAnsi="Arial" w:cs="Arial"/>
          <w:sz w:val="22"/>
          <w:szCs w:val="22"/>
          <w:vertAlign w:val="subscript"/>
        </w:rPr>
        <w:t>j</w:t>
      </w:r>
      <w:r w:rsidRPr="004A15DC">
        <w:rPr>
          <w:rFonts w:ascii="Arial" w:hAnsi="Arial" w:cs="Arial"/>
          <w:sz w:val="22"/>
          <w:szCs w:val="22"/>
        </w:rPr>
        <w:t xml:space="preserve"> = 1. El vector W* define la combinación de países de control del “donor pool” que mejor describe la tra</w:t>
      </w:r>
      <w:r w:rsidR="005C3667" w:rsidRPr="004A15DC">
        <w:rPr>
          <w:rFonts w:ascii="Arial" w:hAnsi="Arial" w:cs="Arial"/>
          <w:sz w:val="22"/>
          <w:szCs w:val="22"/>
        </w:rPr>
        <w:t>y</w:t>
      </w:r>
      <w:r w:rsidRPr="004A15DC">
        <w:rPr>
          <w:rFonts w:ascii="Arial" w:hAnsi="Arial" w:cs="Arial"/>
          <w:sz w:val="22"/>
          <w:szCs w:val="22"/>
        </w:rPr>
        <w:t>ectoria de Chile para cierto indicador. La trayectoria del indicador para el control sintético previo al programa será X</w:t>
      </w:r>
      <w:r w:rsidRPr="004A15DC">
        <w:rPr>
          <w:rFonts w:ascii="Arial" w:hAnsi="Arial" w:cs="Arial"/>
          <w:sz w:val="22"/>
          <w:szCs w:val="22"/>
          <w:vertAlign w:val="subscript"/>
        </w:rPr>
        <w:t>1</w:t>
      </w:r>
      <w:r w:rsidRPr="004A15DC">
        <w:rPr>
          <w:rFonts w:ascii="Arial" w:hAnsi="Arial" w:cs="Arial"/>
          <w:sz w:val="22"/>
          <w:szCs w:val="22"/>
        </w:rPr>
        <w:t>* = X</w:t>
      </w:r>
      <w:r w:rsidRPr="004A15DC">
        <w:rPr>
          <w:rFonts w:ascii="Arial" w:hAnsi="Arial" w:cs="Arial"/>
          <w:sz w:val="22"/>
          <w:szCs w:val="22"/>
          <w:vertAlign w:val="subscript"/>
        </w:rPr>
        <w:t>0</w:t>
      </w:r>
      <w:r w:rsidRPr="004A15DC">
        <w:rPr>
          <w:rFonts w:ascii="Arial" w:hAnsi="Arial" w:cs="Arial"/>
          <w:sz w:val="22"/>
          <w:szCs w:val="22"/>
        </w:rPr>
        <w:t>W*.</w:t>
      </w:r>
    </w:p>
    <w:p w:rsidR="00D1036F" w:rsidRPr="004A15DC" w:rsidRDefault="00D1036F"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Y</w:t>
      </w:r>
      <w:r w:rsidRPr="004A15DC">
        <w:rPr>
          <w:rFonts w:ascii="Arial" w:hAnsi="Arial" w:cs="Arial"/>
          <w:sz w:val="22"/>
          <w:szCs w:val="22"/>
          <w:vertAlign w:val="subscript"/>
        </w:rPr>
        <w:t xml:space="preserve">1 </w:t>
      </w:r>
      <w:r w:rsidRPr="004A15DC">
        <w:rPr>
          <w:rFonts w:ascii="Arial" w:hAnsi="Arial" w:cs="Arial"/>
          <w:sz w:val="22"/>
          <w:szCs w:val="22"/>
        </w:rPr>
        <w:t>es un vector de dimensiones Tx1 cuyos elementos son los valores de cierto indicador durante T años. Y</w:t>
      </w:r>
      <w:r w:rsidRPr="004A15DC">
        <w:rPr>
          <w:rFonts w:ascii="Arial" w:hAnsi="Arial" w:cs="Arial"/>
          <w:sz w:val="22"/>
          <w:szCs w:val="22"/>
          <w:vertAlign w:val="subscript"/>
        </w:rPr>
        <w:t>1</w:t>
      </w:r>
      <w:r w:rsidRPr="004A15DC">
        <w:rPr>
          <w:rFonts w:ascii="Arial" w:hAnsi="Arial" w:cs="Arial"/>
          <w:sz w:val="22"/>
          <w:szCs w:val="22"/>
        </w:rPr>
        <w:t xml:space="preserve"> es una matriz de dimensiones TxJ que contiene los valores de ese indicador para todos los países de control. El objetivo es aproximar la trayectoria que hubiera tenido del indicador en ausencia del programa. Este contrafactual será definido como Y</w:t>
      </w:r>
      <w:r w:rsidRPr="004A15DC">
        <w:rPr>
          <w:rFonts w:ascii="Arial" w:hAnsi="Arial" w:cs="Arial"/>
          <w:sz w:val="22"/>
          <w:szCs w:val="22"/>
          <w:vertAlign w:val="subscript"/>
        </w:rPr>
        <w:t>1</w:t>
      </w:r>
      <w:r w:rsidRPr="004A15DC">
        <w:rPr>
          <w:rFonts w:ascii="Arial" w:hAnsi="Arial" w:cs="Arial"/>
          <w:sz w:val="22"/>
          <w:szCs w:val="22"/>
        </w:rPr>
        <w:t>* = Y</w:t>
      </w:r>
      <w:r w:rsidRPr="004A15DC">
        <w:rPr>
          <w:rFonts w:ascii="Arial" w:hAnsi="Arial" w:cs="Arial"/>
          <w:sz w:val="22"/>
          <w:szCs w:val="22"/>
          <w:vertAlign w:val="subscript"/>
        </w:rPr>
        <w:t>0</w:t>
      </w:r>
      <w:r w:rsidRPr="004A15DC">
        <w:rPr>
          <w:rFonts w:ascii="Arial" w:hAnsi="Arial" w:cs="Arial"/>
          <w:sz w:val="22"/>
          <w:szCs w:val="22"/>
        </w:rPr>
        <w:t xml:space="preserve">W*. </w:t>
      </w:r>
    </w:p>
    <w:p w:rsidR="00D1036F" w:rsidRPr="004A15DC" w:rsidRDefault="00D1036F"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El efecto de la intervención vendrá dado por la diferencia entre el valor del indicador que tenga Chile con el programa menos el valor del indicador para el control sintético, construido con los valores que obtienen los países al mismo momento de la intervención, multiplicados por el correspondiente ponderador. Formalmente, el resultado observado para la unidad i en el momento t será:</w:t>
      </w:r>
    </w:p>
    <w:p w:rsidR="00D1036F" w:rsidRPr="00E735B2" w:rsidRDefault="00E735B2" w:rsidP="004049D1">
      <w:pPr>
        <w:pStyle w:val="BalloonText"/>
        <w:jc w:val="both"/>
        <w:rPr>
          <w:rFonts w:ascii="Arial" w:hAnsi="Arial" w:cs="Arial"/>
          <w:sz w:val="22"/>
          <w:szCs w:val="22"/>
          <w:lang w:val="es-ES"/>
        </w:rPr>
      </w:pPr>
      <m:oMathPara>
        <m:oMath>
          <m:sSubSup>
            <m:sSubSupPr>
              <m:ctrlPr>
                <w:rPr>
                  <w:rFonts w:ascii="Cambria Math" w:hAnsi="Cambria Math" w:cs="Arial"/>
                  <w:lang w:val="es-ES"/>
                </w:rPr>
              </m:ctrlPr>
            </m:sSubSupPr>
            <m:e>
              <m:r>
                <w:rPr>
                  <w:rFonts w:ascii="Cambria Math" w:hAnsi="Cambria Math" w:cs="Arial"/>
                  <w:lang w:val="es-ES"/>
                </w:rPr>
                <m:t>Y</m:t>
              </m:r>
            </m:e>
            <m:sub>
              <m:r>
                <w:rPr>
                  <w:rFonts w:ascii="Cambria Math" w:hAnsi="Cambria Math" w:cs="Arial"/>
                  <w:lang w:val="es-ES"/>
                </w:rPr>
                <m:t>it</m:t>
              </m:r>
            </m:sub>
            <m:sup/>
          </m:sSubSup>
          <m:r>
            <m:rPr>
              <m:sty m:val="p"/>
            </m:rPr>
            <w:rPr>
              <w:rFonts w:ascii="Cambria Math" w:hAnsi="Cambria Math" w:cs="Arial"/>
              <w:lang w:val="es-ES"/>
            </w:rPr>
            <m:t>=</m:t>
          </m:r>
          <m:sSubSup>
            <m:sSubSupPr>
              <m:ctrlPr>
                <w:rPr>
                  <w:rFonts w:ascii="Cambria Math" w:hAnsi="Cambria Math" w:cs="Arial"/>
                  <w:lang w:val="es-ES"/>
                </w:rPr>
              </m:ctrlPr>
            </m:sSubSupPr>
            <m:e>
              <m:r>
                <w:rPr>
                  <w:rFonts w:ascii="Cambria Math" w:hAnsi="Cambria Math" w:cs="Arial"/>
                  <w:lang w:val="es-ES"/>
                </w:rPr>
                <m:t>Y</m:t>
              </m:r>
            </m:e>
            <m:sub>
              <m:r>
                <w:rPr>
                  <w:rFonts w:ascii="Cambria Math" w:hAnsi="Cambria Math" w:cs="Arial"/>
                  <w:lang w:val="es-ES"/>
                </w:rPr>
                <m:t>it</m:t>
              </m:r>
            </m:sub>
            <m:sup>
              <m:r>
                <w:rPr>
                  <w:rFonts w:ascii="Cambria Math" w:hAnsi="Cambria Math" w:cs="Arial"/>
                  <w:lang w:val="es-ES"/>
                </w:rPr>
                <m:t>N</m:t>
              </m:r>
            </m:sup>
          </m:sSubSup>
          <m:r>
            <m:rPr>
              <m:sty m:val="p"/>
            </m:rPr>
            <w:rPr>
              <w:rFonts w:ascii="Cambria Math" w:hAnsi="Cambria Math" w:cs="Arial"/>
              <w:lang w:val="es-ES"/>
            </w:rPr>
            <m:t>+</m:t>
          </m:r>
          <m:sSub>
            <m:sSubPr>
              <m:ctrlPr>
                <w:rPr>
                  <w:rFonts w:ascii="Cambria Math" w:hAnsi="Cambria Math" w:cs="Arial"/>
                  <w:lang w:val="es-ES"/>
                </w:rPr>
              </m:ctrlPr>
            </m:sSubPr>
            <m:e>
              <m:r>
                <w:rPr>
                  <w:rFonts w:ascii="Cambria Math" w:hAnsi="Cambria Math" w:cs="Arial"/>
                  <w:lang w:val="es-ES"/>
                </w:rPr>
                <m:t>α</m:t>
              </m:r>
            </m:e>
            <m:sub>
              <m:r>
                <w:rPr>
                  <w:rFonts w:ascii="Cambria Math" w:hAnsi="Cambria Math" w:cs="Arial"/>
                  <w:lang w:val="es-ES"/>
                </w:rPr>
                <m:t>it</m:t>
              </m:r>
            </m:sub>
          </m:sSub>
          <m:sSub>
            <m:sSubPr>
              <m:ctrlPr>
                <w:rPr>
                  <w:rFonts w:ascii="Cambria Math" w:hAnsi="Cambria Math" w:cs="Arial"/>
                  <w:lang w:val="es-ES"/>
                </w:rPr>
              </m:ctrlPr>
            </m:sSubPr>
            <m:e>
              <m:r>
                <w:rPr>
                  <w:rFonts w:ascii="Cambria Math" w:hAnsi="Cambria Math" w:cs="Arial"/>
                  <w:lang w:val="es-ES"/>
                </w:rPr>
                <m:t>D</m:t>
              </m:r>
            </m:e>
            <m:sub>
              <m:r>
                <w:rPr>
                  <w:rFonts w:ascii="Cambria Math" w:hAnsi="Cambria Math" w:cs="Arial"/>
                  <w:lang w:val="es-ES"/>
                </w:rPr>
                <m:t>it</m:t>
              </m:r>
            </m:sub>
          </m:sSub>
        </m:oMath>
      </m:oMathPara>
    </w:p>
    <w:p w:rsidR="00D1036F" w:rsidRPr="004A15DC" w:rsidRDefault="00D1036F" w:rsidP="004049D1">
      <w:pPr>
        <w:spacing w:after="0" w:line="240" w:lineRule="auto"/>
        <w:ind w:left="720"/>
        <w:jc w:val="both"/>
        <w:rPr>
          <w:rFonts w:cs="Arial"/>
          <w:lang w:val="es-ES"/>
        </w:rPr>
      </w:pPr>
      <w:r w:rsidRPr="004A15DC">
        <w:rPr>
          <w:rFonts w:cs="Arial"/>
          <w:lang w:val="es-ES"/>
        </w:rPr>
        <w:t xml:space="preserve">donde </w:t>
      </w:r>
      <m:oMath>
        <m:sSubSup>
          <m:sSubSupPr>
            <m:ctrlPr>
              <w:rPr>
                <w:rFonts w:ascii="Cambria Math" w:hAnsi="Cambria Math" w:cs="Arial"/>
                <w:i/>
                <w:lang w:val="es-ES"/>
              </w:rPr>
            </m:ctrlPr>
          </m:sSubSupPr>
          <m:e>
            <m:sSub>
              <m:sSubPr>
                <m:ctrlPr>
                  <w:rPr>
                    <w:rFonts w:ascii="Cambria Math" w:hAnsi="Cambria Math" w:cs="Arial"/>
                    <w:i/>
                    <w:lang w:val="es-ES"/>
                  </w:rPr>
                </m:ctrlPr>
              </m:sSubPr>
              <m:e>
                <m:r>
                  <w:rPr>
                    <w:rFonts w:ascii="Cambria Math" w:hAnsi="Cambria Math" w:cs="Arial"/>
                    <w:lang w:val="es-ES"/>
                  </w:rPr>
                  <m:t>α</m:t>
                </m:r>
              </m:e>
              <m:sub>
                <m:r>
                  <w:rPr>
                    <w:rFonts w:ascii="Cambria Math" w:hAnsi="Cambria Math" w:cs="Arial"/>
                    <w:lang w:val="es-ES"/>
                  </w:rPr>
                  <m:t>it</m:t>
                </m:r>
              </m:sub>
            </m:sSub>
            <m:r>
              <w:rPr>
                <w:rFonts w:ascii="Cambria Math" w:hAnsi="Cambria Math" w:cs="Arial"/>
                <w:lang w:val="es-ES"/>
              </w:rPr>
              <m:t>=Y</m:t>
            </m:r>
          </m:e>
          <m:sub>
            <m:r>
              <w:rPr>
                <w:rFonts w:ascii="Cambria Math" w:hAnsi="Cambria Math" w:cs="Arial"/>
                <w:lang w:val="es-ES"/>
              </w:rPr>
              <m:t>it</m:t>
            </m:r>
          </m:sub>
          <m:sup>
            <m:r>
              <w:rPr>
                <w:rFonts w:ascii="Cambria Math" w:hAnsi="Cambria Math" w:cs="Arial"/>
                <w:lang w:val="es-ES"/>
              </w:rPr>
              <m:t>I</m:t>
            </m:r>
          </m:sup>
        </m:sSubSup>
        <m:r>
          <w:rPr>
            <w:rFonts w:ascii="Cambria Math" w:hAnsi="Cambria Math" w:cs="Arial"/>
            <w:lang w:val="es-ES"/>
          </w:rPr>
          <m:t>-</m:t>
        </m:r>
        <m:sSubSup>
          <m:sSubSupPr>
            <m:ctrlPr>
              <w:rPr>
                <w:rFonts w:ascii="Cambria Math" w:hAnsi="Cambria Math" w:cs="Arial"/>
                <w:i/>
                <w:lang w:val="es-ES"/>
              </w:rPr>
            </m:ctrlPr>
          </m:sSubSupPr>
          <m:e>
            <m:r>
              <w:rPr>
                <w:rFonts w:ascii="Cambria Math" w:hAnsi="Cambria Math" w:cs="Arial"/>
                <w:lang w:val="es-ES"/>
              </w:rPr>
              <m:t>Y</m:t>
            </m:r>
          </m:e>
          <m:sub>
            <m:r>
              <w:rPr>
                <w:rFonts w:ascii="Cambria Math" w:hAnsi="Cambria Math" w:cs="Arial"/>
                <w:lang w:val="es-ES"/>
              </w:rPr>
              <m:t>it</m:t>
            </m:r>
          </m:sub>
          <m:sup>
            <m:r>
              <w:rPr>
                <w:rFonts w:ascii="Cambria Math" w:hAnsi="Cambria Math" w:cs="Arial"/>
                <w:lang w:val="es-ES"/>
              </w:rPr>
              <m:t>N</m:t>
            </m:r>
          </m:sup>
        </m:sSubSup>
      </m:oMath>
      <w:r w:rsidRPr="004A15DC">
        <w:rPr>
          <w:rFonts w:cs="Arial"/>
          <w:lang w:val="es-ES"/>
        </w:rPr>
        <w:t xml:space="preserve"> es el efecto de la intervención para </w:t>
      </w:r>
      <w:r w:rsidR="0069662C" w:rsidRPr="004A15DC">
        <w:rPr>
          <w:rFonts w:cs="Arial"/>
          <w:lang w:val="es-ES"/>
        </w:rPr>
        <w:t xml:space="preserve">el país </w:t>
      </w:r>
      <w:r w:rsidRPr="004A15DC">
        <w:rPr>
          <w:rFonts w:cs="Arial"/>
          <w:lang w:val="es-ES"/>
        </w:rPr>
        <w:t xml:space="preserve"> </w:t>
      </w:r>
      <w:r w:rsidR="0069662C" w:rsidRPr="004A15DC">
        <w:rPr>
          <w:rFonts w:cs="Arial"/>
          <w:lang w:val="es-ES"/>
        </w:rPr>
        <w:t>i</w:t>
      </w:r>
      <w:r w:rsidRPr="004A15DC">
        <w:rPr>
          <w:rFonts w:cs="Arial"/>
          <w:lang w:val="es-ES"/>
        </w:rPr>
        <w:t xml:space="preserve"> en el momento t y D</w:t>
      </w:r>
      <w:r w:rsidRPr="004A15DC">
        <w:rPr>
          <w:rFonts w:cs="Arial"/>
          <w:vertAlign w:val="subscript"/>
          <w:lang w:val="es-ES"/>
        </w:rPr>
        <w:t xml:space="preserve">it </w:t>
      </w:r>
      <w:r w:rsidRPr="004A15DC">
        <w:rPr>
          <w:rFonts w:cs="Arial"/>
          <w:lang w:val="es-ES"/>
        </w:rPr>
        <w:t xml:space="preserve">una variable que toma el valor 1 si </w:t>
      </w:r>
      <w:r w:rsidR="0069662C" w:rsidRPr="004A15DC">
        <w:rPr>
          <w:rFonts w:cs="Arial"/>
          <w:lang w:val="es-ES"/>
        </w:rPr>
        <w:t>el país</w:t>
      </w:r>
      <w:r w:rsidRPr="004A15DC">
        <w:rPr>
          <w:rFonts w:cs="Arial"/>
          <w:lang w:val="es-ES"/>
        </w:rPr>
        <w:t xml:space="preserve"> i fue expuest</w:t>
      </w:r>
      <w:r w:rsidR="0069662C" w:rsidRPr="004A15DC">
        <w:rPr>
          <w:rFonts w:cs="Arial"/>
          <w:lang w:val="es-ES"/>
        </w:rPr>
        <w:t>o</w:t>
      </w:r>
      <w:r w:rsidRPr="004A15DC">
        <w:rPr>
          <w:rFonts w:cs="Arial"/>
          <w:lang w:val="es-ES"/>
        </w:rPr>
        <w:t xml:space="preserve"> al programa en el momento t y 0 en el caso contrario, es decir, D</w:t>
      </w:r>
      <w:r w:rsidRPr="004A15DC">
        <w:rPr>
          <w:rFonts w:cs="Arial"/>
          <w:vertAlign w:val="subscript"/>
          <w:lang w:val="es-ES"/>
        </w:rPr>
        <w:t>it</w:t>
      </w:r>
      <w:r w:rsidRPr="004A15DC">
        <w:rPr>
          <w:rFonts w:cs="Arial"/>
          <w:lang w:val="es-ES"/>
        </w:rPr>
        <w:t xml:space="preserve"> =1 para Chile cuando t&gt;T</w:t>
      </w:r>
      <w:r w:rsidRPr="004A15DC">
        <w:rPr>
          <w:rFonts w:cs="Arial"/>
          <w:vertAlign w:val="subscript"/>
          <w:lang w:val="es-ES"/>
        </w:rPr>
        <w:t>0</w:t>
      </w:r>
      <w:r w:rsidRPr="004A15DC">
        <w:rPr>
          <w:rFonts w:cs="Arial"/>
          <w:lang w:val="es-ES"/>
        </w:rPr>
        <w:t>. El objetivo es estimar (α</w:t>
      </w:r>
      <w:r w:rsidRPr="004A15DC">
        <w:rPr>
          <w:rFonts w:cs="Arial"/>
          <w:vertAlign w:val="subscript"/>
          <w:lang w:val="es-ES"/>
        </w:rPr>
        <w:t>1T0</w:t>
      </w:r>
      <w:r w:rsidRPr="004A15DC">
        <w:rPr>
          <w:rFonts w:cs="Arial"/>
          <w:lang w:val="es-ES"/>
        </w:rPr>
        <w:t>+1, ... , α</w:t>
      </w:r>
      <w:r w:rsidRPr="004A15DC">
        <w:rPr>
          <w:rFonts w:cs="Arial"/>
          <w:vertAlign w:val="subscript"/>
          <w:lang w:val="es-ES"/>
        </w:rPr>
        <w:t>1T</w:t>
      </w:r>
      <w:r w:rsidRPr="004A15DC">
        <w:rPr>
          <w:rFonts w:cs="Arial"/>
          <w:lang w:val="es-ES"/>
        </w:rPr>
        <w:t>). Cuando t &gt; T</w:t>
      </w:r>
      <w:r w:rsidRPr="004A15DC">
        <w:rPr>
          <w:rFonts w:cs="Arial"/>
          <w:vertAlign w:val="subscript"/>
          <w:lang w:val="es-ES"/>
        </w:rPr>
        <w:t>0</w:t>
      </w:r>
      <w:r w:rsidRPr="004A15DC">
        <w:rPr>
          <w:rFonts w:cs="Arial"/>
          <w:lang w:val="es-ES"/>
        </w:rPr>
        <w:t xml:space="preserve">,  </w:t>
      </w:r>
      <m:oMath>
        <m:sSubSup>
          <m:sSubSupPr>
            <m:ctrlPr>
              <w:rPr>
                <w:rFonts w:ascii="Cambria Math" w:hAnsi="Cambria Math" w:cs="Arial"/>
                <w:i/>
                <w:lang w:val="es-ES"/>
              </w:rPr>
            </m:ctrlPr>
          </m:sSubSupPr>
          <m:e>
            <m:sSub>
              <m:sSubPr>
                <m:ctrlPr>
                  <w:rPr>
                    <w:rFonts w:ascii="Cambria Math" w:hAnsi="Cambria Math" w:cs="Arial"/>
                    <w:i/>
                    <w:lang w:val="es-ES"/>
                  </w:rPr>
                </m:ctrlPr>
              </m:sSubPr>
              <m:e>
                <m:r>
                  <w:rPr>
                    <w:rFonts w:ascii="Cambria Math" w:hAnsi="Cambria Math" w:cs="Arial"/>
                    <w:lang w:val="es-ES"/>
                  </w:rPr>
                  <m:t>α</m:t>
                </m:r>
              </m:e>
              <m:sub>
                <m:r>
                  <w:rPr>
                    <w:rFonts w:ascii="Cambria Math" w:hAnsi="Cambria Math" w:cs="Arial"/>
                    <w:lang w:val="es-ES"/>
                  </w:rPr>
                  <m:t>1t</m:t>
                </m:r>
              </m:sub>
            </m:sSub>
            <m:r>
              <w:rPr>
                <w:rFonts w:ascii="Cambria Math" w:hAnsi="Cambria Math" w:cs="Arial"/>
                <w:lang w:val="es-ES"/>
              </w:rPr>
              <m:t>=Y</m:t>
            </m:r>
          </m:e>
          <m:sub>
            <m:r>
              <w:rPr>
                <w:rFonts w:ascii="Cambria Math" w:hAnsi="Cambria Math" w:cs="Arial"/>
                <w:lang w:val="es-ES"/>
              </w:rPr>
              <m:t>1t</m:t>
            </m:r>
          </m:sub>
          <m:sup>
            <m:r>
              <w:rPr>
                <w:rFonts w:ascii="Cambria Math" w:hAnsi="Cambria Math" w:cs="Arial"/>
                <w:lang w:val="es-ES"/>
              </w:rPr>
              <m:t>I</m:t>
            </m:r>
          </m:sup>
        </m:sSubSup>
        <m:r>
          <w:rPr>
            <w:rFonts w:ascii="Cambria Math" w:hAnsi="Cambria Math" w:cs="Arial"/>
            <w:lang w:val="es-ES"/>
          </w:rPr>
          <m:t>-</m:t>
        </m:r>
        <m:sSubSup>
          <m:sSubSupPr>
            <m:ctrlPr>
              <w:rPr>
                <w:rFonts w:ascii="Cambria Math" w:hAnsi="Cambria Math" w:cs="Arial"/>
                <w:i/>
                <w:lang w:val="es-ES"/>
              </w:rPr>
            </m:ctrlPr>
          </m:sSubSupPr>
          <m:e>
            <m:r>
              <w:rPr>
                <w:rFonts w:ascii="Cambria Math" w:hAnsi="Cambria Math" w:cs="Arial"/>
                <w:lang w:val="es-ES"/>
              </w:rPr>
              <m:t>Y</m:t>
            </m:r>
          </m:e>
          <m:sub>
            <m:r>
              <w:rPr>
                <w:rFonts w:ascii="Cambria Math" w:hAnsi="Cambria Math" w:cs="Arial"/>
                <w:lang w:val="es-ES"/>
              </w:rPr>
              <m:t>1t</m:t>
            </m:r>
          </m:sub>
          <m:sup>
            <m:r>
              <w:rPr>
                <w:rFonts w:ascii="Cambria Math" w:hAnsi="Cambria Math" w:cs="Arial"/>
                <w:lang w:val="es-ES"/>
              </w:rPr>
              <m:t>N</m:t>
            </m:r>
          </m:sup>
        </m:sSubSup>
      </m:oMath>
      <w:r w:rsidRPr="004A15DC">
        <w:rPr>
          <w:rFonts w:cs="Arial"/>
          <w:lang w:val="es-ES"/>
        </w:rPr>
        <w:t xml:space="preserve"> porque </w:t>
      </w:r>
      <m:oMath>
        <m:sSubSup>
          <m:sSubSupPr>
            <m:ctrlPr>
              <w:rPr>
                <w:rFonts w:ascii="Cambria Math" w:hAnsi="Cambria Math" w:cs="Arial"/>
                <w:i/>
                <w:lang w:val="es-ES"/>
              </w:rPr>
            </m:ctrlPr>
          </m:sSubSupPr>
          <m:e>
            <m:r>
              <w:rPr>
                <w:rFonts w:ascii="Cambria Math" w:hAnsi="Cambria Math" w:cs="Arial"/>
                <w:lang w:val="es-ES"/>
              </w:rPr>
              <m:t>Y</m:t>
            </m:r>
          </m:e>
          <m:sub>
            <m:r>
              <w:rPr>
                <w:rFonts w:ascii="Cambria Math" w:hAnsi="Cambria Math" w:cs="Arial"/>
                <w:lang w:val="es-ES"/>
              </w:rPr>
              <m:t>it</m:t>
            </m:r>
          </m:sub>
          <m:sup>
            <m:r>
              <w:rPr>
                <w:rFonts w:ascii="Cambria Math" w:hAnsi="Cambria Math" w:cs="Arial"/>
                <w:lang w:val="es-ES"/>
              </w:rPr>
              <m:t>I</m:t>
            </m:r>
          </m:sup>
        </m:sSubSup>
        <m:r>
          <w:rPr>
            <w:rFonts w:ascii="Cambria Math" w:hAnsi="Cambria Math" w:cs="Arial"/>
            <w:lang w:val="es-ES"/>
          </w:rPr>
          <m:t xml:space="preserve"> </m:t>
        </m:r>
      </m:oMath>
      <w:r w:rsidRPr="004A15DC">
        <w:rPr>
          <w:rFonts w:eastAsia="Times New Roman" w:cs="Arial"/>
          <w:lang w:val="es-ES"/>
        </w:rPr>
        <w:t>es observado. Para estimar</w:t>
      </w:r>
      <w:r w:rsidRPr="004A15DC">
        <w:rPr>
          <w:rFonts w:cs="Arial"/>
          <w:lang w:val="es-ES"/>
        </w:rPr>
        <w:t xml:space="preserve"> </w:t>
      </w:r>
      <m:oMath>
        <m:sSub>
          <m:sSubPr>
            <m:ctrlPr>
              <w:rPr>
                <w:rFonts w:ascii="Cambria Math" w:hAnsi="Cambria Math" w:cs="Arial"/>
                <w:i/>
                <w:lang w:val="es-ES"/>
              </w:rPr>
            </m:ctrlPr>
          </m:sSubPr>
          <m:e>
            <m:r>
              <w:rPr>
                <w:rFonts w:ascii="Cambria Math" w:hAnsi="Cambria Math" w:cs="Arial"/>
                <w:lang w:val="es-ES"/>
              </w:rPr>
              <m:t>α</m:t>
            </m:r>
          </m:e>
          <m:sub>
            <m:r>
              <w:rPr>
                <w:rFonts w:ascii="Cambria Math" w:hAnsi="Cambria Math" w:cs="Arial"/>
                <w:lang w:val="es-ES"/>
              </w:rPr>
              <m:t>1t</m:t>
            </m:r>
          </m:sub>
        </m:sSub>
      </m:oMath>
      <w:r w:rsidRPr="004A15DC">
        <w:rPr>
          <w:rFonts w:cs="Arial"/>
          <w:lang w:val="es-ES"/>
        </w:rPr>
        <w:t xml:space="preserve"> solo es necesario estimar</w:t>
      </w:r>
      <m:oMath>
        <m:r>
          <w:rPr>
            <w:rFonts w:ascii="Cambria Math" w:hAnsi="Cambria Math" w:cs="Arial"/>
            <w:lang w:val="es-ES"/>
          </w:rPr>
          <m:t xml:space="preserve"> </m:t>
        </m:r>
        <m:sSubSup>
          <m:sSubSupPr>
            <m:ctrlPr>
              <w:rPr>
                <w:rFonts w:ascii="Cambria Math" w:hAnsi="Cambria Math" w:cs="Arial"/>
                <w:i/>
                <w:lang w:val="es-ES"/>
              </w:rPr>
            </m:ctrlPr>
          </m:sSubSupPr>
          <m:e>
            <m:r>
              <w:rPr>
                <w:rFonts w:ascii="Cambria Math" w:hAnsi="Cambria Math" w:cs="Arial"/>
                <w:lang w:val="es-ES"/>
              </w:rPr>
              <m:t>Y</m:t>
            </m:r>
          </m:e>
          <m:sub>
            <m:r>
              <w:rPr>
                <w:rFonts w:ascii="Cambria Math" w:hAnsi="Cambria Math" w:cs="Arial"/>
                <w:lang w:val="es-ES"/>
              </w:rPr>
              <m:t>1t</m:t>
            </m:r>
          </m:sub>
          <m:sup>
            <m:r>
              <w:rPr>
                <w:rFonts w:ascii="Cambria Math" w:hAnsi="Cambria Math" w:cs="Arial"/>
                <w:lang w:val="es-ES"/>
              </w:rPr>
              <m:t>N</m:t>
            </m:r>
          </m:sup>
        </m:sSubSup>
      </m:oMath>
      <w:r w:rsidRPr="004A15DC">
        <w:rPr>
          <w:rFonts w:cs="Arial"/>
          <w:lang w:val="es-ES"/>
        </w:rPr>
        <w:t>. Este método prove</w:t>
      </w:r>
      <w:r w:rsidR="0069662C" w:rsidRPr="004A15DC">
        <w:rPr>
          <w:rFonts w:cs="Arial"/>
          <w:lang w:val="es-ES"/>
        </w:rPr>
        <w:t>e</w:t>
      </w:r>
      <w:r w:rsidRPr="004A15DC">
        <w:rPr>
          <w:rFonts w:cs="Arial"/>
          <w:lang w:val="es-ES"/>
        </w:rPr>
        <w:t xml:space="preserve"> una </w:t>
      </w:r>
      <w:r w:rsidR="0069662C" w:rsidRPr="004A15DC">
        <w:rPr>
          <w:rFonts w:cs="Arial"/>
          <w:lang w:val="es-ES"/>
        </w:rPr>
        <w:t>b</w:t>
      </w:r>
      <w:r w:rsidRPr="004A15DC">
        <w:rPr>
          <w:rFonts w:cs="Arial"/>
          <w:lang w:val="es-ES"/>
        </w:rPr>
        <w:t xml:space="preserve">uena aproximación para  </w:t>
      </w:r>
      <m:oMath>
        <m:sSub>
          <m:sSubPr>
            <m:ctrlPr>
              <w:rPr>
                <w:rFonts w:ascii="Cambria Math" w:hAnsi="Cambria Math" w:cs="Arial"/>
                <w:i/>
                <w:lang w:val="es-ES"/>
              </w:rPr>
            </m:ctrlPr>
          </m:sSubPr>
          <m:e>
            <m:r>
              <w:rPr>
                <w:rFonts w:ascii="Cambria Math" w:hAnsi="Cambria Math" w:cs="Arial"/>
                <w:lang w:val="es-ES"/>
              </w:rPr>
              <m:t>α</m:t>
            </m:r>
          </m:e>
          <m:sub>
            <m:r>
              <w:rPr>
                <w:rFonts w:ascii="Cambria Math" w:hAnsi="Cambria Math" w:cs="Arial"/>
                <w:lang w:val="es-ES"/>
              </w:rPr>
              <m:t>1t</m:t>
            </m:r>
          </m:sub>
        </m:sSub>
      </m:oMath>
      <w:r w:rsidRPr="004A15DC">
        <w:rPr>
          <w:rFonts w:cs="Arial"/>
          <w:lang w:val="es-ES"/>
        </w:rPr>
        <w:t xml:space="preserve"> usando:</w:t>
      </w:r>
    </w:p>
    <w:p w:rsidR="00D1036F" w:rsidRPr="00717665" w:rsidRDefault="00E735B2" w:rsidP="004049D1">
      <w:pPr>
        <w:spacing w:line="240" w:lineRule="auto"/>
        <w:ind w:left="990"/>
        <w:jc w:val="center"/>
        <w:rPr>
          <w:rFonts w:cs="Arial"/>
          <w:lang w:val="es-ES_tradnl"/>
        </w:rPr>
      </w:pPr>
      <m:oMath>
        <m:acc>
          <m:accPr>
            <m:ctrlPr>
              <w:rPr>
                <w:rFonts w:ascii="Cambria Math" w:hAnsi="Cambria Math" w:cs="Arial"/>
                <w:lang w:val="es-ES"/>
              </w:rPr>
            </m:ctrlPr>
          </m:accPr>
          <m:e>
            <m:sSub>
              <m:sSubPr>
                <m:ctrlPr>
                  <w:rPr>
                    <w:rFonts w:ascii="Cambria Math" w:hAnsi="Cambria Math" w:cs="Arial"/>
                    <w:lang w:val="es-ES"/>
                  </w:rPr>
                </m:ctrlPr>
              </m:sSubPr>
              <m:e>
                <m:r>
                  <w:rPr>
                    <w:rFonts w:ascii="Cambria Math" w:hAnsi="Cambria Math" w:cs="Arial"/>
                    <w:lang w:val="es-ES"/>
                  </w:rPr>
                  <m:t>α</m:t>
                </m:r>
              </m:e>
              <m:sub>
                <m:r>
                  <m:rPr>
                    <m:sty m:val="p"/>
                  </m:rPr>
                  <w:rPr>
                    <w:rFonts w:ascii="Cambria Math" w:hAnsi="Cambria Math" w:cs="Arial"/>
                  </w:rPr>
                  <m:t>1</m:t>
                </m:r>
                <m:r>
                  <w:rPr>
                    <w:rFonts w:ascii="Cambria Math" w:hAnsi="Cambria Math" w:cs="Arial"/>
                    <w:lang w:val="es-ES"/>
                  </w:rPr>
                  <m:t>t</m:t>
                </m:r>
              </m:sub>
            </m:sSub>
          </m:e>
        </m:acc>
        <m:r>
          <m:rPr>
            <m:sty m:val="p"/>
          </m:rPr>
          <w:rPr>
            <w:rFonts w:ascii="Cambria Math" w:hAnsi="Cambria Math" w:cs="Arial"/>
          </w:rPr>
          <m:t>=</m:t>
        </m:r>
        <m:sSubSup>
          <m:sSubSupPr>
            <m:ctrlPr>
              <w:rPr>
                <w:rFonts w:ascii="Cambria Math" w:hAnsi="Cambria Math" w:cs="Arial"/>
                <w:lang w:val="es-ES"/>
              </w:rPr>
            </m:ctrlPr>
          </m:sSubSupPr>
          <m:e>
            <m:r>
              <w:rPr>
                <w:rFonts w:ascii="Cambria Math" w:hAnsi="Cambria Math" w:cs="Arial"/>
                <w:lang w:val="es-ES"/>
              </w:rPr>
              <m:t>Y</m:t>
            </m:r>
          </m:e>
          <m:sub>
            <m:r>
              <m:rPr>
                <m:sty m:val="p"/>
              </m:rPr>
              <w:rPr>
                <w:rFonts w:ascii="Cambria Math" w:hAnsi="Cambria Math" w:cs="Arial"/>
              </w:rPr>
              <m:t>1</m:t>
            </m:r>
            <m:r>
              <w:rPr>
                <w:rFonts w:ascii="Cambria Math" w:hAnsi="Cambria Math" w:cs="Arial"/>
                <w:lang w:val="es-ES"/>
              </w:rPr>
              <m:t>t</m:t>
            </m:r>
          </m:sub>
          <m:sup>
            <m:r>
              <w:rPr>
                <w:rFonts w:ascii="Cambria Math" w:hAnsi="Cambria Math" w:cs="Arial"/>
                <w:lang w:val="es-ES"/>
              </w:rPr>
              <m:t>I</m:t>
            </m:r>
          </m:sup>
        </m:sSubSup>
        <m:r>
          <m:rPr>
            <m:sty m:val="p"/>
          </m:rPr>
          <w:rPr>
            <w:rFonts w:ascii="Cambria Math" w:hAnsi="Cambria Math" w:cs="Arial"/>
          </w:rPr>
          <m:t>-</m:t>
        </m:r>
        <m:nary>
          <m:naryPr>
            <m:chr m:val="∑"/>
            <m:limLoc m:val="subSup"/>
            <m:ctrlPr>
              <w:rPr>
                <w:rFonts w:ascii="Cambria Math" w:hAnsi="Cambria Math" w:cs="Arial"/>
                <w:lang w:val="es-ES"/>
              </w:rPr>
            </m:ctrlPr>
          </m:naryPr>
          <m:sub>
            <m:r>
              <w:rPr>
                <w:rFonts w:ascii="Cambria Math" w:hAnsi="Cambria Math" w:cs="Arial"/>
                <w:lang w:val="es-ES"/>
              </w:rPr>
              <m:t>j</m:t>
            </m:r>
            <m:r>
              <m:rPr>
                <m:sty m:val="p"/>
              </m:rPr>
              <w:rPr>
                <w:rFonts w:ascii="Cambria Math" w:hAnsi="Cambria Math" w:cs="Arial"/>
              </w:rPr>
              <m:t>=2</m:t>
            </m:r>
          </m:sub>
          <m:sup>
            <m:r>
              <w:rPr>
                <w:rFonts w:ascii="Cambria Math" w:hAnsi="Cambria Math" w:cs="Arial"/>
                <w:lang w:val="es-ES"/>
              </w:rPr>
              <m:t>J</m:t>
            </m:r>
            <m:r>
              <m:rPr>
                <m:sty m:val="p"/>
              </m:rPr>
              <w:rPr>
                <w:rFonts w:ascii="Cambria Math" w:hAnsi="Cambria Math" w:cs="Arial"/>
              </w:rPr>
              <m:t>+1</m:t>
            </m:r>
          </m:sup>
          <m:e>
            <m:sSubSup>
              <m:sSubSupPr>
                <m:ctrlPr>
                  <w:rPr>
                    <w:rFonts w:ascii="Cambria Math" w:hAnsi="Cambria Math" w:cs="Arial"/>
                    <w:lang w:val="es-ES"/>
                  </w:rPr>
                </m:ctrlPr>
              </m:sSubSupPr>
              <m:e>
                <m:r>
                  <w:rPr>
                    <w:rFonts w:ascii="Cambria Math" w:hAnsi="Cambria Math" w:cs="Arial"/>
                    <w:lang w:val="es-ES"/>
                  </w:rPr>
                  <m:t>w</m:t>
                </m:r>
              </m:e>
              <m:sub>
                <m:r>
                  <w:rPr>
                    <w:rFonts w:ascii="Cambria Math" w:hAnsi="Cambria Math" w:cs="Arial"/>
                    <w:lang w:val="es-ES"/>
                  </w:rPr>
                  <m:t>j</m:t>
                </m:r>
              </m:sub>
              <m:sup>
                <m:r>
                  <m:rPr>
                    <m:sty m:val="p"/>
                  </m:rPr>
                  <w:rPr>
                    <w:rFonts w:ascii="Cambria Math" w:hAnsi="Cambria Math" w:cs="Arial"/>
                  </w:rPr>
                  <m:t>*</m:t>
                </m:r>
              </m:sup>
            </m:sSubSup>
            <m:sSub>
              <m:sSubPr>
                <m:ctrlPr>
                  <w:rPr>
                    <w:rFonts w:ascii="Cambria Math" w:hAnsi="Cambria Math" w:cs="Arial"/>
                    <w:lang w:val="es-ES"/>
                  </w:rPr>
                </m:ctrlPr>
              </m:sSubPr>
              <m:e>
                <m:r>
                  <w:rPr>
                    <w:rFonts w:ascii="Cambria Math" w:hAnsi="Cambria Math" w:cs="Arial"/>
                    <w:lang w:val="es-ES"/>
                  </w:rPr>
                  <m:t>Y</m:t>
                </m:r>
              </m:e>
              <m:sub>
                <m:r>
                  <w:rPr>
                    <w:rFonts w:ascii="Cambria Math" w:hAnsi="Cambria Math" w:cs="Arial"/>
                    <w:lang w:val="es-ES"/>
                  </w:rPr>
                  <m:t>jt</m:t>
                </m:r>
              </m:sub>
            </m:sSub>
          </m:e>
        </m:nary>
        <m:r>
          <m:rPr>
            <m:sty m:val="p"/>
          </m:rPr>
          <w:rPr>
            <w:rFonts w:ascii="Cambria Math" w:hAnsi="Cambria Math" w:cs="Arial"/>
          </w:rPr>
          <m:t xml:space="preserve"> </m:t>
        </m:r>
      </m:oMath>
      <w:r w:rsidR="00D1036F" w:rsidRPr="00717665">
        <w:rPr>
          <w:rFonts w:cs="Arial"/>
          <w:lang w:val="es-ES_tradnl"/>
        </w:rPr>
        <w:t xml:space="preserve"> for t </w:t>
      </w:r>
      <w:r w:rsidR="00D1036F" w:rsidRPr="00717665">
        <w:rPr>
          <w:rFonts w:ascii="Cambria Math" w:hAnsi="Cambria Math" w:cs="Cambria Math"/>
          <w:lang w:val="es-ES_tradnl"/>
        </w:rPr>
        <w:t>∈</w:t>
      </w:r>
      <w:r w:rsidR="00D1036F" w:rsidRPr="00717665">
        <w:rPr>
          <w:rFonts w:cs="Arial"/>
          <w:lang w:val="es-ES_tradnl"/>
        </w:rPr>
        <w:t xml:space="preserve"> {T</w:t>
      </w:r>
      <w:r w:rsidR="00D1036F" w:rsidRPr="00717665">
        <w:rPr>
          <w:rFonts w:cs="Arial"/>
          <w:vertAlign w:val="subscript"/>
          <w:lang w:val="es-ES_tradnl"/>
        </w:rPr>
        <w:t>0</w:t>
      </w:r>
      <w:r w:rsidR="00D1036F" w:rsidRPr="00717665">
        <w:rPr>
          <w:rFonts w:cs="Arial"/>
          <w:lang w:val="es-ES_tradnl"/>
        </w:rPr>
        <w:t xml:space="preserve"> + 1, . . . , T}.</w:t>
      </w:r>
    </w:p>
    <w:p w:rsidR="00EC7AC5" w:rsidRPr="004A15DC" w:rsidRDefault="00EC7AC5"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 xml:space="preserve">Es importante que Chile no sea un </w:t>
      </w:r>
      <w:r w:rsidR="0069662C" w:rsidRPr="004A15DC">
        <w:rPr>
          <w:rFonts w:ascii="Arial" w:hAnsi="Arial" w:cs="Arial"/>
          <w:sz w:val="22"/>
          <w:szCs w:val="22"/>
        </w:rPr>
        <w:t>país “</w:t>
      </w:r>
      <w:r w:rsidRPr="004A15DC">
        <w:rPr>
          <w:rFonts w:ascii="Arial" w:hAnsi="Arial" w:cs="Arial"/>
          <w:sz w:val="22"/>
          <w:szCs w:val="22"/>
        </w:rPr>
        <w:t>outlier</w:t>
      </w:r>
      <w:r w:rsidR="0069662C" w:rsidRPr="004A15DC">
        <w:rPr>
          <w:rFonts w:ascii="Arial" w:hAnsi="Arial" w:cs="Arial"/>
          <w:sz w:val="22"/>
          <w:szCs w:val="22"/>
        </w:rPr>
        <w:t>”</w:t>
      </w:r>
      <w:r w:rsidRPr="004A15DC">
        <w:rPr>
          <w:rFonts w:ascii="Arial" w:hAnsi="Arial" w:cs="Arial"/>
          <w:sz w:val="22"/>
          <w:szCs w:val="22"/>
        </w:rPr>
        <w:t xml:space="preserve"> dentro del grupo de países potencialmente de control (“donor pool</w:t>
      </w:r>
      <w:r w:rsidR="00744F81" w:rsidRPr="004A15DC">
        <w:rPr>
          <w:rFonts w:ascii="Arial" w:hAnsi="Arial" w:cs="Arial"/>
          <w:sz w:val="22"/>
          <w:szCs w:val="22"/>
        </w:rPr>
        <w:t>”). En ese caso no se podría obten</w:t>
      </w:r>
      <w:r w:rsidRPr="004A15DC">
        <w:rPr>
          <w:rFonts w:ascii="Arial" w:hAnsi="Arial" w:cs="Arial"/>
          <w:sz w:val="22"/>
          <w:szCs w:val="22"/>
        </w:rPr>
        <w:t>er una combinación de países que reproduzcan la trayectoria de Chile antes de la intervención. Esto sucede cuando uno toma sólo los países de Latinoaméríca y el Caribe como países potencialmente de control. No se puede encontrar un vector de ponderadores adecuados para aproximar a Chile debido a que los indicadores del Banco Mundial respecto a gobernanza y anticorrupción colocan al país</w:t>
      </w:r>
      <w:r w:rsidR="0069662C" w:rsidRPr="004A15DC">
        <w:rPr>
          <w:rFonts w:ascii="Arial" w:hAnsi="Arial" w:cs="Arial"/>
          <w:sz w:val="22"/>
          <w:szCs w:val="22"/>
        </w:rPr>
        <w:t xml:space="preserve"> muy</w:t>
      </w:r>
      <w:r w:rsidRPr="004A15DC">
        <w:rPr>
          <w:rFonts w:ascii="Arial" w:hAnsi="Arial" w:cs="Arial"/>
          <w:sz w:val="22"/>
          <w:szCs w:val="22"/>
        </w:rPr>
        <w:t xml:space="preserve"> por encima del promedio de ALC</w:t>
      </w:r>
      <w:r w:rsidR="0069662C" w:rsidRPr="004A15DC">
        <w:rPr>
          <w:rFonts w:ascii="Arial" w:hAnsi="Arial" w:cs="Arial"/>
          <w:sz w:val="22"/>
          <w:szCs w:val="22"/>
        </w:rPr>
        <w:t>.</w:t>
      </w:r>
      <w:r w:rsidRPr="004A15DC">
        <w:rPr>
          <w:rStyle w:val="FootnoteReference"/>
          <w:rFonts w:ascii="Arial" w:hAnsi="Arial" w:cs="Arial"/>
          <w:sz w:val="22"/>
          <w:szCs w:val="22"/>
        </w:rPr>
        <w:footnoteReference w:id="4"/>
      </w:r>
    </w:p>
    <w:p w:rsidR="00744F81" w:rsidRPr="004A15DC" w:rsidRDefault="00EC7AC5"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 xml:space="preserve">Para que la metodología de control sintético sea una herramienta adecuada para la estimación del impacto de un programa es necesario que el impacto sea suficientemente grande para distinguirlo de shocks aleatorios en los indicadores de interés. </w:t>
      </w:r>
    </w:p>
    <w:p w:rsidR="00EC7AC5" w:rsidRPr="004A15DC" w:rsidRDefault="004C0FAB"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En general, l</w:t>
      </w:r>
      <w:r w:rsidR="00EC7AC5" w:rsidRPr="004A15DC">
        <w:rPr>
          <w:rFonts w:ascii="Arial" w:hAnsi="Arial" w:cs="Arial"/>
          <w:sz w:val="22"/>
          <w:szCs w:val="22"/>
        </w:rPr>
        <w:t xml:space="preserve">as técnicas para hacer inferencia en grandes muestras no </w:t>
      </w:r>
      <w:r w:rsidR="00A24D25" w:rsidRPr="004A15DC">
        <w:rPr>
          <w:rFonts w:ascii="Arial" w:hAnsi="Arial" w:cs="Arial"/>
          <w:sz w:val="22"/>
          <w:szCs w:val="22"/>
        </w:rPr>
        <w:t>son adecuadas cuando se utiliza la metodología de control sintético</w:t>
      </w:r>
      <w:r w:rsidR="00EC7AC5" w:rsidRPr="004A15DC">
        <w:rPr>
          <w:rFonts w:ascii="Arial" w:hAnsi="Arial" w:cs="Arial"/>
          <w:sz w:val="22"/>
          <w:szCs w:val="22"/>
        </w:rPr>
        <w:t xml:space="preserve">. </w:t>
      </w:r>
      <w:r w:rsidR="00A24D25" w:rsidRPr="004A15DC">
        <w:rPr>
          <w:rFonts w:ascii="Arial" w:hAnsi="Arial" w:cs="Arial"/>
          <w:sz w:val="22"/>
          <w:szCs w:val="22"/>
        </w:rPr>
        <w:t xml:space="preserve">En este caso, </w:t>
      </w:r>
      <w:r w:rsidR="00EC7AC5" w:rsidRPr="004A15DC">
        <w:rPr>
          <w:rFonts w:ascii="Arial" w:hAnsi="Arial" w:cs="Arial"/>
          <w:sz w:val="22"/>
          <w:szCs w:val="22"/>
        </w:rPr>
        <w:t>Abadie, Diamond</w:t>
      </w:r>
      <w:r w:rsidR="00A24D25" w:rsidRPr="004A15DC">
        <w:rPr>
          <w:rFonts w:ascii="Arial" w:hAnsi="Arial" w:cs="Arial"/>
          <w:sz w:val="22"/>
          <w:szCs w:val="22"/>
        </w:rPr>
        <w:t xml:space="preserve"> y</w:t>
      </w:r>
      <w:r w:rsidR="00EC7AC5" w:rsidRPr="004A15DC">
        <w:rPr>
          <w:rFonts w:ascii="Arial" w:hAnsi="Arial" w:cs="Arial"/>
          <w:sz w:val="22"/>
          <w:szCs w:val="22"/>
        </w:rPr>
        <w:t xml:space="preserve">  Hainmueller (2010) </w:t>
      </w:r>
      <w:r w:rsidR="00744F81" w:rsidRPr="004A15DC">
        <w:rPr>
          <w:rFonts w:ascii="Arial" w:hAnsi="Arial" w:cs="Arial"/>
          <w:sz w:val="22"/>
          <w:szCs w:val="22"/>
        </w:rPr>
        <w:t>proponen</w:t>
      </w:r>
      <w:r w:rsidR="00EC7AC5" w:rsidRPr="004A15DC">
        <w:rPr>
          <w:rFonts w:ascii="Arial" w:hAnsi="Arial" w:cs="Arial"/>
          <w:sz w:val="22"/>
          <w:szCs w:val="22"/>
        </w:rPr>
        <w:t xml:space="preserve"> </w:t>
      </w:r>
      <w:r w:rsidR="00744F81" w:rsidRPr="004A15DC">
        <w:rPr>
          <w:rFonts w:ascii="Arial" w:hAnsi="Arial" w:cs="Arial"/>
          <w:sz w:val="22"/>
          <w:szCs w:val="22"/>
        </w:rPr>
        <w:t xml:space="preserve">técnicas de inferencia similares a los test de permutación. Los métodos propuestos extienden los estudios de placebo para producir inferencia. La idea de los test de </w:t>
      </w:r>
      <w:r w:rsidR="0065206B" w:rsidRPr="004A15DC">
        <w:rPr>
          <w:rFonts w:ascii="Arial" w:hAnsi="Arial" w:cs="Arial"/>
          <w:sz w:val="22"/>
          <w:szCs w:val="22"/>
        </w:rPr>
        <w:t>placebos</w:t>
      </w:r>
      <w:r w:rsidR="00744F81" w:rsidRPr="004A15DC">
        <w:rPr>
          <w:rFonts w:ascii="Arial" w:hAnsi="Arial" w:cs="Arial"/>
          <w:sz w:val="22"/>
          <w:szCs w:val="22"/>
        </w:rPr>
        <w:t xml:space="preserve"> propuesta es </w:t>
      </w:r>
      <w:r w:rsidR="0065206B" w:rsidRPr="004A15DC">
        <w:rPr>
          <w:rFonts w:ascii="Arial" w:hAnsi="Arial" w:cs="Arial"/>
          <w:sz w:val="22"/>
          <w:szCs w:val="22"/>
        </w:rPr>
        <w:t>análoga</w:t>
      </w:r>
      <w:r w:rsidR="00744F81" w:rsidRPr="004A15DC">
        <w:rPr>
          <w:rFonts w:ascii="Arial" w:hAnsi="Arial" w:cs="Arial"/>
          <w:sz w:val="22"/>
          <w:szCs w:val="22"/>
        </w:rPr>
        <w:t xml:space="preserve"> a un marco de permutaciones, donde la distribución del test </w:t>
      </w:r>
      <w:r w:rsidR="0065206B" w:rsidRPr="004A15DC">
        <w:rPr>
          <w:rFonts w:ascii="Arial" w:hAnsi="Arial" w:cs="Arial"/>
          <w:sz w:val="22"/>
          <w:szCs w:val="22"/>
        </w:rPr>
        <w:t>estadístico</w:t>
      </w:r>
      <w:r w:rsidR="00744F81" w:rsidRPr="004A15DC">
        <w:rPr>
          <w:rFonts w:ascii="Arial" w:hAnsi="Arial" w:cs="Arial"/>
          <w:sz w:val="22"/>
          <w:szCs w:val="22"/>
        </w:rPr>
        <w:t xml:space="preserve"> es computado bajo permutaciones </w:t>
      </w:r>
      <w:r w:rsidR="0065206B" w:rsidRPr="004A15DC">
        <w:rPr>
          <w:rFonts w:ascii="Arial" w:hAnsi="Arial" w:cs="Arial"/>
          <w:sz w:val="22"/>
          <w:szCs w:val="22"/>
        </w:rPr>
        <w:t>aleatorias</w:t>
      </w:r>
      <w:r w:rsidR="00744F81" w:rsidRPr="004A15DC">
        <w:rPr>
          <w:rFonts w:ascii="Arial" w:hAnsi="Arial" w:cs="Arial"/>
          <w:sz w:val="22"/>
          <w:szCs w:val="22"/>
        </w:rPr>
        <w:t xml:space="preserve"> de las unidades </w:t>
      </w:r>
      <w:r w:rsidR="0065206B" w:rsidRPr="004A15DC">
        <w:rPr>
          <w:rFonts w:ascii="Arial" w:hAnsi="Arial" w:cs="Arial"/>
          <w:sz w:val="22"/>
          <w:szCs w:val="22"/>
        </w:rPr>
        <w:t>asignadas</w:t>
      </w:r>
      <w:r w:rsidR="00744F81" w:rsidRPr="004A15DC">
        <w:rPr>
          <w:rFonts w:ascii="Arial" w:hAnsi="Arial" w:cs="Arial"/>
          <w:sz w:val="22"/>
          <w:szCs w:val="22"/>
        </w:rPr>
        <w:t xml:space="preserve"> y no asignadas con un ponderador positivo. Esto permite </w:t>
      </w:r>
      <w:r w:rsidR="0065206B" w:rsidRPr="004A15DC">
        <w:rPr>
          <w:rFonts w:ascii="Arial" w:hAnsi="Arial" w:cs="Arial"/>
          <w:sz w:val="22"/>
          <w:szCs w:val="22"/>
        </w:rPr>
        <w:t>estimar</w:t>
      </w:r>
      <w:r w:rsidR="00744F81" w:rsidRPr="004A15DC">
        <w:rPr>
          <w:rFonts w:ascii="Arial" w:hAnsi="Arial" w:cs="Arial"/>
          <w:sz w:val="22"/>
          <w:szCs w:val="22"/>
        </w:rPr>
        <w:t xml:space="preserve"> si el efecto encontrado con el </w:t>
      </w:r>
      <w:r w:rsidR="0065206B" w:rsidRPr="004A15DC">
        <w:rPr>
          <w:rFonts w:ascii="Arial" w:hAnsi="Arial" w:cs="Arial"/>
          <w:sz w:val="22"/>
          <w:szCs w:val="22"/>
        </w:rPr>
        <w:t>control</w:t>
      </w:r>
      <w:r w:rsidR="00744F81" w:rsidRPr="004A15DC">
        <w:rPr>
          <w:rFonts w:ascii="Arial" w:hAnsi="Arial" w:cs="Arial"/>
          <w:sz w:val="22"/>
          <w:szCs w:val="22"/>
        </w:rPr>
        <w:t xml:space="preserve"> </w:t>
      </w:r>
      <w:r w:rsidR="0065206B" w:rsidRPr="004A15DC">
        <w:rPr>
          <w:rFonts w:ascii="Arial" w:hAnsi="Arial" w:cs="Arial"/>
          <w:sz w:val="22"/>
          <w:szCs w:val="22"/>
        </w:rPr>
        <w:t>sintético</w:t>
      </w:r>
      <w:r w:rsidR="00744F81" w:rsidRPr="004A15DC">
        <w:rPr>
          <w:rFonts w:ascii="Arial" w:hAnsi="Arial" w:cs="Arial"/>
          <w:sz w:val="22"/>
          <w:szCs w:val="22"/>
        </w:rPr>
        <w:t xml:space="preserve"> es relativamente grande al efecto que podría encontrarse utilizando otro control sintético aleatorio. Esto es informativo si en ausencia de la intervención no se espera encontrar movimientos anormales con respecto a la distribución de los efectos del placebo.</w:t>
      </w:r>
    </w:p>
    <w:p w:rsidR="0065206B" w:rsidRPr="0091002C" w:rsidRDefault="0065206B" w:rsidP="004049D1">
      <w:pPr>
        <w:pStyle w:val="Heading2"/>
        <w:spacing w:line="276" w:lineRule="auto"/>
        <w:ind w:hanging="720"/>
        <w:rPr>
          <w:rFonts w:cs="Arial"/>
          <w:noProof/>
          <w:sz w:val="22"/>
          <w:szCs w:val="22"/>
        </w:rPr>
      </w:pPr>
      <w:r w:rsidRPr="0091002C">
        <w:rPr>
          <w:rFonts w:cs="Arial"/>
          <w:noProof/>
          <w:sz w:val="22"/>
          <w:szCs w:val="22"/>
        </w:rPr>
        <w:t>Controles potenciales</w:t>
      </w:r>
    </w:p>
    <w:p w:rsidR="00C83C65" w:rsidRPr="004A15DC" w:rsidRDefault="00C83C65"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Se estimará el control sintético para cada uno de los indicadores utilizando todos los países que tengan todos los valores disponibles de 2002 a 2014 para cada uno de los indicadores del Banco Mundial y de 2006 a 2015 para los indicadores del Índice de Competitividad Global. De los 229 países de los que tenemos datos de los indicadores del Banco Mundial, 183 países tienen datos para todos los años mencionados. De los 151 países de los que tenemos datos de los indicadores del Índice de Competitividad Global, 113 países tienen datos para todos los años mencionados.</w:t>
      </w:r>
    </w:p>
    <w:p w:rsidR="0065206B" w:rsidRPr="004A15DC" w:rsidRDefault="00C83C65"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Asimismo, también se estimará el control sintético para cada uno de los indicadores utilizando como grupo de control a los países de la OCDE, condicional en que tengan los datos para todos los años de 2002 a 2014 para los indicadores del Banco Mundial y de 2006 a 2015 para los indicadores del Índice de Competitividad Global. Todos los países tienen datos para todos los años para todos los indicadores.</w:t>
      </w:r>
    </w:p>
    <w:p w:rsidR="0065206B" w:rsidRPr="0091002C" w:rsidRDefault="0065206B" w:rsidP="004049D1">
      <w:pPr>
        <w:pStyle w:val="Heading2"/>
        <w:spacing w:line="276" w:lineRule="auto"/>
        <w:ind w:hanging="720"/>
        <w:rPr>
          <w:rFonts w:cs="Arial"/>
          <w:noProof/>
          <w:sz w:val="22"/>
          <w:szCs w:val="22"/>
        </w:rPr>
      </w:pPr>
      <w:r w:rsidRPr="0091002C">
        <w:rPr>
          <w:rFonts w:cs="Arial"/>
          <w:noProof/>
          <w:sz w:val="22"/>
          <w:szCs w:val="22"/>
        </w:rPr>
        <w:t>Aproximaciones</w:t>
      </w:r>
    </w:p>
    <w:p w:rsidR="0065206B" w:rsidRPr="004A15DC" w:rsidRDefault="00C83C65" w:rsidP="0047047E">
      <w:pPr>
        <w:pStyle w:val="Paragraph"/>
        <w:numPr>
          <w:ilvl w:val="1"/>
          <w:numId w:val="7"/>
        </w:numPr>
        <w:ind w:left="720" w:hanging="720"/>
        <w:rPr>
          <w:rFonts w:ascii="Arial" w:hAnsi="Arial" w:cs="Arial"/>
          <w:sz w:val="22"/>
          <w:szCs w:val="22"/>
        </w:rPr>
      </w:pPr>
      <w:r w:rsidRPr="004A15DC">
        <w:rPr>
          <w:rFonts w:ascii="Arial" w:hAnsi="Arial" w:cs="Arial"/>
          <w:sz w:val="22"/>
          <w:szCs w:val="22"/>
        </w:rPr>
        <w:t xml:space="preserve">En esta subsección se mostraran los resultados de calcular el control sintético para Chile con los índices de (i) Control de la Corrupción, (ii) Efectividad del gobierno, (iii) Nivel de libertad y compromiso de sus ciudadanos del Banco Mundial; y (iv) Comportamiento ético de las empresas, (v) Transparencia de las políticas del gobierno y </w:t>
      </w:r>
      <w:r w:rsidRPr="004A15DC">
        <w:rPr>
          <w:rFonts w:ascii="Arial" w:hAnsi="Arial" w:cs="Arial"/>
          <w:sz w:val="22"/>
          <w:szCs w:val="22"/>
        </w:rPr>
        <w:lastRenderedPageBreak/>
        <w:t>(vi) Eficiencia del gobierno, del Índice de Competitividad Global del Foro Económico Mundial. El análisis se hará primero con los países de la OCDE como potenciales controles y luego con todos los países del mundo.</w:t>
      </w:r>
    </w:p>
    <w:p w:rsidR="00C83C65" w:rsidRPr="004A15DC" w:rsidRDefault="00C83C65" w:rsidP="004049D1">
      <w:pPr>
        <w:pStyle w:val="Heading2"/>
        <w:spacing w:line="276" w:lineRule="auto"/>
        <w:ind w:hanging="720"/>
        <w:rPr>
          <w:rFonts w:cs="Arial"/>
          <w:b w:val="0"/>
          <w:lang w:val="es-ES"/>
        </w:rPr>
      </w:pPr>
      <w:r w:rsidRPr="004A15DC">
        <w:rPr>
          <w:rFonts w:cs="Arial"/>
          <w:lang w:val="es-ES"/>
        </w:rPr>
        <w:t>Tendencia 2014-2015</w:t>
      </w:r>
    </w:p>
    <w:p w:rsidR="00C83C65" w:rsidRPr="004A15DC" w:rsidRDefault="00C83C65" w:rsidP="0047047E">
      <w:pPr>
        <w:numPr>
          <w:ilvl w:val="1"/>
          <w:numId w:val="7"/>
        </w:numPr>
        <w:spacing w:before="120" w:after="120" w:line="240" w:lineRule="auto"/>
        <w:ind w:left="720" w:hanging="720"/>
        <w:jc w:val="both"/>
        <w:outlineLvl w:val="1"/>
        <w:rPr>
          <w:rFonts w:eastAsia="Times New Roman" w:cs="Arial"/>
          <w:lang w:val="es-ES"/>
        </w:rPr>
      </w:pPr>
      <w:r w:rsidRPr="004A15DC">
        <w:rPr>
          <w:rFonts w:eastAsia="Times New Roman" w:cs="Arial"/>
          <w:lang w:val="es-ES"/>
        </w:rPr>
        <w:t xml:space="preserve">Esta versión del Plan de Monitoreo y Evaluación contiene un año más de observaciones que el correspondiente a la operación CH-L1110. En las gráficas se aprecian algunos cambios con respecto a la tendencia anterior. En particular, se observa que la tendencia de Chile en algunos indicadores con respecto al control sintético se empeoró en 2014/2015. Esto quiere decir que los indicadores siguen reflejando los factores causales que dieron lugar a la APT, y no los avances de la APT, lo cual se debe en parte a que  mucho de la información de base que alimenta los diferentes indicadores es de percepción, y suele haber un rezago entre acciones del gobierno y percepciones de la ciudadanía. Este cambio no se debe interpretar como una evaluación de la APT hasta la fecha. Como se indica arriba, se recomienda volver a correr el modelo del control sintético en 2019, cuando las distintas medidas de la APT hayan podido tomar efecto y los ciudadanos hayan podido observar los cambios producidos. </w:t>
      </w:r>
    </w:p>
    <w:p w:rsidR="00C83C65" w:rsidRPr="0091002C" w:rsidRDefault="00C83C65" w:rsidP="00C83C65">
      <w:pPr>
        <w:keepNext/>
        <w:keepLines/>
        <w:numPr>
          <w:ilvl w:val="1"/>
          <w:numId w:val="5"/>
        </w:numPr>
        <w:tabs>
          <w:tab w:val="left" w:pos="0"/>
          <w:tab w:val="left" w:pos="90"/>
        </w:tabs>
        <w:spacing w:before="120" w:after="120"/>
        <w:rPr>
          <w:rFonts w:eastAsia="Times New Roman" w:cs="Arial"/>
          <w:b/>
          <w:noProof/>
          <w:lang w:val="es-ES"/>
        </w:rPr>
      </w:pPr>
      <w:r w:rsidRPr="0091002C">
        <w:rPr>
          <w:rFonts w:eastAsia="Times New Roman" w:cs="Arial"/>
          <w:b/>
          <w:noProof/>
          <w:lang w:val="es-ES"/>
        </w:rPr>
        <w:t>Países de la OCDE</w:t>
      </w:r>
    </w:p>
    <w:p w:rsidR="00C83C65" w:rsidRPr="004A15DC" w:rsidRDefault="00C83C65" w:rsidP="0047047E">
      <w:pPr>
        <w:numPr>
          <w:ilvl w:val="1"/>
          <w:numId w:val="7"/>
        </w:numPr>
        <w:spacing w:before="120" w:after="120" w:line="240" w:lineRule="auto"/>
        <w:ind w:left="720" w:hanging="720"/>
        <w:jc w:val="both"/>
        <w:outlineLvl w:val="1"/>
        <w:rPr>
          <w:rFonts w:eastAsia="Times New Roman" w:cs="Arial"/>
          <w:lang w:val="es-ES"/>
        </w:rPr>
      </w:pPr>
      <w:r w:rsidRPr="004A15DC">
        <w:rPr>
          <w:rFonts w:eastAsia="Times New Roman" w:cs="Arial"/>
          <w:lang w:val="es-ES"/>
        </w:rPr>
        <w:t>El Cuadro III muestra los países dentro de los pertenecientes a la OCDE seleccionados con esta metodología para construir el control sintético y el ponderador correspondiente.</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228"/>
        <w:gridCol w:w="1228"/>
        <w:gridCol w:w="1339"/>
        <w:gridCol w:w="1712"/>
        <w:gridCol w:w="1495"/>
        <w:gridCol w:w="1089"/>
      </w:tblGrid>
      <w:tr w:rsidR="00FA46CD" w:rsidRPr="004A15DC" w:rsidTr="004A15DC">
        <w:trPr>
          <w:trHeight w:val="315"/>
          <w:tblHeader/>
        </w:trPr>
        <w:tc>
          <w:tcPr>
            <w:tcW w:w="1392"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País</w:t>
            </w:r>
          </w:p>
        </w:tc>
        <w:tc>
          <w:tcPr>
            <w:tcW w:w="1228"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bCs/>
                <w:color w:val="000000"/>
                <w:sz w:val="18"/>
                <w:szCs w:val="18"/>
                <w:lang w:val="es-ES"/>
              </w:rPr>
              <w:t>Control de la corrupción</w:t>
            </w:r>
          </w:p>
        </w:tc>
        <w:tc>
          <w:tcPr>
            <w:tcW w:w="1228" w:type="dxa"/>
            <w:shd w:val="clear" w:color="auto" w:fill="DBE5F1"/>
            <w:noWrap/>
            <w:vAlign w:val="center"/>
            <w:hideMark/>
          </w:tcPr>
          <w:p w:rsidR="00C83C65" w:rsidRPr="004A15DC" w:rsidRDefault="00C83C65" w:rsidP="00C83C65">
            <w:pPr>
              <w:spacing w:after="0" w:line="240" w:lineRule="auto"/>
              <w:jc w:val="center"/>
              <w:rPr>
                <w:rFonts w:eastAsia="Times New Roman" w:cs="Arial"/>
                <w:b/>
                <w:bCs/>
                <w:color w:val="000000"/>
                <w:sz w:val="18"/>
                <w:szCs w:val="18"/>
                <w:lang w:val="es-ES"/>
              </w:rPr>
            </w:pPr>
            <w:r w:rsidRPr="004A15DC">
              <w:rPr>
                <w:rFonts w:eastAsia="Times New Roman" w:cs="Arial"/>
                <w:b/>
                <w:bCs/>
                <w:color w:val="000000"/>
                <w:sz w:val="18"/>
                <w:szCs w:val="18"/>
                <w:lang w:val="es-ES"/>
              </w:rPr>
              <w:t>Efectividad del gobierno</w:t>
            </w:r>
          </w:p>
        </w:tc>
        <w:tc>
          <w:tcPr>
            <w:tcW w:w="1339" w:type="dxa"/>
            <w:shd w:val="clear" w:color="auto" w:fill="DBE5F1"/>
            <w:noWrap/>
            <w:vAlign w:val="center"/>
            <w:hideMark/>
          </w:tcPr>
          <w:p w:rsidR="00C83C65" w:rsidRPr="004A15DC" w:rsidRDefault="00C83C65" w:rsidP="00C83C65">
            <w:pPr>
              <w:spacing w:after="0" w:line="240" w:lineRule="auto"/>
              <w:jc w:val="center"/>
              <w:rPr>
                <w:rFonts w:eastAsia="Times New Roman" w:cs="Arial"/>
                <w:b/>
                <w:bCs/>
                <w:color w:val="000000"/>
                <w:sz w:val="18"/>
                <w:szCs w:val="18"/>
                <w:lang w:val="es-ES"/>
              </w:rPr>
            </w:pPr>
            <w:r w:rsidRPr="004A15DC">
              <w:rPr>
                <w:rFonts w:eastAsia="Times New Roman" w:cs="Arial"/>
                <w:b/>
                <w:bCs/>
                <w:color w:val="000000"/>
                <w:sz w:val="18"/>
                <w:szCs w:val="18"/>
                <w:lang w:val="es-ES"/>
              </w:rPr>
              <w:t>Nivel de libertad y compromiso de sus ciudadanos</w:t>
            </w:r>
          </w:p>
        </w:tc>
        <w:tc>
          <w:tcPr>
            <w:tcW w:w="1712" w:type="dxa"/>
            <w:shd w:val="clear" w:color="auto" w:fill="DBE5F1"/>
            <w:noWrap/>
            <w:vAlign w:val="center"/>
            <w:hideMark/>
          </w:tcPr>
          <w:p w:rsidR="00C83C65" w:rsidRPr="004A15DC" w:rsidRDefault="00C83C65" w:rsidP="00C83C65">
            <w:pPr>
              <w:spacing w:after="0" w:line="240" w:lineRule="auto"/>
              <w:jc w:val="center"/>
              <w:rPr>
                <w:rFonts w:eastAsia="Times New Roman" w:cs="Arial"/>
                <w:b/>
                <w:bCs/>
                <w:color w:val="000000"/>
                <w:sz w:val="18"/>
                <w:szCs w:val="18"/>
                <w:lang w:val="es-ES"/>
              </w:rPr>
            </w:pPr>
            <w:r w:rsidRPr="004A15DC">
              <w:rPr>
                <w:rFonts w:eastAsia="Times New Roman" w:cs="Arial"/>
                <w:b/>
                <w:bCs/>
                <w:color w:val="000000"/>
                <w:sz w:val="18"/>
                <w:szCs w:val="18"/>
                <w:lang w:val="es-ES"/>
              </w:rPr>
              <w:t>Comportamiento ético de las empresas</w:t>
            </w:r>
          </w:p>
        </w:tc>
        <w:tc>
          <w:tcPr>
            <w:tcW w:w="1495" w:type="dxa"/>
            <w:shd w:val="clear" w:color="auto" w:fill="DBE5F1"/>
            <w:noWrap/>
            <w:vAlign w:val="center"/>
            <w:hideMark/>
          </w:tcPr>
          <w:p w:rsidR="00C83C65" w:rsidRPr="004A15DC" w:rsidRDefault="00C83C65" w:rsidP="00C83C65">
            <w:pPr>
              <w:spacing w:after="0" w:line="240" w:lineRule="auto"/>
              <w:jc w:val="center"/>
              <w:rPr>
                <w:rFonts w:eastAsia="Times New Roman" w:cs="Arial"/>
                <w:b/>
                <w:bCs/>
                <w:color w:val="000000"/>
                <w:sz w:val="18"/>
                <w:szCs w:val="18"/>
                <w:lang w:val="es-ES"/>
              </w:rPr>
            </w:pPr>
            <w:r w:rsidRPr="004A15DC">
              <w:rPr>
                <w:rFonts w:eastAsia="Times New Roman" w:cs="Arial"/>
                <w:b/>
                <w:bCs/>
                <w:color w:val="000000"/>
                <w:sz w:val="18"/>
                <w:szCs w:val="18"/>
                <w:lang w:val="es-ES"/>
              </w:rPr>
              <w:t>Transparencia de las políticas de gobierno</w:t>
            </w:r>
          </w:p>
        </w:tc>
        <w:tc>
          <w:tcPr>
            <w:tcW w:w="1089" w:type="dxa"/>
            <w:shd w:val="clear" w:color="auto" w:fill="DBE5F1"/>
            <w:noWrap/>
            <w:vAlign w:val="center"/>
            <w:hideMark/>
          </w:tcPr>
          <w:p w:rsidR="00C83C65" w:rsidRPr="004A15DC" w:rsidRDefault="00C83C65" w:rsidP="00C83C65">
            <w:pPr>
              <w:spacing w:after="0" w:line="240" w:lineRule="auto"/>
              <w:jc w:val="center"/>
              <w:rPr>
                <w:rFonts w:eastAsia="Times New Roman" w:cs="Arial"/>
                <w:b/>
                <w:bCs/>
                <w:color w:val="000000"/>
                <w:sz w:val="18"/>
                <w:szCs w:val="18"/>
                <w:lang w:val="es-ES"/>
              </w:rPr>
            </w:pPr>
            <w:r w:rsidRPr="004A15DC">
              <w:rPr>
                <w:rFonts w:eastAsia="Times New Roman" w:cs="Arial"/>
                <w:b/>
                <w:bCs/>
                <w:color w:val="000000"/>
                <w:sz w:val="18"/>
                <w:szCs w:val="18"/>
                <w:lang w:val="es-ES"/>
              </w:rPr>
              <w:t>Eficiencia del gobierno</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Australia</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Austria</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0.113</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Belgium</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0.083</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Canada</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0.154</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0.245</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Czech Republic</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Denmark</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0.082</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0.057</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Estonia</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Finland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0.344</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0.535</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France</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0.403</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Germany</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0.223</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Greece</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Hungary</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0.026</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Iceland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0.216</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0.124</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Ireland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0.032</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0.206</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Israel</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0.182</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Italy</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Japan</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0.037</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Korea, Rep.</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0.145</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Luxembourg</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0.182</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lastRenderedPageBreak/>
              <w:t>Mexico</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0.012</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Netherlands</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0.511</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New Zealand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0.107</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0.165</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0.165</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Norway</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Poland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0.166</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Portugal</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0.036</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0.065</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Slovak Republic</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Slovenia</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0.069</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Spain</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0.114</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0.193</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Sweden</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0.169</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0.047</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Switzerland</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0.485</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Turkey</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0.09</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0.183</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United Kingdom</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0.031</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trPr>
        <w:tc>
          <w:tcPr>
            <w:tcW w:w="1392"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United States</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2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33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71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495"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89"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bl>
    <w:p w:rsidR="00C83C65" w:rsidRPr="004A15DC" w:rsidRDefault="00C83C65" w:rsidP="00C83C65">
      <w:pPr>
        <w:spacing w:after="0" w:line="240" w:lineRule="auto"/>
        <w:ind w:left="720"/>
        <w:jc w:val="both"/>
        <w:outlineLvl w:val="1"/>
        <w:rPr>
          <w:rFonts w:eastAsia="Times New Roman" w:cs="Arial"/>
          <w:lang w:val="es-ES"/>
        </w:rPr>
      </w:pPr>
    </w:p>
    <w:p w:rsidR="00C83C65" w:rsidRPr="004A15DC" w:rsidRDefault="00C83C65" w:rsidP="00C83C65">
      <w:pPr>
        <w:spacing w:after="0" w:line="240" w:lineRule="auto"/>
        <w:ind w:left="720"/>
        <w:jc w:val="both"/>
        <w:outlineLvl w:val="1"/>
        <w:rPr>
          <w:rFonts w:eastAsia="Times New Roman" w:cs="Arial"/>
          <w:lang w:val="es-ES"/>
        </w:rPr>
      </w:pPr>
    </w:p>
    <w:p w:rsidR="00C83C65" w:rsidRPr="004A15DC" w:rsidRDefault="00C83C65" w:rsidP="00C83C65">
      <w:pPr>
        <w:spacing w:after="0" w:line="240" w:lineRule="auto"/>
        <w:ind w:left="720"/>
        <w:jc w:val="both"/>
        <w:outlineLvl w:val="1"/>
        <w:rPr>
          <w:rFonts w:eastAsia="Times New Roman" w:cs="Arial"/>
          <w:lang w:val="es-ES"/>
        </w:rPr>
      </w:pPr>
      <w:r w:rsidRPr="004A15DC">
        <w:rPr>
          <w:rFonts w:eastAsia="Times New Roman" w:cs="Arial"/>
          <w:lang w:val="es-ES"/>
        </w:rPr>
        <w:t>Notas: Se muestran todos los países de la OCDE.</w:t>
      </w:r>
    </w:p>
    <w:p w:rsidR="00C83C65" w:rsidRPr="004A15DC" w:rsidRDefault="00C83C65" w:rsidP="0047047E">
      <w:pPr>
        <w:numPr>
          <w:ilvl w:val="1"/>
          <w:numId w:val="7"/>
        </w:numPr>
        <w:spacing w:before="120" w:after="120"/>
        <w:ind w:left="720" w:hanging="720"/>
        <w:jc w:val="both"/>
        <w:outlineLvl w:val="1"/>
        <w:rPr>
          <w:rFonts w:eastAsia="Times New Roman" w:cs="Arial"/>
          <w:lang w:val="es-ES"/>
        </w:rPr>
        <w:sectPr w:rsidR="00C83C65" w:rsidRPr="004A15DC" w:rsidSect="006B03C8">
          <w:pgSz w:w="12240" w:h="15840"/>
          <w:pgMar w:top="1440" w:right="1440" w:bottom="1440" w:left="1440" w:header="720" w:footer="720" w:gutter="0"/>
          <w:cols w:space="720"/>
          <w:docGrid w:linePitch="360"/>
        </w:sectPr>
      </w:pPr>
    </w:p>
    <w:p w:rsidR="00C83C65" w:rsidRPr="004A15DC" w:rsidRDefault="00C83C65" w:rsidP="00C83C65">
      <w:pPr>
        <w:spacing w:after="120" w:line="240" w:lineRule="auto"/>
        <w:jc w:val="both"/>
        <w:outlineLvl w:val="1"/>
        <w:rPr>
          <w:rFonts w:eastAsia="Times New Roman" w:cs="Arial"/>
          <w:lang w:val="es-ES"/>
        </w:rPr>
      </w:pPr>
      <w:r w:rsidRPr="004A15DC">
        <w:rPr>
          <w:rFonts w:eastAsia="Times New Roman" w:cs="Arial"/>
          <w:lang w:val="es-ES"/>
        </w:rPr>
        <w:lastRenderedPageBreak/>
        <w:t>En las figuras 1 a la 6 se muestran las trayectorias de los indicadores para Chile y Chile sintético de 2002 a 2014.</w:t>
      </w:r>
    </w:p>
    <w:p w:rsidR="00C83C65" w:rsidRPr="004A15DC" w:rsidRDefault="00C83C65" w:rsidP="00C83C65">
      <w:pPr>
        <w:spacing w:after="0"/>
        <w:jc w:val="center"/>
        <w:outlineLvl w:val="1"/>
        <w:rPr>
          <w:rFonts w:eastAsia="Times New Roman" w:cs="Arial"/>
          <w:b/>
          <w:lang w:val="es-ES"/>
        </w:rPr>
      </w:pPr>
    </w:p>
    <w:p w:rsidR="00C83C65" w:rsidRPr="0091002C" w:rsidRDefault="00C83C65" w:rsidP="00C83C65">
      <w:pPr>
        <w:spacing w:after="0"/>
        <w:jc w:val="center"/>
        <w:outlineLvl w:val="1"/>
        <w:rPr>
          <w:rFonts w:ascii="Times New Roman" w:eastAsia="Times New Roman" w:hAnsi="Times New Roman"/>
          <w:noProof/>
          <w:sz w:val="24"/>
          <w:szCs w:val="20"/>
          <w:lang w:val="es-ES"/>
        </w:rPr>
      </w:pPr>
      <w:r w:rsidRPr="004A15DC">
        <w:rPr>
          <w:rFonts w:eastAsia="Times New Roman" w:cs="Arial"/>
          <w:b/>
          <w:lang w:val="es-ES"/>
        </w:rPr>
        <w:t>Figura 1. Series de tiempo del Índice de Control de la Corrupción para Chile y el control sintético de 2002 a 2014 con los países de la OCDE</w:t>
      </w:r>
    </w:p>
    <w:p w:rsidR="00C83C65" w:rsidRPr="004A15DC" w:rsidRDefault="00E735B2" w:rsidP="00C83C65">
      <w:pPr>
        <w:spacing w:after="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45A24360" wp14:editId="7CFFA086">
            <wp:extent cx="3880485" cy="2814955"/>
            <wp:effectExtent l="0" t="0" r="5715" b="444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0485" cy="2814955"/>
                    </a:xfrm>
                    <a:prstGeom prst="rect">
                      <a:avLst/>
                    </a:prstGeom>
                    <a:noFill/>
                    <a:ln>
                      <a:noFill/>
                    </a:ln>
                  </pic:spPr>
                </pic:pic>
              </a:graphicData>
            </a:graphic>
          </wp:inline>
        </w:drawing>
      </w:r>
    </w:p>
    <w:p w:rsidR="00C83C65" w:rsidRPr="004A15DC" w:rsidRDefault="00C83C65" w:rsidP="00C83C65">
      <w:pPr>
        <w:spacing w:after="0"/>
        <w:jc w:val="center"/>
        <w:outlineLvl w:val="1"/>
        <w:rPr>
          <w:rFonts w:eastAsia="Times New Roman" w:cs="Arial"/>
          <w:b/>
          <w:noProof/>
          <w:lang w:val="es-ES"/>
        </w:rPr>
      </w:pPr>
      <w:r w:rsidRPr="004A15DC">
        <w:rPr>
          <w:rFonts w:eastAsia="Times New Roman" w:cs="Arial"/>
          <w:b/>
          <w:lang w:val="es-ES"/>
        </w:rPr>
        <w:t>Figura 2. Series de tiempo del Índice de Efectividad del Gobierno para Chile y el control sintético de 2002 a 2014 con los países de la OCDE</w:t>
      </w:r>
    </w:p>
    <w:p w:rsidR="00C83C65" w:rsidRPr="004A15DC" w:rsidRDefault="00E735B2" w:rsidP="00C83C65">
      <w:pPr>
        <w:spacing w:after="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75BE2F09" wp14:editId="1C1F5DF0">
            <wp:extent cx="4325620" cy="3093085"/>
            <wp:effectExtent l="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5620" cy="3093085"/>
                    </a:xfrm>
                    <a:prstGeom prst="rect">
                      <a:avLst/>
                    </a:prstGeom>
                    <a:noFill/>
                    <a:ln>
                      <a:noFill/>
                    </a:ln>
                  </pic:spPr>
                </pic:pic>
              </a:graphicData>
            </a:graphic>
          </wp:inline>
        </w:drawing>
      </w:r>
    </w:p>
    <w:p w:rsidR="00C83C65" w:rsidRPr="004A15DC" w:rsidRDefault="00C83C65" w:rsidP="00C83C65">
      <w:pPr>
        <w:spacing w:before="120" w:after="120"/>
        <w:ind w:left="900" w:hanging="720"/>
        <w:jc w:val="center"/>
        <w:outlineLvl w:val="1"/>
        <w:rPr>
          <w:rFonts w:eastAsia="Times New Roman" w:cs="Arial"/>
          <w:b/>
          <w:lang w:val="es-ES"/>
        </w:rPr>
      </w:pPr>
    </w:p>
    <w:p w:rsidR="00C83C65" w:rsidRPr="004A15DC" w:rsidRDefault="00C83C65" w:rsidP="00C83C65">
      <w:pPr>
        <w:spacing w:before="120" w:after="120"/>
        <w:ind w:left="900" w:hanging="720"/>
        <w:jc w:val="center"/>
        <w:outlineLvl w:val="1"/>
        <w:rPr>
          <w:rFonts w:eastAsia="Times New Roman" w:cs="Arial"/>
          <w:b/>
          <w:lang w:val="es-ES"/>
        </w:rPr>
      </w:pPr>
    </w:p>
    <w:p w:rsidR="00C83C65" w:rsidRPr="004A15DC" w:rsidRDefault="00C83C65" w:rsidP="00C83C65">
      <w:pPr>
        <w:spacing w:before="120" w:after="120"/>
        <w:ind w:left="900" w:hanging="720"/>
        <w:jc w:val="center"/>
        <w:outlineLvl w:val="1"/>
        <w:rPr>
          <w:rFonts w:eastAsia="Times New Roman" w:cs="Arial"/>
          <w:b/>
          <w:lang w:val="es-ES"/>
        </w:rPr>
      </w:pPr>
    </w:p>
    <w:p w:rsidR="00C83C65" w:rsidRPr="0091002C" w:rsidRDefault="00C83C65" w:rsidP="00C83C65">
      <w:pPr>
        <w:spacing w:before="120" w:after="120"/>
        <w:ind w:left="900" w:hanging="720"/>
        <w:jc w:val="center"/>
        <w:outlineLvl w:val="1"/>
        <w:rPr>
          <w:rFonts w:ascii="Times New Roman" w:eastAsia="Times New Roman" w:hAnsi="Times New Roman"/>
          <w:noProof/>
          <w:sz w:val="24"/>
          <w:szCs w:val="20"/>
          <w:lang w:val="es-ES"/>
        </w:rPr>
      </w:pPr>
      <w:r w:rsidRPr="004A15DC">
        <w:rPr>
          <w:rFonts w:eastAsia="Times New Roman" w:cs="Arial"/>
          <w:b/>
          <w:lang w:val="es-ES"/>
        </w:rPr>
        <w:lastRenderedPageBreak/>
        <w:t xml:space="preserve"> Figura 3. Series de tiempo del Índice de Libertad y compromiso de sus ciudadanos para Chile y el control sintético de 2002 a 2014 con los países de la OCDE</w:t>
      </w:r>
    </w:p>
    <w:p w:rsidR="00C83C65" w:rsidRPr="004A15DC" w:rsidRDefault="00E735B2" w:rsidP="00C83C65">
      <w:pPr>
        <w:spacing w:before="120" w:after="120"/>
        <w:ind w:left="900"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7A6388CA" wp14:editId="5783ADF5">
            <wp:extent cx="4102735" cy="2950210"/>
            <wp:effectExtent l="0" t="0" r="0" b="254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2735" cy="2950210"/>
                    </a:xfrm>
                    <a:prstGeom prst="rect">
                      <a:avLst/>
                    </a:prstGeom>
                    <a:noFill/>
                    <a:ln>
                      <a:noFill/>
                    </a:ln>
                  </pic:spPr>
                </pic:pic>
              </a:graphicData>
            </a:graphic>
          </wp:inline>
        </w:drawing>
      </w:r>
    </w:p>
    <w:p w:rsidR="00C83C65" w:rsidRPr="0091002C" w:rsidRDefault="00C83C65" w:rsidP="00C83C65">
      <w:pPr>
        <w:spacing w:before="120" w:after="120"/>
        <w:ind w:left="900" w:hanging="720"/>
        <w:jc w:val="center"/>
        <w:outlineLvl w:val="1"/>
        <w:rPr>
          <w:rFonts w:ascii="Times New Roman" w:eastAsia="Times New Roman" w:hAnsi="Times New Roman"/>
          <w:noProof/>
          <w:sz w:val="24"/>
          <w:szCs w:val="20"/>
          <w:lang w:val="es-ES"/>
        </w:rPr>
      </w:pPr>
      <w:r w:rsidRPr="004A15DC">
        <w:rPr>
          <w:rFonts w:eastAsia="Times New Roman" w:cs="Arial"/>
          <w:b/>
          <w:lang w:val="es-ES"/>
        </w:rPr>
        <w:t xml:space="preserve"> Figura 4. Series de tiempo del Índice de Transparencia de políticas de gobierno para Chile y el control sintético de 2006 a 2015 con los países de la OCDE</w:t>
      </w:r>
    </w:p>
    <w:p w:rsidR="00C83C65" w:rsidRPr="004A15DC" w:rsidRDefault="00E735B2" w:rsidP="00C83C65">
      <w:pPr>
        <w:spacing w:before="120" w:after="120"/>
        <w:ind w:left="900"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71B58484" wp14:editId="5BA9A719">
            <wp:extent cx="4349115" cy="3093085"/>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9115" cy="3093085"/>
                    </a:xfrm>
                    <a:prstGeom prst="rect">
                      <a:avLst/>
                    </a:prstGeom>
                    <a:noFill/>
                    <a:ln>
                      <a:noFill/>
                    </a:ln>
                  </pic:spPr>
                </pic:pic>
              </a:graphicData>
            </a:graphic>
          </wp:inline>
        </w:drawing>
      </w:r>
    </w:p>
    <w:p w:rsidR="00C83C65" w:rsidRPr="004A15DC" w:rsidRDefault="00C83C65" w:rsidP="00C83C65">
      <w:pPr>
        <w:spacing w:after="0"/>
        <w:jc w:val="center"/>
        <w:outlineLvl w:val="1"/>
        <w:rPr>
          <w:rFonts w:eastAsia="Times New Roman" w:cs="Arial"/>
          <w:b/>
          <w:lang w:val="es-ES"/>
        </w:rPr>
      </w:pPr>
      <w:r w:rsidRPr="004A15DC">
        <w:rPr>
          <w:rFonts w:eastAsia="Times New Roman" w:cs="Arial"/>
          <w:b/>
          <w:lang w:val="es-ES"/>
        </w:rPr>
        <w:lastRenderedPageBreak/>
        <w:t>Figura 5. Series de tiempo del Índice de Comportamiento ético de las empresas para Chile y el control sintético de 2006 a 2015 con los países de la OCDE</w:t>
      </w:r>
      <w:r w:rsidRPr="004A15DC">
        <w:rPr>
          <w:rFonts w:eastAsia="Times New Roman" w:cs="Arial"/>
          <w:b/>
          <w:lang w:val="es-ES"/>
        </w:rPr>
        <w:br/>
      </w:r>
      <w:r w:rsidR="00E735B2">
        <w:rPr>
          <w:rFonts w:ascii="Times New Roman" w:eastAsia="Times New Roman" w:hAnsi="Times New Roman"/>
          <w:noProof/>
          <w:sz w:val="24"/>
          <w:szCs w:val="20"/>
        </w:rPr>
        <w:drawing>
          <wp:inline distT="0" distB="0" distL="0" distR="0" wp14:anchorId="167C608C" wp14:editId="3C909501">
            <wp:extent cx="4341495" cy="3084830"/>
            <wp:effectExtent l="0" t="0" r="1905" b="1270"/>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1495" cy="3084830"/>
                    </a:xfrm>
                    <a:prstGeom prst="rect">
                      <a:avLst/>
                    </a:prstGeom>
                    <a:noFill/>
                    <a:ln>
                      <a:noFill/>
                    </a:ln>
                  </pic:spPr>
                </pic:pic>
              </a:graphicData>
            </a:graphic>
          </wp:inline>
        </w:drawing>
      </w:r>
    </w:p>
    <w:p w:rsidR="00C83C65" w:rsidRPr="0091002C" w:rsidRDefault="00C83C65" w:rsidP="00C83C65">
      <w:pPr>
        <w:spacing w:before="120" w:after="120"/>
        <w:ind w:left="900" w:hanging="720"/>
        <w:jc w:val="center"/>
        <w:outlineLvl w:val="1"/>
        <w:rPr>
          <w:rFonts w:ascii="Times New Roman" w:eastAsia="Times New Roman" w:hAnsi="Times New Roman"/>
          <w:noProof/>
          <w:sz w:val="24"/>
          <w:szCs w:val="20"/>
          <w:lang w:val="es-ES"/>
        </w:rPr>
      </w:pPr>
      <w:r w:rsidRPr="004A15DC">
        <w:rPr>
          <w:rFonts w:eastAsia="Times New Roman" w:cs="Arial"/>
          <w:b/>
          <w:lang w:val="es-ES"/>
        </w:rPr>
        <w:t xml:space="preserve"> Figura 6. Series de tiempo del Índice de Eficiencia del gobierno para Chile y el control sintético de 2006 a 2014 con los países de la OCDE</w:t>
      </w:r>
    </w:p>
    <w:p w:rsidR="00C83C65" w:rsidRPr="004A15DC" w:rsidRDefault="00E735B2" w:rsidP="00C83C65">
      <w:pPr>
        <w:spacing w:before="120" w:after="120"/>
        <w:ind w:left="900"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11B11F68" wp14:editId="530E9CAA">
            <wp:extent cx="4333240" cy="3133090"/>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240" cy="3133090"/>
                    </a:xfrm>
                    <a:prstGeom prst="rect">
                      <a:avLst/>
                    </a:prstGeom>
                    <a:noFill/>
                    <a:ln>
                      <a:noFill/>
                    </a:ln>
                  </pic:spPr>
                </pic:pic>
              </a:graphicData>
            </a:graphic>
          </wp:inline>
        </w:drawing>
      </w:r>
    </w:p>
    <w:p w:rsidR="00C83C65" w:rsidRPr="0091002C" w:rsidRDefault="00C83C65" w:rsidP="00C83C65">
      <w:pPr>
        <w:keepNext/>
        <w:keepLines/>
        <w:numPr>
          <w:ilvl w:val="1"/>
          <w:numId w:val="5"/>
        </w:numPr>
        <w:tabs>
          <w:tab w:val="left" w:pos="0"/>
          <w:tab w:val="left" w:pos="90"/>
        </w:tabs>
        <w:spacing w:before="120" w:after="120"/>
        <w:rPr>
          <w:rFonts w:eastAsia="Times New Roman" w:cs="Arial"/>
          <w:b/>
          <w:noProof/>
          <w:lang w:val="es-ES"/>
        </w:rPr>
      </w:pPr>
      <w:r w:rsidRPr="0091002C">
        <w:rPr>
          <w:rFonts w:eastAsia="Times New Roman" w:cs="Arial"/>
          <w:b/>
          <w:noProof/>
          <w:lang w:val="es-ES"/>
        </w:rPr>
        <w:t>Todos los países</w:t>
      </w:r>
    </w:p>
    <w:p w:rsidR="00C83C65" w:rsidRPr="004A15DC" w:rsidRDefault="00C83C65" w:rsidP="0047047E">
      <w:pPr>
        <w:numPr>
          <w:ilvl w:val="1"/>
          <w:numId w:val="7"/>
        </w:numPr>
        <w:spacing w:before="120" w:after="120" w:line="240" w:lineRule="auto"/>
        <w:ind w:left="720" w:hanging="720"/>
        <w:jc w:val="both"/>
        <w:outlineLvl w:val="1"/>
        <w:rPr>
          <w:rFonts w:eastAsia="Times New Roman" w:cs="Arial"/>
          <w:lang w:val="es-ES"/>
        </w:rPr>
      </w:pPr>
      <w:r w:rsidRPr="004A15DC">
        <w:rPr>
          <w:rFonts w:eastAsia="Times New Roman" w:cs="Arial"/>
          <w:lang w:val="es-ES"/>
        </w:rPr>
        <w:t>En el cuadro IV se muestran los países seleccionados con esta metodología para construir el control sintético y el ponderador correspondiente.</w:t>
      </w:r>
    </w:p>
    <w:p w:rsidR="00C83C65" w:rsidRPr="004A15DC" w:rsidRDefault="00C83C65" w:rsidP="00C83C65">
      <w:pPr>
        <w:rPr>
          <w:rFonts w:eastAsia="Times New Roman" w:cs="Arial"/>
          <w:lang w:val="es-ES"/>
        </w:rPr>
      </w:pPr>
      <w:r w:rsidRPr="004A15DC">
        <w:rPr>
          <w:rFonts w:cs="Arial"/>
          <w:lang w:val="es-ES"/>
        </w:rPr>
        <w:br w:type="page"/>
      </w:r>
    </w:p>
    <w:p w:rsidR="00C83C65" w:rsidRPr="004A15DC" w:rsidRDefault="00C83C65" w:rsidP="00C83C65">
      <w:pPr>
        <w:spacing w:after="0"/>
        <w:jc w:val="center"/>
        <w:outlineLvl w:val="1"/>
        <w:rPr>
          <w:rFonts w:eastAsia="Times New Roman" w:cs="Arial"/>
          <w:b/>
          <w:lang w:val="es-ES"/>
        </w:rPr>
        <w:sectPr w:rsidR="00C83C65" w:rsidRPr="004A15DC" w:rsidSect="00A135AE">
          <w:headerReference w:type="first" r:id="rId21"/>
          <w:pgSz w:w="12240" w:h="15840"/>
          <w:pgMar w:top="1440" w:right="1440" w:bottom="1440" w:left="1440" w:header="720" w:footer="720" w:gutter="0"/>
          <w:cols w:space="720"/>
          <w:docGrid w:linePitch="360"/>
        </w:sectPr>
      </w:pPr>
    </w:p>
    <w:p w:rsidR="00C83C65" w:rsidRPr="004A15DC" w:rsidRDefault="00C83C65" w:rsidP="00C83C65">
      <w:pPr>
        <w:spacing w:after="0"/>
        <w:jc w:val="center"/>
        <w:outlineLvl w:val="1"/>
        <w:rPr>
          <w:rFonts w:eastAsia="Times New Roman" w:cs="Arial"/>
          <w:lang w:val="es-ES"/>
        </w:rPr>
      </w:pPr>
      <w:r w:rsidRPr="004A15DC">
        <w:rPr>
          <w:rFonts w:eastAsia="Times New Roman" w:cs="Arial"/>
          <w:b/>
          <w:lang w:val="es-ES"/>
        </w:rPr>
        <w:lastRenderedPageBreak/>
        <w:t>Cuadro IV  - Ponderadores para los indicadores de interés utilizando todos los países como potenciales controles</w:t>
      </w:r>
    </w:p>
    <w:p w:rsidR="00C83C65" w:rsidRPr="004A15DC" w:rsidRDefault="00C83C65" w:rsidP="00C83C65">
      <w:pPr>
        <w:spacing w:after="0" w:line="240" w:lineRule="auto"/>
        <w:ind w:left="86"/>
        <w:jc w:val="both"/>
        <w:outlineLvl w:val="1"/>
        <w:rPr>
          <w:rFonts w:eastAsia="Times New Roman" w:cs="Arial"/>
          <w:lang w:val="es-ES"/>
        </w:rPr>
      </w:pPr>
    </w:p>
    <w:tbl>
      <w:tblPr>
        <w:tblW w:w="90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146"/>
        <w:gridCol w:w="1137"/>
        <w:gridCol w:w="1252"/>
        <w:gridCol w:w="1596"/>
        <w:gridCol w:w="1396"/>
        <w:gridCol w:w="1022"/>
      </w:tblGrid>
      <w:tr w:rsidR="00C83C65" w:rsidRPr="004A15DC" w:rsidTr="004A15DC">
        <w:trPr>
          <w:trHeight w:val="300"/>
          <w:tblHeader/>
          <w:jc w:val="center"/>
        </w:trPr>
        <w:tc>
          <w:tcPr>
            <w:tcW w:w="2008"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País</w:t>
            </w:r>
          </w:p>
        </w:tc>
        <w:tc>
          <w:tcPr>
            <w:tcW w:w="1024"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Control de la Corrupción</w:t>
            </w:r>
          </w:p>
        </w:tc>
        <w:tc>
          <w:tcPr>
            <w:tcW w:w="1018"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Efectividad del gobierno</w:t>
            </w:r>
          </w:p>
        </w:tc>
        <w:tc>
          <w:tcPr>
            <w:tcW w:w="1152"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Nivel de libertad y compromiso de sus ciudadanos</w:t>
            </w:r>
          </w:p>
        </w:tc>
        <w:tc>
          <w:tcPr>
            <w:tcW w:w="1568"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Comportamiento ético de las empresas</w:t>
            </w:r>
          </w:p>
        </w:tc>
        <w:tc>
          <w:tcPr>
            <w:tcW w:w="1293"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Transparencia de las políticas de gobierno</w:t>
            </w:r>
          </w:p>
        </w:tc>
        <w:tc>
          <w:tcPr>
            <w:tcW w:w="960" w:type="dxa"/>
            <w:shd w:val="clear" w:color="auto" w:fill="DBE5F1"/>
            <w:noWrap/>
            <w:vAlign w:val="center"/>
            <w:hideMark/>
          </w:tcPr>
          <w:p w:rsidR="00C83C65" w:rsidRPr="004A15DC" w:rsidRDefault="00C83C65" w:rsidP="00C83C65">
            <w:pPr>
              <w:spacing w:after="0" w:line="240" w:lineRule="auto"/>
              <w:jc w:val="center"/>
              <w:rPr>
                <w:rFonts w:eastAsia="Times New Roman" w:cs="Arial"/>
                <w:b/>
                <w:color w:val="000000"/>
                <w:sz w:val="18"/>
                <w:szCs w:val="18"/>
                <w:lang w:val="es-ES"/>
              </w:rPr>
            </w:pPr>
            <w:r w:rsidRPr="004A15DC">
              <w:rPr>
                <w:rFonts w:eastAsia="Times New Roman" w:cs="Arial"/>
                <w:b/>
                <w:color w:val="000000"/>
                <w:sz w:val="18"/>
                <w:szCs w:val="18"/>
                <w:lang w:val="es-ES"/>
              </w:rPr>
              <w:t>Eficiencia del gobierno</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Albania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0.088</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0.016</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Algeria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0.048</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Argentina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Armenia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Australia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0.174</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Austria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0.097</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Azerbaijan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Bahrain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0.048</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Bangladesh</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Belgium</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0.101</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Bolivia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0.014</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0.117</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Botswana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Brazil</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Bulgaria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Burundi</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Cambodia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Canada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0.007</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Cayman Islands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w:t>
            </w:r>
          </w:p>
        </w:tc>
        <w:tc>
          <w:tcPr>
            <w:tcW w:w="156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1293"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960"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Chad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Colombia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Costa Rica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Croatia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Cyprus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Czech Republic</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Denmark</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0.132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Dominican Republic</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Egypt</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El Salvador</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0.004</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Estonia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Ethiopia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Fiji</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1293"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960"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Finland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0.348</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0.686</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France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0.106</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Gambia, The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Georgia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lastRenderedPageBreak/>
              <w:t>Germany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0.379</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Greece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Guatemala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Honduras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Hong Kong SAR, China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0.055</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Hungary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Iceland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0.219</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0.131</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India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Indonesia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Ireland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0.191</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Israel</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0.133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Italy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Jamaica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Japan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0.044</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Jordan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Kazakhstan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Kiribati</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0.045</w:t>
            </w:r>
          </w:p>
        </w:tc>
        <w:tc>
          <w:tcPr>
            <w:tcW w:w="156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1293"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c>
          <w:tcPr>
            <w:tcW w:w="960"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Kuwait</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0.073</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Latvia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Lithuania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Luxembourg</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Macedonia, FYR</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Malaysia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Mali</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Malta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Mauritania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0.007</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0.117</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Mauritius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Mexico</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Mongolia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Morocco</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Mozambique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Namibia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Netherlands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0.558</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New Zealand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0.115</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0.118</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0.232</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Nicaragua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Nigeria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Norway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0.029</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Pakistan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lastRenderedPageBreak/>
              <w:t>Panama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Paraguay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Peru</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Poland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Portugal</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0.032</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Qatar</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0.024</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Romania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Singapore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Slovak Republic</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Slovenia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0.12</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South Africa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Spain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0.076</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Sri Lanka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Sweden</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0.139</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0.003</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Switzerland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0.393</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Taiwan, China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0.333</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Tanzania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Thailand</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Trinidad and Tobago</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Turkey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0.002</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0.073</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Uganda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United Arab Emirates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United Kingdom</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0.056</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United States</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Uruguay</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Venezuela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Vietnam</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Zambia</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r w:rsidR="00C83C65" w:rsidRPr="004A15DC" w:rsidTr="00C83C65">
        <w:trPr>
          <w:trHeight w:val="300"/>
          <w:jc w:val="center"/>
        </w:trPr>
        <w:tc>
          <w:tcPr>
            <w:tcW w:w="2008" w:type="dxa"/>
            <w:shd w:val="clear" w:color="auto" w:fill="auto"/>
            <w:noWrap/>
            <w:vAlign w:val="bottom"/>
            <w:hideMark/>
          </w:tcPr>
          <w:p w:rsidR="00C83C65" w:rsidRPr="004A15DC" w:rsidRDefault="00C83C65" w:rsidP="00C83C65">
            <w:pPr>
              <w:spacing w:after="0" w:line="240" w:lineRule="auto"/>
              <w:rPr>
                <w:rFonts w:eastAsia="Times New Roman" w:cs="Arial"/>
                <w:color w:val="000000"/>
                <w:sz w:val="18"/>
                <w:szCs w:val="18"/>
                <w:lang w:val="es-ES"/>
              </w:rPr>
            </w:pPr>
            <w:r w:rsidRPr="004A15DC">
              <w:rPr>
                <w:rFonts w:eastAsia="Times New Roman" w:cs="Arial"/>
                <w:color w:val="000000"/>
                <w:sz w:val="18"/>
                <w:szCs w:val="18"/>
                <w:lang w:val="es-ES"/>
              </w:rPr>
              <w:t>Zimbabwe</w:t>
            </w:r>
          </w:p>
        </w:tc>
        <w:tc>
          <w:tcPr>
            <w:tcW w:w="1024"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01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152"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1568"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0.001</w:t>
            </w:r>
          </w:p>
        </w:tc>
        <w:tc>
          <w:tcPr>
            <w:tcW w:w="1293"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c>
          <w:tcPr>
            <w:tcW w:w="960" w:type="dxa"/>
            <w:shd w:val="clear" w:color="auto" w:fill="auto"/>
            <w:noWrap/>
            <w:vAlign w:val="bottom"/>
            <w:hideMark/>
          </w:tcPr>
          <w:p w:rsidR="00C83C65" w:rsidRPr="004A15DC" w:rsidRDefault="00C83C65" w:rsidP="00C83C65">
            <w:pPr>
              <w:spacing w:after="0" w:line="240" w:lineRule="auto"/>
              <w:jc w:val="right"/>
              <w:rPr>
                <w:rFonts w:eastAsia="Times New Roman" w:cs="Arial"/>
                <w:color w:val="000000"/>
                <w:sz w:val="18"/>
                <w:szCs w:val="18"/>
                <w:lang w:val="es-ES"/>
              </w:rPr>
            </w:pPr>
            <w:r w:rsidRPr="004A15DC">
              <w:rPr>
                <w:rFonts w:eastAsia="Times New Roman" w:cs="Arial"/>
                <w:color w:val="000000"/>
                <w:sz w:val="18"/>
                <w:szCs w:val="18"/>
                <w:lang w:val="es-ES"/>
              </w:rPr>
              <w:t>0</w:t>
            </w:r>
          </w:p>
        </w:tc>
      </w:tr>
    </w:tbl>
    <w:p w:rsidR="00C83C65" w:rsidRPr="004A15DC" w:rsidRDefault="00C83C65" w:rsidP="00C83C65">
      <w:pPr>
        <w:spacing w:after="0" w:line="240" w:lineRule="auto"/>
        <w:ind w:left="86"/>
        <w:jc w:val="both"/>
        <w:outlineLvl w:val="1"/>
        <w:rPr>
          <w:rFonts w:eastAsia="Times New Roman" w:cs="Arial"/>
          <w:lang w:val="es-ES"/>
        </w:rPr>
      </w:pPr>
    </w:p>
    <w:p w:rsidR="00C83C65" w:rsidRPr="004A15DC" w:rsidRDefault="00C83C65" w:rsidP="00C83C65">
      <w:pPr>
        <w:spacing w:after="0" w:line="240" w:lineRule="auto"/>
        <w:ind w:left="86"/>
        <w:jc w:val="both"/>
        <w:outlineLvl w:val="1"/>
        <w:rPr>
          <w:rFonts w:eastAsia="Times New Roman" w:cs="Arial"/>
          <w:lang w:val="es-ES"/>
        </w:rPr>
      </w:pPr>
    </w:p>
    <w:p w:rsidR="00C83C65" w:rsidRPr="004A15DC" w:rsidRDefault="00C83C65" w:rsidP="00C83C65">
      <w:pPr>
        <w:spacing w:after="0" w:line="240" w:lineRule="auto"/>
        <w:ind w:left="86"/>
        <w:jc w:val="both"/>
        <w:outlineLvl w:val="1"/>
        <w:rPr>
          <w:rFonts w:eastAsia="Times New Roman" w:cs="Arial"/>
          <w:lang w:val="es-ES"/>
        </w:rPr>
      </w:pPr>
      <w:r w:rsidRPr="004A15DC">
        <w:rPr>
          <w:rFonts w:eastAsia="Times New Roman" w:cs="Arial"/>
          <w:lang w:val="es-ES"/>
        </w:rPr>
        <w:t>Notas: Los países mostrados son aquellos que tienen al menos un ponderador positivo para alguno de los indicadores.</w:t>
      </w:r>
    </w:p>
    <w:p w:rsidR="00C83C65" w:rsidRPr="004A15DC" w:rsidRDefault="00C83C65" w:rsidP="00C83C65">
      <w:pPr>
        <w:spacing w:after="0" w:line="240" w:lineRule="auto"/>
        <w:ind w:left="86"/>
        <w:jc w:val="both"/>
        <w:outlineLvl w:val="1"/>
        <w:rPr>
          <w:rFonts w:eastAsia="Times New Roman" w:cs="Arial"/>
          <w:lang w:val="es-ES"/>
        </w:rPr>
      </w:pPr>
    </w:p>
    <w:p w:rsidR="00C83C65" w:rsidRPr="004A15DC" w:rsidRDefault="00C83C65" w:rsidP="00C83C65">
      <w:pPr>
        <w:rPr>
          <w:rFonts w:cs="Arial"/>
          <w:lang w:val="es-ES"/>
        </w:rPr>
      </w:pPr>
      <w:r w:rsidRPr="004A15DC">
        <w:rPr>
          <w:rFonts w:cs="Arial"/>
          <w:lang w:val="es-ES"/>
        </w:rPr>
        <w:t>En las figuras 7 a la 12 se muestran las trayectorias de los indicadores para Chile y Chile sintético de 2002 a 2014.</w:t>
      </w:r>
    </w:p>
    <w:p w:rsidR="00C83C65" w:rsidRPr="004A15DC" w:rsidRDefault="00C83C65" w:rsidP="00C83C65">
      <w:pPr>
        <w:spacing w:after="0"/>
        <w:jc w:val="center"/>
        <w:outlineLvl w:val="1"/>
        <w:rPr>
          <w:rFonts w:eastAsia="Times New Roman" w:cs="Arial"/>
          <w:b/>
          <w:lang w:val="es-ES"/>
        </w:rPr>
      </w:pPr>
    </w:p>
    <w:p w:rsidR="00C83C65" w:rsidRPr="004A15DC" w:rsidRDefault="00C83C65" w:rsidP="00C83C65">
      <w:pPr>
        <w:spacing w:after="0"/>
        <w:jc w:val="center"/>
        <w:outlineLvl w:val="1"/>
        <w:rPr>
          <w:rFonts w:eastAsia="Times New Roman" w:cs="Arial"/>
          <w:b/>
          <w:lang w:val="es-ES"/>
        </w:rPr>
      </w:pPr>
    </w:p>
    <w:p w:rsidR="00C83C65" w:rsidRPr="004A15DC" w:rsidRDefault="00C83C65" w:rsidP="00C83C65">
      <w:pPr>
        <w:spacing w:after="0"/>
        <w:jc w:val="center"/>
        <w:outlineLvl w:val="1"/>
        <w:rPr>
          <w:rFonts w:eastAsia="Times New Roman" w:cs="Arial"/>
          <w:b/>
          <w:lang w:val="es-ES"/>
        </w:rPr>
      </w:pPr>
    </w:p>
    <w:p w:rsidR="00C83C65" w:rsidRPr="0091002C" w:rsidRDefault="00C83C65" w:rsidP="00C83C65">
      <w:pPr>
        <w:spacing w:after="0"/>
        <w:jc w:val="center"/>
        <w:outlineLvl w:val="1"/>
        <w:rPr>
          <w:rFonts w:ascii="Times New Roman" w:eastAsia="Times New Roman" w:hAnsi="Times New Roman"/>
          <w:noProof/>
          <w:sz w:val="24"/>
          <w:szCs w:val="20"/>
          <w:lang w:val="es-ES"/>
        </w:rPr>
      </w:pPr>
      <w:r w:rsidRPr="004A15DC">
        <w:rPr>
          <w:rFonts w:eastAsia="Times New Roman" w:cs="Arial"/>
          <w:b/>
          <w:lang w:val="es-ES"/>
        </w:rPr>
        <w:lastRenderedPageBreak/>
        <w:t>Figura 7. Series de tiempo del Índice de Control de la Corrupción para Chile y el control sintético de 2002 a 2014</w:t>
      </w:r>
    </w:p>
    <w:p w:rsidR="00C83C65" w:rsidRPr="004A15DC" w:rsidRDefault="00E735B2" w:rsidP="00C83C65">
      <w:pPr>
        <w:spacing w:after="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729D1553" wp14:editId="0F47FCC1">
            <wp:extent cx="4580255" cy="3267710"/>
            <wp:effectExtent l="0" t="0" r="0" b="8890"/>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0255" cy="3267710"/>
                    </a:xfrm>
                    <a:prstGeom prst="rect">
                      <a:avLst/>
                    </a:prstGeom>
                    <a:noFill/>
                    <a:ln>
                      <a:noFill/>
                    </a:ln>
                  </pic:spPr>
                </pic:pic>
              </a:graphicData>
            </a:graphic>
          </wp:inline>
        </w:drawing>
      </w:r>
    </w:p>
    <w:p w:rsidR="00C83C65" w:rsidRPr="004A15DC" w:rsidRDefault="00C83C65" w:rsidP="00C83C65">
      <w:pPr>
        <w:spacing w:before="120" w:after="120"/>
        <w:ind w:left="900" w:hanging="720"/>
        <w:jc w:val="center"/>
        <w:outlineLvl w:val="1"/>
        <w:rPr>
          <w:rFonts w:eastAsia="Times New Roman" w:cs="Arial"/>
          <w:b/>
          <w:lang w:val="es-ES"/>
        </w:rPr>
      </w:pPr>
      <w:r w:rsidRPr="004A15DC">
        <w:rPr>
          <w:rFonts w:eastAsia="Times New Roman" w:cs="Arial"/>
          <w:b/>
          <w:lang w:val="es-ES"/>
        </w:rPr>
        <w:t>Figura 8. Series de tiempo del Índice de Efectividad del Gobierno para Chile y el control sintético de 2002 a 2014</w:t>
      </w:r>
    </w:p>
    <w:p w:rsidR="00C83C65" w:rsidRPr="004A15DC" w:rsidRDefault="00E735B2" w:rsidP="00C83C65">
      <w:pPr>
        <w:spacing w:before="120" w:after="120"/>
        <w:ind w:left="900"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57B8254B" wp14:editId="4E7B9C64">
            <wp:extent cx="4246245" cy="3037205"/>
            <wp:effectExtent l="0" t="0" r="1905" b="0"/>
            <wp:docPr id="2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6245" cy="3037205"/>
                    </a:xfrm>
                    <a:prstGeom prst="rect">
                      <a:avLst/>
                    </a:prstGeom>
                    <a:noFill/>
                    <a:ln>
                      <a:noFill/>
                    </a:ln>
                  </pic:spPr>
                </pic:pic>
              </a:graphicData>
            </a:graphic>
          </wp:inline>
        </w:drawing>
      </w:r>
    </w:p>
    <w:p w:rsidR="00C83C65" w:rsidRPr="004A15DC" w:rsidRDefault="00C83C65" w:rsidP="00C83C65">
      <w:pPr>
        <w:rPr>
          <w:rFonts w:eastAsia="Times New Roman" w:cs="Arial"/>
          <w:b/>
          <w:lang w:val="es-ES"/>
        </w:rPr>
      </w:pPr>
      <w:r w:rsidRPr="004A15DC">
        <w:rPr>
          <w:rFonts w:cs="Arial"/>
          <w:b/>
          <w:lang w:val="es-ES"/>
        </w:rPr>
        <w:br w:type="page"/>
      </w:r>
    </w:p>
    <w:p w:rsidR="00C83C65" w:rsidRPr="0091002C" w:rsidRDefault="00C83C65" w:rsidP="00C83C65">
      <w:pPr>
        <w:spacing w:before="120" w:after="120"/>
        <w:ind w:left="900" w:hanging="720"/>
        <w:jc w:val="center"/>
        <w:outlineLvl w:val="1"/>
        <w:rPr>
          <w:rFonts w:ascii="Times New Roman" w:eastAsia="Times New Roman" w:hAnsi="Times New Roman"/>
          <w:noProof/>
          <w:sz w:val="24"/>
          <w:szCs w:val="20"/>
          <w:lang w:val="es-ES"/>
        </w:rPr>
      </w:pPr>
      <w:r w:rsidRPr="004A15DC">
        <w:rPr>
          <w:rFonts w:eastAsia="Times New Roman" w:cs="Arial"/>
          <w:b/>
          <w:lang w:val="es-ES"/>
        </w:rPr>
        <w:t xml:space="preserve"> Figura 9. Series de tiempo del Índice de Nivel de libertad y compromiso de sus ciudadanos para Chile y el control sintético de 2002 a 2014</w:t>
      </w:r>
    </w:p>
    <w:p w:rsidR="00C83C65" w:rsidRPr="004A15DC" w:rsidRDefault="00E735B2" w:rsidP="00C83C65">
      <w:pPr>
        <w:spacing w:before="120" w:after="120"/>
        <w:ind w:left="900"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772B829D" wp14:editId="5B3EBC84">
            <wp:extent cx="4436745" cy="3148965"/>
            <wp:effectExtent l="0" t="0" r="1905" b="0"/>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6745" cy="3148965"/>
                    </a:xfrm>
                    <a:prstGeom prst="rect">
                      <a:avLst/>
                    </a:prstGeom>
                    <a:noFill/>
                    <a:ln>
                      <a:noFill/>
                    </a:ln>
                  </pic:spPr>
                </pic:pic>
              </a:graphicData>
            </a:graphic>
          </wp:inline>
        </w:drawing>
      </w:r>
    </w:p>
    <w:p w:rsidR="00C83C65" w:rsidRPr="004A15DC" w:rsidRDefault="00C83C65" w:rsidP="00C83C65">
      <w:pPr>
        <w:spacing w:after="0" w:line="240" w:lineRule="auto"/>
        <w:ind w:left="907" w:hanging="720"/>
        <w:jc w:val="center"/>
        <w:outlineLvl w:val="1"/>
        <w:rPr>
          <w:rFonts w:eastAsia="Times New Roman" w:cs="Arial"/>
          <w:b/>
          <w:noProof/>
          <w:lang w:val="es-ES"/>
        </w:rPr>
      </w:pPr>
      <w:r w:rsidRPr="004A15DC">
        <w:rPr>
          <w:rFonts w:eastAsia="Times New Roman" w:cs="Arial"/>
          <w:b/>
          <w:lang w:val="es-ES"/>
        </w:rPr>
        <w:t>Figura 10. Series de tiempo del Índice de Comportamiento Ético de las Empresas para Chile y el control sintético de 2006 a 2015</w:t>
      </w:r>
    </w:p>
    <w:p w:rsidR="00C83C65" w:rsidRPr="004A15DC" w:rsidRDefault="00E735B2" w:rsidP="00C83C65">
      <w:pPr>
        <w:spacing w:after="0" w:line="240" w:lineRule="auto"/>
        <w:ind w:left="907" w:hanging="720"/>
        <w:jc w:val="center"/>
        <w:outlineLvl w:val="1"/>
        <w:rPr>
          <w:rFonts w:eastAsia="Times New Roman" w:cs="Arial"/>
          <w:b/>
          <w:lang w:val="es-ES"/>
        </w:rPr>
      </w:pPr>
      <w:r>
        <w:rPr>
          <w:rFonts w:ascii="Times New Roman" w:eastAsia="Times New Roman" w:hAnsi="Times New Roman"/>
          <w:noProof/>
          <w:sz w:val="24"/>
          <w:szCs w:val="20"/>
        </w:rPr>
        <w:drawing>
          <wp:inline distT="0" distB="0" distL="0" distR="0" wp14:anchorId="10D2FAFC" wp14:editId="08F33FA9">
            <wp:extent cx="4612005" cy="3291840"/>
            <wp:effectExtent l="0" t="0" r="0" b="3810"/>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2005" cy="3291840"/>
                    </a:xfrm>
                    <a:prstGeom prst="rect">
                      <a:avLst/>
                    </a:prstGeom>
                    <a:noFill/>
                    <a:ln>
                      <a:noFill/>
                    </a:ln>
                  </pic:spPr>
                </pic:pic>
              </a:graphicData>
            </a:graphic>
          </wp:inline>
        </w:drawing>
      </w:r>
      <w:r w:rsidR="00C83C65" w:rsidRPr="004A15DC">
        <w:rPr>
          <w:rFonts w:eastAsia="Times New Roman" w:cs="Arial"/>
          <w:b/>
          <w:lang w:val="es-ES"/>
        </w:rPr>
        <w:br/>
      </w:r>
    </w:p>
    <w:p w:rsidR="00C83C65" w:rsidRPr="004A15DC" w:rsidRDefault="00C83C65" w:rsidP="00C83C65">
      <w:pPr>
        <w:rPr>
          <w:rFonts w:eastAsia="Times New Roman" w:cs="Arial"/>
          <w:b/>
          <w:lang w:val="es-ES"/>
        </w:rPr>
      </w:pPr>
      <w:r w:rsidRPr="004A15DC">
        <w:rPr>
          <w:rFonts w:cs="Arial"/>
          <w:b/>
          <w:lang w:val="es-ES"/>
        </w:rPr>
        <w:br w:type="page"/>
      </w:r>
    </w:p>
    <w:p w:rsidR="00C83C65" w:rsidRPr="004A15DC" w:rsidRDefault="00C83C65" w:rsidP="00C83C65">
      <w:pPr>
        <w:jc w:val="center"/>
        <w:rPr>
          <w:rFonts w:cs="Arial"/>
          <w:b/>
          <w:noProof/>
          <w:lang w:val="es-ES"/>
        </w:rPr>
      </w:pPr>
      <w:r w:rsidRPr="004A15DC">
        <w:rPr>
          <w:rFonts w:cs="Arial"/>
          <w:b/>
          <w:lang w:val="es-ES"/>
        </w:rPr>
        <w:t>Figura 11. Series de tiempo del Índice de Transparencia de las políticas del gobierno para Chile y el control sintético de 2006 a 2015</w:t>
      </w:r>
    </w:p>
    <w:p w:rsidR="00C83C65" w:rsidRPr="004A15DC" w:rsidRDefault="00E735B2" w:rsidP="00C83C65">
      <w:pPr>
        <w:jc w:val="center"/>
        <w:rPr>
          <w:rFonts w:cs="Arial"/>
          <w:b/>
          <w:lang w:val="es-ES"/>
        </w:rPr>
      </w:pPr>
      <w:r>
        <w:rPr>
          <w:noProof/>
        </w:rPr>
        <w:drawing>
          <wp:inline distT="0" distB="0" distL="0" distR="0" wp14:anchorId="76DDED04" wp14:editId="3ADA9C41">
            <wp:extent cx="4612005" cy="3331845"/>
            <wp:effectExtent l="0" t="0" r="0" b="1905"/>
            <wp:docPr id="2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2005" cy="3331845"/>
                    </a:xfrm>
                    <a:prstGeom prst="rect">
                      <a:avLst/>
                    </a:prstGeom>
                    <a:noFill/>
                    <a:ln>
                      <a:noFill/>
                    </a:ln>
                  </pic:spPr>
                </pic:pic>
              </a:graphicData>
            </a:graphic>
          </wp:inline>
        </w:drawing>
      </w:r>
      <w:r w:rsidR="00C83C65" w:rsidRPr="004A15DC">
        <w:rPr>
          <w:rFonts w:cs="Arial"/>
          <w:b/>
          <w:noProof/>
          <w:lang w:val="es-ES"/>
        </w:rPr>
        <w:br/>
      </w:r>
      <w:r w:rsidR="00C83C65" w:rsidRPr="004A15DC">
        <w:rPr>
          <w:rFonts w:cs="Arial"/>
          <w:b/>
          <w:lang w:val="es-ES"/>
        </w:rPr>
        <w:t xml:space="preserve"> Figura 12. Series de tiempo del Índice de Eficiencia del Gobierno para Chile y el control sintético de 2006 a 2015</w:t>
      </w:r>
    </w:p>
    <w:p w:rsidR="00C83C65" w:rsidRPr="004A15DC" w:rsidRDefault="00E735B2" w:rsidP="00C83C65">
      <w:pPr>
        <w:jc w:val="center"/>
        <w:rPr>
          <w:rFonts w:eastAsia="Times New Roman" w:cs="Arial"/>
          <w:b/>
          <w:lang w:val="es-ES"/>
        </w:rPr>
      </w:pPr>
      <w:r>
        <w:rPr>
          <w:noProof/>
        </w:rPr>
        <w:drawing>
          <wp:inline distT="0" distB="0" distL="0" distR="0" wp14:anchorId="6FA92F5E" wp14:editId="488B2D79">
            <wp:extent cx="4746625" cy="3434715"/>
            <wp:effectExtent l="0" t="0" r="0" b="0"/>
            <wp:docPr id="2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6625" cy="3434715"/>
                    </a:xfrm>
                    <a:prstGeom prst="rect">
                      <a:avLst/>
                    </a:prstGeom>
                    <a:noFill/>
                    <a:ln>
                      <a:noFill/>
                    </a:ln>
                  </pic:spPr>
                </pic:pic>
              </a:graphicData>
            </a:graphic>
          </wp:inline>
        </w:drawing>
      </w:r>
    </w:p>
    <w:p w:rsidR="00C83C65" w:rsidRPr="0091002C" w:rsidRDefault="00C83C65" w:rsidP="00C83C65">
      <w:pPr>
        <w:rPr>
          <w:rFonts w:eastAsia="Times New Roman" w:cs="Arial"/>
          <w:b/>
          <w:noProof/>
          <w:lang w:val="es-ES"/>
        </w:rPr>
      </w:pPr>
      <w:r w:rsidRPr="0091002C">
        <w:rPr>
          <w:rFonts w:cs="Arial"/>
          <w:noProof/>
          <w:lang w:val="es-ES"/>
        </w:rPr>
        <w:br w:type="page"/>
      </w:r>
    </w:p>
    <w:p w:rsidR="00C83C65" w:rsidRPr="0091002C" w:rsidRDefault="00C83C65" w:rsidP="00C83C65">
      <w:pPr>
        <w:keepNext/>
        <w:keepLines/>
        <w:numPr>
          <w:ilvl w:val="1"/>
          <w:numId w:val="5"/>
        </w:numPr>
        <w:tabs>
          <w:tab w:val="left" w:pos="0"/>
          <w:tab w:val="left" w:pos="90"/>
        </w:tabs>
        <w:spacing w:before="120" w:after="120"/>
        <w:rPr>
          <w:rFonts w:eastAsia="Times New Roman" w:cs="Arial"/>
          <w:b/>
          <w:noProof/>
          <w:lang w:val="es-ES"/>
        </w:rPr>
        <w:sectPr w:rsidR="00C83C65" w:rsidRPr="0091002C" w:rsidSect="00AA0CF7">
          <w:pgSz w:w="12240" w:h="15840"/>
          <w:pgMar w:top="1440" w:right="1440" w:bottom="1440" w:left="1440" w:header="720" w:footer="720" w:gutter="0"/>
          <w:cols w:space="720"/>
          <w:docGrid w:linePitch="360"/>
        </w:sectPr>
      </w:pPr>
    </w:p>
    <w:p w:rsidR="00C83C65" w:rsidRPr="0091002C" w:rsidRDefault="00C83C65" w:rsidP="004049D1">
      <w:pPr>
        <w:pStyle w:val="Heading2"/>
        <w:spacing w:line="276" w:lineRule="auto"/>
        <w:ind w:hanging="720"/>
        <w:rPr>
          <w:rFonts w:cs="Arial"/>
          <w:b w:val="0"/>
          <w:noProof/>
          <w:lang w:val="es-ES"/>
        </w:rPr>
      </w:pPr>
      <w:r w:rsidRPr="0091002C">
        <w:rPr>
          <w:rFonts w:cs="Arial"/>
          <w:noProof/>
          <w:lang w:val="es-ES"/>
        </w:rPr>
        <w:lastRenderedPageBreak/>
        <w:t>Comentarios adicionales</w:t>
      </w:r>
    </w:p>
    <w:p w:rsidR="00C83C65" w:rsidRPr="0091002C" w:rsidRDefault="00C83C65" w:rsidP="00C83C65">
      <w:pPr>
        <w:ind w:left="720"/>
        <w:contextualSpacing/>
        <w:rPr>
          <w:rFonts w:cs="Arial"/>
          <w:b/>
          <w:noProof/>
          <w:lang w:val="es-ES"/>
        </w:rPr>
      </w:pPr>
    </w:p>
    <w:p w:rsidR="00C83C65" w:rsidRPr="004A15DC" w:rsidRDefault="00C83C65" w:rsidP="0047047E">
      <w:pPr>
        <w:numPr>
          <w:ilvl w:val="1"/>
          <w:numId w:val="7"/>
        </w:numPr>
        <w:spacing w:line="240" w:lineRule="auto"/>
        <w:ind w:left="720" w:hanging="720"/>
        <w:contextualSpacing/>
        <w:jc w:val="both"/>
        <w:rPr>
          <w:rFonts w:eastAsia="Times New Roman" w:cs="Arial"/>
          <w:lang w:val="es-ES"/>
        </w:rPr>
      </w:pPr>
      <w:r w:rsidRPr="004A15DC">
        <w:rPr>
          <w:rFonts w:eastAsia="Times New Roman" w:cs="Arial"/>
          <w:lang w:val="es-ES"/>
        </w:rPr>
        <w:t>Dado que el proyecto afecta a Chile en su conjunto y no tenemos la posibilidad de encontrar un grupo de control como un diseño experimental o cuasi experimental, el control sintético proporcionará el contrafactual necesario para la evaluación. En este caso un cálculo del poder no es posible ya que sólo contamos con una unidad que está siendo tratada y un cierto número de países que reúnan las condiciones para construir el control sintético.</w:t>
      </w:r>
    </w:p>
    <w:p w:rsidR="00C83C65" w:rsidRPr="004A15DC" w:rsidRDefault="00C83C65" w:rsidP="0047047E">
      <w:pPr>
        <w:spacing w:line="240" w:lineRule="auto"/>
        <w:ind w:left="720"/>
        <w:contextualSpacing/>
        <w:jc w:val="both"/>
        <w:rPr>
          <w:rFonts w:eastAsia="Times New Roman" w:cs="Arial"/>
          <w:lang w:val="es-ES"/>
        </w:rPr>
      </w:pPr>
    </w:p>
    <w:p w:rsidR="00C83C65" w:rsidRPr="004A15DC" w:rsidRDefault="00C83C65" w:rsidP="0047047E">
      <w:pPr>
        <w:numPr>
          <w:ilvl w:val="1"/>
          <w:numId w:val="7"/>
        </w:numPr>
        <w:spacing w:line="240" w:lineRule="auto"/>
        <w:ind w:left="720" w:hanging="720"/>
        <w:contextualSpacing/>
        <w:jc w:val="both"/>
        <w:rPr>
          <w:rFonts w:eastAsia="Times New Roman" w:cs="Arial"/>
          <w:lang w:val="es-ES"/>
        </w:rPr>
      </w:pPr>
      <w:r w:rsidRPr="004A15DC">
        <w:rPr>
          <w:rFonts w:eastAsia="Times New Roman" w:cs="Arial"/>
          <w:lang w:val="es-ES"/>
        </w:rPr>
        <w:t>Una estimación extensa de placebo podría aumentar la confianza de que los resultados son la estimación de impacto de la intervención y no simp</w:t>
      </w:r>
      <w:r w:rsidR="003D3E8B" w:rsidRPr="004A15DC">
        <w:rPr>
          <w:rFonts w:eastAsia="Times New Roman" w:cs="Arial"/>
          <w:lang w:val="es-ES"/>
        </w:rPr>
        <w:t xml:space="preserve">lemente resultados impulsados </w:t>
      </w:r>
      <w:r w:rsidRPr="004A15DC">
        <w:rPr>
          <w:rFonts w:eastAsia="Times New Roman" w:cs="Arial"/>
          <w:lang w:val="es-ES"/>
        </w:rPr>
        <w:t>por la falta de poder predictivo.</w:t>
      </w:r>
    </w:p>
    <w:p w:rsidR="00C83C65" w:rsidRPr="0047047E" w:rsidRDefault="00C83C65" w:rsidP="004049D1">
      <w:pPr>
        <w:pStyle w:val="Heading2"/>
        <w:spacing w:line="276" w:lineRule="auto"/>
        <w:ind w:hanging="720"/>
        <w:rPr>
          <w:rFonts w:cs="Arial"/>
          <w:b w:val="0"/>
          <w:noProof/>
          <w:sz w:val="22"/>
          <w:szCs w:val="22"/>
          <w:lang w:val="es-ES"/>
        </w:rPr>
      </w:pPr>
      <w:r w:rsidRPr="0047047E">
        <w:rPr>
          <w:rFonts w:cs="Arial"/>
          <w:noProof/>
          <w:sz w:val="22"/>
          <w:szCs w:val="22"/>
          <w:lang w:val="es-ES"/>
        </w:rPr>
        <w:t>Plan de trabajo y costos de la evaluación</w:t>
      </w:r>
    </w:p>
    <w:tbl>
      <w:tblPr>
        <w:tblW w:w="4095" w:type="pct"/>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13"/>
        <w:gridCol w:w="414"/>
        <w:gridCol w:w="413"/>
        <w:gridCol w:w="411"/>
        <w:gridCol w:w="411"/>
        <w:gridCol w:w="411"/>
        <w:gridCol w:w="411"/>
        <w:gridCol w:w="411"/>
        <w:gridCol w:w="411"/>
        <w:gridCol w:w="406"/>
      </w:tblGrid>
      <w:tr w:rsidR="00FA46CD" w:rsidRPr="004A15DC" w:rsidTr="004A15DC">
        <w:trPr>
          <w:tblHeader/>
          <w:jc w:val="center"/>
        </w:trPr>
        <w:tc>
          <w:tcPr>
            <w:tcW w:w="2379" w:type="pct"/>
            <w:vMerge w:val="restar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Actividades</w:t>
            </w:r>
          </w:p>
        </w:tc>
        <w:tc>
          <w:tcPr>
            <w:tcW w:w="527" w:type="pct"/>
            <w:gridSpan w:val="2"/>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2015</w:t>
            </w:r>
          </w:p>
        </w:tc>
        <w:tc>
          <w:tcPr>
            <w:tcW w:w="525" w:type="pct"/>
            <w:gridSpan w:val="2"/>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2016</w:t>
            </w:r>
          </w:p>
        </w:tc>
        <w:tc>
          <w:tcPr>
            <w:tcW w:w="524" w:type="pct"/>
            <w:gridSpan w:val="2"/>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2017</w:t>
            </w:r>
          </w:p>
        </w:tc>
        <w:tc>
          <w:tcPr>
            <w:tcW w:w="524" w:type="pct"/>
            <w:gridSpan w:val="2"/>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2018</w:t>
            </w:r>
          </w:p>
        </w:tc>
        <w:tc>
          <w:tcPr>
            <w:tcW w:w="521" w:type="pct"/>
            <w:gridSpan w:val="2"/>
            <w:shd w:val="clear" w:color="auto" w:fill="auto"/>
          </w:tcPr>
          <w:p w:rsidR="00C83C65" w:rsidRPr="004A15DC" w:rsidRDefault="00C83C65" w:rsidP="004A15DC">
            <w:pPr>
              <w:spacing w:after="0"/>
              <w:jc w:val="center"/>
              <w:rPr>
                <w:rFonts w:eastAsia="Times New Roman"/>
                <w:b/>
                <w:lang w:val="es-ES"/>
              </w:rPr>
            </w:pPr>
            <w:r w:rsidRPr="004A15DC">
              <w:rPr>
                <w:rFonts w:eastAsia="Times New Roman"/>
                <w:b/>
                <w:lang w:val="es-ES"/>
              </w:rPr>
              <w:t>2019</w:t>
            </w:r>
          </w:p>
        </w:tc>
      </w:tr>
      <w:tr w:rsidR="00FA46CD" w:rsidRPr="004A15DC" w:rsidTr="004A15DC">
        <w:trPr>
          <w:tblHeader/>
          <w:jc w:val="center"/>
        </w:trPr>
        <w:tc>
          <w:tcPr>
            <w:tcW w:w="2379" w:type="pct"/>
            <w:vMerge/>
            <w:shd w:val="clear" w:color="auto" w:fill="auto"/>
            <w:vAlign w:val="center"/>
          </w:tcPr>
          <w:p w:rsidR="00C83C65" w:rsidRPr="004A15DC" w:rsidRDefault="00C83C65" w:rsidP="004A15DC">
            <w:pPr>
              <w:spacing w:after="0"/>
              <w:jc w:val="center"/>
              <w:rPr>
                <w:rFonts w:eastAsia="Times New Roman"/>
                <w:b/>
                <w:lang w:val="es-ES"/>
              </w:rPr>
            </w:pPr>
          </w:p>
        </w:tc>
        <w:tc>
          <w:tcPr>
            <w:tcW w:w="263"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1</w:t>
            </w:r>
          </w:p>
        </w:tc>
        <w:tc>
          <w:tcPr>
            <w:tcW w:w="264"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w:t>
            </w:r>
          </w:p>
        </w:tc>
        <w:tc>
          <w:tcPr>
            <w:tcW w:w="263"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1</w:t>
            </w:r>
          </w:p>
        </w:tc>
        <w:tc>
          <w:tcPr>
            <w:tcW w:w="262"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w:t>
            </w:r>
          </w:p>
        </w:tc>
        <w:tc>
          <w:tcPr>
            <w:tcW w:w="262"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1</w:t>
            </w:r>
          </w:p>
        </w:tc>
        <w:tc>
          <w:tcPr>
            <w:tcW w:w="262"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w:t>
            </w:r>
          </w:p>
        </w:tc>
        <w:tc>
          <w:tcPr>
            <w:tcW w:w="262"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1</w:t>
            </w:r>
          </w:p>
        </w:tc>
        <w:tc>
          <w:tcPr>
            <w:tcW w:w="262" w:type="pct"/>
            <w:shd w:val="clear" w:color="auto" w:fill="auto"/>
            <w:vAlign w:val="center"/>
          </w:tcPr>
          <w:p w:rsidR="00C83C65" w:rsidRPr="004A15DC" w:rsidRDefault="00C83C65" w:rsidP="004A15DC">
            <w:pPr>
              <w:spacing w:after="0"/>
              <w:jc w:val="center"/>
              <w:rPr>
                <w:rFonts w:eastAsia="Times New Roman"/>
                <w:b/>
                <w:lang w:val="es-ES"/>
              </w:rPr>
            </w:pPr>
            <w:r w:rsidRPr="004A15DC">
              <w:rPr>
                <w:rFonts w:eastAsia="Times New Roman"/>
                <w:b/>
                <w:lang w:val="es-ES"/>
              </w:rPr>
              <w:t>2</w:t>
            </w:r>
          </w:p>
        </w:tc>
        <w:tc>
          <w:tcPr>
            <w:tcW w:w="262" w:type="pct"/>
            <w:shd w:val="clear" w:color="auto" w:fill="auto"/>
          </w:tcPr>
          <w:p w:rsidR="00C83C65" w:rsidRPr="004A15DC" w:rsidRDefault="00C83C65" w:rsidP="004A15DC">
            <w:pPr>
              <w:spacing w:after="0"/>
              <w:jc w:val="center"/>
              <w:rPr>
                <w:rFonts w:eastAsia="Times New Roman"/>
                <w:b/>
                <w:lang w:val="es-ES"/>
              </w:rPr>
            </w:pPr>
            <w:r w:rsidRPr="004A15DC">
              <w:rPr>
                <w:rFonts w:eastAsia="Times New Roman"/>
                <w:b/>
                <w:lang w:val="es-ES"/>
              </w:rPr>
              <w:t>1</w:t>
            </w:r>
          </w:p>
        </w:tc>
        <w:tc>
          <w:tcPr>
            <w:tcW w:w="259" w:type="pct"/>
            <w:shd w:val="clear" w:color="auto" w:fill="auto"/>
          </w:tcPr>
          <w:p w:rsidR="00C83C65" w:rsidRPr="004A15DC" w:rsidRDefault="00C83C65" w:rsidP="004A15DC">
            <w:pPr>
              <w:spacing w:after="0"/>
              <w:jc w:val="center"/>
              <w:rPr>
                <w:rFonts w:eastAsia="Times New Roman"/>
                <w:b/>
                <w:lang w:val="es-ES"/>
              </w:rPr>
            </w:pPr>
            <w:r w:rsidRPr="004A15DC">
              <w:rPr>
                <w:rFonts w:eastAsia="Times New Roman"/>
                <w:b/>
                <w:lang w:val="es-ES"/>
              </w:rPr>
              <w:t>2</w:t>
            </w:r>
          </w:p>
        </w:tc>
      </w:tr>
      <w:tr w:rsidR="00FA46CD" w:rsidRPr="004A15DC" w:rsidTr="004A15DC">
        <w:trPr>
          <w:trHeight w:val="296"/>
          <w:jc w:val="center"/>
        </w:trPr>
        <w:tc>
          <w:tcPr>
            <w:tcW w:w="2379" w:type="pct"/>
            <w:shd w:val="clear" w:color="auto" w:fill="auto"/>
            <w:vAlign w:val="center"/>
          </w:tcPr>
          <w:p w:rsidR="00C83C65" w:rsidRPr="004A15DC" w:rsidRDefault="00C83C65" w:rsidP="004A15DC">
            <w:pPr>
              <w:spacing w:after="0"/>
              <w:rPr>
                <w:rFonts w:eastAsia="Times New Roman"/>
                <w:lang w:val="es-ES"/>
              </w:rPr>
            </w:pPr>
            <w:r w:rsidRPr="004A15DC">
              <w:rPr>
                <w:rFonts w:eastAsia="Times New Roman"/>
                <w:lang w:val="es-ES"/>
              </w:rPr>
              <w:t xml:space="preserve">Recolección de datos iniciales </w:t>
            </w: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4" w:type="pct"/>
            <w:shd w:val="clear" w:color="auto" w:fill="auto"/>
            <w:vAlign w:val="center"/>
          </w:tcPr>
          <w:p w:rsidR="00C83C65" w:rsidRPr="004A15DC" w:rsidRDefault="00C83C65" w:rsidP="004A15DC">
            <w:pPr>
              <w:spacing w:after="0"/>
              <w:rPr>
                <w:rFonts w:eastAsia="Times New Roman"/>
                <w:lang w:val="es-ES"/>
              </w:rPr>
            </w:pP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tcPr>
          <w:p w:rsidR="00C83C65" w:rsidRPr="004A15DC" w:rsidRDefault="00C83C65" w:rsidP="004A15DC">
            <w:pPr>
              <w:spacing w:after="0"/>
              <w:rPr>
                <w:rFonts w:eastAsia="Times New Roman"/>
                <w:lang w:val="es-ES"/>
              </w:rPr>
            </w:pPr>
          </w:p>
        </w:tc>
        <w:tc>
          <w:tcPr>
            <w:tcW w:w="259" w:type="pct"/>
            <w:shd w:val="clear" w:color="auto" w:fill="auto"/>
          </w:tcPr>
          <w:p w:rsidR="00C83C65" w:rsidRPr="004A15DC" w:rsidRDefault="00C83C65" w:rsidP="004A15DC">
            <w:pPr>
              <w:spacing w:after="0"/>
              <w:rPr>
                <w:rFonts w:eastAsia="Times New Roman"/>
                <w:lang w:val="es-ES"/>
              </w:rPr>
            </w:pPr>
          </w:p>
        </w:tc>
      </w:tr>
      <w:tr w:rsidR="00FA46CD" w:rsidRPr="00717665" w:rsidTr="004A15DC">
        <w:trPr>
          <w:jc w:val="center"/>
        </w:trPr>
        <w:tc>
          <w:tcPr>
            <w:tcW w:w="2379" w:type="pct"/>
            <w:shd w:val="clear" w:color="auto" w:fill="auto"/>
            <w:vAlign w:val="center"/>
          </w:tcPr>
          <w:p w:rsidR="00C83C65" w:rsidRPr="004A15DC" w:rsidRDefault="00C83C65" w:rsidP="004A15DC">
            <w:pPr>
              <w:spacing w:after="0"/>
              <w:rPr>
                <w:rFonts w:eastAsia="Times New Roman"/>
                <w:lang w:val="es-ES"/>
              </w:rPr>
            </w:pPr>
            <w:r w:rsidRPr="004A15DC">
              <w:rPr>
                <w:rFonts w:eastAsia="Times New Roman"/>
                <w:lang w:val="es-ES"/>
              </w:rPr>
              <w:t>Análisis descriptivo de los datos</w:t>
            </w: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4" w:type="pct"/>
            <w:shd w:val="clear" w:color="auto" w:fill="auto"/>
            <w:vAlign w:val="center"/>
          </w:tcPr>
          <w:p w:rsidR="00C83C65" w:rsidRPr="004A15DC" w:rsidRDefault="00C83C65" w:rsidP="004A15DC">
            <w:pPr>
              <w:spacing w:after="0"/>
              <w:rPr>
                <w:rFonts w:eastAsia="Times New Roman"/>
                <w:lang w:val="es-ES"/>
              </w:rPr>
            </w:pP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tcPr>
          <w:p w:rsidR="00C83C65" w:rsidRPr="004A15DC" w:rsidRDefault="00C83C65" w:rsidP="004A15DC">
            <w:pPr>
              <w:spacing w:after="0"/>
              <w:rPr>
                <w:rFonts w:eastAsia="Times New Roman"/>
                <w:lang w:val="es-ES"/>
              </w:rPr>
            </w:pPr>
          </w:p>
        </w:tc>
        <w:tc>
          <w:tcPr>
            <w:tcW w:w="259" w:type="pct"/>
            <w:shd w:val="clear" w:color="auto" w:fill="auto"/>
          </w:tcPr>
          <w:p w:rsidR="00C83C65" w:rsidRPr="004A15DC" w:rsidRDefault="00C83C65" w:rsidP="004A15DC">
            <w:pPr>
              <w:spacing w:after="0"/>
              <w:rPr>
                <w:rFonts w:eastAsia="Times New Roman"/>
                <w:lang w:val="es-ES"/>
              </w:rPr>
            </w:pPr>
          </w:p>
        </w:tc>
      </w:tr>
      <w:tr w:rsidR="00FA46CD" w:rsidRPr="004A15DC" w:rsidTr="004A15DC">
        <w:trPr>
          <w:jc w:val="center"/>
        </w:trPr>
        <w:tc>
          <w:tcPr>
            <w:tcW w:w="2379" w:type="pct"/>
            <w:shd w:val="clear" w:color="auto" w:fill="auto"/>
            <w:vAlign w:val="center"/>
          </w:tcPr>
          <w:p w:rsidR="00C83C65" w:rsidRPr="004A15DC" w:rsidRDefault="00C83C65" w:rsidP="004A15DC">
            <w:pPr>
              <w:spacing w:after="0"/>
              <w:rPr>
                <w:rFonts w:eastAsia="Times New Roman"/>
                <w:lang w:val="es-ES"/>
              </w:rPr>
            </w:pPr>
            <w:r w:rsidRPr="004A15DC">
              <w:rPr>
                <w:rFonts w:eastAsia="Times New Roman"/>
                <w:lang w:val="es-ES"/>
              </w:rPr>
              <w:t>Última recolección de datos</w:t>
            </w: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4" w:type="pct"/>
            <w:shd w:val="clear" w:color="auto" w:fill="auto"/>
            <w:vAlign w:val="center"/>
          </w:tcPr>
          <w:p w:rsidR="00C83C65" w:rsidRPr="004A15DC" w:rsidRDefault="00C83C65" w:rsidP="004A15DC">
            <w:pPr>
              <w:spacing w:after="0"/>
              <w:rPr>
                <w:rFonts w:eastAsia="Times New Roman"/>
                <w:lang w:val="es-ES"/>
              </w:rPr>
            </w:pP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tcPr>
          <w:p w:rsidR="00C83C65" w:rsidRPr="004A15DC" w:rsidRDefault="00C83C65" w:rsidP="004A15DC">
            <w:pPr>
              <w:spacing w:after="0"/>
              <w:rPr>
                <w:rFonts w:eastAsia="Times New Roman"/>
                <w:lang w:val="es-ES"/>
              </w:rPr>
            </w:pPr>
          </w:p>
        </w:tc>
        <w:tc>
          <w:tcPr>
            <w:tcW w:w="259" w:type="pct"/>
            <w:shd w:val="clear" w:color="auto" w:fill="auto"/>
          </w:tcPr>
          <w:p w:rsidR="00C83C65" w:rsidRPr="004A15DC" w:rsidRDefault="00C83C65" w:rsidP="004A15DC">
            <w:pPr>
              <w:spacing w:after="0"/>
              <w:rPr>
                <w:rFonts w:eastAsia="Times New Roman"/>
                <w:lang w:val="es-ES"/>
              </w:rPr>
            </w:pPr>
          </w:p>
        </w:tc>
      </w:tr>
      <w:tr w:rsidR="00FA46CD" w:rsidRPr="004A15DC" w:rsidTr="004A15DC">
        <w:trPr>
          <w:trHeight w:val="647"/>
          <w:jc w:val="center"/>
        </w:trPr>
        <w:tc>
          <w:tcPr>
            <w:tcW w:w="2379" w:type="pct"/>
            <w:shd w:val="clear" w:color="auto" w:fill="auto"/>
            <w:vAlign w:val="center"/>
          </w:tcPr>
          <w:p w:rsidR="00C83C65" w:rsidRPr="004A15DC" w:rsidRDefault="00C83C65" w:rsidP="004A15DC">
            <w:pPr>
              <w:spacing w:after="0" w:line="240" w:lineRule="auto"/>
              <w:rPr>
                <w:rFonts w:eastAsia="Times New Roman"/>
                <w:lang w:val="es-ES"/>
              </w:rPr>
            </w:pPr>
            <w:r w:rsidRPr="004A15DC">
              <w:rPr>
                <w:rFonts w:eastAsia="Times New Roman"/>
                <w:lang w:val="es-ES"/>
              </w:rPr>
              <w:t>Primera versión de la evaluación final. Discusión con contra partes</w:t>
            </w:r>
          </w:p>
        </w:tc>
        <w:tc>
          <w:tcPr>
            <w:tcW w:w="263" w:type="pct"/>
            <w:shd w:val="clear" w:color="auto" w:fill="auto"/>
            <w:vAlign w:val="center"/>
          </w:tcPr>
          <w:p w:rsidR="00C83C65" w:rsidRPr="004A15DC" w:rsidRDefault="00C83C65" w:rsidP="003D3E8B">
            <w:pPr>
              <w:rPr>
                <w:rFonts w:eastAsia="Times New Roman"/>
                <w:lang w:val="es-ES"/>
              </w:rPr>
            </w:pPr>
          </w:p>
        </w:tc>
        <w:tc>
          <w:tcPr>
            <w:tcW w:w="264" w:type="pct"/>
            <w:shd w:val="clear" w:color="auto" w:fill="auto"/>
            <w:vAlign w:val="center"/>
          </w:tcPr>
          <w:p w:rsidR="00C83C65" w:rsidRPr="004A15DC" w:rsidRDefault="00C83C65" w:rsidP="003D3E8B">
            <w:pPr>
              <w:rPr>
                <w:rFonts w:eastAsia="Times New Roman"/>
                <w:lang w:val="es-ES"/>
              </w:rPr>
            </w:pPr>
          </w:p>
        </w:tc>
        <w:tc>
          <w:tcPr>
            <w:tcW w:w="263"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vAlign w:val="center"/>
          </w:tcPr>
          <w:p w:rsidR="00C83C65" w:rsidRPr="004A15DC" w:rsidRDefault="00C83C65" w:rsidP="003D3E8B">
            <w:pPr>
              <w:rPr>
                <w:rFonts w:eastAsia="Times New Roman"/>
                <w:lang w:val="es-ES"/>
              </w:rPr>
            </w:pPr>
          </w:p>
        </w:tc>
        <w:tc>
          <w:tcPr>
            <w:tcW w:w="262" w:type="pct"/>
            <w:shd w:val="clear" w:color="auto" w:fill="auto"/>
          </w:tcPr>
          <w:p w:rsidR="00C83C65" w:rsidRPr="004A15DC" w:rsidRDefault="00C83C65" w:rsidP="003D3E8B">
            <w:pPr>
              <w:rPr>
                <w:rFonts w:eastAsia="Times New Roman"/>
                <w:lang w:val="es-ES"/>
              </w:rPr>
            </w:pPr>
          </w:p>
        </w:tc>
        <w:tc>
          <w:tcPr>
            <w:tcW w:w="259" w:type="pct"/>
            <w:shd w:val="clear" w:color="auto" w:fill="auto"/>
          </w:tcPr>
          <w:p w:rsidR="00C83C65" w:rsidRPr="004A15DC" w:rsidRDefault="00C83C65" w:rsidP="003D3E8B">
            <w:pPr>
              <w:rPr>
                <w:rFonts w:eastAsia="Times New Roman"/>
                <w:lang w:val="es-ES"/>
              </w:rPr>
            </w:pPr>
          </w:p>
        </w:tc>
      </w:tr>
      <w:tr w:rsidR="00FA46CD" w:rsidRPr="004A15DC" w:rsidTr="004A15DC">
        <w:trPr>
          <w:jc w:val="center"/>
        </w:trPr>
        <w:tc>
          <w:tcPr>
            <w:tcW w:w="2379" w:type="pct"/>
            <w:shd w:val="clear" w:color="auto" w:fill="auto"/>
            <w:vAlign w:val="center"/>
          </w:tcPr>
          <w:p w:rsidR="00C83C65" w:rsidRPr="004A15DC" w:rsidRDefault="00C83C65" w:rsidP="004A15DC">
            <w:pPr>
              <w:spacing w:after="0"/>
              <w:rPr>
                <w:rFonts w:eastAsia="Times New Roman"/>
                <w:lang w:val="es-ES"/>
              </w:rPr>
            </w:pPr>
            <w:r w:rsidRPr="004A15DC">
              <w:rPr>
                <w:rFonts w:eastAsia="Times New Roman"/>
                <w:lang w:val="es-ES"/>
              </w:rPr>
              <w:t>Versión final</w:t>
            </w: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4" w:type="pct"/>
            <w:shd w:val="clear" w:color="auto" w:fill="auto"/>
            <w:vAlign w:val="center"/>
          </w:tcPr>
          <w:p w:rsidR="00C83C65" w:rsidRPr="004A15DC" w:rsidRDefault="00C83C65" w:rsidP="004A15DC">
            <w:pPr>
              <w:spacing w:after="0"/>
              <w:rPr>
                <w:rFonts w:eastAsia="Times New Roman"/>
                <w:lang w:val="es-ES"/>
              </w:rPr>
            </w:pPr>
          </w:p>
        </w:tc>
        <w:tc>
          <w:tcPr>
            <w:tcW w:w="263"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vAlign w:val="center"/>
          </w:tcPr>
          <w:p w:rsidR="00C83C65" w:rsidRPr="004A15DC" w:rsidRDefault="00C83C65" w:rsidP="004A15DC">
            <w:pPr>
              <w:spacing w:after="0"/>
              <w:rPr>
                <w:rFonts w:eastAsia="Times New Roman"/>
                <w:lang w:val="es-ES"/>
              </w:rPr>
            </w:pPr>
          </w:p>
        </w:tc>
        <w:tc>
          <w:tcPr>
            <w:tcW w:w="262" w:type="pct"/>
            <w:shd w:val="clear" w:color="auto" w:fill="auto"/>
          </w:tcPr>
          <w:p w:rsidR="00C83C65" w:rsidRPr="004A15DC" w:rsidRDefault="00C83C65" w:rsidP="004A15DC">
            <w:pPr>
              <w:spacing w:after="0"/>
              <w:rPr>
                <w:rFonts w:eastAsia="Times New Roman"/>
                <w:lang w:val="es-ES"/>
              </w:rPr>
            </w:pPr>
          </w:p>
        </w:tc>
        <w:tc>
          <w:tcPr>
            <w:tcW w:w="259" w:type="pct"/>
            <w:shd w:val="clear" w:color="auto" w:fill="auto"/>
          </w:tcPr>
          <w:p w:rsidR="00C83C65" w:rsidRPr="004A15DC" w:rsidRDefault="00C83C65" w:rsidP="004A15DC">
            <w:pPr>
              <w:spacing w:after="0"/>
              <w:rPr>
                <w:rFonts w:eastAsia="Times New Roman"/>
                <w:lang w:val="es-ES"/>
              </w:rPr>
            </w:pPr>
          </w:p>
        </w:tc>
      </w:tr>
    </w:tbl>
    <w:p w:rsidR="00C83C65" w:rsidRPr="0091002C" w:rsidRDefault="00C83C65" w:rsidP="004049D1">
      <w:pPr>
        <w:ind w:left="720"/>
        <w:jc w:val="both"/>
        <w:rPr>
          <w:lang w:val="es-ES"/>
        </w:rPr>
      </w:pPr>
    </w:p>
    <w:p w:rsidR="00C83C65" w:rsidRPr="0091002C" w:rsidRDefault="00C83C65" w:rsidP="0047047E">
      <w:pPr>
        <w:spacing w:line="240" w:lineRule="auto"/>
        <w:ind w:left="720"/>
        <w:jc w:val="both"/>
        <w:rPr>
          <w:lang w:val="es-ES"/>
        </w:rPr>
      </w:pPr>
      <w:r w:rsidRPr="0091002C">
        <w:rPr>
          <w:lang w:val="es-ES"/>
        </w:rPr>
        <w:t>Dado la naturaleza de las intervenciones, que tienen plazos de madurez relativamente largos, el análisis de evaluación de impacto se realizará no antes del año 2019.</w:t>
      </w:r>
    </w:p>
    <w:p w:rsidR="00C83C65" w:rsidRPr="0091002C" w:rsidRDefault="00C83C65" w:rsidP="0047047E">
      <w:pPr>
        <w:spacing w:line="240" w:lineRule="auto"/>
        <w:ind w:left="720"/>
        <w:jc w:val="both"/>
        <w:rPr>
          <w:lang w:val="es-ES"/>
        </w:rPr>
      </w:pPr>
      <w:r w:rsidRPr="0091002C">
        <w:rPr>
          <w:lang w:val="es-ES"/>
        </w:rPr>
        <w:t>Dado que los datos administrativos están disponibles públicamente sin costos financieros, el único costo asociado es la evaluación en sí en 2019, con un costo estimado de US$25,000.</w:t>
      </w:r>
    </w:p>
    <w:p w:rsidR="00C83C65" w:rsidRPr="0091002C" w:rsidRDefault="00C83C65" w:rsidP="00C83C65">
      <w:pPr>
        <w:ind w:left="720"/>
        <w:rPr>
          <w:lang w:val="es-ES"/>
        </w:rPr>
      </w:pPr>
      <w:r w:rsidRPr="0091002C">
        <w:rPr>
          <w:lang w:val="es-ES"/>
        </w:rPr>
        <w:t xml:space="preserve"> </w:t>
      </w:r>
    </w:p>
    <w:p w:rsidR="00C83C65" w:rsidRPr="0091002C" w:rsidRDefault="00C83C65" w:rsidP="00C83C65">
      <w:pPr>
        <w:rPr>
          <w:rFonts w:eastAsia="Times New Roman"/>
          <w:b/>
          <w:sz w:val="24"/>
          <w:szCs w:val="20"/>
          <w:lang w:val="es-ES"/>
        </w:rPr>
      </w:pPr>
      <w:r w:rsidRPr="0091002C">
        <w:rPr>
          <w:lang w:val="es-ES"/>
        </w:rPr>
        <w:br w:type="page"/>
      </w:r>
    </w:p>
    <w:p w:rsidR="00C83C65" w:rsidRPr="004049D1" w:rsidRDefault="00C83C65" w:rsidP="00C83C65">
      <w:pPr>
        <w:keepNext/>
        <w:spacing w:before="240" w:after="60"/>
        <w:outlineLvl w:val="1"/>
        <w:rPr>
          <w:rFonts w:eastAsia="Times New Roman"/>
          <w:b/>
          <w:sz w:val="24"/>
          <w:szCs w:val="20"/>
        </w:rPr>
      </w:pPr>
      <w:r w:rsidRPr="004049D1">
        <w:rPr>
          <w:rFonts w:eastAsia="Times New Roman"/>
          <w:b/>
          <w:sz w:val="24"/>
          <w:szCs w:val="20"/>
        </w:rPr>
        <w:t>Referencias</w:t>
      </w:r>
    </w:p>
    <w:p w:rsidR="00C83C65" w:rsidRPr="004A15DC" w:rsidRDefault="00C83C65" w:rsidP="00C83C65">
      <w:pPr>
        <w:numPr>
          <w:ilvl w:val="1"/>
          <w:numId w:val="0"/>
        </w:numPr>
        <w:autoSpaceDE w:val="0"/>
        <w:autoSpaceDN w:val="0"/>
        <w:adjustRightInd w:val="0"/>
        <w:spacing w:after="0"/>
        <w:ind w:left="567" w:hanging="567"/>
        <w:contextualSpacing/>
        <w:jc w:val="both"/>
        <w:rPr>
          <w:rFonts w:cs="Arial"/>
          <w:color w:val="222222"/>
          <w:shd w:val="clear" w:color="auto" w:fill="FFFFFF"/>
        </w:rPr>
      </w:pPr>
      <w:r w:rsidRPr="004A15DC">
        <w:rPr>
          <w:rFonts w:cs="Arial"/>
          <w:color w:val="222222"/>
          <w:shd w:val="clear" w:color="auto" w:fill="FFFFFF"/>
        </w:rPr>
        <w:t>Abadie, A., Diamond, A., &amp; Hainmueller, J. (2010). Synthetic control methods for comparative case studies: Estimating the effect of California’s tobacco control program. </w:t>
      </w:r>
      <w:r w:rsidRPr="004A15DC">
        <w:rPr>
          <w:rFonts w:cs="Arial"/>
          <w:i/>
          <w:iCs/>
          <w:color w:val="222222"/>
          <w:shd w:val="clear" w:color="auto" w:fill="FFFFFF"/>
        </w:rPr>
        <w:t>Journal of the American Statistical Association</w:t>
      </w:r>
      <w:r w:rsidRPr="004A15DC">
        <w:rPr>
          <w:rFonts w:cs="Arial"/>
          <w:color w:val="222222"/>
          <w:shd w:val="clear" w:color="auto" w:fill="FFFFFF"/>
        </w:rPr>
        <w:t>, </w:t>
      </w:r>
      <w:r w:rsidRPr="004A15DC">
        <w:rPr>
          <w:rFonts w:cs="Arial"/>
          <w:i/>
          <w:iCs/>
          <w:color w:val="222222"/>
          <w:shd w:val="clear" w:color="auto" w:fill="FFFFFF"/>
        </w:rPr>
        <w:t>105</w:t>
      </w:r>
      <w:r w:rsidRPr="004A15DC">
        <w:rPr>
          <w:rFonts w:cs="Arial"/>
          <w:color w:val="222222"/>
          <w:shd w:val="clear" w:color="auto" w:fill="FFFFFF"/>
        </w:rPr>
        <w:t>(490).</w:t>
      </w:r>
    </w:p>
    <w:p w:rsidR="00C83C65" w:rsidRPr="0091002C" w:rsidRDefault="00C83C65" w:rsidP="00C83C65">
      <w:pPr>
        <w:numPr>
          <w:ilvl w:val="1"/>
          <w:numId w:val="0"/>
        </w:numPr>
        <w:autoSpaceDE w:val="0"/>
        <w:autoSpaceDN w:val="0"/>
        <w:adjustRightInd w:val="0"/>
        <w:spacing w:after="0"/>
        <w:ind w:left="567" w:hanging="567"/>
        <w:contextualSpacing/>
        <w:jc w:val="both"/>
        <w:rPr>
          <w:color w:val="222222"/>
          <w:shd w:val="clear" w:color="auto" w:fill="FFFFFF"/>
          <w:lang w:val="es-ES"/>
        </w:rPr>
      </w:pPr>
      <w:r w:rsidRPr="004A15DC">
        <w:rPr>
          <w:rFonts w:cs="Arial"/>
          <w:color w:val="222222"/>
          <w:shd w:val="clear" w:color="auto" w:fill="FFFFFF"/>
        </w:rPr>
        <w:t>Abadie, A., &amp; Gardeazabal, J. (2003). The economic costs of conflict: A case study of the Basque Country. </w:t>
      </w:r>
      <w:r w:rsidRPr="004A15DC">
        <w:rPr>
          <w:rFonts w:cs="Arial"/>
          <w:i/>
          <w:iCs/>
          <w:color w:val="222222"/>
          <w:shd w:val="clear" w:color="auto" w:fill="FFFFFF"/>
          <w:lang w:val="es-ES"/>
        </w:rPr>
        <w:t>American economic review</w:t>
      </w:r>
      <w:r w:rsidRPr="004A15DC">
        <w:rPr>
          <w:rFonts w:cs="Arial"/>
          <w:color w:val="222222"/>
          <w:shd w:val="clear" w:color="auto" w:fill="FFFFFF"/>
          <w:lang w:val="es-ES"/>
        </w:rPr>
        <w:t>, 113-132</w:t>
      </w:r>
      <w:r w:rsidRPr="0091002C">
        <w:rPr>
          <w:color w:val="222222"/>
          <w:shd w:val="clear" w:color="auto" w:fill="FFFFFF"/>
          <w:lang w:val="es-ES"/>
        </w:rPr>
        <w:t>.</w:t>
      </w: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p w:rsidR="00C83C65" w:rsidRPr="004A15DC" w:rsidRDefault="00C83C65" w:rsidP="00C83C65">
      <w:pPr>
        <w:pStyle w:val="Paragraph"/>
        <w:numPr>
          <w:ilvl w:val="0"/>
          <w:numId w:val="0"/>
        </w:numPr>
        <w:spacing w:line="276" w:lineRule="auto"/>
        <w:rPr>
          <w:rFonts w:ascii="Arial" w:hAnsi="Arial" w:cs="Arial"/>
          <w:sz w:val="22"/>
          <w:szCs w:val="22"/>
        </w:rPr>
      </w:pPr>
    </w:p>
    <w:sectPr w:rsidR="00C83C65" w:rsidRPr="004A15DC" w:rsidSect="00AA0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E7" w:rsidRDefault="00E834E7" w:rsidP="00A135AE">
      <w:pPr>
        <w:spacing w:after="0" w:line="240" w:lineRule="auto"/>
      </w:pPr>
      <w:r>
        <w:separator/>
      </w:r>
    </w:p>
  </w:endnote>
  <w:endnote w:type="continuationSeparator" w:id="0">
    <w:p w:rsidR="00E834E7" w:rsidRDefault="00E834E7" w:rsidP="00A1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dra Web Pro Light">
    <w:altName w:val="Tundra Web Pro Ligh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E7" w:rsidRDefault="00E834E7" w:rsidP="00A135AE">
      <w:pPr>
        <w:spacing w:after="0" w:line="240" w:lineRule="auto"/>
      </w:pPr>
      <w:r>
        <w:separator/>
      </w:r>
    </w:p>
  </w:footnote>
  <w:footnote w:type="continuationSeparator" w:id="0">
    <w:p w:rsidR="00E834E7" w:rsidRDefault="00E834E7" w:rsidP="00A135AE">
      <w:pPr>
        <w:spacing w:after="0" w:line="240" w:lineRule="auto"/>
      </w:pPr>
      <w:r>
        <w:continuationSeparator/>
      </w:r>
    </w:p>
  </w:footnote>
  <w:footnote w:id="1">
    <w:p w:rsidR="004049D1" w:rsidRPr="003D1456" w:rsidRDefault="004049D1" w:rsidP="003D1456">
      <w:pPr>
        <w:autoSpaceDE w:val="0"/>
        <w:autoSpaceDN w:val="0"/>
        <w:adjustRightInd w:val="0"/>
        <w:spacing w:after="0" w:line="240" w:lineRule="auto"/>
        <w:ind w:left="360" w:hanging="360"/>
        <w:jc w:val="both"/>
        <w:rPr>
          <w:rFonts w:cs="Arial"/>
          <w:sz w:val="18"/>
          <w:szCs w:val="18"/>
          <w:lang w:val="es-ES_tradnl"/>
        </w:rPr>
      </w:pPr>
      <w:r w:rsidRPr="003D1456">
        <w:rPr>
          <w:rStyle w:val="FootnoteReference"/>
          <w:rFonts w:cs="Arial"/>
          <w:sz w:val="18"/>
          <w:szCs w:val="18"/>
        </w:rPr>
        <w:footnoteRef/>
      </w:r>
      <w:r w:rsidRPr="003D1456">
        <w:rPr>
          <w:rFonts w:cs="Arial"/>
          <w:sz w:val="18"/>
          <w:szCs w:val="18"/>
          <w:lang w:val="es-ES_tradnl"/>
        </w:rPr>
        <w:t xml:space="preserve"> </w:t>
      </w:r>
      <w:r w:rsidRPr="003D1456">
        <w:rPr>
          <w:rFonts w:cs="Arial"/>
          <w:sz w:val="18"/>
          <w:szCs w:val="18"/>
          <w:lang w:val="es-ES_tradnl"/>
        </w:rPr>
        <w:tab/>
        <w:t>La elaboración de los códigos de ética se realizará de conformidad con las directrices generales emitidas por el Ministerio de Hacienda.</w:t>
      </w:r>
    </w:p>
  </w:footnote>
  <w:footnote w:id="2">
    <w:p w:rsidR="001F3AEE" w:rsidRPr="00717665" w:rsidRDefault="001F3AEE" w:rsidP="00717665">
      <w:pPr>
        <w:autoSpaceDE w:val="0"/>
        <w:autoSpaceDN w:val="0"/>
        <w:adjustRightInd w:val="0"/>
        <w:spacing w:after="0" w:line="240" w:lineRule="auto"/>
        <w:ind w:left="360" w:hanging="360"/>
        <w:jc w:val="both"/>
        <w:rPr>
          <w:lang w:val="es-ES_tradnl"/>
        </w:rPr>
      </w:pPr>
      <w:r>
        <w:rPr>
          <w:rStyle w:val="FootnoteReference"/>
        </w:rPr>
        <w:footnoteRef/>
      </w:r>
      <w:r w:rsidRPr="00717665">
        <w:rPr>
          <w:lang w:val="es-ES_tradnl"/>
        </w:rPr>
        <w:t xml:space="preserve"> </w:t>
      </w:r>
      <w:r>
        <w:rPr>
          <w:lang w:val="es-ES_tradnl"/>
        </w:rPr>
        <w:tab/>
      </w:r>
      <w:r w:rsidRPr="00717665">
        <w:rPr>
          <w:rFonts w:cs="Arial"/>
          <w:sz w:val="18"/>
          <w:szCs w:val="18"/>
          <w:lang w:val="es-ES_tradnl"/>
        </w:rPr>
        <w:t>De conformidad con la Ley 19.799 “</w:t>
      </w:r>
      <w:hyperlink r:id="rId1" w:history="1">
        <w:r w:rsidRPr="00717665">
          <w:rPr>
            <w:rStyle w:val="Hyperlink"/>
            <w:rFonts w:cs="Arial"/>
            <w:sz w:val="18"/>
            <w:szCs w:val="18"/>
            <w:lang w:val="es-ES_tradnl"/>
          </w:rPr>
          <w:t>Ley sobre documentos electrónicos, firma electrónica y servicios de certificación de dicha firma</w:t>
        </w:r>
      </w:hyperlink>
      <w:r w:rsidRPr="00717665">
        <w:rPr>
          <w:rFonts w:cs="Arial"/>
          <w:sz w:val="18"/>
          <w:szCs w:val="18"/>
          <w:lang w:val="es-ES_tradnl"/>
        </w:rPr>
        <w:t>”.</w:t>
      </w:r>
    </w:p>
  </w:footnote>
  <w:footnote w:id="3">
    <w:p w:rsidR="004049D1" w:rsidRPr="004A15DC" w:rsidRDefault="004049D1">
      <w:pPr>
        <w:pStyle w:val="FootnoteText"/>
        <w:rPr>
          <w:rFonts w:ascii="Arial" w:hAnsi="Arial" w:cs="Arial"/>
          <w:sz w:val="18"/>
          <w:lang w:val="es-ES"/>
        </w:rPr>
      </w:pPr>
      <w:r w:rsidRPr="004A15DC">
        <w:rPr>
          <w:rStyle w:val="FootnoteReference"/>
          <w:rFonts w:ascii="Arial" w:hAnsi="Arial" w:cs="Arial"/>
          <w:sz w:val="18"/>
        </w:rPr>
        <w:footnoteRef/>
      </w:r>
      <w:r w:rsidRPr="004A15DC">
        <w:rPr>
          <w:rFonts w:ascii="Arial" w:hAnsi="Arial" w:cs="Arial"/>
          <w:sz w:val="18"/>
          <w:lang w:val="es-ES"/>
        </w:rPr>
        <w:t xml:space="preserve"> Refiere a 2016.</w:t>
      </w:r>
    </w:p>
  </w:footnote>
  <w:footnote w:id="4">
    <w:p w:rsidR="004049D1" w:rsidRPr="003D1456" w:rsidRDefault="004049D1" w:rsidP="003D1456">
      <w:pPr>
        <w:pStyle w:val="FootnoteText"/>
        <w:ind w:left="90" w:hanging="90"/>
        <w:jc w:val="both"/>
        <w:rPr>
          <w:rFonts w:ascii="Arial" w:hAnsi="Arial" w:cs="Arial"/>
          <w:sz w:val="18"/>
          <w:szCs w:val="18"/>
          <w:lang w:val="es-AR"/>
        </w:rPr>
      </w:pPr>
      <w:r w:rsidRPr="003D1456">
        <w:rPr>
          <w:rStyle w:val="FootnoteReference"/>
          <w:rFonts w:ascii="Arial" w:hAnsi="Arial" w:cs="Arial"/>
          <w:sz w:val="18"/>
          <w:szCs w:val="18"/>
        </w:rPr>
        <w:footnoteRef/>
      </w:r>
      <w:r w:rsidRPr="003D1456">
        <w:rPr>
          <w:rFonts w:ascii="Arial" w:hAnsi="Arial" w:cs="Arial"/>
          <w:sz w:val="18"/>
          <w:szCs w:val="18"/>
          <w:lang w:val="es-AR"/>
        </w:rPr>
        <w:t xml:space="preserve"> Según mediciones del Banco Mundial en 2014, </w:t>
      </w:r>
      <w:r w:rsidRPr="003D1456">
        <w:rPr>
          <w:rFonts w:ascii="Arial" w:hAnsi="Arial" w:cs="Arial"/>
          <w:sz w:val="18"/>
          <w:szCs w:val="18"/>
          <w:lang w:val="es-ES"/>
        </w:rPr>
        <w:t>en temas de manejo de corrupción Chile obtuvo un puntaje de 1.52%, en comparación a 0.11% que es el promedio de la región. En cuanto a efectividad del Gobierno, Chile obtuvo un puntaje de 1.25%, mientras que la ALC en su conjunto obtuvo un 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D1" w:rsidRPr="004A15DC" w:rsidRDefault="004049D1" w:rsidP="001664D5">
    <w:pPr>
      <w:pStyle w:val="Header"/>
      <w:jc w:val="right"/>
      <w:rPr>
        <w:rFonts w:ascii="Arial" w:hAnsi="Arial" w:cs="Arial"/>
        <w:sz w:val="18"/>
        <w:szCs w:val="18"/>
      </w:rPr>
    </w:pPr>
    <w:r w:rsidRPr="004A15DC">
      <w:rPr>
        <w:rFonts w:ascii="Arial" w:hAnsi="Arial" w:cs="Arial"/>
        <w:sz w:val="18"/>
        <w:szCs w:val="18"/>
      </w:rPr>
      <w:t>EEO#4 – CH-L1111</w:t>
    </w:r>
  </w:p>
  <w:p w:rsidR="004049D1" w:rsidRDefault="0040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D1" w:rsidRDefault="004049D1">
    <w:pPr>
      <w:pStyle w:val="Header"/>
      <w:rPr>
        <w:snapToGrid w:val="0"/>
      </w:rPr>
    </w:pPr>
  </w:p>
  <w:p w:rsidR="004049D1" w:rsidRDefault="004049D1">
    <w:pPr>
      <w:pStyle w:val="Header"/>
      <w:jc w:val="center"/>
      <w:rPr>
        <w:snapToGrid w:val="0"/>
      </w:rPr>
    </w:pPr>
  </w:p>
  <w:p w:rsidR="004049D1" w:rsidRDefault="004049D1">
    <w:pPr>
      <w:pStyle w:val="Header"/>
      <w:jc w:val="center"/>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64963006"/>
    <w:lvl w:ilvl="0">
      <w:start w:val="1"/>
      <w:numFmt w:val="upperRoman"/>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pStyle w:val="Paragraph"/>
      <w:isLgl/>
      <w:lvlText w:val="%1.%2"/>
      <w:lvlJc w:val="left"/>
      <w:pPr>
        <w:tabs>
          <w:tab w:val="num" w:pos="810"/>
        </w:tabs>
        <w:ind w:left="810" w:hanging="720"/>
      </w:pPr>
      <w:rPr>
        <w:rFonts w:ascii="Arial" w:hAnsi="Arial" w:cs="Arial" w:hint="default"/>
        <w:b w:val="0"/>
        <w:sz w:val="22"/>
        <w:szCs w:val="22"/>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803584E"/>
    <w:multiLevelType w:val="hybridMultilevel"/>
    <w:tmpl w:val="D5D83AD0"/>
    <w:lvl w:ilvl="0" w:tplc="A32C424C">
      <w:start w:val="1"/>
      <w:numFmt w:val="lowerRoman"/>
      <w:lvlText w:val="(%1)"/>
      <w:lvlJc w:val="left"/>
      <w:pPr>
        <w:ind w:left="1080" w:hanging="360"/>
      </w:pPr>
      <w:rPr>
        <w:rFonts w:ascii="Arial" w:eastAsia="Times New Roman" w:hAnsi="Arial" w:cs="Arial"/>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D79533A"/>
    <w:multiLevelType w:val="multilevel"/>
    <w:tmpl w:val="8A265BF6"/>
    <w:lvl w:ilvl="0">
      <w:start w:val="1"/>
      <w:numFmt w:val="decimal"/>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2F615CE9"/>
    <w:multiLevelType w:val="hybridMultilevel"/>
    <w:tmpl w:val="6A743C14"/>
    <w:lvl w:ilvl="0" w:tplc="595238B8">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5483073"/>
    <w:multiLevelType w:val="hybridMultilevel"/>
    <w:tmpl w:val="FE2813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8966F29"/>
    <w:multiLevelType w:val="multilevel"/>
    <w:tmpl w:val="7334171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7">
    <w:nsid w:val="6719718E"/>
    <w:multiLevelType w:val="hybridMultilevel"/>
    <w:tmpl w:val="8EF26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55D9B"/>
    <w:multiLevelType w:val="hybridMultilevel"/>
    <w:tmpl w:val="A2AC3474"/>
    <w:lvl w:ilvl="0" w:tplc="0409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4C74592"/>
    <w:multiLevelType w:val="multilevel"/>
    <w:tmpl w:val="FD9AB77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Letter"/>
      <w:pStyle w:val="Heading7"/>
      <w:lvlText w:val="%7)"/>
      <w:lvlJc w:val="left"/>
      <w:pPr>
        <w:tabs>
          <w:tab w:val="num" w:pos="4680"/>
        </w:tabs>
        <w:ind w:left="4320" w:firstLine="0"/>
      </w:pPr>
      <w:rPr>
        <w:rFonts w:ascii="Arial" w:eastAsia="Times New Roman" w:hAnsi="Arial" w:cs="Times New Roman"/>
      </w:r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rPr>
        <w:b w:val="0"/>
        <w:i w:val="0"/>
      </w:rPr>
    </w:lvl>
  </w:abstractNum>
  <w:abstractNum w:abstractNumId="10">
    <w:nsid w:val="7B1D6C66"/>
    <w:multiLevelType w:val="multilevel"/>
    <w:tmpl w:val="8A7A114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C2A2B98"/>
    <w:multiLevelType w:val="hybridMultilevel"/>
    <w:tmpl w:val="4E90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7"/>
  </w:num>
  <w:num w:numId="6">
    <w:abstractNumId w:val="5"/>
  </w:num>
  <w:num w:numId="7">
    <w:abstractNumId w:val="10"/>
  </w:num>
  <w:num w:numId="8">
    <w:abstractNumId w:val="11"/>
  </w:num>
  <w:num w:numId="9">
    <w:abstractNumId w:val="4"/>
  </w:num>
  <w:num w:numId="10">
    <w:abstractNumId w:val="1"/>
  </w:num>
  <w:num w:numId="11">
    <w:abstractNumId w:val="3"/>
  </w:num>
  <w:num w:numId="12">
    <w:abstractNumId w:val="8"/>
  </w:num>
  <w:num w:numId="13">
    <w:abstractNumId w:val="9"/>
  </w:num>
  <w:num w:numId="14">
    <w:abstractNumId w:val="9"/>
  </w:num>
  <w:num w:numId="15">
    <w:abstractNumId w:val="9"/>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6D"/>
    <w:rsid w:val="00003A68"/>
    <w:rsid w:val="00003AF6"/>
    <w:rsid w:val="000121AF"/>
    <w:rsid w:val="00020A53"/>
    <w:rsid w:val="00023981"/>
    <w:rsid w:val="000241A7"/>
    <w:rsid w:val="0002515F"/>
    <w:rsid w:val="00035FE9"/>
    <w:rsid w:val="00042B63"/>
    <w:rsid w:val="00045923"/>
    <w:rsid w:val="00055637"/>
    <w:rsid w:val="0005578E"/>
    <w:rsid w:val="000764EA"/>
    <w:rsid w:val="00083C2A"/>
    <w:rsid w:val="00087552"/>
    <w:rsid w:val="00095133"/>
    <w:rsid w:val="000A58FD"/>
    <w:rsid w:val="000B3843"/>
    <w:rsid w:val="000B4084"/>
    <w:rsid w:val="000B66E1"/>
    <w:rsid w:val="000C3B9A"/>
    <w:rsid w:val="000C5C7D"/>
    <w:rsid w:val="000D25F8"/>
    <w:rsid w:val="000E695C"/>
    <w:rsid w:val="000F3972"/>
    <w:rsid w:val="000F3E67"/>
    <w:rsid w:val="000F55F5"/>
    <w:rsid w:val="00102EF2"/>
    <w:rsid w:val="00110251"/>
    <w:rsid w:val="00123414"/>
    <w:rsid w:val="0013594E"/>
    <w:rsid w:val="00147E47"/>
    <w:rsid w:val="00151445"/>
    <w:rsid w:val="00157BDC"/>
    <w:rsid w:val="001664D5"/>
    <w:rsid w:val="00172F55"/>
    <w:rsid w:val="0018022B"/>
    <w:rsid w:val="0018193C"/>
    <w:rsid w:val="00193D22"/>
    <w:rsid w:val="00197128"/>
    <w:rsid w:val="001A20F4"/>
    <w:rsid w:val="001D7338"/>
    <w:rsid w:val="001D7730"/>
    <w:rsid w:val="001E40B7"/>
    <w:rsid w:val="001E5BB1"/>
    <w:rsid w:val="001F0FDC"/>
    <w:rsid w:val="001F3AEE"/>
    <w:rsid w:val="00201EA5"/>
    <w:rsid w:val="00205A97"/>
    <w:rsid w:val="00216214"/>
    <w:rsid w:val="00217CD0"/>
    <w:rsid w:val="0022137A"/>
    <w:rsid w:val="00223250"/>
    <w:rsid w:val="00224358"/>
    <w:rsid w:val="00224C14"/>
    <w:rsid w:val="00225B2C"/>
    <w:rsid w:val="00231F21"/>
    <w:rsid w:val="002361EC"/>
    <w:rsid w:val="0024501B"/>
    <w:rsid w:val="00246318"/>
    <w:rsid w:val="0025506D"/>
    <w:rsid w:val="002636E8"/>
    <w:rsid w:val="0028095C"/>
    <w:rsid w:val="002948F8"/>
    <w:rsid w:val="00296339"/>
    <w:rsid w:val="002A6B11"/>
    <w:rsid w:val="002B25DD"/>
    <w:rsid w:val="002C2431"/>
    <w:rsid w:val="002C2978"/>
    <w:rsid w:val="002C43C0"/>
    <w:rsid w:val="002E7FC9"/>
    <w:rsid w:val="002F2D8C"/>
    <w:rsid w:val="0030485D"/>
    <w:rsid w:val="00305D04"/>
    <w:rsid w:val="00310F7B"/>
    <w:rsid w:val="00312EB9"/>
    <w:rsid w:val="00316D78"/>
    <w:rsid w:val="003239BC"/>
    <w:rsid w:val="0033564A"/>
    <w:rsid w:val="00336BDC"/>
    <w:rsid w:val="003372CB"/>
    <w:rsid w:val="00337CF6"/>
    <w:rsid w:val="00350A85"/>
    <w:rsid w:val="00354488"/>
    <w:rsid w:val="00357D07"/>
    <w:rsid w:val="003721C9"/>
    <w:rsid w:val="003928A2"/>
    <w:rsid w:val="003A4892"/>
    <w:rsid w:val="003B69B1"/>
    <w:rsid w:val="003C2506"/>
    <w:rsid w:val="003C59B6"/>
    <w:rsid w:val="003C7C51"/>
    <w:rsid w:val="003D1456"/>
    <w:rsid w:val="003D2AC2"/>
    <w:rsid w:val="003D38C9"/>
    <w:rsid w:val="003D3E8B"/>
    <w:rsid w:val="003D4817"/>
    <w:rsid w:val="003E4D28"/>
    <w:rsid w:val="003F77B8"/>
    <w:rsid w:val="00400D88"/>
    <w:rsid w:val="004049D1"/>
    <w:rsid w:val="00420FC0"/>
    <w:rsid w:val="00425B93"/>
    <w:rsid w:val="00426AA6"/>
    <w:rsid w:val="004273CD"/>
    <w:rsid w:val="004313B9"/>
    <w:rsid w:val="00432567"/>
    <w:rsid w:val="004509CF"/>
    <w:rsid w:val="004538A8"/>
    <w:rsid w:val="00455127"/>
    <w:rsid w:val="0047047E"/>
    <w:rsid w:val="00472BFC"/>
    <w:rsid w:val="00487C51"/>
    <w:rsid w:val="004A15DC"/>
    <w:rsid w:val="004A485D"/>
    <w:rsid w:val="004A5EA5"/>
    <w:rsid w:val="004A7979"/>
    <w:rsid w:val="004B5CB3"/>
    <w:rsid w:val="004C0FAB"/>
    <w:rsid w:val="004D533E"/>
    <w:rsid w:val="004F1E9F"/>
    <w:rsid w:val="004F3CBB"/>
    <w:rsid w:val="004F4740"/>
    <w:rsid w:val="005016BF"/>
    <w:rsid w:val="00504228"/>
    <w:rsid w:val="00506442"/>
    <w:rsid w:val="005074D5"/>
    <w:rsid w:val="005110DF"/>
    <w:rsid w:val="005128D1"/>
    <w:rsid w:val="00521416"/>
    <w:rsid w:val="00533436"/>
    <w:rsid w:val="00534BD9"/>
    <w:rsid w:val="005351E2"/>
    <w:rsid w:val="00537028"/>
    <w:rsid w:val="005562CA"/>
    <w:rsid w:val="0055726B"/>
    <w:rsid w:val="00557963"/>
    <w:rsid w:val="00560A8B"/>
    <w:rsid w:val="005755C1"/>
    <w:rsid w:val="00576965"/>
    <w:rsid w:val="00585F12"/>
    <w:rsid w:val="00586EC3"/>
    <w:rsid w:val="005945C4"/>
    <w:rsid w:val="005A77F3"/>
    <w:rsid w:val="005B12D4"/>
    <w:rsid w:val="005C07B0"/>
    <w:rsid w:val="005C3667"/>
    <w:rsid w:val="005C6045"/>
    <w:rsid w:val="005C68D8"/>
    <w:rsid w:val="005D5DDF"/>
    <w:rsid w:val="005E0B9D"/>
    <w:rsid w:val="00603691"/>
    <w:rsid w:val="00624506"/>
    <w:rsid w:val="00626CC0"/>
    <w:rsid w:val="006358DA"/>
    <w:rsid w:val="00644891"/>
    <w:rsid w:val="00651A2C"/>
    <w:rsid w:val="0065206B"/>
    <w:rsid w:val="0067388F"/>
    <w:rsid w:val="00674678"/>
    <w:rsid w:val="00676554"/>
    <w:rsid w:val="006922FD"/>
    <w:rsid w:val="0069662C"/>
    <w:rsid w:val="006A5D50"/>
    <w:rsid w:val="006B03C8"/>
    <w:rsid w:val="006C2AEC"/>
    <w:rsid w:val="006D61FB"/>
    <w:rsid w:val="006D68E6"/>
    <w:rsid w:val="006E159E"/>
    <w:rsid w:val="006E2626"/>
    <w:rsid w:val="006E2F6F"/>
    <w:rsid w:val="006E5475"/>
    <w:rsid w:val="006F3173"/>
    <w:rsid w:val="006F55C7"/>
    <w:rsid w:val="006F5E7F"/>
    <w:rsid w:val="007049DD"/>
    <w:rsid w:val="00717665"/>
    <w:rsid w:val="0072380C"/>
    <w:rsid w:val="00724EC7"/>
    <w:rsid w:val="00731DCA"/>
    <w:rsid w:val="00740F27"/>
    <w:rsid w:val="00744F81"/>
    <w:rsid w:val="00761DB6"/>
    <w:rsid w:val="007666BF"/>
    <w:rsid w:val="00786E70"/>
    <w:rsid w:val="00792546"/>
    <w:rsid w:val="007A0362"/>
    <w:rsid w:val="007A2A87"/>
    <w:rsid w:val="007B5452"/>
    <w:rsid w:val="007B5A58"/>
    <w:rsid w:val="007C05E4"/>
    <w:rsid w:val="007C0867"/>
    <w:rsid w:val="007C7D49"/>
    <w:rsid w:val="007E400C"/>
    <w:rsid w:val="007E6F04"/>
    <w:rsid w:val="007F0AFC"/>
    <w:rsid w:val="007F1A6C"/>
    <w:rsid w:val="007F38C4"/>
    <w:rsid w:val="007F68BC"/>
    <w:rsid w:val="0080079B"/>
    <w:rsid w:val="008024D1"/>
    <w:rsid w:val="00811EC2"/>
    <w:rsid w:val="0082520C"/>
    <w:rsid w:val="008258EE"/>
    <w:rsid w:val="00832006"/>
    <w:rsid w:val="008359F2"/>
    <w:rsid w:val="0083647C"/>
    <w:rsid w:val="008402F4"/>
    <w:rsid w:val="00844D68"/>
    <w:rsid w:val="00845A0F"/>
    <w:rsid w:val="008478FF"/>
    <w:rsid w:val="008610F1"/>
    <w:rsid w:val="00870F1F"/>
    <w:rsid w:val="00881320"/>
    <w:rsid w:val="00882C45"/>
    <w:rsid w:val="00894D63"/>
    <w:rsid w:val="00895216"/>
    <w:rsid w:val="008953BC"/>
    <w:rsid w:val="008A360B"/>
    <w:rsid w:val="008B1BC9"/>
    <w:rsid w:val="008C22C4"/>
    <w:rsid w:val="008D2C9C"/>
    <w:rsid w:val="008D329B"/>
    <w:rsid w:val="008E21B4"/>
    <w:rsid w:val="008E36BE"/>
    <w:rsid w:val="008E61F0"/>
    <w:rsid w:val="008F2528"/>
    <w:rsid w:val="008F32DF"/>
    <w:rsid w:val="008F38A1"/>
    <w:rsid w:val="0091002C"/>
    <w:rsid w:val="00912CDE"/>
    <w:rsid w:val="009147C7"/>
    <w:rsid w:val="00933390"/>
    <w:rsid w:val="009467BC"/>
    <w:rsid w:val="00946E57"/>
    <w:rsid w:val="00952D81"/>
    <w:rsid w:val="0097074F"/>
    <w:rsid w:val="00972C82"/>
    <w:rsid w:val="00981D4F"/>
    <w:rsid w:val="009A5BD1"/>
    <w:rsid w:val="009C63C1"/>
    <w:rsid w:val="009D7452"/>
    <w:rsid w:val="009E701E"/>
    <w:rsid w:val="009F1B13"/>
    <w:rsid w:val="009F2E34"/>
    <w:rsid w:val="009F4227"/>
    <w:rsid w:val="00A03E23"/>
    <w:rsid w:val="00A06778"/>
    <w:rsid w:val="00A072E2"/>
    <w:rsid w:val="00A07BE0"/>
    <w:rsid w:val="00A135AE"/>
    <w:rsid w:val="00A175D2"/>
    <w:rsid w:val="00A24D25"/>
    <w:rsid w:val="00A2602E"/>
    <w:rsid w:val="00A4171A"/>
    <w:rsid w:val="00A4447C"/>
    <w:rsid w:val="00A51E86"/>
    <w:rsid w:val="00A6321F"/>
    <w:rsid w:val="00A7040C"/>
    <w:rsid w:val="00A76EAC"/>
    <w:rsid w:val="00A86794"/>
    <w:rsid w:val="00A87D8E"/>
    <w:rsid w:val="00AA0CF7"/>
    <w:rsid w:val="00AB3163"/>
    <w:rsid w:val="00AB5E2F"/>
    <w:rsid w:val="00AB6A3E"/>
    <w:rsid w:val="00AC1B21"/>
    <w:rsid w:val="00AC2662"/>
    <w:rsid w:val="00AC6BC6"/>
    <w:rsid w:val="00AF2AE9"/>
    <w:rsid w:val="00AF3D97"/>
    <w:rsid w:val="00AF540E"/>
    <w:rsid w:val="00AF5DCA"/>
    <w:rsid w:val="00AF6D6E"/>
    <w:rsid w:val="00B16915"/>
    <w:rsid w:val="00B1711F"/>
    <w:rsid w:val="00B202C7"/>
    <w:rsid w:val="00B23FCE"/>
    <w:rsid w:val="00B2712D"/>
    <w:rsid w:val="00B6186A"/>
    <w:rsid w:val="00B8726B"/>
    <w:rsid w:val="00B90643"/>
    <w:rsid w:val="00B90F72"/>
    <w:rsid w:val="00B94559"/>
    <w:rsid w:val="00BB3FD1"/>
    <w:rsid w:val="00BC6B15"/>
    <w:rsid w:val="00BE510C"/>
    <w:rsid w:val="00BF31BB"/>
    <w:rsid w:val="00BF3555"/>
    <w:rsid w:val="00C071C5"/>
    <w:rsid w:val="00C15C3E"/>
    <w:rsid w:val="00C1773C"/>
    <w:rsid w:val="00C179FA"/>
    <w:rsid w:val="00C2039E"/>
    <w:rsid w:val="00C213A4"/>
    <w:rsid w:val="00C22871"/>
    <w:rsid w:val="00C24C83"/>
    <w:rsid w:val="00C37F45"/>
    <w:rsid w:val="00C61EE2"/>
    <w:rsid w:val="00C704CA"/>
    <w:rsid w:val="00C82B9D"/>
    <w:rsid w:val="00C83C65"/>
    <w:rsid w:val="00C8703E"/>
    <w:rsid w:val="00C93F9A"/>
    <w:rsid w:val="00CC76B1"/>
    <w:rsid w:val="00CC7861"/>
    <w:rsid w:val="00CD366F"/>
    <w:rsid w:val="00CD3862"/>
    <w:rsid w:val="00CD4AB4"/>
    <w:rsid w:val="00CD6B30"/>
    <w:rsid w:val="00CE1635"/>
    <w:rsid w:val="00CE6837"/>
    <w:rsid w:val="00CF6178"/>
    <w:rsid w:val="00D1036F"/>
    <w:rsid w:val="00D15ADC"/>
    <w:rsid w:val="00D22263"/>
    <w:rsid w:val="00D23219"/>
    <w:rsid w:val="00D255BD"/>
    <w:rsid w:val="00D30BAB"/>
    <w:rsid w:val="00D32F5B"/>
    <w:rsid w:val="00D5406F"/>
    <w:rsid w:val="00D674E2"/>
    <w:rsid w:val="00D9007A"/>
    <w:rsid w:val="00D90730"/>
    <w:rsid w:val="00D91B9A"/>
    <w:rsid w:val="00D94228"/>
    <w:rsid w:val="00DB0E30"/>
    <w:rsid w:val="00DB6F3D"/>
    <w:rsid w:val="00DC2D1C"/>
    <w:rsid w:val="00DC5126"/>
    <w:rsid w:val="00DC5DE0"/>
    <w:rsid w:val="00DE34CB"/>
    <w:rsid w:val="00DF4602"/>
    <w:rsid w:val="00E1270A"/>
    <w:rsid w:val="00E20C33"/>
    <w:rsid w:val="00E20EF0"/>
    <w:rsid w:val="00E26252"/>
    <w:rsid w:val="00E34838"/>
    <w:rsid w:val="00E3569E"/>
    <w:rsid w:val="00E442FF"/>
    <w:rsid w:val="00E4474C"/>
    <w:rsid w:val="00E46F4F"/>
    <w:rsid w:val="00E53E6E"/>
    <w:rsid w:val="00E61072"/>
    <w:rsid w:val="00E634F9"/>
    <w:rsid w:val="00E63985"/>
    <w:rsid w:val="00E735B2"/>
    <w:rsid w:val="00E834E7"/>
    <w:rsid w:val="00E855AB"/>
    <w:rsid w:val="00E871C6"/>
    <w:rsid w:val="00E87FB6"/>
    <w:rsid w:val="00E974D5"/>
    <w:rsid w:val="00EA25DA"/>
    <w:rsid w:val="00EA3420"/>
    <w:rsid w:val="00EB54D4"/>
    <w:rsid w:val="00EB74FE"/>
    <w:rsid w:val="00EC2D60"/>
    <w:rsid w:val="00EC2F7D"/>
    <w:rsid w:val="00EC7AC5"/>
    <w:rsid w:val="00ED55B6"/>
    <w:rsid w:val="00EE2C61"/>
    <w:rsid w:val="00EE2D13"/>
    <w:rsid w:val="00EE3D15"/>
    <w:rsid w:val="00EF5A97"/>
    <w:rsid w:val="00F05784"/>
    <w:rsid w:val="00F111A7"/>
    <w:rsid w:val="00F25C86"/>
    <w:rsid w:val="00F33F91"/>
    <w:rsid w:val="00F4676A"/>
    <w:rsid w:val="00F53FA4"/>
    <w:rsid w:val="00F63DAC"/>
    <w:rsid w:val="00F647DC"/>
    <w:rsid w:val="00F76543"/>
    <w:rsid w:val="00F82902"/>
    <w:rsid w:val="00F93AEF"/>
    <w:rsid w:val="00F93EE2"/>
    <w:rsid w:val="00FA387B"/>
    <w:rsid w:val="00FA462B"/>
    <w:rsid w:val="00FA46CD"/>
    <w:rsid w:val="00FA781E"/>
    <w:rsid w:val="00FB36DB"/>
    <w:rsid w:val="00FB464E"/>
    <w:rsid w:val="00FB68F0"/>
    <w:rsid w:val="00FB78D9"/>
    <w:rsid w:val="00FB7BE4"/>
    <w:rsid w:val="00FC1590"/>
    <w:rsid w:val="00FD102F"/>
    <w:rsid w:val="00FD1202"/>
    <w:rsid w:val="00FD35B4"/>
    <w:rsid w:val="00FD3CF4"/>
    <w:rsid w:val="00FD4166"/>
    <w:rsid w:val="00FD7B67"/>
    <w:rsid w:val="00FE2094"/>
    <w:rsid w:val="00FE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pPr>
      <w:spacing w:after="200" w:line="276" w:lineRule="auto"/>
    </w:pPr>
    <w:rPr>
      <w:sz w:val="22"/>
      <w:szCs w:val="22"/>
    </w:rPr>
  </w:style>
  <w:style w:type="paragraph" w:styleId="Heading1">
    <w:name w:val="heading 1"/>
    <w:aliases w:val="Heading 1.I"/>
    <w:basedOn w:val="Normal"/>
    <w:next w:val="Normal"/>
    <w:link w:val="Heading1Char"/>
    <w:qFormat/>
    <w:rsid w:val="00870F1F"/>
    <w:pPr>
      <w:keepNext/>
      <w:numPr>
        <w:numId w:val="4"/>
      </w:numPr>
      <w:spacing w:before="240" w:after="60" w:line="240" w:lineRule="auto"/>
      <w:outlineLvl w:val="0"/>
    </w:pPr>
    <w:rPr>
      <w:rFonts w:eastAsia="Times New Roman"/>
      <w:b/>
      <w:kern w:val="28"/>
      <w:sz w:val="28"/>
      <w:szCs w:val="20"/>
    </w:rPr>
  </w:style>
  <w:style w:type="paragraph" w:styleId="Heading2">
    <w:name w:val="heading 2"/>
    <w:basedOn w:val="Normal"/>
    <w:next w:val="Normal"/>
    <w:link w:val="Heading2Char"/>
    <w:qFormat/>
    <w:rsid w:val="00E3569E"/>
    <w:pPr>
      <w:keepNext/>
      <w:numPr>
        <w:ilvl w:val="1"/>
        <w:numId w:val="4"/>
      </w:numPr>
      <w:spacing w:before="240" w:after="60" w:line="240" w:lineRule="auto"/>
      <w:outlineLvl w:val="1"/>
    </w:pPr>
    <w:rPr>
      <w:rFonts w:eastAsia="Times New Roman"/>
      <w:b/>
      <w:sz w:val="24"/>
      <w:szCs w:val="20"/>
    </w:rPr>
  </w:style>
  <w:style w:type="paragraph" w:styleId="Heading3">
    <w:name w:val="heading 3"/>
    <w:basedOn w:val="Normal"/>
    <w:next w:val="Normal"/>
    <w:link w:val="Heading3Char"/>
    <w:qFormat/>
    <w:rsid w:val="00870F1F"/>
    <w:pPr>
      <w:keepNext/>
      <w:numPr>
        <w:ilvl w:val="2"/>
        <w:numId w:val="4"/>
      </w:numPr>
      <w:spacing w:before="240" w:after="60" w:line="240" w:lineRule="auto"/>
      <w:outlineLvl w:val="2"/>
    </w:pPr>
    <w:rPr>
      <w:rFonts w:eastAsia="Times New Roman"/>
      <w:sz w:val="24"/>
      <w:szCs w:val="20"/>
    </w:rPr>
  </w:style>
  <w:style w:type="paragraph" w:styleId="Heading4">
    <w:name w:val="heading 4"/>
    <w:aliases w:val="Heading 4.a"/>
    <w:basedOn w:val="Normal"/>
    <w:next w:val="Normal"/>
    <w:link w:val="Heading4Char"/>
    <w:qFormat/>
    <w:rsid w:val="00870F1F"/>
    <w:pPr>
      <w:keepNext/>
      <w:numPr>
        <w:ilvl w:val="3"/>
        <w:numId w:val="4"/>
      </w:numPr>
      <w:spacing w:before="240" w:after="60" w:line="240" w:lineRule="auto"/>
      <w:outlineLvl w:val="3"/>
    </w:pPr>
    <w:rPr>
      <w:rFonts w:eastAsia="Times New Roman"/>
      <w:b/>
      <w:sz w:val="24"/>
      <w:szCs w:val="20"/>
    </w:rPr>
  </w:style>
  <w:style w:type="paragraph" w:styleId="Heading5">
    <w:name w:val="heading 5"/>
    <w:aliases w:val="Heading 5.(i)"/>
    <w:basedOn w:val="Normal"/>
    <w:next w:val="Normal"/>
    <w:link w:val="Heading5Char"/>
    <w:uiPriority w:val="99"/>
    <w:qFormat/>
    <w:rsid w:val="00870F1F"/>
    <w:pPr>
      <w:numPr>
        <w:ilvl w:val="4"/>
        <w:numId w:val="4"/>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uiPriority w:val="99"/>
    <w:qFormat/>
    <w:rsid w:val="00870F1F"/>
    <w:pPr>
      <w:numPr>
        <w:ilvl w:val="5"/>
        <w:numId w:val="4"/>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uiPriority w:val="99"/>
    <w:qFormat/>
    <w:rsid w:val="00870F1F"/>
    <w:pPr>
      <w:numPr>
        <w:ilvl w:val="6"/>
        <w:numId w:val="4"/>
      </w:numPr>
      <w:spacing w:before="240" w:after="60" w:line="240" w:lineRule="auto"/>
      <w:outlineLvl w:val="6"/>
    </w:pPr>
    <w:rPr>
      <w:rFonts w:eastAsia="Times New Roman"/>
      <w:sz w:val="24"/>
      <w:szCs w:val="20"/>
    </w:rPr>
  </w:style>
  <w:style w:type="paragraph" w:styleId="Heading8">
    <w:name w:val="heading 8"/>
    <w:basedOn w:val="Normal"/>
    <w:next w:val="Normal"/>
    <w:link w:val="Heading8Char"/>
    <w:uiPriority w:val="99"/>
    <w:qFormat/>
    <w:rsid w:val="00870F1F"/>
    <w:pPr>
      <w:numPr>
        <w:ilvl w:val="7"/>
        <w:numId w:val="4"/>
      </w:numPr>
      <w:spacing w:before="240" w:after="60" w:line="240" w:lineRule="auto"/>
      <w:outlineLvl w:val="7"/>
    </w:pPr>
    <w:rPr>
      <w:rFonts w:eastAsia="Times New Roman"/>
      <w:i/>
      <w:sz w:val="24"/>
      <w:szCs w:val="20"/>
    </w:rPr>
  </w:style>
  <w:style w:type="paragraph" w:styleId="Heading9">
    <w:name w:val="heading 9"/>
    <w:basedOn w:val="Normal"/>
    <w:next w:val="Normal"/>
    <w:link w:val="Heading9Char"/>
    <w:uiPriority w:val="99"/>
    <w:qFormat/>
    <w:rsid w:val="00870F1F"/>
    <w:pPr>
      <w:numPr>
        <w:ilvl w:val="8"/>
        <w:numId w:val="4"/>
      </w:numPr>
      <w:spacing w:before="240" w:after="60" w:line="240" w:lineRule="auto"/>
      <w:outlineLvl w:val="8"/>
    </w:pPr>
    <w:rPr>
      <w:rFonts w:eastAsia="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rsid w:val="00870F1F"/>
    <w:rPr>
      <w:rFonts w:ascii="Arial" w:eastAsia="Times New Roman" w:hAnsi="Arial" w:cs="Times New Roman"/>
      <w:b/>
      <w:kern w:val="28"/>
      <w:sz w:val="28"/>
      <w:szCs w:val="20"/>
    </w:rPr>
  </w:style>
  <w:style w:type="character" w:customStyle="1" w:styleId="Heading2Char">
    <w:name w:val="Heading 2 Char"/>
    <w:link w:val="Heading2"/>
    <w:rsid w:val="00E3569E"/>
    <w:rPr>
      <w:rFonts w:ascii="Arial" w:eastAsia="Times New Roman" w:hAnsi="Arial" w:cs="Times New Roman"/>
      <w:b/>
      <w:sz w:val="24"/>
      <w:szCs w:val="20"/>
    </w:rPr>
  </w:style>
  <w:style w:type="character" w:customStyle="1" w:styleId="Heading3Char">
    <w:name w:val="Heading 3 Char"/>
    <w:link w:val="Heading3"/>
    <w:rsid w:val="00870F1F"/>
    <w:rPr>
      <w:rFonts w:ascii="Arial" w:eastAsia="Times New Roman" w:hAnsi="Arial" w:cs="Times New Roman"/>
      <w:sz w:val="24"/>
      <w:szCs w:val="20"/>
    </w:rPr>
  </w:style>
  <w:style w:type="character" w:customStyle="1" w:styleId="Heading4Char">
    <w:name w:val="Heading 4 Char"/>
    <w:aliases w:val="Heading 4.a Char"/>
    <w:link w:val="Heading4"/>
    <w:rsid w:val="00870F1F"/>
    <w:rPr>
      <w:rFonts w:ascii="Arial" w:eastAsia="Times New Roman" w:hAnsi="Arial" w:cs="Times New Roman"/>
      <w:b/>
      <w:sz w:val="24"/>
      <w:szCs w:val="20"/>
    </w:rPr>
  </w:style>
  <w:style w:type="character" w:customStyle="1" w:styleId="Heading5Char">
    <w:name w:val="Heading 5 Char"/>
    <w:aliases w:val="Heading 5.(i) Char"/>
    <w:link w:val="Heading5"/>
    <w:uiPriority w:val="99"/>
    <w:rsid w:val="00870F1F"/>
    <w:rPr>
      <w:rFonts w:ascii="Times New Roman" w:eastAsia="Times New Roman" w:hAnsi="Times New Roman" w:cs="Times New Roman"/>
      <w:szCs w:val="20"/>
    </w:rPr>
  </w:style>
  <w:style w:type="character" w:customStyle="1" w:styleId="Heading6Char">
    <w:name w:val="Heading 6 Char"/>
    <w:link w:val="Heading6"/>
    <w:uiPriority w:val="99"/>
    <w:rsid w:val="00870F1F"/>
    <w:rPr>
      <w:rFonts w:ascii="Times New Roman" w:eastAsia="Times New Roman" w:hAnsi="Times New Roman" w:cs="Times New Roman"/>
      <w:i/>
      <w:szCs w:val="20"/>
    </w:rPr>
  </w:style>
  <w:style w:type="character" w:customStyle="1" w:styleId="Heading7Char">
    <w:name w:val="Heading 7 Char"/>
    <w:link w:val="Heading7"/>
    <w:uiPriority w:val="99"/>
    <w:rsid w:val="00870F1F"/>
    <w:rPr>
      <w:rFonts w:ascii="Arial" w:eastAsia="Times New Roman" w:hAnsi="Arial" w:cs="Times New Roman"/>
      <w:sz w:val="24"/>
      <w:szCs w:val="20"/>
    </w:rPr>
  </w:style>
  <w:style w:type="character" w:customStyle="1" w:styleId="Heading8Char">
    <w:name w:val="Heading 8 Char"/>
    <w:link w:val="Heading8"/>
    <w:uiPriority w:val="99"/>
    <w:rsid w:val="00870F1F"/>
    <w:rPr>
      <w:rFonts w:ascii="Arial" w:eastAsia="Times New Roman" w:hAnsi="Arial" w:cs="Times New Roman"/>
      <w:i/>
      <w:sz w:val="24"/>
      <w:szCs w:val="20"/>
    </w:rPr>
  </w:style>
  <w:style w:type="character" w:customStyle="1" w:styleId="Heading9Char">
    <w:name w:val="Heading 9 Char"/>
    <w:link w:val="Heading9"/>
    <w:uiPriority w:val="99"/>
    <w:rsid w:val="00870F1F"/>
    <w:rPr>
      <w:rFonts w:eastAsia="Times New Roman"/>
      <w:b/>
      <w:i/>
      <w:sz w:val="18"/>
    </w:rPr>
  </w:style>
  <w:style w:type="paragraph" w:styleId="BalloonText">
    <w:name w:val="Balloon Text"/>
    <w:basedOn w:val="Normal"/>
    <w:link w:val="BalloonTextChar"/>
    <w:uiPriority w:val="99"/>
    <w:unhideWhenUsed/>
    <w:rsid w:val="0025506D"/>
    <w:pPr>
      <w:spacing w:after="0" w:line="240" w:lineRule="auto"/>
    </w:pPr>
    <w:rPr>
      <w:rFonts w:ascii="Tahoma" w:hAnsi="Tahoma" w:cs="Tahoma"/>
      <w:sz w:val="16"/>
      <w:szCs w:val="16"/>
    </w:rPr>
  </w:style>
  <w:style w:type="character" w:customStyle="1" w:styleId="BalloonTextChar">
    <w:name w:val="Balloon Text Char"/>
    <w:link w:val="BalloonText"/>
    <w:uiPriority w:val="99"/>
    <w:rsid w:val="0025506D"/>
    <w:rPr>
      <w:rFonts w:ascii="Tahoma" w:hAnsi="Tahoma" w:cs="Tahoma"/>
      <w:sz w:val="16"/>
      <w:szCs w:val="16"/>
    </w:rPr>
  </w:style>
  <w:style w:type="paragraph" w:customStyle="1" w:styleId="Chapter">
    <w:name w:val="Chapter"/>
    <w:basedOn w:val="Normal"/>
    <w:next w:val="Normal"/>
    <w:rsid w:val="00A135AE"/>
    <w:p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FirstHeading">
    <w:name w:val="FirstHeading"/>
    <w:basedOn w:val="Normal"/>
    <w:rsid w:val="00A135AE"/>
    <w:pPr>
      <w:keepNext/>
      <w:tabs>
        <w:tab w:val="left" w:pos="0"/>
        <w:tab w:val="left" w:pos="90"/>
      </w:tabs>
      <w:spacing w:before="120" w:after="120" w:line="240" w:lineRule="auto"/>
    </w:pPr>
    <w:rPr>
      <w:rFonts w:ascii="Times New Roman" w:eastAsia="Times New Roman" w:hAnsi="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uiPriority w:val="99"/>
    <w:qFormat/>
    <w:rsid w:val="00A135AE"/>
    <w:pPr>
      <w:spacing w:after="0" w:line="240" w:lineRule="auto"/>
    </w:pPr>
    <w:rPr>
      <w:rFonts w:ascii="Times New Roman" w:eastAsia="Times New Roman" w:hAnsi="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uiPriority w:val="99"/>
    <w:rsid w:val="00A135AE"/>
    <w:rPr>
      <w:rFonts w:ascii="Times New Roman" w:eastAsia="Times New Roman" w:hAnsi="Times New Roman" w:cs="Times New Roman"/>
      <w:sz w:val="20"/>
      <w:szCs w:val="20"/>
    </w:rPr>
  </w:style>
  <w:style w:type="paragraph" w:customStyle="1" w:styleId="Paragraph">
    <w:name w:val="Paragraph"/>
    <w:aliases w:val="p,PARAGRAPH,PG,pa,at,paragraph"/>
    <w:basedOn w:val="BodyTextIndent"/>
    <w:link w:val="ParagraphChar"/>
    <w:qFormat/>
    <w:rsid w:val="00A135AE"/>
    <w:pPr>
      <w:numPr>
        <w:ilvl w:val="1"/>
        <w:numId w:val="1"/>
      </w:numPr>
      <w:spacing w:before="120" w:line="240" w:lineRule="auto"/>
      <w:jc w:val="both"/>
      <w:outlineLvl w:val="1"/>
    </w:pPr>
    <w:rPr>
      <w:rFonts w:ascii="Times New Roman" w:eastAsia="Times New Roman" w:hAnsi="Times New Roman"/>
      <w:sz w:val="24"/>
      <w:szCs w:val="20"/>
      <w:lang w:val="es-ES"/>
    </w:rPr>
  </w:style>
  <w:style w:type="paragraph" w:styleId="BodyTextIndent">
    <w:name w:val="Body Text Indent"/>
    <w:basedOn w:val="Normal"/>
    <w:link w:val="BodyTextIndentChar"/>
    <w:uiPriority w:val="99"/>
    <w:semiHidden/>
    <w:unhideWhenUsed/>
    <w:rsid w:val="00A135AE"/>
    <w:pPr>
      <w:spacing w:after="120"/>
      <w:ind w:left="360"/>
    </w:pPr>
  </w:style>
  <w:style w:type="character" w:customStyle="1" w:styleId="BodyTextIndentChar">
    <w:name w:val="Body Text Indent Char"/>
    <w:basedOn w:val="DefaultParagraphFont"/>
    <w:link w:val="BodyTextIndent"/>
    <w:uiPriority w:val="99"/>
    <w:semiHidden/>
    <w:rsid w:val="00A135AE"/>
  </w:style>
  <w:style w:type="character" w:customStyle="1" w:styleId="ParagraphChar">
    <w:name w:val="Paragraph Char"/>
    <w:link w:val="Paragraph"/>
    <w:rsid w:val="00A135AE"/>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A135AE"/>
    <w:pPr>
      <w:keepNext/>
      <w:numPr>
        <w:ilvl w:val="1"/>
        <w:numId w:val="2"/>
      </w:numPr>
      <w:spacing w:before="120" w:after="120" w:line="240" w:lineRule="auto"/>
    </w:pPr>
    <w:rPr>
      <w:rFonts w:ascii="Times New Roman" w:eastAsia="Times New Roman" w:hAnsi="Times New Roman"/>
      <w:b/>
      <w:sz w:val="24"/>
      <w:szCs w:val="20"/>
      <w:lang w:val="es-ES_tradnl"/>
    </w:rPr>
  </w:style>
  <w:style w:type="paragraph" w:customStyle="1" w:styleId="SubHeading1">
    <w:name w:val="SubHeading1"/>
    <w:basedOn w:val="SecHeading"/>
    <w:rsid w:val="00A135AE"/>
    <w:pPr>
      <w:numPr>
        <w:ilvl w:val="2"/>
      </w:numPr>
    </w:pPr>
  </w:style>
  <w:style w:type="paragraph" w:customStyle="1" w:styleId="Subheading2">
    <w:name w:val="Subheading2"/>
    <w:basedOn w:val="SecHeading"/>
    <w:rsid w:val="00A135AE"/>
    <w:pPr>
      <w:numPr>
        <w:ilvl w:val="3"/>
      </w:numPr>
    </w:pPr>
  </w:style>
  <w:style w:type="paragraph" w:customStyle="1" w:styleId="subpar">
    <w:name w:val="subpar"/>
    <w:basedOn w:val="BodyTextIndent3"/>
    <w:link w:val="subparChar"/>
    <w:rsid w:val="00A135AE"/>
    <w:pPr>
      <w:numPr>
        <w:ilvl w:val="2"/>
        <w:numId w:val="1"/>
      </w:numPr>
      <w:spacing w:before="120" w:line="240" w:lineRule="auto"/>
      <w:jc w:val="both"/>
      <w:outlineLvl w:val="2"/>
    </w:pPr>
    <w:rPr>
      <w:rFonts w:ascii="Times New Roman" w:eastAsia="Times New Roman" w:hAnsi="Times New Roman"/>
      <w:sz w:val="24"/>
      <w:szCs w:val="20"/>
      <w:lang w:val="es-ES_tradnl"/>
    </w:rPr>
  </w:style>
  <w:style w:type="paragraph" w:styleId="BodyTextIndent3">
    <w:name w:val="Body Text Indent 3"/>
    <w:basedOn w:val="Normal"/>
    <w:link w:val="BodyTextIndent3Char"/>
    <w:uiPriority w:val="99"/>
    <w:semiHidden/>
    <w:unhideWhenUsed/>
    <w:rsid w:val="00A135AE"/>
    <w:pPr>
      <w:spacing w:after="120"/>
      <w:ind w:left="360"/>
    </w:pPr>
    <w:rPr>
      <w:sz w:val="16"/>
      <w:szCs w:val="16"/>
    </w:rPr>
  </w:style>
  <w:style w:type="character" w:customStyle="1" w:styleId="BodyTextIndent3Char">
    <w:name w:val="Body Text Indent 3 Char"/>
    <w:link w:val="BodyTextIndent3"/>
    <w:uiPriority w:val="99"/>
    <w:semiHidden/>
    <w:rsid w:val="00A135AE"/>
    <w:rPr>
      <w:sz w:val="16"/>
      <w:szCs w:val="16"/>
    </w:rPr>
  </w:style>
  <w:style w:type="character" w:customStyle="1" w:styleId="subparChar">
    <w:name w:val="subpar Char"/>
    <w:link w:val="subpar"/>
    <w:rsid w:val="00A135AE"/>
    <w:rPr>
      <w:rFonts w:ascii="Times New Roman" w:eastAsia="Times New Roman" w:hAnsi="Times New Roman" w:cs="Times New Roman"/>
      <w:sz w:val="24"/>
      <w:szCs w:val="20"/>
      <w:lang w:val="es-ES_tradnl"/>
    </w:rPr>
  </w:style>
  <w:style w:type="paragraph" w:customStyle="1" w:styleId="SubSubPar">
    <w:name w:val="SubSubPar"/>
    <w:basedOn w:val="subpar"/>
    <w:rsid w:val="00A135AE"/>
    <w:pPr>
      <w:numPr>
        <w:ilvl w:val="3"/>
      </w:numPr>
      <w:tabs>
        <w:tab w:val="left" w:pos="0"/>
      </w:tabs>
    </w:pPr>
  </w:style>
  <w:style w:type="character" w:styleId="Hyperlink">
    <w:name w:val="Hyperlink"/>
    <w:rsid w:val="00A135AE"/>
    <w:rPr>
      <w:color w:val="0000FF"/>
      <w:u w:val="single"/>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qFormat/>
    <w:rsid w:val="00A135AE"/>
    <w:rPr>
      <w:vertAlign w:val="superscript"/>
    </w:rPr>
  </w:style>
  <w:style w:type="character" w:customStyle="1" w:styleId="ParagraphCar">
    <w:name w:val="Paragraph Car"/>
    <w:rsid w:val="00A135AE"/>
    <w:rPr>
      <w:sz w:val="24"/>
      <w:lang w:val="es-ES_tradnl" w:eastAsia="en-US"/>
    </w:rPr>
  </w:style>
  <w:style w:type="paragraph" w:styleId="ListParagraph">
    <w:name w:val="List Paragraph"/>
    <w:basedOn w:val="Normal"/>
    <w:link w:val="ListParagraphChar"/>
    <w:uiPriority w:val="34"/>
    <w:qFormat/>
    <w:rsid w:val="00A135AE"/>
    <w:pPr>
      <w:ind w:left="720"/>
      <w:contextualSpacing/>
    </w:pPr>
  </w:style>
  <w:style w:type="paragraph" w:styleId="BodyText">
    <w:name w:val="Body Text"/>
    <w:basedOn w:val="Normal"/>
    <w:link w:val="BodyTextChar"/>
    <w:uiPriority w:val="99"/>
    <w:semiHidden/>
    <w:unhideWhenUsed/>
    <w:rsid w:val="00870F1F"/>
    <w:pPr>
      <w:spacing w:after="120"/>
    </w:pPr>
  </w:style>
  <w:style w:type="character" w:customStyle="1" w:styleId="BodyTextChar">
    <w:name w:val="Body Text Char"/>
    <w:basedOn w:val="DefaultParagraphFont"/>
    <w:link w:val="BodyText"/>
    <w:uiPriority w:val="99"/>
    <w:semiHidden/>
    <w:rsid w:val="00870F1F"/>
  </w:style>
  <w:style w:type="paragraph" w:customStyle="1" w:styleId="ABBR">
    <w:name w:val="ABBR"/>
    <w:basedOn w:val="Normal"/>
    <w:rsid w:val="00870F1F"/>
    <w:pPr>
      <w:spacing w:after="0" w:line="240" w:lineRule="auto"/>
    </w:pPr>
    <w:rPr>
      <w:rFonts w:ascii="Times New Roman" w:eastAsia="Times New Roman" w:hAnsi="Times New Roman"/>
      <w:caps/>
      <w:sz w:val="24"/>
      <w:szCs w:val="20"/>
      <w:lang w:val="es-ES_tradnl"/>
    </w:rPr>
  </w:style>
  <w:style w:type="paragraph" w:customStyle="1" w:styleId="AbbrDesc">
    <w:name w:val="AbbrDesc"/>
    <w:basedOn w:val="Normal"/>
    <w:rsid w:val="00870F1F"/>
    <w:pPr>
      <w:tabs>
        <w:tab w:val="left" w:pos="3060"/>
      </w:tabs>
      <w:spacing w:after="0" w:line="240" w:lineRule="auto"/>
      <w:jc w:val="both"/>
    </w:pPr>
    <w:rPr>
      <w:rFonts w:ascii="Times New Roman" w:eastAsia="Times New Roman" w:hAnsi="Times New Roman"/>
      <w:sz w:val="24"/>
      <w:szCs w:val="20"/>
      <w:lang w:val="es-ES_tradnl"/>
    </w:rPr>
  </w:style>
  <w:style w:type="paragraph" w:styleId="Header">
    <w:name w:val="header"/>
    <w:basedOn w:val="Normal"/>
    <w:link w:val="HeaderChar"/>
    <w:uiPriority w:val="99"/>
    <w:rsid w:val="00870F1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70F1F"/>
    <w:rPr>
      <w:rFonts w:ascii="Times New Roman" w:eastAsia="Times New Roman" w:hAnsi="Times New Roman" w:cs="Times New Roman"/>
      <w:sz w:val="24"/>
      <w:szCs w:val="20"/>
    </w:rPr>
  </w:style>
  <w:style w:type="paragraph" w:customStyle="1" w:styleId="Newpage">
    <w:name w:val="Newpage"/>
    <w:basedOn w:val="Chapter"/>
    <w:rsid w:val="00870F1F"/>
    <w:pPr>
      <w:tabs>
        <w:tab w:val="clear" w:pos="1440"/>
        <w:tab w:val="left" w:pos="3060"/>
      </w:tabs>
      <w:spacing w:after="0"/>
    </w:pPr>
  </w:style>
  <w:style w:type="paragraph" w:styleId="TOC1">
    <w:name w:val="toc 1"/>
    <w:basedOn w:val="Normal"/>
    <w:next w:val="Normal"/>
    <w:autoRedefine/>
    <w:uiPriority w:val="39"/>
    <w:qFormat/>
    <w:rsid w:val="00870F1F"/>
    <w:pPr>
      <w:tabs>
        <w:tab w:val="left" w:pos="540"/>
        <w:tab w:val="right" w:leader="dot" w:pos="8741"/>
      </w:tabs>
      <w:spacing w:before="240" w:after="240" w:line="240" w:lineRule="auto"/>
      <w:ind w:left="547" w:hanging="547"/>
    </w:pPr>
    <w:rPr>
      <w:rFonts w:ascii="Times New Roman" w:eastAsia="Times New Roman" w:hAnsi="Times New Roman"/>
      <w:smallCaps/>
      <w:noProof/>
      <w:sz w:val="24"/>
      <w:szCs w:val="20"/>
    </w:rPr>
  </w:style>
  <w:style w:type="paragraph" w:styleId="TOC2">
    <w:name w:val="toc 2"/>
    <w:basedOn w:val="Normal"/>
    <w:next w:val="Normal"/>
    <w:autoRedefine/>
    <w:uiPriority w:val="39"/>
    <w:qFormat/>
    <w:rsid w:val="00870F1F"/>
    <w:pPr>
      <w:tabs>
        <w:tab w:val="left" w:pos="540"/>
        <w:tab w:val="left" w:pos="600"/>
        <w:tab w:val="left" w:pos="1152"/>
        <w:tab w:val="right" w:leader="dot" w:pos="8741"/>
      </w:tabs>
      <w:spacing w:after="0" w:line="240" w:lineRule="auto"/>
      <w:ind w:left="1166" w:hanging="605"/>
    </w:pPr>
    <w:rPr>
      <w:rFonts w:ascii="Times New Roman" w:eastAsia="Times New Roman" w:hAnsi="Times New Roman"/>
      <w:noProof/>
      <w:sz w:val="24"/>
      <w:szCs w:val="20"/>
    </w:rPr>
  </w:style>
  <w:style w:type="character" w:styleId="CommentReference">
    <w:name w:val="annotation reference"/>
    <w:uiPriority w:val="99"/>
    <w:semiHidden/>
    <w:unhideWhenUsed/>
    <w:rsid w:val="00D5406F"/>
    <w:rPr>
      <w:sz w:val="16"/>
      <w:szCs w:val="16"/>
    </w:rPr>
  </w:style>
  <w:style w:type="paragraph" w:styleId="CommentText">
    <w:name w:val="annotation text"/>
    <w:basedOn w:val="Normal"/>
    <w:link w:val="CommentTextChar"/>
    <w:uiPriority w:val="99"/>
    <w:semiHidden/>
    <w:unhideWhenUsed/>
    <w:rsid w:val="00D5406F"/>
    <w:pPr>
      <w:spacing w:line="240" w:lineRule="auto"/>
    </w:pPr>
    <w:rPr>
      <w:sz w:val="20"/>
      <w:szCs w:val="20"/>
    </w:rPr>
  </w:style>
  <w:style w:type="character" w:customStyle="1" w:styleId="CommentTextChar">
    <w:name w:val="Comment Text Char"/>
    <w:link w:val="CommentText"/>
    <w:uiPriority w:val="99"/>
    <w:semiHidden/>
    <w:rsid w:val="00D5406F"/>
    <w:rPr>
      <w:sz w:val="20"/>
      <w:szCs w:val="20"/>
    </w:rPr>
  </w:style>
  <w:style w:type="paragraph" w:styleId="CommentSubject">
    <w:name w:val="annotation subject"/>
    <w:basedOn w:val="CommentText"/>
    <w:next w:val="CommentText"/>
    <w:link w:val="CommentSubjectChar"/>
    <w:uiPriority w:val="99"/>
    <w:semiHidden/>
    <w:unhideWhenUsed/>
    <w:rsid w:val="00D5406F"/>
    <w:rPr>
      <w:b/>
      <w:bCs/>
    </w:rPr>
  </w:style>
  <w:style w:type="character" w:customStyle="1" w:styleId="CommentSubjectChar">
    <w:name w:val="Comment Subject Char"/>
    <w:link w:val="CommentSubject"/>
    <w:uiPriority w:val="99"/>
    <w:semiHidden/>
    <w:rsid w:val="00D5406F"/>
    <w:rPr>
      <w:b/>
      <w:bCs/>
      <w:sz w:val="20"/>
      <w:szCs w:val="20"/>
    </w:rPr>
  </w:style>
  <w:style w:type="character" w:styleId="Emphasis">
    <w:name w:val="Emphasis"/>
    <w:uiPriority w:val="20"/>
    <w:qFormat/>
    <w:rsid w:val="00296339"/>
    <w:rPr>
      <w:i/>
      <w:iCs/>
    </w:rPr>
  </w:style>
  <w:style w:type="character" w:customStyle="1" w:styleId="apple-converted-space">
    <w:name w:val="apple-converted-space"/>
    <w:basedOn w:val="DefaultParagraphFont"/>
    <w:rsid w:val="00296339"/>
  </w:style>
  <w:style w:type="table" w:styleId="TableGrid">
    <w:name w:val="Table Grid"/>
    <w:basedOn w:val="TableNormal"/>
    <w:uiPriority w:val="59"/>
    <w:rsid w:val="00D15A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3569E"/>
    <w:pPr>
      <w:keepLines/>
      <w:numPr>
        <w:numId w:val="0"/>
      </w:numPr>
      <w:spacing w:before="480" w:after="0" w:line="276" w:lineRule="auto"/>
      <w:outlineLvl w:val="9"/>
    </w:pPr>
    <w:rPr>
      <w:bCs/>
      <w:color w:val="365F91"/>
      <w:kern w:val="0"/>
      <w:szCs w:val="28"/>
      <w:lang w:eastAsia="ja-JP"/>
    </w:rPr>
  </w:style>
  <w:style w:type="paragraph" w:styleId="TOC3">
    <w:name w:val="toc 3"/>
    <w:basedOn w:val="Normal"/>
    <w:next w:val="Normal"/>
    <w:autoRedefine/>
    <w:uiPriority w:val="39"/>
    <w:unhideWhenUsed/>
    <w:qFormat/>
    <w:rsid w:val="00E3569E"/>
    <w:pPr>
      <w:spacing w:after="100"/>
      <w:ind w:left="440"/>
    </w:pPr>
  </w:style>
  <w:style w:type="character" w:customStyle="1" w:styleId="A3">
    <w:name w:val="A3"/>
    <w:uiPriority w:val="99"/>
    <w:rsid w:val="005C68D8"/>
    <w:rPr>
      <w:rFonts w:cs="Tundra Web Pro Light"/>
      <w:color w:val="000000"/>
      <w:sz w:val="20"/>
      <w:szCs w:val="20"/>
    </w:rPr>
  </w:style>
  <w:style w:type="character" w:customStyle="1" w:styleId="ListParagraphChar">
    <w:name w:val="List Paragraph Char"/>
    <w:basedOn w:val="DefaultParagraphFont"/>
    <w:link w:val="ListParagraph"/>
    <w:uiPriority w:val="34"/>
    <w:rsid w:val="003372CB"/>
  </w:style>
  <w:style w:type="numbering" w:customStyle="1" w:styleId="NoList1">
    <w:name w:val="No List1"/>
    <w:next w:val="NoList"/>
    <w:uiPriority w:val="99"/>
    <w:semiHidden/>
    <w:unhideWhenUsed/>
    <w:rsid w:val="00C83C65"/>
  </w:style>
  <w:style w:type="table" w:customStyle="1" w:styleId="TableGrid1">
    <w:name w:val="Table Grid1"/>
    <w:basedOn w:val="TableNormal"/>
    <w:next w:val="TableGrid"/>
    <w:uiPriority w:val="59"/>
    <w:rsid w:val="00C83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3C65"/>
    <w:rPr>
      <w:color w:val="800080"/>
      <w:u w:val="single"/>
    </w:rPr>
  </w:style>
  <w:style w:type="paragraph" w:styleId="Footer">
    <w:name w:val="footer"/>
    <w:basedOn w:val="Normal"/>
    <w:link w:val="FooterChar"/>
    <w:uiPriority w:val="99"/>
    <w:unhideWhenUsed/>
    <w:rsid w:val="0016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pPr>
      <w:spacing w:after="200" w:line="276" w:lineRule="auto"/>
    </w:pPr>
    <w:rPr>
      <w:sz w:val="22"/>
      <w:szCs w:val="22"/>
    </w:rPr>
  </w:style>
  <w:style w:type="paragraph" w:styleId="Heading1">
    <w:name w:val="heading 1"/>
    <w:aliases w:val="Heading 1.I"/>
    <w:basedOn w:val="Normal"/>
    <w:next w:val="Normal"/>
    <w:link w:val="Heading1Char"/>
    <w:qFormat/>
    <w:rsid w:val="00870F1F"/>
    <w:pPr>
      <w:keepNext/>
      <w:numPr>
        <w:numId w:val="4"/>
      </w:numPr>
      <w:spacing w:before="240" w:after="60" w:line="240" w:lineRule="auto"/>
      <w:outlineLvl w:val="0"/>
    </w:pPr>
    <w:rPr>
      <w:rFonts w:eastAsia="Times New Roman"/>
      <w:b/>
      <w:kern w:val="28"/>
      <w:sz w:val="28"/>
      <w:szCs w:val="20"/>
    </w:rPr>
  </w:style>
  <w:style w:type="paragraph" w:styleId="Heading2">
    <w:name w:val="heading 2"/>
    <w:basedOn w:val="Normal"/>
    <w:next w:val="Normal"/>
    <w:link w:val="Heading2Char"/>
    <w:qFormat/>
    <w:rsid w:val="00E3569E"/>
    <w:pPr>
      <w:keepNext/>
      <w:numPr>
        <w:ilvl w:val="1"/>
        <w:numId w:val="4"/>
      </w:numPr>
      <w:spacing w:before="240" w:after="60" w:line="240" w:lineRule="auto"/>
      <w:outlineLvl w:val="1"/>
    </w:pPr>
    <w:rPr>
      <w:rFonts w:eastAsia="Times New Roman"/>
      <w:b/>
      <w:sz w:val="24"/>
      <w:szCs w:val="20"/>
    </w:rPr>
  </w:style>
  <w:style w:type="paragraph" w:styleId="Heading3">
    <w:name w:val="heading 3"/>
    <w:basedOn w:val="Normal"/>
    <w:next w:val="Normal"/>
    <w:link w:val="Heading3Char"/>
    <w:qFormat/>
    <w:rsid w:val="00870F1F"/>
    <w:pPr>
      <w:keepNext/>
      <w:numPr>
        <w:ilvl w:val="2"/>
        <w:numId w:val="4"/>
      </w:numPr>
      <w:spacing w:before="240" w:after="60" w:line="240" w:lineRule="auto"/>
      <w:outlineLvl w:val="2"/>
    </w:pPr>
    <w:rPr>
      <w:rFonts w:eastAsia="Times New Roman"/>
      <w:sz w:val="24"/>
      <w:szCs w:val="20"/>
    </w:rPr>
  </w:style>
  <w:style w:type="paragraph" w:styleId="Heading4">
    <w:name w:val="heading 4"/>
    <w:aliases w:val="Heading 4.a"/>
    <w:basedOn w:val="Normal"/>
    <w:next w:val="Normal"/>
    <w:link w:val="Heading4Char"/>
    <w:qFormat/>
    <w:rsid w:val="00870F1F"/>
    <w:pPr>
      <w:keepNext/>
      <w:numPr>
        <w:ilvl w:val="3"/>
        <w:numId w:val="4"/>
      </w:numPr>
      <w:spacing w:before="240" w:after="60" w:line="240" w:lineRule="auto"/>
      <w:outlineLvl w:val="3"/>
    </w:pPr>
    <w:rPr>
      <w:rFonts w:eastAsia="Times New Roman"/>
      <w:b/>
      <w:sz w:val="24"/>
      <w:szCs w:val="20"/>
    </w:rPr>
  </w:style>
  <w:style w:type="paragraph" w:styleId="Heading5">
    <w:name w:val="heading 5"/>
    <w:aliases w:val="Heading 5.(i)"/>
    <w:basedOn w:val="Normal"/>
    <w:next w:val="Normal"/>
    <w:link w:val="Heading5Char"/>
    <w:uiPriority w:val="99"/>
    <w:qFormat/>
    <w:rsid w:val="00870F1F"/>
    <w:pPr>
      <w:numPr>
        <w:ilvl w:val="4"/>
        <w:numId w:val="4"/>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uiPriority w:val="99"/>
    <w:qFormat/>
    <w:rsid w:val="00870F1F"/>
    <w:pPr>
      <w:numPr>
        <w:ilvl w:val="5"/>
        <w:numId w:val="4"/>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uiPriority w:val="99"/>
    <w:qFormat/>
    <w:rsid w:val="00870F1F"/>
    <w:pPr>
      <w:numPr>
        <w:ilvl w:val="6"/>
        <w:numId w:val="4"/>
      </w:numPr>
      <w:spacing w:before="240" w:after="60" w:line="240" w:lineRule="auto"/>
      <w:outlineLvl w:val="6"/>
    </w:pPr>
    <w:rPr>
      <w:rFonts w:eastAsia="Times New Roman"/>
      <w:sz w:val="24"/>
      <w:szCs w:val="20"/>
    </w:rPr>
  </w:style>
  <w:style w:type="paragraph" w:styleId="Heading8">
    <w:name w:val="heading 8"/>
    <w:basedOn w:val="Normal"/>
    <w:next w:val="Normal"/>
    <w:link w:val="Heading8Char"/>
    <w:uiPriority w:val="99"/>
    <w:qFormat/>
    <w:rsid w:val="00870F1F"/>
    <w:pPr>
      <w:numPr>
        <w:ilvl w:val="7"/>
        <w:numId w:val="4"/>
      </w:numPr>
      <w:spacing w:before="240" w:after="60" w:line="240" w:lineRule="auto"/>
      <w:outlineLvl w:val="7"/>
    </w:pPr>
    <w:rPr>
      <w:rFonts w:eastAsia="Times New Roman"/>
      <w:i/>
      <w:sz w:val="24"/>
      <w:szCs w:val="20"/>
    </w:rPr>
  </w:style>
  <w:style w:type="paragraph" w:styleId="Heading9">
    <w:name w:val="heading 9"/>
    <w:basedOn w:val="Normal"/>
    <w:next w:val="Normal"/>
    <w:link w:val="Heading9Char"/>
    <w:uiPriority w:val="99"/>
    <w:qFormat/>
    <w:rsid w:val="00870F1F"/>
    <w:pPr>
      <w:numPr>
        <w:ilvl w:val="8"/>
        <w:numId w:val="4"/>
      </w:numPr>
      <w:spacing w:before="240" w:after="60" w:line="240" w:lineRule="auto"/>
      <w:outlineLvl w:val="8"/>
    </w:pPr>
    <w:rPr>
      <w:rFonts w:eastAsia="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rsid w:val="00870F1F"/>
    <w:rPr>
      <w:rFonts w:ascii="Arial" w:eastAsia="Times New Roman" w:hAnsi="Arial" w:cs="Times New Roman"/>
      <w:b/>
      <w:kern w:val="28"/>
      <w:sz w:val="28"/>
      <w:szCs w:val="20"/>
    </w:rPr>
  </w:style>
  <w:style w:type="character" w:customStyle="1" w:styleId="Heading2Char">
    <w:name w:val="Heading 2 Char"/>
    <w:link w:val="Heading2"/>
    <w:rsid w:val="00E3569E"/>
    <w:rPr>
      <w:rFonts w:ascii="Arial" w:eastAsia="Times New Roman" w:hAnsi="Arial" w:cs="Times New Roman"/>
      <w:b/>
      <w:sz w:val="24"/>
      <w:szCs w:val="20"/>
    </w:rPr>
  </w:style>
  <w:style w:type="character" w:customStyle="1" w:styleId="Heading3Char">
    <w:name w:val="Heading 3 Char"/>
    <w:link w:val="Heading3"/>
    <w:rsid w:val="00870F1F"/>
    <w:rPr>
      <w:rFonts w:ascii="Arial" w:eastAsia="Times New Roman" w:hAnsi="Arial" w:cs="Times New Roman"/>
      <w:sz w:val="24"/>
      <w:szCs w:val="20"/>
    </w:rPr>
  </w:style>
  <w:style w:type="character" w:customStyle="1" w:styleId="Heading4Char">
    <w:name w:val="Heading 4 Char"/>
    <w:aliases w:val="Heading 4.a Char"/>
    <w:link w:val="Heading4"/>
    <w:rsid w:val="00870F1F"/>
    <w:rPr>
      <w:rFonts w:ascii="Arial" w:eastAsia="Times New Roman" w:hAnsi="Arial" w:cs="Times New Roman"/>
      <w:b/>
      <w:sz w:val="24"/>
      <w:szCs w:val="20"/>
    </w:rPr>
  </w:style>
  <w:style w:type="character" w:customStyle="1" w:styleId="Heading5Char">
    <w:name w:val="Heading 5 Char"/>
    <w:aliases w:val="Heading 5.(i) Char"/>
    <w:link w:val="Heading5"/>
    <w:uiPriority w:val="99"/>
    <w:rsid w:val="00870F1F"/>
    <w:rPr>
      <w:rFonts w:ascii="Times New Roman" w:eastAsia="Times New Roman" w:hAnsi="Times New Roman" w:cs="Times New Roman"/>
      <w:szCs w:val="20"/>
    </w:rPr>
  </w:style>
  <w:style w:type="character" w:customStyle="1" w:styleId="Heading6Char">
    <w:name w:val="Heading 6 Char"/>
    <w:link w:val="Heading6"/>
    <w:uiPriority w:val="99"/>
    <w:rsid w:val="00870F1F"/>
    <w:rPr>
      <w:rFonts w:ascii="Times New Roman" w:eastAsia="Times New Roman" w:hAnsi="Times New Roman" w:cs="Times New Roman"/>
      <w:i/>
      <w:szCs w:val="20"/>
    </w:rPr>
  </w:style>
  <w:style w:type="character" w:customStyle="1" w:styleId="Heading7Char">
    <w:name w:val="Heading 7 Char"/>
    <w:link w:val="Heading7"/>
    <w:uiPriority w:val="99"/>
    <w:rsid w:val="00870F1F"/>
    <w:rPr>
      <w:rFonts w:ascii="Arial" w:eastAsia="Times New Roman" w:hAnsi="Arial" w:cs="Times New Roman"/>
      <w:sz w:val="24"/>
      <w:szCs w:val="20"/>
    </w:rPr>
  </w:style>
  <w:style w:type="character" w:customStyle="1" w:styleId="Heading8Char">
    <w:name w:val="Heading 8 Char"/>
    <w:link w:val="Heading8"/>
    <w:uiPriority w:val="99"/>
    <w:rsid w:val="00870F1F"/>
    <w:rPr>
      <w:rFonts w:ascii="Arial" w:eastAsia="Times New Roman" w:hAnsi="Arial" w:cs="Times New Roman"/>
      <w:i/>
      <w:sz w:val="24"/>
      <w:szCs w:val="20"/>
    </w:rPr>
  </w:style>
  <w:style w:type="character" w:customStyle="1" w:styleId="Heading9Char">
    <w:name w:val="Heading 9 Char"/>
    <w:link w:val="Heading9"/>
    <w:uiPriority w:val="99"/>
    <w:rsid w:val="00870F1F"/>
    <w:rPr>
      <w:rFonts w:eastAsia="Times New Roman"/>
      <w:b/>
      <w:i/>
      <w:sz w:val="18"/>
    </w:rPr>
  </w:style>
  <w:style w:type="paragraph" w:styleId="BalloonText">
    <w:name w:val="Balloon Text"/>
    <w:basedOn w:val="Normal"/>
    <w:link w:val="BalloonTextChar"/>
    <w:uiPriority w:val="99"/>
    <w:unhideWhenUsed/>
    <w:rsid w:val="0025506D"/>
    <w:pPr>
      <w:spacing w:after="0" w:line="240" w:lineRule="auto"/>
    </w:pPr>
    <w:rPr>
      <w:rFonts w:ascii="Tahoma" w:hAnsi="Tahoma" w:cs="Tahoma"/>
      <w:sz w:val="16"/>
      <w:szCs w:val="16"/>
    </w:rPr>
  </w:style>
  <w:style w:type="character" w:customStyle="1" w:styleId="BalloonTextChar">
    <w:name w:val="Balloon Text Char"/>
    <w:link w:val="BalloonText"/>
    <w:uiPriority w:val="99"/>
    <w:rsid w:val="0025506D"/>
    <w:rPr>
      <w:rFonts w:ascii="Tahoma" w:hAnsi="Tahoma" w:cs="Tahoma"/>
      <w:sz w:val="16"/>
      <w:szCs w:val="16"/>
    </w:rPr>
  </w:style>
  <w:style w:type="paragraph" w:customStyle="1" w:styleId="Chapter">
    <w:name w:val="Chapter"/>
    <w:basedOn w:val="Normal"/>
    <w:next w:val="Normal"/>
    <w:rsid w:val="00A135AE"/>
    <w:p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FirstHeading">
    <w:name w:val="FirstHeading"/>
    <w:basedOn w:val="Normal"/>
    <w:rsid w:val="00A135AE"/>
    <w:pPr>
      <w:keepNext/>
      <w:tabs>
        <w:tab w:val="left" w:pos="0"/>
        <w:tab w:val="left" w:pos="90"/>
      </w:tabs>
      <w:spacing w:before="120" w:after="120" w:line="240" w:lineRule="auto"/>
    </w:pPr>
    <w:rPr>
      <w:rFonts w:ascii="Times New Roman" w:eastAsia="Times New Roman" w:hAnsi="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uiPriority w:val="99"/>
    <w:qFormat/>
    <w:rsid w:val="00A135AE"/>
    <w:pPr>
      <w:spacing w:after="0" w:line="240" w:lineRule="auto"/>
    </w:pPr>
    <w:rPr>
      <w:rFonts w:ascii="Times New Roman" w:eastAsia="Times New Roman" w:hAnsi="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uiPriority w:val="99"/>
    <w:rsid w:val="00A135AE"/>
    <w:rPr>
      <w:rFonts w:ascii="Times New Roman" w:eastAsia="Times New Roman" w:hAnsi="Times New Roman" w:cs="Times New Roman"/>
      <w:sz w:val="20"/>
      <w:szCs w:val="20"/>
    </w:rPr>
  </w:style>
  <w:style w:type="paragraph" w:customStyle="1" w:styleId="Paragraph">
    <w:name w:val="Paragraph"/>
    <w:aliases w:val="p,PARAGRAPH,PG,pa,at,paragraph"/>
    <w:basedOn w:val="BodyTextIndent"/>
    <w:link w:val="ParagraphChar"/>
    <w:qFormat/>
    <w:rsid w:val="00A135AE"/>
    <w:pPr>
      <w:numPr>
        <w:ilvl w:val="1"/>
        <w:numId w:val="1"/>
      </w:numPr>
      <w:spacing w:before="120" w:line="240" w:lineRule="auto"/>
      <w:jc w:val="both"/>
      <w:outlineLvl w:val="1"/>
    </w:pPr>
    <w:rPr>
      <w:rFonts w:ascii="Times New Roman" w:eastAsia="Times New Roman" w:hAnsi="Times New Roman"/>
      <w:sz w:val="24"/>
      <w:szCs w:val="20"/>
      <w:lang w:val="es-ES"/>
    </w:rPr>
  </w:style>
  <w:style w:type="paragraph" w:styleId="BodyTextIndent">
    <w:name w:val="Body Text Indent"/>
    <w:basedOn w:val="Normal"/>
    <w:link w:val="BodyTextIndentChar"/>
    <w:uiPriority w:val="99"/>
    <w:semiHidden/>
    <w:unhideWhenUsed/>
    <w:rsid w:val="00A135AE"/>
    <w:pPr>
      <w:spacing w:after="120"/>
      <w:ind w:left="360"/>
    </w:pPr>
  </w:style>
  <w:style w:type="character" w:customStyle="1" w:styleId="BodyTextIndentChar">
    <w:name w:val="Body Text Indent Char"/>
    <w:basedOn w:val="DefaultParagraphFont"/>
    <w:link w:val="BodyTextIndent"/>
    <w:uiPriority w:val="99"/>
    <w:semiHidden/>
    <w:rsid w:val="00A135AE"/>
  </w:style>
  <w:style w:type="character" w:customStyle="1" w:styleId="ParagraphChar">
    <w:name w:val="Paragraph Char"/>
    <w:link w:val="Paragraph"/>
    <w:rsid w:val="00A135AE"/>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A135AE"/>
    <w:pPr>
      <w:keepNext/>
      <w:numPr>
        <w:ilvl w:val="1"/>
        <w:numId w:val="2"/>
      </w:numPr>
      <w:spacing w:before="120" w:after="120" w:line="240" w:lineRule="auto"/>
    </w:pPr>
    <w:rPr>
      <w:rFonts w:ascii="Times New Roman" w:eastAsia="Times New Roman" w:hAnsi="Times New Roman"/>
      <w:b/>
      <w:sz w:val="24"/>
      <w:szCs w:val="20"/>
      <w:lang w:val="es-ES_tradnl"/>
    </w:rPr>
  </w:style>
  <w:style w:type="paragraph" w:customStyle="1" w:styleId="SubHeading1">
    <w:name w:val="SubHeading1"/>
    <w:basedOn w:val="SecHeading"/>
    <w:rsid w:val="00A135AE"/>
    <w:pPr>
      <w:numPr>
        <w:ilvl w:val="2"/>
      </w:numPr>
    </w:pPr>
  </w:style>
  <w:style w:type="paragraph" w:customStyle="1" w:styleId="Subheading2">
    <w:name w:val="Subheading2"/>
    <w:basedOn w:val="SecHeading"/>
    <w:rsid w:val="00A135AE"/>
    <w:pPr>
      <w:numPr>
        <w:ilvl w:val="3"/>
      </w:numPr>
    </w:pPr>
  </w:style>
  <w:style w:type="paragraph" w:customStyle="1" w:styleId="subpar">
    <w:name w:val="subpar"/>
    <w:basedOn w:val="BodyTextIndent3"/>
    <w:link w:val="subparChar"/>
    <w:rsid w:val="00A135AE"/>
    <w:pPr>
      <w:numPr>
        <w:ilvl w:val="2"/>
        <w:numId w:val="1"/>
      </w:numPr>
      <w:spacing w:before="120" w:line="240" w:lineRule="auto"/>
      <w:jc w:val="both"/>
      <w:outlineLvl w:val="2"/>
    </w:pPr>
    <w:rPr>
      <w:rFonts w:ascii="Times New Roman" w:eastAsia="Times New Roman" w:hAnsi="Times New Roman"/>
      <w:sz w:val="24"/>
      <w:szCs w:val="20"/>
      <w:lang w:val="es-ES_tradnl"/>
    </w:rPr>
  </w:style>
  <w:style w:type="paragraph" w:styleId="BodyTextIndent3">
    <w:name w:val="Body Text Indent 3"/>
    <w:basedOn w:val="Normal"/>
    <w:link w:val="BodyTextIndent3Char"/>
    <w:uiPriority w:val="99"/>
    <w:semiHidden/>
    <w:unhideWhenUsed/>
    <w:rsid w:val="00A135AE"/>
    <w:pPr>
      <w:spacing w:after="120"/>
      <w:ind w:left="360"/>
    </w:pPr>
    <w:rPr>
      <w:sz w:val="16"/>
      <w:szCs w:val="16"/>
    </w:rPr>
  </w:style>
  <w:style w:type="character" w:customStyle="1" w:styleId="BodyTextIndent3Char">
    <w:name w:val="Body Text Indent 3 Char"/>
    <w:link w:val="BodyTextIndent3"/>
    <w:uiPriority w:val="99"/>
    <w:semiHidden/>
    <w:rsid w:val="00A135AE"/>
    <w:rPr>
      <w:sz w:val="16"/>
      <w:szCs w:val="16"/>
    </w:rPr>
  </w:style>
  <w:style w:type="character" w:customStyle="1" w:styleId="subparChar">
    <w:name w:val="subpar Char"/>
    <w:link w:val="subpar"/>
    <w:rsid w:val="00A135AE"/>
    <w:rPr>
      <w:rFonts w:ascii="Times New Roman" w:eastAsia="Times New Roman" w:hAnsi="Times New Roman" w:cs="Times New Roman"/>
      <w:sz w:val="24"/>
      <w:szCs w:val="20"/>
      <w:lang w:val="es-ES_tradnl"/>
    </w:rPr>
  </w:style>
  <w:style w:type="paragraph" w:customStyle="1" w:styleId="SubSubPar">
    <w:name w:val="SubSubPar"/>
    <w:basedOn w:val="subpar"/>
    <w:rsid w:val="00A135AE"/>
    <w:pPr>
      <w:numPr>
        <w:ilvl w:val="3"/>
      </w:numPr>
      <w:tabs>
        <w:tab w:val="left" w:pos="0"/>
      </w:tabs>
    </w:pPr>
  </w:style>
  <w:style w:type="character" w:styleId="Hyperlink">
    <w:name w:val="Hyperlink"/>
    <w:rsid w:val="00A135AE"/>
    <w:rPr>
      <w:color w:val="0000FF"/>
      <w:u w:val="single"/>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qFormat/>
    <w:rsid w:val="00A135AE"/>
    <w:rPr>
      <w:vertAlign w:val="superscript"/>
    </w:rPr>
  </w:style>
  <w:style w:type="character" w:customStyle="1" w:styleId="ParagraphCar">
    <w:name w:val="Paragraph Car"/>
    <w:rsid w:val="00A135AE"/>
    <w:rPr>
      <w:sz w:val="24"/>
      <w:lang w:val="es-ES_tradnl" w:eastAsia="en-US"/>
    </w:rPr>
  </w:style>
  <w:style w:type="paragraph" w:styleId="ListParagraph">
    <w:name w:val="List Paragraph"/>
    <w:basedOn w:val="Normal"/>
    <w:link w:val="ListParagraphChar"/>
    <w:uiPriority w:val="34"/>
    <w:qFormat/>
    <w:rsid w:val="00A135AE"/>
    <w:pPr>
      <w:ind w:left="720"/>
      <w:contextualSpacing/>
    </w:pPr>
  </w:style>
  <w:style w:type="paragraph" w:styleId="BodyText">
    <w:name w:val="Body Text"/>
    <w:basedOn w:val="Normal"/>
    <w:link w:val="BodyTextChar"/>
    <w:uiPriority w:val="99"/>
    <w:semiHidden/>
    <w:unhideWhenUsed/>
    <w:rsid w:val="00870F1F"/>
    <w:pPr>
      <w:spacing w:after="120"/>
    </w:pPr>
  </w:style>
  <w:style w:type="character" w:customStyle="1" w:styleId="BodyTextChar">
    <w:name w:val="Body Text Char"/>
    <w:basedOn w:val="DefaultParagraphFont"/>
    <w:link w:val="BodyText"/>
    <w:uiPriority w:val="99"/>
    <w:semiHidden/>
    <w:rsid w:val="00870F1F"/>
  </w:style>
  <w:style w:type="paragraph" w:customStyle="1" w:styleId="ABBR">
    <w:name w:val="ABBR"/>
    <w:basedOn w:val="Normal"/>
    <w:rsid w:val="00870F1F"/>
    <w:pPr>
      <w:spacing w:after="0" w:line="240" w:lineRule="auto"/>
    </w:pPr>
    <w:rPr>
      <w:rFonts w:ascii="Times New Roman" w:eastAsia="Times New Roman" w:hAnsi="Times New Roman"/>
      <w:caps/>
      <w:sz w:val="24"/>
      <w:szCs w:val="20"/>
      <w:lang w:val="es-ES_tradnl"/>
    </w:rPr>
  </w:style>
  <w:style w:type="paragraph" w:customStyle="1" w:styleId="AbbrDesc">
    <w:name w:val="AbbrDesc"/>
    <w:basedOn w:val="Normal"/>
    <w:rsid w:val="00870F1F"/>
    <w:pPr>
      <w:tabs>
        <w:tab w:val="left" w:pos="3060"/>
      </w:tabs>
      <w:spacing w:after="0" w:line="240" w:lineRule="auto"/>
      <w:jc w:val="both"/>
    </w:pPr>
    <w:rPr>
      <w:rFonts w:ascii="Times New Roman" w:eastAsia="Times New Roman" w:hAnsi="Times New Roman"/>
      <w:sz w:val="24"/>
      <w:szCs w:val="20"/>
      <w:lang w:val="es-ES_tradnl"/>
    </w:rPr>
  </w:style>
  <w:style w:type="paragraph" w:styleId="Header">
    <w:name w:val="header"/>
    <w:basedOn w:val="Normal"/>
    <w:link w:val="HeaderChar"/>
    <w:uiPriority w:val="99"/>
    <w:rsid w:val="00870F1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70F1F"/>
    <w:rPr>
      <w:rFonts w:ascii="Times New Roman" w:eastAsia="Times New Roman" w:hAnsi="Times New Roman" w:cs="Times New Roman"/>
      <w:sz w:val="24"/>
      <w:szCs w:val="20"/>
    </w:rPr>
  </w:style>
  <w:style w:type="paragraph" w:customStyle="1" w:styleId="Newpage">
    <w:name w:val="Newpage"/>
    <w:basedOn w:val="Chapter"/>
    <w:rsid w:val="00870F1F"/>
    <w:pPr>
      <w:tabs>
        <w:tab w:val="clear" w:pos="1440"/>
        <w:tab w:val="left" w:pos="3060"/>
      </w:tabs>
      <w:spacing w:after="0"/>
    </w:pPr>
  </w:style>
  <w:style w:type="paragraph" w:styleId="TOC1">
    <w:name w:val="toc 1"/>
    <w:basedOn w:val="Normal"/>
    <w:next w:val="Normal"/>
    <w:autoRedefine/>
    <w:uiPriority w:val="39"/>
    <w:qFormat/>
    <w:rsid w:val="00870F1F"/>
    <w:pPr>
      <w:tabs>
        <w:tab w:val="left" w:pos="540"/>
        <w:tab w:val="right" w:leader="dot" w:pos="8741"/>
      </w:tabs>
      <w:spacing w:before="240" w:after="240" w:line="240" w:lineRule="auto"/>
      <w:ind w:left="547" w:hanging="547"/>
    </w:pPr>
    <w:rPr>
      <w:rFonts w:ascii="Times New Roman" w:eastAsia="Times New Roman" w:hAnsi="Times New Roman"/>
      <w:smallCaps/>
      <w:noProof/>
      <w:sz w:val="24"/>
      <w:szCs w:val="20"/>
    </w:rPr>
  </w:style>
  <w:style w:type="paragraph" w:styleId="TOC2">
    <w:name w:val="toc 2"/>
    <w:basedOn w:val="Normal"/>
    <w:next w:val="Normal"/>
    <w:autoRedefine/>
    <w:uiPriority w:val="39"/>
    <w:qFormat/>
    <w:rsid w:val="00870F1F"/>
    <w:pPr>
      <w:tabs>
        <w:tab w:val="left" w:pos="540"/>
        <w:tab w:val="left" w:pos="600"/>
        <w:tab w:val="left" w:pos="1152"/>
        <w:tab w:val="right" w:leader="dot" w:pos="8741"/>
      </w:tabs>
      <w:spacing w:after="0" w:line="240" w:lineRule="auto"/>
      <w:ind w:left="1166" w:hanging="605"/>
    </w:pPr>
    <w:rPr>
      <w:rFonts w:ascii="Times New Roman" w:eastAsia="Times New Roman" w:hAnsi="Times New Roman"/>
      <w:noProof/>
      <w:sz w:val="24"/>
      <w:szCs w:val="20"/>
    </w:rPr>
  </w:style>
  <w:style w:type="character" w:styleId="CommentReference">
    <w:name w:val="annotation reference"/>
    <w:uiPriority w:val="99"/>
    <w:semiHidden/>
    <w:unhideWhenUsed/>
    <w:rsid w:val="00D5406F"/>
    <w:rPr>
      <w:sz w:val="16"/>
      <w:szCs w:val="16"/>
    </w:rPr>
  </w:style>
  <w:style w:type="paragraph" w:styleId="CommentText">
    <w:name w:val="annotation text"/>
    <w:basedOn w:val="Normal"/>
    <w:link w:val="CommentTextChar"/>
    <w:uiPriority w:val="99"/>
    <w:semiHidden/>
    <w:unhideWhenUsed/>
    <w:rsid w:val="00D5406F"/>
    <w:pPr>
      <w:spacing w:line="240" w:lineRule="auto"/>
    </w:pPr>
    <w:rPr>
      <w:sz w:val="20"/>
      <w:szCs w:val="20"/>
    </w:rPr>
  </w:style>
  <w:style w:type="character" w:customStyle="1" w:styleId="CommentTextChar">
    <w:name w:val="Comment Text Char"/>
    <w:link w:val="CommentText"/>
    <w:uiPriority w:val="99"/>
    <w:semiHidden/>
    <w:rsid w:val="00D5406F"/>
    <w:rPr>
      <w:sz w:val="20"/>
      <w:szCs w:val="20"/>
    </w:rPr>
  </w:style>
  <w:style w:type="paragraph" w:styleId="CommentSubject">
    <w:name w:val="annotation subject"/>
    <w:basedOn w:val="CommentText"/>
    <w:next w:val="CommentText"/>
    <w:link w:val="CommentSubjectChar"/>
    <w:uiPriority w:val="99"/>
    <w:semiHidden/>
    <w:unhideWhenUsed/>
    <w:rsid w:val="00D5406F"/>
    <w:rPr>
      <w:b/>
      <w:bCs/>
    </w:rPr>
  </w:style>
  <w:style w:type="character" w:customStyle="1" w:styleId="CommentSubjectChar">
    <w:name w:val="Comment Subject Char"/>
    <w:link w:val="CommentSubject"/>
    <w:uiPriority w:val="99"/>
    <w:semiHidden/>
    <w:rsid w:val="00D5406F"/>
    <w:rPr>
      <w:b/>
      <w:bCs/>
      <w:sz w:val="20"/>
      <w:szCs w:val="20"/>
    </w:rPr>
  </w:style>
  <w:style w:type="character" w:styleId="Emphasis">
    <w:name w:val="Emphasis"/>
    <w:uiPriority w:val="20"/>
    <w:qFormat/>
    <w:rsid w:val="00296339"/>
    <w:rPr>
      <w:i/>
      <w:iCs/>
    </w:rPr>
  </w:style>
  <w:style w:type="character" w:customStyle="1" w:styleId="apple-converted-space">
    <w:name w:val="apple-converted-space"/>
    <w:basedOn w:val="DefaultParagraphFont"/>
    <w:rsid w:val="00296339"/>
  </w:style>
  <w:style w:type="table" w:styleId="TableGrid">
    <w:name w:val="Table Grid"/>
    <w:basedOn w:val="TableNormal"/>
    <w:uiPriority w:val="59"/>
    <w:rsid w:val="00D15A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3569E"/>
    <w:pPr>
      <w:keepLines/>
      <w:numPr>
        <w:numId w:val="0"/>
      </w:numPr>
      <w:spacing w:before="480" w:after="0" w:line="276" w:lineRule="auto"/>
      <w:outlineLvl w:val="9"/>
    </w:pPr>
    <w:rPr>
      <w:bCs/>
      <w:color w:val="365F91"/>
      <w:kern w:val="0"/>
      <w:szCs w:val="28"/>
      <w:lang w:eastAsia="ja-JP"/>
    </w:rPr>
  </w:style>
  <w:style w:type="paragraph" w:styleId="TOC3">
    <w:name w:val="toc 3"/>
    <w:basedOn w:val="Normal"/>
    <w:next w:val="Normal"/>
    <w:autoRedefine/>
    <w:uiPriority w:val="39"/>
    <w:unhideWhenUsed/>
    <w:qFormat/>
    <w:rsid w:val="00E3569E"/>
    <w:pPr>
      <w:spacing w:after="100"/>
      <w:ind w:left="440"/>
    </w:pPr>
  </w:style>
  <w:style w:type="character" w:customStyle="1" w:styleId="A3">
    <w:name w:val="A3"/>
    <w:uiPriority w:val="99"/>
    <w:rsid w:val="005C68D8"/>
    <w:rPr>
      <w:rFonts w:cs="Tundra Web Pro Light"/>
      <w:color w:val="000000"/>
      <w:sz w:val="20"/>
      <w:szCs w:val="20"/>
    </w:rPr>
  </w:style>
  <w:style w:type="character" w:customStyle="1" w:styleId="ListParagraphChar">
    <w:name w:val="List Paragraph Char"/>
    <w:basedOn w:val="DefaultParagraphFont"/>
    <w:link w:val="ListParagraph"/>
    <w:uiPriority w:val="34"/>
    <w:rsid w:val="003372CB"/>
  </w:style>
  <w:style w:type="numbering" w:customStyle="1" w:styleId="NoList1">
    <w:name w:val="No List1"/>
    <w:next w:val="NoList"/>
    <w:uiPriority w:val="99"/>
    <w:semiHidden/>
    <w:unhideWhenUsed/>
    <w:rsid w:val="00C83C65"/>
  </w:style>
  <w:style w:type="table" w:customStyle="1" w:styleId="TableGrid1">
    <w:name w:val="Table Grid1"/>
    <w:basedOn w:val="TableNormal"/>
    <w:next w:val="TableGrid"/>
    <w:uiPriority w:val="59"/>
    <w:rsid w:val="00C83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3C65"/>
    <w:rPr>
      <w:color w:val="800080"/>
      <w:u w:val="single"/>
    </w:rPr>
  </w:style>
  <w:style w:type="paragraph" w:styleId="Footer">
    <w:name w:val="footer"/>
    <w:basedOn w:val="Normal"/>
    <w:link w:val="FooterChar"/>
    <w:uiPriority w:val="99"/>
    <w:unhideWhenUsed/>
    <w:rsid w:val="0016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812">
      <w:bodyDiv w:val="1"/>
      <w:marLeft w:val="0"/>
      <w:marRight w:val="0"/>
      <w:marTop w:val="0"/>
      <w:marBottom w:val="0"/>
      <w:divBdr>
        <w:top w:val="none" w:sz="0" w:space="0" w:color="auto"/>
        <w:left w:val="none" w:sz="0" w:space="0" w:color="auto"/>
        <w:bottom w:val="none" w:sz="0" w:space="0" w:color="auto"/>
        <w:right w:val="none" w:sz="0" w:space="0" w:color="auto"/>
      </w:divBdr>
    </w:div>
    <w:div w:id="88432895">
      <w:bodyDiv w:val="1"/>
      <w:marLeft w:val="0"/>
      <w:marRight w:val="0"/>
      <w:marTop w:val="0"/>
      <w:marBottom w:val="0"/>
      <w:divBdr>
        <w:top w:val="none" w:sz="0" w:space="0" w:color="auto"/>
        <w:left w:val="none" w:sz="0" w:space="0" w:color="auto"/>
        <w:bottom w:val="none" w:sz="0" w:space="0" w:color="auto"/>
        <w:right w:val="none" w:sz="0" w:space="0" w:color="auto"/>
      </w:divBdr>
    </w:div>
    <w:div w:id="333846450">
      <w:bodyDiv w:val="1"/>
      <w:marLeft w:val="0"/>
      <w:marRight w:val="0"/>
      <w:marTop w:val="0"/>
      <w:marBottom w:val="0"/>
      <w:divBdr>
        <w:top w:val="none" w:sz="0" w:space="0" w:color="auto"/>
        <w:left w:val="none" w:sz="0" w:space="0" w:color="auto"/>
        <w:bottom w:val="none" w:sz="0" w:space="0" w:color="auto"/>
        <w:right w:val="none" w:sz="0" w:space="0" w:color="auto"/>
      </w:divBdr>
    </w:div>
    <w:div w:id="734663792">
      <w:bodyDiv w:val="1"/>
      <w:marLeft w:val="0"/>
      <w:marRight w:val="0"/>
      <w:marTop w:val="0"/>
      <w:marBottom w:val="0"/>
      <w:divBdr>
        <w:top w:val="none" w:sz="0" w:space="0" w:color="auto"/>
        <w:left w:val="none" w:sz="0" w:space="0" w:color="auto"/>
        <w:bottom w:val="none" w:sz="0" w:space="0" w:color="auto"/>
        <w:right w:val="none" w:sz="0" w:space="0" w:color="auto"/>
      </w:divBdr>
    </w:div>
    <w:div w:id="880896871">
      <w:bodyDiv w:val="1"/>
      <w:marLeft w:val="0"/>
      <w:marRight w:val="0"/>
      <w:marTop w:val="0"/>
      <w:marBottom w:val="0"/>
      <w:divBdr>
        <w:top w:val="none" w:sz="0" w:space="0" w:color="auto"/>
        <w:left w:val="none" w:sz="0" w:space="0" w:color="auto"/>
        <w:bottom w:val="none" w:sz="0" w:space="0" w:color="auto"/>
        <w:right w:val="none" w:sz="0" w:space="0" w:color="auto"/>
      </w:divBdr>
    </w:div>
    <w:div w:id="888152397">
      <w:bodyDiv w:val="1"/>
      <w:marLeft w:val="0"/>
      <w:marRight w:val="0"/>
      <w:marTop w:val="0"/>
      <w:marBottom w:val="0"/>
      <w:divBdr>
        <w:top w:val="none" w:sz="0" w:space="0" w:color="auto"/>
        <w:left w:val="none" w:sz="0" w:space="0" w:color="auto"/>
        <w:bottom w:val="none" w:sz="0" w:space="0" w:color="auto"/>
        <w:right w:val="none" w:sz="0" w:space="0" w:color="auto"/>
      </w:divBdr>
    </w:div>
    <w:div w:id="1001472912">
      <w:bodyDiv w:val="1"/>
      <w:marLeft w:val="0"/>
      <w:marRight w:val="0"/>
      <w:marTop w:val="0"/>
      <w:marBottom w:val="0"/>
      <w:divBdr>
        <w:top w:val="none" w:sz="0" w:space="0" w:color="auto"/>
        <w:left w:val="none" w:sz="0" w:space="0" w:color="auto"/>
        <w:bottom w:val="none" w:sz="0" w:space="0" w:color="auto"/>
        <w:right w:val="none" w:sz="0" w:space="0" w:color="auto"/>
      </w:divBdr>
    </w:div>
    <w:div w:id="1423063373">
      <w:bodyDiv w:val="1"/>
      <w:marLeft w:val="0"/>
      <w:marRight w:val="0"/>
      <w:marTop w:val="0"/>
      <w:marBottom w:val="0"/>
      <w:divBdr>
        <w:top w:val="none" w:sz="0" w:space="0" w:color="auto"/>
        <w:left w:val="none" w:sz="0" w:space="0" w:color="auto"/>
        <w:bottom w:val="none" w:sz="0" w:space="0" w:color="auto"/>
        <w:right w:val="none" w:sz="0" w:space="0" w:color="auto"/>
      </w:divBdr>
    </w:div>
    <w:div w:id="1482119844">
      <w:bodyDiv w:val="1"/>
      <w:marLeft w:val="0"/>
      <w:marRight w:val="0"/>
      <w:marTop w:val="0"/>
      <w:marBottom w:val="0"/>
      <w:divBdr>
        <w:top w:val="none" w:sz="0" w:space="0" w:color="auto"/>
        <w:left w:val="none" w:sz="0" w:space="0" w:color="auto"/>
        <w:bottom w:val="none" w:sz="0" w:space="0" w:color="auto"/>
        <w:right w:val="none" w:sz="0" w:space="0" w:color="auto"/>
      </w:divBdr>
    </w:div>
    <w:div w:id="1998800598">
      <w:bodyDiv w:val="1"/>
      <w:marLeft w:val="0"/>
      <w:marRight w:val="0"/>
      <w:marTop w:val="0"/>
      <w:marBottom w:val="0"/>
      <w:divBdr>
        <w:top w:val="none" w:sz="0" w:space="0" w:color="auto"/>
        <w:left w:val="none" w:sz="0" w:space="0" w:color="auto"/>
        <w:bottom w:val="none" w:sz="0" w:space="0" w:color="auto"/>
        <w:right w:val="none" w:sz="0" w:space="0" w:color="auto"/>
      </w:divBdr>
    </w:div>
    <w:div w:id="2056734598">
      <w:bodyDiv w:val="1"/>
      <w:marLeft w:val="0"/>
      <w:marRight w:val="0"/>
      <w:marTop w:val="0"/>
      <w:marBottom w:val="0"/>
      <w:divBdr>
        <w:top w:val="none" w:sz="0" w:space="0" w:color="auto"/>
        <w:left w:val="none" w:sz="0" w:space="0" w:color="auto"/>
        <w:bottom w:val="none" w:sz="0" w:space="0" w:color="auto"/>
        <w:right w:val="none" w:sz="0" w:space="0" w:color="auto"/>
      </w:divBdr>
    </w:div>
    <w:div w:id="21159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idbdocs.iadb.org/wsdocs/getdocument.aspx?docnum=39996403"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9996403" TargetMode="External"/><Relationship Id="rId24" Type="http://schemas.openxmlformats.org/officeDocument/2006/relationships/image" Target="media/image9.png"/><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idbdocs.iadb.org/wsdocs/getdocument.aspx?docnum=39996403" TargetMode="External"/><Relationship Id="rId19" Type="http://schemas.openxmlformats.org/officeDocument/2006/relationships/image" Target="media/image5.png"/><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gendadeprobidad.gob.cl/"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customXml" Target="../customXml/item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ychile.cl/Navegar?idNorma=196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9B1D2C89B61CE4DB712BB950CB60064" ma:contentTypeVersion="0" ma:contentTypeDescription="A content type to manage public (operations) IDB documents" ma:contentTypeScope="" ma:versionID="e8966138061e23cd6084fccd4d49ece6">
  <xsd:schema xmlns:xsd="http://www.w3.org/2001/XMLSchema" xmlns:xs="http://www.w3.org/2001/XMLSchema" xmlns:p="http://schemas.microsoft.com/office/2006/metadata/properties" xmlns:ns2="9c571b2f-e523-4ab2-ba2e-09e151a03ef4" targetNamespace="http://schemas.microsoft.com/office/2006/metadata/properties" ma:root="true" ma:fieldsID="5cef9acc7f5f2c21ae68466fda6a47c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9f7d02-9c79-4040-8fb6-60e7837b3d3f}" ma:internalName="TaxCatchAll" ma:showField="CatchAllData"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9f7d02-9c79-4040-8fb6-60e7837b3d3f}" ma:internalName="TaxCatchAllLabel" ma:readOnly="true" ma:showField="CatchAllDataLabel"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40274721</IDBDocs_x0020_Number>
    <Document_x0020_Author xmlns="9c571b2f-e523-4ab2-ba2e-09e151a03ef4">Jarquin Ramos, Maria Jose</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CH-L1111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Proposal&lt;/USER_STAGE&gt;&lt;PD_OBJ_TYPE&gt;0&lt;/PD_OBJ_TYPE&gt;&lt;DTAPPROVAL&gt;Sep 21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FB40BBED-4BA1-4515-AF25-1CC2745EC06D}"/>
</file>

<file path=customXml/itemProps2.xml><?xml version="1.0" encoding="utf-8"?>
<ds:datastoreItem xmlns:ds="http://schemas.openxmlformats.org/officeDocument/2006/customXml" ds:itemID="{68BA5C4A-447D-4009-8E99-1CE67D14F0A8}"/>
</file>

<file path=customXml/itemProps3.xml><?xml version="1.0" encoding="utf-8"?>
<ds:datastoreItem xmlns:ds="http://schemas.openxmlformats.org/officeDocument/2006/customXml" ds:itemID="{BE4566DD-2C15-49EE-9867-D99AB6FE792A}"/>
</file>

<file path=customXml/itemProps4.xml><?xml version="1.0" encoding="utf-8"?>
<ds:datastoreItem xmlns:ds="http://schemas.openxmlformats.org/officeDocument/2006/customXml" ds:itemID="{AA8C0B39-0E53-48B6-A165-A68F1807B08F}"/>
</file>

<file path=customXml/itemProps5.xml><?xml version="1.0" encoding="utf-8"?>
<ds:datastoreItem xmlns:ds="http://schemas.openxmlformats.org/officeDocument/2006/customXml" ds:itemID="{2E1097C6-669B-4292-B32D-E025866695F2}"/>
</file>

<file path=customXml/itemProps6.xml><?xml version="1.0" encoding="utf-8"?>
<ds:datastoreItem xmlns:ds="http://schemas.openxmlformats.org/officeDocument/2006/customXml" ds:itemID="{BB8899EA-719A-40F4-988F-DAB6B7C004CC}"/>
</file>

<file path=docProps/app.xml><?xml version="1.0" encoding="utf-8"?>
<Properties xmlns="http://schemas.openxmlformats.org/officeDocument/2006/extended-properties" xmlns:vt="http://schemas.openxmlformats.org/officeDocument/2006/docPropsVTypes">
  <Template>Normal.dotm</Template>
  <TotalTime>0</TotalTime>
  <Pages>31</Pages>
  <Words>6800</Words>
  <Characters>38766</Characters>
  <Application>Microsoft Office Word</Application>
  <DocSecurity>0</DocSecurity>
  <Lines>323</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45476</CharactersWithSpaces>
  <SharedDoc>false</SharedDoc>
  <HLinks>
    <vt:vector size="36" baseType="variant">
      <vt:variant>
        <vt:i4>131141</vt:i4>
      </vt:variant>
      <vt:variant>
        <vt:i4>12</vt:i4>
      </vt:variant>
      <vt:variant>
        <vt:i4>0</vt:i4>
      </vt:variant>
      <vt:variant>
        <vt:i4>5</vt:i4>
      </vt:variant>
      <vt:variant>
        <vt:lpwstr>http://www.mercadopublico.cl/</vt:lpwstr>
      </vt:variant>
      <vt:variant>
        <vt:lpwstr/>
      </vt:variant>
      <vt:variant>
        <vt:i4>8060975</vt:i4>
      </vt:variant>
      <vt:variant>
        <vt:i4>9</vt:i4>
      </vt:variant>
      <vt:variant>
        <vt:i4>0</vt:i4>
      </vt:variant>
      <vt:variant>
        <vt:i4>5</vt:i4>
      </vt:variant>
      <vt:variant>
        <vt:lpwstr>http://idbdocs.iadb.org/wsdocs/getdocument.aspx?docnum=39996403</vt:lpwstr>
      </vt:variant>
      <vt:variant>
        <vt:lpwstr/>
      </vt:variant>
      <vt:variant>
        <vt:i4>8060975</vt:i4>
      </vt:variant>
      <vt:variant>
        <vt:i4>6</vt:i4>
      </vt:variant>
      <vt:variant>
        <vt:i4>0</vt:i4>
      </vt:variant>
      <vt:variant>
        <vt:i4>5</vt:i4>
      </vt:variant>
      <vt:variant>
        <vt:lpwstr>http://idbdocs.iadb.org/wsdocs/getdocument.aspx?docnum=39996403</vt:lpwstr>
      </vt:variant>
      <vt:variant>
        <vt:lpwstr/>
      </vt:variant>
      <vt:variant>
        <vt:i4>8060975</vt:i4>
      </vt:variant>
      <vt:variant>
        <vt:i4>3</vt:i4>
      </vt:variant>
      <vt:variant>
        <vt:i4>0</vt:i4>
      </vt:variant>
      <vt:variant>
        <vt:i4>5</vt:i4>
      </vt:variant>
      <vt:variant>
        <vt:lpwstr>http://idbdocs.iadb.org/wsdocs/getdocument.aspx?docnum=39996403</vt:lpwstr>
      </vt:variant>
      <vt:variant>
        <vt:lpwstr/>
      </vt:variant>
      <vt:variant>
        <vt:i4>3866667</vt:i4>
      </vt:variant>
      <vt:variant>
        <vt:i4>0</vt:i4>
      </vt:variant>
      <vt:variant>
        <vt:i4>0</vt:i4>
      </vt:variant>
      <vt:variant>
        <vt:i4>5</vt:i4>
      </vt:variant>
      <vt:variant>
        <vt:lpwstr>http://www.agendadeprobidad.gob.cl/</vt:lpwstr>
      </vt:variant>
      <vt:variant>
        <vt:lpwstr/>
      </vt:variant>
      <vt:variant>
        <vt:i4>5373976</vt:i4>
      </vt:variant>
      <vt:variant>
        <vt:i4>0</vt:i4>
      </vt:variant>
      <vt:variant>
        <vt:i4>0</vt:i4>
      </vt:variant>
      <vt:variant>
        <vt:i4>5</vt:i4>
      </vt:variant>
      <vt:variant>
        <vt:lpwstr>http://www.leychile.cl/Navegar?idNorma=196640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dc:title>
  <dc:subject/>
  <dc:creator>IADB</dc:creator>
  <cp:keywords/>
  <cp:lastModifiedBy>Melissa Gonzalez</cp:lastModifiedBy>
  <cp:revision>3</cp:revision>
  <cp:lastPrinted>2015-10-06T18:03:00Z</cp:lastPrinted>
  <dcterms:created xsi:type="dcterms:W3CDTF">2016-08-30T20:47:00Z</dcterms:created>
  <dcterms:modified xsi:type="dcterms:W3CDTF">2016-08-30T20:47:00Z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0x01010046CF21643EE8D14686A648AA6DAD089200F9B1D2C89B61CE4DB712BB950CB60064</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