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9" w:rsidRPr="00601EF9" w:rsidRDefault="00EC08D9" w:rsidP="00D177DA">
      <w:pPr>
        <w:spacing w:line="360" w:lineRule="auto"/>
        <w:jc w:val="center"/>
        <w:rPr>
          <w:rFonts w:asciiTheme="minorHAnsi" w:hAnsiTheme="minorHAnsi"/>
          <w:b/>
          <w:color w:val="auto"/>
          <w:sz w:val="32"/>
          <w:lang w:val="es-MX"/>
        </w:rPr>
      </w:pPr>
      <w:r w:rsidRPr="00601EF9">
        <w:rPr>
          <w:rFonts w:asciiTheme="minorHAnsi" w:hAnsiTheme="minorHAnsi"/>
          <w:b/>
          <w:color w:val="auto"/>
          <w:sz w:val="32"/>
          <w:lang w:val="es-MX"/>
        </w:rPr>
        <w:t>Documento del Banco Interamericano de Desarrollo</w:t>
      </w: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b/>
          <w:color w:val="auto"/>
          <w:sz w:val="28"/>
          <w:lang w:val="es-MX"/>
        </w:rPr>
      </w:pP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b/>
          <w:color w:val="auto"/>
          <w:sz w:val="28"/>
          <w:lang w:val="es-MX"/>
        </w:rPr>
      </w:pP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b/>
          <w:color w:val="auto"/>
          <w:sz w:val="28"/>
          <w:lang w:val="es-MX"/>
        </w:rPr>
      </w:pPr>
    </w:p>
    <w:p w:rsidR="00EC08D9" w:rsidRPr="00601EF9" w:rsidRDefault="00EC08D9" w:rsidP="00D177DA">
      <w:pPr>
        <w:spacing w:line="360" w:lineRule="auto"/>
        <w:jc w:val="center"/>
        <w:rPr>
          <w:rFonts w:asciiTheme="minorHAnsi" w:hAnsiTheme="minorHAnsi"/>
          <w:b/>
          <w:color w:val="auto"/>
          <w:sz w:val="28"/>
          <w:lang w:val="es-MX"/>
        </w:rPr>
      </w:pPr>
      <w:r w:rsidRPr="00601EF9">
        <w:rPr>
          <w:rFonts w:asciiTheme="minorHAnsi" w:hAnsiTheme="minorHAnsi"/>
          <w:b/>
          <w:color w:val="auto"/>
          <w:sz w:val="28"/>
          <w:lang w:val="es-MX"/>
        </w:rPr>
        <w:t>Honduras</w:t>
      </w:r>
    </w:p>
    <w:p w:rsidR="00EC08D9" w:rsidRPr="00601EF9" w:rsidRDefault="00EC08D9" w:rsidP="00D177DA">
      <w:pPr>
        <w:spacing w:line="360" w:lineRule="auto"/>
        <w:jc w:val="center"/>
        <w:rPr>
          <w:rFonts w:asciiTheme="minorHAnsi" w:hAnsiTheme="minorHAnsi"/>
          <w:color w:val="auto"/>
          <w:sz w:val="36"/>
          <w:lang w:val="es-MX"/>
        </w:rPr>
      </w:pPr>
    </w:p>
    <w:p w:rsidR="00EC08D9" w:rsidRPr="008B51C2" w:rsidRDefault="00EC08D9" w:rsidP="00D177DA">
      <w:pPr>
        <w:spacing w:line="360" w:lineRule="auto"/>
        <w:jc w:val="center"/>
        <w:rPr>
          <w:rFonts w:asciiTheme="minorHAnsi" w:hAnsiTheme="minorHAnsi"/>
          <w:b/>
          <w:sz w:val="28"/>
          <w:lang w:val="es-HN"/>
        </w:rPr>
      </w:pPr>
      <w:r w:rsidRPr="008B51C2">
        <w:rPr>
          <w:rFonts w:asciiTheme="minorHAnsi" w:hAnsiTheme="minorHAnsi"/>
          <w:b/>
          <w:sz w:val="28"/>
          <w:lang w:val="es-HN"/>
        </w:rPr>
        <w:t xml:space="preserve">Programa de Apoyo a la Red de Inclusión Social </w:t>
      </w:r>
      <w:r w:rsidR="00887A30">
        <w:rPr>
          <w:rFonts w:asciiTheme="minorHAnsi" w:hAnsiTheme="minorHAnsi"/>
          <w:b/>
          <w:sz w:val="28"/>
          <w:lang w:val="es-HN"/>
        </w:rPr>
        <w:t xml:space="preserve">con Prioridad </w:t>
      </w:r>
      <w:r w:rsidRPr="008B51C2">
        <w:rPr>
          <w:rFonts w:asciiTheme="minorHAnsi" w:hAnsiTheme="minorHAnsi"/>
          <w:b/>
          <w:sz w:val="28"/>
          <w:lang w:val="es-HN"/>
        </w:rPr>
        <w:t>en Occidente</w:t>
      </w:r>
    </w:p>
    <w:p w:rsidR="00700177" w:rsidRPr="008B51C2" w:rsidRDefault="00EC08D9" w:rsidP="00D177DA">
      <w:pPr>
        <w:spacing w:line="360" w:lineRule="auto"/>
        <w:jc w:val="center"/>
        <w:rPr>
          <w:rFonts w:asciiTheme="minorHAnsi" w:hAnsiTheme="minorHAnsi"/>
          <w:b/>
          <w:sz w:val="28"/>
          <w:lang w:val="es-HN"/>
        </w:rPr>
      </w:pPr>
      <w:r w:rsidRPr="008B51C2">
        <w:rPr>
          <w:rFonts w:asciiTheme="minorHAnsi" w:hAnsiTheme="minorHAnsi"/>
          <w:b/>
          <w:sz w:val="28"/>
          <w:lang w:val="es-HN"/>
        </w:rPr>
        <w:t>HO-L1105</w:t>
      </w: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b/>
          <w:sz w:val="32"/>
          <w:lang w:val="es-HN"/>
        </w:rPr>
      </w:pPr>
      <w:bookmarkStart w:id="0" w:name="_GoBack"/>
      <w:bookmarkEnd w:id="0"/>
    </w:p>
    <w:p w:rsidR="00360FFE" w:rsidRPr="00601EF9" w:rsidRDefault="00360FFE" w:rsidP="00D177DA">
      <w:pPr>
        <w:pStyle w:val="Title"/>
        <w:spacing w:line="360" w:lineRule="auto"/>
        <w:jc w:val="both"/>
        <w:rPr>
          <w:rFonts w:asciiTheme="minorHAnsi" w:hAnsiTheme="minorHAnsi"/>
          <w:b/>
          <w:sz w:val="28"/>
          <w:lang w:val="es-HN"/>
        </w:rPr>
      </w:pPr>
    </w:p>
    <w:p w:rsidR="00360FFE" w:rsidRPr="00207B08" w:rsidRDefault="00EC08D9" w:rsidP="00D177DA">
      <w:pPr>
        <w:pStyle w:val="Title"/>
        <w:spacing w:line="360" w:lineRule="auto"/>
        <w:jc w:val="center"/>
        <w:rPr>
          <w:rFonts w:asciiTheme="minorHAnsi" w:hAnsiTheme="minorHAnsi"/>
          <w:b/>
          <w:sz w:val="28"/>
          <w:lang w:val="es-HN"/>
        </w:rPr>
      </w:pPr>
      <w:r w:rsidRPr="00207B08">
        <w:rPr>
          <w:rFonts w:asciiTheme="minorHAnsi" w:hAnsiTheme="minorHAnsi"/>
          <w:b/>
          <w:sz w:val="28"/>
          <w:lang w:val="es-HN"/>
        </w:rPr>
        <w:t>Manual de Indicadores</w:t>
      </w:r>
      <w:r w:rsidR="00D85914" w:rsidRPr="00207B08">
        <w:rPr>
          <w:rFonts w:asciiTheme="minorHAnsi" w:hAnsiTheme="minorHAnsi"/>
          <w:b/>
          <w:sz w:val="28"/>
          <w:lang w:val="es-HN"/>
        </w:rPr>
        <w:t xml:space="preserve"> del componente 2</w:t>
      </w:r>
      <w:r w:rsidR="00205640" w:rsidRPr="00207B08">
        <w:rPr>
          <w:rFonts w:asciiTheme="minorHAnsi" w:hAnsiTheme="minorHAnsi"/>
          <w:b/>
          <w:sz w:val="28"/>
          <w:lang w:val="es-HN"/>
        </w:rPr>
        <w:t>, como c</w:t>
      </w:r>
      <w:r w:rsidR="00360FFE" w:rsidRPr="00207B08">
        <w:rPr>
          <w:rFonts w:asciiTheme="minorHAnsi" w:hAnsiTheme="minorHAnsi"/>
          <w:b/>
          <w:sz w:val="28"/>
          <w:lang w:val="es-HN"/>
        </w:rPr>
        <w:t>ondiciones especiales de ejecución para desembolso del segundo año</w:t>
      </w:r>
    </w:p>
    <w:p w:rsidR="00EC08D9" w:rsidRPr="00601EF9" w:rsidRDefault="00D85914" w:rsidP="00D177DA">
      <w:pPr>
        <w:pStyle w:val="Title"/>
        <w:spacing w:line="360" w:lineRule="auto"/>
        <w:jc w:val="both"/>
        <w:rPr>
          <w:rFonts w:asciiTheme="minorHAnsi" w:hAnsiTheme="minorHAnsi"/>
          <w:lang w:val="es-HN"/>
        </w:rPr>
      </w:pPr>
      <w:r w:rsidRPr="00601EF9">
        <w:rPr>
          <w:rFonts w:asciiTheme="minorHAnsi" w:hAnsiTheme="minorHAnsi"/>
          <w:sz w:val="36"/>
          <w:lang w:val="es-HN"/>
        </w:rPr>
        <w:t xml:space="preserve"> </w:t>
      </w: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</w:p>
    <w:p w:rsidR="00EC08D9" w:rsidRDefault="00EC08D9" w:rsidP="00D177DA">
      <w:pPr>
        <w:spacing w:line="360" w:lineRule="auto"/>
        <w:jc w:val="center"/>
        <w:rPr>
          <w:rFonts w:asciiTheme="minorHAnsi" w:hAnsiTheme="minorHAnsi"/>
          <w:b/>
          <w:sz w:val="28"/>
          <w:u w:val="single"/>
          <w:lang w:val="es-HN"/>
        </w:rPr>
      </w:pPr>
      <w:r w:rsidRPr="00601EF9">
        <w:rPr>
          <w:rFonts w:asciiTheme="minorHAnsi" w:hAnsiTheme="minorHAnsi"/>
          <w:b/>
          <w:sz w:val="28"/>
          <w:u w:val="single"/>
          <w:lang w:val="es-HN"/>
        </w:rPr>
        <w:t>Mayo 2015</w:t>
      </w:r>
    </w:p>
    <w:p w:rsidR="008B51C2" w:rsidRPr="00601EF9" w:rsidRDefault="008B51C2" w:rsidP="00D177DA">
      <w:pPr>
        <w:spacing w:line="360" w:lineRule="auto"/>
        <w:jc w:val="center"/>
        <w:rPr>
          <w:rFonts w:asciiTheme="minorHAnsi" w:hAnsiTheme="minorHAnsi"/>
          <w:b/>
          <w:sz w:val="28"/>
          <w:u w:val="single"/>
          <w:lang w:val="es-HN"/>
        </w:rPr>
      </w:pPr>
    </w:p>
    <w:p w:rsidR="00EC08D9" w:rsidRPr="00601EF9" w:rsidRDefault="0066458F" w:rsidP="00311AA9">
      <w:pPr>
        <w:shd w:val="clear" w:color="auto" w:fill="17365D" w:themeFill="text2" w:themeFillShade="BF"/>
        <w:spacing w:line="360" w:lineRule="auto"/>
        <w:jc w:val="center"/>
        <w:rPr>
          <w:rFonts w:asciiTheme="minorHAnsi" w:eastAsiaTheme="minorHAnsi" w:hAnsiTheme="minorHAnsi" w:cstheme="minorBidi"/>
          <w:b/>
          <w:noProof/>
          <w:color w:val="auto"/>
          <w:sz w:val="28"/>
          <w:szCs w:val="28"/>
          <w:lang w:val="es-ES_tradnl"/>
        </w:rPr>
      </w:pPr>
      <w:r>
        <w:rPr>
          <w:rFonts w:asciiTheme="minorHAnsi" w:eastAsiaTheme="minorHAnsi" w:hAnsiTheme="minorHAnsi" w:cstheme="minorBidi"/>
          <w:b/>
          <w:noProof/>
          <w:color w:val="auto"/>
          <w:sz w:val="28"/>
          <w:szCs w:val="28"/>
          <w:lang w:val="es-ES_tradnl"/>
        </w:rPr>
        <w:lastRenderedPageBreak/>
        <w:t>Manual de Indicadores del m</w:t>
      </w:r>
      <w:r w:rsidR="00EC08D9" w:rsidRPr="00601EF9">
        <w:rPr>
          <w:rFonts w:asciiTheme="minorHAnsi" w:eastAsiaTheme="minorHAnsi" w:hAnsiTheme="minorHAnsi" w:cstheme="minorBidi"/>
          <w:b/>
          <w:noProof/>
          <w:color w:val="auto"/>
          <w:sz w:val="28"/>
          <w:szCs w:val="28"/>
          <w:lang w:val="es-ES_tradnl"/>
        </w:rPr>
        <w:t xml:space="preserve">arco de </w:t>
      </w:r>
      <w:r w:rsidR="006704D1">
        <w:rPr>
          <w:rFonts w:asciiTheme="minorHAnsi" w:eastAsiaTheme="minorHAnsi" w:hAnsiTheme="minorHAnsi" w:cstheme="minorBidi"/>
          <w:b/>
          <w:noProof/>
          <w:color w:val="auto"/>
          <w:sz w:val="28"/>
          <w:szCs w:val="28"/>
          <w:lang w:val="es-ES_tradnl"/>
        </w:rPr>
        <w:t>evaluacion de la primera operacion</w:t>
      </w:r>
    </w:p>
    <w:p w:rsidR="00EC08D9" w:rsidRPr="007971F5" w:rsidRDefault="00EC08D9" w:rsidP="00D177DA">
      <w:pPr>
        <w:spacing w:line="360" w:lineRule="auto"/>
        <w:jc w:val="both"/>
        <w:rPr>
          <w:rFonts w:asciiTheme="minorHAnsi" w:hAnsiTheme="minorHAnsi"/>
          <w:b/>
          <w:u w:val="single"/>
          <w:lang w:val="es-ES_tradnl"/>
        </w:rPr>
      </w:pPr>
      <w:r w:rsidRPr="007971F5">
        <w:rPr>
          <w:rFonts w:asciiTheme="minorHAnsi" w:hAnsiTheme="minorHAnsi"/>
          <w:b/>
          <w:u w:val="single"/>
          <w:lang w:val="es-ES_tradnl"/>
        </w:rPr>
        <w:t>Introducción</w:t>
      </w:r>
      <w:r w:rsidR="007971F5" w:rsidRPr="007971F5">
        <w:rPr>
          <w:rFonts w:asciiTheme="minorHAnsi" w:hAnsiTheme="minorHAnsi"/>
          <w:b/>
          <w:u w:val="single"/>
          <w:lang w:val="es-ES_tradnl"/>
        </w:rPr>
        <w:t xml:space="preserve">.-        </w:t>
      </w: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kern w:val="1"/>
          <w:sz w:val="22"/>
          <w:szCs w:val="20"/>
          <w:lang w:val="es-ES_tradnl"/>
        </w:rPr>
      </w:pP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>Este manual contiene l</w:t>
      </w:r>
      <w:r w:rsidR="0066458F">
        <w:rPr>
          <w:rFonts w:asciiTheme="minorHAnsi" w:hAnsiTheme="minorHAnsi"/>
          <w:kern w:val="1"/>
          <w:sz w:val="22"/>
          <w:szCs w:val="20"/>
          <w:lang w:val="es-ES_tradnl"/>
        </w:rPr>
        <w:t>os indicadores incluidos en el marco g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eneral del programa, el Marco de Desempeño y del Plan de Monitoreo de la Iniciativa para el primer y segundo año de vida de la 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>operación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. </w:t>
      </w: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kern w:val="1"/>
          <w:sz w:val="22"/>
          <w:szCs w:val="20"/>
          <w:lang w:val="es-ES_tradnl"/>
        </w:rPr>
      </w:pP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Dichos indicadores serán medidos a través de </w:t>
      </w:r>
      <w:r w:rsidR="00E97E04">
        <w:rPr>
          <w:rFonts w:asciiTheme="minorHAnsi" w:hAnsiTheme="minorHAnsi"/>
          <w:kern w:val="1"/>
          <w:sz w:val="22"/>
          <w:szCs w:val="20"/>
          <w:lang w:val="es-ES_tradnl"/>
        </w:rPr>
        <w:t>evaluaciones</w:t>
      </w:r>
      <w:r w:rsidR="00E97E04"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 técnicas concurrentes que serán realizadas por una institución independiente contratada por el Banco</w:t>
      </w:r>
      <w:r w:rsidR="00E97E04">
        <w:rPr>
          <w:rFonts w:asciiTheme="minorHAnsi" w:hAnsiTheme="minorHAnsi"/>
          <w:kern w:val="1"/>
          <w:sz w:val="22"/>
          <w:szCs w:val="20"/>
          <w:lang w:val="es-ES_tradnl"/>
        </w:rPr>
        <w:t xml:space="preserve"> y 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monitorias trimestrales por parte de las Regiones departamentales de salud con 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>acompañamiento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 de la Unidad de 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>Gestión</w:t>
      </w:r>
      <w:r w:rsidR="00E97E04">
        <w:rPr>
          <w:rFonts w:asciiTheme="minorHAnsi" w:hAnsiTheme="minorHAnsi"/>
          <w:kern w:val="1"/>
          <w:sz w:val="22"/>
          <w:szCs w:val="20"/>
          <w:lang w:val="es-ES_tradnl"/>
        </w:rPr>
        <w:t xml:space="preserve"> Descentralizada (UGD)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>. Esto incluye el diseño de las encuestas, la realización de trabajo de campo, recolección, captura y análisis de datos. Las definiciones y criterios de cumplimiento de los indicadores están definidas en este documento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 y elaboradas por mecanismos de la SESAL con acompañamiento del Banco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. </w:t>
      </w:r>
    </w:p>
    <w:p w:rsidR="00EC08D9" w:rsidRPr="00601EF9" w:rsidRDefault="00EC08D9" w:rsidP="00D177DA">
      <w:pPr>
        <w:spacing w:line="360" w:lineRule="auto"/>
        <w:jc w:val="both"/>
        <w:rPr>
          <w:rFonts w:asciiTheme="minorHAnsi" w:hAnsiTheme="minorHAnsi"/>
          <w:kern w:val="1"/>
          <w:sz w:val="22"/>
          <w:szCs w:val="20"/>
          <w:lang w:val="es-ES_tradnl"/>
        </w:rPr>
      </w:pP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Para cada uno de los indicadores se incluye la fórmula que se utilizara para la construcción del indicador 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que serán aplicados en 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los establecimientos de salud 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>de acuerdo a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 su capacidad resolutiva para la atención infantil y </w:t>
      </w:r>
      <w:r w:rsidR="006A1000"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del embarazo, parto y puerperio, así como la cobertura de recursos humanos y funcionamiento de los equipos de atención familiar. </w:t>
      </w: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 xml:space="preserve"> </w:t>
      </w:r>
    </w:p>
    <w:p w:rsidR="00A2229D" w:rsidRPr="00601EF9" w:rsidRDefault="00A2229D" w:rsidP="00D177DA">
      <w:pPr>
        <w:spacing w:line="360" w:lineRule="auto"/>
        <w:jc w:val="both"/>
        <w:rPr>
          <w:rFonts w:asciiTheme="minorHAnsi" w:hAnsiTheme="minorHAnsi"/>
          <w:kern w:val="1"/>
          <w:sz w:val="22"/>
          <w:szCs w:val="20"/>
          <w:lang w:val="es-ES_tradnl"/>
        </w:rPr>
      </w:pP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>A través del componente 1 se realizara una evaluación de impacto que incluye una encuesta hemática para la medición de la prevalencia de anemia en la población de 0 a 5 años.</w:t>
      </w:r>
    </w:p>
    <w:p w:rsidR="00A2229D" w:rsidRPr="00601EF9" w:rsidRDefault="00A2229D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ES_tradnl"/>
        </w:rPr>
      </w:pPr>
      <w:r w:rsidRPr="00601EF9">
        <w:rPr>
          <w:rFonts w:asciiTheme="minorHAnsi" w:hAnsiTheme="minorHAnsi"/>
          <w:kern w:val="1"/>
          <w:sz w:val="22"/>
          <w:szCs w:val="20"/>
          <w:lang w:val="es-ES_tradnl"/>
        </w:rPr>
        <w:t>A continuación se describen los indicadores a ser medidos al  final de los primeros meses de ejecución del programa:</w:t>
      </w:r>
    </w:p>
    <w:p w:rsidR="00EC08D9" w:rsidRDefault="00EC08D9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</w:p>
    <w:p w:rsidR="00D85914" w:rsidRDefault="00D85914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</w:p>
    <w:p w:rsidR="008D50A7" w:rsidRDefault="008D50A7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</w:p>
    <w:p w:rsidR="00E97E04" w:rsidRDefault="00E97E04" w:rsidP="00D177DA">
      <w:p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</w:p>
    <w:p w:rsidR="00A572E6" w:rsidRDefault="00A572E6" w:rsidP="00D177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lastRenderedPageBreak/>
        <w:t xml:space="preserve">CAPITULO 1: </w:t>
      </w:r>
    </w:p>
    <w:p w:rsidR="00207B08" w:rsidRPr="00A572E6" w:rsidRDefault="00A572E6" w:rsidP="00A572E6">
      <w:p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A572E6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HN"/>
        </w:rPr>
        <w:t xml:space="preserve">INDICADORES </w:t>
      </w:r>
      <w:r w:rsidR="00E97E04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HN"/>
        </w:rPr>
        <w:t xml:space="preserve">PARA MEDIR </w:t>
      </w:r>
      <w:r w:rsidRPr="00A572E6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HN"/>
        </w:rPr>
        <w:t>ORGANIZACION DE SERVICIOS DE SALUD</w:t>
      </w:r>
    </w:p>
    <w:p w:rsidR="00360FFE" w:rsidRPr="00155EDC" w:rsidRDefault="00360FFE" w:rsidP="00311AA9">
      <w:pPr>
        <w:shd w:val="clear" w:color="auto" w:fill="17365D" w:themeFill="text2" w:themeFillShade="BF"/>
        <w:spacing w:line="360" w:lineRule="auto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 w:rsidRPr="00155EDC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 xml:space="preserve">Indicador No. </w:t>
      </w:r>
      <w:r w:rsidR="002703F4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0</w:t>
      </w:r>
      <w:r w:rsidRPr="00155EDC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 xml:space="preserve">1 </w:t>
      </w:r>
    </w:p>
    <w:p w:rsidR="006C3A2F" w:rsidRDefault="00360FFE" w:rsidP="00311AA9">
      <w:pPr>
        <w:shd w:val="clear" w:color="auto" w:fill="17365D" w:themeFill="text2" w:themeFillShade="BF"/>
        <w:spacing w:line="240" w:lineRule="auto"/>
        <w:contextualSpacing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E</w:t>
      </w:r>
      <w:r w:rsidR="003A748D"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quipos de Atencion Familiar en Salud (E</w:t>
      </w:r>
      <w:r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A</w:t>
      </w:r>
      <w:r w:rsidR="003A748D"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F</w:t>
      </w:r>
      <w:r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S</w:t>
      </w:r>
      <w:r w:rsidR="003A748D"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)</w:t>
      </w:r>
      <w:r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 conformados de acuerdo a los criterios </w:t>
      </w:r>
      <w:r w:rsidR="003A748D"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poblacionales de cobertura </w:t>
      </w:r>
      <w:r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negociados entre la SESAL y el gestor en el úl</w:t>
      </w:r>
      <w:r w:rsidR="00BF4335" w:rsidRPr="006704D1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timo año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: </w:t>
      </w:r>
    </w:p>
    <w:p w:rsidR="00207B08" w:rsidRDefault="00207B08" w:rsidP="00D177DA">
      <w:pPr>
        <w:spacing w:line="360" w:lineRule="auto"/>
        <w:contextualSpacing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360FFE" w:rsidRPr="00601EF9" w:rsidRDefault="00BF4335" w:rsidP="00D177DA">
      <w:pPr>
        <w:spacing w:line="360" w:lineRule="auto"/>
        <w:contextualSpacing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La SESAL negociara con los gestores, el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número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de EAFS que debe de conformar de acuerdo con los criterios normativos establecidos ( 1 equipo debe de cubrir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entre 3000 a 6000 familias de acuerdo con la dispersión geográfica-poblacional del área que deben de cubrir )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y que el gestor debe de cumplir. La conformación de los equipos incluyen: medico, enfermera, promotor y personal comunitario. </w:t>
      </w:r>
    </w:p>
    <w:p w:rsidR="00360FFE" w:rsidRPr="00601EF9" w:rsidRDefault="00360FFE" w:rsidP="00D177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Numerador</w:t>
      </w:r>
    </w:p>
    <w:p w:rsidR="00360FFE" w:rsidRPr="00601EF9" w:rsidRDefault="00360FFE" w:rsidP="00D177DA">
      <w:pPr>
        <w:pStyle w:val="ListParagraph"/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Número de Equipos (</w:t>
      </w:r>
      <w:r w:rsidR="003A748D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EAF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S) conformados de acuerdo a los criterios negociados.</w:t>
      </w:r>
    </w:p>
    <w:p w:rsidR="00360FFE" w:rsidRPr="00601EF9" w:rsidRDefault="00360FFE" w:rsidP="00D177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Denominador:</w:t>
      </w:r>
    </w:p>
    <w:p w:rsidR="00360FFE" w:rsidRPr="00601EF9" w:rsidRDefault="00360FFE" w:rsidP="00D177DA">
      <w:pPr>
        <w:pStyle w:val="ListParagraph"/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Número de EQUIPOS DE SALUD FAMILIAR programado</w:t>
      </w:r>
      <w:r w:rsidR="003A748D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s a conformarse de acuerdo a la ficha de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negociación entre el gestor y la SESAL </w:t>
      </w: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(</w:t>
      </w:r>
      <w:r w:rsidR="003A748D"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TBD</w:t>
      </w: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)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. </w:t>
      </w:r>
    </w:p>
    <w:p w:rsidR="00360FFE" w:rsidRPr="00601EF9" w:rsidRDefault="00360FFE" w:rsidP="00D177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Fuente:</w:t>
      </w:r>
      <w:r w:rsidR="00BF4335"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Para el numerador se utilizará como fuente principal la ficha de negociación </w:t>
      </w:r>
      <w:r w:rsidR="006A2628"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(</w:t>
      </w:r>
      <w:r w:rsidR="00601EF9"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TBD</w:t>
      </w:r>
      <w:r w:rsidR="00BF4335"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) 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de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la cual 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tendrá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una copia el Gestor,  se verificará la existencia de los contratos del personal (médico, auxiliar de enfermería y promotores) que conforman los EQUIPOS DE SALUD FAMILIAR de cada gestor. </w:t>
      </w:r>
    </w:p>
    <w:p w:rsidR="00360FFE" w:rsidRDefault="00360FFE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El denominador 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estará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definido (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TBD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)</w:t>
      </w:r>
      <w:r w:rsidR="006A2628" w:rsidRPr="00601EF9">
        <w:rPr>
          <w:rStyle w:val="FootnoteReference"/>
          <w:rFonts w:asciiTheme="minorHAnsi" w:hAnsiTheme="minorHAnsi" w:cs="Helvetica"/>
          <w:color w:val="auto"/>
          <w:sz w:val="22"/>
          <w:szCs w:val="22"/>
          <w:lang w:val="es-ES_tradnl"/>
        </w:rPr>
        <w:footnoteReference w:id="1"/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en la ficha de negociación de los Convenios de Gestión 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negociada entre la SESAL y los Gestores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, adenda y sus anexos, para definir la cantidad de EQUIPOS DE SALUD FAMILIAR que el gestor se compromete a </w:t>
      </w:r>
      <w:r w:rsidR="00BF4335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conformar.</w:t>
      </w:r>
    </w:p>
    <w:p w:rsidR="00A572E6" w:rsidRDefault="003C1FE8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El umbral para este indicador es de 50%.</w:t>
      </w:r>
    </w:p>
    <w:p w:rsidR="00A572E6" w:rsidRDefault="00A572E6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3C1FE8" w:rsidRDefault="003C1FE8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3C1FE8" w:rsidRPr="00601EF9" w:rsidRDefault="003C1FE8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BF4335" w:rsidRPr="00155EDC" w:rsidRDefault="00BF4335" w:rsidP="00311AA9">
      <w:pPr>
        <w:shd w:val="clear" w:color="auto" w:fill="17365D" w:themeFill="text2" w:themeFillShade="BF"/>
        <w:spacing w:line="360" w:lineRule="auto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 w:rsidRPr="00155EDC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lastRenderedPageBreak/>
        <w:t xml:space="preserve">Indicador No. </w:t>
      </w:r>
      <w:r w:rsidR="006C3A2F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0</w:t>
      </w:r>
      <w:r w:rsidRPr="00155EDC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2</w:t>
      </w:r>
    </w:p>
    <w:p w:rsidR="006C3A2F" w:rsidRDefault="00BF4335" w:rsidP="00311AA9">
      <w:pPr>
        <w:shd w:val="clear" w:color="auto" w:fill="17365D" w:themeFill="text2" w:themeFillShade="BF"/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Levantamiento de fichas debidamente llenadas por los Equipos de Atencion Familiar: </w:t>
      </w:r>
    </w:p>
    <w:p w:rsidR="00BF4335" w:rsidRPr="00601EF9" w:rsidRDefault="00BF4335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Cada uno de los EAF deberá de encargarse del levantamiento de las fichas por cada una de las familias en el área de su re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s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pon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s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abilidad </w:t>
      </w:r>
    </w:p>
    <w:p w:rsidR="00BF4335" w:rsidRPr="00601EF9" w:rsidRDefault="00BF4335" w:rsidP="00D177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Numerador</w:t>
      </w:r>
    </w:p>
    <w:p w:rsidR="00BF4335" w:rsidRPr="00601EF9" w:rsidRDefault="00BF4335" w:rsidP="00D177DA">
      <w:pPr>
        <w:pStyle w:val="ListParagraph"/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Número de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fichas levantadas por los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Equipos (EAFS) conformados de acuerdo a los criterios negociados.</w:t>
      </w:r>
    </w:p>
    <w:p w:rsidR="00BF4335" w:rsidRPr="00601EF9" w:rsidRDefault="00BF4335" w:rsidP="00D177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Denominador:</w:t>
      </w:r>
    </w:p>
    <w:p w:rsidR="00BF4335" w:rsidRPr="00601EF9" w:rsidRDefault="00BF4335" w:rsidP="00D177DA">
      <w:pPr>
        <w:pStyle w:val="ListParagraph"/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Número de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familias de responsabilidad de los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EQUIPOS DE SALUD FAMILIAR programado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s de acuerdo con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la ficha de negociación entre el gestor y la SESAL </w:t>
      </w: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(TBD)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. </w:t>
      </w:r>
    </w:p>
    <w:p w:rsidR="00BF4335" w:rsidRDefault="00BF4335" w:rsidP="00D177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Fuente: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Para el numerador se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verificara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como fuente principal la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s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ficha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s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familiares llenadas y registradas en la base de datos que al respecto debe disponer el gestor. </w:t>
      </w:r>
      <w:r w:rsidR="00601EF9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(AUN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POR DETERMINAR),  se verificará la existencia </w:t>
      </w:r>
      <w:r w:rsidR="006A2628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física de las fichas levantada en la comunidad por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los EQUIPOS DE SALUD FAMILIAR de cada gestor. </w:t>
      </w:r>
    </w:p>
    <w:p w:rsidR="003C1FE8" w:rsidRDefault="003C1FE8" w:rsidP="003C1FE8">
      <w:pPr>
        <w:pStyle w:val="ListParagraph"/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3C1FE8">
        <w:rPr>
          <w:rFonts w:asciiTheme="minorHAnsi" w:hAnsiTheme="minorHAnsi" w:cs="Helvetica"/>
          <w:color w:val="auto"/>
          <w:sz w:val="22"/>
          <w:szCs w:val="22"/>
          <w:lang w:val="es-ES_tradnl"/>
        </w:rPr>
        <w:t>El umbral de este indicador es de 25%</w:t>
      </w:r>
    </w:p>
    <w:p w:rsidR="003C1FE8" w:rsidRPr="003C1FE8" w:rsidRDefault="003C1FE8" w:rsidP="003C1FE8">
      <w:pPr>
        <w:pStyle w:val="ListParagraph"/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8B51C2" w:rsidRPr="00601EF9" w:rsidRDefault="00A572E6" w:rsidP="008B51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CAPITULO 2</w:t>
      </w:r>
    </w:p>
    <w:p w:rsidR="00BF4335" w:rsidRDefault="006923BE" w:rsidP="00D177DA">
      <w:pPr>
        <w:spacing w:line="360" w:lineRule="auto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 xml:space="preserve">INDICADORES </w:t>
      </w:r>
      <w:r w:rsidR="00E97E04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 xml:space="preserve">PARA MEDIR </w:t>
      </w:r>
      <w:r w:rsidRPr="00601EF9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ABASTECIMIENTO</w:t>
      </w:r>
    </w:p>
    <w:p w:rsidR="006C3A2F" w:rsidRDefault="006923BE" w:rsidP="009C23D3">
      <w:pPr>
        <w:shd w:val="clear" w:color="auto" w:fill="FFFFFF" w:themeFill="background1"/>
        <w:spacing w:line="360" w:lineRule="auto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Abastecimiento de medicamento e insumos para el manejo de las complicaciones obstétricas y neonatales en el primer y segundo nivel de atención: </w:t>
      </w:r>
    </w:p>
    <w:p w:rsidR="006923BE" w:rsidRDefault="006923BE" w:rsidP="006C3A2F">
      <w:pPr>
        <w:spacing w:line="360" w:lineRule="auto"/>
        <w:contextualSpacing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En vista que el primer nivel </w:t>
      </w:r>
      <w:r w:rsidR="009C23D3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y segundo nivel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de Atencion (Clínicas Materno Infantil</w:t>
      </w:r>
      <w:r w:rsidR="009C23D3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y hospitales respectivamente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)  </w:t>
      </w:r>
      <w:r w:rsidR="006704D1">
        <w:rPr>
          <w:rFonts w:asciiTheme="minorHAnsi" w:hAnsiTheme="minorHAnsi" w:cs="Helvetica"/>
          <w:color w:val="auto"/>
          <w:sz w:val="22"/>
          <w:szCs w:val="22"/>
          <w:lang w:val="es-ES_tradnl"/>
        </w:rPr>
        <w:t>poseen distintos niveles de complejidad,</w:t>
      </w:r>
      <w:r w:rsidR="006704D1" w:rsidRPr="006704D1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</w:t>
      </w:r>
      <w:r w:rsidR="009C23D3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por lo que </w:t>
      </w:r>
      <w:r w:rsidR="006704D1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este indica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dor se medirá en forma</w:t>
      </w:r>
      <w:r w:rsidR="006704D1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</w:t>
      </w:r>
      <w:r w:rsidR="006C3A2F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diferenciada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>de la siguiente forma</w:t>
      </w:r>
      <w:r w:rsidR="00601EF9"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: </w:t>
      </w:r>
      <w:r w:rsidRPr="00601EF9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 </w:t>
      </w: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  </w:t>
      </w:r>
      <w:r w:rsidRPr="00601EF9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br/>
      </w:r>
      <w:r w:rsidR="007971F5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El Umbral para cumplimiento de este indicador debe de ser de un mínimo de 80% </w:t>
      </w:r>
    </w:p>
    <w:p w:rsidR="00207B08" w:rsidRDefault="00207B08" w:rsidP="006C3A2F">
      <w:pPr>
        <w:spacing w:line="360" w:lineRule="auto"/>
        <w:contextualSpacing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</w:p>
    <w:p w:rsidR="006923BE" w:rsidRPr="00311AA9" w:rsidRDefault="006923BE" w:rsidP="00311AA9">
      <w:pPr>
        <w:shd w:val="clear" w:color="auto" w:fill="17365D" w:themeFill="text2" w:themeFillShade="BF"/>
        <w:spacing w:line="360" w:lineRule="auto"/>
        <w:contextualSpacing/>
        <w:jc w:val="both"/>
        <w:rPr>
          <w:rFonts w:asciiTheme="minorHAnsi" w:hAnsiTheme="minorHAnsi" w:cs="Helvetica"/>
          <w:b/>
          <w:color w:val="auto"/>
          <w:szCs w:val="22"/>
          <w:u w:val="single"/>
          <w:lang w:val="es-ES_tradnl"/>
        </w:rPr>
      </w:pPr>
      <w:r w:rsidRPr="00311AA9">
        <w:rPr>
          <w:rFonts w:asciiTheme="minorHAnsi" w:hAnsiTheme="minorHAnsi" w:cs="Helvetica"/>
          <w:b/>
          <w:color w:val="auto"/>
          <w:szCs w:val="22"/>
          <w:u w:val="single"/>
          <w:lang w:val="es-ES_tradnl"/>
        </w:rPr>
        <w:t>Indicador No. 3</w:t>
      </w:r>
    </w:p>
    <w:p w:rsidR="009C23D3" w:rsidRPr="00311AA9" w:rsidRDefault="00D177DA" w:rsidP="00311AA9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/>
          <w:b/>
          <w:color w:val="FFFFFF" w:themeColor="background1"/>
          <w:sz w:val="22"/>
          <w:lang w:val="es-ES_tradnl"/>
        </w:rPr>
      </w:pPr>
      <w:r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Disponibilidad permanente de medicamentos e insumos para la atención de emergencias obstétricas y neonatales </w:t>
      </w:r>
      <w:r w:rsidR="006923BE"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en CMI: </w:t>
      </w:r>
    </w:p>
    <w:p w:rsidR="00BB7BB1" w:rsidRPr="00601EF9" w:rsidRDefault="00BB7BB1" w:rsidP="00D177DA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lang w:val="es-ES_tradnl"/>
        </w:rPr>
      </w:pPr>
      <w:r w:rsidRPr="00601EF9">
        <w:rPr>
          <w:rFonts w:asciiTheme="minorHAnsi" w:hAnsiTheme="minorHAnsi" w:cstheme="minorHAnsi"/>
          <w:color w:val="000000" w:themeColor="text1"/>
          <w:sz w:val="22"/>
          <w:lang w:val="es-ES_tradnl"/>
        </w:rPr>
        <w:t>Se debe de entender que en este nivel solo se brinda la atención  inmediata de la emergencia obstétrica y se hace la  referencia inmediata al nivel de mayor capacidad de respuesta.</w:t>
      </w:r>
    </w:p>
    <w:p w:rsidR="00BB7BB1" w:rsidRPr="00601EF9" w:rsidRDefault="00D177DA" w:rsidP="00D177DA">
      <w:pPr>
        <w:pStyle w:val="HeaderFooterA"/>
        <w:spacing w:after="80" w:line="360" w:lineRule="auto"/>
        <w:ind w:right="-11"/>
        <w:jc w:val="both"/>
        <w:rPr>
          <w:rFonts w:asciiTheme="minorHAnsi" w:hAnsiTheme="minorHAnsi" w:cstheme="minorHAnsi"/>
          <w:sz w:val="22"/>
          <w:lang w:val="es-ES_tradnl"/>
        </w:rPr>
      </w:pPr>
      <w:r w:rsidRPr="00D177DA">
        <w:rPr>
          <w:rFonts w:asciiTheme="minorHAnsi" w:eastAsia="Times New Roman" w:hAnsiTheme="minorHAnsi"/>
          <w:b/>
          <w:kern w:val="0"/>
          <w:sz w:val="22"/>
          <w:szCs w:val="24"/>
          <w:lang w:val="es-ES_tradnl"/>
        </w:rPr>
        <w:lastRenderedPageBreak/>
        <w:t xml:space="preserve">Descripción del indicador: </w:t>
      </w:r>
      <w:r w:rsidRPr="00D177DA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>La encuesta para la medición en los establecimientos de salud deberá contener un módulo de observación</w:t>
      </w:r>
      <w:r w:rsidRPr="00601EF9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BB7BB1" w:rsidRPr="00601EF9">
        <w:rPr>
          <w:rFonts w:asciiTheme="minorHAnsi" w:hAnsiTheme="minorHAnsi" w:cstheme="minorHAnsi"/>
          <w:sz w:val="22"/>
          <w:lang w:val="es-ES_tradnl"/>
        </w:rPr>
        <w:t>encuestador comprueba la funcionabilidad de equipos y la disponibilidad de insumos de acuerdo con el cuadro básico de medicamentos e insumos de la SESAL en la atención obstétrica de emergencia y sala de cuidados neonatales, la disponibilidad de determinados medicamentos en la farmacia y faltantes de inventario en los últimos 3 meses</w:t>
      </w:r>
      <w:r w:rsidR="00BB7BB1" w:rsidRPr="00601EF9">
        <w:rPr>
          <w:rFonts w:asciiTheme="minorHAnsi" w:hAnsiTheme="minorHAnsi" w:cstheme="minorHAnsi"/>
          <w:b/>
          <w:sz w:val="22"/>
          <w:lang w:val="es-ES_tradnl"/>
        </w:rPr>
        <w:t>.</w:t>
      </w:r>
      <w:r w:rsidR="00BB7BB1" w:rsidRPr="00601EF9">
        <w:rPr>
          <w:rFonts w:asciiTheme="minorHAnsi" w:hAnsiTheme="minorHAnsi"/>
          <w:b/>
          <w:sz w:val="22"/>
          <w:lang w:val="es-ES_tradnl"/>
        </w:rPr>
        <w:t xml:space="preserve"> </w:t>
      </w:r>
      <w:r w:rsidR="00BB7BB1" w:rsidRPr="00601EF9">
        <w:rPr>
          <w:rFonts w:asciiTheme="minorHAnsi" w:hAnsiTheme="minorHAnsi"/>
          <w:sz w:val="22"/>
          <w:lang w:val="es-ES_tradnl"/>
        </w:rPr>
        <w:t>El día de la entrevista la disponibilidad de insumos y equipos funcionales se verifica por observación. El abasto de  insumos se verificará contra el registro del inventario (en Kardex o registro diario de inventario, o consolidado mensual). La unidad de salud no debe presentar un desabastecimiento (abasto=0)  en ninguno de los insumos listados en los últimos 3 meses (último mes, últimos dos meses y últimos 3 meses). En caso de no contar con registro, se considerará que hubo abasto=0.</w:t>
      </w:r>
      <w:r w:rsidR="00BB7BB1" w:rsidRPr="00601EF9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BB7BB1" w:rsidRPr="00601EF9" w:rsidRDefault="00BB7BB1" w:rsidP="00D177DA">
      <w:pPr>
        <w:pStyle w:val="HeaderFooterA"/>
        <w:spacing w:after="80" w:line="360" w:lineRule="auto"/>
        <w:ind w:left="1080" w:right="-14" w:hanging="1080"/>
        <w:jc w:val="both"/>
        <w:rPr>
          <w:rFonts w:asciiTheme="minorHAnsi" w:hAnsiTheme="minorHAnsi"/>
          <w:b/>
          <w:color w:val="auto"/>
          <w:sz w:val="22"/>
          <w:u w:val="single"/>
          <w:lang w:val="es-ES_tradnl"/>
        </w:rPr>
      </w:pPr>
      <w:r w:rsidRPr="00601EF9">
        <w:rPr>
          <w:rFonts w:asciiTheme="minorHAnsi" w:hAnsiTheme="minorHAnsi"/>
          <w:b/>
          <w:color w:val="auto"/>
          <w:sz w:val="22"/>
          <w:u w:val="single"/>
          <w:lang w:val="es-ES_tradnl"/>
        </w:rPr>
        <w:t>Fórmula:</w:t>
      </w:r>
    </w:p>
    <w:p w:rsidR="00BB7BB1" w:rsidRPr="00601EF9" w:rsidRDefault="00BB7BB1" w:rsidP="00D177D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lang w:val="es-ES_tradnl"/>
        </w:rPr>
      </w:pPr>
      <w:r w:rsidRPr="00601EF9">
        <w:rPr>
          <w:rFonts w:asciiTheme="minorHAnsi" w:hAnsiTheme="minorHAnsi"/>
          <w:b/>
          <w:color w:val="auto"/>
          <w:sz w:val="22"/>
          <w:lang w:val="es-ES_tradnl"/>
        </w:rPr>
        <w:t>Denominador:</w:t>
      </w:r>
      <w:r w:rsidRPr="00601EF9">
        <w:rPr>
          <w:rFonts w:asciiTheme="minorHAnsi" w:hAnsiTheme="minorHAnsi"/>
          <w:color w:val="auto"/>
          <w:sz w:val="22"/>
          <w:lang w:val="es-ES_tradnl"/>
        </w:rPr>
        <w:t xml:space="preserve"> Número total de establecimientos de salud (CMI) en nuestra muestra que proporciona atención de emergencia obstétrica y neonatal</w:t>
      </w:r>
    </w:p>
    <w:p w:rsidR="00BB7BB1" w:rsidRPr="00601EF9" w:rsidRDefault="00BB7BB1" w:rsidP="00D177D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lang w:val="es-ES_tradnl"/>
        </w:rPr>
      </w:pPr>
      <w:r w:rsidRPr="00601EF9">
        <w:rPr>
          <w:rFonts w:asciiTheme="minorHAnsi" w:hAnsiTheme="minorHAnsi"/>
          <w:b/>
          <w:color w:val="auto"/>
          <w:sz w:val="22"/>
          <w:lang w:val="es-ES_tradnl"/>
        </w:rPr>
        <w:t>Numerador:</w:t>
      </w:r>
      <w:r w:rsidRPr="00601EF9">
        <w:rPr>
          <w:rFonts w:asciiTheme="minorHAnsi" w:hAnsiTheme="minorHAnsi"/>
          <w:color w:val="auto"/>
          <w:sz w:val="22"/>
          <w:lang w:val="es-ES_tradnl"/>
        </w:rPr>
        <w:t xml:space="preserve"> Los servicios de salud (CMI) con disponibilidad permanente de los suministros y equipo necesarios para la atención obstétrica y neonatal</w:t>
      </w:r>
    </w:p>
    <w:p w:rsidR="00BB7BB1" w:rsidRPr="003C1FE8" w:rsidRDefault="00BB7BB1" w:rsidP="00D177D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kern w:val="1"/>
          <w:sz w:val="22"/>
          <w:szCs w:val="20"/>
          <w:lang w:val="es-ES_tradnl"/>
        </w:rPr>
      </w:pPr>
      <w:r w:rsidRPr="00601EF9">
        <w:rPr>
          <w:rFonts w:asciiTheme="minorHAnsi" w:hAnsiTheme="minorHAnsi"/>
          <w:b/>
          <w:color w:val="auto"/>
          <w:sz w:val="22"/>
          <w:lang w:val="es-ES_tradnl"/>
        </w:rPr>
        <w:t>Cálculo del indicador:</w:t>
      </w:r>
      <w:r w:rsidRPr="00601EF9">
        <w:rPr>
          <w:rFonts w:asciiTheme="minorHAnsi" w:hAnsiTheme="minorHAnsi"/>
          <w:color w:val="auto"/>
          <w:sz w:val="22"/>
          <w:lang w:val="es-ES_tradnl"/>
        </w:rPr>
        <w:t xml:space="preserve"> número total de establecimientos de salud CMI de la muestra que proporciona atención de emergencia. </w:t>
      </w:r>
    </w:p>
    <w:p w:rsidR="003C1FE8" w:rsidRPr="003C1FE8" w:rsidRDefault="003C1FE8" w:rsidP="003C1FE8">
      <w:pPr>
        <w:pStyle w:val="ListParagraph"/>
        <w:spacing w:line="360" w:lineRule="auto"/>
        <w:jc w:val="both"/>
        <w:rPr>
          <w:rFonts w:asciiTheme="minorHAnsi" w:hAnsiTheme="minorHAnsi"/>
          <w:color w:val="auto"/>
          <w:kern w:val="1"/>
          <w:sz w:val="22"/>
          <w:szCs w:val="20"/>
          <w:lang w:val="es-ES_tradnl"/>
        </w:rPr>
      </w:pPr>
      <w:r w:rsidRPr="003C1FE8">
        <w:rPr>
          <w:rFonts w:asciiTheme="minorHAnsi" w:hAnsiTheme="minorHAnsi"/>
          <w:color w:val="auto"/>
          <w:sz w:val="22"/>
          <w:lang w:val="es-ES_tradnl"/>
        </w:rPr>
        <w:t>El umbral de este indicador es de 80%</w:t>
      </w:r>
    </w:p>
    <w:p w:rsidR="004A208F" w:rsidRDefault="004A208F" w:rsidP="004A208F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lang w:val="es-ES_tradnl"/>
        </w:rPr>
      </w:pPr>
      <w:r>
        <w:rPr>
          <w:rFonts w:asciiTheme="minorHAnsi" w:hAnsiTheme="minorHAnsi"/>
          <w:b/>
          <w:color w:val="auto"/>
          <w:sz w:val="22"/>
          <w:lang w:val="es-ES_tradnl"/>
        </w:rPr>
        <w:t xml:space="preserve">Variables a medir: </w:t>
      </w:r>
    </w:p>
    <w:p w:rsidR="00D177DA" w:rsidRDefault="004A208F" w:rsidP="004A208F">
      <w:pPr>
        <w:spacing w:line="360" w:lineRule="auto"/>
        <w:jc w:val="both"/>
        <w:rPr>
          <w:rFonts w:asciiTheme="minorHAnsi" w:hAnsiTheme="minorHAnsi"/>
          <w:color w:val="auto"/>
          <w:sz w:val="22"/>
          <w:lang w:val="es-ES_tradnl"/>
        </w:rPr>
      </w:pPr>
      <w:r w:rsidRPr="002652A9">
        <w:rPr>
          <w:rFonts w:asciiTheme="minorHAnsi" w:hAnsiTheme="minorHAnsi"/>
          <w:color w:val="auto"/>
          <w:sz w:val="22"/>
          <w:lang w:val="es-ES_tradnl"/>
        </w:rPr>
        <w:t xml:space="preserve"> </w:t>
      </w:r>
      <w:r w:rsidR="002652A9" w:rsidRPr="002652A9">
        <w:rPr>
          <w:rFonts w:asciiTheme="minorHAnsi" w:hAnsiTheme="minorHAnsi"/>
          <w:color w:val="auto"/>
          <w:sz w:val="22"/>
          <w:lang w:val="es-ES_tradnl"/>
        </w:rPr>
        <w:t xml:space="preserve">Los medicamentos </w:t>
      </w:r>
      <w:r w:rsidR="002652A9">
        <w:rPr>
          <w:rFonts w:asciiTheme="minorHAnsi" w:hAnsiTheme="minorHAnsi"/>
          <w:color w:val="auto"/>
          <w:sz w:val="22"/>
          <w:lang w:val="es-ES_tradnl"/>
        </w:rPr>
        <w:t>e insumos que serán medidos en este indicador de abastecimiento:</w:t>
      </w:r>
    </w:p>
    <w:tbl>
      <w:tblPr>
        <w:tblStyle w:val="TableGrid"/>
        <w:tblW w:w="0" w:type="auto"/>
        <w:tblInd w:w="2156" w:type="dxa"/>
        <w:tblLook w:val="04A0" w:firstRow="1" w:lastRow="0" w:firstColumn="1" w:lastColumn="0" w:noHBand="0" w:noVBand="1"/>
      </w:tblPr>
      <w:tblGrid>
        <w:gridCol w:w="709"/>
        <w:gridCol w:w="3827"/>
      </w:tblGrid>
      <w:tr w:rsidR="002652A9" w:rsidTr="00311AA9">
        <w:tc>
          <w:tcPr>
            <w:tcW w:w="709" w:type="dxa"/>
            <w:shd w:val="clear" w:color="auto" w:fill="17365D" w:themeFill="text2" w:themeFillShade="BF"/>
          </w:tcPr>
          <w:p w:rsidR="002652A9" w:rsidRPr="00311AA9" w:rsidRDefault="00492825" w:rsidP="002652A9">
            <w:pPr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2"/>
                <w:lang w:val="es-PA"/>
              </w:rPr>
            </w:pPr>
            <w:r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>No.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:rsidR="002652A9" w:rsidRPr="00311AA9" w:rsidRDefault="00ED7621" w:rsidP="00AB3BF0">
            <w:pPr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 w:val="22"/>
                <w:lang w:val="es-PA"/>
              </w:rPr>
            </w:pPr>
            <w:r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>Medicamentos</w:t>
            </w:r>
            <w:r w:rsidR="00AB3BF0"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 xml:space="preserve"> e</w:t>
            </w:r>
            <w:r w:rsidR="00492825"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 xml:space="preserve"> </w:t>
            </w:r>
            <w:r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>I</w:t>
            </w:r>
            <w:r w:rsidR="00492825"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>nsumos</w:t>
            </w:r>
            <w:r w:rsidRPr="00311AA9">
              <w:rPr>
                <w:rFonts w:asciiTheme="minorHAnsi" w:hAnsiTheme="minorHAnsi"/>
                <w:b/>
                <w:color w:val="auto"/>
                <w:sz w:val="22"/>
                <w:lang w:val="es-PA"/>
              </w:rPr>
              <w:t xml:space="preserve"> </w:t>
            </w:r>
          </w:p>
        </w:tc>
      </w:tr>
      <w:tr w:rsidR="002652A9" w:rsidTr="00AB3BF0">
        <w:tc>
          <w:tcPr>
            <w:tcW w:w="709" w:type="dxa"/>
          </w:tcPr>
          <w:p w:rsidR="002652A9" w:rsidRPr="004E66A9" w:rsidRDefault="002652A9" w:rsidP="00492825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492825" w:rsidP="00492825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La oxitocina /Ergometrina   /ergobasina</w:t>
            </w:r>
          </w:p>
        </w:tc>
      </w:tr>
      <w:tr w:rsidR="002652A9" w:rsidTr="00AB3BF0">
        <w:tc>
          <w:tcPr>
            <w:tcW w:w="709" w:type="dxa"/>
          </w:tcPr>
          <w:p w:rsidR="002652A9" w:rsidRPr="004E66A9" w:rsidRDefault="002652A9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492825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Ampicilina ampollas</w:t>
            </w:r>
          </w:p>
        </w:tc>
      </w:tr>
      <w:tr w:rsidR="002652A9" w:rsidTr="00AB3BF0">
        <w:tc>
          <w:tcPr>
            <w:tcW w:w="709" w:type="dxa"/>
          </w:tcPr>
          <w:p w:rsidR="002652A9" w:rsidRPr="004E66A9" w:rsidRDefault="002652A9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492825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Gentamicina ampollas</w:t>
            </w:r>
          </w:p>
        </w:tc>
      </w:tr>
      <w:tr w:rsidR="002652A9" w:rsidRPr="00311AA9" w:rsidTr="00AB3BF0">
        <w:tc>
          <w:tcPr>
            <w:tcW w:w="709" w:type="dxa"/>
          </w:tcPr>
          <w:p w:rsidR="002652A9" w:rsidRPr="004E66A9" w:rsidRDefault="002652A9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492825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Sulfato de Magnesio</w:t>
            </w:r>
          </w:p>
        </w:tc>
      </w:tr>
      <w:tr w:rsidR="002652A9" w:rsidTr="0090627B">
        <w:trPr>
          <w:trHeight w:val="60"/>
        </w:trPr>
        <w:tc>
          <w:tcPr>
            <w:tcW w:w="709" w:type="dxa"/>
          </w:tcPr>
          <w:p w:rsidR="002652A9" w:rsidRPr="004E66A9" w:rsidRDefault="002652A9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33167A" w:rsidP="00492825">
            <w:pPr>
              <w:spacing w:after="200"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A</w:t>
            </w:r>
            <w:r w:rsidR="00492825"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mpolla de Hidralizania</w:t>
            </w:r>
          </w:p>
        </w:tc>
      </w:tr>
      <w:tr w:rsidR="002652A9" w:rsidTr="00AB3BF0">
        <w:tc>
          <w:tcPr>
            <w:tcW w:w="709" w:type="dxa"/>
          </w:tcPr>
          <w:p w:rsidR="002652A9" w:rsidRPr="004E66A9" w:rsidRDefault="002652A9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ED7621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Suero Hartman</w:t>
            </w:r>
          </w:p>
        </w:tc>
      </w:tr>
      <w:tr w:rsidR="002652A9" w:rsidTr="00AB3BF0">
        <w:tc>
          <w:tcPr>
            <w:tcW w:w="709" w:type="dxa"/>
          </w:tcPr>
          <w:p w:rsidR="002652A9" w:rsidRPr="004E66A9" w:rsidRDefault="002652A9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2652A9" w:rsidRPr="004E66A9" w:rsidRDefault="00ED7621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Solución salina normal</w:t>
            </w:r>
          </w:p>
        </w:tc>
      </w:tr>
      <w:tr w:rsidR="00ED7621" w:rsidTr="00AB3BF0">
        <w:tc>
          <w:tcPr>
            <w:tcW w:w="709" w:type="dxa"/>
          </w:tcPr>
          <w:p w:rsidR="00ED7621" w:rsidRPr="004E66A9" w:rsidRDefault="00ED7621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ED7621" w:rsidRPr="004E66A9" w:rsidRDefault="00ED7621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 xml:space="preserve">Suero glucosado al 5 % </w:t>
            </w:r>
          </w:p>
        </w:tc>
      </w:tr>
      <w:tr w:rsidR="00ED7621" w:rsidTr="00AB3BF0">
        <w:tc>
          <w:tcPr>
            <w:tcW w:w="709" w:type="dxa"/>
          </w:tcPr>
          <w:p w:rsidR="00ED7621" w:rsidRPr="004E66A9" w:rsidRDefault="00ED7621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ED7621" w:rsidRPr="004E66A9" w:rsidRDefault="00ED7621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Catéter</w:t>
            </w:r>
          </w:p>
        </w:tc>
      </w:tr>
      <w:tr w:rsidR="00ED7621" w:rsidTr="00AB3BF0">
        <w:tc>
          <w:tcPr>
            <w:tcW w:w="709" w:type="dxa"/>
          </w:tcPr>
          <w:p w:rsidR="00ED7621" w:rsidRPr="004E66A9" w:rsidRDefault="00ED7621" w:rsidP="00ED7621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</w:p>
        </w:tc>
        <w:tc>
          <w:tcPr>
            <w:tcW w:w="3827" w:type="dxa"/>
          </w:tcPr>
          <w:p w:rsidR="00ED7621" w:rsidRPr="004E66A9" w:rsidRDefault="00ED7621" w:rsidP="002652A9">
            <w:pPr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color w:val="auto"/>
                <w:sz w:val="22"/>
                <w:lang w:val="es-PA"/>
              </w:rPr>
              <w:t>Venoclisis</w:t>
            </w:r>
          </w:p>
        </w:tc>
      </w:tr>
    </w:tbl>
    <w:p w:rsidR="00AB3BF0" w:rsidRDefault="00AB3BF0" w:rsidP="00D177DA">
      <w:pPr>
        <w:spacing w:line="360" w:lineRule="auto"/>
        <w:contextualSpacing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</w:p>
    <w:p w:rsidR="006704D1" w:rsidRPr="00311AA9" w:rsidRDefault="006936F5" w:rsidP="00311AA9">
      <w:pPr>
        <w:shd w:val="clear" w:color="auto" w:fill="17365D" w:themeFill="text2" w:themeFillShade="BF"/>
        <w:spacing w:line="360" w:lineRule="auto"/>
        <w:contextualSpacing/>
        <w:jc w:val="both"/>
        <w:rPr>
          <w:rFonts w:asciiTheme="minorHAnsi" w:hAnsiTheme="minorHAnsi" w:cs="Helvetica"/>
          <w:b/>
          <w:color w:val="FFFFFF" w:themeColor="background1"/>
          <w:sz w:val="22"/>
          <w:szCs w:val="22"/>
          <w:lang w:val="es-ES_tradnl"/>
        </w:rPr>
      </w:pPr>
      <w:r w:rsidRPr="00311AA9">
        <w:rPr>
          <w:rFonts w:asciiTheme="minorHAnsi" w:hAnsiTheme="minorHAnsi" w:cs="Helvetica"/>
          <w:b/>
          <w:color w:val="FFFFFF" w:themeColor="background1"/>
          <w:sz w:val="22"/>
          <w:szCs w:val="22"/>
          <w:u w:val="single"/>
          <w:lang w:val="es-ES_tradnl"/>
        </w:rPr>
        <w:t>Indicador No. 4</w:t>
      </w:r>
      <w:r w:rsidRPr="00311AA9">
        <w:rPr>
          <w:rFonts w:asciiTheme="minorHAnsi" w:hAnsiTheme="minorHAnsi" w:cs="Helvetica"/>
          <w:b/>
          <w:color w:val="FFFFFF" w:themeColor="background1"/>
          <w:sz w:val="22"/>
          <w:szCs w:val="22"/>
          <w:lang w:val="es-ES_tradnl"/>
        </w:rPr>
        <w:t xml:space="preserve"> </w:t>
      </w:r>
    </w:p>
    <w:p w:rsidR="0033167A" w:rsidRPr="00311AA9" w:rsidRDefault="00ED55FB" w:rsidP="00311AA9">
      <w:pPr>
        <w:shd w:val="clear" w:color="auto" w:fill="17365D" w:themeFill="text2" w:themeFillShade="BF"/>
        <w:spacing w:line="240" w:lineRule="auto"/>
        <w:contextualSpacing/>
        <w:jc w:val="both"/>
        <w:rPr>
          <w:rFonts w:asciiTheme="minorHAnsi" w:hAnsiTheme="minorHAnsi"/>
          <w:b/>
          <w:color w:val="FFFFFF" w:themeColor="background1"/>
          <w:sz w:val="22"/>
          <w:lang w:val="es-ES_tradnl"/>
        </w:rPr>
      </w:pPr>
      <w:r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Disponibilidad </w:t>
      </w:r>
      <w:r w:rsidR="007971F5"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permanente </w:t>
      </w:r>
      <w:r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de </w:t>
      </w:r>
      <w:r w:rsidR="007971F5"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medicamentos e </w:t>
      </w:r>
      <w:r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insumos para </w:t>
      </w:r>
      <w:r w:rsidR="007971F5"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la atención de </w:t>
      </w:r>
      <w:r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emergencias obstétricas y neonatales  en hospitales: </w:t>
      </w:r>
    </w:p>
    <w:p w:rsidR="004E66A9" w:rsidRDefault="004E66A9" w:rsidP="00D177DA">
      <w:pPr>
        <w:spacing w:line="360" w:lineRule="auto"/>
        <w:contextualSpacing/>
        <w:jc w:val="both"/>
        <w:rPr>
          <w:rFonts w:asciiTheme="minorHAnsi" w:hAnsiTheme="minorHAnsi"/>
          <w:sz w:val="22"/>
          <w:lang w:val="es-ES_tradnl"/>
        </w:rPr>
      </w:pPr>
    </w:p>
    <w:p w:rsidR="00ED55FB" w:rsidRPr="00601EF9" w:rsidRDefault="00ED55FB" w:rsidP="00D177DA">
      <w:pPr>
        <w:spacing w:line="360" w:lineRule="auto"/>
        <w:contextualSpacing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sz w:val="22"/>
          <w:lang w:val="es-ES_tradnl"/>
        </w:rPr>
        <w:t xml:space="preserve">Igual que el anterior con la diferencia que acá se </w:t>
      </w:r>
      <w:r w:rsidR="00BF6F90" w:rsidRPr="00601EF9">
        <w:rPr>
          <w:rFonts w:asciiTheme="minorHAnsi" w:hAnsiTheme="minorHAnsi"/>
          <w:sz w:val="22"/>
          <w:lang w:val="es-ES_tradnl"/>
        </w:rPr>
        <w:t>medirá</w:t>
      </w:r>
      <w:r w:rsidRPr="00601EF9">
        <w:rPr>
          <w:rFonts w:asciiTheme="minorHAnsi" w:hAnsiTheme="minorHAnsi"/>
          <w:sz w:val="22"/>
          <w:lang w:val="es-ES_tradnl"/>
        </w:rPr>
        <w:t xml:space="preserve"> el abasto de medicamentos, insumos y equipo para este nivel de complejidad.  Se </w:t>
      </w:r>
      <w:r w:rsidR="003E6535" w:rsidRPr="00601EF9">
        <w:rPr>
          <w:rFonts w:asciiTheme="minorHAnsi" w:hAnsiTheme="minorHAnsi"/>
          <w:sz w:val="22"/>
          <w:lang w:val="es-ES_tradnl"/>
        </w:rPr>
        <w:t>medirá</w:t>
      </w:r>
      <w:r w:rsidRPr="00601EF9">
        <w:rPr>
          <w:rFonts w:asciiTheme="minorHAnsi" w:hAnsiTheme="minorHAnsi"/>
          <w:sz w:val="22"/>
          <w:lang w:val="es-ES_tradnl"/>
        </w:rPr>
        <w:t xml:space="preserve"> en todas l</w:t>
      </w:r>
      <w:r w:rsidR="003E6535" w:rsidRPr="00601EF9">
        <w:rPr>
          <w:rFonts w:asciiTheme="minorHAnsi" w:hAnsiTheme="minorHAnsi"/>
          <w:sz w:val="22"/>
          <w:lang w:val="es-ES_tradnl"/>
        </w:rPr>
        <w:t>o</w:t>
      </w:r>
      <w:r w:rsidRPr="00601EF9">
        <w:rPr>
          <w:rFonts w:asciiTheme="minorHAnsi" w:hAnsiTheme="minorHAnsi"/>
          <w:sz w:val="22"/>
          <w:lang w:val="es-ES_tradnl"/>
        </w:rPr>
        <w:t>s</w:t>
      </w:r>
      <w:r w:rsidR="003E6535" w:rsidRPr="00601EF9">
        <w:rPr>
          <w:rFonts w:asciiTheme="minorHAnsi" w:hAnsiTheme="minorHAnsi"/>
          <w:sz w:val="22"/>
          <w:lang w:val="es-ES_tradnl"/>
        </w:rPr>
        <w:t xml:space="preserve"> Establecimientos de Salud </w:t>
      </w:r>
      <w:r w:rsidRPr="00601EF9">
        <w:rPr>
          <w:rFonts w:asciiTheme="minorHAnsi" w:hAnsiTheme="minorHAnsi"/>
          <w:sz w:val="22"/>
          <w:lang w:val="es-PA"/>
        </w:rPr>
        <w:t xml:space="preserve">de segundo nivel </w:t>
      </w:r>
      <w:r w:rsidR="003E6535" w:rsidRPr="00601EF9">
        <w:rPr>
          <w:rFonts w:asciiTheme="minorHAnsi" w:hAnsiTheme="minorHAnsi"/>
          <w:sz w:val="22"/>
          <w:lang w:val="es-PA"/>
        </w:rPr>
        <w:t xml:space="preserve">  (Hospitales) </w:t>
      </w:r>
      <w:r w:rsidRPr="00601EF9">
        <w:rPr>
          <w:rFonts w:asciiTheme="minorHAnsi" w:hAnsiTheme="minorHAnsi"/>
          <w:sz w:val="22"/>
          <w:lang w:val="es-PA"/>
        </w:rPr>
        <w:t>con disponibilidad permanente de medicamentos e insumos y equipos necesarios para la atención de emergencia obstétrica y neonatal</w:t>
      </w:r>
    </w:p>
    <w:p w:rsidR="00ED55FB" w:rsidRDefault="00ED55FB" w:rsidP="00D177DA">
      <w:p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 xml:space="preserve">Descripción: </w:t>
      </w:r>
      <w:r w:rsidRPr="00601EF9">
        <w:rPr>
          <w:rFonts w:asciiTheme="minorHAnsi" w:hAnsiTheme="minorHAnsi"/>
          <w:sz w:val="22"/>
          <w:lang w:val="es-PA"/>
        </w:rPr>
        <w:t>En el módulo de observación  de la encuesta a los establecimientos de salud, el en</w:t>
      </w:r>
      <w:r w:rsidR="003E6535" w:rsidRPr="00601EF9">
        <w:rPr>
          <w:rFonts w:asciiTheme="minorHAnsi" w:hAnsiTheme="minorHAnsi"/>
          <w:sz w:val="22"/>
          <w:lang w:val="es-PA"/>
        </w:rPr>
        <w:t>cue</w:t>
      </w:r>
      <w:r w:rsidRPr="00601EF9">
        <w:rPr>
          <w:rFonts w:asciiTheme="minorHAnsi" w:hAnsiTheme="minorHAnsi"/>
          <w:sz w:val="22"/>
          <w:lang w:val="es-PA"/>
        </w:rPr>
        <w:t xml:space="preserve">stador </w:t>
      </w:r>
      <w:r w:rsidR="00D177DA">
        <w:rPr>
          <w:rFonts w:asciiTheme="minorHAnsi" w:hAnsiTheme="minorHAnsi"/>
          <w:sz w:val="22"/>
          <w:lang w:val="es-PA"/>
        </w:rPr>
        <w:t>el abastecimiento de medicamentos e</w:t>
      </w:r>
      <w:r w:rsidRPr="00601EF9">
        <w:rPr>
          <w:rFonts w:asciiTheme="minorHAnsi" w:hAnsiTheme="minorHAnsi"/>
          <w:sz w:val="22"/>
          <w:lang w:val="es-PA"/>
        </w:rPr>
        <w:t xml:space="preserve"> insumos </w:t>
      </w:r>
      <w:r w:rsidR="00D177DA">
        <w:rPr>
          <w:rFonts w:asciiTheme="minorHAnsi" w:hAnsiTheme="minorHAnsi"/>
          <w:sz w:val="22"/>
          <w:lang w:val="es-PA"/>
        </w:rPr>
        <w:t xml:space="preserve">para </w:t>
      </w:r>
      <w:r w:rsidRPr="00601EF9">
        <w:rPr>
          <w:rFonts w:asciiTheme="minorHAnsi" w:hAnsiTheme="minorHAnsi"/>
          <w:sz w:val="22"/>
          <w:lang w:val="es-PA"/>
        </w:rPr>
        <w:t xml:space="preserve">la atención </w:t>
      </w:r>
      <w:r w:rsidR="00D177DA">
        <w:rPr>
          <w:rFonts w:asciiTheme="minorHAnsi" w:hAnsiTheme="minorHAnsi"/>
          <w:sz w:val="22"/>
          <w:lang w:val="es-PA"/>
        </w:rPr>
        <w:t xml:space="preserve">de las emergencias </w:t>
      </w:r>
      <w:r w:rsidRPr="00601EF9">
        <w:rPr>
          <w:rFonts w:asciiTheme="minorHAnsi" w:hAnsiTheme="minorHAnsi"/>
          <w:sz w:val="22"/>
          <w:lang w:val="es-PA"/>
        </w:rPr>
        <w:t>obstétrica</w:t>
      </w:r>
      <w:r w:rsidR="00D177DA">
        <w:rPr>
          <w:rFonts w:asciiTheme="minorHAnsi" w:hAnsiTheme="minorHAnsi"/>
          <w:sz w:val="22"/>
          <w:lang w:val="es-PA"/>
        </w:rPr>
        <w:t>s</w:t>
      </w:r>
      <w:r w:rsidRPr="00601EF9">
        <w:rPr>
          <w:rFonts w:asciiTheme="minorHAnsi" w:hAnsiTheme="minorHAnsi"/>
          <w:sz w:val="22"/>
          <w:lang w:val="es-PA"/>
        </w:rPr>
        <w:t xml:space="preserve"> y neonatales, la disponibilidad de determinados medicamentos en la farmacia y faltantes de inventario en los últimos 3 meses. </w:t>
      </w:r>
      <w:r w:rsidR="003E6535" w:rsidRPr="00601EF9">
        <w:rPr>
          <w:rFonts w:asciiTheme="minorHAnsi" w:hAnsiTheme="minorHAnsi"/>
          <w:sz w:val="22"/>
          <w:lang w:val="es-PA"/>
        </w:rPr>
        <w:t>L</w:t>
      </w:r>
      <w:r w:rsidRPr="00601EF9">
        <w:rPr>
          <w:rFonts w:asciiTheme="minorHAnsi" w:hAnsiTheme="minorHAnsi"/>
          <w:sz w:val="22"/>
          <w:lang w:val="es-PA"/>
        </w:rPr>
        <w:t xml:space="preserve">a disponibilidad de insumos </w:t>
      </w:r>
      <w:r w:rsidR="00D177DA">
        <w:rPr>
          <w:rFonts w:asciiTheme="minorHAnsi" w:hAnsiTheme="minorHAnsi"/>
          <w:sz w:val="22"/>
          <w:lang w:val="es-PA"/>
        </w:rPr>
        <w:t xml:space="preserve">y medicamentos </w:t>
      </w:r>
      <w:r w:rsidRPr="00601EF9">
        <w:rPr>
          <w:rFonts w:asciiTheme="minorHAnsi" w:hAnsiTheme="minorHAnsi"/>
          <w:sz w:val="22"/>
          <w:lang w:val="es-PA"/>
        </w:rPr>
        <w:t>se verifica por observación.  El abasto de insumo se verificará contra el registro del inventario (en Kardex o registro diario de in</w:t>
      </w:r>
      <w:r w:rsidR="00D177DA">
        <w:rPr>
          <w:rFonts w:asciiTheme="minorHAnsi" w:hAnsiTheme="minorHAnsi"/>
          <w:sz w:val="22"/>
          <w:lang w:val="es-PA"/>
        </w:rPr>
        <w:t>ventario, o consolidado mensual</w:t>
      </w:r>
      <w:r w:rsidRPr="00601EF9">
        <w:rPr>
          <w:rFonts w:asciiTheme="minorHAnsi" w:hAnsiTheme="minorHAnsi"/>
          <w:sz w:val="22"/>
          <w:lang w:val="es-PA"/>
        </w:rPr>
        <w:t>. La unidad de salud no debe presentar un desabastecimiento (abasto=0)  en ninguno de los insumos listados en los últimos 3 meses (último mes, dos meses y tres meses). En caso de no contar con registro, se considerará que hubo abasto=0.</w:t>
      </w:r>
    </w:p>
    <w:p w:rsidR="00ED55FB" w:rsidRPr="00601EF9" w:rsidRDefault="00ED55FB" w:rsidP="00D177DA">
      <w:pPr>
        <w:spacing w:line="360" w:lineRule="auto"/>
        <w:jc w:val="both"/>
        <w:rPr>
          <w:rFonts w:asciiTheme="minorHAnsi" w:hAnsiTheme="minorHAnsi"/>
          <w:b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>Fórmula:</w:t>
      </w:r>
    </w:p>
    <w:p w:rsidR="00ED55FB" w:rsidRPr="00601EF9" w:rsidRDefault="00ED55FB" w:rsidP="00D177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>Denominador:</w:t>
      </w:r>
      <w:r w:rsidRPr="00601EF9">
        <w:rPr>
          <w:rFonts w:asciiTheme="minorHAnsi" w:hAnsiTheme="minorHAnsi"/>
          <w:sz w:val="22"/>
          <w:lang w:val="es-PA"/>
        </w:rPr>
        <w:t xml:space="preserve"> Número total de establecimientos de salud básicos y completos en nuestra muestra</w:t>
      </w:r>
    </w:p>
    <w:p w:rsidR="00ED55FB" w:rsidRPr="00601EF9" w:rsidRDefault="00ED55FB" w:rsidP="00D177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>Numerador:</w:t>
      </w:r>
      <w:r w:rsidRPr="00601EF9">
        <w:rPr>
          <w:rFonts w:asciiTheme="minorHAnsi" w:hAnsiTheme="minorHAnsi"/>
          <w:sz w:val="22"/>
          <w:lang w:val="es-PA"/>
        </w:rPr>
        <w:t xml:space="preserve"> Los servicios de salud con disponibilidad </w:t>
      </w:r>
      <w:r w:rsidR="003E6535" w:rsidRPr="00601EF9">
        <w:rPr>
          <w:rFonts w:asciiTheme="minorHAnsi" w:hAnsiTheme="minorHAnsi"/>
          <w:sz w:val="22"/>
          <w:lang w:val="es-PA"/>
        </w:rPr>
        <w:t>continúa</w:t>
      </w:r>
      <w:r w:rsidRPr="00601EF9">
        <w:rPr>
          <w:rFonts w:asciiTheme="minorHAnsi" w:hAnsiTheme="minorHAnsi"/>
          <w:sz w:val="22"/>
          <w:lang w:val="es-PA"/>
        </w:rPr>
        <w:t xml:space="preserve"> de los suministros y el equipo necesarios para la atención obstétrica y neonatal</w:t>
      </w:r>
    </w:p>
    <w:p w:rsidR="00BB7BB1" w:rsidRPr="00601EF9" w:rsidRDefault="003E6535" w:rsidP="00D177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36"/>
          <w:u w:val="single"/>
          <w:lang w:val="es-HN"/>
        </w:rPr>
      </w:pPr>
      <w:r w:rsidRPr="00601EF9">
        <w:rPr>
          <w:rFonts w:asciiTheme="minorHAnsi" w:hAnsiTheme="minorHAnsi"/>
          <w:b/>
          <w:sz w:val="22"/>
          <w:lang w:val="es-PA"/>
        </w:rPr>
        <w:t>Calculo del indicador:</w:t>
      </w:r>
      <w:r w:rsidRPr="00601EF9">
        <w:rPr>
          <w:rFonts w:asciiTheme="minorHAnsi" w:hAnsiTheme="minorHAnsi"/>
          <w:sz w:val="22"/>
          <w:lang w:val="es-PA"/>
        </w:rPr>
        <w:t xml:space="preserve"> </w:t>
      </w:r>
      <w:r w:rsidR="00ED55FB" w:rsidRPr="00601EF9">
        <w:rPr>
          <w:rFonts w:asciiTheme="minorHAnsi" w:hAnsiTheme="minorHAnsi"/>
          <w:sz w:val="22"/>
          <w:lang w:val="es-PA"/>
        </w:rPr>
        <w:t>Generamos una variable para repr</w:t>
      </w:r>
      <w:r w:rsidRPr="00601EF9">
        <w:rPr>
          <w:rFonts w:asciiTheme="minorHAnsi" w:hAnsiTheme="minorHAnsi"/>
          <w:sz w:val="22"/>
          <w:lang w:val="es-PA"/>
        </w:rPr>
        <w:t>esentar la disponibilidad de    to</w:t>
      </w:r>
      <w:r w:rsidR="00ED55FB" w:rsidRPr="00601EF9">
        <w:rPr>
          <w:rFonts w:asciiTheme="minorHAnsi" w:hAnsiTheme="minorHAnsi"/>
          <w:sz w:val="22"/>
          <w:lang w:val="es-PA"/>
        </w:rPr>
        <w:t>dos los insumos y equipo necesarios para la atención obstétrica y neonatal.</w:t>
      </w:r>
      <w:r w:rsidRPr="00601EF9">
        <w:rPr>
          <w:rFonts w:asciiTheme="minorHAnsi" w:hAnsiTheme="minorHAnsi"/>
          <w:sz w:val="22"/>
          <w:lang w:val="es-PA"/>
        </w:rPr>
        <w:t xml:space="preserve"> </w:t>
      </w:r>
      <w:r w:rsidR="00ED55FB" w:rsidRPr="00601EF9">
        <w:rPr>
          <w:rFonts w:asciiTheme="minorHAnsi" w:hAnsiTheme="minorHAnsi"/>
          <w:sz w:val="22"/>
          <w:lang w:val="es-PA"/>
        </w:rPr>
        <w:t xml:space="preserve">Esta variable  tiene un valor de 1 cuando se cumplen todos los artículos mencionados a continuación. </w:t>
      </w:r>
    </w:p>
    <w:p w:rsidR="006936F5" w:rsidRPr="003C1FE8" w:rsidRDefault="008347E5" w:rsidP="00D177D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36"/>
          <w:u w:val="single"/>
          <w:lang w:val="es-HN"/>
        </w:rPr>
      </w:pPr>
      <w:r w:rsidRPr="00601EF9">
        <w:rPr>
          <w:rFonts w:asciiTheme="minorHAnsi" w:hAnsiTheme="minorHAnsi"/>
          <w:b/>
          <w:sz w:val="22"/>
          <w:lang w:val="es-PA"/>
        </w:rPr>
        <w:t xml:space="preserve">Medio de verificación: </w:t>
      </w:r>
      <w:r w:rsidR="00601EF9" w:rsidRPr="00601EF9">
        <w:rPr>
          <w:rFonts w:asciiTheme="minorHAnsi" w:hAnsiTheme="minorHAnsi"/>
          <w:sz w:val="22"/>
          <w:lang w:val="es-PA"/>
        </w:rPr>
        <w:t>I</w:t>
      </w:r>
      <w:r w:rsidRPr="00601EF9">
        <w:rPr>
          <w:rFonts w:asciiTheme="minorHAnsi" w:hAnsiTheme="minorHAnsi"/>
          <w:sz w:val="22"/>
          <w:lang w:val="es-PA"/>
        </w:rPr>
        <w:t>nforme de monitoreo trimestral de la UGD</w:t>
      </w:r>
      <w:r w:rsidR="009B5EE1" w:rsidRPr="00601EF9">
        <w:rPr>
          <w:rFonts w:asciiTheme="minorHAnsi" w:hAnsiTheme="minorHAnsi"/>
          <w:sz w:val="22"/>
          <w:lang w:val="es-PA"/>
        </w:rPr>
        <w:t xml:space="preserve"> y </w:t>
      </w:r>
      <w:r w:rsidR="00601EF9" w:rsidRPr="00601EF9">
        <w:rPr>
          <w:rFonts w:asciiTheme="minorHAnsi" w:hAnsiTheme="minorHAnsi"/>
          <w:sz w:val="22"/>
          <w:lang w:val="es-PA"/>
        </w:rPr>
        <w:t xml:space="preserve">de </w:t>
      </w:r>
      <w:r w:rsidR="009B5EE1" w:rsidRPr="00601EF9">
        <w:rPr>
          <w:rFonts w:asciiTheme="minorHAnsi" w:hAnsiTheme="minorHAnsi"/>
          <w:sz w:val="22"/>
          <w:lang w:val="es-PA"/>
        </w:rPr>
        <w:t xml:space="preserve">la Auditoria Técnica Concurrente </w:t>
      </w:r>
    </w:p>
    <w:p w:rsidR="003C1FE8" w:rsidRPr="003C1FE8" w:rsidRDefault="003C1FE8" w:rsidP="003C1FE8">
      <w:pPr>
        <w:pStyle w:val="ListParagraph"/>
        <w:spacing w:line="360" w:lineRule="auto"/>
        <w:jc w:val="both"/>
        <w:rPr>
          <w:rFonts w:asciiTheme="minorHAnsi" w:hAnsiTheme="minorHAnsi"/>
          <w:sz w:val="36"/>
          <w:u w:val="single"/>
          <w:lang w:val="es-HN"/>
        </w:rPr>
      </w:pPr>
      <w:r w:rsidRPr="003C1FE8">
        <w:rPr>
          <w:rFonts w:asciiTheme="minorHAnsi" w:hAnsiTheme="minorHAnsi"/>
          <w:sz w:val="22"/>
          <w:lang w:val="es-PA"/>
        </w:rPr>
        <w:t>El umbral de este indicador es de 80%</w:t>
      </w:r>
    </w:p>
    <w:p w:rsidR="00AB3BF0" w:rsidRDefault="00AB3BF0" w:rsidP="00AB3BF0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lang w:val="es-ES_tradnl"/>
        </w:rPr>
      </w:pPr>
      <w:r>
        <w:rPr>
          <w:rFonts w:asciiTheme="minorHAnsi" w:hAnsiTheme="minorHAnsi"/>
          <w:b/>
          <w:color w:val="auto"/>
          <w:sz w:val="22"/>
          <w:lang w:val="es-ES_tradnl"/>
        </w:rPr>
        <w:lastRenderedPageBreak/>
        <w:t xml:space="preserve">Variables a medir: </w:t>
      </w:r>
    </w:p>
    <w:p w:rsidR="00AB3BF0" w:rsidRDefault="00AB3BF0" w:rsidP="00AB3BF0">
      <w:pPr>
        <w:spacing w:line="360" w:lineRule="auto"/>
        <w:jc w:val="both"/>
        <w:rPr>
          <w:rFonts w:asciiTheme="minorHAnsi" w:hAnsiTheme="minorHAnsi"/>
          <w:color w:val="auto"/>
          <w:sz w:val="22"/>
          <w:lang w:val="es-ES_tradnl"/>
        </w:rPr>
      </w:pPr>
      <w:r w:rsidRPr="002652A9">
        <w:rPr>
          <w:rFonts w:asciiTheme="minorHAnsi" w:hAnsiTheme="minorHAnsi"/>
          <w:color w:val="auto"/>
          <w:sz w:val="22"/>
          <w:lang w:val="es-ES_tradnl"/>
        </w:rPr>
        <w:t xml:space="preserve"> </w:t>
      </w:r>
      <w:r>
        <w:rPr>
          <w:rFonts w:asciiTheme="minorHAnsi" w:hAnsiTheme="minorHAnsi"/>
          <w:color w:val="auto"/>
          <w:sz w:val="22"/>
          <w:lang w:val="es-ES_tradnl"/>
        </w:rPr>
        <w:t>Los medicamentos, insumos y equipo funcional que serán medidos en este indicador de abastecimiento: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09"/>
        <w:gridCol w:w="5670"/>
      </w:tblGrid>
      <w:tr w:rsidR="00B027EE" w:rsidTr="00311AA9">
        <w:tc>
          <w:tcPr>
            <w:tcW w:w="709" w:type="dxa"/>
            <w:shd w:val="clear" w:color="auto" w:fill="17365D" w:themeFill="text2" w:themeFillShade="BF"/>
          </w:tcPr>
          <w:p w:rsidR="00B027EE" w:rsidRPr="00311AA9" w:rsidRDefault="00B027EE" w:rsidP="0090627B">
            <w:pPr>
              <w:jc w:val="center"/>
              <w:rPr>
                <w:rFonts w:asciiTheme="minorHAnsi" w:hAnsiTheme="minorHAnsi" w:cs="Helvetica"/>
                <w:b/>
                <w:color w:val="FFFFFF" w:themeColor="background1"/>
                <w:sz w:val="22"/>
                <w:szCs w:val="16"/>
                <w:lang w:val="es-PA"/>
              </w:rPr>
            </w:pPr>
            <w:r w:rsidRPr="00311AA9">
              <w:rPr>
                <w:rFonts w:asciiTheme="minorHAnsi" w:hAnsiTheme="minorHAnsi" w:cs="Helvetica"/>
                <w:b/>
                <w:color w:val="FFFFFF" w:themeColor="background1"/>
                <w:sz w:val="22"/>
                <w:szCs w:val="16"/>
                <w:lang w:val="es-PA"/>
              </w:rPr>
              <w:t>No.</w:t>
            </w:r>
          </w:p>
        </w:tc>
        <w:tc>
          <w:tcPr>
            <w:tcW w:w="5670" w:type="dxa"/>
            <w:shd w:val="clear" w:color="auto" w:fill="17365D" w:themeFill="text2" w:themeFillShade="BF"/>
          </w:tcPr>
          <w:p w:rsidR="00B027EE" w:rsidRPr="00311AA9" w:rsidRDefault="00B027EE" w:rsidP="0090627B">
            <w:pPr>
              <w:jc w:val="center"/>
              <w:rPr>
                <w:rFonts w:asciiTheme="minorHAnsi" w:hAnsiTheme="minorHAnsi" w:cs="Helvetica"/>
                <w:b/>
                <w:noProof/>
                <w:color w:val="FFFFFF" w:themeColor="background1"/>
                <w:sz w:val="22"/>
                <w:szCs w:val="16"/>
                <w:lang w:val="es-PA"/>
              </w:rPr>
            </w:pPr>
            <w:r w:rsidRPr="00311AA9">
              <w:rPr>
                <w:rFonts w:asciiTheme="minorHAnsi" w:hAnsiTheme="minorHAnsi" w:cs="Helvetica"/>
                <w:b/>
                <w:noProof/>
                <w:color w:val="FFFFFF" w:themeColor="background1"/>
                <w:sz w:val="22"/>
                <w:szCs w:val="16"/>
                <w:lang w:val="es-PA"/>
              </w:rPr>
              <w:t>Medicamentos e insumos</w:t>
            </w:r>
          </w:p>
        </w:tc>
      </w:tr>
      <w:tr w:rsidR="00AB3BF0" w:rsidTr="0090627B">
        <w:tc>
          <w:tcPr>
            <w:tcW w:w="709" w:type="dxa"/>
          </w:tcPr>
          <w:p w:rsidR="00AB3BF0" w:rsidRPr="00C4478D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AB3BF0" w:rsidRPr="004E66A9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es-PA"/>
              </w:rPr>
              <w:t>Lactato de Ringer</w:t>
            </w:r>
          </w:p>
        </w:tc>
      </w:tr>
      <w:tr w:rsidR="00AB3BF0" w:rsidTr="0090627B">
        <w:tc>
          <w:tcPr>
            <w:tcW w:w="709" w:type="dxa"/>
          </w:tcPr>
          <w:p w:rsidR="00AB3BF0" w:rsidRPr="00C4478D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AB3BF0" w:rsidRPr="004E66A9" w:rsidRDefault="00B027EE" w:rsidP="00B027EE">
            <w:pPr>
              <w:pStyle w:val="CommentText"/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eastAsia="Times New Roman" w:hAnsiTheme="minorHAnsi" w:cs="Helvetica"/>
                <w:noProof/>
                <w:sz w:val="22"/>
                <w:szCs w:val="16"/>
                <w:lang w:val="es-PA"/>
              </w:rPr>
              <w:t>Dextrosa 10%.</w:t>
            </w:r>
          </w:p>
        </w:tc>
      </w:tr>
      <w:tr w:rsidR="00AB3BF0" w:rsidTr="0090627B">
        <w:tc>
          <w:tcPr>
            <w:tcW w:w="709" w:type="dxa"/>
          </w:tcPr>
          <w:p w:rsidR="00AB3BF0" w:rsidRPr="00C4478D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AB3BF0" w:rsidRPr="004E66A9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es-PA"/>
              </w:rPr>
              <w:t>Solución salina normal</w:t>
            </w:r>
            <w:r w:rsidRPr="004E66A9">
              <w:rPr>
                <w:rFonts w:asciiTheme="minorHAnsi" w:hAnsiTheme="minorHAnsi" w:cs="Helvetica"/>
                <w:sz w:val="22"/>
                <w:szCs w:val="16"/>
                <w:lang w:val="es-PA"/>
              </w:rPr>
              <w:t xml:space="preserve"> </w:t>
            </w:r>
          </w:p>
        </w:tc>
      </w:tr>
      <w:tr w:rsidR="00AB3BF0" w:rsidRPr="00887A30" w:rsidTr="0090627B">
        <w:tc>
          <w:tcPr>
            <w:tcW w:w="709" w:type="dxa"/>
          </w:tcPr>
          <w:p w:rsidR="00AB3BF0" w:rsidRPr="00C4478D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AB3BF0" w:rsidRPr="00A572E6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Ergometrina / Ergobasina maleato/ IM-IV / 5 o 10 UI de oxitocina IM-IV</w:t>
            </w:r>
          </w:p>
        </w:tc>
      </w:tr>
      <w:tr w:rsidR="00AB3BF0" w:rsidTr="0090627B">
        <w:tc>
          <w:tcPr>
            <w:tcW w:w="709" w:type="dxa"/>
          </w:tcPr>
          <w:p w:rsidR="00AB3BF0" w:rsidRPr="00A572E6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pt-BR"/>
              </w:rPr>
            </w:pPr>
          </w:p>
        </w:tc>
        <w:tc>
          <w:tcPr>
            <w:tcW w:w="5670" w:type="dxa"/>
          </w:tcPr>
          <w:p w:rsidR="00AB3BF0" w:rsidRPr="004E66A9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Atropina / epinefrina</w:t>
            </w:r>
          </w:p>
        </w:tc>
      </w:tr>
      <w:tr w:rsidR="00AB3BF0" w:rsidTr="0090627B">
        <w:tc>
          <w:tcPr>
            <w:tcW w:w="709" w:type="dxa"/>
          </w:tcPr>
          <w:p w:rsidR="00AB3BF0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AB3BF0" w:rsidRPr="004E66A9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hAnsiTheme="minorHAnsi" w:cs="Helvetica"/>
                <w:sz w:val="22"/>
                <w:szCs w:val="16"/>
                <w:lang w:val="es-PA"/>
              </w:rPr>
              <w:t>Adrenalina</w:t>
            </w:r>
          </w:p>
        </w:tc>
      </w:tr>
      <w:tr w:rsidR="00B027EE" w:rsidTr="0090627B">
        <w:tc>
          <w:tcPr>
            <w:tcW w:w="709" w:type="dxa"/>
          </w:tcPr>
          <w:p w:rsidR="00B027EE" w:rsidRDefault="00B027EE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B027EE" w:rsidRPr="004E66A9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Bicarbonato de sodio</w:t>
            </w:r>
          </w:p>
        </w:tc>
      </w:tr>
      <w:tr w:rsidR="00AB3BF0" w:rsidRPr="00887A30" w:rsidTr="0090627B">
        <w:tc>
          <w:tcPr>
            <w:tcW w:w="709" w:type="dxa"/>
          </w:tcPr>
          <w:p w:rsidR="00AB3BF0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AB3BF0" w:rsidRPr="00A572E6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amoxicilina / ampicilina / sulfato de amikacina  / penicilina cristalina G / clindamicina / Cefalexina / / dicloxacilina / doxiciclina / gentamicina / metronidazol</w:t>
            </w:r>
          </w:p>
        </w:tc>
      </w:tr>
      <w:tr w:rsidR="00AB3BF0" w:rsidRPr="00A65AED" w:rsidTr="0090627B">
        <w:tc>
          <w:tcPr>
            <w:tcW w:w="709" w:type="dxa"/>
          </w:tcPr>
          <w:p w:rsidR="00AB3BF0" w:rsidRPr="00A572E6" w:rsidRDefault="00AB3BF0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pt-BR"/>
              </w:rPr>
            </w:pPr>
          </w:p>
        </w:tc>
        <w:tc>
          <w:tcPr>
            <w:tcW w:w="5670" w:type="dxa"/>
          </w:tcPr>
          <w:p w:rsidR="00AB3BF0" w:rsidRPr="004E66A9" w:rsidRDefault="00B027EE" w:rsidP="00B027EE">
            <w:pPr>
              <w:rPr>
                <w:rFonts w:asciiTheme="minorHAnsi" w:hAnsiTheme="minorHAnsi" w:cs="Helvetica"/>
                <w:sz w:val="22"/>
                <w:szCs w:val="16"/>
                <w:lang w:val="es-PA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hidralazina / clorhidrato  hidralazina / alfametil dopa / Propranolol / nifedipina</w:t>
            </w:r>
          </w:p>
        </w:tc>
      </w:tr>
      <w:tr w:rsidR="00B027EE" w:rsidTr="0090627B">
        <w:tc>
          <w:tcPr>
            <w:tcW w:w="709" w:type="dxa"/>
          </w:tcPr>
          <w:p w:rsidR="00B027EE" w:rsidRDefault="00B027EE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B027EE" w:rsidRPr="004E66A9" w:rsidRDefault="00257E5F" w:rsidP="00257E5F">
            <w:pPr>
              <w:pStyle w:val="CommentText"/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eastAsia="Times New Roman" w:hAnsiTheme="minorHAnsi" w:cs="Helvetica"/>
                <w:noProof/>
                <w:sz w:val="22"/>
                <w:szCs w:val="16"/>
                <w:lang w:val="pt-BR"/>
              </w:rPr>
              <w:t xml:space="preserve">Hidrocloruro de naloxona </w:t>
            </w:r>
          </w:p>
        </w:tc>
      </w:tr>
      <w:tr w:rsidR="00B027EE" w:rsidTr="0090627B">
        <w:tc>
          <w:tcPr>
            <w:tcW w:w="709" w:type="dxa"/>
          </w:tcPr>
          <w:p w:rsidR="00B027EE" w:rsidRDefault="00B027EE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B027EE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Difenilhidantoina Sódica (Fenitoina)</w:t>
            </w:r>
          </w:p>
        </w:tc>
      </w:tr>
      <w:tr w:rsidR="00B027EE" w:rsidTr="0090627B">
        <w:tc>
          <w:tcPr>
            <w:tcW w:w="709" w:type="dxa"/>
          </w:tcPr>
          <w:p w:rsidR="00B027EE" w:rsidRDefault="00B027EE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B027EE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Furosemida</w:t>
            </w:r>
          </w:p>
        </w:tc>
      </w:tr>
      <w:tr w:rsidR="00B027EE" w:rsidTr="0090627B">
        <w:tc>
          <w:tcPr>
            <w:tcW w:w="709" w:type="dxa"/>
          </w:tcPr>
          <w:p w:rsidR="00B027EE" w:rsidRDefault="00B027EE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B027EE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Sulfato de magnesio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E97E04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D</w:t>
            </w:r>
            <w:r w:rsidR="00257E5F"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iazepam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 xml:space="preserve">Fenobarbital sódico 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>Sulfato atropina.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es-PA"/>
              </w:rPr>
              <w:t>Sevofluran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  <w:t xml:space="preserve">Clorhidrato  de Midazolam 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es-PA"/>
              </w:rPr>
              <w:t>Clorhidrato de ketamina</w:t>
            </w:r>
          </w:p>
        </w:tc>
      </w:tr>
      <w:tr w:rsidR="00257E5F" w:rsidTr="0090627B">
        <w:tc>
          <w:tcPr>
            <w:tcW w:w="709" w:type="dxa"/>
          </w:tcPr>
          <w:p w:rsidR="00257E5F" w:rsidRDefault="00257E5F" w:rsidP="0090627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Helvetica"/>
                <w:sz w:val="16"/>
                <w:szCs w:val="16"/>
                <w:lang w:val="es-PA"/>
              </w:rPr>
            </w:pPr>
          </w:p>
        </w:tc>
        <w:tc>
          <w:tcPr>
            <w:tcW w:w="5670" w:type="dxa"/>
          </w:tcPr>
          <w:p w:rsidR="00257E5F" w:rsidRPr="004E66A9" w:rsidRDefault="00257E5F" w:rsidP="00257E5F">
            <w:pPr>
              <w:rPr>
                <w:rFonts w:asciiTheme="minorHAnsi" w:hAnsiTheme="minorHAnsi" w:cs="Helvetica"/>
                <w:noProof/>
                <w:sz w:val="22"/>
                <w:szCs w:val="16"/>
                <w:lang w:val="pt-BR"/>
              </w:rPr>
            </w:pPr>
            <w:r w:rsidRPr="004E66A9">
              <w:rPr>
                <w:rFonts w:asciiTheme="minorHAnsi" w:hAnsiTheme="minorHAnsi" w:cs="Helvetica"/>
                <w:noProof/>
                <w:sz w:val="22"/>
                <w:szCs w:val="16"/>
                <w:lang w:val="es-PA"/>
              </w:rPr>
              <w:t>Cloruro de succinilcolina (suxametonio</w:t>
            </w:r>
            <w:r w:rsidRPr="004E66A9">
              <w:rPr>
                <w:rFonts w:asciiTheme="minorHAnsi" w:hAnsiTheme="minorHAnsi" w:cs="Helvetica"/>
                <w:sz w:val="22"/>
                <w:szCs w:val="16"/>
                <w:lang w:val="es-PA"/>
              </w:rPr>
              <w:t>)</w:t>
            </w:r>
          </w:p>
        </w:tc>
      </w:tr>
    </w:tbl>
    <w:p w:rsidR="00D177DA" w:rsidRPr="00311AA9" w:rsidRDefault="00937A3A" w:rsidP="00311AA9">
      <w:pPr>
        <w:shd w:val="clear" w:color="auto" w:fill="17365D" w:themeFill="text2" w:themeFillShade="BF"/>
        <w:spacing w:line="240" w:lineRule="auto"/>
        <w:contextualSpacing/>
        <w:jc w:val="both"/>
        <w:rPr>
          <w:rFonts w:asciiTheme="minorHAnsi" w:hAnsiTheme="minorHAnsi" w:cs="Helvetica"/>
          <w:b/>
          <w:color w:val="FFFFFF" w:themeColor="background1"/>
          <w:sz w:val="22"/>
          <w:szCs w:val="22"/>
          <w:lang w:val="es-ES_tradnl"/>
        </w:rPr>
      </w:pPr>
      <w:r w:rsidRPr="00311AA9">
        <w:rPr>
          <w:rFonts w:asciiTheme="minorHAnsi" w:hAnsiTheme="minorHAnsi" w:cs="Helvetica"/>
          <w:b/>
          <w:color w:val="FFFFFF" w:themeColor="background1"/>
          <w:sz w:val="22"/>
          <w:szCs w:val="22"/>
          <w:u w:val="single"/>
          <w:lang w:val="es-ES_tradnl"/>
        </w:rPr>
        <w:t>Indicador No. 5</w:t>
      </w:r>
    </w:p>
    <w:p w:rsidR="008B51C2" w:rsidRPr="00311AA9" w:rsidRDefault="008B51C2" w:rsidP="00311AA9">
      <w:pPr>
        <w:shd w:val="clear" w:color="auto" w:fill="17365D" w:themeFill="text2" w:themeFillShade="BF"/>
        <w:spacing w:line="240" w:lineRule="auto"/>
        <w:contextualSpacing/>
        <w:jc w:val="both"/>
        <w:rPr>
          <w:rFonts w:asciiTheme="minorHAnsi" w:hAnsiTheme="minorHAnsi"/>
          <w:b/>
          <w:color w:val="FFFFFF" w:themeColor="background1"/>
          <w:sz w:val="22"/>
          <w:lang w:val="es-ES_tradnl"/>
        </w:rPr>
      </w:pPr>
    </w:p>
    <w:p w:rsidR="00D177DA" w:rsidRPr="00311AA9" w:rsidRDefault="00D177DA" w:rsidP="00311AA9">
      <w:pPr>
        <w:shd w:val="clear" w:color="auto" w:fill="17365D" w:themeFill="text2" w:themeFillShade="BF"/>
        <w:spacing w:line="240" w:lineRule="auto"/>
        <w:contextualSpacing/>
        <w:jc w:val="both"/>
        <w:rPr>
          <w:rFonts w:asciiTheme="minorHAnsi" w:hAnsiTheme="minorHAnsi"/>
          <w:b/>
          <w:color w:val="FFFFFF" w:themeColor="background1"/>
          <w:sz w:val="22"/>
          <w:lang w:val="es-ES_tradnl"/>
        </w:rPr>
      </w:pPr>
      <w:r w:rsidRPr="00311AA9">
        <w:rPr>
          <w:rFonts w:asciiTheme="minorHAnsi" w:hAnsiTheme="minorHAnsi"/>
          <w:b/>
          <w:color w:val="FFFFFF" w:themeColor="background1"/>
          <w:sz w:val="22"/>
          <w:lang w:val="es-ES_tradnl"/>
        </w:rPr>
        <w:t xml:space="preserve">Disponibilidad permanente de medicamentos e insumos para la atención de las principales enfermedades prevalentes de la infancia: </w:t>
      </w:r>
    </w:p>
    <w:p w:rsidR="0090627B" w:rsidRDefault="0090627B" w:rsidP="00D177DA">
      <w:pPr>
        <w:spacing w:line="360" w:lineRule="auto"/>
        <w:contextualSpacing/>
        <w:jc w:val="both"/>
        <w:rPr>
          <w:rFonts w:asciiTheme="minorHAnsi" w:hAnsiTheme="minorHAnsi"/>
          <w:b/>
          <w:sz w:val="22"/>
          <w:lang w:val="es-ES_tradnl"/>
        </w:rPr>
      </w:pPr>
    </w:p>
    <w:p w:rsidR="00D177DA" w:rsidRPr="00601EF9" w:rsidRDefault="00C4478D" w:rsidP="008B51C2">
      <w:pPr>
        <w:spacing w:line="360" w:lineRule="auto"/>
        <w:contextualSpacing/>
        <w:jc w:val="both"/>
        <w:rPr>
          <w:rFonts w:asciiTheme="minorHAnsi" w:hAnsiTheme="minorHAnsi"/>
          <w:sz w:val="22"/>
          <w:lang w:val="es-PA"/>
        </w:rPr>
      </w:pPr>
      <w:r>
        <w:rPr>
          <w:rFonts w:asciiTheme="minorHAnsi" w:hAnsiTheme="minorHAnsi"/>
          <w:b/>
          <w:sz w:val="22"/>
          <w:lang w:val="es-ES_tradnl"/>
        </w:rPr>
        <w:t>Descripción</w:t>
      </w:r>
      <w:r w:rsidR="00D177DA">
        <w:rPr>
          <w:rFonts w:asciiTheme="minorHAnsi" w:hAnsiTheme="minorHAnsi"/>
          <w:b/>
          <w:sz w:val="22"/>
          <w:lang w:val="es-ES_tradnl"/>
        </w:rPr>
        <w:t xml:space="preserve"> del indicador: </w:t>
      </w:r>
      <w:r w:rsidR="00D177DA">
        <w:rPr>
          <w:rFonts w:asciiTheme="minorHAnsi" w:hAnsiTheme="minorHAnsi"/>
          <w:sz w:val="22"/>
          <w:lang w:val="es-ES_tradnl"/>
        </w:rPr>
        <w:t>S</w:t>
      </w:r>
      <w:r w:rsidR="00D177DA" w:rsidRPr="00601EF9">
        <w:rPr>
          <w:rFonts w:asciiTheme="minorHAnsi" w:hAnsiTheme="minorHAnsi"/>
          <w:sz w:val="22"/>
          <w:lang w:val="es-ES_tradnl"/>
        </w:rPr>
        <w:t>e me</w:t>
      </w:r>
      <w:r w:rsidR="00D177DA">
        <w:rPr>
          <w:rFonts w:asciiTheme="minorHAnsi" w:hAnsiTheme="minorHAnsi"/>
          <w:sz w:val="22"/>
          <w:lang w:val="es-ES_tradnl"/>
        </w:rPr>
        <w:t>dirán el abasto de medicamentos e</w:t>
      </w:r>
      <w:r>
        <w:rPr>
          <w:rFonts w:asciiTheme="minorHAnsi" w:hAnsiTheme="minorHAnsi"/>
          <w:sz w:val="22"/>
          <w:lang w:val="es-ES_tradnl"/>
        </w:rPr>
        <w:t xml:space="preserve"> insumos y equipo definidos </w:t>
      </w:r>
      <w:r w:rsidR="00D177DA" w:rsidRPr="00601EF9">
        <w:rPr>
          <w:rFonts w:asciiTheme="minorHAnsi" w:hAnsiTheme="minorHAnsi"/>
          <w:sz w:val="22"/>
          <w:lang w:val="es-ES_tradnl"/>
        </w:rPr>
        <w:t xml:space="preserve">para este nivel de complejidad.  Se medirá en todas los Establecimientos de Salud </w:t>
      </w:r>
      <w:r w:rsidR="00D177DA" w:rsidRPr="00601EF9">
        <w:rPr>
          <w:rFonts w:asciiTheme="minorHAnsi" w:hAnsiTheme="minorHAnsi"/>
          <w:sz w:val="22"/>
          <w:lang w:val="es-PA"/>
        </w:rPr>
        <w:t xml:space="preserve">de </w:t>
      </w:r>
      <w:r w:rsidR="00A3696B">
        <w:rPr>
          <w:rFonts w:asciiTheme="minorHAnsi" w:hAnsiTheme="minorHAnsi"/>
          <w:sz w:val="22"/>
          <w:lang w:val="es-PA"/>
        </w:rPr>
        <w:t>primer</w:t>
      </w:r>
      <w:r w:rsidR="00D177DA" w:rsidRPr="00601EF9">
        <w:rPr>
          <w:rFonts w:asciiTheme="minorHAnsi" w:hAnsiTheme="minorHAnsi"/>
          <w:sz w:val="22"/>
          <w:lang w:val="es-PA"/>
        </w:rPr>
        <w:t xml:space="preserve"> nivel     con disponibilidad permanente de medicamentos e insumos necesarios para la atención de </w:t>
      </w:r>
      <w:r w:rsidR="00A3696B">
        <w:rPr>
          <w:rFonts w:asciiTheme="minorHAnsi" w:hAnsiTheme="minorHAnsi"/>
          <w:sz w:val="22"/>
          <w:lang w:val="es-PA"/>
        </w:rPr>
        <w:t xml:space="preserve">las principales enfermedades prevalentes de la infancia (Neumonía, diarrea, anemia, parasitismo intestinal) </w:t>
      </w:r>
    </w:p>
    <w:p w:rsidR="00D177DA" w:rsidRDefault="00D177DA" w:rsidP="00D177DA">
      <w:p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 xml:space="preserve">Descripción: </w:t>
      </w:r>
      <w:r w:rsidRPr="00601EF9">
        <w:rPr>
          <w:rFonts w:asciiTheme="minorHAnsi" w:hAnsiTheme="minorHAnsi"/>
          <w:sz w:val="22"/>
          <w:lang w:val="es-PA"/>
        </w:rPr>
        <w:t xml:space="preserve">En el módulo de observación  de la encuesta a los establecimientos de salud, el encuestador </w:t>
      </w:r>
      <w:r w:rsidR="00A3696B">
        <w:rPr>
          <w:rFonts w:asciiTheme="minorHAnsi" w:hAnsiTheme="minorHAnsi"/>
          <w:sz w:val="22"/>
          <w:lang w:val="es-PA"/>
        </w:rPr>
        <w:t xml:space="preserve">revisa </w:t>
      </w:r>
      <w:r>
        <w:rPr>
          <w:rFonts w:asciiTheme="minorHAnsi" w:hAnsiTheme="minorHAnsi"/>
          <w:sz w:val="22"/>
          <w:lang w:val="es-PA"/>
        </w:rPr>
        <w:t xml:space="preserve">el </w:t>
      </w:r>
      <w:r w:rsidR="00A3696B">
        <w:rPr>
          <w:rFonts w:asciiTheme="minorHAnsi" w:hAnsiTheme="minorHAnsi"/>
          <w:sz w:val="22"/>
          <w:lang w:val="es-PA"/>
        </w:rPr>
        <w:t xml:space="preserve">nivel de </w:t>
      </w:r>
      <w:r>
        <w:rPr>
          <w:rFonts w:asciiTheme="minorHAnsi" w:hAnsiTheme="minorHAnsi"/>
          <w:sz w:val="22"/>
          <w:lang w:val="es-PA"/>
        </w:rPr>
        <w:t>abastecimiento de medicamentos e</w:t>
      </w:r>
      <w:r w:rsidRPr="00601EF9">
        <w:rPr>
          <w:rFonts w:asciiTheme="minorHAnsi" w:hAnsiTheme="minorHAnsi"/>
          <w:sz w:val="22"/>
          <w:lang w:val="es-PA"/>
        </w:rPr>
        <w:t xml:space="preserve"> insumos </w:t>
      </w:r>
      <w:r>
        <w:rPr>
          <w:rFonts w:asciiTheme="minorHAnsi" w:hAnsiTheme="minorHAnsi"/>
          <w:sz w:val="22"/>
          <w:lang w:val="es-PA"/>
        </w:rPr>
        <w:t xml:space="preserve">para </w:t>
      </w:r>
      <w:r w:rsidRPr="00601EF9">
        <w:rPr>
          <w:rFonts w:asciiTheme="minorHAnsi" w:hAnsiTheme="minorHAnsi"/>
          <w:sz w:val="22"/>
          <w:lang w:val="es-PA"/>
        </w:rPr>
        <w:t xml:space="preserve">la atención </w:t>
      </w:r>
      <w:r>
        <w:rPr>
          <w:rFonts w:asciiTheme="minorHAnsi" w:hAnsiTheme="minorHAnsi"/>
          <w:sz w:val="22"/>
          <w:lang w:val="es-PA"/>
        </w:rPr>
        <w:t xml:space="preserve">de las </w:t>
      </w:r>
      <w:r w:rsidR="00A3696B">
        <w:rPr>
          <w:rFonts w:asciiTheme="minorHAnsi" w:hAnsiTheme="minorHAnsi"/>
          <w:sz w:val="22"/>
          <w:lang w:val="es-PA"/>
        </w:rPr>
        <w:lastRenderedPageBreak/>
        <w:t xml:space="preserve">prevalentes de la infancia </w:t>
      </w:r>
      <w:r w:rsidRPr="00601EF9">
        <w:rPr>
          <w:rFonts w:asciiTheme="minorHAnsi" w:hAnsiTheme="minorHAnsi"/>
          <w:sz w:val="22"/>
          <w:lang w:val="es-PA"/>
        </w:rPr>
        <w:t xml:space="preserve">en la farmacia y faltantes de inventario en los últimos 3 meses. La disponibilidad de insumos </w:t>
      </w:r>
      <w:r>
        <w:rPr>
          <w:rFonts w:asciiTheme="minorHAnsi" w:hAnsiTheme="minorHAnsi"/>
          <w:sz w:val="22"/>
          <w:lang w:val="es-PA"/>
        </w:rPr>
        <w:t xml:space="preserve">y medicamentos </w:t>
      </w:r>
      <w:r w:rsidRPr="00601EF9">
        <w:rPr>
          <w:rFonts w:asciiTheme="minorHAnsi" w:hAnsiTheme="minorHAnsi"/>
          <w:sz w:val="22"/>
          <w:lang w:val="es-PA"/>
        </w:rPr>
        <w:t>se verifica por observación.  El abasto de insumo se verificará contra el registro del inventario (en Kardex o registro diario de in</w:t>
      </w:r>
      <w:r>
        <w:rPr>
          <w:rFonts w:asciiTheme="minorHAnsi" w:hAnsiTheme="minorHAnsi"/>
          <w:sz w:val="22"/>
          <w:lang w:val="es-PA"/>
        </w:rPr>
        <w:t>ventario, o consolidado mensual</w:t>
      </w:r>
      <w:r w:rsidRPr="00601EF9">
        <w:rPr>
          <w:rFonts w:asciiTheme="minorHAnsi" w:hAnsiTheme="minorHAnsi"/>
          <w:sz w:val="22"/>
          <w:lang w:val="es-PA"/>
        </w:rPr>
        <w:t>. La unidad de salud no debe presentar un desabastecimiento (abasto=0)  en ninguno de los insumos listados en los últimos 3 meses (último mes, dos meses y tres meses). En caso de no contar con registro, se considerará que hubo abasto=0.</w:t>
      </w:r>
    </w:p>
    <w:p w:rsidR="003C1FE8" w:rsidRDefault="003C1FE8" w:rsidP="00D177DA">
      <w:p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>
        <w:rPr>
          <w:rFonts w:asciiTheme="minorHAnsi" w:hAnsiTheme="minorHAnsi"/>
          <w:sz w:val="22"/>
          <w:lang w:val="es-PA"/>
        </w:rPr>
        <w:t>El umbral de este indicador es de 80%</w:t>
      </w:r>
    </w:p>
    <w:p w:rsidR="00A3696B" w:rsidRDefault="00A3696B" w:rsidP="00A3696B">
      <w:pPr>
        <w:spacing w:line="360" w:lineRule="auto"/>
        <w:jc w:val="both"/>
        <w:rPr>
          <w:rFonts w:asciiTheme="minorHAnsi" w:hAnsiTheme="minorHAnsi"/>
          <w:b/>
          <w:color w:val="auto"/>
          <w:sz w:val="22"/>
          <w:lang w:val="es-ES_tradnl"/>
        </w:rPr>
      </w:pPr>
      <w:r>
        <w:rPr>
          <w:rFonts w:asciiTheme="minorHAnsi" w:hAnsiTheme="minorHAnsi"/>
          <w:b/>
          <w:color w:val="auto"/>
          <w:sz w:val="22"/>
          <w:lang w:val="es-ES_tradnl"/>
        </w:rPr>
        <w:t xml:space="preserve">Variables a medir: </w:t>
      </w:r>
    </w:p>
    <w:p w:rsidR="00A3696B" w:rsidRDefault="00A3696B" w:rsidP="00A3696B">
      <w:pPr>
        <w:spacing w:line="360" w:lineRule="auto"/>
        <w:jc w:val="both"/>
        <w:rPr>
          <w:rFonts w:asciiTheme="minorHAnsi" w:hAnsiTheme="minorHAnsi"/>
          <w:color w:val="auto"/>
          <w:sz w:val="22"/>
          <w:lang w:val="es-ES_tradnl"/>
        </w:rPr>
      </w:pPr>
      <w:r w:rsidRPr="002652A9">
        <w:rPr>
          <w:rFonts w:asciiTheme="minorHAnsi" w:hAnsiTheme="minorHAnsi"/>
          <w:color w:val="auto"/>
          <w:sz w:val="22"/>
          <w:lang w:val="es-ES_tradnl"/>
        </w:rPr>
        <w:t xml:space="preserve"> </w:t>
      </w:r>
      <w:r>
        <w:rPr>
          <w:rFonts w:asciiTheme="minorHAnsi" w:hAnsiTheme="minorHAnsi"/>
          <w:color w:val="auto"/>
          <w:sz w:val="22"/>
          <w:lang w:val="es-ES_tradnl"/>
        </w:rPr>
        <w:t>Los medicamentos, insumos y equipo funcional que serán medidos en este indicador de abastecimiento:</w:t>
      </w:r>
    </w:p>
    <w:tbl>
      <w:tblPr>
        <w:tblStyle w:val="TableGrid"/>
        <w:tblW w:w="4878" w:type="dxa"/>
        <w:tblInd w:w="1609" w:type="dxa"/>
        <w:tblLook w:val="04A0" w:firstRow="1" w:lastRow="0" w:firstColumn="1" w:lastColumn="0" w:noHBand="0" w:noVBand="1"/>
      </w:tblPr>
      <w:tblGrid>
        <w:gridCol w:w="767"/>
        <w:gridCol w:w="4111"/>
      </w:tblGrid>
      <w:tr w:rsidR="00A3696B" w:rsidTr="000E6F81">
        <w:tc>
          <w:tcPr>
            <w:tcW w:w="767" w:type="dxa"/>
            <w:shd w:val="clear" w:color="auto" w:fill="17365D" w:themeFill="text2" w:themeFillShade="BF"/>
          </w:tcPr>
          <w:p w:rsidR="00A3696B" w:rsidRPr="000E6F81" w:rsidRDefault="00A3696B" w:rsidP="00D177DA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lang w:val="es-PA"/>
              </w:rPr>
            </w:pPr>
            <w:r w:rsidRPr="000E6F81">
              <w:rPr>
                <w:rFonts w:asciiTheme="minorHAnsi" w:hAnsiTheme="minorHAnsi"/>
                <w:b/>
                <w:color w:val="FFFFFF" w:themeColor="background1"/>
                <w:sz w:val="22"/>
                <w:lang w:val="es-PA"/>
              </w:rPr>
              <w:t>No.</w:t>
            </w:r>
          </w:p>
        </w:tc>
        <w:tc>
          <w:tcPr>
            <w:tcW w:w="4111" w:type="dxa"/>
            <w:shd w:val="clear" w:color="auto" w:fill="17365D" w:themeFill="text2" w:themeFillShade="BF"/>
          </w:tcPr>
          <w:p w:rsidR="00A3696B" w:rsidRPr="000E6F81" w:rsidRDefault="00A3696B" w:rsidP="00D177DA">
            <w:pPr>
              <w:spacing w:line="360" w:lineRule="auto"/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lang w:val="es-PA"/>
              </w:rPr>
            </w:pPr>
            <w:r w:rsidRPr="000E6F81">
              <w:rPr>
                <w:rFonts w:asciiTheme="minorHAnsi" w:hAnsiTheme="minorHAnsi"/>
                <w:b/>
                <w:color w:val="FFFFFF" w:themeColor="background1"/>
                <w:sz w:val="22"/>
                <w:lang w:val="es-PA"/>
              </w:rPr>
              <w:t>Medicamentos e insumos</w:t>
            </w:r>
          </w:p>
        </w:tc>
      </w:tr>
      <w:tr w:rsidR="00E33EFB" w:rsidRPr="00887A30" w:rsidTr="000E6F81">
        <w:tc>
          <w:tcPr>
            <w:tcW w:w="4878" w:type="dxa"/>
            <w:gridSpan w:val="2"/>
            <w:shd w:val="clear" w:color="auto" w:fill="548DD4" w:themeFill="text2" w:themeFillTint="99"/>
          </w:tcPr>
          <w:p w:rsidR="00E33EFB" w:rsidRPr="004E66A9" w:rsidRDefault="00E33EFB" w:rsidP="008512F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b/>
                <w:sz w:val="22"/>
                <w:lang w:val="es-PA"/>
              </w:rPr>
              <w:t>Tratamiento de la diarrea</w:t>
            </w:r>
            <w:r w:rsidR="008512F6" w:rsidRPr="004E66A9">
              <w:rPr>
                <w:rFonts w:asciiTheme="minorHAnsi" w:hAnsiTheme="minorHAnsi"/>
                <w:b/>
                <w:sz w:val="22"/>
                <w:lang w:val="es-PA"/>
              </w:rPr>
              <w:t xml:space="preserve"> y parasitismo intestinal</w:t>
            </w:r>
          </w:p>
        </w:tc>
      </w:tr>
      <w:tr w:rsidR="00A3696B" w:rsidTr="00DA1222">
        <w:trPr>
          <w:trHeight w:val="126"/>
        </w:trPr>
        <w:tc>
          <w:tcPr>
            <w:tcW w:w="767" w:type="dxa"/>
          </w:tcPr>
          <w:p w:rsidR="00A3696B" w:rsidRPr="00311AA9" w:rsidRDefault="00A3696B" w:rsidP="00A3696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A3696B" w:rsidRPr="00311AA9" w:rsidRDefault="00A3696B" w:rsidP="00D177DA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>Sales de Rehidratación Oral</w:t>
            </w:r>
          </w:p>
        </w:tc>
      </w:tr>
      <w:tr w:rsidR="00A3696B" w:rsidRPr="00887A30" w:rsidTr="00DA1222">
        <w:trPr>
          <w:trHeight w:val="216"/>
        </w:trPr>
        <w:tc>
          <w:tcPr>
            <w:tcW w:w="767" w:type="dxa"/>
          </w:tcPr>
          <w:p w:rsidR="00A3696B" w:rsidRPr="00311AA9" w:rsidRDefault="00A3696B" w:rsidP="00A3696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A3696B" w:rsidRPr="00A572E6" w:rsidRDefault="00E33EFB" w:rsidP="00D177DA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pt-BR"/>
              </w:rPr>
            </w:pPr>
            <w:r w:rsidRPr="00A572E6">
              <w:rPr>
                <w:rFonts w:asciiTheme="minorHAnsi" w:hAnsiTheme="minorHAnsi"/>
                <w:sz w:val="18"/>
                <w:lang w:val="pt-BR"/>
              </w:rPr>
              <w:t>Sulfato de zinc / Gluconato de zinc</w:t>
            </w:r>
          </w:p>
        </w:tc>
      </w:tr>
      <w:tr w:rsidR="00A3696B" w:rsidTr="00DA1222">
        <w:trPr>
          <w:trHeight w:val="164"/>
        </w:trPr>
        <w:tc>
          <w:tcPr>
            <w:tcW w:w="767" w:type="dxa"/>
          </w:tcPr>
          <w:p w:rsidR="00A3696B" w:rsidRPr="00A572E6" w:rsidRDefault="00A3696B" w:rsidP="00A3696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pt-BR"/>
              </w:rPr>
            </w:pPr>
          </w:p>
        </w:tc>
        <w:tc>
          <w:tcPr>
            <w:tcW w:w="4111" w:type="dxa"/>
          </w:tcPr>
          <w:p w:rsidR="00A3696B" w:rsidRPr="00311AA9" w:rsidRDefault="00E33EFB" w:rsidP="00D177DA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>Albendazol / Mebendazol</w:t>
            </w:r>
          </w:p>
        </w:tc>
      </w:tr>
      <w:tr w:rsidR="00A3696B" w:rsidTr="00DA1222">
        <w:trPr>
          <w:trHeight w:val="99"/>
        </w:trPr>
        <w:tc>
          <w:tcPr>
            <w:tcW w:w="767" w:type="dxa"/>
          </w:tcPr>
          <w:p w:rsidR="00A3696B" w:rsidRPr="00311AA9" w:rsidRDefault="00A3696B" w:rsidP="00A3696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A3696B" w:rsidRPr="00311AA9" w:rsidRDefault="00E33EFB" w:rsidP="00D177DA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 xml:space="preserve">Metronidazol </w:t>
            </w:r>
          </w:p>
        </w:tc>
      </w:tr>
      <w:tr w:rsidR="00A3696B" w:rsidTr="00DA1222">
        <w:trPr>
          <w:trHeight w:val="53"/>
        </w:trPr>
        <w:tc>
          <w:tcPr>
            <w:tcW w:w="767" w:type="dxa"/>
          </w:tcPr>
          <w:p w:rsidR="00A3696B" w:rsidRPr="00311AA9" w:rsidRDefault="00A3696B" w:rsidP="00E33EF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A3696B" w:rsidRPr="00311AA9" w:rsidRDefault="00E33EFB" w:rsidP="00D177DA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>Solución salina normal</w:t>
            </w:r>
          </w:p>
        </w:tc>
      </w:tr>
      <w:tr w:rsidR="00A47BD2" w:rsidTr="000E6F81">
        <w:tc>
          <w:tcPr>
            <w:tcW w:w="4878" w:type="dxa"/>
            <w:gridSpan w:val="2"/>
            <w:shd w:val="clear" w:color="auto" w:fill="548DD4" w:themeFill="text2" w:themeFillTint="99"/>
          </w:tcPr>
          <w:p w:rsidR="00A47BD2" w:rsidRPr="004E66A9" w:rsidRDefault="00A47BD2" w:rsidP="00A47BD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lang w:val="es-PA"/>
              </w:rPr>
            </w:pPr>
            <w:r w:rsidRPr="000E6F81">
              <w:rPr>
                <w:rFonts w:asciiTheme="minorHAnsi" w:hAnsiTheme="minorHAnsi"/>
                <w:b/>
                <w:sz w:val="22"/>
                <w:shd w:val="clear" w:color="auto" w:fill="548DD4" w:themeFill="text2" w:themeFillTint="99"/>
                <w:lang w:val="es-PA"/>
              </w:rPr>
              <w:t>Tr</w:t>
            </w:r>
            <w:r w:rsidRPr="004E66A9">
              <w:rPr>
                <w:rFonts w:asciiTheme="minorHAnsi" w:hAnsiTheme="minorHAnsi"/>
                <w:b/>
                <w:sz w:val="22"/>
                <w:lang w:val="es-PA"/>
              </w:rPr>
              <w:t>atamiento de la Neumonía</w:t>
            </w:r>
          </w:p>
        </w:tc>
      </w:tr>
      <w:tr w:rsidR="00A3696B" w:rsidTr="00A47BD2">
        <w:tc>
          <w:tcPr>
            <w:tcW w:w="767" w:type="dxa"/>
          </w:tcPr>
          <w:p w:rsidR="00A3696B" w:rsidRPr="00311AA9" w:rsidRDefault="00A3696B" w:rsidP="00E33EF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A3696B" w:rsidRPr="00311AA9" w:rsidRDefault="00A47BD2" w:rsidP="00D177DA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>Amoxicilina / Eritromicina / penicilina benzatínica</w:t>
            </w:r>
          </w:p>
        </w:tc>
      </w:tr>
      <w:tr w:rsidR="00DA1222" w:rsidRPr="00A65AED" w:rsidTr="000E6F81">
        <w:tc>
          <w:tcPr>
            <w:tcW w:w="4878" w:type="dxa"/>
            <w:gridSpan w:val="2"/>
            <w:shd w:val="clear" w:color="auto" w:fill="548DD4" w:themeFill="text2" w:themeFillTint="99"/>
          </w:tcPr>
          <w:p w:rsidR="00DA1222" w:rsidRPr="004E66A9" w:rsidRDefault="00D23A5F" w:rsidP="00DA122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lang w:val="es-PA"/>
              </w:rPr>
            </w:pPr>
            <w:r w:rsidRPr="004E66A9">
              <w:rPr>
                <w:rFonts w:asciiTheme="minorHAnsi" w:hAnsiTheme="minorHAnsi"/>
                <w:b/>
                <w:sz w:val="22"/>
                <w:lang w:val="es-PA"/>
              </w:rPr>
              <w:t>T</w:t>
            </w:r>
            <w:r w:rsidR="00DA1222" w:rsidRPr="004E66A9">
              <w:rPr>
                <w:rFonts w:asciiTheme="minorHAnsi" w:hAnsiTheme="minorHAnsi"/>
                <w:b/>
                <w:sz w:val="22"/>
                <w:lang w:val="es-PA"/>
              </w:rPr>
              <w:t>ratamiento de la anemia</w:t>
            </w:r>
          </w:p>
        </w:tc>
      </w:tr>
      <w:tr w:rsidR="007D52F7" w:rsidTr="00A47BD2">
        <w:tc>
          <w:tcPr>
            <w:tcW w:w="767" w:type="dxa"/>
          </w:tcPr>
          <w:p w:rsidR="007D52F7" w:rsidRPr="00311AA9" w:rsidRDefault="007D52F7" w:rsidP="00E33EF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7D52F7" w:rsidRPr="00311AA9" w:rsidRDefault="00DA1222" w:rsidP="00DC2214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>Sulfato ferroso en gotas</w:t>
            </w:r>
          </w:p>
        </w:tc>
      </w:tr>
      <w:tr w:rsidR="00BF6F90" w:rsidTr="00A47BD2">
        <w:tc>
          <w:tcPr>
            <w:tcW w:w="767" w:type="dxa"/>
          </w:tcPr>
          <w:p w:rsidR="00BF6F90" w:rsidRPr="00311AA9" w:rsidRDefault="00BF6F90" w:rsidP="00E33EFB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</w:p>
        </w:tc>
        <w:tc>
          <w:tcPr>
            <w:tcW w:w="4111" w:type="dxa"/>
          </w:tcPr>
          <w:p w:rsidR="00BF6F90" w:rsidRPr="00311AA9" w:rsidRDefault="00D23A5F" w:rsidP="00DC2214">
            <w:pPr>
              <w:spacing w:line="360" w:lineRule="auto"/>
              <w:jc w:val="both"/>
              <w:rPr>
                <w:rFonts w:asciiTheme="minorHAnsi" w:hAnsiTheme="minorHAnsi"/>
                <w:sz w:val="18"/>
                <w:lang w:val="es-PA"/>
              </w:rPr>
            </w:pPr>
            <w:r w:rsidRPr="00311AA9">
              <w:rPr>
                <w:rFonts w:asciiTheme="minorHAnsi" w:hAnsiTheme="minorHAnsi"/>
                <w:sz w:val="18"/>
                <w:lang w:val="es-PA"/>
              </w:rPr>
              <w:t>Ácido</w:t>
            </w:r>
            <w:r w:rsidR="00BF6F90" w:rsidRPr="00311AA9">
              <w:rPr>
                <w:rFonts w:asciiTheme="minorHAnsi" w:hAnsiTheme="minorHAnsi"/>
                <w:sz w:val="18"/>
                <w:lang w:val="es-PA"/>
              </w:rPr>
              <w:t xml:space="preserve"> </w:t>
            </w:r>
            <w:r w:rsidRPr="00311AA9">
              <w:rPr>
                <w:rFonts w:asciiTheme="minorHAnsi" w:hAnsiTheme="minorHAnsi"/>
                <w:sz w:val="18"/>
                <w:lang w:val="es-PA"/>
              </w:rPr>
              <w:t>Fólico</w:t>
            </w:r>
            <w:r w:rsidR="00BF6F90" w:rsidRPr="00311AA9">
              <w:rPr>
                <w:rFonts w:asciiTheme="minorHAnsi" w:hAnsiTheme="minorHAnsi"/>
                <w:sz w:val="18"/>
                <w:lang w:val="es-PA"/>
              </w:rPr>
              <w:t xml:space="preserve"> </w:t>
            </w:r>
          </w:p>
        </w:tc>
      </w:tr>
    </w:tbl>
    <w:p w:rsidR="00A3696B" w:rsidRDefault="00A3696B" w:rsidP="00D177DA">
      <w:pPr>
        <w:spacing w:line="360" w:lineRule="auto"/>
        <w:jc w:val="both"/>
        <w:rPr>
          <w:rFonts w:asciiTheme="minorHAnsi" w:hAnsiTheme="minorHAnsi"/>
          <w:sz w:val="22"/>
          <w:lang w:val="es-PA"/>
        </w:rPr>
      </w:pPr>
    </w:p>
    <w:p w:rsidR="00D23A5F" w:rsidRPr="00C23F1C" w:rsidRDefault="00BF6F90" w:rsidP="00C23F1C">
      <w:pPr>
        <w:pStyle w:val="HeaderFooterA"/>
        <w:shd w:val="clear" w:color="auto" w:fill="17365D" w:themeFill="text2" w:themeFillShade="BF"/>
        <w:spacing w:after="80"/>
        <w:ind w:right="-1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</w:pPr>
      <w:r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>Indicador</w:t>
      </w:r>
      <w:r w:rsidR="00D23A5F"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 xml:space="preserve"> No 6</w:t>
      </w:r>
    </w:p>
    <w:p w:rsidR="00BF6F90" w:rsidRPr="00C23F1C" w:rsidRDefault="00D23A5F" w:rsidP="00C23F1C">
      <w:pPr>
        <w:pStyle w:val="HeaderFooterA"/>
        <w:shd w:val="clear" w:color="auto" w:fill="17365D" w:themeFill="text2" w:themeFillShade="BF"/>
        <w:spacing w:after="80"/>
        <w:ind w:right="-14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</w:pPr>
      <w:r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 xml:space="preserve">Establecimientos de salud de primer nivel (Tipos 1 y 2 ) </w:t>
      </w:r>
      <w:r w:rsidR="00BF6F90"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 xml:space="preserve">con disponibilidad permanente de </w:t>
      </w:r>
      <w:r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>Micronutrientes en Polvo (</w:t>
      </w:r>
      <w:r w:rsidR="00BF6F90"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>MNP</w:t>
      </w:r>
      <w:r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 xml:space="preserve">) </w:t>
      </w:r>
      <w:r w:rsidR="00BF6F90"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 xml:space="preserve"> para la suplementación </w:t>
      </w:r>
      <w:r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 xml:space="preserve">de alimentos en el </w:t>
      </w:r>
      <w:r w:rsidR="00BF6F90" w:rsidRPr="00C23F1C">
        <w:rPr>
          <w:rFonts w:asciiTheme="minorHAnsi" w:hAnsiTheme="minorHAnsi"/>
          <w:b/>
          <w:color w:val="FFFFFF" w:themeColor="background1"/>
          <w:sz w:val="22"/>
          <w:szCs w:val="22"/>
          <w:lang w:val="es-PA"/>
        </w:rPr>
        <w:t>hogar</w:t>
      </w:r>
    </w:p>
    <w:p w:rsidR="008B51C2" w:rsidRDefault="008B51C2" w:rsidP="00BF6F90">
      <w:pPr>
        <w:pStyle w:val="HeaderFooterA"/>
        <w:spacing w:after="80"/>
        <w:ind w:right="-14"/>
        <w:jc w:val="both"/>
        <w:rPr>
          <w:rFonts w:asciiTheme="minorHAnsi" w:hAnsiTheme="minorHAnsi"/>
          <w:b/>
          <w:sz w:val="22"/>
          <w:szCs w:val="22"/>
          <w:u w:val="single"/>
          <w:lang w:val="es-PA"/>
        </w:rPr>
      </w:pPr>
    </w:p>
    <w:p w:rsidR="008B51C2" w:rsidRDefault="00BF6F90" w:rsidP="00BF6F90">
      <w:pPr>
        <w:pStyle w:val="HeaderFooterA"/>
        <w:spacing w:after="80"/>
        <w:ind w:right="-14"/>
        <w:jc w:val="both"/>
        <w:rPr>
          <w:rFonts w:asciiTheme="minorHAnsi" w:hAnsiTheme="minorHAnsi"/>
          <w:b/>
          <w:sz w:val="22"/>
          <w:szCs w:val="22"/>
          <w:lang w:val="es-PA"/>
        </w:rPr>
      </w:pPr>
      <w:r w:rsidRPr="008B51C2">
        <w:rPr>
          <w:rFonts w:asciiTheme="minorHAnsi" w:hAnsiTheme="minorHAnsi"/>
          <w:b/>
          <w:sz w:val="22"/>
          <w:szCs w:val="22"/>
          <w:u w:val="single"/>
          <w:lang w:val="es-PA"/>
        </w:rPr>
        <w:t>Descripción</w:t>
      </w:r>
      <w:r w:rsidRPr="008B51C2">
        <w:rPr>
          <w:rFonts w:asciiTheme="minorHAnsi" w:hAnsiTheme="minorHAnsi"/>
          <w:b/>
          <w:sz w:val="22"/>
          <w:szCs w:val="22"/>
          <w:lang w:val="es-PA"/>
        </w:rPr>
        <w:t>:</w:t>
      </w:r>
    </w:p>
    <w:p w:rsidR="00BF6F90" w:rsidRPr="008B51C2" w:rsidRDefault="00BF6F90" w:rsidP="008B51C2">
      <w:pPr>
        <w:pStyle w:val="HeaderFooterA"/>
        <w:spacing w:after="80" w:line="360" w:lineRule="auto"/>
        <w:ind w:right="-11"/>
        <w:jc w:val="both"/>
        <w:rPr>
          <w:rFonts w:asciiTheme="minorHAnsi" w:eastAsia="Times New Roman" w:hAnsiTheme="minorHAnsi"/>
          <w:kern w:val="0"/>
          <w:sz w:val="22"/>
          <w:szCs w:val="24"/>
          <w:lang w:val="es-ES_tradnl"/>
        </w:rPr>
      </w:pPr>
      <w:r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 xml:space="preserve"> En el módulo de observación  de la encuesta de los  establecimientos de salud, el  en</w:t>
      </w:r>
      <w:r w:rsidR="00D23A5F"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>cuesta</w:t>
      </w:r>
      <w:r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>dor comprobará la disponibilidad y existencias de micronutrientes en polvo en los últimos 3 meses. El día de</w:t>
      </w:r>
      <w:r w:rsidR="00D23A5F"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 xml:space="preserve"> levantamiento de la informacion, el encuestador verificara </w:t>
      </w:r>
      <w:r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 xml:space="preserve">la disponibilidad </w:t>
      </w:r>
      <w:r w:rsidR="00D23A5F"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>en los distintos puntos de almacenamiento de MNP</w:t>
      </w:r>
      <w:r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t xml:space="preserve">. El abasto de insumos se verificará contra el registro del </w:t>
      </w:r>
      <w:r w:rsidRPr="008B51C2">
        <w:rPr>
          <w:rFonts w:asciiTheme="minorHAnsi" w:eastAsia="Times New Roman" w:hAnsiTheme="minorHAnsi"/>
          <w:kern w:val="0"/>
          <w:sz w:val="22"/>
          <w:szCs w:val="24"/>
          <w:lang w:val="es-ES_tradnl"/>
        </w:rPr>
        <w:lastRenderedPageBreak/>
        <w:t>inventario (en Kardex o registro diario de inventario, o consolidado mensual). La unidad de salud no debe presentar un desabastecimiento “stock out” (abasto=0)  en los últimos 3 meses (último mes, últimos dos meses y últimos tres meses).</w:t>
      </w:r>
    </w:p>
    <w:p w:rsidR="00BF6F90" w:rsidRPr="002345EE" w:rsidRDefault="00BF6F90" w:rsidP="00BF6F90">
      <w:pPr>
        <w:pStyle w:val="HeaderFooterA"/>
        <w:spacing w:after="80"/>
        <w:ind w:right="-14"/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:rsidR="00BF6F90" w:rsidRPr="00D23A5F" w:rsidRDefault="00BF6F90" w:rsidP="00BF6F90">
      <w:pPr>
        <w:pStyle w:val="HeaderFooterA"/>
        <w:spacing w:after="80"/>
        <w:ind w:right="-14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es-PA"/>
        </w:rPr>
      </w:pPr>
      <w:r w:rsidRPr="00D23A5F">
        <w:rPr>
          <w:rFonts w:asciiTheme="minorHAnsi" w:hAnsiTheme="minorHAnsi"/>
          <w:b/>
          <w:color w:val="auto"/>
          <w:sz w:val="22"/>
          <w:szCs w:val="22"/>
          <w:u w:val="single"/>
          <w:lang w:val="es-PA"/>
        </w:rPr>
        <w:t>Fórmula</w:t>
      </w:r>
      <w:r w:rsidRPr="00D23A5F">
        <w:rPr>
          <w:rFonts w:asciiTheme="minorHAnsi" w:hAnsiTheme="minorHAnsi"/>
          <w:b/>
          <w:color w:val="auto"/>
          <w:sz w:val="22"/>
          <w:szCs w:val="22"/>
          <w:lang w:val="es-PA"/>
        </w:rPr>
        <w:t>:</w:t>
      </w:r>
    </w:p>
    <w:p w:rsidR="00BF6F90" w:rsidRPr="002345EE" w:rsidRDefault="00BF6F90" w:rsidP="00BF6F90">
      <w:pPr>
        <w:rPr>
          <w:rFonts w:asciiTheme="minorHAnsi" w:hAnsiTheme="minorHAnsi" w:cs="Helvetica"/>
          <w:color w:val="auto"/>
          <w:sz w:val="22"/>
          <w:szCs w:val="22"/>
          <w:lang w:val="es-PA"/>
        </w:rPr>
      </w:pPr>
      <w:r w:rsidRPr="00D23A5F">
        <w:rPr>
          <w:rFonts w:asciiTheme="minorHAnsi" w:hAnsiTheme="minorHAnsi" w:cs="Helvetica"/>
          <w:b/>
          <w:color w:val="auto"/>
          <w:sz w:val="22"/>
          <w:szCs w:val="22"/>
          <w:lang w:val="es-PA"/>
        </w:rPr>
        <w:t>Denominador:</w:t>
      </w:r>
      <w:r w:rsidRPr="002345EE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 Número total de </w:t>
      </w:r>
      <w:r w:rsidR="00D23A5F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establecimientos  de salud </w:t>
      </w:r>
      <w:r w:rsidRPr="002345EE">
        <w:rPr>
          <w:rFonts w:asciiTheme="minorHAnsi" w:hAnsiTheme="minorHAnsi" w:cs="Helvetica"/>
          <w:color w:val="auto"/>
          <w:sz w:val="22"/>
          <w:szCs w:val="22"/>
          <w:lang w:val="es-PA"/>
        </w:rPr>
        <w:t>en nuestra muestra</w:t>
      </w:r>
    </w:p>
    <w:p w:rsidR="00BF6F90" w:rsidRPr="002345EE" w:rsidRDefault="00BF6F90" w:rsidP="00BF6F90">
      <w:pPr>
        <w:pStyle w:val="HeaderFooterA"/>
        <w:spacing w:after="80"/>
        <w:ind w:right="-14"/>
        <w:jc w:val="both"/>
        <w:rPr>
          <w:rFonts w:asciiTheme="minorHAnsi" w:hAnsiTheme="minorHAnsi" w:cs="Helvetica"/>
          <w:color w:val="auto"/>
          <w:sz w:val="22"/>
          <w:szCs w:val="22"/>
          <w:lang w:val="es-PA"/>
        </w:rPr>
      </w:pPr>
      <w:r w:rsidRPr="00D23A5F">
        <w:rPr>
          <w:rFonts w:asciiTheme="minorHAnsi" w:hAnsiTheme="minorHAnsi" w:cs="Helvetica"/>
          <w:b/>
          <w:color w:val="auto"/>
          <w:sz w:val="22"/>
          <w:szCs w:val="22"/>
          <w:lang w:val="es-PA"/>
        </w:rPr>
        <w:t>Numerador:</w:t>
      </w:r>
      <w:r w:rsidRPr="002345EE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 </w:t>
      </w:r>
      <w:r w:rsidR="00D23A5F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Establecimientos </w:t>
      </w:r>
      <w:r w:rsidRPr="002345EE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 de salud con disponibilidad </w:t>
      </w:r>
      <w:r w:rsidR="00D23A5F">
        <w:rPr>
          <w:rFonts w:asciiTheme="minorHAnsi" w:hAnsiTheme="minorHAnsi" w:cs="Helvetica"/>
          <w:color w:val="auto"/>
          <w:sz w:val="22"/>
          <w:szCs w:val="22"/>
          <w:lang w:val="es-PA"/>
        </w:rPr>
        <w:t>permanente</w:t>
      </w:r>
      <w:r w:rsidRPr="002345EE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 de micronutrientes en polvo para la fortificación de alimentos en casa. </w:t>
      </w:r>
    </w:p>
    <w:p w:rsidR="00BF6F90" w:rsidRPr="002345EE" w:rsidRDefault="00BF6F90" w:rsidP="00BF6F90">
      <w:pPr>
        <w:pStyle w:val="HeaderFooterA"/>
        <w:spacing w:after="80"/>
        <w:ind w:left="1080" w:right="-14" w:hanging="1080"/>
        <w:jc w:val="both"/>
        <w:rPr>
          <w:rFonts w:asciiTheme="minorHAnsi" w:hAnsiTheme="minorHAnsi"/>
          <w:color w:val="auto"/>
          <w:sz w:val="22"/>
          <w:szCs w:val="22"/>
          <w:lang w:val="es-PA"/>
        </w:rPr>
      </w:pPr>
    </w:p>
    <w:p w:rsidR="00BF6F90" w:rsidRPr="002345EE" w:rsidRDefault="00BF6F90" w:rsidP="00BF6F90">
      <w:pPr>
        <w:pStyle w:val="HeaderFooterA"/>
        <w:numPr>
          <w:ilvl w:val="0"/>
          <w:numId w:val="4"/>
        </w:numPr>
        <w:tabs>
          <w:tab w:val="left" w:pos="1710"/>
        </w:tabs>
        <w:spacing w:after="80"/>
        <w:ind w:left="1440" w:right="-14" w:firstLine="0"/>
        <w:jc w:val="both"/>
        <w:rPr>
          <w:rFonts w:asciiTheme="minorHAnsi" w:hAnsiTheme="minorHAnsi"/>
          <w:color w:val="auto"/>
          <w:sz w:val="22"/>
          <w:szCs w:val="22"/>
          <w:lang w:val="es-PA"/>
        </w:rPr>
      </w:pPr>
      <w:r w:rsidRPr="002345EE">
        <w:rPr>
          <w:rFonts w:asciiTheme="minorHAnsi" w:hAnsiTheme="minorHAnsi"/>
          <w:color w:val="auto"/>
          <w:sz w:val="22"/>
          <w:szCs w:val="22"/>
          <w:lang w:val="es-PA"/>
        </w:rPr>
        <w:t>Generamos una variable para representar  la disponibilidad micronutrientes en polvo.</w:t>
      </w:r>
    </w:p>
    <w:p w:rsidR="00BF6F90" w:rsidRPr="002345EE" w:rsidRDefault="00BF6F90" w:rsidP="00BF6F90">
      <w:pPr>
        <w:pStyle w:val="HeaderFooterA"/>
        <w:numPr>
          <w:ilvl w:val="0"/>
          <w:numId w:val="4"/>
        </w:numPr>
        <w:tabs>
          <w:tab w:val="left" w:pos="1710"/>
        </w:tabs>
        <w:spacing w:after="80"/>
        <w:ind w:left="1440" w:right="-14" w:firstLine="0"/>
        <w:jc w:val="both"/>
        <w:rPr>
          <w:rFonts w:asciiTheme="minorHAnsi" w:eastAsia="Times New Roman" w:hAnsiTheme="minorHAnsi" w:cs="Helvetica"/>
          <w:sz w:val="22"/>
          <w:szCs w:val="22"/>
          <w:lang w:val="es-PA"/>
        </w:rPr>
      </w:pPr>
      <w:r w:rsidRPr="002345EE">
        <w:rPr>
          <w:rFonts w:asciiTheme="minorHAnsi" w:hAnsiTheme="minorHAnsi"/>
          <w:color w:val="auto"/>
          <w:sz w:val="22"/>
          <w:szCs w:val="22"/>
          <w:lang w:val="es-PA"/>
        </w:rPr>
        <w:t>Esta variable tiene un valor de 1 cuando no existen faltantes de suplementos de micronutrientes en polvo de en los últimos 3 meses  (1 mes+ 2 meses+ 3 meses)</w:t>
      </w:r>
    </w:p>
    <w:p w:rsidR="00C1019E" w:rsidRDefault="00C1019E" w:rsidP="00BF6F90">
      <w:pPr>
        <w:pStyle w:val="HeaderFooterA"/>
        <w:spacing w:after="80"/>
        <w:ind w:left="1440" w:right="-14"/>
        <w:jc w:val="both"/>
        <w:rPr>
          <w:rFonts w:asciiTheme="minorHAnsi" w:hAnsiTheme="minorHAnsi"/>
          <w:b/>
          <w:color w:val="auto"/>
          <w:sz w:val="22"/>
          <w:szCs w:val="22"/>
          <w:lang w:val="es-PA"/>
        </w:rPr>
      </w:pPr>
    </w:p>
    <w:p w:rsidR="00BF6F90" w:rsidRDefault="00BF6F90" w:rsidP="00C1019E">
      <w:pPr>
        <w:pStyle w:val="HeaderFooterA"/>
        <w:spacing w:after="80"/>
        <w:ind w:left="1440" w:right="-14"/>
        <w:jc w:val="both"/>
        <w:rPr>
          <w:rFonts w:asciiTheme="minorHAnsi" w:hAnsiTheme="minorHAnsi"/>
          <w:color w:val="auto"/>
          <w:sz w:val="22"/>
          <w:szCs w:val="22"/>
          <w:lang w:val="es-PA"/>
        </w:rPr>
      </w:pPr>
      <w:r w:rsidRPr="00C1019E">
        <w:rPr>
          <w:rFonts w:asciiTheme="minorHAnsi" w:hAnsiTheme="minorHAnsi"/>
          <w:b/>
          <w:color w:val="auto"/>
          <w:sz w:val="22"/>
          <w:szCs w:val="22"/>
          <w:lang w:val="es-PA"/>
        </w:rPr>
        <w:t>Cálculo del indicador</w:t>
      </w:r>
      <w:r w:rsidR="00C1019E" w:rsidRPr="00C1019E">
        <w:rPr>
          <w:rFonts w:asciiTheme="minorHAnsi" w:hAnsiTheme="minorHAnsi"/>
          <w:b/>
          <w:color w:val="auto"/>
          <w:sz w:val="22"/>
          <w:szCs w:val="22"/>
          <w:lang w:val="es-PA"/>
        </w:rPr>
        <w:t>:</w:t>
      </w:r>
      <w:r w:rsidR="00C1019E" w:rsidRPr="002345EE">
        <w:rPr>
          <w:rFonts w:asciiTheme="minorHAnsi" w:hAnsiTheme="minorHAnsi"/>
          <w:color w:val="auto"/>
          <w:sz w:val="22"/>
          <w:szCs w:val="22"/>
          <w:lang w:val="es-PA"/>
        </w:rPr>
        <w:t xml:space="preserve"> </w:t>
      </w:r>
      <w:r w:rsidR="00C1019E">
        <w:rPr>
          <w:rFonts w:asciiTheme="minorHAnsi" w:hAnsiTheme="minorHAnsi"/>
          <w:color w:val="auto"/>
          <w:sz w:val="22"/>
          <w:szCs w:val="22"/>
          <w:lang w:val="es-PA"/>
        </w:rPr>
        <w:t>Número de establecimientos de salud abastecidos/ Número</w:t>
      </w:r>
      <w:r w:rsidRPr="002345EE">
        <w:rPr>
          <w:rFonts w:asciiTheme="minorHAnsi" w:hAnsiTheme="minorHAnsi"/>
          <w:color w:val="auto"/>
          <w:sz w:val="22"/>
          <w:szCs w:val="22"/>
          <w:lang w:val="es-PA"/>
        </w:rPr>
        <w:t xml:space="preserve"> total de </w:t>
      </w:r>
      <w:r w:rsidR="00C1019E">
        <w:rPr>
          <w:rFonts w:asciiTheme="minorHAnsi" w:hAnsiTheme="minorHAnsi"/>
          <w:color w:val="auto"/>
          <w:sz w:val="22"/>
          <w:szCs w:val="22"/>
          <w:lang w:val="es-PA"/>
        </w:rPr>
        <w:t>establecimientos</w:t>
      </w:r>
      <w:r w:rsidRPr="002345EE">
        <w:rPr>
          <w:rFonts w:asciiTheme="minorHAnsi" w:hAnsiTheme="minorHAnsi"/>
          <w:color w:val="auto"/>
          <w:sz w:val="22"/>
          <w:szCs w:val="22"/>
          <w:lang w:val="es-PA"/>
        </w:rPr>
        <w:t xml:space="preserve"> de salud en la muestra</w:t>
      </w:r>
      <w:r w:rsidR="00C1019E">
        <w:rPr>
          <w:rFonts w:asciiTheme="minorHAnsi" w:hAnsiTheme="minorHAnsi"/>
          <w:color w:val="auto"/>
          <w:sz w:val="22"/>
          <w:szCs w:val="22"/>
          <w:lang w:val="es-PA"/>
        </w:rPr>
        <w:t xml:space="preserve">*100 </w:t>
      </w:r>
      <w:r w:rsidR="00C23F1C">
        <w:rPr>
          <w:rFonts w:asciiTheme="minorHAnsi" w:hAnsiTheme="minorHAnsi"/>
          <w:color w:val="auto"/>
          <w:sz w:val="22"/>
          <w:szCs w:val="22"/>
          <w:lang w:val="es-PA"/>
        </w:rPr>
        <w:t>(Se</w:t>
      </w:r>
      <w:r w:rsidR="00C1019E">
        <w:rPr>
          <w:rFonts w:asciiTheme="minorHAnsi" w:hAnsiTheme="minorHAnsi"/>
          <w:color w:val="auto"/>
          <w:sz w:val="22"/>
          <w:szCs w:val="22"/>
          <w:lang w:val="es-PA"/>
        </w:rPr>
        <w:t xml:space="preserve"> expresa en </w:t>
      </w:r>
      <w:r w:rsidR="00C23F1C">
        <w:rPr>
          <w:rFonts w:asciiTheme="minorHAnsi" w:hAnsiTheme="minorHAnsi"/>
          <w:color w:val="auto"/>
          <w:sz w:val="22"/>
          <w:szCs w:val="22"/>
          <w:lang w:val="es-PA"/>
        </w:rPr>
        <w:t>%)</w:t>
      </w:r>
      <w:r w:rsidR="00C1019E">
        <w:rPr>
          <w:rFonts w:asciiTheme="minorHAnsi" w:hAnsiTheme="minorHAnsi"/>
          <w:color w:val="auto"/>
          <w:sz w:val="22"/>
          <w:szCs w:val="22"/>
          <w:lang w:val="es-PA"/>
        </w:rPr>
        <w:t xml:space="preserve"> </w:t>
      </w:r>
    </w:p>
    <w:p w:rsidR="00BF6F90" w:rsidRDefault="00BF6F90" w:rsidP="00D177DA">
      <w:pPr>
        <w:spacing w:line="360" w:lineRule="auto"/>
        <w:jc w:val="both"/>
        <w:rPr>
          <w:rFonts w:asciiTheme="minorHAnsi" w:hAnsiTheme="minorHAnsi"/>
          <w:sz w:val="22"/>
          <w:lang w:val="es-PA"/>
        </w:rPr>
      </w:pPr>
    </w:p>
    <w:p w:rsidR="00AB0D5E" w:rsidRDefault="00C1019E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Indicador No. 7</w:t>
      </w:r>
      <w:r w:rsidR="00905D04" w:rsidRPr="00A02A93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 </w:t>
      </w:r>
    </w:p>
    <w:p w:rsidR="00A65AED" w:rsidRPr="00A65AED" w:rsidRDefault="00C23F1C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Establecimientos de </w:t>
      </w:r>
      <w:r w:rsidR="00A65AED" w:rsidRPr="00A65AED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Salud de </w:t>
      </w: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p</w:t>
      </w:r>
      <w:r w:rsidR="00A65AED" w:rsidRPr="00C23F1C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rimer</w:t>
      </w:r>
      <w:r w:rsidR="00A65AED" w:rsidRPr="00A65AED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nivel abastecido</w:t>
      </w:r>
      <w:r w:rsidR="00A65AED" w:rsidRPr="00A65AED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s </w:t>
      </w: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permanentemente </w:t>
      </w:r>
      <w:r w:rsidR="00A65AED" w:rsidRPr="00A65AED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con los métodos de planificación familiar de acuerdo a la norma vigente  de la SESAL</w:t>
      </w:r>
      <w:r>
        <w:rPr>
          <w:rStyle w:val="FootnoteReference"/>
          <w:rFonts w:asciiTheme="minorHAnsi" w:hAnsiTheme="minorHAnsi" w:cs="Helvetica"/>
          <w:b/>
          <w:color w:val="auto"/>
          <w:sz w:val="22"/>
          <w:szCs w:val="22"/>
          <w:lang w:val="es-ES_tradnl"/>
        </w:rPr>
        <w:footnoteReference w:id="2"/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Descripción: </w:t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En el módulo de observación de las encuesta de establecimientos de salud, el en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cuestador 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comprueba la disponibilidad de métodos de planificación familiar y desabastecimiento en los últimos 3 meses. Para cumplir con los criterios del indicador,  los servicios de salud deben tener métodos de PF 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de tipo: 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oral, inyectable, DIU y que no exista desabasto de existencias en l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os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último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s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 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tres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meses. El día de la entrevista la disponibilidad de insumos y equipos funcionales se verifica por observación. El abasto de  insumos se verificará contra el registro del inventario (en Kardex o registro diario de inventario, o consolidado mensual). La unidad de salud no debe presentar un desabastecimiento “stock out” (abasto=0)  en ninguno de los insumos listados en los 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lastRenderedPageBreak/>
        <w:t>últimos 3 meses (último mes, últimos dos meses y últimos tres meses). En caso de no contar con registro, s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e considerará que hubo abasto=0 y el indicador será calificado con cero</w:t>
      </w:r>
    </w:p>
    <w:p w:rsidR="00A65AED" w:rsidRPr="00A65AED" w:rsidRDefault="000D7EA4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De acuerdo con </w:t>
      </w:r>
      <w:r w:rsidR="00A65AED"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l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a normativa nacional, </w:t>
      </w:r>
      <w:r w:rsidR="00A65AED"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los servicios de planificación familiar se ofrecen en </w:t>
      </w:r>
      <w:r w:rsid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los</w:t>
      </w:r>
      <w:r w:rsidR="00A65AED"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establecimientos de salud</w:t>
      </w:r>
      <w:r w:rsid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de primer y segundo nivel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, sin embargo solo serán medidos en el primer nivel de atención</w:t>
      </w:r>
      <w:r w:rsidR="0058070A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en los establecimientos de salud tipo 1 , 2 y 3</w:t>
      </w:r>
      <w:r w:rsidR="00A65AED"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.</w:t>
      </w:r>
    </w:p>
    <w:p w:rsidR="00A65AED" w:rsidRPr="000D7EA4" w:rsidRDefault="00A65AED" w:rsidP="00A65AED">
      <w:p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0D7EA4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Fórmula:</w:t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0D7EA4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Denominador: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Número total de establecimientos de salud </w:t>
      </w:r>
      <w:r w:rsidR="0004616F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de primer nivel 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que almacena los métodos de planificación familiar</w:t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0D7EA4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Numerador: 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Los establecimientos de salud que cuentan con disponibilidad de métodos modernos de planificación familiar</w:t>
      </w:r>
      <w:r w:rsidR="0004616F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de acuerdo con el tipo de establecimiento.</w:t>
      </w:r>
    </w:p>
    <w:p w:rsidR="003C1FE8" w:rsidRDefault="003C1FE8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El umbral de este indicador es de 89%.</w:t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Generamos una variable para representar a la disponibilidad de métodos de planificación familiar.</w:t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Esta variable tiene un valor de 1 cuando se cumplen todos los artículos mencionados a continuación:</w:t>
      </w:r>
    </w:p>
    <w:p w:rsidR="0058070A" w:rsidRPr="0058070A" w:rsidRDefault="0058070A" w:rsidP="0058070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PA"/>
        </w:rPr>
      </w:pPr>
      <w:r w:rsidRPr="0058070A">
        <w:rPr>
          <w:rFonts w:asciiTheme="minorHAnsi" w:hAnsiTheme="minorHAnsi" w:cs="Helvetica"/>
          <w:color w:val="auto"/>
          <w:sz w:val="22"/>
          <w:szCs w:val="22"/>
          <w:lang w:val="es-PA"/>
        </w:rPr>
        <w:t xml:space="preserve">Elementos a </w:t>
      </w:r>
      <w:r w:rsidR="0004616F" w:rsidRPr="0058070A">
        <w:rPr>
          <w:rFonts w:asciiTheme="minorHAnsi" w:hAnsiTheme="minorHAnsi" w:cs="Helvetica"/>
          <w:color w:val="auto"/>
          <w:sz w:val="22"/>
          <w:szCs w:val="22"/>
          <w:lang w:val="es-PA"/>
        </w:rPr>
        <w:t>comprobar</w:t>
      </w:r>
      <w:r w:rsidR="0004616F">
        <w:rPr>
          <w:rFonts w:asciiTheme="minorHAnsi" w:hAnsiTheme="minorHAnsi" w:cs="Helvetica"/>
          <w:color w:val="auto"/>
          <w:sz w:val="22"/>
          <w:szCs w:val="22"/>
          <w:lang w:val="es-PA"/>
        </w:rPr>
        <w:t>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6342"/>
      </w:tblGrid>
      <w:tr w:rsidR="0058070A" w:rsidTr="00C23F1C">
        <w:tc>
          <w:tcPr>
            <w:tcW w:w="709" w:type="dxa"/>
            <w:shd w:val="clear" w:color="auto" w:fill="17365D" w:themeFill="text2" w:themeFillShade="BF"/>
          </w:tcPr>
          <w:p w:rsidR="0058070A" w:rsidRPr="000E6F81" w:rsidRDefault="0058070A" w:rsidP="0058070A">
            <w:pPr>
              <w:spacing w:line="360" w:lineRule="auto"/>
              <w:jc w:val="both"/>
              <w:rPr>
                <w:rFonts w:asciiTheme="minorHAnsi" w:hAnsiTheme="minorHAnsi" w:cs="Helvetica"/>
                <w:b/>
                <w:color w:val="auto"/>
                <w:sz w:val="22"/>
                <w:szCs w:val="22"/>
                <w:lang w:val="es-PA"/>
              </w:rPr>
            </w:pPr>
            <w:r w:rsidRPr="000E6F81">
              <w:rPr>
                <w:rFonts w:asciiTheme="minorHAnsi" w:hAnsiTheme="minorHAnsi" w:cs="Helvetica"/>
                <w:b/>
                <w:color w:val="auto"/>
                <w:sz w:val="22"/>
                <w:szCs w:val="22"/>
                <w:lang w:val="es-PA"/>
              </w:rPr>
              <w:t xml:space="preserve">No. </w:t>
            </w:r>
          </w:p>
        </w:tc>
        <w:tc>
          <w:tcPr>
            <w:tcW w:w="6342" w:type="dxa"/>
            <w:shd w:val="clear" w:color="auto" w:fill="17365D" w:themeFill="text2" w:themeFillShade="BF"/>
          </w:tcPr>
          <w:p w:rsidR="0058070A" w:rsidRPr="000E6F81" w:rsidRDefault="0058070A" w:rsidP="0058070A">
            <w:pPr>
              <w:spacing w:line="360" w:lineRule="auto"/>
              <w:jc w:val="both"/>
              <w:rPr>
                <w:rFonts w:asciiTheme="minorHAnsi" w:hAnsiTheme="minorHAnsi" w:cs="Helvetica"/>
                <w:b/>
                <w:color w:val="auto"/>
                <w:sz w:val="22"/>
                <w:szCs w:val="22"/>
                <w:lang w:val="es-PA"/>
              </w:rPr>
            </w:pPr>
            <w:r w:rsidRPr="000E6F81">
              <w:rPr>
                <w:rFonts w:asciiTheme="minorHAnsi" w:hAnsiTheme="minorHAnsi" w:cs="Helvetica"/>
                <w:b/>
                <w:color w:val="auto"/>
                <w:sz w:val="22"/>
                <w:szCs w:val="22"/>
                <w:lang w:val="es-PA"/>
              </w:rPr>
              <w:t xml:space="preserve">Método de planificación familiar </w:t>
            </w:r>
          </w:p>
        </w:tc>
      </w:tr>
      <w:tr w:rsidR="0058070A" w:rsidTr="0058070A">
        <w:tc>
          <w:tcPr>
            <w:tcW w:w="709" w:type="dxa"/>
          </w:tcPr>
          <w:p w:rsidR="0058070A" w:rsidRPr="0058070A" w:rsidRDefault="0058070A" w:rsidP="0058070A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</w:p>
        </w:tc>
        <w:tc>
          <w:tcPr>
            <w:tcW w:w="6342" w:type="dxa"/>
          </w:tcPr>
          <w:p w:rsidR="0058070A" w:rsidRDefault="0058070A" w:rsidP="0058070A">
            <w:p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Píldora sola de progestina / píldora oral combinada</w:t>
            </w:r>
          </w:p>
        </w:tc>
      </w:tr>
      <w:tr w:rsidR="0058070A" w:rsidRPr="00887A30" w:rsidTr="0058070A">
        <w:tc>
          <w:tcPr>
            <w:tcW w:w="709" w:type="dxa"/>
          </w:tcPr>
          <w:p w:rsidR="0058070A" w:rsidRDefault="0058070A" w:rsidP="0058070A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</w:p>
        </w:tc>
        <w:tc>
          <w:tcPr>
            <w:tcW w:w="6342" w:type="dxa"/>
          </w:tcPr>
          <w:p w:rsidR="0058070A" w:rsidRDefault="0058070A" w:rsidP="0058070A">
            <w:p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Combinado inyectable / progestina inyectable sola (por ejemplo, Microgynon)</w:t>
            </w:r>
          </w:p>
        </w:tc>
      </w:tr>
      <w:tr w:rsidR="0058070A" w:rsidRPr="00887A30" w:rsidTr="0058070A">
        <w:tc>
          <w:tcPr>
            <w:tcW w:w="709" w:type="dxa"/>
          </w:tcPr>
          <w:p w:rsidR="0058070A" w:rsidRDefault="0058070A" w:rsidP="0058070A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</w:p>
        </w:tc>
        <w:tc>
          <w:tcPr>
            <w:tcW w:w="6342" w:type="dxa"/>
          </w:tcPr>
          <w:p w:rsidR="0058070A" w:rsidRDefault="0058070A" w:rsidP="0058070A">
            <w:p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D</w:t>
            </w: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isposit</w:t>
            </w:r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ivo intrauterino  (si hay Medico o enfermera capacitada</w:t>
            </w: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)</w:t>
            </w:r>
          </w:p>
        </w:tc>
      </w:tr>
      <w:tr w:rsidR="0058070A" w:rsidRPr="00887A30" w:rsidTr="0058070A">
        <w:tc>
          <w:tcPr>
            <w:tcW w:w="709" w:type="dxa"/>
          </w:tcPr>
          <w:p w:rsidR="0058070A" w:rsidRDefault="0058070A" w:rsidP="0058070A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</w:p>
        </w:tc>
        <w:tc>
          <w:tcPr>
            <w:tcW w:w="6342" w:type="dxa"/>
          </w:tcPr>
          <w:p w:rsidR="0058070A" w:rsidRDefault="0058070A" w:rsidP="0058070A">
            <w:p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Kit de inserción  para DIU  (</w:t>
            </w:r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si hay Medico o enfermera capacitada</w:t>
            </w: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)</w:t>
            </w:r>
          </w:p>
        </w:tc>
      </w:tr>
      <w:tr w:rsidR="0058070A" w:rsidTr="0058070A">
        <w:tc>
          <w:tcPr>
            <w:tcW w:w="709" w:type="dxa"/>
          </w:tcPr>
          <w:p w:rsidR="0058070A" w:rsidRDefault="0058070A" w:rsidP="0058070A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</w:p>
        </w:tc>
        <w:tc>
          <w:tcPr>
            <w:tcW w:w="6342" w:type="dxa"/>
          </w:tcPr>
          <w:p w:rsidR="0058070A" w:rsidRDefault="0058070A" w:rsidP="00795759">
            <w:pPr>
              <w:spacing w:line="360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C</w:t>
            </w:r>
            <w:r w:rsidRPr="0058070A">
              <w:rPr>
                <w:rFonts w:asciiTheme="minorHAnsi" w:hAnsiTheme="minorHAnsi" w:cs="Helvetica"/>
                <w:color w:val="auto"/>
                <w:sz w:val="22"/>
                <w:szCs w:val="22"/>
                <w:lang w:val="es-PA"/>
              </w:rPr>
              <w:t>ondón masculino</w:t>
            </w:r>
          </w:p>
        </w:tc>
      </w:tr>
    </w:tbl>
    <w:p w:rsidR="00EF04E7" w:rsidRDefault="00EF04E7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• Ambulatorio sin doctor: no hay desabasto de condones masculinos + cualquier píldora oral + cualquier inyectable en el último mes, 2 meses, 3 mes</w:t>
      </w:r>
    </w:p>
    <w:p w:rsidR="00A65AED" w:rsidRPr="00A65AED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lastRenderedPageBreak/>
        <w:t xml:space="preserve">• Ambulatorio con doctor: no hay desabasto de condones masculinos + cualquier píldora oral + cualquier inyectable en el último mes, 2 meses, 3 mes y disponibilidad de  DIU </w:t>
      </w:r>
    </w:p>
    <w:p w:rsidR="00A65AED" w:rsidRPr="00A65AED" w:rsidRDefault="00A65AED" w:rsidP="0004616F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• Básico: no hay desabasto de condones masculinos + cualquier píldora oral + cualquier inyectable en el último mes, 2 meses, 3 mes y disponibilidad de  DIU. </w:t>
      </w:r>
    </w:p>
    <w:p w:rsidR="00EF04E7" w:rsidRDefault="00A65AED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EF04E7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Cálculo del indicador</w:t>
      </w:r>
      <w:r w:rsidR="0004616F" w:rsidRPr="00EF04E7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:</w:t>
      </w:r>
      <w:r w:rsidR="0004616F"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</w:t>
      </w:r>
      <w:r w:rsidR="0004616F">
        <w:rPr>
          <w:rFonts w:asciiTheme="minorHAnsi" w:hAnsiTheme="minorHAnsi" w:cs="Helvetica"/>
          <w:color w:val="auto"/>
          <w:sz w:val="22"/>
          <w:szCs w:val="22"/>
          <w:lang w:val="es-ES_tradnl"/>
        </w:rPr>
        <w:t>Número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total de establecimientos de salud </w:t>
      </w:r>
      <w:r w:rsidR="0004616F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SEGÚN TIPOLOGIA, </w:t>
      </w:r>
      <w:r w:rsidRPr="00A65AED">
        <w:rPr>
          <w:rFonts w:asciiTheme="minorHAnsi" w:hAnsiTheme="minorHAnsi" w:cs="Helvetica"/>
          <w:color w:val="auto"/>
          <w:sz w:val="22"/>
          <w:szCs w:val="22"/>
          <w:lang w:val="es-ES_tradnl"/>
        </w:rPr>
        <w:t>que almacena o provee métodos de planificación familiar</w:t>
      </w:r>
      <w:r w:rsidR="0004616F">
        <w:rPr>
          <w:rFonts w:asciiTheme="minorHAnsi" w:hAnsiTheme="minorHAnsi" w:cs="Helvetica"/>
          <w:color w:val="auto"/>
          <w:sz w:val="22"/>
          <w:szCs w:val="22"/>
          <w:lang w:val="es-ES_tradnl"/>
        </w:rPr>
        <w:t>/ Total de establecimientos.</w:t>
      </w:r>
    </w:p>
    <w:p w:rsidR="000B06E0" w:rsidRDefault="000B06E0" w:rsidP="00A65AED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E97E04" w:rsidRPr="00601EF9" w:rsidRDefault="00E97E04" w:rsidP="00E97E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CAPITULO 3</w:t>
      </w:r>
    </w:p>
    <w:p w:rsidR="00EF04E7" w:rsidRPr="00E97E04" w:rsidRDefault="00E97E04" w:rsidP="00A65AED">
      <w:p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 w:rsidRPr="00E97E04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 xml:space="preserve">INDICADORES PARA MEDIR </w:t>
      </w:r>
      <w:r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COBERTURA DE RECURSOS HUMANOS</w:t>
      </w:r>
    </w:p>
    <w:p w:rsidR="006C3A2F" w:rsidRDefault="00C1019E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Indicador No 8</w:t>
      </w:r>
      <w:r w:rsidR="006C3A2F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 </w:t>
      </w:r>
    </w:p>
    <w:p w:rsidR="00905D04" w:rsidRPr="00A02A93" w:rsidRDefault="00905D04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 w:rsidRPr="00A02A93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Cobertura permanente de los servicios </w:t>
      </w:r>
      <w:r w:rsidR="000B39A1" w:rsidRPr="00A02A93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de Obstetricia y Neonatología</w:t>
      </w:r>
      <w:r w:rsidR="000B39A1" w:rsidRPr="00A02A93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ab/>
        <w:t xml:space="preserve"> 24/7 </w:t>
      </w:r>
      <w:r w:rsidR="00A02A93" w:rsidRPr="00A02A93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de los hospitales </w:t>
      </w:r>
      <w:r w:rsidR="000B39A1" w:rsidRPr="00A02A93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con médico especialista. </w:t>
      </w:r>
    </w:p>
    <w:p w:rsidR="000B39A1" w:rsidRPr="00601EF9" w:rsidRDefault="008347E5" w:rsidP="00D177DA">
      <w:p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sz w:val="22"/>
          <w:lang w:val="es-PA"/>
        </w:rPr>
        <w:t xml:space="preserve"> </w:t>
      </w:r>
      <w:r w:rsidR="000B39A1" w:rsidRPr="00601EF9">
        <w:rPr>
          <w:rFonts w:asciiTheme="minorHAnsi" w:hAnsiTheme="minorHAnsi"/>
          <w:b/>
          <w:sz w:val="22"/>
          <w:lang w:val="es-PA"/>
        </w:rPr>
        <w:t xml:space="preserve">Descripción: </w:t>
      </w:r>
      <w:r w:rsidR="00A02A93">
        <w:rPr>
          <w:rFonts w:asciiTheme="minorHAnsi" w:hAnsiTheme="minorHAnsi"/>
          <w:sz w:val="22"/>
          <w:lang w:val="es-PA"/>
        </w:rPr>
        <w:t>Los servicios d</w:t>
      </w:r>
      <w:r w:rsidR="000B39A1" w:rsidRPr="00A02A93">
        <w:rPr>
          <w:rFonts w:asciiTheme="minorHAnsi" w:hAnsiTheme="minorHAnsi"/>
          <w:sz w:val="22"/>
          <w:lang w:val="es-PA"/>
        </w:rPr>
        <w:t>e</w:t>
      </w:r>
      <w:r w:rsidR="000B39A1">
        <w:rPr>
          <w:rFonts w:asciiTheme="minorHAnsi" w:hAnsiTheme="minorHAnsi"/>
          <w:b/>
          <w:sz w:val="22"/>
          <w:lang w:val="es-PA"/>
        </w:rPr>
        <w:t xml:space="preserve"> </w:t>
      </w:r>
      <w:r w:rsidR="00A02A93" w:rsidRPr="00A02A93">
        <w:rPr>
          <w:rFonts w:asciiTheme="minorHAnsi" w:hAnsiTheme="minorHAnsi"/>
          <w:sz w:val="22"/>
          <w:lang w:val="es-PA"/>
        </w:rPr>
        <w:t>Pediatría</w:t>
      </w:r>
      <w:r w:rsidR="00A02A93">
        <w:rPr>
          <w:rFonts w:asciiTheme="minorHAnsi" w:hAnsiTheme="minorHAnsi"/>
          <w:b/>
          <w:sz w:val="22"/>
          <w:lang w:val="es-PA"/>
        </w:rPr>
        <w:t xml:space="preserve"> </w:t>
      </w:r>
      <w:r w:rsidR="00A02A93" w:rsidRPr="00A02A93">
        <w:rPr>
          <w:rFonts w:asciiTheme="minorHAnsi" w:hAnsiTheme="minorHAnsi"/>
          <w:sz w:val="22"/>
          <w:lang w:val="es-PA"/>
        </w:rPr>
        <w:t>y de Obstetricia en los hospitales deben de estar cubiertos  con médico especialista las 24 horas del día</w:t>
      </w:r>
      <w:r w:rsidR="00155EDC">
        <w:rPr>
          <w:rFonts w:asciiTheme="minorHAnsi" w:hAnsiTheme="minorHAnsi"/>
          <w:b/>
          <w:sz w:val="22"/>
          <w:lang w:val="es-PA"/>
        </w:rPr>
        <w:t xml:space="preserve">, </w:t>
      </w:r>
      <w:r w:rsidR="00155EDC" w:rsidRPr="00155EDC">
        <w:rPr>
          <w:rFonts w:asciiTheme="minorHAnsi" w:hAnsiTheme="minorHAnsi"/>
          <w:sz w:val="22"/>
          <w:lang w:val="es-PA"/>
        </w:rPr>
        <w:t>durante los 7 días de la semana</w:t>
      </w:r>
      <w:r w:rsidR="00AB0D5E">
        <w:rPr>
          <w:rFonts w:asciiTheme="minorHAnsi" w:hAnsiTheme="minorHAnsi"/>
          <w:sz w:val="22"/>
          <w:lang w:val="es-PA"/>
        </w:rPr>
        <w:t xml:space="preserve"> con el fin de contribuir a garantizar la calidad en la prestación de servicios </w:t>
      </w:r>
      <w:r w:rsidR="000B39A1" w:rsidRPr="00601EF9">
        <w:rPr>
          <w:rFonts w:asciiTheme="minorHAnsi" w:hAnsiTheme="minorHAnsi"/>
          <w:sz w:val="22"/>
          <w:lang w:val="es-PA"/>
        </w:rPr>
        <w:t>de</w:t>
      </w:r>
      <w:r w:rsidR="00AB0D5E">
        <w:rPr>
          <w:rFonts w:asciiTheme="minorHAnsi" w:hAnsiTheme="minorHAnsi"/>
          <w:sz w:val="22"/>
          <w:lang w:val="es-PA"/>
        </w:rPr>
        <w:t xml:space="preserve"> atención de las emergencias obstétricas y neonatales. </w:t>
      </w:r>
      <w:r w:rsidR="000B39A1" w:rsidRPr="00601EF9">
        <w:rPr>
          <w:rFonts w:asciiTheme="minorHAnsi" w:hAnsiTheme="minorHAnsi"/>
          <w:sz w:val="22"/>
          <w:lang w:val="es-PA"/>
        </w:rPr>
        <w:t xml:space="preserve"> </w:t>
      </w:r>
    </w:p>
    <w:p w:rsidR="000B39A1" w:rsidRPr="00601EF9" w:rsidRDefault="000B39A1" w:rsidP="00D177DA">
      <w:pPr>
        <w:spacing w:line="360" w:lineRule="auto"/>
        <w:jc w:val="both"/>
        <w:rPr>
          <w:rFonts w:asciiTheme="minorHAnsi" w:hAnsiTheme="minorHAnsi"/>
          <w:b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>Fórmula:</w:t>
      </w:r>
    </w:p>
    <w:p w:rsidR="000B39A1" w:rsidRPr="00601EF9" w:rsidRDefault="000B39A1" w:rsidP="00D177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>Denominador:</w:t>
      </w:r>
      <w:r w:rsidRPr="00601EF9">
        <w:rPr>
          <w:rFonts w:asciiTheme="minorHAnsi" w:hAnsiTheme="minorHAnsi"/>
          <w:sz w:val="22"/>
          <w:lang w:val="es-PA"/>
        </w:rPr>
        <w:t xml:space="preserve"> </w:t>
      </w:r>
      <w:r w:rsidR="00981EA8">
        <w:rPr>
          <w:rFonts w:asciiTheme="minorHAnsi" w:hAnsiTheme="minorHAnsi"/>
          <w:sz w:val="22"/>
          <w:lang w:val="es-PA"/>
        </w:rPr>
        <w:t>Número de hora</w:t>
      </w:r>
      <w:r w:rsidR="00981EA8" w:rsidRPr="00601EF9">
        <w:rPr>
          <w:rFonts w:asciiTheme="minorHAnsi" w:hAnsiTheme="minorHAnsi"/>
          <w:sz w:val="22"/>
          <w:lang w:val="es-PA"/>
        </w:rPr>
        <w:t xml:space="preserve">s </w:t>
      </w:r>
      <w:r w:rsidR="00981EA8">
        <w:rPr>
          <w:rFonts w:asciiTheme="minorHAnsi" w:hAnsiTheme="minorHAnsi"/>
          <w:sz w:val="22"/>
          <w:lang w:val="es-PA"/>
        </w:rPr>
        <w:t xml:space="preserve">medico programada para lograr la cobertura 24 /7 </w:t>
      </w:r>
      <w:r w:rsidR="00981EA8" w:rsidRPr="00601EF9">
        <w:rPr>
          <w:rFonts w:asciiTheme="minorHAnsi" w:hAnsiTheme="minorHAnsi"/>
          <w:sz w:val="22"/>
          <w:lang w:val="es-PA"/>
        </w:rPr>
        <w:t xml:space="preserve">para la atención </w:t>
      </w:r>
      <w:r w:rsidR="00981EA8">
        <w:rPr>
          <w:rFonts w:asciiTheme="minorHAnsi" w:hAnsiTheme="minorHAnsi"/>
          <w:sz w:val="22"/>
          <w:lang w:val="es-PA"/>
        </w:rPr>
        <w:t xml:space="preserve">de las emergencias </w:t>
      </w:r>
      <w:r w:rsidR="00981EA8" w:rsidRPr="00601EF9">
        <w:rPr>
          <w:rFonts w:asciiTheme="minorHAnsi" w:hAnsiTheme="minorHAnsi"/>
          <w:sz w:val="22"/>
          <w:lang w:val="es-PA"/>
        </w:rPr>
        <w:t>obstétrica</w:t>
      </w:r>
      <w:r w:rsidR="00981EA8">
        <w:rPr>
          <w:rFonts w:asciiTheme="minorHAnsi" w:hAnsiTheme="minorHAnsi"/>
          <w:sz w:val="22"/>
          <w:lang w:val="es-PA"/>
        </w:rPr>
        <w:t>s</w:t>
      </w:r>
      <w:r w:rsidR="00981EA8" w:rsidRPr="00601EF9">
        <w:rPr>
          <w:rFonts w:asciiTheme="minorHAnsi" w:hAnsiTheme="minorHAnsi"/>
          <w:sz w:val="22"/>
          <w:lang w:val="es-PA"/>
        </w:rPr>
        <w:t xml:space="preserve"> y neonatal</w:t>
      </w:r>
      <w:r w:rsidR="00981EA8">
        <w:rPr>
          <w:rFonts w:asciiTheme="minorHAnsi" w:hAnsiTheme="minorHAnsi"/>
          <w:sz w:val="22"/>
          <w:lang w:val="es-PA"/>
        </w:rPr>
        <w:t xml:space="preserve">es. </w:t>
      </w:r>
    </w:p>
    <w:p w:rsidR="000B39A1" w:rsidRPr="00601EF9" w:rsidRDefault="000B39A1" w:rsidP="00D177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22"/>
          <w:lang w:val="es-PA"/>
        </w:rPr>
      </w:pPr>
      <w:r w:rsidRPr="00601EF9">
        <w:rPr>
          <w:rFonts w:asciiTheme="minorHAnsi" w:hAnsiTheme="minorHAnsi"/>
          <w:b/>
          <w:sz w:val="22"/>
          <w:lang w:val="es-PA"/>
        </w:rPr>
        <w:t>Numerador:</w:t>
      </w:r>
      <w:r w:rsidRPr="00601EF9">
        <w:rPr>
          <w:rFonts w:asciiTheme="minorHAnsi" w:hAnsiTheme="minorHAnsi"/>
          <w:sz w:val="22"/>
          <w:lang w:val="es-PA"/>
        </w:rPr>
        <w:t xml:space="preserve"> </w:t>
      </w:r>
      <w:r w:rsidR="00981EA8" w:rsidRPr="00601EF9">
        <w:rPr>
          <w:rFonts w:asciiTheme="minorHAnsi" w:hAnsiTheme="minorHAnsi"/>
          <w:sz w:val="22"/>
          <w:lang w:val="es-PA"/>
        </w:rPr>
        <w:t xml:space="preserve">Número </w:t>
      </w:r>
      <w:r w:rsidR="00981EA8">
        <w:rPr>
          <w:rFonts w:asciiTheme="minorHAnsi" w:hAnsiTheme="minorHAnsi"/>
          <w:sz w:val="22"/>
          <w:lang w:val="es-PA"/>
        </w:rPr>
        <w:t>de horas medico disponibles de acuerdo con el personal disponible en los servicio de obstetricia y pediatría de cada uno de los hospitales.</w:t>
      </w:r>
    </w:p>
    <w:p w:rsidR="000B39A1" w:rsidRPr="00601EF9" w:rsidRDefault="000B39A1" w:rsidP="00D177D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sz w:val="36"/>
          <w:u w:val="single"/>
          <w:lang w:val="es-HN"/>
        </w:rPr>
      </w:pPr>
      <w:r w:rsidRPr="00601EF9">
        <w:rPr>
          <w:rFonts w:asciiTheme="minorHAnsi" w:hAnsiTheme="minorHAnsi"/>
          <w:b/>
          <w:sz w:val="22"/>
          <w:lang w:val="es-PA"/>
        </w:rPr>
        <w:t>Calculo del indicador:</w:t>
      </w:r>
      <w:r w:rsidRPr="00601EF9">
        <w:rPr>
          <w:rFonts w:asciiTheme="minorHAnsi" w:hAnsiTheme="minorHAnsi"/>
          <w:sz w:val="22"/>
          <w:lang w:val="es-PA"/>
        </w:rPr>
        <w:t xml:space="preserve"> Generamos una variable para representar la disponibilidad de    todos los insumos y equipo necesarios para la atención obstétrica y neonatal. Esta variable  tiene un valor de 1 cuando se cumplen todos los artículos mencionados a continuación. </w:t>
      </w:r>
    </w:p>
    <w:p w:rsidR="007971F5" w:rsidRDefault="007971F5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3C1FE8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El Umbral para cumplimiento de este indicador </w:t>
      </w:r>
      <w:r w:rsidR="000B06E0">
        <w:rPr>
          <w:rFonts w:asciiTheme="minorHAnsi" w:hAnsiTheme="minorHAnsi" w:cs="Helvetica"/>
          <w:color w:val="auto"/>
          <w:sz w:val="22"/>
          <w:szCs w:val="22"/>
          <w:lang w:val="es-ES_tradnl"/>
        </w:rPr>
        <w:t>debe de ser de un mínimo de 80%.</w:t>
      </w:r>
    </w:p>
    <w:p w:rsidR="000B06E0" w:rsidRDefault="000B06E0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0B06E0" w:rsidRDefault="000B06E0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0B06E0" w:rsidRDefault="000B06E0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D85914" w:rsidRPr="00601EF9" w:rsidRDefault="00B8740A" w:rsidP="00E97E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CAPITULO </w:t>
      </w:r>
      <w:r w:rsidR="00E97E04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>4</w:t>
      </w:r>
    </w:p>
    <w:p w:rsidR="00D85914" w:rsidRPr="00601EF9" w:rsidRDefault="00E97E04" w:rsidP="00D177DA">
      <w:pPr>
        <w:spacing w:line="36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 w:rsidRPr="00601EF9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INDICADORES PARA MEDIR EL FORTALECIMIENTO DE LA SESAL</w:t>
      </w:r>
    </w:p>
    <w:p w:rsidR="00B8740A" w:rsidRPr="002345EE" w:rsidRDefault="00601EF9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601EF9">
        <w:rPr>
          <w:rFonts w:asciiTheme="minorHAnsi" w:hAnsiTheme="minorHAnsi"/>
          <w:sz w:val="22"/>
          <w:lang w:val="es-HN"/>
        </w:rPr>
        <w:t xml:space="preserve">Esta operación incluye </w:t>
      </w:r>
      <w:r w:rsidR="00885344">
        <w:rPr>
          <w:rFonts w:asciiTheme="minorHAnsi" w:hAnsiTheme="minorHAnsi"/>
          <w:sz w:val="22"/>
          <w:lang w:val="es-HN"/>
        </w:rPr>
        <w:t>actividades para el fortalecimiento de la función de rectoría de la SESAL, para lo cual se brindara asistencia técnica para la elaboración de manuales de organización</w:t>
      </w:r>
      <w:r w:rsidR="00B8740A">
        <w:rPr>
          <w:rFonts w:asciiTheme="minorHAnsi" w:hAnsiTheme="minorHAnsi"/>
          <w:sz w:val="22"/>
          <w:lang w:val="es-HN"/>
        </w:rPr>
        <w:t xml:space="preserve"> para la administración del MGD</w:t>
      </w:r>
      <w:r w:rsidR="00885344">
        <w:rPr>
          <w:rFonts w:asciiTheme="minorHAnsi" w:hAnsiTheme="minorHAnsi"/>
          <w:sz w:val="22"/>
          <w:lang w:val="es-HN"/>
        </w:rPr>
        <w:t xml:space="preserve"> y </w:t>
      </w:r>
      <w:r w:rsidR="00B8740A">
        <w:rPr>
          <w:rFonts w:asciiTheme="minorHAnsi" w:hAnsiTheme="minorHAnsi"/>
          <w:sz w:val="22"/>
          <w:lang w:val="es-HN"/>
        </w:rPr>
        <w:t xml:space="preserve">un documento que contenga los criterios para la </w:t>
      </w:r>
      <w:r w:rsidR="00885344">
        <w:rPr>
          <w:rFonts w:asciiTheme="minorHAnsi" w:hAnsiTheme="minorHAnsi"/>
          <w:sz w:val="22"/>
          <w:lang w:val="es-HN"/>
        </w:rPr>
        <w:t>certificación de gestores de primer y segundo nivel, por lo que al final del primer año se deberá</w:t>
      </w:r>
      <w:r w:rsidR="00B8740A">
        <w:rPr>
          <w:rFonts w:asciiTheme="minorHAnsi" w:hAnsiTheme="minorHAnsi"/>
          <w:sz w:val="22"/>
          <w:lang w:val="es-HN"/>
        </w:rPr>
        <w:t xml:space="preserve"> </w:t>
      </w:r>
      <w:r w:rsidR="00B8740A" w:rsidRPr="002345EE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de conseguir los siguientes criterios en la documentación presentada </w:t>
      </w:r>
      <w:r w:rsidR="00B8740A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y aprobada </w:t>
      </w:r>
      <w:r w:rsidR="00B8740A" w:rsidRPr="002345EE">
        <w:rPr>
          <w:rFonts w:asciiTheme="minorHAnsi" w:hAnsiTheme="minorHAnsi" w:cs="Helvetica"/>
          <w:color w:val="auto"/>
          <w:sz w:val="22"/>
          <w:szCs w:val="22"/>
          <w:lang w:val="es-ES_tradnl"/>
        </w:rPr>
        <w:t>por la Secretaría de Salud del Gobierno de Honduras:</w:t>
      </w:r>
      <w:r w:rsidR="00B8740A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</w:t>
      </w:r>
    </w:p>
    <w:p w:rsidR="003C1FE8" w:rsidRDefault="003C1FE8" w:rsidP="00D177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Que el sistema de información para la gestión descentralizada se esté implementando.</w:t>
      </w:r>
    </w:p>
    <w:p w:rsidR="00CC63FA" w:rsidRDefault="00B8740A" w:rsidP="00D177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CC63FA">
        <w:rPr>
          <w:rFonts w:asciiTheme="minorHAnsi" w:hAnsiTheme="minorHAnsi" w:cs="Helvetica"/>
          <w:color w:val="auto"/>
          <w:sz w:val="22"/>
          <w:szCs w:val="22"/>
          <w:lang w:val="es-ES_tradnl"/>
        </w:rPr>
        <w:t>Que se evidencie en la documentación presentada p</w:t>
      </w:r>
      <w:r w:rsidR="00CC63FA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or el país, la existencia de un manual de organización para la administración del Modelo de Gestión Descentralizado. </w:t>
      </w:r>
    </w:p>
    <w:p w:rsidR="00CC63FA" w:rsidRPr="000B06E0" w:rsidRDefault="00CC63FA" w:rsidP="00D177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Mostrar evidencia de que el país cuenta con </w:t>
      </w:r>
      <w:r w:rsid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un </w:t>
      </w:r>
      <w:r w:rsidR="002250B5" w:rsidRPr="002250B5">
        <w:rPr>
          <w:rFonts w:asciiTheme="minorHAnsi" w:hAnsiTheme="minorHAnsi" w:cs="Helvetica"/>
          <w:color w:val="auto"/>
          <w:sz w:val="22"/>
          <w:szCs w:val="22"/>
          <w:lang w:val="es-HN"/>
        </w:rPr>
        <w:t xml:space="preserve">sistema </w:t>
      </w:r>
      <w:r w:rsidR="002250B5">
        <w:rPr>
          <w:rFonts w:asciiTheme="minorHAnsi" w:hAnsiTheme="minorHAnsi" w:cs="Helvetica"/>
          <w:color w:val="auto"/>
          <w:sz w:val="22"/>
          <w:szCs w:val="22"/>
          <w:lang w:val="es-HN"/>
        </w:rPr>
        <w:t xml:space="preserve">para la </w:t>
      </w:r>
      <w:r w:rsidR="002250B5" w:rsidRPr="002250B5">
        <w:rPr>
          <w:rFonts w:asciiTheme="minorHAnsi" w:hAnsiTheme="minorHAnsi" w:cs="Helvetica"/>
          <w:color w:val="auto"/>
          <w:sz w:val="22"/>
          <w:szCs w:val="22"/>
          <w:lang w:val="es-HN"/>
        </w:rPr>
        <w:t xml:space="preserve">certificación de </w:t>
      </w:r>
      <w:r w:rsidR="002250B5">
        <w:rPr>
          <w:rFonts w:asciiTheme="minorHAnsi" w:hAnsiTheme="minorHAnsi" w:cs="Helvetica"/>
          <w:color w:val="auto"/>
          <w:sz w:val="22"/>
          <w:szCs w:val="22"/>
          <w:lang w:val="es-HN"/>
        </w:rPr>
        <w:t xml:space="preserve">los </w:t>
      </w:r>
      <w:r w:rsidR="002250B5" w:rsidRPr="002250B5">
        <w:rPr>
          <w:rFonts w:asciiTheme="minorHAnsi" w:hAnsiTheme="minorHAnsi" w:cs="Helvetica"/>
          <w:color w:val="auto"/>
          <w:sz w:val="22"/>
          <w:szCs w:val="22"/>
          <w:lang w:val="es-HN"/>
        </w:rPr>
        <w:t>gestores descentralizados de primer y segundo</w:t>
      </w:r>
      <w:r w:rsidR="002250B5">
        <w:rPr>
          <w:rFonts w:asciiTheme="minorHAnsi" w:hAnsiTheme="minorHAnsi" w:cs="Helvetica"/>
          <w:color w:val="auto"/>
          <w:sz w:val="22"/>
          <w:szCs w:val="22"/>
          <w:lang w:val="es-HN"/>
        </w:rPr>
        <w:t xml:space="preserve">. </w:t>
      </w:r>
    </w:p>
    <w:p w:rsidR="000B06E0" w:rsidRDefault="000B06E0" w:rsidP="000B06E0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0B06E0" w:rsidRPr="00155EDC" w:rsidRDefault="000B06E0" w:rsidP="000B06E0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Indicador No. 9</w:t>
      </w:r>
    </w:p>
    <w:p w:rsidR="000B06E0" w:rsidRPr="006936F5" w:rsidRDefault="000B06E0" w:rsidP="000B06E0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HN"/>
        </w:rPr>
      </w:pPr>
      <w:r w:rsidRPr="000B06E0">
        <w:rPr>
          <w:rFonts w:asciiTheme="minorHAnsi" w:hAnsiTheme="minorHAnsi" w:cs="Helvetica"/>
          <w:b/>
          <w:color w:val="auto"/>
          <w:sz w:val="22"/>
          <w:szCs w:val="22"/>
          <w:lang w:val="es-HN"/>
        </w:rPr>
        <w:t>El sistema de información para la gestión descentralizada se esté implementando.</w:t>
      </w:r>
      <w:r w:rsidRPr="006936F5">
        <w:rPr>
          <w:rFonts w:asciiTheme="minorHAnsi" w:hAnsiTheme="minorHAnsi" w:cs="Helvetica"/>
          <w:b/>
          <w:color w:val="auto"/>
          <w:sz w:val="22"/>
          <w:szCs w:val="22"/>
          <w:lang w:val="es-HN"/>
        </w:rPr>
        <w:t>.</w:t>
      </w:r>
    </w:p>
    <w:p w:rsidR="000B06E0" w:rsidRPr="000B06E0" w:rsidRDefault="000B06E0" w:rsidP="000B06E0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HN"/>
        </w:rPr>
      </w:pPr>
      <w:r>
        <w:rPr>
          <w:rFonts w:asciiTheme="minorHAnsi" w:hAnsiTheme="minorHAnsi" w:cs="Helvetica"/>
          <w:color w:val="auto"/>
          <w:sz w:val="22"/>
          <w:szCs w:val="22"/>
          <w:lang w:val="es-HN"/>
        </w:rPr>
        <w:t>Este indicador se corroborara mediante una verificación de observación, en la que se demuestre que tanto los convenios, producción e indicadores estén incluidos en la el sistema de información y que puedan generarse cuadros agregados y desagregados, así como tendencias, cuadros, e informes.</w:t>
      </w:r>
    </w:p>
    <w:p w:rsidR="000B06E0" w:rsidRPr="000B06E0" w:rsidRDefault="000B06E0" w:rsidP="000B06E0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HN"/>
        </w:rPr>
      </w:pPr>
    </w:p>
    <w:p w:rsidR="002250B5" w:rsidRPr="00155EDC" w:rsidRDefault="0066458F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 xml:space="preserve"> </w:t>
      </w:r>
      <w:r w:rsidR="000B06E0"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t>Indicador No. 10</w:t>
      </w:r>
    </w:p>
    <w:p w:rsidR="006936F5" w:rsidRPr="006936F5" w:rsidRDefault="006936F5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HN"/>
        </w:rPr>
      </w:pPr>
      <w:r w:rsidRPr="006936F5">
        <w:rPr>
          <w:rFonts w:asciiTheme="minorHAnsi" w:hAnsiTheme="minorHAnsi" w:cs="Helvetica"/>
          <w:b/>
          <w:color w:val="auto"/>
          <w:sz w:val="22"/>
          <w:szCs w:val="22"/>
          <w:lang w:val="es-HN"/>
        </w:rPr>
        <w:t>Elaboración y aprobacion del manual de organización y Funciones para la administración del Modelo de Gestión Descentralizada Desarrollado.</w:t>
      </w:r>
    </w:p>
    <w:p w:rsidR="00B8740A" w:rsidRPr="002250B5" w:rsidRDefault="002250B5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 w:rsidRPr="002250B5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Medio de verificación: </w:t>
      </w:r>
      <w:r w:rsidR="00CC63FA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Que haya sido aprobado por las autoridades competentes de la  </w:t>
      </w:r>
      <w:r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>Secretar</w:t>
      </w:r>
      <w:r>
        <w:rPr>
          <w:rFonts w:asciiTheme="minorHAnsi" w:hAnsiTheme="minorHAnsi" w:cs="Helvetica"/>
          <w:color w:val="auto"/>
          <w:sz w:val="22"/>
          <w:szCs w:val="22"/>
          <w:lang w:val="es-ES_tradnl"/>
        </w:rPr>
        <w:t>í</w:t>
      </w:r>
      <w:r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>a</w:t>
      </w:r>
      <w:r w:rsidR="00CC63FA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de Salud y que se muestre evidencia de l</w:t>
      </w:r>
      <w:r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>a</w:t>
      </w:r>
      <w:r w:rsidR="00CC63FA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aprobacion</w:t>
      </w:r>
      <w:r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 tanto del manual de organización</w:t>
      </w:r>
      <w:r w:rsidR="00CC63FA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. </w:t>
      </w:r>
    </w:p>
    <w:p w:rsidR="006936F5" w:rsidRPr="00155EDC" w:rsidRDefault="000B06E0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</w:pPr>
      <w:r>
        <w:rPr>
          <w:rFonts w:asciiTheme="minorHAnsi" w:hAnsiTheme="minorHAnsi" w:cs="Helvetica"/>
          <w:b/>
          <w:color w:val="auto"/>
          <w:sz w:val="22"/>
          <w:szCs w:val="22"/>
          <w:u w:val="single"/>
          <w:lang w:val="es-ES_tradnl"/>
        </w:rPr>
        <w:lastRenderedPageBreak/>
        <w:t>Indicador No. 11</w:t>
      </w:r>
    </w:p>
    <w:p w:rsidR="00CC63FA" w:rsidRPr="006936F5" w:rsidRDefault="006936F5" w:rsidP="00C23F1C">
      <w:pPr>
        <w:shd w:val="clear" w:color="auto" w:fill="17365D" w:themeFill="text2" w:themeFillShade="BF"/>
        <w:spacing w:line="240" w:lineRule="auto"/>
        <w:jc w:val="both"/>
        <w:rPr>
          <w:rFonts w:asciiTheme="minorHAnsi" w:hAnsiTheme="minorHAnsi" w:cs="Helvetica"/>
          <w:b/>
          <w:color w:val="auto"/>
          <w:sz w:val="22"/>
          <w:szCs w:val="22"/>
          <w:lang w:val="es-HN"/>
        </w:rPr>
      </w:pPr>
      <w:r w:rsidRPr="006936F5">
        <w:rPr>
          <w:rFonts w:asciiTheme="minorHAnsi" w:hAnsiTheme="minorHAnsi" w:cs="Helvetica"/>
          <w:b/>
          <w:color w:val="auto"/>
          <w:sz w:val="22"/>
          <w:szCs w:val="22"/>
          <w:lang w:val="es-HN"/>
        </w:rPr>
        <w:t xml:space="preserve">Elaboración del </w:t>
      </w:r>
      <w:r w:rsidR="005C7983">
        <w:rPr>
          <w:rFonts w:asciiTheme="minorHAnsi" w:hAnsiTheme="minorHAnsi" w:cs="Helvetica"/>
          <w:b/>
          <w:color w:val="auto"/>
          <w:sz w:val="22"/>
          <w:szCs w:val="22"/>
          <w:lang w:val="es-HN"/>
        </w:rPr>
        <w:t>manual para la</w:t>
      </w:r>
      <w:r w:rsidRPr="006936F5">
        <w:rPr>
          <w:rFonts w:asciiTheme="minorHAnsi" w:hAnsiTheme="minorHAnsi" w:cs="Helvetica"/>
          <w:b/>
          <w:color w:val="auto"/>
          <w:sz w:val="22"/>
          <w:szCs w:val="22"/>
          <w:lang w:val="es-HN"/>
        </w:rPr>
        <w:t xml:space="preserve"> certificación de gestores descentralizados de primer y segundo nivel desarrollado</w:t>
      </w:r>
    </w:p>
    <w:p w:rsidR="006936F5" w:rsidRPr="002250B5" w:rsidRDefault="00885344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lang w:val="es-HN"/>
        </w:rPr>
        <w:t xml:space="preserve"> </w:t>
      </w:r>
      <w:r w:rsidR="006936F5" w:rsidRPr="002250B5">
        <w:rPr>
          <w:rFonts w:asciiTheme="minorHAnsi" w:hAnsiTheme="minorHAnsi" w:cs="Helvetica"/>
          <w:b/>
          <w:color w:val="auto"/>
          <w:sz w:val="22"/>
          <w:szCs w:val="22"/>
          <w:lang w:val="es-ES_tradnl"/>
        </w:rPr>
        <w:t xml:space="preserve">Medio de verificación: </w:t>
      </w:r>
      <w:r w:rsidR="006936F5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>Que haya sido aprobado por las autoridades competentes de la  Secretar</w:t>
      </w:r>
      <w:r w:rsidR="006936F5">
        <w:rPr>
          <w:rFonts w:asciiTheme="minorHAnsi" w:hAnsiTheme="minorHAnsi" w:cs="Helvetica"/>
          <w:color w:val="auto"/>
          <w:sz w:val="22"/>
          <w:szCs w:val="22"/>
          <w:lang w:val="es-ES_tradnl"/>
        </w:rPr>
        <w:t>í</w:t>
      </w:r>
      <w:r w:rsidR="006936F5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a de Salud y que se muestre evidencia de la aprobacion </w:t>
      </w:r>
      <w:r w:rsidR="006936F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del </w:t>
      </w:r>
      <w:r w:rsidR="005C7983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manual </w:t>
      </w:r>
      <w:r w:rsidR="006936F5">
        <w:rPr>
          <w:rFonts w:asciiTheme="minorHAnsi" w:hAnsiTheme="minorHAnsi" w:cs="Helvetica"/>
          <w:color w:val="auto"/>
          <w:sz w:val="22"/>
          <w:szCs w:val="22"/>
          <w:lang w:val="es-ES_tradnl"/>
        </w:rPr>
        <w:t>para la certificación  de los gestores de primer y segundo nivel</w:t>
      </w:r>
      <w:r w:rsidR="006936F5" w:rsidRPr="002250B5">
        <w:rPr>
          <w:rFonts w:asciiTheme="minorHAnsi" w:hAnsiTheme="minorHAnsi" w:cs="Helvetica"/>
          <w:color w:val="auto"/>
          <w:sz w:val="22"/>
          <w:szCs w:val="22"/>
          <w:lang w:val="es-ES_tradnl"/>
        </w:rPr>
        <w:t xml:space="preserve">. </w:t>
      </w:r>
    </w:p>
    <w:p w:rsidR="006936F5" w:rsidRDefault="006936F5" w:rsidP="00D177DA">
      <w:pPr>
        <w:spacing w:line="360" w:lineRule="auto"/>
        <w:jc w:val="both"/>
        <w:rPr>
          <w:rFonts w:asciiTheme="minorHAnsi" w:hAnsiTheme="minorHAnsi" w:cs="Helvetica"/>
          <w:color w:val="auto"/>
          <w:sz w:val="22"/>
          <w:szCs w:val="22"/>
          <w:lang w:val="es-ES_tradnl"/>
        </w:rPr>
      </w:pPr>
    </w:p>
    <w:p w:rsidR="008347E5" w:rsidRPr="006936F5" w:rsidRDefault="008347E5" w:rsidP="00D177DA">
      <w:pPr>
        <w:spacing w:line="360" w:lineRule="auto"/>
        <w:jc w:val="both"/>
        <w:rPr>
          <w:rFonts w:asciiTheme="minorHAnsi" w:hAnsiTheme="minorHAnsi"/>
          <w:sz w:val="22"/>
          <w:lang w:val="es-ES_tradnl"/>
        </w:rPr>
      </w:pPr>
    </w:p>
    <w:p w:rsidR="008347E5" w:rsidRPr="00601EF9" w:rsidRDefault="008347E5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</w:pPr>
    </w:p>
    <w:p w:rsidR="00205640" w:rsidRDefault="00205640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</w:pPr>
    </w:p>
    <w:p w:rsidR="00572027" w:rsidRDefault="00572027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</w:pPr>
    </w:p>
    <w:p w:rsidR="008416BA" w:rsidRDefault="008416BA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</w:pPr>
    </w:p>
    <w:p w:rsidR="008416BA" w:rsidRDefault="008416BA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</w:pPr>
    </w:p>
    <w:p w:rsidR="008416BA" w:rsidRDefault="008416BA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  <w:sectPr w:rsidR="008416B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A14F9" w:rsidRDefault="00310CF8" w:rsidP="008A14F9">
      <w:pPr>
        <w:spacing w:line="240" w:lineRule="auto"/>
        <w:jc w:val="center"/>
        <w:rPr>
          <w:rFonts w:asciiTheme="minorHAnsi" w:hAnsiTheme="minorHAnsi"/>
          <w:b/>
          <w:sz w:val="28"/>
          <w:lang w:val="es-HN"/>
        </w:rPr>
      </w:pPr>
      <w:r w:rsidRPr="008A14F9">
        <w:rPr>
          <w:rFonts w:asciiTheme="minorHAnsi" w:hAnsiTheme="minorHAnsi"/>
          <w:b/>
          <w:sz w:val="28"/>
          <w:lang w:val="es-HN"/>
        </w:rPr>
        <w:lastRenderedPageBreak/>
        <w:t>Matriz de indicadores para evaluación de desempeño del programa</w:t>
      </w:r>
      <w:r w:rsidR="008A14F9" w:rsidRPr="008A14F9">
        <w:rPr>
          <w:rFonts w:asciiTheme="minorHAnsi" w:hAnsiTheme="minorHAnsi"/>
          <w:b/>
          <w:sz w:val="28"/>
          <w:lang w:val="es-HN"/>
        </w:rPr>
        <w:t xml:space="preserve"> </w:t>
      </w:r>
    </w:p>
    <w:p w:rsidR="008416BA" w:rsidRPr="008A14F9" w:rsidRDefault="008A14F9" w:rsidP="008A14F9">
      <w:pPr>
        <w:spacing w:line="240" w:lineRule="auto"/>
        <w:jc w:val="center"/>
        <w:rPr>
          <w:rFonts w:asciiTheme="minorHAnsi" w:hAnsiTheme="minorHAnsi"/>
          <w:b/>
          <w:sz w:val="28"/>
          <w:lang w:val="es-HN"/>
        </w:rPr>
      </w:pPr>
      <w:r w:rsidRPr="008A14F9">
        <w:rPr>
          <w:rFonts w:asciiTheme="minorHAnsi" w:hAnsiTheme="minorHAnsi"/>
          <w:b/>
          <w:sz w:val="28"/>
          <w:lang w:val="es-HN"/>
        </w:rPr>
        <w:t>Apoyo a la Red de Inclusión Social en Occidente HO-L1105</w:t>
      </w:r>
    </w:p>
    <w:tbl>
      <w:tblPr>
        <w:tblStyle w:val="TableGrid"/>
        <w:tblW w:w="14743" w:type="dxa"/>
        <w:tblInd w:w="-743" w:type="dxa"/>
        <w:tblLook w:val="04A0" w:firstRow="1" w:lastRow="0" w:firstColumn="1" w:lastColumn="0" w:noHBand="0" w:noVBand="1"/>
      </w:tblPr>
      <w:tblGrid>
        <w:gridCol w:w="568"/>
        <w:gridCol w:w="8683"/>
        <w:gridCol w:w="1550"/>
        <w:gridCol w:w="1407"/>
        <w:gridCol w:w="1408"/>
        <w:gridCol w:w="1127"/>
      </w:tblGrid>
      <w:tr w:rsidR="006D31FD" w:rsidTr="00C23F1C">
        <w:tc>
          <w:tcPr>
            <w:tcW w:w="425" w:type="dxa"/>
            <w:shd w:val="clear" w:color="auto" w:fill="17365D" w:themeFill="text2" w:themeFillShade="BF"/>
          </w:tcPr>
          <w:p w:rsidR="006D31FD" w:rsidRPr="00EF04E7" w:rsidRDefault="006D31FD" w:rsidP="004E457B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s-HN"/>
              </w:rPr>
            </w:pPr>
            <w:r w:rsidRPr="00EF04E7">
              <w:rPr>
                <w:rFonts w:asciiTheme="minorHAnsi" w:hAnsiTheme="minorHAnsi"/>
                <w:b/>
                <w:color w:val="FFFFFF" w:themeColor="background1"/>
                <w:lang w:val="es-HN"/>
              </w:rPr>
              <w:t>No.</w:t>
            </w:r>
          </w:p>
        </w:tc>
        <w:tc>
          <w:tcPr>
            <w:tcW w:w="8790" w:type="dxa"/>
            <w:shd w:val="clear" w:color="auto" w:fill="17365D" w:themeFill="text2" w:themeFillShade="BF"/>
          </w:tcPr>
          <w:p w:rsidR="006D31FD" w:rsidRPr="00EF04E7" w:rsidRDefault="006D31FD" w:rsidP="004E457B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s-HN"/>
              </w:rPr>
            </w:pPr>
            <w:r w:rsidRPr="00EF04E7">
              <w:rPr>
                <w:rFonts w:asciiTheme="minorHAnsi" w:hAnsiTheme="minorHAnsi"/>
                <w:b/>
                <w:color w:val="FFFFFF" w:themeColor="background1"/>
                <w:lang w:val="es-HN"/>
              </w:rPr>
              <w:t>Indicador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6D31FD" w:rsidRPr="00EF04E7" w:rsidRDefault="006D31FD" w:rsidP="004E457B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s-HN"/>
              </w:rPr>
            </w:pPr>
            <w:r w:rsidRPr="00EF04E7">
              <w:rPr>
                <w:rFonts w:asciiTheme="minorHAnsi" w:hAnsiTheme="minorHAnsi"/>
                <w:b/>
                <w:color w:val="FFFFFF" w:themeColor="background1"/>
                <w:lang w:val="es-HN"/>
              </w:rPr>
              <w:t xml:space="preserve">Unidad de medida 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:rsidR="006D31FD" w:rsidRPr="00EF04E7" w:rsidRDefault="006D31FD" w:rsidP="004E457B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s-HN"/>
              </w:rPr>
            </w:pPr>
            <w:r w:rsidRPr="00EF04E7">
              <w:rPr>
                <w:rFonts w:asciiTheme="minorHAnsi" w:hAnsiTheme="minorHAnsi"/>
                <w:b/>
                <w:color w:val="FFFFFF" w:themeColor="background1"/>
                <w:lang w:val="es-HN"/>
              </w:rPr>
              <w:t>Línea base</w:t>
            </w:r>
          </w:p>
        </w:tc>
        <w:tc>
          <w:tcPr>
            <w:tcW w:w="1418" w:type="dxa"/>
            <w:shd w:val="clear" w:color="auto" w:fill="17365D" w:themeFill="text2" w:themeFillShade="BF"/>
          </w:tcPr>
          <w:p w:rsidR="006D31FD" w:rsidRPr="00EF04E7" w:rsidRDefault="006D31FD" w:rsidP="004E457B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s-HN"/>
              </w:rPr>
            </w:pPr>
            <w:r w:rsidRPr="00EF04E7">
              <w:rPr>
                <w:rFonts w:asciiTheme="minorHAnsi" w:hAnsiTheme="minorHAnsi"/>
                <w:b/>
                <w:color w:val="FFFFFF" w:themeColor="background1"/>
                <w:lang w:val="es-HN"/>
              </w:rPr>
              <w:t>Meta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D31FD" w:rsidRPr="00EF04E7" w:rsidRDefault="006D31FD" w:rsidP="004E457B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lang w:val="es-HN"/>
              </w:rPr>
            </w:pPr>
            <w:r w:rsidRPr="00EF04E7">
              <w:rPr>
                <w:rFonts w:asciiTheme="minorHAnsi" w:hAnsiTheme="minorHAnsi"/>
                <w:b/>
                <w:color w:val="FFFFFF" w:themeColor="background1"/>
                <w:lang w:val="es-HN"/>
              </w:rPr>
              <w:t>Peso</w:t>
            </w:r>
          </w:p>
        </w:tc>
      </w:tr>
      <w:tr w:rsidR="006D31FD" w:rsidTr="0090627B">
        <w:tc>
          <w:tcPr>
            <w:tcW w:w="425" w:type="dxa"/>
          </w:tcPr>
          <w:p w:rsidR="006D31FD" w:rsidRPr="004E457B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Default="006D31FD" w:rsidP="004E457B">
            <w:pPr>
              <w:jc w:val="both"/>
              <w:rPr>
                <w:rFonts w:asciiTheme="minorHAnsi" w:hAnsiTheme="minorHAnsi"/>
                <w:sz w:val="22"/>
                <w:lang w:val="es-HN"/>
              </w:rPr>
            </w:pPr>
            <w:r w:rsidRPr="004E457B">
              <w:rPr>
                <w:rFonts w:asciiTheme="minorHAnsi" w:hAnsiTheme="minorHAnsi"/>
                <w:sz w:val="22"/>
                <w:lang w:val="es-HN"/>
              </w:rPr>
              <w:t>Equipos de Atencion Familiar en Salud (EAFS) conformados de acuerdo a los criterios poblacionales de cobertura negociados entre la SESAL y el gestor en el último año</w:t>
            </w:r>
          </w:p>
        </w:tc>
        <w:tc>
          <w:tcPr>
            <w:tcW w:w="1559" w:type="dxa"/>
          </w:tcPr>
          <w:p w:rsidR="006D31FD" w:rsidRDefault="006D31FD" w:rsidP="006D31FD">
            <w:pPr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Numero de equipos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90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100</w:t>
            </w:r>
          </w:p>
        </w:tc>
        <w:tc>
          <w:tcPr>
            <w:tcW w:w="1134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Default="006D31FD" w:rsidP="00D177DA">
            <w:pPr>
              <w:spacing w:line="360" w:lineRule="auto"/>
              <w:jc w:val="both"/>
              <w:rPr>
                <w:rFonts w:asciiTheme="minorHAnsi" w:hAnsiTheme="minorHAnsi"/>
                <w:sz w:val="22"/>
                <w:lang w:val="es-HN"/>
              </w:rPr>
            </w:pPr>
            <w:r w:rsidRPr="004E457B">
              <w:rPr>
                <w:rFonts w:asciiTheme="minorHAnsi" w:hAnsiTheme="minorHAnsi"/>
                <w:sz w:val="22"/>
                <w:lang w:val="es-HN"/>
              </w:rPr>
              <w:t>Levantamiento de fichas debidamente llenadas por los Equipos de Atencion Familiar</w:t>
            </w:r>
          </w:p>
        </w:tc>
        <w:tc>
          <w:tcPr>
            <w:tcW w:w="1559" w:type="dxa"/>
          </w:tcPr>
          <w:p w:rsidR="006D31FD" w:rsidRDefault="006D31FD" w:rsidP="006D31FD">
            <w:pPr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Numero de fichas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0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80</w:t>
            </w:r>
          </w:p>
        </w:tc>
        <w:tc>
          <w:tcPr>
            <w:tcW w:w="1134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Pr="004E457B" w:rsidRDefault="006D31FD" w:rsidP="00802257">
            <w:pPr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4E457B">
              <w:rPr>
                <w:rFonts w:asciiTheme="minorHAnsi" w:hAnsiTheme="minorHAnsi"/>
                <w:sz w:val="22"/>
                <w:lang w:val="es-ES_tradnl"/>
              </w:rPr>
              <w:t xml:space="preserve">Disponibilidad permanente de medicamentos e insumos para la atención de emergencias </w:t>
            </w:r>
            <w:r>
              <w:rPr>
                <w:rFonts w:asciiTheme="minorHAnsi" w:hAnsiTheme="minorHAnsi"/>
                <w:sz w:val="22"/>
                <w:lang w:val="es-ES_tradnl"/>
              </w:rPr>
              <w:t>obstétricas y neonatales en CMI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%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62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80</w:t>
            </w:r>
          </w:p>
        </w:tc>
        <w:tc>
          <w:tcPr>
            <w:tcW w:w="1134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Pr="00802257" w:rsidRDefault="006D31FD" w:rsidP="00802257">
            <w:pPr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802257">
              <w:rPr>
                <w:rFonts w:asciiTheme="minorHAnsi" w:hAnsiTheme="minorHAnsi"/>
                <w:sz w:val="22"/>
                <w:lang w:val="es-ES_tradnl"/>
              </w:rPr>
              <w:t>Disponibilidad permanente de medicamentos e insumos para la atención de emergencias obstétricas y neonatales en Hospitales</w:t>
            </w:r>
            <w:r>
              <w:rPr>
                <w:rFonts w:asciiTheme="minorHAnsi" w:hAnsiTheme="minorHAnsi"/>
                <w:sz w:val="22"/>
                <w:lang w:val="es-ES_tradnl"/>
              </w:rPr>
              <w:t>.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%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46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70</w:t>
            </w:r>
          </w:p>
        </w:tc>
        <w:tc>
          <w:tcPr>
            <w:tcW w:w="1134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Default="006D31FD" w:rsidP="00802257">
            <w:pPr>
              <w:jc w:val="both"/>
              <w:rPr>
                <w:rFonts w:asciiTheme="minorHAnsi" w:hAnsiTheme="minorHAnsi"/>
                <w:sz w:val="22"/>
                <w:lang w:val="es-HN"/>
              </w:rPr>
            </w:pPr>
            <w:r w:rsidRPr="00802257">
              <w:rPr>
                <w:rFonts w:asciiTheme="minorHAnsi" w:hAnsiTheme="minorHAnsi"/>
                <w:sz w:val="22"/>
                <w:lang w:val="es-HN"/>
              </w:rPr>
              <w:t>Disponibilidad permanente de medicamentos e insumos para la atención de las principales enfermedades prevalentes de la infancia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%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51</w:t>
            </w:r>
            <w:r>
              <w:rPr>
                <w:rStyle w:val="FootnoteReference"/>
                <w:rFonts w:asciiTheme="minorHAnsi" w:hAnsiTheme="minorHAnsi"/>
                <w:sz w:val="22"/>
                <w:lang w:val="es-HN"/>
              </w:rPr>
              <w:footnoteReference w:id="3"/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80</w:t>
            </w:r>
          </w:p>
        </w:tc>
        <w:tc>
          <w:tcPr>
            <w:tcW w:w="1134" w:type="dxa"/>
          </w:tcPr>
          <w:p w:rsidR="006D31FD" w:rsidRDefault="006D31FD" w:rsidP="008311CA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Pr="00802257" w:rsidRDefault="006D31FD" w:rsidP="00802257">
            <w:pPr>
              <w:jc w:val="both"/>
              <w:rPr>
                <w:rFonts w:asciiTheme="minorHAnsi" w:hAnsiTheme="minorHAnsi"/>
                <w:sz w:val="22"/>
                <w:lang w:val="es-PA"/>
              </w:rPr>
            </w:pPr>
            <w:r w:rsidRPr="00802257">
              <w:rPr>
                <w:rFonts w:asciiTheme="minorHAnsi" w:hAnsiTheme="minorHAnsi"/>
                <w:sz w:val="22"/>
                <w:lang w:val="es-HN"/>
              </w:rPr>
              <w:t>Establecimientos de salud de primer nivel (Tipos 1 y 2 ) con disponibilidad permanente de Micronutrientes en Polvo (MNP)  para la suplementación de alimentos en el hogar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%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82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90</w:t>
            </w:r>
          </w:p>
        </w:tc>
        <w:tc>
          <w:tcPr>
            <w:tcW w:w="1134" w:type="dxa"/>
          </w:tcPr>
          <w:p w:rsidR="006D31FD" w:rsidRDefault="006D31FD" w:rsidP="008311CA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Pr="00802257" w:rsidRDefault="0090627B" w:rsidP="0090627B">
            <w:pPr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>
              <w:rPr>
                <w:rFonts w:asciiTheme="minorHAnsi" w:hAnsiTheme="minorHAnsi"/>
                <w:sz w:val="22"/>
                <w:lang w:val="es-ES_tradnl"/>
              </w:rPr>
              <w:t xml:space="preserve">Establecimientos de </w:t>
            </w:r>
            <w:r w:rsidR="006D31FD" w:rsidRPr="00802257">
              <w:rPr>
                <w:rFonts w:asciiTheme="minorHAnsi" w:hAnsiTheme="minorHAnsi"/>
                <w:sz w:val="22"/>
                <w:lang w:val="es-ES_tradnl"/>
              </w:rPr>
              <w:t xml:space="preserve">Salud de Primer </w:t>
            </w:r>
            <w:r>
              <w:rPr>
                <w:rFonts w:asciiTheme="minorHAnsi" w:hAnsiTheme="minorHAnsi"/>
                <w:sz w:val="22"/>
                <w:lang w:val="es-ES_tradnl"/>
              </w:rPr>
              <w:t>nivel abastecido</w:t>
            </w:r>
            <w:r w:rsidR="006D31FD" w:rsidRPr="00802257">
              <w:rPr>
                <w:rFonts w:asciiTheme="minorHAnsi" w:hAnsiTheme="minorHAnsi"/>
                <w:sz w:val="22"/>
                <w:lang w:val="es-ES_tradnl"/>
              </w:rPr>
              <w:t>s con los métodos de planificación familiar de acuerdo a la norma vigente  de la SESAL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%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86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90</w:t>
            </w:r>
          </w:p>
        </w:tc>
        <w:tc>
          <w:tcPr>
            <w:tcW w:w="1134" w:type="dxa"/>
          </w:tcPr>
          <w:p w:rsidR="006D31FD" w:rsidRDefault="006D31FD" w:rsidP="008311CA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Pr="00802257" w:rsidRDefault="006D31FD" w:rsidP="00802257">
            <w:pPr>
              <w:jc w:val="both"/>
              <w:rPr>
                <w:rFonts w:asciiTheme="minorHAnsi" w:hAnsiTheme="minorHAnsi"/>
                <w:sz w:val="22"/>
                <w:lang w:val="es-ES_tradnl"/>
              </w:rPr>
            </w:pPr>
            <w:r w:rsidRPr="00802257">
              <w:rPr>
                <w:rFonts w:asciiTheme="minorHAnsi" w:hAnsiTheme="minorHAnsi"/>
                <w:sz w:val="22"/>
                <w:lang w:val="es-ES_tradnl"/>
              </w:rPr>
              <w:t>Cobertura permanente de los servicios de Obstetricia y Neonatología</w:t>
            </w:r>
            <w:r w:rsidRPr="00802257">
              <w:rPr>
                <w:rFonts w:asciiTheme="minorHAnsi" w:hAnsiTheme="minorHAnsi"/>
                <w:sz w:val="22"/>
                <w:lang w:val="es-ES_tradnl"/>
              </w:rPr>
              <w:tab/>
              <w:t xml:space="preserve"> 24/7 de los hospitales con médico especialista.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%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70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80</w:t>
            </w:r>
          </w:p>
        </w:tc>
        <w:tc>
          <w:tcPr>
            <w:tcW w:w="1134" w:type="dxa"/>
          </w:tcPr>
          <w:p w:rsidR="006D31FD" w:rsidRDefault="006D31FD" w:rsidP="008311CA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Default="006D31FD" w:rsidP="00802257">
            <w:pPr>
              <w:jc w:val="both"/>
              <w:rPr>
                <w:rFonts w:asciiTheme="minorHAnsi" w:hAnsiTheme="minorHAnsi"/>
                <w:sz w:val="22"/>
                <w:lang w:val="es-HN"/>
              </w:rPr>
            </w:pPr>
            <w:r w:rsidRPr="00802257">
              <w:rPr>
                <w:rFonts w:asciiTheme="minorHAnsi" w:hAnsiTheme="minorHAnsi"/>
                <w:sz w:val="22"/>
                <w:lang w:val="es-HN"/>
              </w:rPr>
              <w:t>Elaboración y aprobacion del manual de organización y Funciones para la administración del Modelo de Gestión Descentralizada Desarrollado.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Manual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0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</w:t>
            </w:r>
          </w:p>
        </w:tc>
        <w:tc>
          <w:tcPr>
            <w:tcW w:w="1134" w:type="dxa"/>
          </w:tcPr>
          <w:p w:rsidR="006D31FD" w:rsidRDefault="006D31FD" w:rsidP="008311CA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  <w:tr w:rsidR="006D31FD" w:rsidTr="0090627B">
        <w:tc>
          <w:tcPr>
            <w:tcW w:w="425" w:type="dxa"/>
          </w:tcPr>
          <w:p w:rsidR="006D31FD" w:rsidRDefault="006D31FD" w:rsidP="004E45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HAnsi" w:hAnsiTheme="minorHAnsi"/>
                <w:sz w:val="22"/>
                <w:lang w:val="es-HN"/>
              </w:rPr>
            </w:pPr>
          </w:p>
        </w:tc>
        <w:tc>
          <w:tcPr>
            <w:tcW w:w="8790" w:type="dxa"/>
          </w:tcPr>
          <w:p w:rsidR="006D31FD" w:rsidRDefault="006D31FD" w:rsidP="00802257">
            <w:pPr>
              <w:jc w:val="both"/>
              <w:rPr>
                <w:rFonts w:asciiTheme="minorHAnsi" w:hAnsiTheme="minorHAnsi"/>
                <w:sz w:val="22"/>
                <w:lang w:val="es-HN"/>
              </w:rPr>
            </w:pPr>
            <w:r w:rsidRPr="00802257">
              <w:rPr>
                <w:rFonts w:asciiTheme="minorHAnsi" w:hAnsiTheme="minorHAnsi"/>
                <w:sz w:val="22"/>
                <w:lang w:val="es-HN"/>
              </w:rPr>
              <w:t>Elaboración del manual para la certificación de gestores descentralizados de primer y segundo nivel desarrollado</w:t>
            </w:r>
          </w:p>
        </w:tc>
        <w:tc>
          <w:tcPr>
            <w:tcW w:w="1559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Manual</w:t>
            </w:r>
          </w:p>
        </w:tc>
        <w:tc>
          <w:tcPr>
            <w:tcW w:w="1417" w:type="dxa"/>
          </w:tcPr>
          <w:p w:rsidR="006D31FD" w:rsidRDefault="006D31FD" w:rsidP="00802257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0</w:t>
            </w:r>
          </w:p>
        </w:tc>
        <w:tc>
          <w:tcPr>
            <w:tcW w:w="1418" w:type="dxa"/>
          </w:tcPr>
          <w:p w:rsidR="006D31FD" w:rsidRDefault="006D31FD" w:rsidP="006D31FD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</w:t>
            </w:r>
          </w:p>
        </w:tc>
        <w:tc>
          <w:tcPr>
            <w:tcW w:w="1134" w:type="dxa"/>
          </w:tcPr>
          <w:p w:rsidR="006D31FD" w:rsidRDefault="006D31FD" w:rsidP="008311CA">
            <w:pPr>
              <w:spacing w:line="360" w:lineRule="auto"/>
              <w:jc w:val="center"/>
              <w:rPr>
                <w:rFonts w:asciiTheme="minorHAnsi" w:hAnsiTheme="minorHAnsi"/>
                <w:sz w:val="22"/>
                <w:lang w:val="es-HN"/>
              </w:rPr>
            </w:pPr>
            <w:r>
              <w:rPr>
                <w:rFonts w:asciiTheme="minorHAnsi" w:hAnsiTheme="minorHAnsi"/>
                <w:sz w:val="22"/>
                <w:lang w:val="es-HN"/>
              </w:rPr>
              <w:t>1/10</w:t>
            </w:r>
          </w:p>
        </w:tc>
      </w:tr>
    </w:tbl>
    <w:p w:rsidR="008416BA" w:rsidRPr="00601EF9" w:rsidRDefault="008416BA" w:rsidP="00D177DA">
      <w:pPr>
        <w:spacing w:line="360" w:lineRule="auto"/>
        <w:jc w:val="both"/>
        <w:rPr>
          <w:rFonts w:asciiTheme="minorHAnsi" w:hAnsiTheme="minorHAnsi"/>
          <w:sz w:val="22"/>
          <w:lang w:val="es-HN"/>
        </w:rPr>
      </w:pPr>
    </w:p>
    <w:sectPr w:rsidR="008416BA" w:rsidRPr="00601EF9" w:rsidSect="008416B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42" w:rsidRDefault="00091E42" w:rsidP="006A2628">
      <w:pPr>
        <w:spacing w:line="240" w:lineRule="auto"/>
      </w:pPr>
      <w:r>
        <w:separator/>
      </w:r>
    </w:p>
  </w:endnote>
  <w:endnote w:type="continuationSeparator" w:id="0">
    <w:p w:rsidR="00091E42" w:rsidRDefault="00091E42" w:rsidP="006A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42" w:rsidRDefault="00091E42" w:rsidP="006A2628">
      <w:pPr>
        <w:spacing w:line="240" w:lineRule="auto"/>
      </w:pPr>
      <w:r>
        <w:separator/>
      </w:r>
    </w:p>
  </w:footnote>
  <w:footnote w:type="continuationSeparator" w:id="0">
    <w:p w:rsidR="00091E42" w:rsidRDefault="00091E42" w:rsidP="006A2628">
      <w:pPr>
        <w:spacing w:line="240" w:lineRule="auto"/>
      </w:pPr>
      <w:r>
        <w:continuationSeparator/>
      </w:r>
    </w:p>
  </w:footnote>
  <w:footnote w:id="1">
    <w:p w:rsidR="00700177" w:rsidRPr="006A2628" w:rsidRDefault="00700177">
      <w:pPr>
        <w:pStyle w:val="FootnoteText"/>
        <w:rPr>
          <w:lang w:val="es-HN"/>
        </w:rPr>
      </w:pPr>
      <w:r>
        <w:rPr>
          <w:rStyle w:val="FootnoteReference"/>
        </w:rPr>
        <w:footnoteRef/>
      </w:r>
      <w:r w:rsidRPr="006A2628">
        <w:rPr>
          <w:lang w:val="es-HN"/>
        </w:rPr>
        <w:t xml:space="preserve"> </w:t>
      </w:r>
      <w:r>
        <w:rPr>
          <w:lang w:val="es-HN"/>
        </w:rPr>
        <w:t xml:space="preserve">TBD: Por determinar por la SESAL y el Gestor. </w:t>
      </w:r>
    </w:p>
  </w:footnote>
  <w:footnote w:id="2">
    <w:p w:rsidR="00C23F1C" w:rsidRPr="00C23F1C" w:rsidRDefault="00C23F1C">
      <w:pPr>
        <w:pStyle w:val="FootnoteText"/>
        <w:rPr>
          <w:lang w:val="es-HN"/>
        </w:rPr>
      </w:pPr>
      <w:r>
        <w:rPr>
          <w:rStyle w:val="FootnoteReference"/>
        </w:rPr>
        <w:footnoteRef/>
      </w:r>
      <w:r w:rsidRPr="00C23F1C">
        <w:rPr>
          <w:lang w:val="es-HN"/>
        </w:rPr>
        <w:t xml:space="preserve"> </w:t>
      </w:r>
      <w:r>
        <w:rPr>
          <w:lang w:val="es-HN"/>
        </w:rPr>
        <w:t>La estrategia vigente de la SESAL se  refiere a la Estrategia Metodológica de los Servicios de Planificación  Familiar en la Red de Servicios de Salud. Octubre del 2012</w:t>
      </w:r>
    </w:p>
  </w:footnote>
  <w:footnote w:id="3">
    <w:p w:rsidR="006D31FD" w:rsidRPr="006D31FD" w:rsidRDefault="006D31FD">
      <w:pPr>
        <w:pStyle w:val="FootnoteText"/>
        <w:rPr>
          <w:lang w:val="es-HN"/>
        </w:rPr>
      </w:pPr>
      <w:r>
        <w:rPr>
          <w:rStyle w:val="FootnoteReference"/>
        </w:rPr>
        <w:footnoteRef/>
      </w:r>
      <w:r w:rsidRPr="006D31FD">
        <w:rPr>
          <w:lang w:val="es-HN"/>
        </w:rPr>
        <w:t xml:space="preserve"> </w:t>
      </w:r>
      <w:r>
        <w:rPr>
          <w:lang w:val="es-HN"/>
        </w:rPr>
        <w:t xml:space="preserve">Dato tomado de la evaluación de la primera operación </w:t>
      </w:r>
      <w:r w:rsidR="00EF04E7">
        <w:rPr>
          <w:lang w:val="es-HN"/>
        </w:rPr>
        <w:t>del P</w:t>
      </w:r>
      <w:r>
        <w:rPr>
          <w:lang w:val="es-HN"/>
        </w:rPr>
        <w:t>rograma SM-2015 de marzo 2013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9D"/>
    <w:multiLevelType w:val="hybridMultilevel"/>
    <w:tmpl w:val="59C447F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7D6"/>
    <w:multiLevelType w:val="hybridMultilevel"/>
    <w:tmpl w:val="9F6EC90E"/>
    <w:lvl w:ilvl="0" w:tplc="A04AE7BE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3FE3"/>
    <w:multiLevelType w:val="hybridMultilevel"/>
    <w:tmpl w:val="EB06D722"/>
    <w:lvl w:ilvl="0" w:tplc="B7107D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9D1"/>
    <w:multiLevelType w:val="hybridMultilevel"/>
    <w:tmpl w:val="906CEC7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50CB"/>
    <w:multiLevelType w:val="hybridMultilevel"/>
    <w:tmpl w:val="5B92647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27D09"/>
    <w:multiLevelType w:val="hybridMultilevel"/>
    <w:tmpl w:val="EB06D722"/>
    <w:lvl w:ilvl="0" w:tplc="B7107D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3C13"/>
    <w:multiLevelType w:val="hybridMultilevel"/>
    <w:tmpl w:val="EB06D722"/>
    <w:lvl w:ilvl="0" w:tplc="B7107D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4180"/>
    <w:multiLevelType w:val="hybridMultilevel"/>
    <w:tmpl w:val="C3FAE93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24BF4"/>
    <w:multiLevelType w:val="hybridMultilevel"/>
    <w:tmpl w:val="576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C1C81"/>
    <w:multiLevelType w:val="hybridMultilevel"/>
    <w:tmpl w:val="2BC48D0E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02BD9"/>
    <w:multiLevelType w:val="hybridMultilevel"/>
    <w:tmpl w:val="C546C29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9734E"/>
    <w:multiLevelType w:val="hybridMultilevel"/>
    <w:tmpl w:val="9F6EC90E"/>
    <w:lvl w:ilvl="0" w:tplc="A04AE7BE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7431"/>
    <w:multiLevelType w:val="hybridMultilevel"/>
    <w:tmpl w:val="736ECEA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E2400"/>
    <w:multiLevelType w:val="hybridMultilevel"/>
    <w:tmpl w:val="DBC82BA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1097F"/>
    <w:multiLevelType w:val="hybridMultilevel"/>
    <w:tmpl w:val="736ECEAA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9"/>
    <w:rsid w:val="0004616F"/>
    <w:rsid w:val="00091E42"/>
    <w:rsid w:val="000B06E0"/>
    <w:rsid w:val="000B39A1"/>
    <w:rsid w:val="000D7EA4"/>
    <w:rsid w:val="000E6F81"/>
    <w:rsid w:val="00155EDC"/>
    <w:rsid w:val="00205640"/>
    <w:rsid w:val="00207B08"/>
    <w:rsid w:val="00211C3A"/>
    <w:rsid w:val="002250B5"/>
    <w:rsid w:val="00257E5F"/>
    <w:rsid w:val="002652A9"/>
    <w:rsid w:val="002703F4"/>
    <w:rsid w:val="00291090"/>
    <w:rsid w:val="002A45C3"/>
    <w:rsid w:val="002C504C"/>
    <w:rsid w:val="00310CF8"/>
    <w:rsid w:val="00311AA9"/>
    <w:rsid w:val="00313FB3"/>
    <w:rsid w:val="0033167A"/>
    <w:rsid w:val="00360FFE"/>
    <w:rsid w:val="003A2586"/>
    <w:rsid w:val="003A748D"/>
    <w:rsid w:val="003C1FE8"/>
    <w:rsid w:val="003E6535"/>
    <w:rsid w:val="004225A0"/>
    <w:rsid w:val="00492825"/>
    <w:rsid w:val="004A208F"/>
    <w:rsid w:val="004E457B"/>
    <w:rsid w:val="004E66A9"/>
    <w:rsid w:val="00572027"/>
    <w:rsid w:val="0058070A"/>
    <w:rsid w:val="005A6D05"/>
    <w:rsid w:val="005C7983"/>
    <w:rsid w:val="00601EF9"/>
    <w:rsid w:val="0066458F"/>
    <w:rsid w:val="006704D1"/>
    <w:rsid w:val="006923BE"/>
    <w:rsid w:val="006936F5"/>
    <w:rsid w:val="006A1000"/>
    <w:rsid w:val="006A2628"/>
    <w:rsid w:val="006C3A2F"/>
    <w:rsid w:val="006D31FD"/>
    <w:rsid w:val="006F78A3"/>
    <w:rsid w:val="00700177"/>
    <w:rsid w:val="007971F5"/>
    <w:rsid w:val="007D52F7"/>
    <w:rsid w:val="00802257"/>
    <w:rsid w:val="008347E5"/>
    <w:rsid w:val="008416BA"/>
    <w:rsid w:val="008512F6"/>
    <w:rsid w:val="00854E89"/>
    <w:rsid w:val="00861193"/>
    <w:rsid w:val="00885344"/>
    <w:rsid w:val="00887A30"/>
    <w:rsid w:val="008A14F9"/>
    <w:rsid w:val="008B51C2"/>
    <w:rsid w:val="008D50A7"/>
    <w:rsid w:val="008E3061"/>
    <w:rsid w:val="008F2E26"/>
    <w:rsid w:val="00905D04"/>
    <w:rsid w:val="0090627B"/>
    <w:rsid w:val="00937A3A"/>
    <w:rsid w:val="00981EA8"/>
    <w:rsid w:val="009B5EE1"/>
    <w:rsid w:val="009C23D3"/>
    <w:rsid w:val="00A02A93"/>
    <w:rsid w:val="00A2229D"/>
    <w:rsid w:val="00A3696B"/>
    <w:rsid w:val="00A47BD2"/>
    <w:rsid w:val="00A572E6"/>
    <w:rsid w:val="00A65AED"/>
    <w:rsid w:val="00AB0D5E"/>
    <w:rsid w:val="00AB3BF0"/>
    <w:rsid w:val="00B027EE"/>
    <w:rsid w:val="00B8740A"/>
    <w:rsid w:val="00BB7BB1"/>
    <w:rsid w:val="00BD6849"/>
    <w:rsid w:val="00BF4335"/>
    <w:rsid w:val="00BF6F90"/>
    <w:rsid w:val="00C1019E"/>
    <w:rsid w:val="00C23F1C"/>
    <w:rsid w:val="00C4478D"/>
    <w:rsid w:val="00C926AD"/>
    <w:rsid w:val="00C95B33"/>
    <w:rsid w:val="00CA13A6"/>
    <w:rsid w:val="00CC63FA"/>
    <w:rsid w:val="00D177DA"/>
    <w:rsid w:val="00D23A5F"/>
    <w:rsid w:val="00D85914"/>
    <w:rsid w:val="00DA1222"/>
    <w:rsid w:val="00DD0CAA"/>
    <w:rsid w:val="00E33EFB"/>
    <w:rsid w:val="00E7711E"/>
    <w:rsid w:val="00E928A9"/>
    <w:rsid w:val="00E97E04"/>
    <w:rsid w:val="00EB5EBF"/>
    <w:rsid w:val="00EC08D9"/>
    <w:rsid w:val="00ED55FB"/>
    <w:rsid w:val="00ED7621"/>
    <w:rsid w:val="00EF04E7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8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3A748D"/>
    <w:pPr>
      <w:ind w:left="720"/>
      <w:contextualSpacing/>
    </w:pPr>
  </w:style>
  <w:style w:type="paragraph" w:styleId="FootnoteText">
    <w:name w:val="footnote text"/>
    <w:aliases w:val="single space,footnote text,fn,FOOTNOTES,Char,Footnote text Char Char,Footnote text,Footnote Text Char Char Char Char Char Char,Footnote Text Char Char Char Char1,Footnote Text Char Char Char Char Char1,footnote,Geneva 9,f,Footnote Text Ch"/>
    <w:basedOn w:val="Normal"/>
    <w:link w:val="FootnoteTextChar"/>
    <w:uiPriority w:val="99"/>
    <w:unhideWhenUsed/>
    <w:rsid w:val="006A26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Char Char,Footnote text Char Char Char,Footnote text Char,Footnote Text Char Char Char Char Char Char Char,Footnote Text Char Char Char Char1 Char,footnote Char,Geneva 9 Char"/>
    <w:basedOn w:val="DefaultParagraphFont"/>
    <w:link w:val="FootnoteText"/>
    <w:uiPriority w:val="99"/>
    <w:rsid w:val="006A262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aliases w:val="16 Point,Superscript 6 Point,ftref,Ref,de nota al pie"/>
    <w:basedOn w:val="DefaultParagraphFont"/>
    <w:unhideWhenUsed/>
    <w:rsid w:val="006A2628"/>
    <w:rPr>
      <w:vertAlign w:val="superscript"/>
    </w:rPr>
  </w:style>
  <w:style w:type="paragraph" w:customStyle="1" w:styleId="HeaderFooterA">
    <w:name w:val="Header &amp; Footer A"/>
    <w:link w:val="HeaderFooterAChar"/>
    <w:rsid w:val="00BB7BB1"/>
    <w:pPr>
      <w:spacing w:after="0" w:line="100" w:lineRule="atLeast"/>
    </w:pPr>
    <w:rPr>
      <w:rFonts w:ascii="Helvetica" w:eastAsia="ヒラギノ角ゴ Pro W3" w:hAnsi="Helvetica" w:cs="Times New Roman"/>
      <w:color w:val="000000"/>
      <w:kern w:val="1"/>
      <w:sz w:val="20"/>
      <w:szCs w:val="20"/>
      <w:lang w:val="en-US"/>
    </w:rPr>
  </w:style>
  <w:style w:type="character" w:customStyle="1" w:styleId="HeaderFooterAChar">
    <w:name w:val="Header &amp; Footer A Char"/>
    <w:basedOn w:val="DefaultParagraphFont"/>
    <w:link w:val="HeaderFooterA"/>
    <w:rsid w:val="00BB7BB1"/>
    <w:rPr>
      <w:rFonts w:ascii="Helvetica" w:eastAsia="ヒラギノ角ゴ Pro W3" w:hAnsi="Helvetica" w:cs="Times New Roman"/>
      <w:color w:val="000000"/>
      <w:kern w:val="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rsid w:val="00AB3BF0"/>
    <w:pPr>
      <w:spacing w:after="0" w:line="240" w:lineRule="auto"/>
    </w:pPr>
    <w:rPr>
      <w:rFonts w:eastAsia="ヒラギノ角ゴ Pro W3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BF0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5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8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8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3A748D"/>
    <w:pPr>
      <w:ind w:left="720"/>
      <w:contextualSpacing/>
    </w:pPr>
  </w:style>
  <w:style w:type="paragraph" w:styleId="FootnoteText">
    <w:name w:val="footnote text"/>
    <w:aliases w:val="single space,footnote text,fn,FOOTNOTES,Char,Footnote text Char Char,Footnote text,Footnote Text Char Char Char Char Char Char,Footnote Text Char Char Char Char1,Footnote Text Char Char Char Char Char1,footnote,Geneva 9,f,Footnote Text Ch"/>
    <w:basedOn w:val="Normal"/>
    <w:link w:val="FootnoteTextChar"/>
    <w:uiPriority w:val="99"/>
    <w:unhideWhenUsed/>
    <w:rsid w:val="006A26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Char Char,Footnote text Char Char Char,Footnote text Char,Footnote Text Char Char Char Char Char Char Char,Footnote Text Char Char Char Char1 Char,footnote Char,Geneva 9 Char"/>
    <w:basedOn w:val="DefaultParagraphFont"/>
    <w:link w:val="FootnoteText"/>
    <w:uiPriority w:val="99"/>
    <w:rsid w:val="006A262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aliases w:val="16 Point,Superscript 6 Point,ftref,Ref,de nota al pie"/>
    <w:basedOn w:val="DefaultParagraphFont"/>
    <w:unhideWhenUsed/>
    <w:rsid w:val="006A2628"/>
    <w:rPr>
      <w:vertAlign w:val="superscript"/>
    </w:rPr>
  </w:style>
  <w:style w:type="paragraph" w:customStyle="1" w:styleId="HeaderFooterA">
    <w:name w:val="Header &amp; Footer A"/>
    <w:link w:val="HeaderFooterAChar"/>
    <w:rsid w:val="00BB7BB1"/>
    <w:pPr>
      <w:spacing w:after="0" w:line="100" w:lineRule="atLeast"/>
    </w:pPr>
    <w:rPr>
      <w:rFonts w:ascii="Helvetica" w:eastAsia="ヒラギノ角ゴ Pro W3" w:hAnsi="Helvetica" w:cs="Times New Roman"/>
      <w:color w:val="000000"/>
      <w:kern w:val="1"/>
      <w:sz w:val="20"/>
      <w:szCs w:val="20"/>
      <w:lang w:val="en-US"/>
    </w:rPr>
  </w:style>
  <w:style w:type="character" w:customStyle="1" w:styleId="HeaderFooterAChar">
    <w:name w:val="Header &amp; Footer A Char"/>
    <w:basedOn w:val="DefaultParagraphFont"/>
    <w:link w:val="HeaderFooterA"/>
    <w:rsid w:val="00BB7BB1"/>
    <w:rPr>
      <w:rFonts w:ascii="Helvetica" w:eastAsia="ヒラギノ角ゴ Pro W3" w:hAnsi="Helvetica" w:cs="Times New Roman"/>
      <w:color w:val="000000"/>
      <w:kern w:val="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6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rsid w:val="00AB3BF0"/>
    <w:pPr>
      <w:spacing w:after="0" w:line="240" w:lineRule="auto"/>
    </w:pPr>
    <w:rPr>
      <w:rFonts w:eastAsia="ヒラギノ角ゴ Pro W3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BF0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40273221</IDBDocs_x0020_Number>
    <TaxCatchAll xmlns="9c571b2f-e523-4ab2-ba2e-09e151a03ef4">
      <Value>5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SCL/SPH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Tejerina, Luis R.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HO-L1105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IS-INS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22815AE354FCFA468D52301C118528C4" ma:contentTypeVersion="0" ma:contentTypeDescription="A content type to manage public (operations) IDB documents" ma:contentTypeScope="" ma:versionID="323dc80aa54ad81f04cb70ce55d23484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f32c5dd488d5d8caf8715745ccb806d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b7b6cc8-aa77-492b-a3d9-e2df0bc5e2b3}" ma:internalName="TaxCatchAll" ma:showField="CatchAllData" ma:web="2797acde-cc60-4331-81ae-cdd226a03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b7b6cc8-aa77-492b-a3d9-e2df0bc5e2b3}" ma:internalName="TaxCatchAllLabel" ma:readOnly="true" ma:showField="CatchAllDataLabel" ma:web="2797acde-cc60-4331-81ae-cdd226a03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3595E-6FC7-4130-8447-65A08E32B34C}"/>
</file>

<file path=customXml/itemProps2.xml><?xml version="1.0" encoding="utf-8"?>
<ds:datastoreItem xmlns:ds="http://schemas.openxmlformats.org/officeDocument/2006/customXml" ds:itemID="{B2A1FAB6-9463-4FA1-8A0A-58B4CEE0EAAC}"/>
</file>

<file path=customXml/itemProps3.xml><?xml version="1.0" encoding="utf-8"?>
<ds:datastoreItem xmlns:ds="http://schemas.openxmlformats.org/officeDocument/2006/customXml" ds:itemID="{0A6F0DDE-77B2-4BD3-B3D5-07C74D2E1A36}"/>
</file>

<file path=customXml/itemProps4.xml><?xml version="1.0" encoding="utf-8"?>
<ds:datastoreItem xmlns:ds="http://schemas.openxmlformats.org/officeDocument/2006/customXml" ds:itemID="{FCB50F2B-6F35-4AEA-A327-F879F4C1A6E0}"/>
</file>

<file path=customXml/itemProps5.xml><?xml version="1.0" encoding="utf-8"?>
<ds:datastoreItem xmlns:ds="http://schemas.openxmlformats.org/officeDocument/2006/customXml" ds:itemID="{25F0BB09-D045-4D3D-AE10-62C0C0B55580}"/>
</file>

<file path=customXml/itemProps6.xml><?xml version="1.0" encoding="utf-8"?>
<ds:datastoreItem xmlns:ds="http://schemas.openxmlformats.org/officeDocument/2006/customXml" ds:itemID="{EDB5B5DD-3074-4AB9-8D6D-9426DDF35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3069</Words>
  <Characters>17499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_Manual de Indicadores_</dc:title>
  <dc:creator>Artuto Gutierrez</dc:creator>
  <cp:lastModifiedBy>Test</cp:lastModifiedBy>
  <cp:revision>3</cp:revision>
  <dcterms:created xsi:type="dcterms:W3CDTF">2016-05-09T19:33:00Z</dcterms:created>
  <dcterms:modified xsi:type="dcterms:W3CDTF">2016-07-18T18:16:00Z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0x01010046CF21643EE8D14686A648AA6DAD08920022815AE354FCFA468D52301C118528C4</vt:lpwstr>
  </property>
  <property fmtid="{D5CDD505-2E9C-101B-9397-08002B2CF9AE}" pid="3" name="TaxKeyword">
    <vt:lpwstr/>
  </property>
  <property fmtid="{D5CDD505-2E9C-101B-9397-08002B2CF9AE}" pid="4" name="Function Operations IDB">
    <vt:lpwstr>6;#IDBDocs|cca77002-e150-4b2d-ab1f-1d7a7cdcae16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