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A0DA" w14:textId="77777777" w:rsidR="009B6F84" w:rsidRPr="005535A4" w:rsidRDefault="009B6F84" w:rsidP="009B6F84">
      <w:pPr>
        <w:pStyle w:val="SubSubPar"/>
        <w:numPr>
          <w:ilvl w:val="0"/>
          <w:numId w:val="0"/>
        </w:numPr>
        <w:jc w:val="center"/>
        <w:rPr>
          <w:smallCaps/>
          <w:szCs w:val="24"/>
          <w:lang w:val="es-ES"/>
        </w:rPr>
      </w:pPr>
      <w:r w:rsidRPr="005535A4">
        <w:rPr>
          <w:smallCaps/>
          <w:szCs w:val="24"/>
          <w:lang w:val="es-ES"/>
        </w:rPr>
        <w:t>Documento del Banco Interamericano De Desarrollo</w:t>
      </w:r>
    </w:p>
    <w:p w14:paraId="07079FDE" w14:textId="77777777" w:rsidR="009B6F84" w:rsidRPr="00A73B9B" w:rsidRDefault="009B6F84" w:rsidP="009B6F84">
      <w:pPr>
        <w:pStyle w:val="Title"/>
        <w:tabs>
          <w:tab w:val="clear" w:pos="1440"/>
          <w:tab w:val="clear" w:pos="3060"/>
        </w:tabs>
        <w:outlineLvl w:val="9"/>
        <w:rPr>
          <w:smallCaps/>
          <w:sz w:val="22"/>
          <w:szCs w:val="22"/>
          <w:lang w:val="es-ES"/>
        </w:rPr>
      </w:pPr>
    </w:p>
    <w:p w14:paraId="4A8CC4DD" w14:textId="77777777" w:rsidR="009B6F84" w:rsidRPr="00A73B9B" w:rsidRDefault="009B6F84" w:rsidP="009B6F84">
      <w:pPr>
        <w:pStyle w:val="ListParagraph"/>
        <w:spacing w:before="120" w:after="0" w:line="360" w:lineRule="auto"/>
        <w:ind w:left="0"/>
        <w:jc w:val="center"/>
        <w:rPr>
          <w:rFonts w:ascii="Times New Roman" w:hAnsi="Times New Roman"/>
          <w:b/>
          <w:lang w:val="es-ES_tradnl"/>
        </w:rPr>
      </w:pPr>
    </w:p>
    <w:p w14:paraId="15693B7D" w14:textId="77777777" w:rsidR="009B6F84" w:rsidRPr="00A73B9B" w:rsidRDefault="009B6F84" w:rsidP="009B6F84">
      <w:pPr>
        <w:tabs>
          <w:tab w:val="left" w:pos="1440"/>
          <w:tab w:val="left" w:pos="3060"/>
        </w:tabs>
        <w:jc w:val="center"/>
        <w:rPr>
          <w:rFonts w:ascii="Times New Roman" w:hAnsi="Times New Roman"/>
          <w:b/>
          <w:smallCaps/>
          <w:lang w:val="es-ES_tradnl"/>
        </w:rPr>
      </w:pPr>
    </w:p>
    <w:p w14:paraId="011BDECA" w14:textId="77777777" w:rsidR="009B6F84" w:rsidRPr="00A73B9B" w:rsidRDefault="009B6F84" w:rsidP="009B6F84">
      <w:pPr>
        <w:tabs>
          <w:tab w:val="left" w:pos="1440"/>
          <w:tab w:val="left" w:pos="3060"/>
        </w:tabs>
        <w:jc w:val="center"/>
        <w:rPr>
          <w:rFonts w:ascii="Times New Roman" w:hAnsi="Times New Roman"/>
          <w:b/>
          <w:smallCaps/>
          <w:lang w:val="es-ES_tradnl"/>
        </w:rPr>
      </w:pPr>
    </w:p>
    <w:p w14:paraId="253E9D96" w14:textId="77777777" w:rsidR="009B6F84" w:rsidRPr="00E76F1C" w:rsidRDefault="009B6F84" w:rsidP="009B6F84">
      <w:pPr>
        <w:tabs>
          <w:tab w:val="left" w:pos="1440"/>
          <w:tab w:val="left" w:pos="3060"/>
        </w:tabs>
        <w:jc w:val="center"/>
        <w:rPr>
          <w:rFonts w:ascii="Times New Roman" w:hAnsi="Times New Roman"/>
          <w:b/>
          <w:smallCaps/>
          <w:lang w:val="es-ES_tradnl"/>
        </w:rPr>
      </w:pPr>
      <w:r w:rsidRPr="00E76F1C">
        <w:rPr>
          <w:rFonts w:ascii="Times New Roman" w:hAnsi="Times New Roman"/>
          <w:b/>
          <w:smallCaps/>
          <w:lang w:val="es-ES_tradnl"/>
        </w:rPr>
        <w:t>Bolivia</w:t>
      </w:r>
    </w:p>
    <w:p w14:paraId="6E3051CA" w14:textId="77777777" w:rsidR="009B6F84" w:rsidRPr="00A73B9B" w:rsidRDefault="009B6F84" w:rsidP="009B6F84">
      <w:pPr>
        <w:tabs>
          <w:tab w:val="left" w:pos="1440"/>
          <w:tab w:val="left" w:pos="3060"/>
        </w:tabs>
        <w:jc w:val="center"/>
        <w:rPr>
          <w:rFonts w:ascii="Times New Roman" w:hAnsi="Times New Roman"/>
          <w:b/>
          <w:smallCaps/>
          <w:highlight w:val="lightGray"/>
          <w:lang w:val="es-ES_tradnl"/>
        </w:rPr>
      </w:pPr>
    </w:p>
    <w:p w14:paraId="4EBEB6F8" w14:textId="77777777" w:rsidR="009B6F84" w:rsidRPr="00A73B9B" w:rsidRDefault="009B6F84" w:rsidP="009B6F84">
      <w:pPr>
        <w:tabs>
          <w:tab w:val="left" w:pos="1440"/>
          <w:tab w:val="left" w:pos="3060"/>
        </w:tabs>
        <w:jc w:val="center"/>
        <w:rPr>
          <w:rFonts w:ascii="Times New Roman" w:hAnsi="Times New Roman"/>
          <w:b/>
          <w:smallCaps/>
          <w:highlight w:val="lightGray"/>
          <w:lang w:val="es-ES_tradnl"/>
        </w:rPr>
      </w:pPr>
    </w:p>
    <w:p w14:paraId="057E1EA4" w14:textId="77777777" w:rsidR="009B6F84" w:rsidRPr="00A73B9B" w:rsidRDefault="009B6F84" w:rsidP="009B6F84">
      <w:pPr>
        <w:tabs>
          <w:tab w:val="left" w:pos="1440"/>
          <w:tab w:val="left" w:pos="3060"/>
        </w:tabs>
        <w:jc w:val="center"/>
        <w:rPr>
          <w:rFonts w:ascii="Times New Roman" w:hAnsi="Times New Roman"/>
          <w:b/>
          <w:smallCaps/>
          <w:highlight w:val="lightGray"/>
          <w:lang w:val="es-ES_tradnl"/>
        </w:rPr>
      </w:pPr>
      <w:r w:rsidRPr="00A73B9B">
        <w:rPr>
          <w:rFonts w:ascii="Times New Roman" w:hAnsi="Times New Roman"/>
          <w:b/>
          <w:smallCaps/>
          <w:lang w:val="es-ES_tradnl"/>
        </w:rPr>
        <w:t>PROGRAMA DE ELECTRIFICACIÓN RURAL – II</w:t>
      </w:r>
    </w:p>
    <w:p w14:paraId="526A2530" w14:textId="77777777" w:rsidR="009B6F84" w:rsidRPr="001160AE" w:rsidRDefault="009B6F84" w:rsidP="009B6F84">
      <w:pPr>
        <w:pStyle w:val="Newpage"/>
        <w:rPr>
          <w:rFonts w:cs="Times New Roman"/>
          <w:b w:val="0"/>
          <w:caps/>
          <w:smallCaps w:val="0"/>
          <w:sz w:val="22"/>
          <w:szCs w:val="22"/>
          <w:lang w:val="es-ES_tradnl"/>
        </w:rPr>
      </w:pPr>
      <w:r w:rsidRPr="001160AE">
        <w:rPr>
          <w:rFonts w:eastAsiaTheme="minorHAnsi" w:cstheme="minorBidi"/>
          <w:sz w:val="22"/>
          <w:szCs w:val="22"/>
          <w:lang w:val="es-ES_tradnl"/>
        </w:rPr>
        <w:t>(BO-L1117)</w:t>
      </w:r>
    </w:p>
    <w:p w14:paraId="4D217156" w14:textId="77777777" w:rsidR="009B6F84" w:rsidRPr="001160AE" w:rsidRDefault="009B6F84" w:rsidP="009B6F84">
      <w:pPr>
        <w:tabs>
          <w:tab w:val="left" w:pos="1440"/>
          <w:tab w:val="left" w:pos="3060"/>
        </w:tabs>
        <w:jc w:val="center"/>
        <w:rPr>
          <w:rFonts w:ascii="Times New Roman" w:hAnsi="Times New Roman"/>
          <w:smallCaps/>
          <w:lang w:val="es-ES_tradnl"/>
        </w:rPr>
      </w:pPr>
    </w:p>
    <w:p w14:paraId="1705D459" w14:textId="77777777" w:rsidR="009B6F84" w:rsidRPr="001160AE" w:rsidRDefault="009B6F84" w:rsidP="009B6F84">
      <w:pPr>
        <w:tabs>
          <w:tab w:val="left" w:pos="1440"/>
          <w:tab w:val="left" w:pos="3060"/>
        </w:tabs>
        <w:jc w:val="center"/>
        <w:rPr>
          <w:rFonts w:ascii="Times New Roman" w:hAnsi="Times New Roman"/>
          <w:smallCaps/>
          <w:lang w:val="es-ES_tradnl"/>
        </w:rPr>
      </w:pPr>
    </w:p>
    <w:p w14:paraId="61EB6362" w14:textId="78BB6A02" w:rsidR="009B6F84" w:rsidRDefault="009B6F84" w:rsidP="009B6F84">
      <w:pPr>
        <w:tabs>
          <w:tab w:val="left" w:pos="1440"/>
          <w:tab w:val="left" w:pos="3060"/>
        </w:tabs>
        <w:spacing w:before="120" w:after="120" w:line="240" w:lineRule="auto"/>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LECCIONES APRENDIDAS DURANTE LA EJECUCION DEL</w:t>
      </w:r>
    </w:p>
    <w:p w14:paraId="118FFE66" w14:textId="0F48F272" w:rsidR="009B6F84" w:rsidRPr="005535A4" w:rsidRDefault="009B6F84" w:rsidP="009B6F84">
      <w:pPr>
        <w:tabs>
          <w:tab w:val="left" w:pos="1440"/>
          <w:tab w:val="left" w:pos="3060"/>
        </w:tabs>
        <w:spacing w:before="120" w:after="120" w:line="240" w:lineRule="auto"/>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PROGRAMA DE ELECTRIFICACIÓN RURAL BO-L1050</w:t>
      </w:r>
    </w:p>
    <w:p w14:paraId="5C1F44A1" w14:textId="77777777" w:rsidR="009B6F84" w:rsidRPr="00A815ED" w:rsidRDefault="009B6F84" w:rsidP="009B6F84">
      <w:pPr>
        <w:tabs>
          <w:tab w:val="left" w:pos="1440"/>
          <w:tab w:val="left" w:pos="3060"/>
        </w:tabs>
        <w:outlineLvl w:val="0"/>
        <w:rPr>
          <w:rFonts w:ascii="Times New Roman" w:hAnsi="Times New Roman"/>
          <w:b/>
          <w:smallCaps/>
          <w:lang w:val="es-ES"/>
        </w:rPr>
      </w:pPr>
    </w:p>
    <w:p w14:paraId="7709FAA0" w14:textId="77777777" w:rsidR="009B6F84" w:rsidRPr="00CB5DE5" w:rsidRDefault="009B6F84">
      <w:pPr>
        <w:rPr>
          <w:lang w:val="es-ES_tradnl"/>
        </w:rPr>
      </w:pPr>
      <w:r w:rsidRPr="00CB5DE5">
        <w:rPr>
          <w:lang w:val="es-ES_tradnl"/>
        </w:rPr>
        <w:br w:type="page"/>
      </w:r>
    </w:p>
    <w:tbl>
      <w:tblPr>
        <w:tblStyle w:val="TableGrid"/>
        <w:tblW w:w="0" w:type="auto"/>
        <w:tblLook w:val="04A0" w:firstRow="1" w:lastRow="0" w:firstColumn="1" w:lastColumn="0" w:noHBand="0" w:noVBand="1"/>
      </w:tblPr>
      <w:tblGrid>
        <w:gridCol w:w="3978"/>
        <w:gridCol w:w="4320"/>
        <w:gridCol w:w="4410"/>
      </w:tblGrid>
      <w:tr w:rsidR="00C13BA5" w:rsidRPr="00CB5DE5" w14:paraId="6F4596A7" w14:textId="77777777" w:rsidTr="00CB5DE5">
        <w:trPr>
          <w:tblHeader/>
        </w:trPr>
        <w:tc>
          <w:tcPr>
            <w:tcW w:w="3978" w:type="dxa"/>
            <w:tcBorders>
              <w:bottom w:val="single" w:sz="4" w:space="0" w:color="auto"/>
            </w:tcBorders>
            <w:shd w:val="clear" w:color="auto" w:fill="000000" w:themeFill="text1"/>
          </w:tcPr>
          <w:p w14:paraId="37399D3F" w14:textId="243DEF17" w:rsidR="00C13BA5" w:rsidRPr="009B6F84" w:rsidRDefault="00C46ECA" w:rsidP="00F6363F">
            <w:pPr>
              <w:jc w:val="center"/>
              <w:rPr>
                <w:b/>
                <w:lang w:val="es-ES_tradnl"/>
              </w:rPr>
            </w:pPr>
            <w:proofErr w:type="spellStart"/>
            <w:r w:rsidRPr="00C46ECA">
              <w:rPr>
                <w:b/>
              </w:rPr>
              <w:lastRenderedPageBreak/>
              <w:t>Tema</w:t>
            </w:r>
            <w:proofErr w:type="spellEnd"/>
          </w:p>
        </w:tc>
        <w:tc>
          <w:tcPr>
            <w:tcW w:w="4320" w:type="dxa"/>
            <w:tcBorders>
              <w:bottom w:val="single" w:sz="4" w:space="0" w:color="auto"/>
            </w:tcBorders>
            <w:shd w:val="clear" w:color="auto" w:fill="000000" w:themeFill="text1"/>
          </w:tcPr>
          <w:p w14:paraId="38523947" w14:textId="77777777" w:rsidR="00C13BA5" w:rsidRPr="00C13BA5" w:rsidRDefault="000A1290" w:rsidP="00F6363F">
            <w:pPr>
              <w:jc w:val="center"/>
              <w:rPr>
                <w:b/>
              </w:rPr>
            </w:pPr>
            <w:r w:rsidRPr="009B6F84">
              <w:rPr>
                <w:b/>
                <w:lang w:val="es-ES_tradnl"/>
              </w:rPr>
              <w:t>Observación</w:t>
            </w:r>
          </w:p>
        </w:tc>
        <w:tc>
          <w:tcPr>
            <w:tcW w:w="4410" w:type="dxa"/>
            <w:tcBorders>
              <w:bottom w:val="single" w:sz="4" w:space="0" w:color="auto"/>
            </w:tcBorders>
            <w:shd w:val="clear" w:color="auto" w:fill="000000" w:themeFill="text1"/>
          </w:tcPr>
          <w:p w14:paraId="456C25E5" w14:textId="77777777" w:rsidR="00F6363F" w:rsidRDefault="000A1290" w:rsidP="00F6363F">
            <w:pPr>
              <w:jc w:val="center"/>
              <w:rPr>
                <w:b/>
                <w:lang w:val="es-BO"/>
              </w:rPr>
            </w:pPr>
            <w:r w:rsidRPr="000A1290">
              <w:rPr>
                <w:b/>
                <w:lang w:val="es-BO"/>
              </w:rPr>
              <w:t>Lección aprendida</w:t>
            </w:r>
          </w:p>
          <w:p w14:paraId="60F69882" w14:textId="77777777" w:rsidR="00C13BA5" w:rsidRPr="00C13BA5" w:rsidRDefault="00C46ECA" w:rsidP="00F6363F">
            <w:pPr>
              <w:jc w:val="center"/>
              <w:rPr>
                <w:b/>
                <w:lang w:val="es-BO"/>
              </w:rPr>
            </w:pPr>
            <w:r>
              <w:rPr>
                <w:b/>
                <w:lang w:val="es-BO"/>
              </w:rPr>
              <w:t>Recomendaciones</w:t>
            </w:r>
            <w:r w:rsidR="00515118">
              <w:rPr>
                <w:b/>
                <w:lang w:val="es-BO"/>
              </w:rPr>
              <w:t xml:space="preserve"> para el PER-II</w:t>
            </w:r>
          </w:p>
        </w:tc>
      </w:tr>
      <w:tr w:rsidR="00F6363F" w:rsidRPr="00CB5DE5" w14:paraId="4479CE60" w14:textId="77777777" w:rsidTr="00F6363F">
        <w:tc>
          <w:tcPr>
            <w:tcW w:w="12708" w:type="dxa"/>
            <w:gridSpan w:val="3"/>
            <w:shd w:val="clear" w:color="auto" w:fill="D9D9D9" w:themeFill="background1" w:themeFillShade="D9"/>
          </w:tcPr>
          <w:p w14:paraId="5BB1864B" w14:textId="77777777" w:rsidR="00F6363F" w:rsidRPr="00F6363F" w:rsidRDefault="00F6363F" w:rsidP="00F6363F">
            <w:pPr>
              <w:pStyle w:val="ListParagraph"/>
              <w:numPr>
                <w:ilvl w:val="0"/>
                <w:numId w:val="4"/>
              </w:numPr>
              <w:rPr>
                <w:b/>
                <w:lang w:val="es-BO"/>
              </w:rPr>
            </w:pPr>
            <w:r w:rsidRPr="00F6363F">
              <w:rPr>
                <w:b/>
                <w:lang w:val="es-BO"/>
              </w:rPr>
              <w:t>Diseño del Programa</w:t>
            </w:r>
            <w:r w:rsidR="003C0426">
              <w:rPr>
                <w:b/>
                <w:lang w:val="es-BO"/>
              </w:rPr>
              <w:t xml:space="preserve"> de Electrificación Rural (PER)</w:t>
            </w:r>
          </w:p>
        </w:tc>
      </w:tr>
      <w:tr w:rsidR="00C13BA5" w:rsidRPr="00CB5DE5" w14:paraId="56543AB2" w14:textId="77777777" w:rsidTr="000A1290">
        <w:tc>
          <w:tcPr>
            <w:tcW w:w="3978" w:type="dxa"/>
          </w:tcPr>
          <w:p w14:paraId="0FEF1EA2" w14:textId="77777777" w:rsidR="00C13BA5" w:rsidRPr="008A1633" w:rsidRDefault="00C13BA5" w:rsidP="00C46ECA">
            <w:pPr>
              <w:pStyle w:val="ListParagraph"/>
              <w:numPr>
                <w:ilvl w:val="0"/>
                <w:numId w:val="1"/>
              </w:numPr>
              <w:ind w:left="180" w:hanging="270"/>
              <w:rPr>
                <w:lang w:val="es-BO"/>
              </w:rPr>
            </w:pPr>
            <w:r w:rsidRPr="008A1633">
              <w:rPr>
                <w:lang w:val="es-BO"/>
              </w:rPr>
              <w:t>Esquema de ejecución</w:t>
            </w:r>
            <w:r w:rsidR="008A1633" w:rsidRPr="008A1633">
              <w:rPr>
                <w:lang w:val="es-BO"/>
              </w:rPr>
              <w:t xml:space="preserve"> </w:t>
            </w:r>
            <w:r w:rsidR="003C0426">
              <w:rPr>
                <w:lang w:val="es-BO"/>
              </w:rPr>
              <w:t xml:space="preserve">PER </w:t>
            </w:r>
            <w:r w:rsidR="008A1633" w:rsidRPr="008A1633">
              <w:rPr>
                <w:lang w:val="es-BO"/>
              </w:rPr>
              <w:t>– Componente I</w:t>
            </w:r>
          </w:p>
        </w:tc>
        <w:tc>
          <w:tcPr>
            <w:tcW w:w="4320" w:type="dxa"/>
          </w:tcPr>
          <w:p w14:paraId="6376D396" w14:textId="713572E9" w:rsidR="004606C5" w:rsidRDefault="004606C5" w:rsidP="00515118">
            <w:pPr>
              <w:pStyle w:val="ListParagraph"/>
              <w:numPr>
                <w:ilvl w:val="0"/>
                <w:numId w:val="2"/>
              </w:numPr>
              <w:ind w:left="252" w:hanging="180"/>
              <w:rPr>
                <w:lang w:val="es-BO"/>
              </w:rPr>
            </w:pPr>
            <w:r>
              <w:rPr>
                <w:lang w:val="es-BO"/>
              </w:rPr>
              <w:t>El esquema de ejecución del componente I (</w:t>
            </w:r>
            <w:r w:rsidR="003C0426">
              <w:rPr>
                <w:lang w:val="es-BO"/>
              </w:rPr>
              <w:t xml:space="preserve">extensión de </w:t>
            </w:r>
            <w:r>
              <w:rPr>
                <w:lang w:val="es-BO"/>
              </w:rPr>
              <w:t>redes de distribución) planteó una ejecución centralizada en l</w:t>
            </w:r>
            <w:r w:rsidR="00F07738">
              <w:rPr>
                <w:lang w:val="es-BO"/>
              </w:rPr>
              <w:t>a Unidad Ejecutora del Proyecto, establecida en el VMEEA.</w:t>
            </w:r>
            <w:r>
              <w:rPr>
                <w:lang w:val="es-BO"/>
              </w:rPr>
              <w:t xml:space="preserve"> </w:t>
            </w:r>
          </w:p>
          <w:p w14:paraId="60A01E2C" w14:textId="79E98110" w:rsidR="004606C5" w:rsidRDefault="004606C5" w:rsidP="00515118">
            <w:pPr>
              <w:pStyle w:val="ListParagraph"/>
              <w:numPr>
                <w:ilvl w:val="0"/>
                <w:numId w:val="2"/>
              </w:numPr>
              <w:ind w:left="252" w:hanging="180"/>
              <w:rPr>
                <w:lang w:val="es-BO"/>
              </w:rPr>
            </w:pPr>
            <w:r>
              <w:rPr>
                <w:lang w:val="es-BO"/>
              </w:rPr>
              <w:t>Considerando que las Gobernaciones tienen la competencia constitucional para la ejecución de proyectos de electrificación rural, se requirió la firma de convenios inter</w:t>
            </w:r>
            <w:r w:rsidR="00506B59">
              <w:rPr>
                <w:lang w:val="es-BO"/>
              </w:rPr>
              <w:t>-</w:t>
            </w:r>
            <w:r>
              <w:rPr>
                <w:lang w:val="es-BO"/>
              </w:rPr>
              <w:t xml:space="preserve">gubernativos </w:t>
            </w:r>
            <w:r w:rsidR="00F07738">
              <w:rPr>
                <w:lang w:val="es-BO"/>
              </w:rPr>
              <w:t xml:space="preserve">entre el VMEEA y las Gobernaciones, </w:t>
            </w:r>
            <w:r>
              <w:rPr>
                <w:lang w:val="es-BO"/>
              </w:rPr>
              <w:t xml:space="preserve">para ceder temporalmente esta competencia </w:t>
            </w:r>
            <w:r w:rsidR="008A1633">
              <w:rPr>
                <w:lang w:val="es-BO"/>
              </w:rPr>
              <w:t xml:space="preserve">de las Gobernaciones </w:t>
            </w:r>
            <w:r>
              <w:rPr>
                <w:lang w:val="es-BO"/>
              </w:rPr>
              <w:t>a la UEP.</w:t>
            </w:r>
            <w:r w:rsidR="008A1633">
              <w:rPr>
                <w:lang w:val="es-BO"/>
              </w:rPr>
              <w:t xml:space="preserve"> Cada convenio debió ser aprobado por la Asamblea Departamental.</w:t>
            </w:r>
          </w:p>
          <w:p w14:paraId="79B26169" w14:textId="77777777" w:rsidR="00C13BA5" w:rsidRPr="00F07738" w:rsidRDefault="004606C5" w:rsidP="00F07738">
            <w:pPr>
              <w:pStyle w:val="ListParagraph"/>
              <w:numPr>
                <w:ilvl w:val="0"/>
                <w:numId w:val="2"/>
              </w:numPr>
              <w:ind w:left="252" w:hanging="180"/>
              <w:rPr>
                <w:lang w:val="es-BO"/>
              </w:rPr>
            </w:pPr>
            <w:r>
              <w:rPr>
                <w:lang w:val="es-BO"/>
              </w:rPr>
              <w:t xml:space="preserve">El proceso de elaboración, acuerdo, y firma de los convenios duro </w:t>
            </w:r>
            <w:r w:rsidR="008A1633">
              <w:rPr>
                <w:lang w:val="es-BO"/>
              </w:rPr>
              <w:t>más</w:t>
            </w:r>
            <w:r>
              <w:rPr>
                <w:lang w:val="es-BO"/>
              </w:rPr>
              <w:t xml:space="preserve"> de un </w:t>
            </w:r>
            <w:r w:rsidR="008A1633">
              <w:rPr>
                <w:lang w:val="es-BO"/>
              </w:rPr>
              <w:t xml:space="preserve">año, y atrasó </w:t>
            </w:r>
            <w:r>
              <w:rPr>
                <w:lang w:val="es-BO"/>
              </w:rPr>
              <w:t xml:space="preserve"> el inicio de la ejecución del Programa.</w:t>
            </w:r>
          </w:p>
        </w:tc>
        <w:tc>
          <w:tcPr>
            <w:tcW w:w="4410" w:type="dxa"/>
          </w:tcPr>
          <w:p w14:paraId="4B4FFAC5" w14:textId="4B7D42B3" w:rsidR="00C13BA5" w:rsidRPr="004606C5" w:rsidRDefault="004606C5" w:rsidP="00077937">
            <w:pPr>
              <w:rPr>
                <w:lang w:val="es-BO"/>
              </w:rPr>
            </w:pPr>
            <w:r>
              <w:rPr>
                <w:lang w:val="es-BO"/>
              </w:rPr>
              <w:t xml:space="preserve">Se recomienda que las gobernaciones sean las encargadas de la ejecución de los proyectos del componente I, de acuerdo a su competencia </w:t>
            </w:r>
            <w:r w:rsidR="00077937">
              <w:rPr>
                <w:lang w:val="es-BO"/>
              </w:rPr>
              <w:t>co</w:t>
            </w:r>
            <w:r>
              <w:rPr>
                <w:lang w:val="es-BO"/>
              </w:rPr>
              <w:t xml:space="preserve">nstitucional. </w:t>
            </w:r>
            <w:r w:rsidR="008A1633">
              <w:rPr>
                <w:lang w:val="es-BO"/>
              </w:rPr>
              <w:t xml:space="preserve">El Banco deberá proveer fortalecimiento a las </w:t>
            </w:r>
            <w:r w:rsidR="00377323">
              <w:rPr>
                <w:lang w:val="es-BO"/>
              </w:rPr>
              <w:t>G</w:t>
            </w:r>
            <w:r w:rsidR="008A1633">
              <w:rPr>
                <w:lang w:val="es-BO"/>
              </w:rPr>
              <w:t>obernaciones de ser necesario.</w:t>
            </w:r>
          </w:p>
        </w:tc>
      </w:tr>
      <w:tr w:rsidR="008A1633" w:rsidRPr="00CB5DE5" w14:paraId="1A14E494" w14:textId="77777777" w:rsidTr="000A1290">
        <w:tc>
          <w:tcPr>
            <w:tcW w:w="3978" w:type="dxa"/>
          </w:tcPr>
          <w:p w14:paraId="785CA46A" w14:textId="77777777" w:rsidR="008A1633" w:rsidRPr="008A1633" w:rsidRDefault="008A1633" w:rsidP="0080412B">
            <w:pPr>
              <w:pStyle w:val="ListParagraph"/>
              <w:numPr>
                <w:ilvl w:val="0"/>
                <w:numId w:val="1"/>
              </w:numPr>
              <w:ind w:left="180" w:hanging="270"/>
              <w:rPr>
                <w:lang w:val="es-BO"/>
              </w:rPr>
            </w:pPr>
            <w:r w:rsidRPr="008A1633">
              <w:rPr>
                <w:lang w:val="es-BO"/>
              </w:rPr>
              <w:t xml:space="preserve">Esquema de ejecución </w:t>
            </w:r>
            <w:r w:rsidR="003C0426">
              <w:rPr>
                <w:lang w:val="es-BO"/>
              </w:rPr>
              <w:t xml:space="preserve">PER </w:t>
            </w:r>
            <w:r w:rsidRPr="008A1633">
              <w:rPr>
                <w:lang w:val="es-BO"/>
              </w:rPr>
              <w:t>– Componente I</w:t>
            </w:r>
            <w:r>
              <w:rPr>
                <w:lang w:val="es-BO"/>
              </w:rPr>
              <w:t>I</w:t>
            </w:r>
          </w:p>
        </w:tc>
        <w:tc>
          <w:tcPr>
            <w:tcW w:w="4320" w:type="dxa"/>
          </w:tcPr>
          <w:p w14:paraId="151C69FA" w14:textId="73ED83E3" w:rsidR="008A1633" w:rsidRDefault="008A1633" w:rsidP="0080412B">
            <w:pPr>
              <w:pStyle w:val="ListParagraph"/>
              <w:numPr>
                <w:ilvl w:val="0"/>
                <w:numId w:val="2"/>
              </w:numPr>
              <w:ind w:left="252" w:hanging="180"/>
              <w:rPr>
                <w:lang w:val="es-BO"/>
              </w:rPr>
            </w:pPr>
            <w:r>
              <w:rPr>
                <w:lang w:val="es-BO"/>
              </w:rPr>
              <w:t xml:space="preserve">El esquema de ejecución del componente II planteó que ENDE ejecute los proyectos del </w:t>
            </w:r>
            <w:r w:rsidR="00A10069">
              <w:rPr>
                <w:lang w:val="es-BO"/>
              </w:rPr>
              <w:t>C</w:t>
            </w:r>
            <w:r>
              <w:rPr>
                <w:lang w:val="es-BO"/>
              </w:rPr>
              <w:t xml:space="preserve">omponente II (líneas de transmisión). </w:t>
            </w:r>
          </w:p>
          <w:p w14:paraId="5733E29E" w14:textId="77777777" w:rsidR="008A1633" w:rsidRDefault="008A1633" w:rsidP="0080412B">
            <w:pPr>
              <w:pStyle w:val="ListParagraph"/>
              <w:numPr>
                <w:ilvl w:val="0"/>
                <w:numId w:val="2"/>
              </w:numPr>
              <w:ind w:left="252" w:hanging="180"/>
              <w:rPr>
                <w:lang w:val="es-BO"/>
              </w:rPr>
            </w:pPr>
            <w:r>
              <w:rPr>
                <w:lang w:val="es-BO"/>
              </w:rPr>
              <w:t xml:space="preserve">La ejecución fue satisfactoria. </w:t>
            </w:r>
            <w:r w:rsidRPr="00515118">
              <w:rPr>
                <w:lang w:val="es-BO"/>
              </w:rPr>
              <w:t xml:space="preserve"> </w:t>
            </w:r>
          </w:p>
          <w:p w14:paraId="7E1A4BD9" w14:textId="63EF71CC" w:rsidR="00506B59" w:rsidRPr="00515118" w:rsidRDefault="00506B59" w:rsidP="00506B59">
            <w:pPr>
              <w:pStyle w:val="ListParagraph"/>
              <w:numPr>
                <w:ilvl w:val="0"/>
                <w:numId w:val="2"/>
              </w:numPr>
              <w:ind w:left="252" w:hanging="180"/>
              <w:rPr>
                <w:lang w:val="es-BO"/>
              </w:rPr>
            </w:pPr>
            <w:r w:rsidRPr="00506B59">
              <w:rPr>
                <w:lang w:val="es-BO"/>
              </w:rPr>
              <w:t>ENDE es una Corporación que cuenta con Atribuciones, restricciones y responsabilidades, que le facultan a ser ejecutor de este tipo de proyectos</w:t>
            </w:r>
          </w:p>
        </w:tc>
        <w:tc>
          <w:tcPr>
            <w:tcW w:w="4410" w:type="dxa"/>
          </w:tcPr>
          <w:p w14:paraId="51DCAE3B" w14:textId="77777777" w:rsidR="008A1633" w:rsidRPr="004606C5" w:rsidRDefault="008A1633" w:rsidP="0080412B">
            <w:pPr>
              <w:rPr>
                <w:lang w:val="es-BO"/>
              </w:rPr>
            </w:pPr>
            <w:r>
              <w:rPr>
                <w:lang w:val="es-BO"/>
              </w:rPr>
              <w:t>Mantener el esquema de ejecución para los proyectos de transmisión.</w:t>
            </w:r>
          </w:p>
        </w:tc>
      </w:tr>
      <w:tr w:rsidR="008A1633" w:rsidRPr="00CB5DE5" w14:paraId="25C0102E" w14:textId="77777777" w:rsidTr="000A1290">
        <w:tc>
          <w:tcPr>
            <w:tcW w:w="3978" w:type="dxa"/>
          </w:tcPr>
          <w:p w14:paraId="2E91BEC2" w14:textId="77777777" w:rsidR="008A1633" w:rsidRPr="004606C5" w:rsidRDefault="008A1633" w:rsidP="00C46ECA">
            <w:pPr>
              <w:pStyle w:val="ListParagraph"/>
              <w:numPr>
                <w:ilvl w:val="0"/>
                <w:numId w:val="1"/>
              </w:numPr>
              <w:ind w:left="180" w:hanging="270"/>
              <w:rPr>
                <w:lang w:val="es-BO"/>
              </w:rPr>
            </w:pPr>
            <w:r w:rsidRPr="004606C5">
              <w:rPr>
                <w:lang w:val="es-BO"/>
              </w:rPr>
              <w:t>Unidad Ejecutora del Programa</w:t>
            </w:r>
          </w:p>
        </w:tc>
        <w:tc>
          <w:tcPr>
            <w:tcW w:w="4320" w:type="dxa"/>
          </w:tcPr>
          <w:p w14:paraId="284FECC6" w14:textId="77777777" w:rsidR="008A1633" w:rsidRPr="004D2403" w:rsidRDefault="008A1633" w:rsidP="004D2403">
            <w:pPr>
              <w:pStyle w:val="ListParagraph"/>
              <w:numPr>
                <w:ilvl w:val="0"/>
                <w:numId w:val="2"/>
              </w:numPr>
              <w:ind w:left="252" w:hanging="180"/>
              <w:rPr>
                <w:lang w:val="es-BO"/>
              </w:rPr>
            </w:pPr>
            <w:r>
              <w:rPr>
                <w:lang w:val="es-BO"/>
              </w:rPr>
              <w:t>LA UEP tardó un año en establecerse, particularmente por rotación de autoridades</w:t>
            </w:r>
            <w:r w:rsidR="00F07738">
              <w:rPr>
                <w:lang w:val="es-BO"/>
              </w:rPr>
              <w:t xml:space="preserve"> en el VMEEA</w:t>
            </w:r>
            <w:r>
              <w:rPr>
                <w:lang w:val="es-BO"/>
              </w:rPr>
              <w:t xml:space="preserve">. Este aspecto repercutió directamente en el arranque de </w:t>
            </w:r>
            <w:r>
              <w:rPr>
                <w:lang w:val="es-BO"/>
              </w:rPr>
              <w:lastRenderedPageBreak/>
              <w:t>la ejecución del Programa.</w:t>
            </w:r>
          </w:p>
        </w:tc>
        <w:tc>
          <w:tcPr>
            <w:tcW w:w="4410" w:type="dxa"/>
          </w:tcPr>
          <w:p w14:paraId="1D3B28AC" w14:textId="7F713B8B" w:rsidR="008A1633" w:rsidRDefault="008A1633">
            <w:pPr>
              <w:rPr>
                <w:lang w:val="es-BO"/>
              </w:rPr>
            </w:pPr>
            <w:r>
              <w:rPr>
                <w:lang w:val="es-BO"/>
              </w:rPr>
              <w:lastRenderedPageBreak/>
              <w:t xml:space="preserve">Se recomienda mantener </w:t>
            </w:r>
            <w:r w:rsidR="0036744E">
              <w:rPr>
                <w:lang w:val="es-BO"/>
              </w:rPr>
              <w:t>un</w:t>
            </w:r>
            <w:r>
              <w:rPr>
                <w:lang w:val="es-BO"/>
              </w:rPr>
              <w:t xml:space="preserve"> personal clave </w:t>
            </w:r>
            <w:r w:rsidR="00F07738">
              <w:rPr>
                <w:lang w:val="es-BO"/>
              </w:rPr>
              <w:t xml:space="preserve">mínimo </w:t>
            </w:r>
            <w:r>
              <w:rPr>
                <w:lang w:val="es-BO"/>
              </w:rPr>
              <w:t>de la UEP ya implementada, para permitir el arranque del PER-</w:t>
            </w:r>
            <w:r w:rsidR="00A10069">
              <w:rPr>
                <w:lang w:val="es-BO"/>
              </w:rPr>
              <w:t>II</w:t>
            </w:r>
            <w:r>
              <w:rPr>
                <w:lang w:val="es-BO"/>
              </w:rPr>
              <w:t xml:space="preserve"> sin retrasos.</w:t>
            </w:r>
            <w:r w:rsidR="00263B8C">
              <w:rPr>
                <w:lang w:val="es-BO"/>
              </w:rPr>
              <w:t xml:space="preserve"> </w:t>
            </w:r>
          </w:p>
          <w:p w14:paraId="0193FF91" w14:textId="35C9F434" w:rsidR="00263B8C" w:rsidRPr="000A1290" w:rsidRDefault="00263B8C">
            <w:pPr>
              <w:rPr>
                <w:lang w:val="es-BO"/>
              </w:rPr>
            </w:pPr>
          </w:p>
        </w:tc>
      </w:tr>
      <w:tr w:rsidR="008A1633" w:rsidRPr="00CB5DE5" w14:paraId="5E877DF4" w14:textId="77777777" w:rsidTr="000A1290">
        <w:tc>
          <w:tcPr>
            <w:tcW w:w="3978" w:type="dxa"/>
          </w:tcPr>
          <w:p w14:paraId="54397885" w14:textId="43025786" w:rsidR="008A1633" w:rsidRPr="008A1633" w:rsidRDefault="008A1633" w:rsidP="00F41134">
            <w:pPr>
              <w:pStyle w:val="ListParagraph"/>
              <w:numPr>
                <w:ilvl w:val="0"/>
                <w:numId w:val="1"/>
              </w:numPr>
              <w:ind w:left="180" w:hanging="270"/>
              <w:rPr>
                <w:lang w:val="es-BO"/>
              </w:rPr>
            </w:pPr>
            <w:r w:rsidRPr="004606C5">
              <w:rPr>
                <w:lang w:val="es-BO"/>
              </w:rPr>
              <w:lastRenderedPageBreak/>
              <w:t>Usos producti</w:t>
            </w:r>
            <w:r w:rsidRPr="008A1633">
              <w:rPr>
                <w:lang w:val="es-BO"/>
              </w:rPr>
              <w:t>vos</w:t>
            </w:r>
            <w:r w:rsidR="00DF700F">
              <w:rPr>
                <w:lang w:val="es-BO"/>
              </w:rPr>
              <w:t>ci</w:t>
            </w:r>
            <w:bookmarkStart w:id="0" w:name="_GoBack"/>
            <w:bookmarkEnd w:id="0"/>
          </w:p>
        </w:tc>
        <w:tc>
          <w:tcPr>
            <w:tcW w:w="4320" w:type="dxa"/>
          </w:tcPr>
          <w:p w14:paraId="3BD17A6B" w14:textId="77777777" w:rsidR="008A1633" w:rsidRDefault="008A1633" w:rsidP="00F6363F">
            <w:pPr>
              <w:pStyle w:val="ListParagraph"/>
              <w:numPr>
                <w:ilvl w:val="0"/>
                <w:numId w:val="2"/>
              </w:numPr>
              <w:ind w:left="252" w:hanging="180"/>
              <w:rPr>
                <w:lang w:val="es-BO"/>
              </w:rPr>
            </w:pPr>
            <w:r>
              <w:rPr>
                <w:lang w:val="es-BO"/>
              </w:rPr>
              <w:t xml:space="preserve">El diseño del PER no contempló la identificación del potencial y el fomento de usos productivos en las zonas beneficiarias del Programa. </w:t>
            </w:r>
          </w:p>
          <w:p w14:paraId="6E5232D6" w14:textId="77777777" w:rsidR="008A1633" w:rsidRDefault="008A1633" w:rsidP="00F6363F">
            <w:pPr>
              <w:pStyle w:val="ListParagraph"/>
              <w:numPr>
                <w:ilvl w:val="0"/>
                <w:numId w:val="2"/>
              </w:numPr>
              <w:ind w:left="252" w:hanging="180"/>
              <w:rPr>
                <w:lang w:val="es-BO"/>
              </w:rPr>
            </w:pPr>
            <w:r>
              <w:rPr>
                <w:lang w:val="es-BO"/>
              </w:rPr>
              <w:t>La mayor parte de los nuevos beneficiarios tienen un consumo predominantemente doméstico, para iluminación, radio y televisión.</w:t>
            </w:r>
          </w:p>
          <w:p w14:paraId="62751F05" w14:textId="4737CE4A" w:rsidR="008A1633" w:rsidRPr="00515118" w:rsidRDefault="008A1633" w:rsidP="00CB5DE5">
            <w:pPr>
              <w:pStyle w:val="ListParagraph"/>
              <w:numPr>
                <w:ilvl w:val="0"/>
                <w:numId w:val="2"/>
              </w:numPr>
              <w:ind w:left="252" w:hanging="180"/>
              <w:rPr>
                <w:lang w:val="es-BO"/>
              </w:rPr>
            </w:pPr>
            <w:r>
              <w:rPr>
                <w:lang w:val="es-BO"/>
              </w:rPr>
              <w:t>E</w:t>
            </w:r>
            <w:r w:rsidR="00CB5DE5">
              <w:rPr>
                <w:lang w:val="es-BO"/>
              </w:rPr>
              <w:t>l</w:t>
            </w:r>
            <w:r>
              <w:rPr>
                <w:lang w:val="es-BO"/>
              </w:rPr>
              <w:t xml:space="preserve"> bajo consumo de electricidad afecta el nivel de ingresos de las </w:t>
            </w:r>
            <w:r w:rsidR="00075D8B">
              <w:rPr>
                <w:lang w:val="es-BO"/>
              </w:rPr>
              <w:t>operadoras</w:t>
            </w:r>
            <w:r>
              <w:rPr>
                <w:lang w:val="es-BO"/>
              </w:rPr>
              <w:t>, y afecta su interés en la conexión de nuevos beneficiarios.</w:t>
            </w:r>
          </w:p>
        </w:tc>
        <w:tc>
          <w:tcPr>
            <w:tcW w:w="4410" w:type="dxa"/>
          </w:tcPr>
          <w:p w14:paraId="6644C7D7" w14:textId="3606480C" w:rsidR="008A1633" w:rsidRDefault="0036744E" w:rsidP="00F41134">
            <w:pPr>
              <w:rPr>
                <w:lang w:val="es-BO"/>
              </w:rPr>
            </w:pPr>
            <w:r>
              <w:rPr>
                <w:lang w:val="es-BO"/>
              </w:rPr>
              <w:t xml:space="preserve">El objetivo principal </w:t>
            </w:r>
            <w:r w:rsidR="00851841">
              <w:rPr>
                <w:lang w:val="es-BO"/>
              </w:rPr>
              <w:t>del</w:t>
            </w:r>
            <w:r>
              <w:rPr>
                <w:lang w:val="es-BO"/>
              </w:rPr>
              <w:t xml:space="preserve"> Programa de Electrificación</w:t>
            </w:r>
            <w:r w:rsidR="00851841">
              <w:rPr>
                <w:lang w:val="es-BO"/>
              </w:rPr>
              <w:t xml:space="preserve"> R</w:t>
            </w:r>
            <w:r>
              <w:rPr>
                <w:lang w:val="es-BO"/>
              </w:rPr>
              <w:t>ural es reducir la pobreza, a través de incrementar la cobertura, y beneficiar a nuevos usuarios (domiciliarios). A fin de apoyar a estos objetivos, s</w:t>
            </w:r>
            <w:r w:rsidR="008A1633">
              <w:rPr>
                <w:lang w:val="es-BO"/>
              </w:rPr>
              <w:t xml:space="preserve">e recomienda incorporar </w:t>
            </w:r>
            <w:r w:rsidR="00D2105E">
              <w:rPr>
                <w:lang w:val="es-BO"/>
              </w:rPr>
              <w:t xml:space="preserve">un componente </w:t>
            </w:r>
            <w:r>
              <w:rPr>
                <w:lang w:val="es-BO"/>
              </w:rPr>
              <w:t xml:space="preserve">complementario, </w:t>
            </w:r>
            <w:r w:rsidR="00D2105E">
              <w:rPr>
                <w:lang w:val="es-BO"/>
              </w:rPr>
              <w:t>de</w:t>
            </w:r>
            <w:r w:rsidR="008A1633">
              <w:rPr>
                <w:lang w:val="es-BO"/>
              </w:rPr>
              <w:t xml:space="preserve"> </w:t>
            </w:r>
            <w:r>
              <w:rPr>
                <w:lang w:val="es-BO"/>
              </w:rPr>
              <w:t xml:space="preserve">fomento a los </w:t>
            </w:r>
            <w:r w:rsidR="008A1633">
              <w:rPr>
                <w:lang w:val="es-BO"/>
              </w:rPr>
              <w:t xml:space="preserve">usos productivos en el diseño </w:t>
            </w:r>
            <w:r w:rsidR="00D2105E">
              <w:rPr>
                <w:lang w:val="es-BO"/>
              </w:rPr>
              <w:t xml:space="preserve">de los proyectos a ser considerados por </w:t>
            </w:r>
            <w:r w:rsidR="008A1633">
              <w:rPr>
                <w:lang w:val="es-BO"/>
              </w:rPr>
              <w:t>el Programa</w:t>
            </w:r>
            <w:r w:rsidR="003C0426">
              <w:rPr>
                <w:lang w:val="es-BO"/>
              </w:rPr>
              <w:t>.</w:t>
            </w:r>
            <w:r w:rsidR="00851841">
              <w:rPr>
                <w:lang w:val="es-BO"/>
              </w:rPr>
              <w:t xml:space="preserve"> </w:t>
            </w:r>
          </w:p>
          <w:p w14:paraId="4233F695" w14:textId="7A35E8E8" w:rsidR="008A1633" w:rsidRPr="00F6363F" w:rsidRDefault="003C0426" w:rsidP="00D2105E">
            <w:pPr>
              <w:rPr>
                <w:lang w:val="es-BO"/>
              </w:rPr>
            </w:pPr>
            <w:r>
              <w:rPr>
                <w:lang w:val="es-BO"/>
              </w:rPr>
              <w:t xml:space="preserve">Se recomienda incluir la posibilidad de financiar reconversión de líneas monofásicas a trifásicas, a fin de poder fomentar los usos productivos de la energía. </w:t>
            </w:r>
          </w:p>
        </w:tc>
      </w:tr>
      <w:tr w:rsidR="008A1633" w:rsidRPr="00CB5DE5" w14:paraId="39D10A2A" w14:textId="77777777" w:rsidTr="000A1290">
        <w:tc>
          <w:tcPr>
            <w:tcW w:w="3978" w:type="dxa"/>
          </w:tcPr>
          <w:p w14:paraId="0EF7F2F4" w14:textId="77777777" w:rsidR="008A1633" w:rsidRPr="00C46ECA" w:rsidRDefault="008A1633" w:rsidP="00C46ECA">
            <w:pPr>
              <w:pStyle w:val="ListParagraph"/>
              <w:numPr>
                <w:ilvl w:val="0"/>
                <w:numId w:val="1"/>
              </w:numPr>
              <w:ind w:left="180" w:hanging="270"/>
              <w:rPr>
                <w:lang w:val="es-BO"/>
              </w:rPr>
            </w:pPr>
            <w:r w:rsidRPr="00C46ECA">
              <w:rPr>
                <w:lang w:val="es-BO"/>
              </w:rPr>
              <w:t>Ritmo de avance de las conexiones</w:t>
            </w:r>
          </w:p>
        </w:tc>
        <w:tc>
          <w:tcPr>
            <w:tcW w:w="4320" w:type="dxa"/>
          </w:tcPr>
          <w:p w14:paraId="5930310A" w14:textId="5ED26C5A" w:rsidR="008A1633" w:rsidRPr="00C46ECA" w:rsidRDefault="008A1633" w:rsidP="00A10069">
            <w:pPr>
              <w:pStyle w:val="ListParagraph"/>
              <w:numPr>
                <w:ilvl w:val="0"/>
                <w:numId w:val="2"/>
              </w:numPr>
              <w:ind w:left="252" w:hanging="180"/>
              <w:rPr>
                <w:lang w:val="es-BO"/>
              </w:rPr>
            </w:pPr>
            <w:r>
              <w:rPr>
                <w:lang w:val="es-BO"/>
              </w:rPr>
              <w:t xml:space="preserve">A la fecha (Enero 2016), se han alcanzado cerca del </w:t>
            </w:r>
            <w:r w:rsidR="00A10069">
              <w:rPr>
                <w:lang w:val="es-BO"/>
              </w:rPr>
              <w:t>2</w:t>
            </w:r>
            <w:r>
              <w:rPr>
                <w:lang w:val="es-BO"/>
              </w:rPr>
              <w:t xml:space="preserve">0% de las conexiones previstas en el Programa. Si bien este bajo ritmo es característico de los proyectos de proyectos de electrificación rural en Bolivia, el Banco está apoyando activamente para desarrollar e implementar una Estrategia para Incrementar las Conexiones en el PER. Con esta estrategia se espera lograr el </w:t>
            </w:r>
            <w:r w:rsidR="00616C57">
              <w:rPr>
                <w:lang w:val="es-BO"/>
              </w:rPr>
              <w:t>7</w:t>
            </w:r>
            <w:r>
              <w:rPr>
                <w:lang w:val="es-BO"/>
              </w:rPr>
              <w:t>0% de las conexiones previstas hasta fin de año.</w:t>
            </w:r>
          </w:p>
        </w:tc>
        <w:tc>
          <w:tcPr>
            <w:tcW w:w="4410" w:type="dxa"/>
          </w:tcPr>
          <w:p w14:paraId="28D62187" w14:textId="0B8CAA39" w:rsidR="008A1633" w:rsidRPr="00506B59" w:rsidRDefault="008A1633" w:rsidP="00D2105E">
            <w:pPr>
              <w:rPr>
                <w:lang w:val="es-BO"/>
              </w:rPr>
            </w:pPr>
            <w:r>
              <w:rPr>
                <w:lang w:val="es-BO"/>
              </w:rPr>
              <w:t xml:space="preserve">Incorporar los elementos </w:t>
            </w:r>
            <w:r w:rsidR="00506B59">
              <w:rPr>
                <w:lang w:val="es-BO"/>
              </w:rPr>
              <w:t xml:space="preserve">propuestos  </w:t>
            </w:r>
            <w:r>
              <w:rPr>
                <w:lang w:val="es-BO"/>
              </w:rPr>
              <w:t>en la estrategia para conexiones dentro del diseño del Programa</w:t>
            </w:r>
            <w:r w:rsidR="00506B59">
              <w:rPr>
                <w:lang w:val="es-BO"/>
              </w:rPr>
              <w:t xml:space="preserve">, particularmente: (i) la coordinación con las empresas </w:t>
            </w:r>
            <w:r w:rsidR="00D2105E">
              <w:rPr>
                <w:lang w:val="es-BO"/>
              </w:rPr>
              <w:t xml:space="preserve">operadoras </w:t>
            </w:r>
            <w:r w:rsidR="00506B59">
              <w:rPr>
                <w:lang w:val="es-BO"/>
              </w:rPr>
              <w:t xml:space="preserve">(ii) la entrega de tramos parciales; y (iii) las campañas de información con los beneficiarios. </w:t>
            </w:r>
            <w:r w:rsidR="00616C57">
              <w:rPr>
                <w:lang w:val="es-BO"/>
              </w:rPr>
              <w:t>.</w:t>
            </w:r>
          </w:p>
        </w:tc>
      </w:tr>
      <w:tr w:rsidR="008A1633" w:rsidRPr="00CB5DE5" w14:paraId="55856FBD" w14:textId="77777777" w:rsidTr="000A1290">
        <w:tc>
          <w:tcPr>
            <w:tcW w:w="3978" w:type="dxa"/>
          </w:tcPr>
          <w:p w14:paraId="237FCA19" w14:textId="2E6B01FC" w:rsidR="008A1633" w:rsidRPr="00C46ECA" w:rsidRDefault="008A1633" w:rsidP="00075D8B">
            <w:pPr>
              <w:pStyle w:val="ListParagraph"/>
              <w:numPr>
                <w:ilvl w:val="0"/>
                <w:numId w:val="1"/>
              </w:numPr>
              <w:ind w:left="180" w:hanging="270"/>
              <w:rPr>
                <w:lang w:val="es-BO"/>
              </w:rPr>
            </w:pPr>
            <w:r>
              <w:rPr>
                <w:lang w:val="es-BO"/>
              </w:rPr>
              <w:t xml:space="preserve">Participación de las empresas </w:t>
            </w:r>
            <w:r w:rsidR="00075D8B">
              <w:rPr>
                <w:lang w:val="es-BO"/>
              </w:rPr>
              <w:t>operadoras</w:t>
            </w:r>
          </w:p>
        </w:tc>
        <w:tc>
          <w:tcPr>
            <w:tcW w:w="4320" w:type="dxa"/>
          </w:tcPr>
          <w:p w14:paraId="7878D694" w14:textId="77777777" w:rsidR="008A1633" w:rsidRDefault="008A1633" w:rsidP="008A1633">
            <w:pPr>
              <w:pStyle w:val="ListParagraph"/>
              <w:numPr>
                <w:ilvl w:val="0"/>
                <w:numId w:val="2"/>
              </w:numPr>
              <w:ind w:left="252" w:hanging="180"/>
              <w:rPr>
                <w:lang w:val="es-BO"/>
              </w:rPr>
            </w:pPr>
            <w:r>
              <w:rPr>
                <w:lang w:val="es-BO"/>
              </w:rPr>
              <w:t>Si bien uno de los criterios de elegibilidad para los Proyectos del Programa fue que cuenten con una empresa operadora identificada</w:t>
            </w:r>
            <w:r w:rsidR="00F07738">
              <w:rPr>
                <w:lang w:val="es-BO"/>
              </w:rPr>
              <w:t>, el cual se cumplió</w:t>
            </w:r>
            <w:r>
              <w:rPr>
                <w:lang w:val="es-BO"/>
              </w:rPr>
              <w:t>, las empresas operadoras no fueron involucradas en los proyectos sino hasta la conclusión de los mismos.</w:t>
            </w:r>
          </w:p>
          <w:p w14:paraId="4ECCE021" w14:textId="35074031" w:rsidR="008A1633" w:rsidRPr="008A1633" w:rsidRDefault="008A1633" w:rsidP="00506B59">
            <w:pPr>
              <w:pStyle w:val="ListParagraph"/>
              <w:numPr>
                <w:ilvl w:val="0"/>
                <w:numId w:val="2"/>
              </w:numPr>
              <w:ind w:left="252" w:hanging="180"/>
              <w:rPr>
                <w:lang w:val="es-BO"/>
              </w:rPr>
            </w:pPr>
            <w:r>
              <w:rPr>
                <w:lang w:val="es-BO"/>
              </w:rPr>
              <w:lastRenderedPageBreak/>
              <w:t xml:space="preserve">Este aspecto repercutió en algunos casos en que la empresa operadora tuvo observaciones </w:t>
            </w:r>
            <w:r w:rsidR="00807755">
              <w:rPr>
                <w:lang w:val="es-BO"/>
              </w:rPr>
              <w:t xml:space="preserve">técnicas </w:t>
            </w:r>
            <w:r>
              <w:rPr>
                <w:lang w:val="es-BO"/>
              </w:rPr>
              <w:t xml:space="preserve">a </w:t>
            </w:r>
            <w:r w:rsidR="00807755">
              <w:rPr>
                <w:lang w:val="es-BO"/>
              </w:rPr>
              <w:t>ciertos aspectos constructivos de l</w:t>
            </w:r>
            <w:r>
              <w:rPr>
                <w:lang w:val="es-BO"/>
              </w:rPr>
              <w:t>os proyectos</w:t>
            </w:r>
            <w:r w:rsidR="00F07738">
              <w:rPr>
                <w:lang w:val="es-BO"/>
              </w:rPr>
              <w:t xml:space="preserve">, al momento de su </w:t>
            </w:r>
            <w:r w:rsidR="00807755">
              <w:rPr>
                <w:lang w:val="es-BO"/>
              </w:rPr>
              <w:t xml:space="preserve">inspección a la </w:t>
            </w:r>
            <w:r w:rsidR="00F07738">
              <w:rPr>
                <w:lang w:val="es-BO"/>
              </w:rPr>
              <w:t>conc</w:t>
            </w:r>
            <w:r w:rsidR="00807755">
              <w:rPr>
                <w:lang w:val="es-BO"/>
              </w:rPr>
              <w:t>l</w:t>
            </w:r>
            <w:r w:rsidR="00F07738">
              <w:rPr>
                <w:lang w:val="es-BO"/>
              </w:rPr>
              <w:t>usión</w:t>
            </w:r>
            <w:r w:rsidR="00807755">
              <w:rPr>
                <w:lang w:val="es-BO"/>
              </w:rPr>
              <w:t xml:space="preserve"> de los mismos;</w:t>
            </w:r>
            <w:r>
              <w:rPr>
                <w:lang w:val="es-BO"/>
              </w:rPr>
              <w:t xml:space="preserve"> retrasando el inicio de su energización. Asimismo, el aspecto incidió negativamente en el ritmo de conexión de nuevos usuarios.</w:t>
            </w:r>
          </w:p>
        </w:tc>
        <w:tc>
          <w:tcPr>
            <w:tcW w:w="4410" w:type="dxa"/>
          </w:tcPr>
          <w:p w14:paraId="24BF2F47" w14:textId="2A06B446" w:rsidR="008A1633" w:rsidRPr="00C46ECA" w:rsidRDefault="008A1633">
            <w:pPr>
              <w:rPr>
                <w:lang w:val="es-BO"/>
              </w:rPr>
            </w:pPr>
            <w:r>
              <w:rPr>
                <w:lang w:val="es-BO"/>
              </w:rPr>
              <w:lastRenderedPageBreak/>
              <w:t>Se recomienda involucrar a las empresas operadoras antes del inicio de la ejecución de los proyectos</w:t>
            </w:r>
            <w:r w:rsidR="00807755">
              <w:rPr>
                <w:lang w:val="es-BO"/>
              </w:rPr>
              <w:t xml:space="preserve">, en lo referido a la </w:t>
            </w:r>
            <w:r w:rsidR="000B4B49">
              <w:rPr>
                <w:lang w:val="es-BO"/>
              </w:rPr>
              <w:t xml:space="preserve">revisión del </w:t>
            </w:r>
            <w:r w:rsidR="0036744E">
              <w:rPr>
                <w:lang w:val="es-BO"/>
              </w:rPr>
              <w:t>diseño</w:t>
            </w:r>
            <w:r w:rsidR="000B4B49">
              <w:rPr>
                <w:lang w:val="es-BO"/>
              </w:rPr>
              <w:t xml:space="preserve"> del proyecto, a fin de verificar </w:t>
            </w:r>
            <w:r w:rsidR="00807755">
              <w:rPr>
                <w:lang w:val="es-BO"/>
              </w:rPr>
              <w:t>la normativa técnica particular de su zona de operación y factores de calidad de servicio, fluctuantes por las extensiones realizadas.</w:t>
            </w:r>
          </w:p>
        </w:tc>
      </w:tr>
      <w:tr w:rsidR="008A1633" w:rsidRPr="00CB5DE5" w14:paraId="6704FDB5" w14:textId="77777777" w:rsidTr="000A1290">
        <w:tc>
          <w:tcPr>
            <w:tcW w:w="3978" w:type="dxa"/>
          </w:tcPr>
          <w:p w14:paraId="7B1C814B" w14:textId="2BA55227" w:rsidR="008A1633" w:rsidRPr="004606C5" w:rsidRDefault="00D2105E" w:rsidP="00C46ECA">
            <w:pPr>
              <w:pStyle w:val="ListParagraph"/>
              <w:numPr>
                <w:ilvl w:val="0"/>
                <w:numId w:val="1"/>
              </w:numPr>
              <w:ind w:left="180" w:hanging="270"/>
              <w:rPr>
                <w:lang w:val="es-BO"/>
              </w:rPr>
            </w:pPr>
            <w:r>
              <w:rPr>
                <w:lang w:val="es-BO"/>
              </w:rPr>
              <w:lastRenderedPageBreak/>
              <w:t>Promoción del proyecto</w:t>
            </w:r>
          </w:p>
        </w:tc>
        <w:tc>
          <w:tcPr>
            <w:tcW w:w="4320" w:type="dxa"/>
          </w:tcPr>
          <w:p w14:paraId="0F992012" w14:textId="5E3EB8F2" w:rsidR="008A1633" w:rsidRPr="00515118" w:rsidRDefault="00D2105E" w:rsidP="00C81494">
            <w:pPr>
              <w:pStyle w:val="ListParagraph"/>
              <w:numPr>
                <w:ilvl w:val="0"/>
                <w:numId w:val="2"/>
              </w:numPr>
              <w:ind w:left="252" w:hanging="180"/>
              <w:rPr>
                <w:lang w:val="es-BO"/>
              </w:rPr>
            </w:pPr>
            <w:r>
              <w:rPr>
                <w:lang w:val="es-BO"/>
              </w:rPr>
              <w:t xml:space="preserve"> E</w:t>
            </w:r>
            <w:r w:rsidR="00C81494">
              <w:rPr>
                <w:lang w:val="es-BO"/>
              </w:rPr>
              <w:t>l</w:t>
            </w:r>
            <w:r>
              <w:rPr>
                <w:lang w:val="es-BO"/>
              </w:rPr>
              <w:t xml:space="preserve"> Programa ha realizado pocas acciones de promoción del programa</w:t>
            </w:r>
            <w:r w:rsidR="00C81494">
              <w:rPr>
                <w:lang w:val="es-BO"/>
              </w:rPr>
              <w:t xml:space="preserve">, especialmente aquellas dirigidas a dar a conocer a los usuarios la implementación de los proyectos, </w:t>
            </w:r>
            <w:r w:rsidR="0036744E">
              <w:rPr>
                <w:lang w:val="es-BO"/>
              </w:rPr>
              <w:t>así</w:t>
            </w:r>
            <w:r w:rsidR="00C81494">
              <w:rPr>
                <w:lang w:val="es-BO"/>
              </w:rPr>
              <w:t xml:space="preserve"> como los requisitos para conectarse a la red construida</w:t>
            </w:r>
          </w:p>
        </w:tc>
        <w:tc>
          <w:tcPr>
            <w:tcW w:w="4410" w:type="dxa"/>
          </w:tcPr>
          <w:p w14:paraId="007015E7" w14:textId="4315EA46" w:rsidR="008A1633" w:rsidRPr="004606C5" w:rsidRDefault="00C81494">
            <w:pPr>
              <w:rPr>
                <w:lang w:val="es-BO"/>
              </w:rPr>
            </w:pPr>
            <w:r>
              <w:rPr>
                <w:lang w:val="es-BO"/>
              </w:rPr>
              <w:t>Se deberá contar con un plan de promoción del programa en todas sus etapas, donde además de la conexión de los usuarios se busque la promoción de los usos productivos de la electricidad.</w:t>
            </w:r>
          </w:p>
        </w:tc>
      </w:tr>
      <w:tr w:rsidR="008A1633" w:rsidRPr="008A1633" w14:paraId="3A17D2E4" w14:textId="77777777" w:rsidTr="00F6363F">
        <w:tc>
          <w:tcPr>
            <w:tcW w:w="12708" w:type="dxa"/>
            <w:gridSpan w:val="3"/>
            <w:shd w:val="clear" w:color="auto" w:fill="D9D9D9" w:themeFill="background1" w:themeFillShade="D9"/>
          </w:tcPr>
          <w:p w14:paraId="7185EE67" w14:textId="77777777" w:rsidR="008A1633" w:rsidRPr="008A1633" w:rsidRDefault="008A1633" w:rsidP="00F6363F">
            <w:pPr>
              <w:pStyle w:val="ListParagraph"/>
              <w:numPr>
                <w:ilvl w:val="0"/>
                <w:numId w:val="4"/>
              </w:numPr>
              <w:rPr>
                <w:b/>
                <w:lang w:val="es-BO"/>
              </w:rPr>
            </w:pPr>
            <w:r w:rsidRPr="008A1633">
              <w:rPr>
                <w:b/>
                <w:lang w:val="es-BO"/>
              </w:rPr>
              <w:t>Ejecución del Programa</w:t>
            </w:r>
          </w:p>
        </w:tc>
      </w:tr>
      <w:tr w:rsidR="008A1633" w:rsidRPr="00CB5DE5" w14:paraId="505B230E" w14:textId="77777777" w:rsidTr="000A1290">
        <w:tc>
          <w:tcPr>
            <w:tcW w:w="3978" w:type="dxa"/>
          </w:tcPr>
          <w:p w14:paraId="3F024261" w14:textId="78B4D3AF" w:rsidR="008A1633" w:rsidRPr="00506B59" w:rsidRDefault="008A1633" w:rsidP="0089516C">
            <w:pPr>
              <w:pStyle w:val="ListParagraph"/>
              <w:numPr>
                <w:ilvl w:val="0"/>
                <w:numId w:val="1"/>
              </w:numPr>
              <w:ind w:left="180" w:hanging="270"/>
              <w:rPr>
                <w:lang w:val="es-ES"/>
              </w:rPr>
            </w:pPr>
            <w:r w:rsidRPr="00506B59">
              <w:rPr>
                <w:lang w:val="es-ES"/>
              </w:rPr>
              <w:t>Procesos declarados desiertos</w:t>
            </w:r>
            <w:r w:rsidR="00F07738" w:rsidRPr="00506B59">
              <w:rPr>
                <w:lang w:val="es-ES"/>
              </w:rPr>
              <w:t xml:space="preserve"> (obras, </w:t>
            </w:r>
            <w:r w:rsidR="00807755">
              <w:rPr>
                <w:lang w:val="es-ES"/>
              </w:rPr>
              <w:t>C</w:t>
            </w:r>
            <w:r w:rsidR="00F07738" w:rsidRPr="00506B59">
              <w:rPr>
                <w:lang w:val="es-ES"/>
              </w:rPr>
              <w:t>omponente I)</w:t>
            </w:r>
          </w:p>
        </w:tc>
        <w:tc>
          <w:tcPr>
            <w:tcW w:w="4320" w:type="dxa"/>
          </w:tcPr>
          <w:p w14:paraId="54B95D00" w14:textId="77777777" w:rsidR="008A1633" w:rsidRDefault="00263B8C" w:rsidP="0089516C">
            <w:pPr>
              <w:pStyle w:val="ListParagraph"/>
              <w:numPr>
                <w:ilvl w:val="0"/>
                <w:numId w:val="2"/>
              </w:numPr>
              <w:ind w:left="252" w:hanging="180"/>
              <w:rPr>
                <w:lang w:val="es-BO"/>
              </w:rPr>
            </w:pPr>
            <w:r w:rsidRPr="00263B8C">
              <w:rPr>
                <w:lang w:val="es-BO"/>
              </w:rPr>
              <w:t>V</w:t>
            </w:r>
            <w:r w:rsidR="008A1633">
              <w:rPr>
                <w:lang w:val="es-BO"/>
              </w:rPr>
              <w:t xml:space="preserve">arios </w:t>
            </w:r>
            <w:r>
              <w:rPr>
                <w:lang w:val="es-BO"/>
              </w:rPr>
              <w:t xml:space="preserve">de los procesos de licitación para las obras fueron declarados </w:t>
            </w:r>
            <w:r w:rsidR="008A1633">
              <w:rPr>
                <w:lang w:val="es-BO"/>
              </w:rPr>
              <w:t>desiertos</w:t>
            </w:r>
            <w:r>
              <w:rPr>
                <w:lang w:val="es-BO"/>
              </w:rPr>
              <w:t xml:space="preserve"> inicialmente</w:t>
            </w:r>
            <w:r w:rsidR="008A1633">
              <w:rPr>
                <w:lang w:val="es-BO"/>
              </w:rPr>
              <w:t>, lo que afec</w:t>
            </w:r>
            <w:r>
              <w:rPr>
                <w:lang w:val="es-BO"/>
              </w:rPr>
              <w:t>tó</w:t>
            </w:r>
            <w:r w:rsidR="008A1633">
              <w:rPr>
                <w:lang w:val="es-BO"/>
              </w:rPr>
              <w:t xml:space="preserve"> en el arranque de la ejecución del Programa.</w:t>
            </w:r>
          </w:p>
          <w:p w14:paraId="6631BA11" w14:textId="77777777" w:rsidR="007F1DEF" w:rsidRDefault="008A1633" w:rsidP="0089516C">
            <w:pPr>
              <w:pStyle w:val="ListParagraph"/>
              <w:numPr>
                <w:ilvl w:val="0"/>
                <w:numId w:val="2"/>
              </w:numPr>
              <w:ind w:left="252" w:hanging="180"/>
              <w:rPr>
                <w:lang w:val="es-BO"/>
              </w:rPr>
            </w:pPr>
            <w:r>
              <w:rPr>
                <w:lang w:val="es-BO"/>
              </w:rPr>
              <w:t xml:space="preserve">Se realizó un </w:t>
            </w:r>
            <w:r w:rsidR="007F1DEF">
              <w:rPr>
                <w:lang w:val="es-BO"/>
              </w:rPr>
              <w:t>diagnóstico</w:t>
            </w:r>
            <w:r>
              <w:rPr>
                <w:lang w:val="es-BO"/>
              </w:rPr>
              <w:t xml:space="preserve"> de las restricciones y aspectos que provocaron las </w:t>
            </w:r>
            <w:r w:rsidR="007F1DEF">
              <w:rPr>
                <w:lang w:val="es-BO"/>
              </w:rPr>
              <w:t>declaratorias</w:t>
            </w:r>
            <w:r>
              <w:rPr>
                <w:lang w:val="es-BO"/>
              </w:rPr>
              <w:t xml:space="preserve"> desiertas, identificándose que las firmas que trabajan en el sector de electrificación rural son pequeñas, y que los requerimientos de </w:t>
            </w:r>
            <w:r w:rsidR="00263B8C">
              <w:rPr>
                <w:lang w:val="es-BO"/>
              </w:rPr>
              <w:t xml:space="preserve">experiencia y </w:t>
            </w:r>
            <w:r>
              <w:rPr>
                <w:lang w:val="es-BO"/>
              </w:rPr>
              <w:t xml:space="preserve">capacidad financiera </w:t>
            </w:r>
            <w:r w:rsidR="007F1DEF">
              <w:rPr>
                <w:lang w:val="es-BO"/>
              </w:rPr>
              <w:t>eran elevados</w:t>
            </w:r>
            <w:r w:rsidR="00263B8C">
              <w:rPr>
                <w:lang w:val="es-BO"/>
              </w:rPr>
              <w:t xml:space="preserve"> para estas firmas</w:t>
            </w:r>
            <w:r w:rsidR="007F1DEF">
              <w:rPr>
                <w:lang w:val="es-BO"/>
              </w:rPr>
              <w:t>.</w:t>
            </w:r>
            <w:r w:rsidR="00263B8C">
              <w:rPr>
                <w:lang w:val="es-BO"/>
              </w:rPr>
              <w:t xml:space="preserve"> Se evidenció asimismo que no existía interés de firmas internacionales en los procesos. </w:t>
            </w:r>
            <w:r w:rsidR="007F1DEF">
              <w:rPr>
                <w:lang w:val="es-BO"/>
              </w:rPr>
              <w:t xml:space="preserve"> </w:t>
            </w:r>
          </w:p>
          <w:p w14:paraId="1CBBFBB0" w14:textId="77777777" w:rsidR="008A1633" w:rsidRDefault="007F1DEF" w:rsidP="005047E0">
            <w:pPr>
              <w:pStyle w:val="ListParagraph"/>
              <w:numPr>
                <w:ilvl w:val="0"/>
                <w:numId w:val="2"/>
              </w:numPr>
              <w:ind w:left="252" w:hanging="180"/>
              <w:rPr>
                <w:lang w:val="es-BO"/>
              </w:rPr>
            </w:pPr>
            <w:r>
              <w:rPr>
                <w:lang w:val="es-BO"/>
              </w:rPr>
              <w:t xml:space="preserve">Otro de los aspectos </w:t>
            </w:r>
            <w:r w:rsidR="005047E0">
              <w:rPr>
                <w:lang w:val="es-BO"/>
              </w:rPr>
              <w:t>identificados</w:t>
            </w:r>
            <w:r>
              <w:rPr>
                <w:lang w:val="es-BO"/>
              </w:rPr>
              <w:t xml:space="preserve"> fue la necesidad de actualizar los precios </w:t>
            </w:r>
            <w:r>
              <w:rPr>
                <w:lang w:val="es-BO"/>
              </w:rPr>
              <w:lastRenderedPageBreak/>
              <w:t>unitarios de los proyectos.</w:t>
            </w:r>
            <w:r w:rsidR="005047E0">
              <w:rPr>
                <w:lang w:val="es-BO"/>
              </w:rPr>
              <w:t xml:space="preserve"> Para ello se desarrolló una base de datos de precios unitarios.</w:t>
            </w:r>
          </w:p>
        </w:tc>
        <w:tc>
          <w:tcPr>
            <w:tcW w:w="4410" w:type="dxa"/>
          </w:tcPr>
          <w:p w14:paraId="72B35CC9" w14:textId="77777777" w:rsidR="008A1633" w:rsidRDefault="005047E0" w:rsidP="0089516C">
            <w:pPr>
              <w:rPr>
                <w:lang w:val="es-BO"/>
              </w:rPr>
            </w:pPr>
            <w:r>
              <w:rPr>
                <w:lang w:val="es-BO"/>
              </w:rPr>
              <w:lastRenderedPageBreak/>
              <w:t>Se debe actualizar el análisis de las características de las firmas que participan en la construcción de obras de electrificación rural.</w:t>
            </w:r>
          </w:p>
          <w:p w14:paraId="65FB80A8" w14:textId="77777777" w:rsidR="005047E0" w:rsidRDefault="005047E0" w:rsidP="0089516C">
            <w:pPr>
              <w:rPr>
                <w:lang w:val="es-BO"/>
              </w:rPr>
            </w:pPr>
            <w:r>
              <w:rPr>
                <w:lang w:val="es-BO"/>
              </w:rPr>
              <w:t>Actualizar la base de datos de precios unitarios.</w:t>
            </w:r>
          </w:p>
          <w:p w14:paraId="7C838DC3" w14:textId="40E6EE55" w:rsidR="00263B8C" w:rsidRDefault="00263B8C" w:rsidP="0089516C">
            <w:pPr>
              <w:rPr>
                <w:lang w:val="es-BO"/>
              </w:rPr>
            </w:pPr>
            <w:r>
              <w:rPr>
                <w:lang w:val="es-BO"/>
              </w:rPr>
              <w:t xml:space="preserve">Actualizar los precios </w:t>
            </w:r>
            <w:r w:rsidR="0036744E">
              <w:rPr>
                <w:lang w:val="es-BO"/>
              </w:rPr>
              <w:t xml:space="preserve">unitarios y cronogramas de construcción </w:t>
            </w:r>
            <w:r>
              <w:rPr>
                <w:lang w:val="es-BO"/>
              </w:rPr>
              <w:t>antes del inicio de cada proceso de licitación</w:t>
            </w:r>
            <w:r w:rsidR="0036744E">
              <w:rPr>
                <w:lang w:val="es-BO"/>
              </w:rPr>
              <w:t>, a fin de actualizar los documentos de licitación</w:t>
            </w:r>
            <w:r>
              <w:rPr>
                <w:lang w:val="es-BO"/>
              </w:rPr>
              <w:t>.</w:t>
            </w:r>
          </w:p>
          <w:p w14:paraId="351EB997" w14:textId="158D7C4B" w:rsidR="00807755" w:rsidRDefault="00807755" w:rsidP="0089516C">
            <w:pPr>
              <w:rPr>
                <w:lang w:val="es-BO"/>
              </w:rPr>
            </w:pPr>
            <w:r>
              <w:rPr>
                <w:lang w:val="es-BO"/>
              </w:rPr>
              <w:t>Debe revisarse y adecuarse las Condiciones Generales de Contrato “CGC”</w:t>
            </w:r>
            <w:r w:rsidR="00506B59">
              <w:rPr>
                <w:lang w:val="es-BO"/>
              </w:rPr>
              <w:t xml:space="preserve"> modelo del Banco</w:t>
            </w:r>
            <w:r>
              <w:rPr>
                <w:lang w:val="es-BO"/>
              </w:rPr>
              <w:t xml:space="preserve">, </w:t>
            </w:r>
            <w:r w:rsidR="00506B59">
              <w:rPr>
                <w:lang w:val="es-BO"/>
              </w:rPr>
              <w:t xml:space="preserve">a fin de incluir </w:t>
            </w:r>
            <w:r>
              <w:rPr>
                <w:lang w:val="es-BO"/>
              </w:rPr>
              <w:t>el tema de multas</w:t>
            </w:r>
            <w:r w:rsidR="00506B59">
              <w:rPr>
                <w:lang w:val="es-BO"/>
              </w:rPr>
              <w:t xml:space="preserve"> y</w:t>
            </w:r>
            <w:r>
              <w:rPr>
                <w:lang w:val="es-BO"/>
              </w:rPr>
              <w:t xml:space="preserve"> sanciones </w:t>
            </w:r>
            <w:r w:rsidR="00506B59">
              <w:rPr>
                <w:lang w:val="es-BO"/>
              </w:rPr>
              <w:t>por atrasos</w:t>
            </w:r>
            <w:r>
              <w:rPr>
                <w:lang w:val="es-BO"/>
              </w:rPr>
              <w:t>.</w:t>
            </w:r>
          </w:p>
          <w:p w14:paraId="526B73A2" w14:textId="2749FBC0" w:rsidR="0061506E" w:rsidRDefault="0061506E" w:rsidP="0061506E">
            <w:pPr>
              <w:rPr>
                <w:lang w:val="es-BO"/>
              </w:rPr>
            </w:pPr>
            <w:r>
              <w:rPr>
                <w:lang w:val="es-BO"/>
              </w:rPr>
              <w:t>Optimizar los cronogramas de los procesos de contratación</w:t>
            </w:r>
            <w:r w:rsidR="0036744E">
              <w:rPr>
                <w:lang w:val="es-BO"/>
              </w:rPr>
              <w:t xml:space="preserve"> </w:t>
            </w:r>
          </w:p>
          <w:p w14:paraId="5DE25EC9" w14:textId="6A955D44" w:rsidR="005047E0" w:rsidRPr="000A1290" w:rsidRDefault="0061506E" w:rsidP="0089516C">
            <w:pPr>
              <w:rPr>
                <w:lang w:val="es-BO"/>
              </w:rPr>
            </w:pPr>
            <w:r>
              <w:rPr>
                <w:lang w:val="es-BO"/>
              </w:rPr>
              <w:lastRenderedPageBreak/>
              <w:t>Los funcionarios que sean designados parte de las comisiones de calificación, previamente deberían ser capacitados en polít</w:t>
            </w:r>
            <w:r w:rsidR="00CB5DE5">
              <w:rPr>
                <w:lang w:val="es-BO"/>
              </w:rPr>
              <w:t>icas de adquisiciones del Banco.</w:t>
            </w:r>
          </w:p>
        </w:tc>
      </w:tr>
      <w:tr w:rsidR="008A1633" w:rsidRPr="00CB5DE5" w14:paraId="40D220F9" w14:textId="77777777" w:rsidTr="000A1290">
        <w:tc>
          <w:tcPr>
            <w:tcW w:w="3978" w:type="dxa"/>
          </w:tcPr>
          <w:p w14:paraId="220AA89C" w14:textId="77777777" w:rsidR="008A1633" w:rsidRDefault="005047E0" w:rsidP="00C46ECA">
            <w:pPr>
              <w:pStyle w:val="ListParagraph"/>
              <w:numPr>
                <w:ilvl w:val="0"/>
                <w:numId w:val="1"/>
              </w:numPr>
              <w:ind w:left="180" w:hanging="270"/>
              <w:rPr>
                <w:lang w:val="es-BO"/>
              </w:rPr>
            </w:pPr>
            <w:r>
              <w:rPr>
                <w:lang w:val="es-BO"/>
              </w:rPr>
              <w:lastRenderedPageBreak/>
              <w:t>Datos de proyectos</w:t>
            </w:r>
          </w:p>
          <w:p w14:paraId="535CA85A" w14:textId="77777777" w:rsidR="00CB5DE5" w:rsidRPr="007F1DEF" w:rsidRDefault="00CB5DE5" w:rsidP="00CB5DE5">
            <w:pPr>
              <w:pStyle w:val="ListParagraph"/>
              <w:ind w:left="180"/>
              <w:rPr>
                <w:lang w:val="es-BO"/>
              </w:rPr>
            </w:pPr>
          </w:p>
        </w:tc>
        <w:tc>
          <w:tcPr>
            <w:tcW w:w="4320" w:type="dxa"/>
          </w:tcPr>
          <w:p w14:paraId="24B35D7D" w14:textId="69D47443" w:rsidR="008A1633" w:rsidRPr="00515118" w:rsidRDefault="005047E0" w:rsidP="00263B8C">
            <w:pPr>
              <w:pStyle w:val="ListParagraph"/>
              <w:numPr>
                <w:ilvl w:val="0"/>
                <w:numId w:val="2"/>
              </w:numPr>
              <w:ind w:left="252" w:hanging="180"/>
              <w:rPr>
                <w:lang w:val="es-BO"/>
              </w:rPr>
            </w:pPr>
            <w:r>
              <w:rPr>
                <w:lang w:val="es-BO"/>
              </w:rPr>
              <w:t>Durante la ejecución de los proyectos se evidenció que en algunos casos</w:t>
            </w:r>
            <w:r w:rsidR="00263B8C">
              <w:rPr>
                <w:lang w:val="es-BO"/>
              </w:rPr>
              <w:t xml:space="preserve"> </w:t>
            </w:r>
            <w:r>
              <w:rPr>
                <w:lang w:val="es-BO"/>
              </w:rPr>
              <w:t>los datos de beneficiarios no estaban actualizados, y en algunos casos, ya existían zonas electrificadas</w:t>
            </w:r>
            <w:r w:rsidR="00263B8C">
              <w:rPr>
                <w:lang w:val="es-BO"/>
              </w:rPr>
              <w:t>, debido al tiempo transcurrido desde la aprobación del préstamo hasta el inicio de ejecución de las obras</w:t>
            </w:r>
            <w:r w:rsidR="00BA1031">
              <w:rPr>
                <w:lang w:val="es-BO"/>
              </w:rPr>
              <w:t>.</w:t>
            </w:r>
          </w:p>
        </w:tc>
        <w:tc>
          <w:tcPr>
            <w:tcW w:w="4410" w:type="dxa"/>
          </w:tcPr>
          <w:p w14:paraId="686385EB" w14:textId="77777777" w:rsidR="00BA1031" w:rsidRDefault="005047E0" w:rsidP="00EA138C">
            <w:pPr>
              <w:rPr>
                <w:lang w:val="es-BO"/>
              </w:rPr>
            </w:pPr>
            <w:r>
              <w:rPr>
                <w:lang w:val="es-BO"/>
              </w:rPr>
              <w:t xml:space="preserve">Se debe </w:t>
            </w:r>
            <w:r w:rsidR="00263B8C">
              <w:rPr>
                <w:lang w:val="es-BO"/>
              </w:rPr>
              <w:t>solicitar</w:t>
            </w:r>
            <w:r>
              <w:rPr>
                <w:lang w:val="es-BO"/>
              </w:rPr>
              <w:t xml:space="preserve"> la actualización del proyecto, y de los beneficiarios, como una condición antes del inicio del proceso de licitación.</w:t>
            </w:r>
          </w:p>
          <w:p w14:paraId="10164141" w14:textId="3AFDC760" w:rsidR="00C81494" w:rsidRPr="007F1DEF" w:rsidRDefault="00C81494" w:rsidP="00EA138C">
            <w:pPr>
              <w:rPr>
                <w:lang w:val="es-BO"/>
              </w:rPr>
            </w:pPr>
            <w:r>
              <w:rPr>
                <w:lang w:val="es-BO"/>
              </w:rPr>
              <w:t>Se debería realizar una inspección previa al proyecto por parte de la UEP (Gobernación) antes de su ejecución</w:t>
            </w:r>
          </w:p>
        </w:tc>
      </w:tr>
      <w:tr w:rsidR="008A1633" w:rsidRPr="00CB5DE5" w14:paraId="1B72A6EB" w14:textId="77777777" w:rsidTr="000A1290">
        <w:tc>
          <w:tcPr>
            <w:tcW w:w="3978" w:type="dxa"/>
          </w:tcPr>
          <w:p w14:paraId="5847B970" w14:textId="77777777" w:rsidR="008A1633" w:rsidRPr="007F1DEF" w:rsidRDefault="005047E0" w:rsidP="00CB5DE5">
            <w:pPr>
              <w:pStyle w:val="ListParagraph"/>
              <w:numPr>
                <w:ilvl w:val="0"/>
                <w:numId w:val="1"/>
              </w:numPr>
              <w:ind w:left="180" w:hanging="270"/>
              <w:rPr>
                <w:lang w:val="es-BO"/>
              </w:rPr>
            </w:pPr>
            <w:r>
              <w:rPr>
                <w:lang w:val="es-BO"/>
              </w:rPr>
              <w:t>Supervisión</w:t>
            </w:r>
          </w:p>
        </w:tc>
        <w:tc>
          <w:tcPr>
            <w:tcW w:w="4320" w:type="dxa"/>
          </w:tcPr>
          <w:p w14:paraId="52A1D461" w14:textId="77777777" w:rsidR="00F07738" w:rsidRDefault="005047E0" w:rsidP="0089516C">
            <w:pPr>
              <w:pStyle w:val="ListParagraph"/>
              <w:numPr>
                <w:ilvl w:val="0"/>
                <w:numId w:val="2"/>
              </w:numPr>
              <w:ind w:left="252" w:hanging="180"/>
              <w:rPr>
                <w:lang w:val="es-BO"/>
              </w:rPr>
            </w:pPr>
            <w:r>
              <w:rPr>
                <w:lang w:val="es-BO"/>
              </w:rPr>
              <w:t xml:space="preserve">Al inicio de la ejecución del Programa, se lanzaron procesos </w:t>
            </w:r>
            <w:r w:rsidR="00F07738">
              <w:rPr>
                <w:lang w:val="es-BO"/>
              </w:rPr>
              <w:t xml:space="preserve">de contratación </w:t>
            </w:r>
            <w:r>
              <w:rPr>
                <w:lang w:val="es-BO"/>
              </w:rPr>
              <w:t xml:space="preserve">con el fin de contratar a firmar consultoras internacionales, que se hagan cargo de la supervisión de todos los proyectos de una Gobernación. </w:t>
            </w:r>
          </w:p>
          <w:p w14:paraId="255D6D26" w14:textId="77777777" w:rsidR="008A1633" w:rsidRDefault="005047E0" w:rsidP="0089516C">
            <w:pPr>
              <w:pStyle w:val="ListParagraph"/>
              <w:numPr>
                <w:ilvl w:val="0"/>
                <w:numId w:val="2"/>
              </w:numPr>
              <w:ind w:left="252" w:hanging="180"/>
              <w:rPr>
                <w:lang w:val="es-BO"/>
              </w:rPr>
            </w:pPr>
            <w:r>
              <w:rPr>
                <w:lang w:val="es-BO"/>
              </w:rPr>
              <w:t>No obstante, los procesos no fueron exitosos, y en algunos casos, las firmas consultorías solicitaron presupuestos equivalentes al 30% del costo de las obras.</w:t>
            </w:r>
          </w:p>
          <w:p w14:paraId="0C311177" w14:textId="77777777" w:rsidR="005047E0" w:rsidRDefault="005047E0" w:rsidP="0089516C">
            <w:pPr>
              <w:pStyle w:val="ListParagraph"/>
              <w:numPr>
                <w:ilvl w:val="0"/>
                <w:numId w:val="2"/>
              </w:numPr>
              <w:ind w:left="252" w:hanging="180"/>
              <w:rPr>
                <w:lang w:val="es-BO"/>
              </w:rPr>
            </w:pPr>
            <w:r>
              <w:rPr>
                <w:lang w:val="es-BO"/>
              </w:rPr>
              <w:t xml:space="preserve">Como alternativa, de dividió la supervisión de los proyectos en </w:t>
            </w:r>
            <w:r w:rsidR="00372907">
              <w:rPr>
                <w:lang w:val="es-BO"/>
              </w:rPr>
              <w:t>consultorías</w:t>
            </w:r>
            <w:r>
              <w:rPr>
                <w:lang w:val="es-BO"/>
              </w:rPr>
              <w:t xml:space="preserve"> </w:t>
            </w:r>
            <w:r w:rsidR="00372907">
              <w:rPr>
                <w:lang w:val="es-BO"/>
              </w:rPr>
              <w:t>más</w:t>
            </w:r>
            <w:r>
              <w:rPr>
                <w:lang w:val="es-BO"/>
              </w:rPr>
              <w:t xml:space="preserve"> pequeñas, algunas de las cuales fueron adjudicadas a firmas unipersonales.</w:t>
            </w:r>
          </w:p>
          <w:p w14:paraId="5177C0B8" w14:textId="2C8DCF50" w:rsidR="005047E0" w:rsidRDefault="005047E0" w:rsidP="00075D8B">
            <w:pPr>
              <w:pStyle w:val="ListParagraph"/>
              <w:numPr>
                <w:ilvl w:val="0"/>
                <w:numId w:val="2"/>
              </w:numPr>
              <w:ind w:left="252" w:hanging="180"/>
              <w:rPr>
                <w:lang w:val="es-BO"/>
              </w:rPr>
            </w:pPr>
            <w:r>
              <w:rPr>
                <w:lang w:val="es-BO"/>
              </w:rPr>
              <w:t xml:space="preserve">La experiencia con estas firmas ha sido variada, en algunos casos </w:t>
            </w:r>
            <w:r w:rsidR="00372907">
              <w:rPr>
                <w:lang w:val="es-BO"/>
              </w:rPr>
              <w:t>funcionó</w:t>
            </w:r>
            <w:r w:rsidR="00F07738">
              <w:rPr>
                <w:lang w:val="es-BO"/>
              </w:rPr>
              <w:t xml:space="preserve"> de forma positiva</w:t>
            </w:r>
            <w:r>
              <w:rPr>
                <w:lang w:val="es-BO"/>
              </w:rPr>
              <w:t xml:space="preserve">, mientras que en otros, la supervisión ha sido deficiente, resultando en observaciones técnicas </w:t>
            </w:r>
            <w:r w:rsidR="00372907">
              <w:rPr>
                <w:lang w:val="es-BO"/>
              </w:rPr>
              <w:t xml:space="preserve">(por parte de la fiscalización, las empresas </w:t>
            </w:r>
            <w:r w:rsidR="00075D8B">
              <w:rPr>
                <w:lang w:val="es-BO"/>
              </w:rPr>
              <w:t>operadoras</w:t>
            </w:r>
            <w:r w:rsidR="00372907">
              <w:rPr>
                <w:lang w:val="es-BO"/>
              </w:rPr>
              <w:t xml:space="preserve">, o el </w:t>
            </w:r>
            <w:r w:rsidR="00372907">
              <w:rPr>
                <w:lang w:val="es-BO"/>
              </w:rPr>
              <w:lastRenderedPageBreak/>
              <w:t xml:space="preserve">Banco) </w:t>
            </w:r>
            <w:r>
              <w:rPr>
                <w:lang w:val="es-BO"/>
              </w:rPr>
              <w:t xml:space="preserve">que deben ser </w:t>
            </w:r>
            <w:r w:rsidR="00372907">
              <w:rPr>
                <w:lang w:val="es-BO"/>
              </w:rPr>
              <w:t>resueltas</w:t>
            </w:r>
            <w:r>
              <w:rPr>
                <w:lang w:val="es-BO"/>
              </w:rPr>
              <w:t xml:space="preserve"> antes de la entrega final de las obras. </w:t>
            </w:r>
          </w:p>
        </w:tc>
        <w:tc>
          <w:tcPr>
            <w:tcW w:w="4410" w:type="dxa"/>
          </w:tcPr>
          <w:p w14:paraId="76520153" w14:textId="26F50DCC" w:rsidR="0036744E" w:rsidRDefault="0036744E" w:rsidP="0089516C">
            <w:pPr>
              <w:rPr>
                <w:lang w:val="es-BO"/>
              </w:rPr>
            </w:pPr>
            <w:r>
              <w:rPr>
                <w:lang w:val="es-BO"/>
              </w:rPr>
              <w:lastRenderedPageBreak/>
              <w:t>Garantizar la contratación de firmas supervisoras con experiencia en la supervisión de construcción de proyectos de electrificación rural.</w:t>
            </w:r>
          </w:p>
          <w:p w14:paraId="4309D42C" w14:textId="77777777" w:rsidR="0036744E" w:rsidRDefault="0036744E" w:rsidP="0089516C">
            <w:pPr>
              <w:rPr>
                <w:lang w:val="es-BO"/>
              </w:rPr>
            </w:pPr>
          </w:p>
          <w:p w14:paraId="3C209B40" w14:textId="26598024" w:rsidR="008A1633" w:rsidRDefault="000B4B49" w:rsidP="0089516C">
            <w:pPr>
              <w:rPr>
                <w:lang w:val="es-BO"/>
              </w:rPr>
            </w:pPr>
            <w:r>
              <w:rPr>
                <w:lang w:val="es-BO"/>
              </w:rPr>
              <w:t>Además de las firmas supervisoras, s</w:t>
            </w:r>
            <w:r w:rsidR="00372907">
              <w:rPr>
                <w:lang w:val="es-BO"/>
              </w:rPr>
              <w:t xml:space="preserve">e recomienda involucrar a las empresas </w:t>
            </w:r>
            <w:r w:rsidR="00075D8B">
              <w:rPr>
                <w:lang w:val="es-BO"/>
              </w:rPr>
              <w:t xml:space="preserve">operadoras </w:t>
            </w:r>
            <w:r w:rsidR="00372907">
              <w:rPr>
                <w:lang w:val="es-BO"/>
              </w:rPr>
              <w:t>activamente en la supervisión de la construcción de los proyectos</w:t>
            </w:r>
            <w:r w:rsidR="00263B8C">
              <w:rPr>
                <w:lang w:val="es-BO"/>
              </w:rPr>
              <w:t xml:space="preserve"> (</w:t>
            </w:r>
            <w:r>
              <w:rPr>
                <w:lang w:val="es-BO"/>
              </w:rPr>
              <w:t>como co-fiscalizadoras</w:t>
            </w:r>
            <w:r w:rsidR="00263B8C">
              <w:rPr>
                <w:lang w:val="es-BO"/>
              </w:rPr>
              <w:t>)</w:t>
            </w:r>
            <w:r w:rsidR="00372907">
              <w:rPr>
                <w:lang w:val="es-BO"/>
              </w:rPr>
              <w:t xml:space="preserve">, ya que además de contar con la capacidad y experiencia técnica, serán las operadoras de las redes en construcción. </w:t>
            </w:r>
          </w:p>
          <w:p w14:paraId="01A0DCC6" w14:textId="77777777" w:rsidR="00506B59" w:rsidRDefault="00506B59" w:rsidP="0089516C">
            <w:pPr>
              <w:rPr>
                <w:lang w:val="es-BO"/>
              </w:rPr>
            </w:pPr>
          </w:p>
          <w:p w14:paraId="70878FA2" w14:textId="77777777" w:rsidR="00506B59" w:rsidRDefault="00506B59" w:rsidP="00506B59">
            <w:pPr>
              <w:rPr>
                <w:lang w:val="es-BO"/>
              </w:rPr>
            </w:pPr>
            <w:r>
              <w:rPr>
                <w:lang w:val="es-BO"/>
              </w:rPr>
              <w:t>Debe revisarse y adecuarse las Condiciones Generales de Contrato “CGC” modelo del Banco, a fin de incluir el tema de multas y sanciones por atrasos.</w:t>
            </w:r>
          </w:p>
          <w:p w14:paraId="13424617" w14:textId="77777777" w:rsidR="00506B59" w:rsidRDefault="00506B59" w:rsidP="0089516C">
            <w:pPr>
              <w:rPr>
                <w:lang w:val="es-BO"/>
              </w:rPr>
            </w:pPr>
          </w:p>
          <w:p w14:paraId="7A293F69" w14:textId="77777777" w:rsidR="00C875AB" w:rsidRDefault="00C875AB" w:rsidP="00506B59">
            <w:pPr>
              <w:rPr>
                <w:lang w:val="es-BO"/>
              </w:rPr>
            </w:pPr>
          </w:p>
        </w:tc>
      </w:tr>
      <w:tr w:rsidR="008A1633" w:rsidRPr="00CB5DE5" w14:paraId="3FE9B78A" w14:textId="77777777" w:rsidTr="000A1290">
        <w:tc>
          <w:tcPr>
            <w:tcW w:w="3978" w:type="dxa"/>
          </w:tcPr>
          <w:p w14:paraId="187A3DF2" w14:textId="77777777" w:rsidR="008A1633" w:rsidRPr="00C46ECA" w:rsidRDefault="008A1633" w:rsidP="0080412B">
            <w:pPr>
              <w:pStyle w:val="ListParagraph"/>
              <w:numPr>
                <w:ilvl w:val="0"/>
                <w:numId w:val="1"/>
              </w:numPr>
              <w:ind w:left="180" w:hanging="270"/>
              <w:rPr>
                <w:lang w:val="es-BO"/>
              </w:rPr>
            </w:pPr>
            <w:r>
              <w:rPr>
                <w:lang w:val="es-BO"/>
              </w:rPr>
              <w:lastRenderedPageBreak/>
              <w:t xml:space="preserve">Ritmo de avance físico del componente I (Km de línea) </w:t>
            </w:r>
          </w:p>
        </w:tc>
        <w:tc>
          <w:tcPr>
            <w:tcW w:w="4320" w:type="dxa"/>
          </w:tcPr>
          <w:p w14:paraId="24A725B6" w14:textId="2F68E98F" w:rsidR="008A1633" w:rsidRDefault="008A1633" w:rsidP="0080412B">
            <w:pPr>
              <w:pStyle w:val="ListParagraph"/>
              <w:numPr>
                <w:ilvl w:val="0"/>
                <w:numId w:val="2"/>
              </w:numPr>
              <w:ind w:left="252" w:hanging="180"/>
              <w:rPr>
                <w:lang w:val="es-BO"/>
              </w:rPr>
            </w:pPr>
            <w:r>
              <w:rPr>
                <w:lang w:val="es-BO"/>
              </w:rPr>
              <w:t>El rimo de avance físico del componente I (extensión de redes de distribución) fue satisfactorio, a partir del inicio de la</w:t>
            </w:r>
            <w:r w:rsidR="00F07738">
              <w:rPr>
                <w:lang w:val="es-BO"/>
              </w:rPr>
              <w:t>s</w:t>
            </w:r>
            <w:r>
              <w:rPr>
                <w:lang w:val="es-BO"/>
              </w:rPr>
              <w:t xml:space="preserve"> ejecución de</w:t>
            </w:r>
            <w:r w:rsidR="00F07738">
              <w:rPr>
                <w:lang w:val="es-BO"/>
              </w:rPr>
              <w:t xml:space="preserve"> </w:t>
            </w:r>
            <w:r>
              <w:rPr>
                <w:lang w:val="es-BO"/>
              </w:rPr>
              <w:t>l</w:t>
            </w:r>
            <w:r w:rsidR="00F07738">
              <w:rPr>
                <w:lang w:val="es-BO"/>
              </w:rPr>
              <w:t>as obras</w:t>
            </w:r>
            <w:r>
              <w:rPr>
                <w:lang w:val="es-BO"/>
              </w:rPr>
              <w:t xml:space="preserve"> Programa (es decir, una vez resueltos los problemas administrativos iniciales de firma de convenios intergubernativos y de licitaciones desiertas</w:t>
            </w:r>
            <w:r w:rsidR="006F488D">
              <w:rPr>
                <w:lang w:val="es-BO"/>
              </w:rPr>
              <w:t xml:space="preserve"> que atrasaron el inicio por un año y medio</w:t>
            </w:r>
            <w:r>
              <w:rPr>
                <w:lang w:val="es-BO"/>
              </w:rPr>
              <w:t>).</w:t>
            </w:r>
          </w:p>
          <w:p w14:paraId="341A2DA1" w14:textId="13329EF9" w:rsidR="008A1633" w:rsidRPr="00CB5DE5" w:rsidRDefault="00F07738" w:rsidP="00CB5DE5">
            <w:pPr>
              <w:pStyle w:val="ListParagraph"/>
              <w:numPr>
                <w:ilvl w:val="0"/>
                <w:numId w:val="2"/>
              </w:numPr>
              <w:ind w:left="252" w:hanging="180"/>
              <w:rPr>
                <w:lang w:val="es-BO"/>
              </w:rPr>
            </w:pPr>
            <w:r>
              <w:rPr>
                <w:lang w:val="es-BO"/>
              </w:rPr>
              <w:t>Incluso en algunos proyectos se identificó la oportunidad de optimizar el tiempo de ejecución.</w:t>
            </w:r>
          </w:p>
        </w:tc>
        <w:tc>
          <w:tcPr>
            <w:tcW w:w="4410" w:type="dxa"/>
          </w:tcPr>
          <w:p w14:paraId="221F1AE9" w14:textId="00A21671" w:rsidR="0036744E" w:rsidRDefault="00F07738" w:rsidP="0080412B">
            <w:pPr>
              <w:rPr>
                <w:lang w:val="es-BO"/>
              </w:rPr>
            </w:pPr>
            <w:r>
              <w:rPr>
                <w:lang w:val="es-BO"/>
              </w:rPr>
              <w:t xml:space="preserve">Las firmas contratistas </w:t>
            </w:r>
            <w:r w:rsidR="00851841">
              <w:rPr>
                <w:lang w:val="es-BO"/>
              </w:rPr>
              <w:t xml:space="preserve">mostraron que </w:t>
            </w:r>
            <w:r>
              <w:rPr>
                <w:lang w:val="es-BO"/>
              </w:rPr>
              <w:t>tienen experiencia en la ejecución de proyectos de electrificación rural (en relación al ritmo de avance</w:t>
            </w:r>
            <w:r w:rsidR="00263B8C">
              <w:rPr>
                <w:lang w:val="es-BO"/>
              </w:rPr>
              <w:t xml:space="preserve"> de las obras</w:t>
            </w:r>
            <w:r>
              <w:rPr>
                <w:lang w:val="es-BO"/>
              </w:rPr>
              <w:t xml:space="preserve">). No obstante se requiere garantizar una adecuada supervisión para garantizar la calidad de los mismos. </w:t>
            </w:r>
          </w:p>
          <w:p w14:paraId="6B553BF3" w14:textId="5AEA9EF5" w:rsidR="008A1633" w:rsidRPr="00C46ECA" w:rsidRDefault="0036744E" w:rsidP="0036744E">
            <w:pPr>
              <w:rPr>
                <w:lang w:val="es-BO"/>
              </w:rPr>
            </w:pPr>
            <w:r>
              <w:rPr>
                <w:lang w:val="es-BO"/>
              </w:rPr>
              <w:t>En la preparación de los pliegos de licitación, se debe garantizar que el cronograma solicitado corresponde a la complejidad del proyecto.</w:t>
            </w:r>
            <w:r w:rsidR="00392C7B">
              <w:rPr>
                <w:lang w:val="es-BO"/>
              </w:rPr>
              <w:t xml:space="preserve"> </w:t>
            </w:r>
          </w:p>
        </w:tc>
      </w:tr>
      <w:tr w:rsidR="008A1633" w:rsidRPr="00CB5DE5" w14:paraId="4177E9FF" w14:textId="77777777" w:rsidTr="000A1290">
        <w:tc>
          <w:tcPr>
            <w:tcW w:w="3978" w:type="dxa"/>
          </w:tcPr>
          <w:p w14:paraId="0432F018" w14:textId="77777777" w:rsidR="008A1633" w:rsidRPr="00C46ECA" w:rsidRDefault="008A1633" w:rsidP="00C46ECA">
            <w:pPr>
              <w:pStyle w:val="ListParagraph"/>
              <w:numPr>
                <w:ilvl w:val="0"/>
                <w:numId w:val="1"/>
              </w:numPr>
              <w:ind w:left="180" w:hanging="270"/>
              <w:rPr>
                <w:lang w:val="es-BO"/>
              </w:rPr>
            </w:pPr>
            <w:r w:rsidRPr="00C46ECA">
              <w:rPr>
                <w:lang w:val="es-BO"/>
              </w:rPr>
              <w:t>Proyectos con energías renovables (Componente III)</w:t>
            </w:r>
          </w:p>
        </w:tc>
        <w:tc>
          <w:tcPr>
            <w:tcW w:w="4320" w:type="dxa"/>
          </w:tcPr>
          <w:p w14:paraId="31317CB8" w14:textId="5295A5F7" w:rsidR="008A1633" w:rsidRDefault="00263B8C" w:rsidP="00515118">
            <w:pPr>
              <w:pStyle w:val="ListParagraph"/>
              <w:numPr>
                <w:ilvl w:val="0"/>
                <w:numId w:val="2"/>
              </w:numPr>
              <w:ind w:left="252" w:hanging="180"/>
              <w:rPr>
                <w:lang w:val="es-BO"/>
              </w:rPr>
            </w:pPr>
            <w:r>
              <w:rPr>
                <w:lang w:val="es-BO"/>
              </w:rPr>
              <w:t>El Programa contemplaba la implementación de proyectos pilotos con energías alternativas. Se logró implementar 3 proyectos pilotos. No obstante</w:t>
            </w:r>
            <w:r w:rsidR="00D2105E">
              <w:rPr>
                <w:lang w:val="es-BO"/>
              </w:rPr>
              <w:t>, el Programa no ha realizado ninguna evaluación del impacto de la implementación de este tipo de proyectos</w:t>
            </w:r>
            <w:r w:rsidR="00392C7B">
              <w:rPr>
                <w:lang w:val="es-BO"/>
              </w:rPr>
              <w:t>.</w:t>
            </w:r>
          </w:p>
          <w:p w14:paraId="7335C079" w14:textId="520CDA1C" w:rsidR="00506B59" w:rsidRDefault="00506B59" w:rsidP="00506B59">
            <w:pPr>
              <w:pStyle w:val="ListParagraph"/>
              <w:numPr>
                <w:ilvl w:val="0"/>
                <w:numId w:val="2"/>
              </w:numPr>
              <w:ind w:left="252" w:hanging="180"/>
              <w:rPr>
                <w:lang w:val="es-BO"/>
              </w:rPr>
            </w:pPr>
            <w:r>
              <w:rPr>
                <w:lang w:val="es-BO"/>
              </w:rPr>
              <w:t xml:space="preserve">Existe demasiada </w:t>
            </w:r>
            <w:r w:rsidR="00D2105E">
              <w:rPr>
                <w:lang w:val="es-BO"/>
              </w:rPr>
              <w:t>injerencia</w:t>
            </w:r>
            <w:r>
              <w:rPr>
                <w:lang w:val="es-BO"/>
              </w:rPr>
              <w:t xml:space="preserve"> política en la selección de este tipo de proyectos, lo que limita el acceso de los proyectos a su evaluación y ejecución.</w:t>
            </w:r>
          </w:p>
          <w:p w14:paraId="528A7AEE" w14:textId="521834CB" w:rsidR="00263B8C" w:rsidRPr="00392C7B" w:rsidRDefault="00506B59" w:rsidP="00392C7B">
            <w:pPr>
              <w:pStyle w:val="ListParagraph"/>
              <w:numPr>
                <w:ilvl w:val="0"/>
                <w:numId w:val="2"/>
              </w:numPr>
              <w:ind w:left="252" w:hanging="180"/>
              <w:rPr>
                <w:lang w:val="es-BO"/>
              </w:rPr>
            </w:pPr>
            <w:r>
              <w:rPr>
                <w:lang w:val="es-BO"/>
              </w:rPr>
              <w:t xml:space="preserve">La UEP, no pudo establecer una base de datos de este tipo de proyectos, ni ser propositivo en la </w:t>
            </w:r>
            <w:r w:rsidR="00D2105E">
              <w:rPr>
                <w:lang w:val="es-BO"/>
              </w:rPr>
              <w:t>elaboración</w:t>
            </w:r>
            <w:r>
              <w:rPr>
                <w:lang w:val="es-BO"/>
              </w:rPr>
              <w:t xml:space="preserve"> de nuevos proyectos a pesar de formar parte del Programa de Electricidad Para Vivir con Dignidad – PEVD, que fue creada para manejar financiamientos para proyectos </w:t>
            </w:r>
            <w:r>
              <w:rPr>
                <w:lang w:val="es-BO"/>
              </w:rPr>
              <w:lastRenderedPageBreak/>
              <w:t>que implementan este tipo de energías.</w:t>
            </w:r>
          </w:p>
        </w:tc>
        <w:tc>
          <w:tcPr>
            <w:tcW w:w="4410" w:type="dxa"/>
          </w:tcPr>
          <w:p w14:paraId="259ADF5E" w14:textId="5C4BB470" w:rsidR="00392C7B" w:rsidRPr="00C46ECA" w:rsidRDefault="00D2105E" w:rsidP="00392C7B">
            <w:pPr>
              <w:rPr>
                <w:lang w:val="es-BO"/>
              </w:rPr>
            </w:pPr>
            <w:r>
              <w:rPr>
                <w:lang w:val="es-BO"/>
              </w:rPr>
              <w:lastRenderedPageBreak/>
              <w:t>Se considera un proyecto de energías renovables solamente si este es complementario a un proyecto de extensión de red</w:t>
            </w:r>
            <w:r w:rsidR="0036744E">
              <w:rPr>
                <w:lang w:val="es-BO"/>
              </w:rPr>
              <w:t>, en zonas donde no es viable técnica o económicamente extender la red,</w:t>
            </w:r>
            <w:r>
              <w:rPr>
                <w:lang w:val="es-BO"/>
              </w:rPr>
              <w:t xml:space="preserve"> y que busque el acceso total de la población</w:t>
            </w:r>
            <w:r w:rsidR="0036744E">
              <w:rPr>
                <w:lang w:val="es-BO"/>
              </w:rPr>
              <w:t>. Asimismo, se deberá dar prioridad a proyectos con energías alternativas que permitan los usos productivos.</w:t>
            </w:r>
          </w:p>
        </w:tc>
      </w:tr>
      <w:tr w:rsidR="008A1633" w:rsidRPr="00CB5DE5" w14:paraId="50C085F8" w14:textId="77777777" w:rsidTr="000A1290">
        <w:tc>
          <w:tcPr>
            <w:tcW w:w="3978" w:type="dxa"/>
          </w:tcPr>
          <w:p w14:paraId="3058B51A" w14:textId="39E10EB5" w:rsidR="008A1633" w:rsidRPr="00C46ECA" w:rsidRDefault="00263B8C" w:rsidP="00C46ECA">
            <w:pPr>
              <w:pStyle w:val="ListParagraph"/>
              <w:numPr>
                <w:ilvl w:val="0"/>
                <w:numId w:val="1"/>
              </w:numPr>
              <w:ind w:left="180" w:hanging="270"/>
              <w:rPr>
                <w:lang w:val="es-BO"/>
              </w:rPr>
            </w:pPr>
            <w:r>
              <w:rPr>
                <w:lang w:val="es-BO"/>
              </w:rPr>
              <w:lastRenderedPageBreak/>
              <w:t>Consultorías de apoyo al PEVD (C</w:t>
            </w:r>
            <w:r w:rsidR="008A1633" w:rsidRPr="00C46ECA">
              <w:rPr>
                <w:lang w:val="es-BO"/>
              </w:rPr>
              <w:t>omponente III)</w:t>
            </w:r>
          </w:p>
        </w:tc>
        <w:tc>
          <w:tcPr>
            <w:tcW w:w="4320" w:type="dxa"/>
          </w:tcPr>
          <w:p w14:paraId="5B6F5042" w14:textId="77777777" w:rsidR="008A1633" w:rsidRDefault="006F488D" w:rsidP="00515118">
            <w:pPr>
              <w:pStyle w:val="ListParagraph"/>
              <w:numPr>
                <w:ilvl w:val="0"/>
                <w:numId w:val="2"/>
              </w:numPr>
              <w:ind w:left="252" w:hanging="180"/>
              <w:rPr>
                <w:lang w:val="es-BO"/>
              </w:rPr>
            </w:pPr>
            <w:r>
              <w:rPr>
                <w:lang w:val="es-BO"/>
              </w:rPr>
              <w:t xml:space="preserve">El Programa contemplaba una serie de consultorías de apoyo al PEVD. No obstante, varias de ellas no fueron ejecutadas, o fueron ejecutadas pero los resultados no han sido implementados efectivamente. </w:t>
            </w:r>
          </w:p>
          <w:p w14:paraId="56287BA3" w14:textId="5866CB0B" w:rsidR="00506B59" w:rsidRPr="00C46ECA" w:rsidRDefault="00506B59" w:rsidP="00515118">
            <w:pPr>
              <w:pStyle w:val="ListParagraph"/>
              <w:numPr>
                <w:ilvl w:val="0"/>
                <w:numId w:val="2"/>
              </w:numPr>
              <w:ind w:left="252" w:hanging="180"/>
              <w:rPr>
                <w:lang w:val="es-BO"/>
              </w:rPr>
            </w:pPr>
            <w:r>
              <w:rPr>
                <w:lang w:val="es-BO"/>
              </w:rPr>
              <w:t>Los productos no fueron totalmente satisfactorios, debido a que las personas que los evaluaban y eran responsables de los mismos, eran personal del PER y no las jefaturas, unidades o institución beneficiarias de los mismos, o en su defecto un especialista entendido en el tema.</w:t>
            </w:r>
          </w:p>
        </w:tc>
        <w:tc>
          <w:tcPr>
            <w:tcW w:w="4410" w:type="dxa"/>
          </w:tcPr>
          <w:p w14:paraId="36C12722" w14:textId="77777777" w:rsidR="008A1633" w:rsidRDefault="00506B59" w:rsidP="00D67B4F">
            <w:pPr>
              <w:rPr>
                <w:lang w:val="es-BO"/>
              </w:rPr>
            </w:pPr>
            <w:r>
              <w:rPr>
                <w:lang w:val="es-BO"/>
              </w:rPr>
              <w:t>En el caso de consultorías específicas de apoyo, se debe contar con personal adecuado para la supervisión de los productos, a fin de garantizar su calidad.</w:t>
            </w:r>
          </w:p>
          <w:p w14:paraId="2B071D91" w14:textId="77777777" w:rsidR="00C81494" w:rsidRDefault="00C81494" w:rsidP="00D67B4F">
            <w:pPr>
              <w:rPr>
                <w:lang w:val="es-BO"/>
              </w:rPr>
            </w:pPr>
          </w:p>
          <w:p w14:paraId="6A1C0A35" w14:textId="0489E098" w:rsidR="00C81494" w:rsidRPr="00C46ECA" w:rsidRDefault="00C81494" w:rsidP="00D67B4F">
            <w:pPr>
              <w:rPr>
                <w:lang w:val="es-BO"/>
              </w:rPr>
            </w:pPr>
            <w:r>
              <w:rPr>
                <w:lang w:val="es-BO"/>
              </w:rPr>
              <w:t xml:space="preserve">Las </w:t>
            </w:r>
            <w:r w:rsidR="0036744E">
              <w:rPr>
                <w:lang w:val="es-BO"/>
              </w:rPr>
              <w:t>consultorías</w:t>
            </w:r>
            <w:r>
              <w:rPr>
                <w:lang w:val="es-BO"/>
              </w:rPr>
              <w:t xml:space="preserve"> específicas de apoyo a la ejecución del programa deberían considerar aspectos de planificación o formulación de programas regionales de electrificación rural y a la estandarización </w:t>
            </w:r>
            <w:r w:rsidR="0036744E">
              <w:rPr>
                <w:lang w:val="es-BO"/>
              </w:rPr>
              <w:t>de procedimientos</w:t>
            </w:r>
            <w:r>
              <w:rPr>
                <w:lang w:val="es-BO"/>
              </w:rPr>
              <w:t>.</w:t>
            </w:r>
          </w:p>
        </w:tc>
      </w:tr>
      <w:tr w:rsidR="008A1633" w:rsidRPr="00CB5DE5" w14:paraId="57261583" w14:textId="77777777" w:rsidTr="000A1290">
        <w:tc>
          <w:tcPr>
            <w:tcW w:w="3978" w:type="dxa"/>
          </w:tcPr>
          <w:p w14:paraId="128D592A" w14:textId="77777777" w:rsidR="008A1633" w:rsidRDefault="008A1633" w:rsidP="000A1290">
            <w:pPr>
              <w:pStyle w:val="ListParagraph"/>
              <w:numPr>
                <w:ilvl w:val="0"/>
                <w:numId w:val="1"/>
              </w:numPr>
              <w:ind w:hanging="810"/>
              <w:rPr>
                <w:lang w:val="es-BO"/>
              </w:rPr>
            </w:pPr>
            <w:r>
              <w:rPr>
                <w:lang w:val="es-BO"/>
              </w:rPr>
              <w:t xml:space="preserve">Ajuste de roles de supervisión y fiscalización </w:t>
            </w:r>
          </w:p>
        </w:tc>
        <w:tc>
          <w:tcPr>
            <w:tcW w:w="4320" w:type="dxa"/>
          </w:tcPr>
          <w:p w14:paraId="53A262DF" w14:textId="77777777" w:rsidR="008A1633" w:rsidRDefault="006F488D" w:rsidP="00515118">
            <w:pPr>
              <w:pStyle w:val="ListParagraph"/>
              <w:numPr>
                <w:ilvl w:val="0"/>
                <w:numId w:val="2"/>
              </w:numPr>
              <w:ind w:left="252" w:hanging="180"/>
              <w:rPr>
                <w:lang w:val="es-BO"/>
              </w:rPr>
            </w:pPr>
            <w:r>
              <w:rPr>
                <w:lang w:val="es-BO"/>
              </w:rPr>
              <w:t xml:space="preserve">El esquema de ejecución propuesto para el PER disponía que la fiscalización estaría a cargo de especialistas de la Unidad Ejecutora del Programa, para lo cual se contrataron 4 profesionales. </w:t>
            </w:r>
          </w:p>
          <w:p w14:paraId="17B7D659" w14:textId="77777777" w:rsidR="006F488D" w:rsidRPr="00C46ECA" w:rsidRDefault="006F488D" w:rsidP="00515118">
            <w:pPr>
              <w:pStyle w:val="ListParagraph"/>
              <w:numPr>
                <w:ilvl w:val="0"/>
                <w:numId w:val="2"/>
              </w:numPr>
              <w:ind w:left="252" w:hanging="180"/>
              <w:rPr>
                <w:lang w:val="es-BO"/>
              </w:rPr>
            </w:pPr>
            <w:r>
              <w:rPr>
                <w:lang w:val="es-BO"/>
              </w:rPr>
              <w:t xml:space="preserve">El trabajo de estos profesionales ha sido, en varios casos, deficiente, y no se ha cumplido a cabalidad el rol de fiscalización de la construcción de las obras, y de verificación del rol de la supervisión. </w:t>
            </w:r>
          </w:p>
        </w:tc>
        <w:tc>
          <w:tcPr>
            <w:tcW w:w="4410" w:type="dxa"/>
          </w:tcPr>
          <w:p w14:paraId="5249FB90" w14:textId="77777777" w:rsidR="0036744E" w:rsidRDefault="008A1633">
            <w:pPr>
              <w:rPr>
                <w:lang w:val="es-BO"/>
              </w:rPr>
            </w:pPr>
            <w:r>
              <w:rPr>
                <w:lang w:val="es-BO"/>
              </w:rPr>
              <w:t>Elaboración de manuales de supervisión y fiscalización</w:t>
            </w:r>
            <w:r w:rsidR="0036744E">
              <w:rPr>
                <w:lang w:val="es-BO"/>
              </w:rPr>
              <w:t>, como parte del Reglamento operativo del Programa.</w:t>
            </w:r>
          </w:p>
          <w:p w14:paraId="359E8BC3" w14:textId="37711D32" w:rsidR="008A1633" w:rsidRDefault="008A1633">
            <w:pPr>
              <w:rPr>
                <w:lang w:val="es-BO"/>
              </w:rPr>
            </w:pPr>
          </w:p>
          <w:p w14:paraId="65874A6F" w14:textId="0979E474" w:rsidR="00506B59" w:rsidRDefault="00506B59" w:rsidP="00506B59">
            <w:pPr>
              <w:rPr>
                <w:lang w:val="es-BO"/>
              </w:rPr>
            </w:pPr>
            <w:r w:rsidRPr="00506B59">
              <w:rPr>
                <w:lang w:val="es-BO"/>
              </w:rPr>
              <w:t xml:space="preserve">Se sugiere incluir en los TDR de Supervisión y fiscales anexos con esquemas-formularios de datos e información semanal </w:t>
            </w:r>
            <w:r w:rsidR="00C81494">
              <w:rPr>
                <w:lang w:val="es-BO"/>
              </w:rPr>
              <w:t>o</w:t>
            </w:r>
            <w:r w:rsidR="00C81494" w:rsidRPr="00506B59">
              <w:rPr>
                <w:lang w:val="es-BO"/>
              </w:rPr>
              <w:t xml:space="preserve"> </w:t>
            </w:r>
            <w:r w:rsidRPr="00506B59">
              <w:rPr>
                <w:lang w:val="es-BO"/>
              </w:rPr>
              <w:t xml:space="preserve">quincenal </w:t>
            </w:r>
            <w:r w:rsidR="00C81494">
              <w:rPr>
                <w:lang w:val="es-BO"/>
              </w:rPr>
              <w:t>o</w:t>
            </w:r>
            <w:r w:rsidR="00C81494" w:rsidRPr="00506B59">
              <w:rPr>
                <w:lang w:val="es-BO"/>
              </w:rPr>
              <w:t xml:space="preserve"> </w:t>
            </w:r>
            <w:r w:rsidRPr="00506B59">
              <w:rPr>
                <w:lang w:val="es-BO"/>
              </w:rPr>
              <w:t>mensual</w:t>
            </w:r>
            <w:r w:rsidR="0036744E">
              <w:rPr>
                <w:lang w:val="es-BO"/>
              </w:rPr>
              <w:t xml:space="preserve"> que debe ser reportada</w:t>
            </w:r>
            <w:r w:rsidRPr="00506B59">
              <w:rPr>
                <w:lang w:val="es-BO"/>
              </w:rPr>
              <w:t xml:space="preserve">, que ayuden </w:t>
            </w:r>
            <w:r w:rsidR="00C81494">
              <w:rPr>
                <w:lang w:val="es-BO"/>
              </w:rPr>
              <w:t xml:space="preserve">y respondan </w:t>
            </w:r>
            <w:r w:rsidRPr="00506B59">
              <w:rPr>
                <w:lang w:val="es-BO"/>
              </w:rPr>
              <w:t xml:space="preserve">al </w:t>
            </w:r>
            <w:r w:rsidR="0036744E">
              <w:rPr>
                <w:lang w:val="es-BO"/>
              </w:rPr>
              <w:t>B</w:t>
            </w:r>
            <w:r w:rsidR="0036744E" w:rsidRPr="00506B59">
              <w:rPr>
                <w:lang w:val="es-BO"/>
              </w:rPr>
              <w:t xml:space="preserve">anco </w:t>
            </w:r>
            <w:r w:rsidRPr="00506B59">
              <w:rPr>
                <w:lang w:val="es-BO"/>
              </w:rPr>
              <w:t>a realizar un seguimiento del porcentaje de avance físico y financiero de las mismas.</w:t>
            </w:r>
          </w:p>
          <w:p w14:paraId="67C145EF" w14:textId="77777777" w:rsidR="0036744E" w:rsidRDefault="0036744E" w:rsidP="00506B59">
            <w:pPr>
              <w:rPr>
                <w:lang w:val="es-BO"/>
              </w:rPr>
            </w:pPr>
          </w:p>
          <w:p w14:paraId="02A6E183" w14:textId="1809649E" w:rsidR="00506B59" w:rsidRPr="00C46ECA" w:rsidRDefault="0036744E" w:rsidP="00506B59">
            <w:pPr>
              <w:rPr>
                <w:lang w:val="es-BO"/>
              </w:rPr>
            </w:pPr>
            <w:r>
              <w:rPr>
                <w:lang w:val="es-BO"/>
              </w:rPr>
              <w:t>Se debe definir con mayor detalle el rol de los fiscalizadores por parte del Programa.</w:t>
            </w:r>
          </w:p>
        </w:tc>
      </w:tr>
      <w:tr w:rsidR="008A1633" w:rsidRPr="00CB5DE5" w14:paraId="69AB54CC" w14:textId="77777777" w:rsidTr="000A1290">
        <w:tc>
          <w:tcPr>
            <w:tcW w:w="3978" w:type="dxa"/>
          </w:tcPr>
          <w:p w14:paraId="6B1421E6" w14:textId="7B449C40" w:rsidR="008A1633" w:rsidRDefault="008A1633" w:rsidP="000A1290">
            <w:pPr>
              <w:pStyle w:val="ListParagraph"/>
              <w:numPr>
                <w:ilvl w:val="0"/>
                <w:numId w:val="1"/>
              </w:numPr>
              <w:ind w:hanging="810"/>
              <w:rPr>
                <w:lang w:val="es-BO"/>
              </w:rPr>
            </w:pPr>
            <w:r>
              <w:rPr>
                <w:lang w:val="es-BO"/>
              </w:rPr>
              <w:t>Ajuste real de PEP/POA</w:t>
            </w:r>
          </w:p>
        </w:tc>
        <w:tc>
          <w:tcPr>
            <w:tcW w:w="4320" w:type="dxa"/>
          </w:tcPr>
          <w:p w14:paraId="7E656731" w14:textId="77777777" w:rsidR="008A1633" w:rsidRPr="00C46ECA" w:rsidRDefault="008A1633" w:rsidP="006F488D">
            <w:pPr>
              <w:pStyle w:val="ListParagraph"/>
              <w:numPr>
                <w:ilvl w:val="0"/>
                <w:numId w:val="2"/>
              </w:numPr>
              <w:ind w:left="252" w:hanging="180"/>
              <w:rPr>
                <w:lang w:val="es-BO"/>
              </w:rPr>
            </w:pPr>
            <w:r>
              <w:rPr>
                <w:lang w:val="es-BO"/>
              </w:rPr>
              <w:t>Todos los procesos preparatorios</w:t>
            </w:r>
            <w:r w:rsidR="006F488D">
              <w:rPr>
                <w:lang w:val="es-BO"/>
              </w:rPr>
              <w:t xml:space="preserve"> para el inicio de las obras, incluyendo la preparación de los pliegos, licitación, </w:t>
            </w:r>
            <w:r w:rsidR="006F488D">
              <w:rPr>
                <w:lang w:val="es-BO"/>
              </w:rPr>
              <w:lastRenderedPageBreak/>
              <w:t>revisión, adjudicación, etc.</w:t>
            </w:r>
            <w:r>
              <w:rPr>
                <w:lang w:val="es-BO"/>
              </w:rPr>
              <w:t xml:space="preserve">, </w:t>
            </w:r>
            <w:r w:rsidR="006F488D">
              <w:rPr>
                <w:lang w:val="es-BO"/>
              </w:rPr>
              <w:t>toman 1/3 del tiempo total de ejecución del Proyecto. Este aspecto debe ser reflejado en el PEP/POA del programa</w:t>
            </w:r>
            <w:r>
              <w:rPr>
                <w:lang w:val="es-BO"/>
              </w:rPr>
              <w:t xml:space="preserve"> </w:t>
            </w:r>
          </w:p>
        </w:tc>
        <w:tc>
          <w:tcPr>
            <w:tcW w:w="4410" w:type="dxa"/>
          </w:tcPr>
          <w:p w14:paraId="1334BFB6" w14:textId="77777777" w:rsidR="008A1633" w:rsidRPr="00C46ECA" w:rsidRDefault="006F488D">
            <w:pPr>
              <w:rPr>
                <w:lang w:val="es-BO"/>
              </w:rPr>
            </w:pPr>
            <w:r>
              <w:rPr>
                <w:lang w:val="es-BO"/>
              </w:rPr>
              <w:lastRenderedPageBreak/>
              <w:t xml:space="preserve">Elaboración del PEP/POA del programa considerando tiempos realistas. </w:t>
            </w:r>
          </w:p>
        </w:tc>
      </w:tr>
      <w:tr w:rsidR="00263B8C" w:rsidRPr="004606C5" w14:paraId="11897397" w14:textId="77777777" w:rsidTr="00B24478">
        <w:tc>
          <w:tcPr>
            <w:tcW w:w="12708" w:type="dxa"/>
            <w:gridSpan w:val="3"/>
          </w:tcPr>
          <w:p w14:paraId="6CE11257" w14:textId="77777777" w:rsidR="00263B8C" w:rsidRPr="00263B8C" w:rsidRDefault="00263B8C" w:rsidP="00263B8C">
            <w:pPr>
              <w:pStyle w:val="ListParagraph"/>
              <w:numPr>
                <w:ilvl w:val="0"/>
                <w:numId w:val="4"/>
              </w:numPr>
              <w:rPr>
                <w:b/>
                <w:lang w:val="es-BO"/>
              </w:rPr>
            </w:pPr>
            <w:r w:rsidRPr="008A1633">
              <w:rPr>
                <w:b/>
                <w:lang w:val="es-BO"/>
              </w:rPr>
              <w:lastRenderedPageBreak/>
              <w:t>E</w:t>
            </w:r>
            <w:r>
              <w:rPr>
                <w:b/>
                <w:lang w:val="es-BO"/>
              </w:rPr>
              <w:t>valuación</w:t>
            </w:r>
            <w:r w:rsidRPr="008A1633">
              <w:rPr>
                <w:b/>
                <w:lang w:val="es-BO"/>
              </w:rPr>
              <w:t xml:space="preserve"> del Programa</w:t>
            </w:r>
          </w:p>
        </w:tc>
      </w:tr>
      <w:tr w:rsidR="00263B8C" w:rsidRPr="00CB5DE5" w14:paraId="76A0D33A" w14:textId="77777777" w:rsidTr="000A1290">
        <w:tc>
          <w:tcPr>
            <w:tcW w:w="3978" w:type="dxa"/>
          </w:tcPr>
          <w:p w14:paraId="6124358E" w14:textId="77777777" w:rsidR="00263B8C" w:rsidRPr="00C46ECA" w:rsidRDefault="00263B8C" w:rsidP="0080412B">
            <w:pPr>
              <w:pStyle w:val="ListParagraph"/>
              <w:numPr>
                <w:ilvl w:val="0"/>
                <w:numId w:val="1"/>
              </w:numPr>
              <w:ind w:left="180" w:hanging="270"/>
            </w:pPr>
            <w:r>
              <w:t>Evaluación de Impacto</w:t>
            </w:r>
          </w:p>
        </w:tc>
        <w:tc>
          <w:tcPr>
            <w:tcW w:w="4320" w:type="dxa"/>
          </w:tcPr>
          <w:p w14:paraId="45277049" w14:textId="77777777" w:rsidR="00263B8C" w:rsidRPr="00263B8C" w:rsidRDefault="00263B8C" w:rsidP="00263B8C">
            <w:pPr>
              <w:pStyle w:val="ListParagraph"/>
              <w:numPr>
                <w:ilvl w:val="0"/>
                <w:numId w:val="2"/>
              </w:numPr>
              <w:ind w:left="252" w:hanging="180"/>
              <w:rPr>
                <w:lang w:val="es-BO"/>
              </w:rPr>
            </w:pPr>
            <w:r w:rsidRPr="00263B8C">
              <w:rPr>
                <w:lang w:val="es-BO"/>
              </w:rPr>
              <w:t xml:space="preserve">Si bien la relación entre acceso a electricidad y pobreza está </w:t>
            </w:r>
            <w:r>
              <w:rPr>
                <w:lang w:val="es-BO"/>
              </w:rPr>
              <w:t>ampliamente estudiada y comprobada</w:t>
            </w:r>
            <w:r w:rsidRPr="00263B8C">
              <w:rPr>
                <w:lang w:val="es-BO"/>
              </w:rPr>
              <w:t>, e</w:t>
            </w:r>
            <w:r>
              <w:rPr>
                <w:lang w:val="es-BO"/>
              </w:rPr>
              <w:t xml:space="preserve">l Programa no contemplaba una evaluación de impacto, que pudiese dar información específica sobre el impacto de la electrificación rural en Bolivia, a fin de mejorar el diseño de futuros programas.  </w:t>
            </w:r>
          </w:p>
        </w:tc>
        <w:tc>
          <w:tcPr>
            <w:tcW w:w="4410" w:type="dxa"/>
          </w:tcPr>
          <w:p w14:paraId="150B8959" w14:textId="77777777" w:rsidR="00263B8C" w:rsidRPr="00263B8C" w:rsidRDefault="00263B8C" w:rsidP="00263B8C">
            <w:pPr>
              <w:rPr>
                <w:lang w:val="es-BO"/>
              </w:rPr>
            </w:pPr>
            <w:r>
              <w:rPr>
                <w:lang w:val="es-BO"/>
              </w:rPr>
              <w:t>Se recomienda incluir una evaluación de impacto en el diseño del Programa, particularmente en relación al uso productivo de la electricidad, y su impacto en los ingresos y pobreza de los beneficiarios.</w:t>
            </w:r>
          </w:p>
        </w:tc>
      </w:tr>
    </w:tbl>
    <w:p w14:paraId="12D4453E" w14:textId="77777777" w:rsidR="000E0793" w:rsidRPr="00C46ECA" w:rsidRDefault="00263B8C">
      <w:pPr>
        <w:rPr>
          <w:lang w:val="es-BO"/>
        </w:rPr>
      </w:pPr>
      <w:r>
        <w:rPr>
          <w:lang w:val="es-BO"/>
        </w:rPr>
        <w:tab/>
      </w:r>
    </w:p>
    <w:sectPr w:rsidR="000E0793" w:rsidRPr="00C46ECA" w:rsidSect="00C46ECA">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A7B5B" w15:done="0"/>
  <w15:commentEx w15:paraId="5C846F8D" w15:done="0"/>
  <w15:commentEx w15:paraId="00202B48" w15:done="0"/>
  <w15:commentEx w15:paraId="52D5D31B" w15:done="0"/>
  <w15:commentEx w15:paraId="36F9677C" w15:done="0"/>
  <w15:commentEx w15:paraId="43F83806" w15:done="0"/>
  <w15:commentEx w15:paraId="2CFAAF2F" w15:done="0"/>
  <w15:commentEx w15:paraId="45820F33" w15:done="0"/>
  <w15:commentEx w15:paraId="052AB750" w15:done="0"/>
  <w15:commentEx w15:paraId="5EBF1A66" w15:done="0"/>
  <w15:commentEx w15:paraId="6786F7C2" w15:done="0"/>
  <w15:commentEx w15:paraId="10EBC9C1" w15:done="0"/>
  <w15:commentEx w15:paraId="0F1B3B95" w15:done="0"/>
  <w15:commentEx w15:paraId="5CF02F82" w15:done="0"/>
  <w15:commentEx w15:paraId="7B1CFF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A8E"/>
    <w:multiLevelType w:val="hybridMultilevel"/>
    <w:tmpl w:val="4ECEB966"/>
    <w:lvl w:ilvl="0" w:tplc="D50020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AB7FC9"/>
    <w:multiLevelType w:val="multilevel"/>
    <w:tmpl w:val="DCCABCE6"/>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1146"/>
        </w:tabs>
        <w:ind w:left="1146" w:hanging="720"/>
      </w:pPr>
      <w:rPr>
        <w:rFonts w:hint="default"/>
        <w:b w:val="0"/>
        <w:i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352643C6"/>
    <w:multiLevelType w:val="hybridMultilevel"/>
    <w:tmpl w:val="73A02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55A75"/>
    <w:multiLevelType w:val="hybridMultilevel"/>
    <w:tmpl w:val="61F2E136"/>
    <w:lvl w:ilvl="0" w:tplc="55AAC91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16BCD"/>
    <w:multiLevelType w:val="hybridMultilevel"/>
    <w:tmpl w:val="E2D4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C27F3"/>
    <w:multiLevelType w:val="hybridMultilevel"/>
    <w:tmpl w:val="F5F4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Berbetty Ortuño">
    <w15:presenceInfo w15:providerId="AD" w15:userId="S-1-5-21-404565035-1146179700-1204051372-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A5"/>
    <w:rsid w:val="00041D1E"/>
    <w:rsid w:val="00075D8B"/>
    <w:rsid w:val="00077937"/>
    <w:rsid w:val="000A1290"/>
    <w:rsid w:val="000A6EF1"/>
    <w:rsid w:val="000B4B49"/>
    <w:rsid w:val="000E0793"/>
    <w:rsid w:val="00263B8C"/>
    <w:rsid w:val="0036744E"/>
    <w:rsid w:val="00372907"/>
    <w:rsid w:val="00377323"/>
    <w:rsid w:val="00392C7B"/>
    <w:rsid w:val="003C0426"/>
    <w:rsid w:val="004606C5"/>
    <w:rsid w:val="004842EC"/>
    <w:rsid w:val="004D2403"/>
    <w:rsid w:val="005047E0"/>
    <w:rsid w:val="00506B59"/>
    <w:rsid w:val="00515118"/>
    <w:rsid w:val="0061506E"/>
    <w:rsid w:val="00616C57"/>
    <w:rsid w:val="006F488D"/>
    <w:rsid w:val="007F1DEF"/>
    <w:rsid w:val="00807755"/>
    <w:rsid w:val="00851841"/>
    <w:rsid w:val="008A1633"/>
    <w:rsid w:val="009574A9"/>
    <w:rsid w:val="009B6F84"/>
    <w:rsid w:val="00A10069"/>
    <w:rsid w:val="00AC2B1B"/>
    <w:rsid w:val="00B94FC5"/>
    <w:rsid w:val="00BA1031"/>
    <w:rsid w:val="00BE1297"/>
    <w:rsid w:val="00C13BA5"/>
    <w:rsid w:val="00C46ECA"/>
    <w:rsid w:val="00C81494"/>
    <w:rsid w:val="00C875AB"/>
    <w:rsid w:val="00CA7B6F"/>
    <w:rsid w:val="00CB5DE5"/>
    <w:rsid w:val="00D2105E"/>
    <w:rsid w:val="00D67B4F"/>
    <w:rsid w:val="00D72137"/>
    <w:rsid w:val="00DF700F"/>
    <w:rsid w:val="00E10FD4"/>
    <w:rsid w:val="00EA138C"/>
    <w:rsid w:val="00F07738"/>
    <w:rsid w:val="00F6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ECA"/>
    <w:pPr>
      <w:ind w:left="720"/>
      <w:contextualSpacing/>
    </w:pPr>
  </w:style>
  <w:style w:type="paragraph" w:styleId="Revision">
    <w:name w:val="Revision"/>
    <w:hidden/>
    <w:uiPriority w:val="99"/>
    <w:semiHidden/>
    <w:rsid w:val="009574A9"/>
    <w:pPr>
      <w:spacing w:after="0" w:line="240" w:lineRule="auto"/>
    </w:pPr>
  </w:style>
  <w:style w:type="paragraph" w:styleId="BalloonText">
    <w:name w:val="Balloon Text"/>
    <w:basedOn w:val="Normal"/>
    <w:link w:val="BalloonTextChar"/>
    <w:uiPriority w:val="99"/>
    <w:semiHidden/>
    <w:unhideWhenUsed/>
    <w:rsid w:val="0095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A9"/>
    <w:rPr>
      <w:rFonts w:ascii="Segoe UI" w:hAnsi="Segoe UI" w:cs="Segoe UI"/>
      <w:sz w:val="18"/>
      <w:szCs w:val="18"/>
    </w:rPr>
  </w:style>
  <w:style w:type="character" w:styleId="CommentReference">
    <w:name w:val="annotation reference"/>
    <w:basedOn w:val="DefaultParagraphFont"/>
    <w:uiPriority w:val="99"/>
    <w:semiHidden/>
    <w:unhideWhenUsed/>
    <w:rsid w:val="009574A9"/>
    <w:rPr>
      <w:sz w:val="16"/>
      <w:szCs w:val="16"/>
    </w:rPr>
  </w:style>
  <w:style w:type="paragraph" w:styleId="CommentText">
    <w:name w:val="annotation text"/>
    <w:basedOn w:val="Normal"/>
    <w:link w:val="CommentTextChar"/>
    <w:uiPriority w:val="99"/>
    <w:semiHidden/>
    <w:unhideWhenUsed/>
    <w:rsid w:val="009574A9"/>
    <w:pPr>
      <w:spacing w:line="240" w:lineRule="auto"/>
    </w:pPr>
    <w:rPr>
      <w:sz w:val="20"/>
      <w:szCs w:val="20"/>
    </w:rPr>
  </w:style>
  <w:style w:type="character" w:customStyle="1" w:styleId="CommentTextChar">
    <w:name w:val="Comment Text Char"/>
    <w:basedOn w:val="DefaultParagraphFont"/>
    <w:link w:val="CommentText"/>
    <w:uiPriority w:val="99"/>
    <w:semiHidden/>
    <w:rsid w:val="009574A9"/>
    <w:rPr>
      <w:sz w:val="20"/>
      <w:szCs w:val="20"/>
    </w:rPr>
  </w:style>
  <w:style w:type="paragraph" w:styleId="CommentSubject">
    <w:name w:val="annotation subject"/>
    <w:basedOn w:val="CommentText"/>
    <w:next w:val="CommentText"/>
    <w:link w:val="CommentSubjectChar"/>
    <w:uiPriority w:val="99"/>
    <w:semiHidden/>
    <w:unhideWhenUsed/>
    <w:rsid w:val="009574A9"/>
    <w:rPr>
      <w:b/>
      <w:bCs/>
    </w:rPr>
  </w:style>
  <w:style w:type="character" w:customStyle="1" w:styleId="CommentSubjectChar">
    <w:name w:val="Comment Subject Char"/>
    <w:basedOn w:val="CommentTextChar"/>
    <w:link w:val="CommentSubject"/>
    <w:uiPriority w:val="99"/>
    <w:semiHidden/>
    <w:rsid w:val="009574A9"/>
    <w:rPr>
      <w:b/>
      <w:bCs/>
      <w:sz w:val="20"/>
      <w:szCs w:val="20"/>
    </w:rPr>
  </w:style>
  <w:style w:type="character" w:customStyle="1" w:styleId="st">
    <w:name w:val="st"/>
    <w:basedOn w:val="DefaultParagraphFont"/>
    <w:rsid w:val="00A10069"/>
  </w:style>
  <w:style w:type="character" w:styleId="Emphasis">
    <w:name w:val="Emphasis"/>
    <w:basedOn w:val="DefaultParagraphFont"/>
    <w:uiPriority w:val="20"/>
    <w:qFormat/>
    <w:rsid w:val="00A10069"/>
    <w:rPr>
      <w:i/>
      <w:iCs/>
    </w:rPr>
  </w:style>
  <w:style w:type="character" w:styleId="Hyperlink">
    <w:name w:val="Hyperlink"/>
    <w:basedOn w:val="DefaultParagraphFont"/>
    <w:uiPriority w:val="99"/>
    <w:unhideWhenUsed/>
    <w:rsid w:val="00A10069"/>
    <w:rPr>
      <w:color w:val="0000FF" w:themeColor="hyperlink"/>
      <w:u w:val="single"/>
    </w:rPr>
  </w:style>
  <w:style w:type="paragraph" w:styleId="NormalWeb">
    <w:name w:val="Normal (Web)"/>
    <w:basedOn w:val="Normal"/>
    <w:uiPriority w:val="99"/>
    <w:unhideWhenUsed/>
    <w:rsid w:val="00BA10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BA1031"/>
    <w:rPr>
      <w:b/>
      <w:bCs/>
    </w:rPr>
  </w:style>
  <w:style w:type="paragraph" w:styleId="BodyText">
    <w:name w:val="Body Text"/>
    <w:basedOn w:val="Normal"/>
    <w:link w:val="BodyTextChar"/>
    <w:uiPriority w:val="99"/>
    <w:semiHidden/>
    <w:unhideWhenUsed/>
    <w:rsid w:val="009B6F84"/>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9B6F84"/>
    <w:rPr>
      <w:rFonts w:ascii="Cambria" w:eastAsia="MS Mincho" w:hAnsi="Cambria" w:cs="Times New Roman"/>
      <w:sz w:val="24"/>
      <w:szCs w:val="24"/>
      <w:lang w:eastAsia="ja-JP"/>
    </w:rPr>
  </w:style>
  <w:style w:type="paragraph" w:styleId="Title">
    <w:name w:val="Title"/>
    <w:basedOn w:val="Normal"/>
    <w:link w:val="TitleChar"/>
    <w:qFormat/>
    <w:rsid w:val="009B6F84"/>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B6F84"/>
    <w:rPr>
      <w:rFonts w:ascii="Times New Roman" w:eastAsia="Times New Roman" w:hAnsi="Times New Roman" w:cs="Times New Roman"/>
      <w:sz w:val="24"/>
      <w:szCs w:val="20"/>
    </w:rPr>
  </w:style>
  <w:style w:type="paragraph" w:customStyle="1" w:styleId="Newpage">
    <w:name w:val="Newpage"/>
    <w:basedOn w:val="Normal"/>
    <w:rsid w:val="009B6F84"/>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autoRedefine/>
    <w:rsid w:val="009B6F84"/>
    <w:pPr>
      <w:numPr>
        <w:numId w:val="6"/>
      </w:numPr>
      <w:tabs>
        <w:tab w:val="left" w:pos="1440"/>
      </w:tabs>
      <w:spacing w:before="240" w:after="240" w:line="240" w:lineRule="auto"/>
      <w:jc w:val="center"/>
    </w:pPr>
    <w:rPr>
      <w:rFonts w:ascii="Times New Roman" w:eastAsia="Times New Roman" w:hAnsi="Times New Roman" w:cs="Arial"/>
      <w:b/>
      <w:smallCaps/>
      <w:noProof/>
      <w:sz w:val="24"/>
      <w:szCs w:val="20"/>
      <w:lang w:val="es-ES_tradnl"/>
    </w:rPr>
  </w:style>
  <w:style w:type="paragraph" w:customStyle="1" w:styleId="Paragraph">
    <w:name w:val="Paragraph"/>
    <w:aliases w:val="paragraph,p,PARAGRAPH,PG,pa,at"/>
    <w:basedOn w:val="BodyTextIndent"/>
    <w:rsid w:val="009B6F84"/>
    <w:pPr>
      <w:numPr>
        <w:ilvl w:val="1"/>
        <w:numId w:val="6"/>
      </w:numPr>
      <w:tabs>
        <w:tab w:val="clear" w:pos="1146"/>
        <w:tab w:val="num" w:pos="360"/>
      </w:tabs>
      <w:spacing w:before="120" w:line="240" w:lineRule="auto"/>
      <w:ind w:left="360" w:firstLine="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9B6F84"/>
    <w:pPr>
      <w:numPr>
        <w:ilvl w:val="2"/>
        <w:numId w:val="6"/>
      </w:numPr>
      <w:tabs>
        <w:tab w:val="clear" w:pos="1152"/>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B6F84"/>
    <w:pPr>
      <w:numPr>
        <w:ilvl w:val="3"/>
      </w:numPr>
      <w:tabs>
        <w:tab w:val="clear" w:pos="1584"/>
        <w:tab w:val="left" w:pos="0"/>
        <w:tab w:val="num" w:pos="360"/>
      </w:tabs>
      <w:ind w:left="2880" w:hanging="360"/>
    </w:pPr>
  </w:style>
  <w:style w:type="paragraph" w:styleId="BodyTextIndent">
    <w:name w:val="Body Text Indent"/>
    <w:basedOn w:val="Normal"/>
    <w:link w:val="BodyTextIndentChar"/>
    <w:uiPriority w:val="99"/>
    <w:semiHidden/>
    <w:unhideWhenUsed/>
    <w:rsid w:val="009B6F84"/>
    <w:pPr>
      <w:spacing w:after="120"/>
      <w:ind w:left="360"/>
    </w:pPr>
  </w:style>
  <w:style w:type="character" w:customStyle="1" w:styleId="BodyTextIndentChar">
    <w:name w:val="Body Text Indent Char"/>
    <w:basedOn w:val="DefaultParagraphFont"/>
    <w:link w:val="BodyTextIndent"/>
    <w:uiPriority w:val="99"/>
    <w:semiHidden/>
    <w:rsid w:val="009B6F84"/>
  </w:style>
  <w:style w:type="paragraph" w:styleId="BodyTextIndent3">
    <w:name w:val="Body Text Indent 3"/>
    <w:basedOn w:val="Normal"/>
    <w:link w:val="BodyTextIndent3Char"/>
    <w:uiPriority w:val="99"/>
    <w:semiHidden/>
    <w:unhideWhenUsed/>
    <w:rsid w:val="009B6F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6F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ECA"/>
    <w:pPr>
      <w:ind w:left="720"/>
      <w:contextualSpacing/>
    </w:pPr>
  </w:style>
  <w:style w:type="paragraph" w:styleId="Revision">
    <w:name w:val="Revision"/>
    <w:hidden/>
    <w:uiPriority w:val="99"/>
    <w:semiHidden/>
    <w:rsid w:val="009574A9"/>
    <w:pPr>
      <w:spacing w:after="0" w:line="240" w:lineRule="auto"/>
    </w:pPr>
  </w:style>
  <w:style w:type="paragraph" w:styleId="BalloonText">
    <w:name w:val="Balloon Text"/>
    <w:basedOn w:val="Normal"/>
    <w:link w:val="BalloonTextChar"/>
    <w:uiPriority w:val="99"/>
    <w:semiHidden/>
    <w:unhideWhenUsed/>
    <w:rsid w:val="0095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A9"/>
    <w:rPr>
      <w:rFonts w:ascii="Segoe UI" w:hAnsi="Segoe UI" w:cs="Segoe UI"/>
      <w:sz w:val="18"/>
      <w:szCs w:val="18"/>
    </w:rPr>
  </w:style>
  <w:style w:type="character" w:styleId="CommentReference">
    <w:name w:val="annotation reference"/>
    <w:basedOn w:val="DefaultParagraphFont"/>
    <w:uiPriority w:val="99"/>
    <w:semiHidden/>
    <w:unhideWhenUsed/>
    <w:rsid w:val="009574A9"/>
    <w:rPr>
      <w:sz w:val="16"/>
      <w:szCs w:val="16"/>
    </w:rPr>
  </w:style>
  <w:style w:type="paragraph" w:styleId="CommentText">
    <w:name w:val="annotation text"/>
    <w:basedOn w:val="Normal"/>
    <w:link w:val="CommentTextChar"/>
    <w:uiPriority w:val="99"/>
    <w:semiHidden/>
    <w:unhideWhenUsed/>
    <w:rsid w:val="009574A9"/>
    <w:pPr>
      <w:spacing w:line="240" w:lineRule="auto"/>
    </w:pPr>
    <w:rPr>
      <w:sz w:val="20"/>
      <w:szCs w:val="20"/>
    </w:rPr>
  </w:style>
  <w:style w:type="character" w:customStyle="1" w:styleId="CommentTextChar">
    <w:name w:val="Comment Text Char"/>
    <w:basedOn w:val="DefaultParagraphFont"/>
    <w:link w:val="CommentText"/>
    <w:uiPriority w:val="99"/>
    <w:semiHidden/>
    <w:rsid w:val="009574A9"/>
    <w:rPr>
      <w:sz w:val="20"/>
      <w:szCs w:val="20"/>
    </w:rPr>
  </w:style>
  <w:style w:type="paragraph" w:styleId="CommentSubject">
    <w:name w:val="annotation subject"/>
    <w:basedOn w:val="CommentText"/>
    <w:next w:val="CommentText"/>
    <w:link w:val="CommentSubjectChar"/>
    <w:uiPriority w:val="99"/>
    <w:semiHidden/>
    <w:unhideWhenUsed/>
    <w:rsid w:val="009574A9"/>
    <w:rPr>
      <w:b/>
      <w:bCs/>
    </w:rPr>
  </w:style>
  <w:style w:type="character" w:customStyle="1" w:styleId="CommentSubjectChar">
    <w:name w:val="Comment Subject Char"/>
    <w:basedOn w:val="CommentTextChar"/>
    <w:link w:val="CommentSubject"/>
    <w:uiPriority w:val="99"/>
    <w:semiHidden/>
    <w:rsid w:val="009574A9"/>
    <w:rPr>
      <w:b/>
      <w:bCs/>
      <w:sz w:val="20"/>
      <w:szCs w:val="20"/>
    </w:rPr>
  </w:style>
  <w:style w:type="character" w:customStyle="1" w:styleId="st">
    <w:name w:val="st"/>
    <w:basedOn w:val="DefaultParagraphFont"/>
    <w:rsid w:val="00A10069"/>
  </w:style>
  <w:style w:type="character" w:styleId="Emphasis">
    <w:name w:val="Emphasis"/>
    <w:basedOn w:val="DefaultParagraphFont"/>
    <w:uiPriority w:val="20"/>
    <w:qFormat/>
    <w:rsid w:val="00A10069"/>
    <w:rPr>
      <w:i/>
      <w:iCs/>
    </w:rPr>
  </w:style>
  <w:style w:type="character" w:styleId="Hyperlink">
    <w:name w:val="Hyperlink"/>
    <w:basedOn w:val="DefaultParagraphFont"/>
    <w:uiPriority w:val="99"/>
    <w:unhideWhenUsed/>
    <w:rsid w:val="00A10069"/>
    <w:rPr>
      <w:color w:val="0000FF" w:themeColor="hyperlink"/>
      <w:u w:val="single"/>
    </w:rPr>
  </w:style>
  <w:style w:type="paragraph" w:styleId="NormalWeb">
    <w:name w:val="Normal (Web)"/>
    <w:basedOn w:val="Normal"/>
    <w:uiPriority w:val="99"/>
    <w:unhideWhenUsed/>
    <w:rsid w:val="00BA10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BA1031"/>
    <w:rPr>
      <w:b/>
      <w:bCs/>
    </w:rPr>
  </w:style>
  <w:style w:type="paragraph" w:styleId="BodyText">
    <w:name w:val="Body Text"/>
    <w:basedOn w:val="Normal"/>
    <w:link w:val="BodyTextChar"/>
    <w:uiPriority w:val="99"/>
    <w:semiHidden/>
    <w:unhideWhenUsed/>
    <w:rsid w:val="009B6F84"/>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9B6F84"/>
    <w:rPr>
      <w:rFonts w:ascii="Cambria" w:eastAsia="MS Mincho" w:hAnsi="Cambria" w:cs="Times New Roman"/>
      <w:sz w:val="24"/>
      <w:szCs w:val="24"/>
      <w:lang w:eastAsia="ja-JP"/>
    </w:rPr>
  </w:style>
  <w:style w:type="paragraph" w:styleId="Title">
    <w:name w:val="Title"/>
    <w:basedOn w:val="Normal"/>
    <w:link w:val="TitleChar"/>
    <w:qFormat/>
    <w:rsid w:val="009B6F84"/>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B6F84"/>
    <w:rPr>
      <w:rFonts w:ascii="Times New Roman" w:eastAsia="Times New Roman" w:hAnsi="Times New Roman" w:cs="Times New Roman"/>
      <w:sz w:val="24"/>
      <w:szCs w:val="20"/>
    </w:rPr>
  </w:style>
  <w:style w:type="paragraph" w:customStyle="1" w:styleId="Newpage">
    <w:name w:val="Newpage"/>
    <w:basedOn w:val="Normal"/>
    <w:rsid w:val="009B6F84"/>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autoRedefine/>
    <w:rsid w:val="009B6F84"/>
    <w:pPr>
      <w:numPr>
        <w:numId w:val="6"/>
      </w:numPr>
      <w:tabs>
        <w:tab w:val="left" w:pos="1440"/>
      </w:tabs>
      <w:spacing w:before="240" w:after="240" w:line="240" w:lineRule="auto"/>
      <w:jc w:val="center"/>
    </w:pPr>
    <w:rPr>
      <w:rFonts w:ascii="Times New Roman" w:eastAsia="Times New Roman" w:hAnsi="Times New Roman" w:cs="Arial"/>
      <w:b/>
      <w:smallCaps/>
      <w:noProof/>
      <w:sz w:val="24"/>
      <w:szCs w:val="20"/>
      <w:lang w:val="es-ES_tradnl"/>
    </w:rPr>
  </w:style>
  <w:style w:type="paragraph" w:customStyle="1" w:styleId="Paragraph">
    <w:name w:val="Paragraph"/>
    <w:aliases w:val="paragraph,p,PARAGRAPH,PG,pa,at"/>
    <w:basedOn w:val="BodyTextIndent"/>
    <w:rsid w:val="009B6F84"/>
    <w:pPr>
      <w:numPr>
        <w:ilvl w:val="1"/>
        <w:numId w:val="6"/>
      </w:numPr>
      <w:tabs>
        <w:tab w:val="clear" w:pos="1146"/>
        <w:tab w:val="num" w:pos="360"/>
      </w:tabs>
      <w:spacing w:before="120" w:line="240" w:lineRule="auto"/>
      <w:ind w:left="360" w:firstLine="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9B6F84"/>
    <w:pPr>
      <w:numPr>
        <w:ilvl w:val="2"/>
        <w:numId w:val="6"/>
      </w:numPr>
      <w:tabs>
        <w:tab w:val="clear" w:pos="1152"/>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B6F84"/>
    <w:pPr>
      <w:numPr>
        <w:ilvl w:val="3"/>
      </w:numPr>
      <w:tabs>
        <w:tab w:val="clear" w:pos="1584"/>
        <w:tab w:val="left" w:pos="0"/>
        <w:tab w:val="num" w:pos="360"/>
      </w:tabs>
      <w:ind w:left="2880" w:hanging="360"/>
    </w:pPr>
  </w:style>
  <w:style w:type="paragraph" w:styleId="BodyTextIndent">
    <w:name w:val="Body Text Indent"/>
    <w:basedOn w:val="Normal"/>
    <w:link w:val="BodyTextIndentChar"/>
    <w:uiPriority w:val="99"/>
    <w:semiHidden/>
    <w:unhideWhenUsed/>
    <w:rsid w:val="009B6F84"/>
    <w:pPr>
      <w:spacing w:after="120"/>
      <w:ind w:left="360"/>
    </w:pPr>
  </w:style>
  <w:style w:type="character" w:customStyle="1" w:styleId="BodyTextIndentChar">
    <w:name w:val="Body Text Indent Char"/>
    <w:basedOn w:val="DefaultParagraphFont"/>
    <w:link w:val="BodyTextIndent"/>
    <w:uiPriority w:val="99"/>
    <w:semiHidden/>
    <w:rsid w:val="009B6F84"/>
  </w:style>
  <w:style w:type="paragraph" w:styleId="BodyTextIndent3">
    <w:name w:val="Body Text Indent 3"/>
    <w:basedOn w:val="Normal"/>
    <w:link w:val="BodyTextIndent3Char"/>
    <w:uiPriority w:val="99"/>
    <w:semiHidden/>
    <w:unhideWhenUsed/>
    <w:rsid w:val="009B6F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6F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ustomXml" Target="../customXml/item5.xml"/><Relationship Id="rId10" Type="http://schemas.microsoft.com/office/2011/relationships/people" Target="people.xml"/><Relationship Id="rId4" Type="http://schemas.microsoft.com/office/2007/relationships/stylesWithEffects" Target="stylesWithEffect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40255233</IDBDocs_x0020_Number>
    <TaxCatchAll xmlns="cdc7663a-08f0-4737-9e8c-148ce897a09c">
      <Value>4</Value>
      <Value>3</Value>
    </TaxCatchAll>
    <Phase xmlns="cdc7663a-08f0-4737-9e8c-148ce897a09c" xsi:nil="true"/>
    <SISCOR_x0020_Number xmlns="cdc7663a-08f0-4737-9e8c-148ce897a09c" xsi:nil="true"/>
    <Division_x0020_or_x0020_Unit xmlns="cdc7663a-08f0-4737-9e8c-148ce897a09c">INE/ENE</Division_x0020_or_x0020_Unit>
    <Approval_x0020_Number xmlns="cdc7663a-08f0-4737-9e8c-148ce897a09c" xsi:nil="true"/>
    <Document_x0020_Author xmlns="cdc7663a-08f0-4737-9e8c-148ce897a09c">Alarcon, Arturo</Document_x0020_Author>
    <Fiscal_x0020_Year_x0020_IDB xmlns="cdc7663a-08f0-4737-9e8c-148ce897a09c">2016</Fiscal_x0020_Year_x0020_IDB>
    <Other_x0020_Author xmlns="cdc7663a-08f0-4737-9e8c-148ce897a09c" xsi:nil="true"/>
    <Project_x0020_Number xmlns="cdc7663a-08f0-4737-9e8c-148ce897a09c">BO-L1117</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TECFILE</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R0000053992</Record_x0020_Number>
    <_dlc_DocId xmlns="cdc7663a-08f0-4737-9e8c-148ce897a09c">EZSHARE-1088023107-11</_dlc_DocId>
    <_dlc_DocIdUrl xmlns="cdc7663a-08f0-4737-9e8c-148ce897a09c">
      <Url>https://idbg.sharepoint.com/teams/EZ-BO-LON/BO-L1117/_layouts/15/DocIdRedir.aspx?ID=EZSHARE-1088023107-11</Url>
      <Description>EZSHARE-1088023107-11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D42CD59899F40D4D80DD305BC95E2006" ma:contentTypeVersion="22" ma:contentTypeDescription="The base project type from which other project content types inherit their information." ma:contentTypeScope="" ma:versionID="b71613decc87818c8f9f6d6acc7be0a5">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F4391DE3-19B3-4E55-8813-DFF82A154D6F}"/>
</file>

<file path=customXml/itemProps2.xml><?xml version="1.0" encoding="utf-8"?>
<ds:datastoreItem xmlns:ds="http://schemas.openxmlformats.org/officeDocument/2006/customXml" ds:itemID="{D023B53A-FED9-4F33-A0B9-212FBB59864E}"/>
</file>

<file path=customXml/itemProps3.xml><?xml version="1.0" encoding="utf-8"?>
<ds:datastoreItem xmlns:ds="http://schemas.openxmlformats.org/officeDocument/2006/customXml" ds:itemID="{28304D83-95D9-4E39-8F85-0A27FBC865D9}"/>
</file>

<file path=customXml/itemProps4.xml><?xml version="1.0" encoding="utf-8"?>
<ds:datastoreItem xmlns:ds="http://schemas.openxmlformats.org/officeDocument/2006/customXml" ds:itemID="{D9A22DAB-8587-405A-966F-849EA91F9984}"/>
</file>

<file path=customXml/itemProps5.xml><?xml version="1.0" encoding="utf-8"?>
<ds:datastoreItem xmlns:ds="http://schemas.openxmlformats.org/officeDocument/2006/customXml" ds:itemID="{E769B04D-851F-43F3-B988-D5BA22611171}"/>
</file>

<file path=customXml/itemProps6.xml><?xml version="1.0" encoding="utf-8"?>
<ds:datastoreItem xmlns:ds="http://schemas.openxmlformats.org/officeDocument/2006/customXml" ds:itemID="{6D3DADDB-A91E-4C50-831E-991F47E07918}"/>
</file>

<file path=customXml/itemProps7.xml><?xml version="1.0" encoding="utf-8"?>
<ds:datastoreItem xmlns:ds="http://schemas.openxmlformats.org/officeDocument/2006/customXml" ds:itemID="{0039D9D4-534A-4066-8D53-79D423DDF89E}"/>
</file>

<file path=docProps/app.xml><?xml version="1.0" encoding="utf-8"?>
<Properties xmlns="http://schemas.openxmlformats.org/officeDocument/2006/extended-properties" xmlns:vt="http://schemas.openxmlformats.org/officeDocument/2006/docPropsVTypes">
  <Template>Normal.dotm</Template>
  <TotalTime>9</TotalTime>
  <Pages>8</Pages>
  <Words>1984</Words>
  <Characters>11310</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BO-L1117 Lecciones Aprendidas PER (BO-L1050)</dc:title>
  <dc:creator>Arturo D. Alarcon</dc:creator>
  <cp:lastModifiedBy>IADB</cp:lastModifiedBy>
  <cp:revision>2</cp:revision>
  <dcterms:created xsi:type="dcterms:W3CDTF">2016-04-25T16:09:00Z</dcterms:created>
  <dcterms:modified xsi:type="dcterms:W3CDTF">2016-04-25T16:09:00Z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0x010100ACF722E9F6B0B149B0CD8BE2560A667200D42CD59899F40D4D80DD305BC95E2006</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Loan Proposal</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Loan Proposal</vt:lpwstr>
  </property>
  <property fmtid="{D5CDD505-2E9C-101B-9397-08002B2CF9AE}" pid="24" name="Fund_x0020_IDB">
    <vt:lpwstr/>
  </property>
  <property fmtid="{D5CDD505-2E9C-101B-9397-08002B2CF9AE}" pid="25" name="_dlc_DocIdItemGuid">
    <vt:lpwstr>0f952fba-c7be-4a11-8072-0eed497ee4de</vt:lpwstr>
  </property>
  <property fmtid="{D5CDD505-2E9C-101B-9397-08002B2CF9AE}" pid="26" name="Webtopic">
    <vt:lpwstr>EN-ALT</vt:lpwstr>
  </property>
  <property fmtid="{D5CDD505-2E9C-101B-9397-08002B2CF9AE}" pid="27" name="Publishing House">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