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A152" w14:textId="31452D15" w:rsidR="005105FD" w:rsidRPr="00B2684E" w:rsidRDefault="006B05F1" w:rsidP="00D05583">
      <w:pPr>
        <w:spacing w:after="120" w:line="276" w:lineRule="auto"/>
        <w:jc w:val="center"/>
        <w:rPr>
          <w:rFonts w:ascii="Times New Roman" w:hAnsi="Times New Roman" w:cs="Times New Roman"/>
          <w:b/>
          <w:sz w:val="24"/>
          <w:szCs w:val="24"/>
          <w:lang w:val="es-ES_tradnl"/>
        </w:rPr>
      </w:pPr>
      <w:r w:rsidRPr="00B2684E">
        <w:rPr>
          <w:rFonts w:ascii="Times New Roman" w:hAnsi="Times New Roman" w:cs="Times New Roman"/>
          <w:b/>
          <w:sz w:val="24"/>
          <w:szCs w:val="24"/>
        </w:rPr>
        <w:t>Análisis costo – beneficio para el Programa “</w:t>
      </w:r>
      <w:r w:rsidRPr="00B2684E">
        <w:rPr>
          <w:rFonts w:ascii="Times New Roman" w:hAnsi="Times New Roman" w:cs="Times New Roman"/>
          <w:b/>
          <w:sz w:val="24"/>
          <w:szCs w:val="24"/>
          <w:lang w:val="es-ES_tradnl"/>
        </w:rPr>
        <w:t>Apoyo Sectorial para una Educación de Calidad en Ecuador”</w:t>
      </w:r>
      <w:r w:rsidR="007B615E">
        <w:rPr>
          <w:rFonts w:ascii="Times New Roman" w:hAnsi="Times New Roman" w:cs="Times New Roman"/>
          <w:b/>
          <w:sz w:val="24"/>
          <w:szCs w:val="24"/>
          <w:lang w:val="es-ES_tradnl"/>
        </w:rPr>
        <w:t xml:space="preserve"> (EC-L1155)</w:t>
      </w:r>
      <w:bookmarkStart w:id="0" w:name="_GoBack"/>
      <w:bookmarkEnd w:id="0"/>
    </w:p>
    <w:p w14:paraId="3EE893E4" w14:textId="77777777" w:rsidR="009E4ADD" w:rsidRPr="00B2684E" w:rsidRDefault="00B2684E" w:rsidP="00D05583">
      <w:pPr>
        <w:pStyle w:val="ListParagraph"/>
        <w:numPr>
          <w:ilvl w:val="0"/>
          <w:numId w:val="3"/>
        </w:numPr>
        <w:spacing w:before="240" w:after="240" w:line="276"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Introducción</w:t>
      </w:r>
    </w:p>
    <w:p w14:paraId="7B7E6824" w14:textId="77777777" w:rsidR="009E4ADD" w:rsidRPr="00D05583" w:rsidRDefault="004C0BF5" w:rsidP="00D05583">
      <w:pPr>
        <w:spacing w:after="120" w:line="276" w:lineRule="auto"/>
        <w:jc w:val="both"/>
        <w:rPr>
          <w:rFonts w:ascii="Times New Roman" w:hAnsi="Times New Roman" w:cs="Times New Roman"/>
          <w:spacing w:val="-2"/>
        </w:rPr>
      </w:pPr>
      <w:r>
        <w:rPr>
          <w:rFonts w:ascii="Times New Roman" w:hAnsi="Times New Roman" w:cs="Times New Roman"/>
        </w:rPr>
        <w:t xml:space="preserve">En este documento se presenta el análisis costo – beneficio para el </w:t>
      </w:r>
      <w:r w:rsidR="009E4ADD" w:rsidRPr="00D05583">
        <w:rPr>
          <w:rFonts w:ascii="Times New Roman" w:hAnsi="Times New Roman" w:cs="Times New Roman"/>
        </w:rPr>
        <w:t>programa “</w:t>
      </w:r>
      <w:r w:rsidR="009E4ADD" w:rsidRPr="00D05583">
        <w:rPr>
          <w:rFonts w:ascii="Times New Roman" w:hAnsi="Times New Roman" w:cs="Times New Roman"/>
          <w:lang w:val="es-ES_tradnl"/>
        </w:rPr>
        <w:t>Apoyo Sectorial para una Educación de Calidad en Ecuador”</w:t>
      </w:r>
      <w:r w:rsidR="009E4ADD" w:rsidRPr="00D05583">
        <w:rPr>
          <w:rFonts w:ascii="Times New Roman" w:hAnsi="Times New Roman" w:cs="Times New Roman"/>
        </w:rPr>
        <w:t xml:space="preserve"> </w:t>
      </w:r>
      <w:r>
        <w:rPr>
          <w:rFonts w:ascii="Times New Roman" w:hAnsi="Times New Roman" w:cs="Times New Roman"/>
        </w:rPr>
        <w:t xml:space="preserve">que </w:t>
      </w:r>
      <w:r w:rsidR="009E4ADD" w:rsidRPr="00D05583">
        <w:rPr>
          <w:rFonts w:ascii="Times New Roman" w:hAnsi="Times New Roman" w:cs="Times New Roman"/>
        </w:rPr>
        <w:t xml:space="preserve">busca: (i) </w:t>
      </w:r>
      <w:r w:rsidR="009E4ADD" w:rsidRPr="00D05583">
        <w:rPr>
          <w:rFonts w:ascii="Times New Roman" w:hAnsi="Times New Roman" w:cs="Times New Roman"/>
          <w:spacing w:val="-2"/>
        </w:rPr>
        <w:t>garantizar la permanencia de los estudiantes ecuatorianos en el sistema escolar, su estado nutricional y predisposición al aprendizaje mediante un programa de alimentación escolar</w:t>
      </w:r>
      <w:r w:rsidR="00687B08" w:rsidRPr="00D05583">
        <w:rPr>
          <w:rFonts w:ascii="Times New Roman" w:hAnsi="Times New Roman" w:cs="Times New Roman"/>
          <w:spacing w:val="-2"/>
        </w:rPr>
        <w:t>,</w:t>
      </w:r>
      <w:r w:rsidR="009E4ADD" w:rsidRPr="00D05583">
        <w:rPr>
          <w:rFonts w:ascii="Times New Roman" w:hAnsi="Times New Roman" w:cs="Times New Roman"/>
        </w:rPr>
        <w:t xml:space="preserve"> (ii) mejorar la conclusión de los ciclos escolares y la calidad educativa a través de un programa de educación de jóvenes y adultos que les permita concluir los ciclos de educación básica y secundaria</w:t>
      </w:r>
      <w:r w:rsidR="009E4ADD" w:rsidRPr="00BD066B">
        <w:rPr>
          <w:rFonts w:ascii="Times New Roman" w:hAnsi="Times New Roman" w:cs="Times New Roman"/>
        </w:rPr>
        <w:t>, y un programa de formación docente,</w:t>
      </w:r>
      <w:r w:rsidR="009E4ADD" w:rsidRPr="00D05583">
        <w:rPr>
          <w:rFonts w:ascii="Times New Roman" w:hAnsi="Times New Roman" w:cs="Times New Roman"/>
        </w:rPr>
        <w:t xml:space="preserve"> </w:t>
      </w:r>
      <w:r w:rsidR="009E4ADD" w:rsidRPr="00D05583">
        <w:rPr>
          <w:rFonts w:ascii="Times New Roman" w:hAnsi="Times New Roman" w:cs="Times New Roman"/>
          <w:spacing w:val="-2"/>
        </w:rPr>
        <w:t xml:space="preserve">y (iii) </w:t>
      </w:r>
      <w:r w:rsidR="009E4ADD" w:rsidRPr="00D05583">
        <w:rPr>
          <w:rFonts w:ascii="Times New Roman" w:hAnsi="Times New Roman" w:cs="Times New Roman"/>
          <w:lang w:val="es-ES_tradnl"/>
        </w:rPr>
        <w:t xml:space="preserve">dar continuidad al proceso de fortalecimiento del sistema nacional </w:t>
      </w:r>
      <w:r w:rsidR="009E4ADD" w:rsidRPr="00D05583">
        <w:rPr>
          <w:rFonts w:ascii="Times New Roman" w:hAnsi="Times New Roman" w:cs="Times New Roman"/>
          <w:spacing w:val="-2"/>
        </w:rPr>
        <w:t>de medición de la calidad educativa</w:t>
      </w:r>
      <w:r w:rsidR="00B2684E">
        <w:rPr>
          <w:rFonts w:ascii="Times New Roman" w:hAnsi="Times New Roman" w:cs="Times New Roman"/>
          <w:spacing w:val="-2"/>
        </w:rPr>
        <w:t>.</w:t>
      </w:r>
    </w:p>
    <w:p w14:paraId="3B6E36DF" w14:textId="77777777" w:rsidR="00687B08" w:rsidRPr="00D05583" w:rsidRDefault="00D7221C" w:rsidP="00D05583">
      <w:pPr>
        <w:spacing w:after="120" w:line="276" w:lineRule="auto"/>
        <w:jc w:val="both"/>
        <w:rPr>
          <w:rFonts w:ascii="Times New Roman" w:hAnsi="Times New Roman" w:cs="Times New Roman"/>
          <w:spacing w:val="-2"/>
        </w:rPr>
      </w:pPr>
      <w:r>
        <w:rPr>
          <w:rFonts w:ascii="Times New Roman" w:hAnsi="Times New Roman" w:cs="Times New Roman"/>
          <w:spacing w:val="-2"/>
        </w:rPr>
        <w:t xml:space="preserve">En este documento se analizan los costos y beneficios del programa con el fin de evaluar su rentabilidad económica. </w:t>
      </w:r>
      <w:r w:rsidR="00687B08" w:rsidRPr="00D05583">
        <w:rPr>
          <w:rFonts w:ascii="Times New Roman" w:hAnsi="Times New Roman" w:cs="Times New Roman"/>
          <w:spacing w:val="-2"/>
        </w:rPr>
        <w:t>Este programa desarrollará los siguientes componentes:</w:t>
      </w:r>
    </w:p>
    <w:p w14:paraId="1FA65E75" w14:textId="48B905AB" w:rsidR="00A3641A" w:rsidRPr="00B611CF" w:rsidRDefault="00A3641A" w:rsidP="00A3641A">
      <w:pPr>
        <w:pStyle w:val="ListParagraph"/>
        <w:numPr>
          <w:ilvl w:val="0"/>
          <w:numId w:val="4"/>
        </w:numPr>
        <w:spacing w:after="120" w:line="276" w:lineRule="auto"/>
        <w:contextualSpacing w:val="0"/>
        <w:jc w:val="both"/>
        <w:rPr>
          <w:rFonts w:ascii="Times New Roman" w:hAnsi="Times New Roman" w:cs="Times New Roman"/>
          <w:spacing w:val="-2"/>
        </w:rPr>
      </w:pPr>
      <w:r w:rsidRPr="00B611CF">
        <w:rPr>
          <w:rFonts w:ascii="Times New Roman" w:hAnsi="Times New Roman" w:cs="Times New Roman"/>
          <w:b/>
          <w:bCs/>
          <w:i/>
        </w:rPr>
        <w:t>Componente 1. Mejora de la conclusión de ciclos escolares y de la calidad educativa</w:t>
      </w:r>
      <w:r w:rsidRPr="00B611CF">
        <w:rPr>
          <w:rFonts w:ascii="Times New Roman" w:hAnsi="Times New Roman" w:cs="Times New Roman"/>
          <w:bCs/>
        </w:rPr>
        <w:t>. Este componente, a ser sub-ejecutado por el Ministerio de Educación (MINEDUC), financiará dos líneas:</w:t>
      </w:r>
    </w:p>
    <w:p w14:paraId="4C8276BC" w14:textId="29C73E4E" w:rsidR="00A3641A" w:rsidRPr="00B611CF" w:rsidRDefault="00A3641A" w:rsidP="00A3641A">
      <w:pPr>
        <w:pStyle w:val="ListParagraph"/>
        <w:numPr>
          <w:ilvl w:val="1"/>
          <w:numId w:val="4"/>
        </w:numPr>
        <w:spacing w:after="120" w:line="276" w:lineRule="auto"/>
        <w:contextualSpacing w:val="0"/>
        <w:jc w:val="both"/>
        <w:rPr>
          <w:rFonts w:ascii="Times New Roman" w:hAnsi="Times New Roman" w:cs="Times New Roman"/>
          <w:spacing w:val="-2"/>
        </w:rPr>
      </w:pPr>
      <w:r w:rsidRPr="00B611CF">
        <w:rPr>
          <w:rFonts w:ascii="Times New Roman" w:hAnsi="Times New Roman" w:cs="Times New Roman"/>
          <w:bCs/>
        </w:rPr>
        <w:t xml:space="preserve">Educación Básica para Jóvenes y Adultos (EBJA): </w:t>
      </w:r>
      <w:r w:rsidRPr="00B611CF">
        <w:rPr>
          <w:rFonts w:ascii="Times New Roman" w:hAnsi="Times New Roman" w:cs="Times New Roman"/>
        </w:rPr>
        <w:t>con el fin de aumentar el número de jóvenes ecuatorianos graduados, el proyecto apoyará a cerca de 2</w:t>
      </w:r>
      <w:r w:rsidR="00620FAB">
        <w:rPr>
          <w:rFonts w:ascii="Times New Roman" w:hAnsi="Times New Roman" w:cs="Times New Roman"/>
        </w:rPr>
        <w:t>51,250</w:t>
      </w:r>
      <w:r w:rsidRPr="00B611CF">
        <w:rPr>
          <w:rFonts w:ascii="Times New Roman" w:hAnsi="Times New Roman" w:cs="Times New Roman"/>
        </w:rPr>
        <w:t xml:space="preserve"> jóvenes mayores de 15 años, con escolaridad inconclusa y más de 3 años fuera del sistema educativo, en la finalización de los ciclos de EGB y de bachillerato</w:t>
      </w:r>
      <w:r w:rsidRPr="00B611CF">
        <w:rPr>
          <w:rStyle w:val="FootnoteReference"/>
          <w:rFonts w:ascii="Times New Roman" w:hAnsi="Times New Roman" w:cs="Times New Roman"/>
        </w:rPr>
        <w:footnoteReference w:id="1"/>
      </w:r>
      <w:r w:rsidRPr="00B611CF">
        <w:rPr>
          <w:rFonts w:ascii="Times New Roman" w:hAnsi="Times New Roman" w:cs="Times New Roman"/>
        </w:rPr>
        <w:t xml:space="preserve"> mediante programas de: (i) educación básica acelerada, que cubre del 1er al 7º grado de EGB en 4 módulos de 6 meses y de 8º a 10º grado en un módulo de 11 meses; </w:t>
      </w:r>
      <w:r w:rsidR="006D7111">
        <w:rPr>
          <w:rFonts w:ascii="Times New Roman" w:hAnsi="Times New Roman" w:cs="Times New Roman"/>
        </w:rPr>
        <w:t xml:space="preserve">y </w:t>
      </w:r>
      <w:r w:rsidRPr="00B611CF">
        <w:rPr>
          <w:rFonts w:ascii="Times New Roman" w:hAnsi="Times New Roman" w:cs="Times New Roman"/>
        </w:rPr>
        <w:t>(ii) bachillerato intensivo, que permite concluir la secundaria en 3 módulos de 5 meses (o menos si el estudiante tiene el 1er o 2º año de bachillerato validado).</w:t>
      </w:r>
    </w:p>
    <w:p w14:paraId="68A1BB96" w14:textId="679149F5" w:rsidR="00A3641A" w:rsidRPr="00B611CF" w:rsidRDefault="00A3641A" w:rsidP="00A3641A">
      <w:pPr>
        <w:pStyle w:val="ListParagraph"/>
        <w:numPr>
          <w:ilvl w:val="1"/>
          <w:numId w:val="4"/>
        </w:numPr>
        <w:spacing w:after="120" w:line="276" w:lineRule="auto"/>
        <w:contextualSpacing w:val="0"/>
        <w:jc w:val="both"/>
        <w:rPr>
          <w:rFonts w:ascii="Times New Roman" w:hAnsi="Times New Roman" w:cs="Times New Roman"/>
          <w:spacing w:val="-2"/>
        </w:rPr>
      </w:pPr>
      <w:r w:rsidRPr="00B611CF">
        <w:rPr>
          <w:rFonts w:ascii="Times New Roman" w:hAnsi="Times New Roman" w:cs="Times New Roman"/>
          <w:bCs/>
        </w:rPr>
        <w:t xml:space="preserve">Formación docente en servicio (Programa SíProfe): </w:t>
      </w:r>
      <w:r w:rsidRPr="00B611CF">
        <w:rPr>
          <w:rFonts w:ascii="Times New Roman" w:hAnsi="Times New Roman" w:cs="Times New Roman"/>
        </w:rPr>
        <w:t xml:space="preserve">con el fin de mejorar la calidad del Programa de Formación Docente del MINEDUC (SíProfe), el subcomponente financiará: (i) el desarrollo de un nuevo módulo transversal de formación docente en prácticas efectivas en aula, el cual será incorporado a los diferentes programas de formación disciplinaria que ya imparte el MINEDUC; (ii) la formación y el seguimiento en aula de aproximadamente 1,030 docentes en base a este nuevo módulo; y (iii) el desarrollo de un programa de mentoría, el entrenamiento de un grupo de 200 docentes con un alto potencial para convertirse en mentores efectivos, y la implementación durante un año del programa de acompañamiento de los docentes en aula por los mentores formados. Tanto el módulo de formación y el programa de mentoría buscarán apoyar a los docentes en la implementación de prácticas pedagógicas que el estudio Cerrando Brechas permitió asociar de manera rigurosa con un mejor desempeño de los estudiantes. Además, ambos programas serán diseñados específicamente para el contexto ecuatoriano, tomando elementos de sistemas </w:t>
      </w:r>
      <w:r w:rsidRPr="00B611CF">
        <w:rPr>
          <w:rFonts w:ascii="Times New Roman" w:hAnsi="Times New Roman" w:cs="Times New Roman"/>
        </w:rPr>
        <w:lastRenderedPageBreak/>
        <w:t>de formación continua y de mentoría evaluados y validados en diferentes contextos.</w:t>
      </w:r>
    </w:p>
    <w:p w14:paraId="5A373DE9" w14:textId="3AEE8100" w:rsidR="009E4ADD" w:rsidRPr="00B611CF" w:rsidRDefault="00687B08" w:rsidP="00A3641A">
      <w:pPr>
        <w:pStyle w:val="ListParagraph"/>
        <w:numPr>
          <w:ilvl w:val="0"/>
          <w:numId w:val="4"/>
        </w:numPr>
        <w:spacing w:after="120" w:line="276" w:lineRule="auto"/>
        <w:contextualSpacing w:val="0"/>
        <w:jc w:val="both"/>
        <w:rPr>
          <w:rFonts w:ascii="Times New Roman" w:hAnsi="Times New Roman" w:cs="Times New Roman"/>
          <w:spacing w:val="-2"/>
        </w:rPr>
      </w:pPr>
      <w:r w:rsidRPr="00B611CF">
        <w:rPr>
          <w:rFonts w:ascii="Times New Roman" w:hAnsi="Times New Roman" w:cs="Times New Roman"/>
          <w:b/>
          <w:i/>
          <w:spacing w:val="-2"/>
        </w:rPr>
        <w:t xml:space="preserve">Componente </w:t>
      </w:r>
      <w:r w:rsidR="00296C3F">
        <w:rPr>
          <w:rFonts w:ascii="Times New Roman" w:hAnsi="Times New Roman" w:cs="Times New Roman"/>
          <w:b/>
          <w:i/>
          <w:spacing w:val="-2"/>
        </w:rPr>
        <w:t>2</w:t>
      </w:r>
      <w:r w:rsidRPr="00B611CF">
        <w:rPr>
          <w:rFonts w:ascii="Times New Roman" w:hAnsi="Times New Roman" w:cs="Times New Roman"/>
          <w:b/>
          <w:i/>
          <w:spacing w:val="-2"/>
        </w:rPr>
        <w:t>. Alimentación escolar</w:t>
      </w:r>
      <w:r w:rsidRPr="00B611CF">
        <w:rPr>
          <w:rFonts w:ascii="Times New Roman" w:hAnsi="Times New Roman" w:cs="Times New Roman"/>
          <w:spacing w:val="-2"/>
        </w:rPr>
        <w:t xml:space="preserve">. </w:t>
      </w:r>
      <w:r w:rsidR="00A3641A" w:rsidRPr="00B611CF">
        <w:rPr>
          <w:rFonts w:ascii="Times New Roman" w:hAnsi="Times New Roman" w:cs="Times New Roman"/>
        </w:rPr>
        <w:t xml:space="preserve">Este componente, a ser ejecutado por la empresa pública Unidad Nacional de Almacenamiento (UNA-EP), financiará la entrega </w:t>
      </w:r>
      <w:r w:rsidR="00620FAB">
        <w:rPr>
          <w:rFonts w:ascii="Times New Roman" w:hAnsi="Times New Roman" w:cs="Times New Roman"/>
        </w:rPr>
        <w:t xml:space="preserve">de </w:t>
      </w:r>
      <w:r w:rsidR="00620FAB" w:rsidRPr="00B611CF">
        <w:rPr>
          <w:rFonts w:ascii="Times New Roman" w:hAnsi="Times New Roman" w:cs="Times New Roman"/>
        </w:rPr>
        <w:t>raciones alimenticias</w:t>
      </w:r>
      <w:r w:rsidR="00620FAB">
        <w:rPr>
          <w:rFonts w:ascii="Times New Roman" w:hAnsi="Times New Roman" w:cs="Times New Roman"/>
        </w:rPr>
        <w:t xml:space="preserve"> </w:t>
      </w:r>
      <w:r w:rsidR="00A3641A" w:rsidRPr="00B611CF">
        <w:rPr>
          <w:rFonts w:ascii="Times New Roman" w:hAnsi="Times New Roman" w:cs="Times New Roman"/>
        </w:rPr>
        <w:t>en todas las escuelas públicas, fiscomisionales y municipales del país</w:t>
      </w:r>
      <w:r w:rsidR="00A3641A" w:rsidRPr="00B611CF">
        <w:rPr>
          <w:rStyle w:val="FootnoteReference"/>
          <w:rFonts w:ascii="Times New Roman" w:hAnsi="Times New Roman" w:cs="Times New Roman"/>
        </w:rPr>
        <w:footnoteReference w:id="2"/>
      </w:r>
      <w:r w:rsidR="00620FAB">
        <w:rPr>
          <w:rFonts w:ascii="Times New Roman" w:hAnsi="Times New Roman" w:cs="Times New Roman"/>
        </w:rPr>
        <w:t xml:space="preserve">: 216’543,080 en 2016 y 100’711,432 en 2017. </w:t>
      </w:r>
      <w:r w:rsidR="00A3641A" w:rsidRPr="00B611CF">
        <w:rPr>
          <w:rFonts w:ascii="Times New Roman" w:hAnsi="Times New Roman" w:cs="Times New Roman"/>
        </w:rPr>
        <w:t>Se financiarán 4 tipos de raciones alimenticias: (i) el desayuno y refrigerio de educación inicial, (ii) el refrigerio vespertino de educación inicial, (iii) el desayuno de educación general básica (EGB) y (iv) el refrigerio vespertino de EGB. El desayuno, más completo, se entrega en las zonas rurales, el refrigerio en las zonas urbanas. Cada ración cubre, aproximadamente, el 20% del requerimiento calórico diario. El costo de cada ración incluirá también el almacenamiento, el control de calidad de los productos, y el transporte y entrega hasta las escuelas. Las raciones se entregarán en las escuelas en base a las matrículas de educación inicial y de EGB proporcionadas por el MINEDUC a UNA-EP, por ciclos de 40 días que estarán sujetos a una verificación específica para el reconocimiento de gastos. Este componente permitirá cubrir la alimentación de</w:t>
      </w:r>
      <w:r w:rsidR="005C4B9B">
        <w:rPr>
          <w:rFonts w:ascii="Times New Roman" w:hAnsi="Times New Roman" w:cs="Times New Roman"/>
        </w:rPr>
        <w:t xml:space="preserve"> </w:t>
      </w:r>
      <w:r w:rsidR="005C4B9B" w:rsidRPr="00B611CF">
        <w:rPr>
          <w:rFonts w:ascii="Times New Roman" w:hAnsi="Times New Roman" w:cs="Times New Roman"/>
        </w:rPr>
        <w:t>alumnos de educación inicial</w:t>
      </w:r>
      <w:r w:rsidR="005C4B9B">
        <w:rPr>
          <w:rFonts w:ascii="Times New Roman" w:hAnsi="Times New Roman" w:cs="Times New Roman"/>
        </w:rPr>
        <w:t>, 180,216 en 2016 y 101,850 en 2017</w:t>
      </w:r>
      <w:r w:rsidR="00A3641A" w:rsidRPr="00B611CF">
        <w:rPr>
          <w:rFonts w:ascii="Times New Roman" w:hAnsi="Times New Roman" w:cs="Times New Roman"/>
        </w:rPr>
        <w:t xml:space="preserve"> y</w:t>
      </w:r>
      <w:r w:rsidR="005C4B9B">
        <w:rPr>
          <w:rFonts w:ascii="Times New Roman" w:hAnsi="Times New Roman" w:cs="Times New Roman"/>
        </w:rPr>
        <w:t xml:space="preserve"> de </w:t>
      </w:r>
      <w:r w:rsidR="005C4B9B" w:rsidRPr="00B611CF">
        <w:rPr>
          <w:rFonts w:ascii="Times New Roman" w:hAnsi="Times New Roman" w:cs="Times New Roman"/>
        </w:rPr>
        <w:t>alumnos de educación básica (del 1er al 7º grado)</w:t>
      </w:r>
      <w:r w:rsidR="005C4B9B">
        <w:rPr>
          <w:rFonts w:ascii="Times New Roman" w:hAnsi="Times New Roman" w:cs="Times New Roman"/>
        </w:rPr>
        <w:t>,</w:t>
      </w:r>
      <w:r w:rsidR="00A3641A" w:rsidRPr="00B611CF">
        <w:rPr>
          <w:rFonts w:ascii="Times New Roman" w:hAnsi="Times New Roman" w:cs="Times New Roman"/>
        </w:rPr>
        <w:t xml:space="preserve"> 1’</w:t>
      </w:r>
      <w:r w:rsidR="005C4B9B">
        <w:rPr>
          <w:rFonts w:ascii="Times New Roman" w:hAnsi="Times New Roman" w:cs="Times New Roman"/>
        </w:rPr>
        <w:t>033</w:t>
      </w:r>
      <w:r w:rsidR="00A3641A" w:rsidRPr="00B611CF">
        <w:rPr>
          <w:rFonts w:ascii="Times New Roman" w:hAnsi="Times New Roman" w:cs="Times New Roman"/>
        </w:rPr>
        <w:t>,</w:t>
      </w:r>
      <w:r w:rsidR="005C4B9B">
        <w:rPr>
          <w:rFonts w:ascii="Times New Roman" w:hAnsi="Times New Roman" w:cs="Times New Roman"/>
        </w:rPr>
        <w:t>613</w:t>
      </w:r>
      <w:r w:rsidR="00A3641A" w:rsidRPr="00B611CF">
        <w:rPr>
          <w:rFonts w:ascii="Times New Roman" w:hAnsi="Times New Roman" w:cs="Times New Roman"/>
        </w:rPr>
        <w:t xml:space="preserve"> </w:t>
      </w:r>
      <w:r w:rsidR="005C4B9B">
        <w:rPr>
          <w:rFonts w:ascii="Times New Roman" w:hAnsi="Times New Roman" w:cs="Times New Roman"/>
        </w:rPr>
        <w:t>en 2016 y 584,148 en 2017</w:t>
      </w:r>
      <w:r w:rsidR="00A3641A" w:rsidRPr="00B611CF">
        <w:rPr>
          <w:rFonts w:ascii="Times New Roman" w:hAnsi="Times New Roman" w:cs="Times New Roman"/>
        </w:rPr>
        <w:t>, con el objetivo de garantizar su estado nutricional y así su permanencia en el sistema escolar y predisposición al aprendizaje.</w:t>
      </w:r>
    </w:p>
    <w:p w14:paraId="144F0C0F" w14:textId="541AFDF7" w:rsidR="00D05583" w:rsidRPr="00B611CF" w:rsidRDefault="00D05583" w:rsidP="00D05583">
      <w:pPr>
        <w:pStyle w:val="ListParagraph"/>
        <w:numPr>
          <w:ilvl w:val="0"/>
          <w:numId w:val="4"/>
        </w:numPr>
        <w:spacing w:after="120" w:line="276" w:lineRule="auto"/>
        <w:contextualSpacing w:val="0"/>
        <w:jc w:val="both"/>
        <w:rPr>
          <w:rFonts w:ascii="Times New Roman" w:hAnsi="Times New Roman" w:cs="Times New Roman"/>
          <w:spacing w:val="-2"/>
        </w:rPr>
      </w:pPr>
      <w:r w:rsidRPr="00B611CF">
        <w:rPr>
          <w:rFonts w:ascii="Times New Roman" w:hAnsi="Times New Roman" w:cs="Times New Roman"/>
          <w:b/>
          <w:bCs/>
          <w:i/>
        </w:rPr>
        <w:t>Componente 3</w:t>
      </w:r>
      <w:r w:rsidR="009E4ADD" w:rsidRPr="00B611CF">
        <w:rPr>
          <w:rFonts w:ascii="Times New Roman" w:hAnsi="Times New Roman" w:cs="Times New Roman"/>
          <w:b/>
          <w:bCs/>
          <w:i/>
        </w:rPr>
        <w:t>. Evaluación educativa</w:t>
      </w:r>
      <w:r w:rsidR="009E4ADD" w:rsidRPr="00B611CF">
        <w:rPr>
          <w:rFonts w:ascii="Times New Roman" w:hAnsi="Times New Roman" w:cs="Times New Roman"/>
          <w:bCs/>
        </w:rPr>
        <w:t xml:space="preserve">. </w:t>
      </w:r>
      <w:r w:rsidR="00541A15" w:rsidRPr="00B611CF">
        <w:rPr>
          <w:rFonts w:ascii="Times New Roman" w:hAnsi="Times New Roman" w:cs="Times New Roman"/>
        </w:rPr>
        <w:t>Este componente, ejecutado por INEVAL, dará continuidad al proceso de fortalecimiento del sistema nacional de medición de la calidad educativa, de tal manera que las políticas educativas del Ecuador se sigan basando en evaluaciones estandarizadas de los resultados del sistema. Este componente financiará: (i) la aplicación anual, a nivel muestral, de las pruebas nacionales de aprendizaje de los estudiantes de EGB (“Ser Estudiante” para estudiantes de 4to, 7mo y 10mo de EGB, en lenguaje, matemática, ciencias) y, a nivel censal, de los estudiantes del último año de secundaria (“Ser Bachiller”): (ii) la aplicación de las pruebas anuales de ingreso al magisterio (“Quiero Ser Maestro”) y la prueba censal de desempeño docente (“Ser Maestro”</w:t>
      </w:r>
      <w:r w:rsidR="00541A15" w:rsidRPr="00B611CF">
        <w:rPr>
          <w:rStyle w:val="FootnoteReference"/>
          <w:rFonts w:ascii="Times New Roman" w:hAnsi="Times New Roman" w:cs="Times New Roman"/>
        </w:rPr>
        <w:footnoteReference w:id="3"/>
      </w:r>
      <w:r w:rsidR="00541A15" w:rsidRPr="00B611CF">
        <w:rPr>
          <w:rFonts w:ascii="Times New Roman" w:hAnsi="Times New Roman" w:cs="Times New Roman"/>
        </w:rPr>
        <w:t>) en los años 2016 y 2018; y (iii) los pilotos en 2016 y la implementación en 2017 de dos pruebas internacionales, Programa Internacional de Evaluación de Estudiantes (PISA) y Programa para la Evaluación Internacional de las Competencias de Adultos (PIAAC). La primera mide las habilidades de jóvenes de 15 años en base a pruebas estandarizadas desarrolladas por la Organización para la Cooperación y el Desarrollo Económicos (OCDE), y la segunda mide las habilidades cognitivas y la adquisición de competencias relacionadas con el mundo del trabajo.</w:t>
      </w:r>
    </w:p>
    <w:p w14:paraId="0959CB28" w14:textId="3A34DD44" w:rsidR="00BD066B" w:rsidRPr="00D259FC" w:rsidRDefault="00BD066B" w:rsidP="00FA4883">
      <w:pPr>
        <w:spacing w:after="120" w:line="276" w:lineRule="auto"/>
        <w:jc w:val="both"/>
        <w:rPr>
          <w:rFonts w:ascii="Times New Roman" w:hAnsi="Times New Roman" w:cs="Times New Roman"/>
        </w:rPr>
      </w:pPr>
      <w:r w:rsidRPr="00D259FC">
        <w:rPr>
          <w:rFonts w:ascii="Times New Roman" w:hAnsi="Times New Roman" w:cs="Times New Roman"/>
        </w:rPr>
        <w:t>Las metas de beneficiarios de los 3 componentes, en sus diferentes modalidades, se detallan a continuación:</w:t>
      </w:r>
    </w:p>
    <w:p w14:paraId="0257A287" w14:textId="3DEDC95B" w:rsidR="00BD066B" w:rsidRPr="00D259FC" w:rsidRDefault="00BD066B" w:rsidP="00BD066B">
      <w:pPr>
        <w:spacing w:after="0" w:line="276" w:lineRule="auto"/>
        <w:jc w:val="center"/>
        <w:rPr>
          <w:rFonts w:ascii="Times New Roman" w:hAnsi="Times New Roman" w:cs="Times New Roman"/>
          <w:b/>
        </w:rPr>
      </w:pPr>
      <w:r w:rsidRPr="00D259FC">
        <w:rPr>
          <w:rFonts w:ascii="Times New Roman" w:hAnsi="Times New Roman" w:cs="Times New Roman"/>
          <w:b/>
        </w:rPr>
        <w:lastRenderedPageBreak/>
        <w:t>Tabla 1</w:t>
      </w:r>
    </w:p>
    <w:p w14:paraId="7702B52F" w14:textId="3205DF68" w:rsidR="00BD066B" w:rsidRPr="00BD066B" w:rsidRDefault="00BD066B" w:rsidP="00BD066B">
      <w:pPr>
        <w:spacing w:after="0" w:line="276" w:lineRule="auto"/>
        <w:jc w:val="center"/>
        <w:rPr>
          <w:rFonts w:ascii="Times New Roman" w:hAnsi="Times New Roman" w:cs="Times New Roman"/>
          <w:b/>
        </w:rPr>
      </w:pPr>
      <w:r w:rsidRPr="00D259FC">
        <w:rPr>
          <w:rFonts w:ascii="Times New Roman" w:hAnsi="Times New Roman" w:cs="Times New Roman"/>
          <w:b/>
        </w:rPr>
        <w:t>Metas de beneficiarios</w:t>
      </w:r>
    </w:p>
    <w:p w14:paraId="080E920E" w14:textId="2FB31296" w:rsidR="00BD066B" w:rsidRDefault="0051159C" w:rsidP="00BD066B">
      <w:pPr>
        <w:spacing w:after="0" w:line="276" w:lineRule="auto"/>
        <w:jc w:val="both"/>
        <w:rPr>
          <w:rFonts w:ascii="Times New Roman" w:hAnsi="Times New Roman" w:cs="Times New Roman"/>
        </w:rPr>
      </w:pPr>
      <w:r w:rsidRPr="0051159C">
        <w:rPr>
          <w:noProof/>
          <w:lang w:val="en-US"/>
        </w:rPr>
        <w:drawing>
          <wp:inline distT="0" distB="0" distL="0" distR="0" wp14:anchorId="316435F8" wp14:editId="1A830713">
            <wp:extent cx="5381625" cy="2505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2505075"/>
                    </a:xfrm>
                    <a:prstGeom prst="rect">
                      <a:avLst/>
                    </a:prstGeom>
                    <a:noFill/>
                    <a:ln>
                      <a:noFill/>
                    </a:ln>
                  </pic:spPr>
                </pic:pic>
              </a:graphicData>
            </a:graphic>
          </wp:inline>
        </w:drawing>
      </w:r>
    </w:p>
    <w:p w14:paraId="19193CFE" w14:textId="508E65B2" w:rsidR="00BD066B" w:rsidRPr="00BD066B" w:rsidRDefault="00BD066B" w:rsidP="00FA4883">
      <w:pPr>
        <w:spacing w:after="120" w:line="276" w:lineRule="auto"/>
        <w:jc w:val="both"/>
        <w:rPr>
          <w:rFonts w:ascii="Times New Roman" w:hAnsi="Times New Roman" w:cs="Times New Roman"/>
          <w:sz w:val="20"/>
          <w:szCs w:val="20"/>
        </w:rPr>
      </w:pPr>
      <w:r w:rsidRPr="00BD066B">
        <w:rPr>
          <w:rFonts w:ascii="Times New Roman" w:hAnsi="Times New Roman" w:cs="Times New Roman"/>
          <w:sz w:val="20"/>
          <w:szCs w:val="20"/>
        </w:rPr>
        <w:t xml:space="preserve">Fuente: programas respectivos </w:t>
      </w:r>
    </w:p>
    <w:p w14:paraId="378E4AF4" w14:textId="34EB8B7D" w:rsidR="00D05583" w:rsidRDefault="00FA4883" w:rsidP="00FA4883">
      <w:pPr>
        <w:spacing w:after="120" w:line="276" w:lineRule="auto"/>
        <w:jc w:val="both"/>
        <w:rPr>
          <w:rFonts w:ascii="Times New Roman" w:hAnsi="Times New Roman" w:cs="Times New Roman"/>
        </w:rPr>
      </w:pPr>
      <w:r w:rsidRPr="00FA4883">
        <w:rPr>
          <w:rFonts w:ascii="Times New Roman" w:hAnsi="Times New Roman" w:cs="Times New Roman"/>
        </w:rPr>
        <w:t xml:space="preserve">El BID financiará estos programas según se detalla en el cuadro a continuación. </w:t>
      </w:r>
      <w:r w:rsidR="00D05583" w:rsidRPr="00FA4883">
        <w:rPr>
          <w:rFonts w:ascii="Times New Roman" w:hAnsi="Times New Roman" w:cs="Times New Roman"/>
        </w:rPr>
        <w:t>El ejecutor del préstamo será el Ministerio de Finanzas quien dará seguimiento y coordinará a los tres sub-e</w:t>
      </w:r>
      <w:r w:rsidRPr="00FA4883">
        <w:rPr>
          <w:rFonts w:ascii="Times New Roman" w:hAnsi="Times New Roman" w:cs="Times New Roman"/>
        </w:rPr>
        <w:t>jecutores del programa: MINEDUC,</w:t>
      </w:r>
      <w:r w:rsidR="00B2684E">
        <w:rPr>
          <w:rFonts w:ascii="Times New Roman" w:hAnsi="Times New Roman" w:cs="Times New Roman"/>
        </w:rPr>
        <w:t xml:space="preserve"> INEVAL y UNA-</w:t>
      </w:r>
      <w:r w:rsidR="00BD3EB1">
        <w:rPr>
          <w:rFonts w:ascii="Times New Roman" w:hAnsi="Times New Roman" w:cs="Times New Roman"/>
        </w:rPr>
        <w:t>EP</w:t>
      </w:r>
      <w:r w:rsidR="00B2684E">
        <w:rPr>
          <w:rFonts w:ascii="Times New Roman" w:hAnsi="Times New Roman" w:cs="Times New Roman"/>
        </w:rPr>
        <w:t>.</w:t>
      </w:r>
    </w:p>
    <w:p w14:paraId="657C0960" w14:textId="0756A8B2" w:rsidR="00F90E2A" w:rsidRPr="00F90E2A" w:rsidRDefault="0075475D" w:rsidP="00F90E2A">
      <w:pPr>
        <w:spacing w:after="0" w:line="276" w:lineRule="auto"/>
        <w:jc w:val="center"/>
        <w:rPr>
          <w:rFonts w:ascii="Times New Roman" w:hAnsi="Times New Roman" w:cs="Times New Roman"/>
          <w:b/>
        </w:rPr>
      </w:pPr>
      <w:r w:rsidRPr="00B20B9D">
        <w:rPr>
          <w:rFonts w:ascii="Times New Roman" w:hAnsi="Times New Roman" w:cs="Times New Roman"/>
          <w:b/>
        </w:rPr>
        <w:t>Tabla 2</w:t>
      </w:r>
    </w:p>
    <w:p w14:paraId="16647825" w14:textId="03DCBE31" w:rsidR="00F90E2A" w:rsidRDefault="00F90E2A" w:rsidP="00DD20EA">
      <w:pPr>
        <w:spacing w:after="0" w:line="276" w:lineRule="auto"/>
        <w:jc w:val="center"/>
        <w:rPr>
          <w:noProof/>
          <w:lang w:eastAsia="es-MX"/>
        </w:rPr>
      </w:pPr>
      <w:r w:rsidRPr="00F90E2A">
        <w:rPr>
          <w:rFonts w:ascii="Times New Roman" w:hAnsi="Times New Roman" w:cs="Times New Roman"/>
          <w:b/>
        </w:rPr>
        <w:t>Costos del Programa – US$ millones</w:t>
      </w:r>
      <w:r w:rsidR="00745FC6" w:rsidRPr="00745FC6">
        <w:rPr>
          <w:rFonts w:ascii="Times New Roman" w:hAnsi="Times New Roman" w:cs="Times New Roman"/>
        </w:rPr>
        <w:t xml:space="preserve"> </w:t>
      </w:r>
    </w:p>
    <w:p w14:paraId="46790C08" w14:textId="00D59C36" w:rsidR="0051159C" w:rsidRDefault="0051159C" w:rsidP="00DD20EA">
      <w:pPr>
        <w:spacing w:after="0" w:line="276" w:lineRule="auto"/>
        <w:jc w:val="center"/>
        <w:rPr>
          <w:rFonts w:ascii="Times New Roman" w:hAnsi="Times New Roman" w:cs="Times New Roman"/>
        </w:rPr>
      </w:pPr>
      <w:r w:rsidRPr="0051159C">
        <w:rPr>
          <w:noProof/>
          <w:lang w:val="en-US"/>
        </w:rPr>
        <w:drawing>
          <wp:inline distT="0" distB="0" distL="0" distR="0" wp14:anchorId="7E0B2B8E" wp14:editId="0C43E037">
            <wp:extent cx="5400040" cy="1276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276661"/>
                    </a:xfrm>
                    <a:prstGeom prst="rect">
                      <a:avLst/>
                    </a:prstGeom>
                    <a:noFill/>
                    <a:ln>
                      <a:noFill/>
                    </a:ln>
                  </pic:spPr>
                </pic:pic>
              </a:graphicData>
            </a:graphic>
          </wp:inline>
        </w:drawing>
      </w:r>
    </w:p>
    <w:p w14:paraId="03664FCF" w14:textId="1540641A" w:rsidR="00F90E2A" w:rsidRPr="00F90E2A" w:rsidRDefault="00F90E2A" w:rsidP="00FA4883">
      <w:pPr>
        <w:spacing w:after="120" w:line="276" w:lineRule="auto"/>
        <w:jc w:val="both"/>
        <w:rPr>
          <w:rFonts w:ascii="Times New Roman" w:hAnsi="Times New Roman" w:cs="Times New Roman"/>
          <w:sz w:val="20"/>
          <w:szCs w:val="20"/>
        </w:rPr>
      </w:pPr>
      <w:r w:rsidRPr="00F90E2A">
        <w:rPr>
          <w:rFonts w:ascii="Times New Roman" w:hAnsi="Times New Roman" w:cs="Times New Roman"/>
          <w:sz w:val="20"/>
          <w:szCs w:val="20"/>
        </w:rPr>
        <w:t>Fuente: BID</w:t>
      </w:r>
    </w:p>
    <w:p w14:paraId="341491C0" w14:textId="10A91268" w:rsidR="00B2684E" w:rsidRDefault="00D7221C" w:rsidP="00FA4883">
      <w:pPr>
        <w:spacing w:after="120" w:line="276" w:lineRule="auto"/>
        <w:jc w:val="both"/>
        <w:rPr>
          <w:rFonts w:ascii="Times New Roman" w:hAnsi="Times New Roman" w:cs="Times New Roman"/>
        </w:rPr>
      </w:pPr>
      <w:r>
        <w:rPr>
          <w:rFonts w:ascii="Times New Roman" w:hAnsi="Times New Roman" w:cs="Times New Roman"/>
        </w:rPr>
        <w:t xml:space="preserve">En la siguiente sección se discute el sustento teórico para el análisis costo – beneficio de los tres componentes. </w:t>
      </w:r>
      <w:r w:rsidR="00B2684E">
        <w:rPr>
          <w:rFonts w:ascii="Times New Roman" w:hAnsi="Times New Roman" w:cs="Times New Roman"/>
        </w:rPr>
        <w:t>Después se realiza el análisis de los beneficios de cada componente. Con los beneficios estimados, en la cuarta sección se realiza la estimación total del costo – beneficio del programa y se incluyen las principales conclusiones.</w:t>
      </w:r>
    </w:p>
    <w:p w14:paraId="1428537C" w14:textId="77777777" w:rsidR="00B2684E" w:rsidRPr="00B2684E" w:rsidRDefault="00B2684E" w:rsidP="006B716A">
      <w:pPr>
        <w:pStyle w:val="ListParagraph"/>
        <w:keepNext/>
        <w:numPr>
          <w:ilvl w:val="0"/>
          <w:numId w:val="3"/>
        </w:numPr>
        <w:spacing w:before="240" w:after="240" w:line="276" w:lineRule="auto"/>
        <w:jc w:val="both"/>
        <w:rPr>
          <w:rFonts w:ascii="Times New Roman" w:hAnsi="Times New Roman" w:cs="Times New Roman"/>
          <w:b/>
          <w:sz w:val="24"/>
          <w:szCs w:val="24"/>
        </w:rPr>
      </w:pPr>
      <w:r w:rsidRPr="00B2684E">
        <w:rPr>
          <w:rFonts w:ascii="Times New Roman" w:hAnsi="Times New Roman" w:cs="Times New Roman"/>
          <w:b/>
          <w:sz w:val="24"/>
          <w:szCs w:val="24"/>
        </w:rPr>
        <w:t>Fundamento teórico</w:t>
      </w:r>
    </w:p>
    <w:p w14:paraId="39F46194" w14:textId="6F50414E" w:rsidR="00A13767" w:rsidRPr="00742D0E" w:rsidRDefault="00A13767" w:rsidP="006B716A">
      <w:pPr>
        <w:keepNext/>
        <w:spacing w:after="120" w:line="276" w:lineRule="auto"/>
        <w:jc w:val="both"/>
        <w:rPr>
          <w:rFonts w:ascii="Times New Roman" w:hAnsi="Times New Roman" w:cs="Times New Roman"/>
          <w:smallCaps/>
        </w:rPr>
      </w:pPr>
      <w:r w:rsidRPr="00742D0E">
        <w:rPr>
          <w:rFonts w:ascii="Times New Roman" w:hAnsi="Times New Roman" w:cs="Times New Roman"/>
          <w:b/>
          <w:i/>
          <w:smallCaps/>
          <w:spacing w:val="-2"/>
        </w:rPr>
        <w:t>Alimentación escolar</w:t>
      </w:r>
    </w:p>
    <w:p w14:paraId="3438FCEC" w14:textId="764E1140" w:rsidR="00F65642" w:rsidRPr="00191FFD" w:rsidRDefault="00F65642" w:rsidP="006B716A">
      <w:pPr>
        <w:keepLines/>
        <w:spacing w:after="120" w:line="276" w:lineRule="auto"/>
        <w:jc w:val="both"/>
        <w:rPr>
          <w:rFonts w:ascii="Times New Roman" w:hAnsi="Times New Roman" w:cs="Times New Roman"/>
        </w:rPr>
      </w:pPr>
      <w:r w:rsidRPr="00191FFD">
        <w:rPr>
          <w:rFonts w:ascii="Times New Roman" w:hAnsi="Times New Roman" w:cs="Times New Roman"/>
        </w:rPr>
        <w:t>Según el International Food Policy Research Institute</w:t>
      </w:r>
      <w:r w:rsidR="00CA214D">
        <w:rPr>
          <w:rFonts w:ascii="Times New Roman" w:hAnsi="Times New Roman" w:cs="Times New Roman"/>
        </w:rPr>
        <w:t xml:space="preserve"> (</w:t>
      </w:r>
      <w:r w:rsidR="00F90E2A" w:rsidRPr="003D430C">
        <w:rPr>
          <w:rFonts w:ascii="Times New Roman" w:hAnsi="Times New Roman" w:cs="Times New Roman"/>
        </w:rPr>
        <w:t>2008</w:t>
      </w:r>
      <w:r w:rsidR="00CA214D">
        <w:rPr>
          <w:rFonts w:ascii="Times New Roman" w:hAnsi="Times New Roman" w:cs="Times New Roman"/>
        </w:rPr>
        <w:t>)</w:t>
      </w:r>
      <w:r w:rsidRPr="00191FFD">
        <w:rPr>
          <w:rFonts w:ascii="Times New Roman" w:hAnsi="Times New Roman" w:cs="Times New Roman"/>
        </w:rPr>
        <w:t>, los beneficios de los programas de alimentación escolar se resumen principalmente en un incremento en la participación escolar</w:t>
      </w:r>
      <w:r w:rsidR="005F61E8">
        <w:rPr>
          <w:rFonts w:ascii="Times New Roman" w:hAnsi="Times New Roman" w:cs="Times New Roman"/>
        </w:rPr>
        <w:t>,</w:t>
      </w:r>
      <w:r w:rsidRPr="00191FFD">
        <w:rPr>
          <w:rFonts w:ascii="Times New Roman" w:hAnsi="Times New Roman" w:cs="Times New Roman"/>
        </w:rPr>
        <w:t xml:space="preserve"> lo cual lleva a una mayor tasa de matriculación y asistencia. Estos incrementos pueden mejorar el logro en aprendizaje, </w:t>
      </w:r>
      <w:r w:rsidR="00AA2285" w:rsidRPr="00191FFD">
        <w:rPr>
          <w:rFonts w:ascii="Times New Roman" w:hAnsi="Times New Roman" w:cs="Times New Roman"/>
        </w:rPr>
        <w:t xml:space="preserve">la promoción escolar y reducir el abandono, </w:t>
      </w:r>
      <w:r w:rsidRPr="00191FFD">
        <w:rPr>
          <w:rFonts w:ascii="Times New Roman" w:hAnsi="Times New Roman" w:cs="Times New Roman"/>
        </w:rPr>
        <w:t>lo cual es impulsado por una mejor nutrición y su efecto correspondiente en las funciones cognitivas de los estudiantes</w:t>
      </w:r>
      <w:r w:rsidR="00A13767">
        <w:rPr>
          <w:rFonts w:ascii="Times New Roman" w:hAnsi="Times New Roman" w:cs="Times New Roman"/>
        </w:rPr>
        <w:t>, como lo resume el Diagrama 1</w:t>
      </w:r>
      <w:r w:rsidRPr="00191FFD">
        <w:rPr>
          <w:rFonts w:ascii="Times New Roman" w:hAnsi="Times New Roman" w:cs="Times New Roman"/>
        </w:rPr>
        <w:t>.</w:t>
      </w:r>
      <w:r w:rsidR="00184707" w:rsidRPr="00191FFD">
        <w:rPr>
          <w:rFonts w:ascii="Times New Roman" w:hAnsi="Times New Roman" w:cs="Times New Roman"/>
        </w:rPr>
        <w:t xml:space="preserve"> </w:t>
      </w:r>
    </w:p>
    <w:p w14:paraId="094BCC32" w14:textId="77777777" w:rsidR="00E62CAD" w:rsidRDefault="00E62CAD" w:rsidP="00A13767">
      <w:pPr>
        <w:keepNext/>
        <w:spacing w:after="0" w:line="240" w:lineRule="auto"/>
        <w:jc w:val="center"/>
        <w:rPr>
          <w:rFonts w:ascii="Times New Roman" w:hAnsi="Times New Roman" w:cs="Times New Roman"/>
          <w:b/>
        </w:rPr>
      </w:pPr>
      <w:r>
        <w:rPr>
          <w:rFonts w:ascii="Times New Roman" w:hAnsi="Times New Roman" w:cs="Times New Roman"/>
          <w:b/>
        </w:rPr>
        <w:lastRenderedPageBreak/>
        <w:t xml:space="preserve">Diagrama 1 </w:t>
      </w:r>
    </w:p>
    <w:p w14:paraId="3BE54134" w14:textId="77777777" w:rsidR="00F65642" w:rsidRPr="00F65642" w:rsidRDefault="00F65642" w:rsidP="00A13767">
      <w:pPr>
        <w:keepNext/>
        <w:spacing w:after="0" w:line="240" w:lineRule="auto"/>
        <w:jc w:val="center"/>
        <w:rPr>
          <w:rFonts w:ascii="Times New Roman" w:hAnsi="Times New Roman" w:cs="Times New Roman"/>
          <w:b/>
        </w:rPr>
      </w:pPr>
      <w:r w:rsidRPr="00F65642">
        <w:rPr>
          <w:rFonts w:ascii="Times New Roman" w:hAnsi="Times New Roman" w:cs="Times New Roman"/>
          <w:b/>
        </w:rPr>
        <w:t>Beneficios potenciales de programas de alimentación escolar</w:t>
      </w:r>
    </w:p>
    <w:p w14:paraId="650333B7" w14:textId="77777777" w:rsidR="00F65642" w:rsidRDefault="00F65642" w:rsidP="00F65642">
      <w:pPr>
        <w:autoSpaceDE w:val="0"/>
        <w:autoSpaceDN w:val="0"/>
        <w:adjustRightInd w:val="0"/>
        <w:spacing w:after="0" w:line="240" w:lineRule="auto"/>
        <w:jc w:val="center"/>
      </w:pPr>
      <w:r>
        <w:rPr>
          <w:noProof/>
          <w:lang w:val="en-US"/>
        </w:rPr>
        <w:drawing>
          <wp:inline distT="0" distB="0" distL="0" distR="0" wp14:anchorId="287973AD" wp14:editId="56576D18">
            <wp:extent cx="5505450" cy="3121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691" t="26041" r="23271" b="27525"/>
                    <a:stretch/>
                  </pic:blipFill>
                  <pic:spPr bwMode="auto">
                    <a:xfrm>
                      <a:off x="0" y="0"/>
                      <a:ext cx="5517855" cy="3128898"/>
                    </a:xfrm>
                    <a:prstGeom prst="rect">
                      <a:avLst/>
                    </a:prstGeom>
                    <a:ln>
                      <a:noFill/>
                    </a:ln>
                    <a:extLst>
                      <a:ext uri="{53640926-AAD7-44D8-BBD7-CCE9431645EC}">
                        <a14:shadowObscured xmlns:a14="http://schemas.microsoft.com/office/drawing/2010/main"/>
                      </a:ext>
                    </a:extLst>
                  </pic:spPr>
                </pic:pic>
              </a:graphicData>
            </a:graphic>
          </wp:inline>
        </w:drawing>
      </w:r>
    </w:p>
    <w:p w14:paraId="46E3ECCA" w14:textId="052E09D2" w:rsidR="00F65642" w:rsidRPr="002774D4" w:rsidRDefault="00F65642" w:rsidP="00AA2285">
      <w:pPr>
        <w:autoSpaceDE w:val="0"/>
        <w:autoSpaceDN w:val="0"/>
        <w:adjustRightInd w:val="0"/>
        <w:spacing w:after="120" w:line="240" w:lineRule="auto"/>
        <w:jc w:val="both"/>
        <w:rPr>
          <w:rFonts w:ascii="Times New Roman" w:hAnsi="Times New Roman" w:cs="Times New Roman"/>
          <w:sz w:val="20"/>
          <w:szCs w:val="20"/>
          <w:lang w:val="en-US"/>
        </w:rPr>
      </w:pPr>
      <w:r w:rsidRPr="002774D4">
        <w:rPr>
          <w:rFonts w:ascii="Times New Roman" w:hAnsi="Times New Roman" w:cs="Times New Roman"/>
          <w:sz w:val="20"/>
          <w:szCs w:val="20"/>
          <w:lang w:val="en-US"/>
        </w:rPr>
        <w:t xml:space="preserve">Fuente: </w:t>
      </w:r>
      <w:r w:rsidR="00BD0D18" w:rsidRPr="002774D4">
        <w:rPr>
          <w:rFonts w:ascii="Times New Roman" w:hAnsi="Times New Roman" w:cs="Times New Roman"/>
          <w:sz w:val="20"/>
          <w:szCs w:val="20"/>
          <w:lang w:val="en-US"/>
        </w:rPr>
        <w:t xml:space="preserve">Adelman S., Gilligan D. Lehrer K. (2008) </w:t>
      </w:r>
      <w:r w:rsidRPr="002774D4">
        <w:rPr>
          <w:rFonts w:ascii="Times New Roman" w:hAnsi="Times New Roman" w:cs="Times New Roman"/>
          <w:sz w:val="20"/>
          <w:szCs w:val="20"/>
          <w:lang w:val="en-US"/>
        </w:rPr>
        <w:t>Food Policy Research Institute</w:t>
      </w:r>
    </w:p>
    <w:p w14:paraId="32E58E4F" w14:textId="0E5C5C1F" w:rsidR="00A13767" w:rsidRDefault="005F61E8" w:rsidP="00A13767">
      <w:pPr>
        <w:spacing w:after="120"/>
        <w:jc w:val="both"/>
        <w:rPr>
          <w:rFonts w:ascii="Times New Roman" w:hAnsi="Times New Roman" w:cs="Times New Roman"/>
        </w:rPr>
      </w:pPr>
      <w:r>
        <w:rPr>
          <w:rFonts w:ascii="Times New Roman" w:hAnsi="Times New Roman" w:cs="Times New Roman"/>
        </w:rPr>
        <w:t>Existen</w:t>
      </w:r>
      <w:r w:rsidRPr="00191FFD">
        <w:rPr>
          <w:rFonts w:ascii="Times New Roman" w:hAnsi="Times New Roman" w:cs="Times New Roman"/>
        </w:rPr>
        <w:t xml:space="preserve"> varios estudios generales y específicos de programas </w:t>
      </w:r>
      <w:r w:rsidR="00CA214D">
        <w:rPr>
          <w:rFonts w:ascii="Times New Roman" w:hAnsi="Times New Roman" w:cs="Times New Roman"/>
        </w:rPr>
        <w:t xml:space="preserve">de </w:t>
      </w:r>
      <w:r w:rsidRPr="00191FFD">
        <w:rPr>
          <w:rFonts w:ascii="Times New Roman" w:hAnsi="Times New Roman" w:cs="Times New Roman"/>
        </w:rPr>
        <w:t xml:space="preserve">alimentación escolar llevados a cabo en </w:t>
      </w:r>
      <w:r>
        <w:rPr>
          <w:rFonts w:ascii="Times New Roman" w:hAnsi="Times New Roman" w:cs="Times New Roman"/>
        </w:rPr>
        <w:t>múltiples</w:t>
      </w:r>
      <w:r w:rsidRPr="00191FFD">
        <w:rPr>
          <w:rFonts w:ascii="Times New Roman" w:hAnsi="Times New Roman" w:cs="Times New Roman"/>
        </w:rPr>
        <w:t xml:space="preserve"> países. </w:t>
      </w:r>
      <w:r>
        <w:rPr>
          <w:rFonts w:ascii="Times New Roman" w:hAnsi="Times New Roman" w:cs="Times New Roman"/>
        </w:rPr>
        <w:t xml:space="preserve">La Tabla </w:t>
      </w:r>
      <w:r w:rsidR="00F43F8B">
        <w:rPr>
          <w:rFonts w:ascii="Times New Roman" w:hAnsi="Times New Roman" w:cs="Times New Roman"/>
        </w:rPr>
        <w:t>3</w:t>
      </w:r>
      <w:r w:rsidR="00255B3B">
        <w:rPr>
          <w:rFonts w:ascii="Times New Roman" w:hAnsi="Times New Roman" w:cs="Times New Roman"/>
        </w:rPr>
        <w:t xml:space="preserve"> resume los resultados de algunos estudios que estiman el impacto de programas de alimentación escolar en la matrícula escolar, asistencia escolar</w:t>
      </w:r>
      <w:r w:rsidR="001553CA">
        <w:rPr>
          <w:rFonts w:ascii="Times New Roman" w:hAnsi="Times New Roman" w:cs="Times New Roman"/>
        </w:rPr>
        <w:t>,</w:t>
      </w:r>
      <w:r w:rsidR="00255B3B">
        <w:rPr>
          <w:rFonts w:ascii="Times New Roman" w:hAnsi="Times New Roman" w:cs="Times New Roman"/>
        </w:rPr>
        <w:t xml:space="preserve"> abandono,</w:t>
      </w:r>
      <w:r>
        <w:rPr>
          <w:rFonts w:ascii="Times New Roman" w:hAnsi="Times New Roman" w:cs="Times New Roman"/>
        </w:rPr>
        <w:t xml:space="preserve"> y resultados escolares,</w:t>
      </w:r>
      <w:r w:rsidR="00255B3B">
        <w:rPr>
          <w:rFonts w:ascii="Times New Roman" w:hAnsi="Times New Roman" w:cs="Times New Roman"/>
        </w:rPr>
        <w:t xml:space="preserve"> </w:t>
      </w:r>
      <w:r w:rsidR="003218A8">
        <w:rPr>
          <w:rFonts w:ascii="Times New Roman" w:hAnsi="Times New Roman" w:cs="Times New Roman"/>
        </w:rPr>
        <w:t>entre otras cosas</w:t>
      </w:r>
      <w:r>
        <w:rPr>
          <w:rFonts w:ascii="Times New Roman" w:hAnsi="Times New Roman" w:cs="Times New Roman"/>
        </w:rPr>
        <w:t>,</w:t>
      </w:r>
      <w:r w:rsidR="00F43F8B">
        <w:rPr>
          <w:rFonts w:ascii="Times New Roman" w:hAnsi="Times New Roman" w:cs="Times New Roman"/>
        </w:rPr>
        <w:t xml:space="preserve"> en Bangladesh, Keni</w:t>
      </w:r>
      <w:r w:rsidR="003218A8">
        <w:rPr>
          <w:rFonts w:ascii="Times New Roman" w:hAnsi="Times New Roman" w:cs="Times New Roman"/>
        </w:rPr>
        <w:t>a, Burkina Faso, Cambodia, Argentina y Chile.</w:t>
      </w:r>
      <w:r>
        <w:rPr>
          <w:rFonts w:ascii="Times New Roman" w:hAnsi="Times New Roman" w:cs="Times New Roman"/>
        </w:rPr>
        <w:t xml:space="preserve"> En general</w:t>
      </w:r>
      <w:r w:rsidRPr="00322C1F">
        <w:rPr>
          <w:rFonts w:ascii="Times New Roman" w:hAnsi="Times New Roman" w:cs="Times New Roman"/>
        </w:rPr>
        <w:t xml:space="preserve">, </w:t>
      </w:r>
      <w:r>
        <w:rPr>
          <w:rFonts w:ascii="Times New Roman" w:hAnsi="Times New Roman" w:cs="Times New Roman"/>
        </w:rPr>
        <w:t xml:space="preserve">los estudios sugieren que </w:t>
      </w:r>
      <w:r w:rsidRPr="00322C1F">
        <w:rPr>
          <w:rFonts w:ascii="Times New Roman" w:hAnsi="Times New Roman" w:cs="Times New Roman"/>
        </w:rPr>
        <w:t xml:space="preserve">la alimentación escolar ayuda en </w:t>
      </w:r>
      <w:r>
        <w:rPr>
          <w:rFonts w:ascii="Times New Roman" w:hAnsi="Times New Roman" w:cs="Times New Roman"/>
        </w:rPr>
        <w:t xml:space="preserve">cuanto a </w:t>
      </w:r>
      <w:r w:rsidRPr="00322C1F">
        <w:rPr>
          <w:rFonts w:ascii="Times New Roman" w:hAnsi="Times New Roman" w:cs="Times New Roman"/>
        </w:rPr>
        <w:t xml:space="preserve">retención, asistencia y resultados </w:t>
      </w:r>
      <w:r w:rsidR="00CA214D">
        <w:rPr>
          <w:rFonts w:ascii="Times New Roman" w:hAnsi="Times New Roman" w:cs="Times New Roman"/>
        </w:rPr>
        <w:t>de aprendizaje</w:t>
      </w:r>
      <w:r w:rsidRPr="00322C1F">
        <w:rPr>
          <w:rFonts w:ascii="Times New Roman" w:hAnsi="Times New Roman" w:cs="Times New Roman"/>
        </w:rPr>
        <w:t xml:space="preserve">, entre otras cosas. </w:t>
      </w:r>
    </w:p>
    <w:p w14:paraId="262A0F40" w14:textId="1889F191" w:rsidR="008267D9" w:rsidRDefault="008267D9" w:rsidP="00A13767">
      <w:pPr>
        <w:spacing w:after="120"/>
        <w:jc w:val="both"/>
        <w:rPr>
          <w:rFonts w:ascii="Times New Roman" w:hAnsi="Times New Roman" w:cs="Times New Roman"/>
        </w:rPr>
      </w:pPr>
      <w:r>
        <w:rPr>
          <w:rFonts w:ascii="Times New Roman" w:hAnsi="Times New Roman" w:cs="Times New Roman"/>
        </w:rPr>
        <w:t xml:space="preserve">Una de las enseñanzas de estos estudios es que el impacto de los programas de alimentación escolar tiende a mejorar cuando se enfocan no únicamente en la provisión de alimentos con valor calórico, sino que ponen mayor énfasis en aspectos de equilibrio nutricional de los niños. </w:t>
      </w:r>
      <w:r w:rsidRPr="00322C1F">
        <w:rPr>
          <w:rFonts w:ascii="Times New Roman" w:hAnsi="Times New Roman" w:cs="Times New Roman"/>
        </w:rPr>
        <w:t xml:space="preserve">En el caso ecuatoriano, como se verá más adelante con detalle, el Programa de Alimentación Escolar ha evolucionado en el tiempo, enfocando su servicio según el criterio de si la escuela es rural o urbana, </w:t>
      </w:r>
      <w:r w:rsidR="00A13767">
        <w:rPr>
          <w:rFonts w:ascii="Times New Roman" w:hAnsi="Times New Roman" w:cs="Times New Roman"/>
        </w:rPr>
        <w:t>m</w:t>
      </w:r>
      <w:r w:rsidRPr="00322C1F">
        <w:rPr>
          <w:rFonts w:ascii="Times New Roman" w:hAnsi="Times New Roman" w:cs="Times New Roman"/>
        </w:rPr>
        <w:t>ejora</w:t>
      </w:r>
      <w:r w:rsidR="00A13767">
        <w:rPr>
          <w:rFonts w:ascii="Times New Roman" w:hAnsi="Times New Roman" w:cs="Times New Roman"/>
        </w:rPr>
        <w:t>n</w:t>
      </w:r>
      <w:r w:rsidRPr="00322C1F">
        <w:rPr>
          <w:rFonts w:ascii="Times New Roman" w:hAnsi="Times New Roman" w:cs="Times New Roman"/>
        </w:rPr>
        <w:t>do la cantidad de nutrientes que cada niño recibe</w:t>
      </w:r>
      <w:r w:rsidR="00A13767">
        <w:rPr>
          <w:rFonts w:ascii="Times New Roman" w:hAnsi="Times New Roman" w:cs="Times New Roman"/>
        </w:rPr>
        <w:t>,</w:t>
      </w:r>
      <w:r w:rsidRPr="00322C1F">
        <w:rPr>
          <w:rFonts w:ascii="Times New Roman" w:hAnsi="Times New Roman" w:cs="Times New Roman"/>
        </w:rPr>
        <w:t xml:space="preserve"> y da</w:t>
      </w:r>
      <w:r w:rsidR="00A13767">
        <w:rPr>
          <w:rFonts w:ascii="Times New Roman" w:hAnsi="Times New Roman" w:cs="Times New Roman"/>
        </w:rPr>
        <w:t>n</w:t>
      </w:r>
      <w:r w:rsidRPr="00322C1F">
        <w:rPr>
          <w:rFonts w:ascii="Times New Roman" w:hAnsi="Times New Roman" w:cs="Times New Roman"/>
        </w:rPr>
        <w:t xml:space="preserve">do mayor importancia a una provisión local de los alimentos que se sirven. </w:t>
      </w:r>
    </w:p>
    <w:p w14:paraId="3050C336" w14:textId="1398C416" w:rsidR="00EB39AD" w:rsidRDefault="00EB39AD" w:rsidP="007537A4">
      <w:pPr>
        <w:spacing w:after="120" w:line="276" w:lineRule="auto"/>
        <w:jc w:val="both"/>
        <w:rPr>
          <w:rFonts w:ascii="Times New Roman" w:hAnsi="Times New Roman" w:cs="Times New Roman"/>
        </w:rPr>
      </w:pPr>
    </w:p>
    <w:p w14:paraId="0C441D9C" w14:textId="77777777" w:rsidR="007537A4" w:rsidRPr="003E49D9" w:rsidRDefault="007537A4" w:rsidP="003E49D9">
      <w:pPr>
        <w:spacing w:after="120"/>
        <w:jc w:val="both"/>
        <w:rPr>
          <w:rFonts w:ascii="Times New Roman" w:hAnsi="Times New Roman" w:cs="Times New Roman"/>
        </w:rPr>
        <w:sectPr w:rsidR="007537A4" w:rsidRPr="003E49D9" w:rsidSect="007B329A">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pPr>
    </w:p>
    <w:p w14:paraId="2CD1E35D" w14:textId="1001B401" w:rsidR="003C168F" w:rsidRPr="00EB701E" w:rsidRDefault="007537A4" w:rsidP="007537A4">
      <w:pPr>
        <w:tabs>
          <w:tab w:val="center" w:pos="7002"/>
          <w:tab w:val="left" w:pos="8100"/>
        </w:tabs>
        <w:spacing w:after="0"/>
        <w:rPr>
          <w:rFonts w:ascii="Times New Roman" w:hAnsi="Times New Roman" w:cs="Times New Roman"/>
          <w:b/>
        </w:rPr>
      </w:pPr>
      <w:r>
        <w:rPr>
          <w:rFonts w:ascii="Times New Roman" w:hAnsi="Times New Roman" w:cs="Times New Roman"/>
          <w:b/>
        </w:rPr>
        <w:lastRenderedPageBreak/>
        <w:tab/>
      </w:r>
      <w:r w:rsidR="000A583F" w:rsidRPr="00EB701E">
        <w:rPr>
          <w:rFonts w:ascii="Times New Roman" w:hAnsi="Times New Roman" w:cs="Times New Roman"/>
          <w:b/>
        </w:rPr>
        <w:t>Tabla 3</w:t>
      </w:r>
    </w:p>
    <w:p w14:paraId="0B0C43A0" w14:textId="77777777" w:rsidR="00F65642" w:rsidRPr="009257E1" w:rsidRDefault="003C168F" w:rsidP="003C168F">
      <w:pPr>
        <w:spacing w:after="0"/>
        <w:jc w:val="center"/>
        <w:rPr>
          <w:b/>
        </w:rPr>
      </w:pPr>
      <w:r w:rsidRPr="00EB701E">
        <w:rPr>
          <w:rFonts w:ascii="Times New Roman" w:hAnsi="Times New Roman" w:cs="Times New Roman"/>
          <w:b/>
        </w:rPr>
        <w:t>Revisión de l</w:t>
      </w:r>
      <w:r w:rsidR="00F65642" w:rsidRPr="00EB701E">
        <w:rPr>
          <w:rFonts w:ascii="Times New Roman" w:hAnsi="Times New Roman" w:cs="Times New Roman"/>
          <w:b/>
        </w:rPr>
        <w:t>iteratura</w:t>
      </w:r>
      <w:r w:rsidRPr="00EB701E">
        <w:rPr>
          <w:rFonts w:ascii="Times New Roman" w:hAnsi="Times New Roman" w:cs="Times New Roman"/>
          <w:b/>
        </w:rPr>
        <w:t xml:space="preserve"> del impacto de programas de alimentación escolar</w:t>
      </w:r>
    </w:p>
    <w:tbl>
      <w:tblPr>
        <w:tblStyle w:val="TableGrid"/>
        <w:tblW w:w="15890" w:type="dxa"/>
        <w:tblInd w:w="-586" w:type="dxa"/>
        <w:tblLayout w:type="fixed"/>
        <w:tblLook w:val="04A0" w:firstRow="1" w:lastRow="0" w:firstColumn="1" w:lastColumn="0" w:noHBand="0" w:noVBand="1"/>
      </w:tblPr>
      <w:tblGrid>
        <w:gridCol w:w="1288"/>
        <w:gridCol w:w="1275"/>
        <w:gridCol w:w="1417"/>
        <w:gridCol w:w="1137"/>
        <w:gridCol w:w="1418"/>
        <w:gridCol w:w="1559"/>
        <w:gridCol w:w="7796"/>
      </w:tblGrid>
      <w:tr w:rsidR="00EB701E" w:rsidRPr="00AA2285" w14:paraId="358CF0AA" w14:textId="77777777" w:rsidTr="0026788E">
        <w:trPr>
          <w:trHeight w:val="516"/>
        </w:trPr>
        <w:tc>
          <w:tcPr>
            <w:tcW w:w="1288" w:type="dxa"/>
          </w:tcPr>
          <w:p w14:paraId="706E4DE2" w14:textId="77777777" w:rsidR="00EB701E" w:rsidRPr="00AA2285" w:rsidRDefault="00EB701E" w:rsidP="0026788E">
            <w:pPr>
              <w:jc w:val="center"/>
              <w:rPr>
                <w:rFonts w:ascii="Times New Roman" w:hAnsi="Times New Roman" w:cs="Times New Roman"/>
                <w:b/>
                <w:sz w:val="20"/>
                <w:szCs w:val="20"/>
              </w:rPr>
            </w:pPr>
            <w:r w:rsidRPr="00AA2285">
              <w:rPr>
                <w:rFonts w:ascii="Times New Roman" w:hAnsi="Times New Roman" w:cs="Times New Roman"/>
                <w:b/>
                <w:sz w:val="20"/>
                <w:szCs w:val="20"/>
              </w:rPr>
              <w:t>Autor</w:t>
            </w:r>
          </w:p>
        </w:tc>
        <w:tc>
          <w:tcPr>
            <w:tcW w:w="1275" w:type="dxa"/>
          </w:tcPr>
          <w:p w14:paraId="52AEB7AF" w14:textId="77777777" w:rsidR="00EB701E" w:rsidRPr="00AA2285" w:rsidRDefault="00EB701E" w:rsidP="0026788E">
            <w:pPr>
              <w:jc w:val="center"/>
              <w:rPr>
                <w:rFonts w:ascii="Times New Roman" w:hAnsi="Times New Roman" w:cs="Times New Roman"/>
                <w:b/>
                <w:sz w:val="20"/>
                <w:szCs w:val="20"/>
              </w:rPr>
            </w:pPr>
            <w:r w:rsidRPr="00AA2285">
              <w:rPr>
                <w:rFonts w:ascii="Times New Roman" w:hAnsi="Times New Roman" w:cs="Times New Roman"/>
                <w:b/>
                <w:sz w:val="20"/>
                <w:szCs w:val="20"/>
              </w:rPr>
              <w:t>País</w:t>
            </w:r>
          </w:p>
        </w:tc>
        <w:tc>
          <w:tcPr>
            <w:tcW w:w="1417" w:type="dxa"/>
          </w:tcPr>
          <w:p w14:paraId="13C993A9" w14:textId="77777777" w:rsidR="00EB701E" w:rsidRPr="00AA2285" w:rsidRDefault="00EB701E" w:rsidP="0026788E">
            <w:pPr>
              <w:jc w:val="center"/>
              <w:rPr>
                <w:rFonts w:ascii="Times New Roman" w:hAnsi="Times New Roman" w:cs="Times New Roman"/>
                <w:b/>
                <w:sz w:val="20"/>
                <w:szCs w:val="20"/>
              </w:rPr>
            </w:pPr>
            <w:r w:rsidRPr="00AA2285">
              <w:rPr>
                <w:rFonts w:ascii="Times New Roman" w:hAnsi="Times New Roman" w:cs="Times New Roman"/>
                <w:b/>
                <w:sz w:val="20"/>
                <w:szCs w:val="20"/>
              </w:rPr>
              <w:t>Años de intervención</w:t>
            </w:r>
          </w:p>
        </w:tc>
        <w:tc>
          <w:tcPr>
            <w:tcW w:w="1137" w:type="dxa"/>
          </w:tcPr>
          <w:p w14:paraId="37328121" w14:textId="77777777" w:rsidR="00EB701E" w:rsidRPr="00AA2285" w:rsidRDefault="00EB701E" w:rsidP="0026788E">
            <w:pPr>
              <w:jc w:val="center"/>
              <w:rPr>
                <w:rFonts w:ascii="Times New Roman" w:hAnsi="Times New Roman" w:cs="Times New Roman"/>
                <w:b/>
                <w:sz w:val="20"/>
                <w:szCs w:val="20"/>
              </w:rPr>
            </w:pPr>
            <w:r w:rsidRPr="00AA2285">
              <w:rPr>
                <w:rFonts w:ascii="Times New Roman" w:hAnsi="Times New Roman" w:cs="Times New Roman"/>
                <w:b/>
                <w:sz w:val="20"/>
                <w:szCs w:val="20"/>
              </w:rPr>
              <w:t>Grupo de estudio</w:t>
            </w:r>
          </w:p>
        </w:tc>
        <w:tc>
          <w:tcPr>
            <w:tcW w:w="1418" w:type="dxa"/>
          </w:tcPr>
          <w:p w14:paraId="27909473" w14:textId="77777777" w:rsidR="00EB701E" w:rsidRPr="00AA2285" w:rsidRDefault="00EB701E" w:rsidP="0026788E">
            <w:pPr>
              <w:jc w:val="center"/>
              <w:rPr>
                <w:rFonts w:ascii="Times New Roman" w:hAnsi="Times New Roman" w:cs="Times New Roman"/>
                <w:b/>
                <w:sz w:val="20"/>
                <w:szCs w:val="20"/>
              </w:rPr>
            </w:pPr>
            <w:r w:rsidRPr="00AA2285">
              <w:rPr>
                <w:rFonts w:ascii="Times New Roman" w:hAnsi="Times New Roman" w:cs="Times New Roman"/>
                <w:b/>
                <w:sz w:val="20"/>
                <w:szCs w:val="20"/>
              </w:rPr>
              <w:t>Intervención</w:t>
            </w:r>
          </w:p>
        </w:tc>
        <w:tc>
          <w:tcPr>
            <w:tcW w:w="1559" w:type="dxa"/>
          </w:tcPr>
          <w:p w14:paraId="709BC1DD" w14:textId="77777777" w:rsidR="00EB701E" w:rsidRPr="00AA2285" w:rsidRDefault="00EB701E" w:rsidP="0026788E">
            <w:pPr>
              <w:jc w:val="center"/>
              <w:rPr>
                <w:rFonts w:ascii="Times New Roman" w:hAnsi="Times New Roman" w:cs="Times New Roman"/>
                <w:b/>
                <w:sz w:val="20"/>
                <w:szCs w:val="20"/>
              </w:rPr>
            </w:pPr>
            <w:r>
              <w:rPr>
                <w:rFonts w:ascii="Times New Roman" w:hAnsi="Times New Roman" w:cs="Times New Roman"/>
                <w:b/>
                <w:sz w:val="20"/>
                <w:szCs w:val="20"/>
              </w:rPr>
              <w:t>Metodología</w:t>
            </w:r>
          </w:p>
        </w:tc>
        <w:tc>
          <w:tcPr>
            <w:tcW w:w="7796" w:type="dxa"/>
          </w:tcPr>
          <w:p w14:paraId="22691D12" w14:textId="77777777" w:rsidR="00EB701E" w:rsidRPr="00AA2285" w:rsidRDefault="00EB701E" w:rsidP="0026788E">
            <w:pPr>
              <w:jc w:val="center"/>
              <w:rPr>
                <w:rFonts w:ascii="Times New Roman" w:hAnsi="Times New Roman" w:cs="Times New Roman"/>
                <w:b/>
                <w:sz w:val="20"/>
                <w:szCs w:val="20"/>
              </w:rPr>
            </w:pPr>
            <w:r w:rsidRPr="00AA2285">
              <w:rPr>
                <w:rFonts w:ascii="Times New Roman" w:hAnsi="Times New Roman" w:cs="Times New Roman"/>
                <w:b/>
                <w:sz w:val="20"/>
                <w:szCs w:val="20"/>
              </w:rPr>
              <w:t>Resultados</w:t>
            </w:r>
          </w:p>
        </w:tc>
      </w:tr>
      <w:tr w:rsidR="00EB701E" w:rsidRPr="00AA2285" w14:paraId="00B718CF" w14:textId="77777777" w:rsidTr="0026788E">
        <w:trPr>
          <w:trHeight w:val="1292"/>
        </w:trPr>
        <w:tc>
          <w:tcPr>
            <w:tcW w:w="1288" w:type="dxa"/>
          </w:tcPr>
          <w:p w14:paraId="7AF97B47"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Ahmed (2004)</w:t>
            </w:r>
          </w:p>
        </w:tc>
        <w:tc>
          <w:tcPr>
            <w:tcW w:w="1275" w:type="dxa"/>
          </w:tcPr>
          <w:p w14:paraId="4FFB449C"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Bangladesh</w:t>
            </w:r>
          </w:p>
        </w:tc>
        <w:tc>
          <w:tcPr>
            <w:tcW w:w="1417" w:type="dxa"/>
          </w:tcPr>
          <w:p w14:paraId="7583EB36"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2002-2003</w:t>
            </w:r>
          </w:p>
        </w:tc>
        <w:tc>
          <w:tcPr>
            <w:tcW w:w="1137" w:type="dxa"/>
          </w:tcPr>
          <w:p w14:paraId="60E36EF3"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Niños de 6 a 12 años</w:t>
            </w:r>
          </w:p>
        </w:tc>
        <w:tc>
          <w:tcPr>
            <w:tcW w:w="1418" w:type="dxa"/>
          </w:tcPr>
          <w:p w14:paraId="102455B1" w14:textId="77777777" w:rsidR="00EB701E" w:rsidRPr="00AA2285" w:rsidRDefault="00EB701E" w:rsidP="0026788E">
            <w:pPr>
              <w:rPr>
                <w:rFonts w:ascii="Times New Roman" w:hAnsi="Times New Roman" w:cs="Times New Roman"/>
                <w:sz w:val="20"/>
                <w:szCs w:val="20"/>
              </w:rPr>
            </w:pPr>
            <w:r w:rsidRPr="00AA2285">
              <w:rPr>
                <w:rFonts w:ascii="Times New Roman" w:hAnsi="Times New Roman" w:cs="Times New Roman"/>
                <w:sz w:val="20"/>
                <w:szCs w:val="20"/>
              </w:rPr>
              <w:t>Snack al mediodía: 8 galletas de trigo fortificadas</w:t>
            </w:r>
          </w:p>
        </w:tc>
        <w:tc>
          <w:tcPr>
            <w:tcW w:w="1559" w:type="dxa"/>
          </w:tcPr>
          <w:p w14:paraId="5CF832FA" w14:textId="77777777" w:rsidR="00EB701E" w:rsidRPr="00C8712B" w:rsidRDefault="00EB701E" w:rsidP="0026788E">
            <w:pPr>
              <w:jc w:val="both"/>
              <w:rPr>
                <w:rFonts w:ascii="Times New Roman" w:hAnsi="Times New Roman" w:cs="Times New Roman"/>
                <w:sz w:val="20"/>
                <w:szCs w:val="20"/>
                <w:lang w:val="en-US"/>
              </w:rPr>
            </w:pPr>
            <w:r w:rsidRPr="00C8712B">
              <w:rPr>
                <w:rFonts w:ascii="Times New Roman" w:hAnsi="Times New Roman" w:cs="Times New Roman"/>
                <w:sz w:val="20"/>
                <w:szCs w:val="20"/>
                <w:lang w:val="en-US"/>
              </w:rPr>
              <w:t>RCT</w:t>
            </w:r>
            <w:r>
              <w:rPr>
                <w:rFonts w:ascii="Times New Roman" w:hAnsi="Times New Roman" w:cs="Times New Roman"/>
                <w:sz w:val="20"/>
                <w:szCs w:val="20"/>
                <w:lang w:val="en-US"/>
              </w:rPr>
              <w:t>:</w:t>
            </w:r>
            <w:r w:rsidRPr="00C8712B">
              <w:rPr>
                <w:rFonts w:ascii="Times New Roman" w:hAnsi="Times New Roman" w:cs="Times New Roman"/>
                <w:sz w:val="20"/>
                <w:szCs w:val="20"/>
                <w:lang w:val="en-US"/>
              </w:rPr>
              <w:t xml:space="preserve"> </w:t>
            </w:r>
            <w:r>
              <w:rPr>
                <w:rFonts w:ascii="Times New Roman" w:hAnsi="Times New Roman" w:cs="Times New Roman"/>
                <w:sz w:val="20"/>
                <w:szCs w:val="20"/>
                <w:lang w:val="en-US"/>
              </w:rPr>
              <w:t>DID, MCO, Probit, Tobit</w:t>
            </w:r>
          </w:p>
        </w:tc>
        <w:tc>
          <w:tcPr>
            <w:tcW w:w="7796" w:type="dxa"/>
          </w:tcPr>
          <w:p w14:paraId="38C88C31" w14:textId="77777777" w:rsidR="00EB701E" w:rsidRPr="00AA2285" w:rsidRDefault="00EB701E" w:rsidP="0026788E">
            <w:pPr>
              <w:jc w:val="both"/>
              <w:rPr>
                <w:rFonts w:ascii="Times New Roman" w:hAnsi="Times New Roman" w:cs="Times New Roman"/>
                <w:sz w:val="20"/>
                <w:szCs w:val="20"/>
              </w:rPr>
            </w:pPr>
            <w:r>
              <w:rPr>
                <w:rFonts w:ascii="Times New Roman" w:hAnsi="Times New Roman" w:cs="Times New Roman"/>
                <w:sz w:val="20"/>
                <w:szCs w:val="20"/>
              </w:rPr>
              <w:t>S</w:t>
            </w:r>
            <w:r w:rsidRPr="00AA2285">
              <w:rPr>
                <w:rFonts w:ascii="Times New Roman" w:hAnsi="Times New Roman" w:cs="Times New Roman"/>
                <w:sz w:val="20"/>
                <w:szCs w:val="20"/>
              </w:rPr>
              <w:t>e encontró que el programa elevó la matriculación escolar en 14.2%, el abandono se redujo en 7.5%, la asistencia escolar aumentó en promedio en 1.3 días al mes, el Índice de Masa corporal incrementó 0.62 puntos en promedio y el resultado de las evaluaciones mejoró en 15.7%, con un mayor impacto en matemáticas.</w:t>
            </w:r>
          </w:p>
        </w:tc>
      </w:tr>
      <w:tr w:rsidR="00EB701E" w:rsidRPr="00AA2285" w14:paraId="446D6E7B" w14:textId="77777777" w:rsidTr="0026788E">
        <w:trPr>
          <w:trHeight w:val="775"/>
        </w:trPr>
        <w:tc>
          <w:tcPr>
            <w:tcW w:w="1288" w:type="dxa"/>
          </w:tcPr>
          <w:p w14:paraId="0B3F6AFC" w14:textId="77777777" w:rsidR="00EB701E" w:rsidRPr="00AA2285" w:rsidRDefault="00EB701E" w:rsidP="0026788E">
            <w:pPr>
              <w:pStyle w:val="ListParagraph"/>
              <w:autoSpaceDE w:val="0"/>
              <w:autoSpaceDN w:val="0"/>
              <w:adjustRightInd w:val="0"/>
              <w:ind w:left="0"/>
              <w:rPr>
                <w:rFonts w:ascii="Times New Roman" w:hAnsi="Times New Roman" w:cs="Times New Roman"/>
                <w:sz w:val="20"/>
                <w:szCs w:val="20"/>
                <w:lang w:val="en-US"/>
              </w:rPr>
            </w:pPr>
            <w:r w:rsidRPr="00AA2285">
              <w:rPr>
                <w:rFonts w:ascii="Times New Roman" w:hAnsi="Times New Roman" w:cs="Times New Roman"/>
                <w:sz w:val="20"/>
                <w:szCs w:val="20"/>
                <w:lang w:val="en-US"/>
              </w:rPr>
              <w:t xml:space="preserve">Vermeersch </w:t>
            </w:r>
            <w:r>
              <w:rPr>
                <w:rFonts w:ascii="Times New Roman" w:hAnsi="Times New Roman" w:cs="Times New Roman"/>
                <w:sz w:val="20"/>
                <w:szCs w:val="20"/>
                <w:lang w:val="en-US"/>
              </w:rPr>
              <w:t>y</w:t>
            </w:r>
            <w:r w:rsidRPr="00AA2285">
              <w:rPr>
                <w:rFonts w:ascii="Times New Roman" w:hAnsi="Times New Roman" w:cs="Times New Roman"/>
                <w:sz w:val="20"/>
                <w:szCs w:val="20"/>
                <w:lang w:val="en-US"/>
              </w:rPr>
              <w:t xml:space="preserve"> Kremer (2004)</w:t>
            </w:r>
          </w:p>
        </w:tc>
        <w:tc>
          <w:tcPr>
            <w:tcW w:w="1275" w:type="dxa"/>
          </w:tcPr>
          <w:p w14:paraId="1AF7F85A" w14:textId="77777777" w:rsidR="00EB701E" w:rsidRPr="00AA2285" w:rsidRDefault="00EB701E" w:rsidP="0026788E">
            <w:pPr>
              <w:jc w:val="both"/>
              <w:rPr>
                <w:rFonts w:ascii="Times New Roman" w:hAnsi="Times New Roman" w:cs="Times New Roman"/>
                <w:sz w:val="20"/>
                <w:szCs w:val="20"/>
                <w:lang w:val="en-US"/>
              </w:rPr>
            </w:pPr>
            <w:r w:rsidRPr="00AA2285">
              <w:rPr>
                <w:rFonts w:ascii="Times New Roman" w:hAnsi="Times New Roman" w:cs="Times New Roman"/>
                <w:sz w:val="20"/>
                <w:szCs w:val="20"/>
                <w:lang w:val="en-US"/>
              </w:rPr>
              <w:t>Kenya</w:t>
            </w:r>
          </w:p>
        </w:tc>
        <w:tc>
          <w:tcPr>
            <w:tcW w:w="1417" w:type="dxa"/>
          </w:tcPr>
          <w:p w14:paraId="35FF5985" w14:textId="77777777" w:rsidR="00EB701E" w:rsidRPr="00AA2285" w:rsidRDefault="00EB701E" w:rsidP="0026788E">
            <w:pPr>
              <w:jc w:val="both"/>
              <w:rPr>
                <w:rFonts w:ascii="Times New Roman" w:hAnsi="Times New Roman" w:cs="Times New Roman"/>
                <w:sz w:val="20"/>
                <w:szCs w:val="20"/>
                <w:lang w:val="en-US"/>
              </w:rPr>
            </w:pPr>
            <w:r w:rsidRPr="00AA2285">
              <w:rPr>
                <w:rFonts w:ascii="Times New Roman" w:hAnsi="Times New Roman" w:cs="Times New Roman"/>
                <w:sz w:val="20"/>
                <w:szCs w:val="20"/>
                <w:lang w:val="en-US"/>
              </w:rPr>
              <w:t>2000-2002</w:t>
            </w:r>
          </w:p>
        </w:tc>
        <w:tc>
          <w:tcPr>
            <w:tcW w:w="1137" w:type="dxa"/>
          </w:tcPr>
          <w:p w14:paraId="201A03B8" w14:textId="77777777" w:rsidR="00EB701E" w:rsidRPr="00AA2285" w:rsidRDefault="00EB701E" w:rsidP="0026788E">
            <w:pPr>
              <w:jc w:val="both"/>
              <w:rPr>
                <w:rFonts w:ascii="Times New Roman" w:hAnsi="Times New Roman" w:cs="Times New Roman"/>
                <w:sz w:val="20"/>
                <w:szCs w:val="20"/>
                <w:lang w:val="en-US"/>
              </w:rPr>
            </w:pPr>
            <w:r w:rsidRPr="00AA2285">
              <w:rPr>
                <w:rFonts w:ascii="Times New Roman" w:hAnsi="Times New Roman" w:cs="Times New Roman"/>
                <w:sz w:val="20"/>
                <w:szCs w:val="20"/>
                <w:lang w:val="en-US"/>
              </w:rPr>
              <w:t>Preescolar</w:t>
            </w:r>
          </w:p>
        </w:tc>
        <w:tc>
          <w:tcPr>
            <w:tcW w:w="1418" w:type="dxa"/>
          </w:tcPr>
          <w:p w14:paraId="210D7513" w14:textId="77777777" w:rsidR="00EB701E" w:rsidRPr="00AA2285" w:rsidRDefault="00EB701E" w:rsidP="0026788E">
            <w:pPr>
              <w:jc w:val="both"/>
              <w:rPr>
                <w:rFonts w:ascii="Times New Roman" w:hAnsi="Times New Roman" w:cs="Times New Roman"/>
                <w:sz w:val="20"/>
                <w:szCs w:val="20"/>
                <w:lang w:val="en-US"/>
              </w:rPr>
            </w:pPr>
            <w:r w:rsidRPr="00AA2285">
              <w:rPr>
                <w:rFonts w:ascii="Times New Roman" w:hAnsi="Times New Roman" w:cs="Times New Roman"/>
                <w:sz w:val="20"/>
                <w:szCs w:val="20"/>
              </w:rPr>
              <w:t>Desayuno</w:t>
            </w:r>
            <w:r w:rsidRPr="00AA2285">
              <w:rPr>
                <w:rFonts w:ascii="Times New Roman" w:hAnsi="Times New Roman" w:cs="Times New Roman"/>
                <w:sz w:val="20"/>
                <w:szCs w:val="20"/>
                <w:lang w:val="en-US"/>
              </w:rPr>
              <w:t xml:space="preserve"> escolar</w:t>
            </w:r>
          </w:p>
        </w:tc>
        <w:tc>
          <w:tcPr>
            <w:tcW w:w="1559" w:type="dxa"/>
          </w:tcPr>
          <w:p w14:paraId="1C511B78" w14:textId="77777777" w:rsidR="00EB701E" w:rsidRPr="00AA2285" w:rsidRDefault="00EB701E" w:rsidP="0026788E">
            <w:pPr>
              <w:jc w:val="both"/>
              <w:rPr>
                <w:rFonts w:ascii="Times New Roman" w:hAnsi="Times New Roman" w:cs="Times New Roman"/>
                <w:sz w:val="20"/>
                <w:szCs w:val="20"/>
              </w:rPr>
            </w:pPr>
            <w:r>
              <w:rPr>
                <w:rFonts w:ascii="Times New Roman" w:hAnsi="Times New Roman" w:cs="Times New Roman"/>
                <w:sz w:val="20"/>
                <w:szCs w:val="20"/>
              </w:rPr>
              <w:t>RCT: Tobit, Probit, Modelo lineal de datos de panel con efectos aleatorios, MCO</w:t>
            </w:r>
          </w:p>
        </w:tc>
        <w:tc>
          <w:tcPr>
            <w:tcW w:w="7796" w:type="dxa"/>
          </w:tcPr>
          <w:p w14:paraId="6E977B98" w14:textId="77777777" w:rsidR="00EB701E" w:rsidRPr="00AA2285" w:rsidRDefault="00EB701E" w:rsidP="0026788E">
            <w:pPr>
              <w:jc w:val="both"/>
              <w:rPr>
                <w:rFonts w:ascii="Times New Roman" w:hAnsi="Times New Roman" w:cs="Times New Roman"/>
                <w:sz w:val="20"/>
                <w:szCs w:val="20"/>
              </w:rPr>
            </w:pPr>
            <w:r>
              <w:rPr>
                <w:rFonts w:ascii="Times New Roman" w:hAnsi="Times New Roman" w:cs="Times New Roman"/>
                <w:sz w:val="20"/>
                <w:szCs w:val="20"/>
              </w:rPr>
              <w:t>S</w:t>
            </w:r>
            <w:r w:rsidRPr="00AA2285">
              <w:rPr>
                <w:rFonts w:ascii="Times New Roman" w:hAnsi="Times New Roman" w:cs="Times New Roman"/>
                <w:sz w:val="20"/>
                <w:szCs w:val="20"/>
              </w:rPr>
              <w:t>e encontró que la participación escolar aumentó en 8.5%. El programa también mejoró el puntaje de las evaluaciones pero solo en aquellas escuelas con profesores de más experiencia.</w:t>
            </w:r>
          </w:p>
        </w:tc>
      </w:tr>
      <w:tr w:rsidR="00EB701E" w:rsidRPr="00AA2285" w14:paraId="3BD0EEFF" w14:textId="77777777" w:rsidTr="0026788E">
        <w:trPr>
          <w:trHeight w:val="516"/>
        </w:trPr>
        <w:tc>
          <w:tcPr>
            <w:tcW w:w="1288" w:type="dxa"/>
          </w:tcPr>
          <w:p w14:paraId="35342CB1" w14:textId="77777777" w:rsidR="00EB701E" w:rsidRPr="00AA2285" w:rsidRDefault="00EB701E" w:rsidP="0026788E">
            <w:pPr>
              <w:pStyle w:val="ListParagraph"/>
              <w:autoSpaceDE w:val="0"/>
              <w:autoSpaceDN w:val="0"/>
              <w:adjustRightInd w:val="0"/>
              <w:ind w:left="0"/>
              <w:rPr>
                <w:rFonts w:ascii="Times New Roman" w:hAnsi="Times New Roman" w:cs="Times New Roman"/>
                <w:sz w:val="20"/>
                <w:szCs w:val="20"/>
                <w:lang w:val="en-US"/>
              </w:rPr>
            </w:pPr>
            <w:r w:rsidRPr="00AA2285">
              <w:rPr>
                <w:rFonts w:ascii="Times New Roman" w:hAnsi="Times New Roman" w:cs="Times New Roman"/>
                <w:sz w:val="20"/>
                <w:szCs w:val="20"/>
                <w:lang w:val="en-US"/>
              </w:rPr>
              <w:t>Kazianga (2009)</w:t>
            </w:r>
          </w:p>
        </w:tc>
        <w:tc>
          <w:tcPr>
            <w:tcW w:w="1275" w:type="dxa"/>
          </w:tcPr>
          <w:p w14:paraId="2DA34B22" w14:textId="77777777" w:rsidR="00EB701E" w:rsidRPr="00AA2285" w:rsidRDefault="00EB701E" w:rsidP="0026788E">
            <w:pPr>
              <w:pStyle w:val="ListParagraph"/>
              <w:autoSpaceDE w:val="0"/>
              <w:autoSpaceDN w:val="0"/>
              <w:adjustRightInd w:val="0"/>
              <w:ind w:left="0"/>
              <w:rPr>
                <w:rFonts w:ascii="Times New Roman" w:hAnsi="Times New Roman" w:cs="Times New Roman"/>
                <w:sz w:val="20"/>
                <w:szCs w:val="20"/>
                <w:lang w:val="en-US"/>
              </w:rPr>
            </w:pPr>
            <w:r w:rsidRPr="00AA2285">
              <w:rPr>
                <w:rFonts w:ascii="Times New Roman" w:hAnsi="Times New Roman" w:cs="Times New Roman"/>
                <w:sz w:val="20"/>
                <w:szCs w:val="20"/>
                <w:lang w:val="en-US"/>
              </w:rPr>
              <w:t>Burkina Faso</w:t>
            </w:r>
          </w:p>
        </w:tc>
        <w:tc>
          <w:tcPr>
            <w:tcW w:w="1417" w:type="dxa"/>
          </w:tcPr>
          <w:p w14:paraId="6C86201B"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2006-2007</w:t>
            </w:r>
          </w:p>
        </w:tc>
        <w:tc>
          <w:tcPr>
            <w:tcW w:w="1137" w:type="dxa"/>
          </w:tcPr>
          <w:p w14:paraId="708A93F5"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Niños de 6 a 15 años</w:t>
            </w:r>
          </w:p>
        </w:tc>
        <w:tc>
          <w:tcPr>
            <w:tcW w:w="1418" w:type="dxa"/>
          </w:tcPr>
          <w:p w14:paraId="0F5B0A6E"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Desayuno y/o almuerzo escolar</w:t>
            </w:r>
          </w:p>
        </w:tc>
        <w:tc>
          <w:tcPr>
            <w:tcW w:w="1559" w:type="dxa"/>
          </w:tcPr>
          <w:p w14:paraId="32ABCB25" w14:textId="77777777" w:rsidR="00EB701E" w:rsidRPr="00AA2285" w:rsidRDefault="00EB701E" w:rsidP="00267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RCT: DID</w:t>
            </w:r>
          </w:p>
        </w:tc>
        <w:tc>
          <w:tcPr>
            <w:tcW w:w="7796" w:type="dxa"/>
          </w:tcPr>
          <w:p w14:paraId="039D123A" w14:textId="5CB5AD59" w:rsidR="00EB701E" w:rsidRPr="00AA2285" w:rsidRDefault="00EB701E" w:rsidP="0026788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w:t>
            </w:r>
            <w:r w:rsidRPr="00AA2285">
              <w:rPr>
                <w:rFonts w:ascii="Times New Roman" w:hAnsi="Times New Roman" w:cs="Times New Roman"/>
                <w:sz w:val="20"/>
                <w:szCs w:val="20"/>
              </w:rPr>
              <w:t xml:space="preserve">e evidencia un incremento en la matriculación de las niñas de 4.9%, un efecto nulo </w:t>
            </w:r>
            <w:r>
              <w:rPr>
                <w:rFonts w:ascii="Times New Roman" w:hAnsi="Times New Roman" w:cs="Times New Roman"/>
                <w:sz w:val="20"/>
                <w:szCs w:val="20"/>
              </w:rPr>
              <w:t xml:space="preserve">tanto </w:t>
            </w:r>
            <w:r w:rsidRPr="00AA2285">
              <w:rPr>
                <w:rFonts w:ascii="Times New Roman" w:hAnsi="Times New Roman" w:cs="Times New Roman"/>
                <w:sz w:val="20"/>
                <w:szCs w:val="20"/>
              </w:rPr>
              <w:t>en el es</w:t>
            </w:r>
            <w:r>
              <w:rPr>
                <w:rFonts w:ascii="Times New Roman" w:hAnsi="Times New Roman" w:cs="Times New Roman"/>
                <w:sz w:val="20"/>
                <w:szCs w:val="20"/>
              </w:rPr>
              <w:t>tado nutricional de los niños como en el desempeño académico. Adicionalmente se evidencia mayores niveles de inasistencia</w:t>
            </w:r>
            <w:r w:rsidR="005F001A">
              <w:rPr>
                <w:rFonts w:ascii="Times New Roman" w:hAnsi="Times New Roman" w:cs="Times New Roman"/>
                <w:sz w:val="20"/>
                <w:szCs w:val="20"/>
              </w:rPr>
              <w:t xml:space="preserve"> a clases de los estudiantes matriculados</w:t>
            </w:r>
            <w:r w:rsidRPr="00AA2285">
              <w:rPr>
                <w:rFonts w:ascii="Times New Roman" w:hAnsi="Times New Roman" w:cs="Times New Roman"/>
                <w:sz w:val="20"/>
                <w:szCs w:val="20"/>
              </w:rPr>
              <w:t xml:space="preserve">. </w:t>
            </w:r>
            <w:r>
              <w:rPr>
                <w:rFonts w:ascii="Times New Roman" w:hAnsi="Times New Roman" w:cs="Times New Roman"/>
                <w:sz w:val="20"/>
                <w:szCs w:val="20"/>
              </w:rPr>
              <w:t xml:space="preserve">Si bien parece ser un efecto contra intuitivo, </w:t>
            </w:r>
            <w:r w:rsidRPr="00AA2285">
              <w:rPr>
                <w:rFonts w:ascii="Times New Roman" w:hAnsi="Times New Roman" w:cs="Times New Roman"/>
                <w:sz w:val="20"/>
                <w:szCs w:val="20"/>
              </w:rPr>
              <w:t xml:space="preserve">se </w:t>
            </w:r>
            <w:r>
              <w:rPr>
                <w:rFonts w:ascii="Times New Roman" w:hAnsi="Times New Roman" w:cs="Times New Roman"/>
                <w:sz w:val="20"/>
                <w:szCs w:val="20"/>
              </w:rPr>
              <w:t>explica</w:t>
            </w:r>
            <w:r w:rsidRPr="00AA2285">
              <w:rPr>
                <w:rFonts w:ascii="Times New Roman" w:hAnsi="Times New Roman" w:cs="Times New Roman"/>
                <w:sz w:val="20"/>
                <w:szCs w:val="20"/>
              </w:rPr>
              <w:t xml:space="preserve"> por la posible participación de los niños en el mercado laboral.</w:t>
            </w:r>
          </w:p>
        </w:tc>
      </w:tr>
      <w:tr w:rsidR="00EB701E" w:rsidRPr="00AA2285" w14:paraId="4DDC9D76" w14:textId="77777777" w:rsidTr="0026788E">
        <w:trPr>
          <w:trHeight w:val="242"/>
        </w:trPr>
        <w:tc>
          <w:tcPr>
            <w:tcW w:w="1288" w:type="dxa"/>
          </w:tcPr>
          <w:p w14:paraId="596D81C1" w14:textId="77777777" w:rsidR="00EB701E" w:rsidRPr="00AA2285" w:rsidRDefault="00EB701E" w:rsidP="0026788E">
            <w:pPr>
              <w:pStyle w:val="Default"/>
              <w:rPr>
                <w:sz w:val="20"/>
                <w:szCs w:val="20"/>
              </w:rPr>
            </w:pPr>
            <w:r w:rsidRPr="00660A43">
              <w:rPr>
                <w:sz w:val="20"/>
                <w:szCs w:val="20"/>
              </w:rPr>
              <w:t>Mc Ewan (2012)</w:t>
            </w:r>
          </w:p>
        </w:tc>
        <w:tc>
          <w:tcPr>
            <w:tcW w:w="1275" w:type="dxa"/>
          </w:tcPr>
          <w:p w14:paraId="5917B023" w14:textId="77777777" w:rsidR="00EB701E" w:rsidRPr="00AA2285" w:rsidRDefault="00EB701E" w:rsidP="0026788E">
            <w:pPr>
              <w:jc w:val="both"/>
              <w:rPr>
                <w:rFonts w:ascii="Times New Roman" w:hAnsi="Times New Roman" w:cs="Times New Roman"/>
                <w:sz w:val="20"/>
                <w:szCs w:val="20"/>
              </w:rPr>
            </w:pPr>
            <w:r w:rsidRPr="00660A43">
              <w:rPr>
                <w:rFonts w:ascii="Times New Roman" w:hAnsi="Times New Roman" w:cs="Times New Roman"/>
                <w:sz w:val="20"/>
                <w:szCs w:val="20"/>
              </w:rPr>
              <w:t>Chile</w:t>
            </w:r>
          </w:p>
        </w:tc>
        <w:tc>
          <w:tcPr>
            <w:tcW w:w="1417" w:type="dxa"/>
          </w:tcPr>
          <w:p w14:paraId="7CCD258C"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2000-2005</w:t>
            </w:r>
          </w:p>
        </w:tc>
        <w:tc>
          <w:tcPr>
            <w:tcW w:w="1137" w:type="dxa"/>
          </w:tcPr>
          <w:p w14:paraId="65266F35"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Escuelas primarias</w:t>
            </w:r>
          </w:p>
        </w:tc>
        <w:tc>
          <w:tcPr>
            <w:tcW w:w="1418" w:type="dxa"/>
          </w:tcPr>
          <w:p w14:paraId="0E852E22" w14:textId="77777777" w:rsidR="00EB701E" w:rsidRPr="00AA2285" w:rsidRDefault="00EB701E" w:rsidP="0026788E">
            <w:pPr>
              <w:jc w:val="both"/>
              <w:rPr>
                <w:rFonts w:ascii="Times New Roman" w:hAnsi="Times New Roman" w:cs="Times New Roman"/>
                <w:sz w:val="20"/>
                <w:szCs w:val="20"/>
                <w:highlight w:val="yellow"/>
              </w:rPr>
            </w:pPr>
          </w:p>
        </w:tc>
        <w:tc>
          <w:tcPr>
            <w:tcW w:w="1559" w:type="dxa"/>
          </w:tcPr>
          <w:p w14:paraId="264774B7" w14:textId="342246D2" w:rsidR="00EB701E" w:rsidRPr="00AA2285" w:rsidRDefault="00EB701E" w:rsidP="002678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Cuasi-experime</w:t>
            </w:r>
            <w:r w:rsidR="00F90C55">
              <w:rPr>
                <w:rFonts w:ascii="Times New Roman" w:hAnsi="Times New Roman" w:cs="Times New Roman"/>
                <w:sz w:val="20"/>
                <w:szCs w:val="20"/>
              </w:rPr>
              <w:t>n</w:t>
            </w:r>
            <w:r>
              <w:rPr>
                <w:rFonts w:ascii="Times New Roman" w:hAnsi="Times New Roman" w:cs="Times New Roman"/>
                <w:sz w:val="20"/>
                <w:szCs w:val="20"/>
              </w:rPr>
              <w:t>tal: RDD</w:t>
            </w:r>
          </w:p>
        </w:tc>
        <w:tc>
          <w:tcPr>
            <w:tcW w:w="7796" w:type="dxa"/>
          </w:tcPr>
          <w:p w14:paraId="1E556A52" w14:textId="77777777" w:rsidR="00EB701E" w:rsidRPr="00AA2285" w:rsidRDefault="00EB701E" w:rsidP="0026788E">
            <w:pPr>
              <w:autoSpaceDE w:val="0"/>
              <w:autoSpaceDN w:val="0"/>
              <w:adjustRightInd w:val="0"/>
              <w:jc w:val="both"/>
              <w:rPr>
                <w:rFonts w:ascii="Times New Roman" w:hAnsi="Times New Roman" w:cs="Times New Roman"/>
                <w:sz w:val="20"/>
                <w:szCs w:val="20"/>
              </w:rPr>
            </w:pPr>
            <w:r w:rsidRPr="00AA2285">
              <w:rPr>
                <w:rFonts w:ascii="Times New Roman" w:hAnsi="Times New Roman" w:cs="Times New Roman"/>
                <w:sz w:val="20"/>
                <w:szCs w:val="20"/>
              </w:rPr>
              <w:t>Utilizando los Archivos Administrativos del Ministerio de Educación, se evalúa el impacto del programa en matriculación, asistencia y evaluaciones de niños de cuarto año. El efecto encontrado es nulo. Los autores aducen este hallazgo al hecho de que el programa estado enfocado en alimentos con alto contenido calórico, lo cual no necesariamente mejora la nutrición y por lo tanto podría no haber un impacto en la educación.</w:t>
            </w:r>
          </w:p>
        </w:tc>
      </w:tr>
      <w:tr w:rsidR="00EB701E" w:rsidRPr="00AA2285" w14:paraId="695F70F6" w14:textId="77777777" w:rsidTr="0026788E">
        <w:trPr>
          <w:trHeight w:val="242"/>
        </w:trPr>
        <w:tc>
          <w:tcPr>
            <w:tcW w:w="1288" w:type="dxa"/>
          </w:tcPr>
          <w:p w14:paraId="23919142" w14:textId="77777777" w:rsidR="00EB701E" w:rsidRPr="00AA2285" w:rsidRDefault="00EB701E" w:rsidP="0026788E">
            <w:pPr>
              <w:pStyle w:val="Default"/>
              <w:rPr>
                <w:sz w:val="20"/>
                <w:szCs w:val="20"/>
              </w:rPr>
            </w:pPr>
            <w:r>
              <w:rPr>
                <w:sz w:val="20"/>
                <w:szCs w:val="20"/>
              </w:rPr>
              <w:t>Adrogué y Orlicki, (2013</w:t>
            </w:r>
            <w:r w:rsidRPr="00AA2285">
              <w:rPr>
                <w:sz w:val="20"/>
                <w:szCs w:val="20"/>
              </w:rPr>
              <w:t>)</w:t>
            </w:r>
          </w:p>
          <w:p w14:paraId="227E5F34" w14:textId="77777777" w:rsidR="00EB701E" w:rsidRPr="00AA2285" w:rsidRDefault="00EB701E" w:rsidP="0026788E">
            <w:pPr>
              <w:jc w:val="both"/>
              <w:rPr>
                <w:rFonts w:ascii="Times New Roman" w:hAnsi="Times New Roman" w:cs="Times New Roman"/>
                <w:sz w:val="20"/>
                <w:szCs w:val="20"/>
              </w:rPr>
            </w:pPr>
          </w:p>
        </w:tc>
        <w:tc>
          <w:tcPr>
            <w:tcW w:w="1275" w:type="dxa"/>
          </w:tcPr>
          <w:p w14:paraId="651719A4"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Argentina</w:t>
            </w:r>
          </w:p>
        </w:tc>
        <w:tc>
          <w:tcPr>
            <w:tcW w:w="1417" w:type="dxa"/>
          </w:tcPr>
          <w:p w14:paraId="423F9AEB"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1997,1999,</w:t>
            </w:r>
          </w:p>
          <w:p w14:paraId="1D270A41"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2000</w:t>
            </w:r>
          </w:p>
        </w:tc>
        <w:tc>
          <w:tcPr>
            <w:tcW w:w="1137" w:type="dxa"/>
          </w:tcPr>
          <w:p w14:paraId="7DC13421"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Niños de 3er grado</w:t>
            </w:r>
          </w:p>
        </w:tc>
        <w:tc>
          <w:tcPr>
            <w:tcW w:w="1418" w:type="dxa"/>
          </w:tcPr>
          <w:p w14:paraId="77F9D1FE" w14:textId="77777777" w:rsidR="00EB701E" w:rsidRPr="00AA2285" w:rsidRDefault="00EB701E" w:rsidP="0026788E">
            <w:pPr>
              <w:jc w:val="both"/>
              <w:rPr>
                <w:rFonts w:ascii="Times New Roman" w:hAnsi="Times New Roman" w:cs="Times New Roman"/>
                <w:sz w:val="20"/>
                <w:szCs w:val="20"/>
                <w:highlight w:val="yellow"/>
              </w:rPr>
            </w:pPr>
          </w:p>
        </w:tc>
        <w:tc>
          <w:tcPr>
            <w:tcW w:w="1559" w:type="dxa"/>
          </w:tcPr>
          <w:p w14:paraId="45F9EECA" w14:textId="77777777" w:rsidR="00EB701E" w:rsidRPr="00AA2285" w:rsidRDefault="00EB701E" w:rsidP="002678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 experimental controlado: DID</w:t>
            </w:r>
          </w:p>
        </w:tc>
        <w:tc>
          <w:tcPr>
            <w:tcW w:w="7796" w:type="dxa"/>
          </w:tcPr>
          <w:p w14:paraId="204A9C6B" w14:textId="77777777" w:rsidR="00EB701E" w:rsidRPr="00AA2285" w:rsidRDefault="00EB701E" w:rsidP="0026788E">
            <w:pPr>
              <w:autoSpaceDE w:val="0"/>
              <w:autoSpaceDN w:val="0"/>
              <w:adjustRightInd w:val="0"/>
              <w:jc w:val="both"/>
              <w:rPr>
                <w:rFonts w:ascii="Times New Roman" w:hAnsi="Times New Roman" w:cs="Times New Roman"/>
                <w:sz w:val="20"/>
                <w:szCs w:val="20"/>
              </w:rPr>
            </w:pPr>
            <w:r w:rsidRPr="00AA2285">
              <w:rPr>
                <w:rFonts w:ascii="Times New Roman" w:hAnsi="Times New Roman" w:cs="Times New Roman"/>
                <w:sz w:val="20"/>
                <w:szCs w:val="20"/>
              </w:rPr>
              <w:t>Utilizando los Operativos Nacionales de Evaluación Educativa los autores encuentran que el programa está satisfactoriamente focalizado en las escuelas más desfavorecidas. Sin embargo, los resultados muestran sólo una mejora parcial en el rendimiento académico, pues únicamente los de lengua muestran un incremento estadísticamente significativo (+3.5% de la media), mientras que los de matemática no registran ningún efecto.</w:t>
            </w:r>
          </w:p>
        </w:tc>
      </w:tr>
      <w:tr w:rsidR="00EB701E" w:rsidRPr="00AA2285" w14:paraId="32C2B726" w14:textId="77777777" w:rsidTr="0026788E">
        <w:trPr>
          <w:trHeight w:val="257"/>
        </w:trPr>
        <w:tc>
          <w:tcPr>
            <w:tcW w:w="1288" w:type="dxa"/>
          </w:tcPr>
          <w:p w14:paraId="0D7D8123"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lang w:val="en-US"/>
              </w:rPr>
              <w:t>Cheu</w:t>
            </w:r>
            <w:r>
              <w:rPr>
                <w:rFonts w:ascii="Times New Roman" w:hAnsi="Times New Roman" w:cs="Times New Roman"/>
                <w:sz w:val="20"/>
                <w:szCs w:val="20"/>
                <w:lang w:val="en-US"/>
              </w:rPr>
              <w:t>ng y Perrotta. (2014</w:t>
            </w:r>
            <w:r w:rsidRPr="00AA2285">
              <w:rPr>
                <w:rFonts w:ascii="Times New Roman" w:hAnsi="Times New Roman" w:cs="Times New Roman"/>
                <w:sz w:val="20"/>
                <w:szCs w:val="20"/>
                <w:lang w:val="en-US"/>
              </w:rPr>
              <w:t>)</w:t>
            </w:r>
          </w:p>
        </w:tc>
        <w:tc>
          <w:tcPr>
            <w:tcW w:w="1275" w:type="dxa"/>
          </w:tcPr>
          <w:p w14:paraId="22CFC12E"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Cambodia</w:t>
            </w:r>
          </w:p>
        </w:tc>
        <w:tc>
          <w:tcPr>
            <w:tcW w:w="1417" w:type="dxa"/>
          </w:tcPr>
          <w:p w14:paraId="1732D4A9"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1993-2003</w:t>
            </w:r>
          </w:p>
        </w:tc>
        <w:tc>
          <w:tcPr>
            <w:tcW w:w="1137" w:type="dxa"/>
          </w:tcPr>
          <w:p w14:paraId="14150DCC"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Niños de 1ero a 6to grado</w:t>
            </w:r>
          </w:p>
        </w:tc>
        <w:tc>
          <w:tcPr>
            <w:tcW w:w="1418" w:type="dxa"/>
          </w:tcPr>
          <w:p w14:paraId="06BEF9A5"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Desayuno escolar</w:t>
            </w:r>
          </w:p>
        </w:tc>
        <w:tc>
          <w:tcPr>
            <w:tcW w:w="1559" w:type="dxa"/>
          </w:tcPr>
          <w:p w14:paraId="677BDAB3" w14:textId="77777777" w:rsidR="00EB701E" w:rsidRPr="00AA2285" w:rsidRDefault="00EB701E" w:rsidP="0026788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No experimental controlado: DID</w:t>
            </w:r>
          </w:p>
        </w:tc>
        <w:tc>
          <w:tcPr>
            <w:tcW w:w="7796" w:type="dxa"/>
          </w:tcPr>
          <w:p w14:paraId="1581E1DE" w14:textId="77777777" w:rsidR="00EB701E" w:rsidRPr="00AA2285" w:rsidRDefault="00EB701E" w:rsidP="0026788E">
            <w:pPr>
              <w:jc w:val="both"/>
              <w:rPr>
                <w:rFonts w:ascii="Times New Roman" w:hAnsi="Times New Roman" w:cs="Times New Roman"/>
                <w:sz w:val="20"/>
                <w:szCs w:val="20"/>
              </w:rPr>
            </w:pPr>
            <w:r w:rsidRPr="00AA2285">
              <w:rPr>
                <w:rFonts w:ascii="Times New Roman" w:hAnsi="Times New Roman" w:cs="Times New Roman"/>
                <w:sz w:val="20"/>
                <w:szCs w:val="20"/>
              </w:rPr>
              <w:t>A través de los datos del Sistema de Información de Administración Educativa, se evaluó el impacto del programa de alimentación escolar. Se encontró que el programa incrementaba la probabilidad de matriculación en 5%, que los estudiantes en promedio elevaban en 12% la probabilidad de haber asistido alguna vez a la escuela y en 11% la de continuar estudiando.</w:t>
            </w:r>
          </w:p>
        </w:tc>
      </w:tr>
    </w:tbl>
    <w:p w14:paraId="4BFAAF5A" w14:textId="03E60F90" w:rsidR="007537A4" w:rsidRDefault="00EB701E" w:rsidP="00F90C55">
      <w:pPr>
        <w:spacing w:after="0"/>
        <w:rPr>
          <w:b/>
        </w:rPr>
      </w:pPr>
      <w:r>
        <w:rPr>
          <w:rFonts w:ascii="Times New Roman" w:hAnsi="Times New Roman" w:cs="Times New Roman"/>
          <w:i/>
          <w:sz w:val="20"/>
          <w:szCs w:val="20"/>
        </w:rPr>
        <w:t>R</w:t>
      </w:r>
      <w:r w:rsidRPr="00C8712B">
        <w:rPr>
          <w:rFonts w:ascii="Times New Roman" w:hAnsi="Times New Roman" w:cs="Times New Roman"/>
          <w:i/>
          <w:sz w:val="20"/>
          <w:szCs w:val="20"/>
        </w:rPr>
        <w:t>C</w:t>
      </w:r>
      <w:r>
        <w:rPr>
          <w:rFonts w:ascii="Times New Roman" w:hAnsi="Times New Roman" w:cs="Times New Roman"/>
          <w:i/>
          <w:sz w:val="20"/>
          <w:szCs w:val="20"/>
        </w:rPr>
        <w:t>T</w:t>
      </w:r>
      <w:r w:rsidRPr="00C8712B">
        <w:rPr>
          <w:rFonts w:ascii="Times New Roman" w:hAnsi="Times New Roman" w:cs="Times New Roman"/>
          <w:i/>
          <w:sz w:val="20"/>
          <w:szCs w:val="20"/>
        </w:rPr>
        <w:t>: Pruebas controladas aleatorias</w:t>
      </w:r>
      <w:r>
        <w:rPr>
          <w:rFonts w:ascii="Times New Roman" w:hAnsi="Times New Roman" w:cs="Times New Roman"/>
          <w:i/>
          <w:sz w:val="20"/>
          <w:szCs w:val="20"/>
        </w:rPr>
        <w:t xml:space="preserve">. </w:t>
      </w:r>
      <w:r w:rsidRPr="00C8712B">
        <w:rPr>
          <w:rFonts w:ascii="Times New Roman" w:hAnsi="Times New Roman" w:cs="Times New Roman"/>
          <w:i/>
          <w:sz w:val="20"/>
          <w:szCs w:val="20"/>
        </w:rPr>
        <w:t>DID: Diferencias en diferencias</w:t>
      </w:r>
      <w:r>
        <w:rPr>
          <w:rFonts w:ascii="Times New Roman" w:hAnsi="Times New Roman" w:cs="Times New Roman"/>
          <w:i/>
          <w:sz w:val="20"/>
          <w:szCs w:val="20"/>
        </w:rPr>
        <w:t xml:space="preserve">. </w:t>
      </w:r>
      <w:r w:rsidRPr="00C8712B">
        <w:rPr>
          <w:rFonts w:ascii="Times New Roman" w:hAnsi="Times New Roman" w:cs="Times New Roman"/>
          <w:i/>
          <w:sz w:val="20"/>
          <w:szCs w:val="20"/>
        </w:rPr>
        <w:t>MCO: Mínimos Cuadrados Ordinarios</w:t>
      </w:r>
      <w:r>
        <w:rPr>
          <w:rFonts w:ascii="Times New Roman" w:hAnsi="Times New Roman" w:cs="Times New Roman"/>
          <w:i/>
          <w:sz w:val="20"/>
          <w:szCs w:val="20"/>
        </w:rPr>
        <w:t xml:space="preserve">. </w:t>
      </w:r>
      <w:r w:rsidRPr="00C8712B">
        <w:rPr>
          <w:rFonts w:ascii="Times New Roman" w:hAnsi="Times New Roman" w:cs="Times New Roman"/>
          <w:i/>
          <w:sz w:val="20"/>
          <w:szCs w:val="20"/>
        </w:rPr>
        <w:t>RDD: Regresión Discontinua</w:t>
      </w:r>
    </w:p>
    <w:p w14:paraId="63296ED8" w14:textId="77A6E2FF" w:rsidR="00D214DF" w:rsidRPr="00EB701E" w:rsidRDefault="007537A4" w:rsidP="00D214DF">
      <w:pPr>
        <w:tabs>
          <w:tab w:val="center" w:pos="7002"/>
          <w:tab w:val="left" w:pos="8100"/>
        </w:tabs>
        <w:spacing w:after="0"/>
        <w:jc w:val="center"/>
        <w:rPr>
          <w:rFonts w:ascii="Times New Roman" w:hAnsi="Times New Roman" w:cs="Times New Roman"/>
          <w:b/>
        </w:rPr>
      </w:pPr>
      <w:r w:rsidRPr="00EB701E">
        <w:rPr>
          <w:rFonts w:ascii="Times New Roman" w:hAnsi="Times New Roman" w:cs="Times New Roman"/>
          <w:b/>
        </w:rPr>
        <w:lastRenderedPageBreak/>
        <w:t xml:space="preserve">Tabla </w:t>
      </w:r>
      <w:r w:rsidR="000A583F" w:rsidRPr="00EB701E">
        <w:rPr>
          <w:rFonts w:ascii="Times New Roman" w:hAnsi="Times New Roman" w:cs="Times New Roman"/>
          <w:b/>
        </w:rPr>
        <w:t>4</w:t>
      </w:r>
    </w:p>
    <w:p w14:paraId="6FB7539D" w14:textId="76140804" w:rsidR="007537A4" w:rsidRPr="003C168F" w:rsidRDefault="00D214DF" w:rsidP="00D214DF">
      <w:pPr>
        <w:tabs>
          <w:tab w:val="center" w:pos="7002"/>
          <w:tab w:val="left" w:pos="8100"/>
        </w:tabs>
        <w:spacing w:after="0"/>
        <w:jc w:val="center"/>
        <w:rPr>
          <w:rFonts w:ascii="Times New Roman" w:hAnsi="Times New Roman" w:cs="Times New Roman"/>
          <w:b/>
        </w:rPr>
      </w:pPr>
      <w:r w:rsidRPr="00EB701E">
        <w:rPr>
          <w:rFonts w:ascii="Times New Roman" w:hAnsi="Times New Roman" w:cs="Times New Roman"/>
          <w:b/>
        </w:rPr>
        <w:t>Revisión de literatura del impacto de programas de alimentación escolar</w:t>
      </w:r>
      <w:r w:rsidR="00070031" w:rsidRPr="00EB701E">
        <w:rPr>
          <w:rFonts w:ascii="Times New Roman" w:hAnsi="Times New Roman" w:cs="Times New Roman"/>
          <w:b/>
        </w:rPr>
        <w:t xml:space="preserve"> en edades tempranas</w:t>
      </w:r>
    </w:p>
    <w:tbl>
      <w:tblPr>
        <w:tblW w:w="5000" w:type="pct"/>
        <w:tblCellMar>
          <w:left w:w="70" w:type="dxa"/>
          <w:right w:w="70" w:type="dxa"/>
        </w:tblCellMar>
        <w:tblLook w:val="04A0" w:firstRow="1" w:lastRow="0" w:firstColumn="1" w:lastColumn="0" w:noHBand="0" w:noVBand="1"/>
      </w:tblPr>
      <w:tblGrid>
        <w:gridCol w:w="1514"/>
        <w:gridCol w:w="1559"/>
        <w:gridCol w:w="2339"/>
        <w:gridCol w:w="2229"/>
        <w:gridCol w:w="2636"/>
        <w:gridCol w:w="3867"/>
      </w:tblGrid>
      <w:tr w:rsidR="00D214DF" w:rsidRPr="001747EB" w14:paraId="53A1E52E" w14:textId="77777777" w:rsidTr="003562B4">
        <w:trPr>
          <w:trHeight w:val="300"/>
          <w:tblHeader/>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48DC" w14:textId="77777777" w:rsidR="00D214DF" w:rsidRPr="001747EB" w:rsidRDefault="00D214DF" w:rsidP="003562B4">
            <w:pPr>
              <w:spacing w:after="0" w:line="240" w:lineRule="auto"/>
              <w:jc w:val="center"/>
              <w:rPr>
                <w:rFonts w:ascii="Times New Roman" w:eastAsia="Times New Roman" w:hAnsi="Times New Roman" w:cs="Times New Roman"/>
                <w:b/>
                <w:bCs/>
                <w:sz w:val="20"/>
                <w:szCs w:val="20"/>
                <w:lang w:eastAsia="es-MX"/>
              </w:rPr>
            </w:pPr>
            <w:r w:rsidRPr="001747EB">
              <w:rPr>
                <w:rFonts w:ascii="Times New Roman" w:eastAsia="Times New Roman" w:hAnsi="Times New Roman" w:cs="Times New Roman"/>
                <w:b/>
                <w:bCs/>
                <w:sz w:val="20"/>
                <w:szCs w:val="20"/>
                <w:lang w:eastAsia="es-MX"/>
              </w:rPr>
              <w:t>Autor</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5B9C0560" w14:textId="77777777" w:rsidR="00D214DF" w:rsidRPr="001747EB" w:rsidRDefault="00D214DF" w:rsidP="003562B4">
            <w:pPr>
              <w:spacing w:after="0" w:line="240" w:lineRule="auto"/>
              <w:jc w:val="center"/>
              <w:rPr>
                <w:rFonts w:ascii="Times New Roman" w:eastAsia="Times New Roman" w:hAnsi="Times New Roman" w:cs="Times New Roman"/>
                <w:b/>
                <w:bCs/>
                <w:sz w:val="20"/>
                <w:szCs w:val="20"/>
                <w:lang w:eastAsia="es-MX"/>
              </w:rPr>
            </w:pPr>
            <w:r w:rsidRPr="001747EB">
              <w:rPr>
                <w:rFonts w:ascii="Times New Roman" w:eastAsia="Times New Roman" w:hAnsi="Times New Roman" w:cs="Times New Roman"/>
                <w:b/>
                <w:bCs/>
                <w:sz w:val="20"/>
                <w:szCs w:val="20"/>
                <w:lang w:eastAsia="es-MX"/>
              </w:rPr>
              <w:t>País</w:t>
            </w:r>
          </w:p>
        </w:tc>
        <w:tc>
          <w:tcPr>
            <w:tcW w:w="827" w:type="pct"/>
            <w:tcBorders>
              <w:top w:val="single" w:sz="4" w:space="0" w:color="auto"/>
              <w:left w:val="nil"/>
              <w:bottom w:val="single" w:sz="4" w:space="0" w:color="auto"/>
              <w:right w:val="single" w:sz="4" w:space="0" w:color="auto"/>
            </w:tcBorders>
            <w:shd w:val="clear" w:color="auto" w:fill="auto"/>
            <w:noWrap/>
            <w:vAlign w:val="center"/>
            <w:hideMark/>
          </w:tcPr>
          <w:p w14:paraId="0B870B78" w14:textId="77777777" w:rsidR="00D214DF" w:rsidRPr="001747EB" w:rsidRDefault="00D214DF" w:rsidP="003562B4">
            <w:pPr>
              <w:spacing w:after="0" w:line="240" w:lineRule="auto"/>
              <w:jc w:val="center"/>
              <w:rPr>
                <w:rFonts w:ascii="Times New Roman" w:eastAsia="Times New Roman" w:hAnsi="Times New Roman" w:cs="Times New Roman"/>
                <w:b/>
                <w:bCs/>
                <w:sz w:val="20"/>
                <w:szCs w:val="20"/>
                <w:lang w:eastAsia="es-MX"/>
              </w:rPr>
            </w:pPr>
            <w:r w:rsidRPr="001747EB">
              <w:rPr>
                <w:rFonts w:ascii="Times New Roman" w:eastAsia="Times New Roman" w:hAnsi="Times New Roman" w:cs="Times New Roman"/>
                <w:b/>
                <w:bCs/>
                <w:sz w:val="20"/>
                <w:szCs w:val="20"/>
                <w:lang w:eastAsia="es-MX"/>
              </w:rPr>
              <w:t>Años de análisis</w:t>
            </w:r>
          </w:p>
        </w:tc>
        <w:tc>
          <w:tcPr>
            <w:tcW w:w="788" w:type="pct"/>
            <w:tcBorders>
              <w:top w:val="single" w:sz="4" w:space="0" w:color="auto"/>
              <w:left w:val="nil"/>
              <w:bottom w:val="single" w:sz="4" w:space="0" w:color="auto"/>
              <w:right w:val="single" w:sz="4" w:space="0" w:color="auto"/>
            </w:tcBorders>
            <w:shd w:val="clear" w:color="auto" w:fill="auto"/>
            <w:noWrap/>
            <w:vAlign w:val="center"/>
            <w:hideMark/>
          </w:tcPr>
          <w:p w14:paraId="56CFBB08" w14:textId="77777777" w:rsidR="00D214DF" w:rsidRPr="001747EB" w:rsidRDefault="00D214DF" w:rsidP="003562B4">
            <w:pPr>
              <w:spacing w:after="0" w:line="240" w:lineRule="auto"/>
              <w:jc w:val="center"/>
              <w:rPr>
                <w:rFonts w:ascii="Times New Roman" w:eastAsia="Times New Roman" w:hAnsi="Times New Roman" w:cs="Times New Roman"/>
                <w:b/>
                <w:bCs/>
                <w:sz w:val="20"/>
                <w:szCs w:val="20"/>
                <w:lang w:eastAsia="es-MX"/>
              </w:rPr>
            </w:pPr>
            <w:r w:rsidRPr="001747EB">
              <w:rPr>
                <w:rFonts w:ascii="Times New Roman" w:eastAsia="Times New Roman" w:hAnsi="Times New Roman" w:cs="Times New Roman"/>
                <w:b/>
                <w:bCs/>
                <w:sz w:val="20"/>
                <w:szCs w:val="20"/>
                <w:lang w:eastAsia="es-MX"/>
              </w:rPr>
              <w:t>Grupo de estudio</w:t>
            </w:r>
          </w:p>
        </w:tc>
        <w:tc>
          <w:tcPr>
            <w:tcW w:w="932" w:type="pct"/>
            <w:tcBorders>
              <w:top w:val="single" w:sz="4" w:space="0" w:color="auto"/>
              <w:left w:val="nil"/>
              <w:bottom w:val="single" w:sz="4" w:space="0" w:color="auto"/>
              <w:right w:val="single" w:sz="4" w:space="0" w:color="auto"/>
            </w:tcBorders>
            <w:shd w:val="clear" w:color="auto" w:fill="auto"/>
            <w:vAlign w:val="center"/>
            <w:hideMark/>
          </w:tcPr>
          <w:p w14:paraId="7A4703D6" w14:textId="77777777" w:rsidR="00D214DF" w:rsidRPr="001747EB" w:rsidRDefault="00D214DF" w:rsidP="003562B4">
            <w:pPr>
              <w:spacing w:after="0" w:line="240" w:lineRule="auto"/>
              <w:jc w:val="center"/>
              <w:rPr>
                <w:rFonts w:ascii="Times New Roman" w:eastAsia="Times New Roman" w:hAnsi="Times New Roman" w:cs="Times New Roman"/>
                <w:b/>
                <w:bCs/>
                <w:sz w:val="20"/>
                <w:szCs w:val="20"/>
                <w:lang w:eastAsia="es-MX"/>
              </w:rPr>
            </w:pPr>
            <w:r w:rsidRPr="001747EB">
              <w:rPr>
                <w:rFonts w:ascii="Times New Roman" w:eastAsia="Times New Roman" w:hAnsi="Times New Roman" w:cs="Times New Roman"/>
                <w:b/>
                <w:bCs/>
                <w:sz w:val="20"/>
                <w:szCs w:val="20"/>
                <w:lang w:eastAsia="es-MX"/>
              </w:rPr>
              <w:t>Intervención</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14:paraId="116B1218" w14:textId="77777777" w:rsidR="00D214DF" w:rsidRPr="001747EB" w:rsidRDefault="00D214DF" w:rsidP="003562B4">
            <w:pPr>
              <w:spacing w:after="0" w:line="240" w:lineRule="auto"/>
              <w:jc w:val="center"/>
              <w:rPr>
                <w:rFonts w:ascii="Times New Roman" w:eastAsia="Times New Roman" w:hAnsi="Times New Roman" w:cs="Times New Roman"/>
                <w:b/>
                <w:bCs/>
                <w:sz w:val="20"/>
                <w:szCs w:val="20"/>
                <w:lang w:eastAsia="es-MX"/>
              </w:rPr>
            </w:pPr>
            <w:r w:rsidRPr="001747EB">
              <w:rPr>
                <w:rFonts w:ascii="Times New Roman" w:eastAsia="Times New Roman" w:hAnsi="Times New Roman" w:cs="Times New Roman"/>
                <w:b/>
                <w:bCs/>
                <w:sz w:val="20"/>
                <w:szCs w:val="20"/>
                <w:lang w:eastAsia="es-MX"/>
              </w:rPr>
              <w:t>Resultados</w:t>
            </w:r>
          </w:p>
        </w:tc>
      </w:tr>
      <w:tr w:rsidR="00EB701E" w:rsidRPr="001747EB" w14:paraId="1F6B0A2E" w14:textId="77777777" w:rsidTr="0026788E">
        <w:trPr>
          <w:trHeight w:val="3392"/>
          <w:tblHeader/>
        </w:trPr>
        <w:tc>
          <w:tcPr>
            <w:tcW w:w="535" w:type="pct"/>
            <w:tcBorders>
              <w:top w:val="nil"/>
              <w:left w:val="single" w:sz="4" w:space="0" w:color="auto"/>
              <w:bottom w:val="single" w:sz="4" w:space="0" w:color="auto"/>
              <w:right w:val="single" w:sz="4" w:space="0" w:color="auto"/>
            </w:tcBorders>
            <w:shd w:val="clear" w:color="auto" w:fill="auto"/>
            <w:vAlign w:val="center"/>
            <w:hideMark/>
          </w:tcPr>
          <w:p w14:paraId="60F3EC74" w14:textId="77777777" w:rsidR="00EB701E" w:rsidRPr="001747EB" w:rsidRDefault="00EB701E" w:rsidP="0026788E">
            <w:pPr>
              <w:spacing w:after="0" w:line="240" w:lineRule="auto"/>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Martorell R. (1996) y Druyan S. (1994)</w:t>
            </w:r>
          </w:p>
        </w:tc>
        <w:tc>
          <w:tcPr>
            <w:tcW w:w="551" w:type="pct"/>
            <w:tcBorders>
              <w:top w:val="nil"/>
              <w:left w:val="nil"/>
              <w:bottom w:val="single" w:sz="4" w:space="0" w:color="auto"/>
              <w:right w:val="single" w:sz="4" w:space="0" w:color="auto"/>
            </w:tcBorders>
            <w:shd w:val="clear" w:color="auto" w:fill="auto"/>
            <w:vAlign w:val="center"/>
            <w:hideMark/>
          </w:tcPr>
          <w:p w14:paraId="08C30CF7" w14:textId="77777777" w:rsidR="00EB701E" w:rsidRPr="001747EB" w:rsidRDefault="00EB701E" w:rsidP="0026788E">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Estados Unidos</w:t>
            </w:r>
          </w:p>
        </w:tc>
        <w:tc>
          <w:tcPr>
            <w:tcW w:w="827" w:type="pct"/>
            <w:tcBorders>
              <w:top w:val="nil"/>
              <w:left w:val="nil"/>
              <w:bottom w:val="single" w:sz="4" w:space="0" w:color="auto"/>
              <w:right w:val="single" w:sz="4" w:space="0" w:color="auto"/>
            </w:tcBorders>
            <w:shd w:val="clear" w:color="auto" w:fill="auto"/>
            <w:vAlign w:val="center"/>
            <w:hideMark/>
          </w:tcPr>
          <w:p w14:paraId="3DD505A5" w14:textId="77777777" w:rsidR="00EB701E" w:rsidRPr="001747EB" w:rsidRDefault="00EB701E" w:rsidP="0026788E">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Varios años</w:t>
            </w:r>
          </w:p>
        </w:tc>
        <w:tc>
          <w:tcPr>
            <w:tcW w:w="788" w:type="pct"/>
            <w:tcBorders>
              <w:top w:val="nil"/>
              <w:left w:val="nil"/>
              <w:bottom w:val="single" w:sz="4" w:space="0" w:color="auto"/>
              <w:right w:val="single" w:sz="4" w:space="0" w:color="auto"/>
            </w:tcBorders>
            <w:shd w:val="clear" w:color="auto" w:fill="auto"/>
            <w:vAlign w:val="center"/>
            <w:hideMark/>
          </w:tcPr>
          <w:p w14:paraId="30466156" w14:textId="77777777" w:rsidR="00EB701E" w:rsidRPr="001747EB" w:rsidRDefault="00EB701E" w:rsidP="0026788E">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Niños entre 0 y 8 años de edad</w:t>
            </w:r>
          </w:p>
        </w:tc>
        <w:tc>
          <w:tcPr>
            <w:tcW w:w="932" w:type="pct"/>
            <w:tcBorders>
              <w:top w:val="nil"/>
              <w:left w:val="nil"/>
              <w:bottom w:val="single" w:sz="4" w:space="0" w:color="auto"/>
              <w:right w:val="single" w:sz="4" w:space="0" w:color="auto"/>
            </w:tcBorders>
            <w:shd w:val="clear" w:color="auto" w:fill="auto"/>
            <w:vAlign w:val="center"/>
            <w:hideMark/>
          </w:tcPr>
          <w:p w14:paraId="1710E448" w14:textId="77777777" w:rsidR="00EB701E" w:rsidRPr="001747EB" w:rsidRDefault="00EB701E" w:rsidP="0026788E">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Nutrición en edades tempranas</w:t>
            </w:r>
          </w:p>
        </w:tc>
        <w:tc>
          <w:tcPr>
            <w:tcW w:w="1367" w:type="pct"/>
            <w:tcBorders>
              <w:top w:val="nil"/>
              <w:left w:val="nil"/>
              <w:bottom w:val="single" w:sz="4" w:space="0" w:color="auto"/>
              <w:right w:val="single" w:sz="4" w:space="0" w:color="auto"/>
            </w:tcBorders>
            <w:shd w:val="clear" w:color="auto" w:fill="auto"/>
            <w:vAlign w:val="center"/>
            <w:hideMark/>
          </w:tcPr>
          <w:p w14:paraId="7E124EEE" w14:textId="52EB987D" w:rsidR="00EB701E" w:rsidRPr="001747EB" w:rsidRDefault="00EB701E" w:rsidP="0026788E">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 xml:space="preserve">El efecto de una malnutrición en niños entre 0 y 8 años de edad, puede ser devastador y perdurar durante toda la vida. Puede impedir el desarrollo cognitivo, su acceso a educación, y salud reproductiva, como también su futura productividad laboral. Debido a que las deficiencias de crecimiento ocurren exclusivamente en el desarrollo intrauterino y en los dos primeros años de vida, la prevención de deficiencias de crecimiento, anemia, o xeroftalmia, es un llamado a la intervención focalizada en los más pequeños. Los efectos sobre el desarrollo tienen beneficios en edades posteriores, aunque mucho más reducidos. </w:t>
            </w:r>
          </w:p>
        </w:tc>
      </w:tr>
      <w:tr w:rsidR="00EB701E" w:rsidRPr="001747EB" w14:paraId="363F2122" w14:textId="77777777" w:rsidTr="0026788E">
        <w:trPr>
          <w:trHeight w:val="1710"/>
          <w:tblHead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69BBA" w14:textId="77777777" w:rsidR="00EB701E" w:rsidRPr="001747EB" w:rsidRDefault="00EB701E" w:rsidP="0026788E">
            <w:pPr>
              <w:spacing w:after="0" w:line="240" w:lineRule="auto"/>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Martorell R. (1999)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0E93D" w14:textId="77777777" w:rsidR="00EB701E" w:rsidRPr="001747EB" w:rsidRDefault="00EB701E" w:rsidP="0026788E">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Varios países en vías de desarrollo</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0AB9D" w14:textId="77777777" w:rsidR="00EB701E" w:rsidRPr="001747EB" w:rsidRDefault="00EB701E" w:rsidP="0026788E">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1985; 1990 - 1999</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499CD" w14:textId="77777777" w:rsidR="00EB701E" w:rsidRPr="001747EB" w:rsidRDefault="00EB701E" w:rsidP="0026788E">
            <w:pPr>
              <w:spacing w:after="0" w:line="240" w:lineRule="auto"/>
              <w:jc w:val="both"/>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Niños entre 0 y 5 años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5D194D" w14:textId="77777777" w:rsidR="00EB701E" w:rsidRPr="001747EB" w:rsidRDefault="00EB701E" w:rsidP="0026788E">
            <w:pPr>
              <w:spacing w:after="0" w:line="240" w:lineRule="auto"/>
              <w:jc w:val="both"/>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Evaluación de la nutrición infantil en países en desarrollo</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071EB" w14:textId="77777777" w:rsidR="00EB701E" w:rsidRPr="001747EB" w:rsidRDefault="00EB701E" w:rsidP="0026788E">
            <w:pPr>
              <w:spacing w:after="0" w:line="240" w:lineRule="auto"/>
              <w:jc w:val="both"/>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 xml:space="preserve">Aquellos sobrevivientes de una malnutrición en edades tempranas sufren desventajas funcionales cuando alcanzan edades adultas en su desenvolvimiento intelectual, capacidad de trabajo, y riesgo incremental de complicaciones adicionales. </w:t>
            </w:r>
          </w:p>
        </w:tc>
      </w:tr>
      <w:tr w:rsidR="00EB701E" w:rsidRPr="001747EB" w14:paraId="038CDEFD" w14:textId="77777777" w:rsidTr="0026788E">
        <w:trPr>
          <w:trHeight w:val="1995"/>
          <w:tblHead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82DDF" w14:textId="77777777" w:rsidR="00EB701E" w:rsidRPr="001747EB" w:rsidRDefault="00EB701E" w:rsidP="0026788E">
            <w:pPr>
              <w:spacing w:after="0" w:line="240" w:lineRule="auto"/>
              <w:rPr>
                <w:rFonts w:ascii="Times New Roman" w:eastAsia="Times New Roman" w:hAnsi="Times New Roman" w:cs="Times New Roman"/>
                <w:sz w:val="20"/>
                <w:szCs w:val="20"/>
                <w:lang w:val="en-US" w:eastAsia="es-MX"/>
              </w:rPr>
            </w:pPr>
            <w:r w:rsidRPr="001747EB">
              <w:rPr>
                <w:rFonts w:ascii="Times New Roman" w:eastAsia="Times New Roman" w:hAnsi="Times New Roman" w:cs="Times New Roman"/>
                <w:sz w:val="20"/>
                <w:szCs w:val="20"/>
                <w:lang w:val="en-US" w:eastAsia="es-MX"/>
              </w:rPr>
              <w:t>Alderman H., Hoddinott J., and Kinsey B. (2001)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E948E90" w14:textId="77777777" w:rsidR="00EB701E" w:rsidRPr="001747EB" w:rsidRDefault="00EB701E" w:rsidP="0026788E">
            <w:pPr>
              <w:spacing w:after="0" w:line="240" w:lineRule="auto"/>
              <w:jc w:val="center"/>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Zimbabwe</w:t>
            </w:r>
          </w:p>
        </w:tc>
        <w:tc>
          <w:tcPr>
            <w:tcW w:w="827" w:type="pct"/>
            <w:tcBorders>
              <w:top w:val="single" w:sz="4" w:space="0" w:color="auto"/>
              <w:left w:val="nil"/>
              <w:bottom w:val="single" w:sz="4" w:space="0" w:color="auto"/>
              <w:right w:val="nil"/>
            </w:tcBorders>
            <w:shd w:val="clear" w:color="auto" w:fill="auto"/>
            <w:vAlign w:val="center"/>
            <w:hideMark/>
          </w:tcPr>
          <w:p w14:paraId="042E2041" w14:textId="77777777" w:rsidR="00EB701E" w:rsidRPr="001747EB" w:rsidRDefault="00EB701E" w:rsidP="0026788E">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1982-2001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80D57" w14:textId="77777777" w:rsidR="00EB701E" w:rsidRPr="001747EB" w:rsidRDefault="00EB701E" w:rsidP="0026788E">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Niños en edad pre-escolar</w:t>
            </w:r>
          </w:p>
        </w:tc>
        <w:tc>
          <w:tcPr>
            <w:tcW w:w="932" w:type="pct"/>
            <w:tcBorders>
              <w:top w:val="single" w:sz="4" w:space="0" w:color="auto"/>
              <w:left w:val="nil"/>
              <w:bottom w:val="single" w:sz="4" w:space="0" w:color="auto"/>
              <w:right w:val="single" w:sz="4" w:space="0" w:color="auto"/>
            </w:tcBorders>
            <w:shd w:val="clear" w:color="auto" w:fill="auto"/>
            <w:vAlign w:val="center"/>
            <w:hideMark/>
          </w:tcPr>
          <w:p w14:paraId="7C44B77E" w14:textId="77777777" w:rsidR="00EB701E" w:rsidRPr="001747EB" w:rsidRDefault="00EB701E" w:rsidP="0026788E">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Calidad de la nutrición en edades tempranas para medir sus efectos en el largo plazo</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14:paraId="73404465" w14:textId="77777777" w:rsidR="00EB701E" w:rsidRPr="001747EB" w:rsidRDefault="00EB701E" w:rsidP="0026788E">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 xml:space="preserve">Una mejora en el estado nutricional de niños en edades pre-escolares, mejora la escolaridad y conduce a la obtención de mayor estatura en edades adultas. Estas mejoras tienen asociaciones positivas entre escolaridad y productividad así como también entre altura y productividad. </w:t>
            </w:r>
          </w:p>
        </w:tc>
      </w:tr>
      <w:tr w:rsidR="00D214DF" w:rsidRPr="001747EB" w14:paraId="668F4633" w14:textId="77777777" w:rsidTr="003562B4">
        <w:trPr>
          <w:trHeight w:val="2381"/>
          <w:tblHeader/>
        </w:trPr>
        <w:tc>
          <w:tcPr>
            <w:tcW w:w="535" w:type="pct"/>
            <w:tcBorders>
              <w:top w:val="nil"/>
              <w:left w:val="single" w:sz="4" w:space="0" w:color="auto"/>
              <w:bottom w:val="single" w:sz="4" w:space="0" w:color="auto"/>
              <w:right w:val="single" w:sz="4" w:space="0" w:color="auto"/>
            </w:tcBorders>
            <w:shd w:val="clear" w:color="auto" w:fill="auto"/>
            <w:vAlign w:val="center"/>
            <w:hideMark/>
          </w:tcPr>
          <w:p w14:paraId="04E1F3FA" w14:textId="77777777" w:rsidR="00D214DF" w:rsidRPr="001747EB" w:rsidRDefault="00D214DF" w:rsidP="003562B4">
            <w:pPr>
              <w:spacing w:after="0" w:line="240" w:lineRule="auto"/>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lastRenderedPageBreak/>
              <w:t>World Bank (2015)</w:t>
            </w:r>
          </w:p>
        </w:tc>
        <w:tc>
          <w:tcPr>
            <w:tcW w:w="551" w:type="pct"/>
            <w:tcBorders>
              <w:top w:val="nil"/>
              <w:left w:val="nil"/>
              <w:bottom w:val="single" w:sz="4" w:space="0" w:color="auto"/>
              <w:right w:val="single" w:sz="4" w:space="0" w:color="auto"/>
            </w:tcBorders>
            <w:shd w:val="clear" w:color="auto" w:fill="auto"/>
            <w:vAlign w:val="center"/>
            <w:hideMark/>
          </w:tcPr>
          <w:p w14:paraId="6B595E43" w14:textId="77777777" w:rsidR="00D214DF" w:rsidRPr="001747EB" w:rsidRDefault="00D214DF" w:rsidP="003562B4">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Varios países de ingreso medio y bajo</w:t>
            </w:r>
          </w:p>
        </w:tc>
        <w:tc>
          <w:tcPr>
            <w:tcW w:w="827" w:type="pct"/>
            <w:tcBorders>
              <w:top w:val="nil"/>
              <w:left w:val="nil"/>
              <w:bottom w:val="single" w:sz="4" w:space="0" w:color="auto"/>
              <w:right w:val="single" w:sz="4" w:space="0" w:color="auto"/>
            </w:tcBorders>
            <w:shd w:val="clear" w:color="auto" w:fill="auto"/>
            <w:vAlign w:val="center"/>
            <w:hideMark/>
          </w:tcPr>
          <w:p w14:paraId="5E822321" w14:textId="77777777" w:rsidR="00D214DF" w:rsidRPr="001747EB" w:rsidRDefault="00D214DF" w:rsidP="003562B4">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Estudios de evaluación de impacto entre 1990 y 2015</w:t>
            </w:r>
          </w:p>
        </w:tc>
        <w:tc>
          <w:tcPr>
            <w:tcW w:w="788" w:type="pct"/>
            <w:tcBorders>
              <w:top w:val="nil"/>
              <w:left w:val="nil"/>
              <w:bottom w:val="single" w:sz="4" w:space="0" w:color="auto"/>
              <w:right w:val="single" w:sz="4" w:space="0" w:color="auto"/>
            </w:tcBorders>
            <w:shd w:val="clear" w:color="auto" w:fill="auto"/>
            <w:vAlign w:val="center"/>
            <w:hideMark/>
          </w:tcPr>
          <w:p w14:paraId="418A8D51" w14:textId="77777777" w:rsidR="00D214DF" w:rsidRPr="001747EB" w:rsidRDefault="00D214DF" w:rsidP="003562B4">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Niños entre 0 y 3 años de edad</w:t>
            </w:r>
          </w:p>
        </w:tc>
        <w:tc>
          <w:tcPr>
            <w:tcW w:w="932" w:type="pct"/>
            <w:tcBorders>
              <w:top w:val="nil"/>
              <w:left w:val="nil"/>
              <w:bottom w:val="single" w:sz="4" w:space="0" w:color="auto"/>
              <w:right w:val="single" w:sz="4" w:space="0" w:color="auto"/>
            </w:tcBorders>
            <w:shd w:val="clear" w:color="auto" w:fill="auto"/>
            <w:vAlign w:val="center"/>
            <w:hideMark/>
          </w:tcPr>
          <w:p w14:paraId="7B5C3E94" w14:textId="77777777" w:rsidR="00D214DF" w:rsidRPr="001747EB" w:rsidRDefault="00D214DF" w:rsidP="003562B4">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Intervenciones de suplementos alimenticios para mejorar la nutrición y sus efectos en desarrollo humano físico, cognitivo, comunicativo, socio-emocional, logros de escolaridad, y logros de e</w:t>
            </w:r>
            <w:r>
              <w:rPr>
                <w:rFonts w:ascii="Times New Roman" w:eastAsia="Times New Roman" w:hAnsi="Times New Roman" w:cs="Times New Roman"/>
                <w:sz w:val="20"/>
                <w:szCs w:val="20"/>
                <w:lang w:eastAsia="es-MX"/>
              </w:rPr>
              <w:t>mpleabilidad y mercado laboral</w:t>
            </w:r>
          </w:p>
        </w:tc>
        <w:tc>
          <w:tcPr>
            <w:tcW w:w="1367" w:type="pct"/>
            <w:tcBorders>
              <w:top w:val="nil"/>
              <w:left w:val="nil"/>
              <w:bottom w:val="single" w:sz="4" w:space="0" w:color="auto"/>
              <w:right w:val="single" w:sz="4" w:space="0" w:color="auto"/>
            </w:tcBorders>
            <w:shd w:val="clear" w:color="auto" w:fill="auto"/>
            <w:vAlign w:val="center"/>
            <w:hideMark/>
          </w:tcPr>
          <w:p w14:paraId="1CD9B206" w14:textId="77777777" w:rsidR="00D214DF" w:rsidRPr="001747EB" w:rsidRDefault="00D214DF" w:rsidP="003562B4">
            <w:pPr>
              <w:spacing w:after="0" w:line="240" w:lineRule="auto"/>
              <w:jc w:val="both"/>
              <w:rPr>
                <w:rFonts w:ascii="Times New Roman" w:eastAsia="Times New Roman" w:hAnsi="Times New Roman" w:cs="Times New Roman"/>
                <w:sz w:val="20"/>
                <w:szCs w:val="20"/>
                <w:lang w:eastAsia="es-MX"/>
              </w:rPr>
            </w:pPr>
            <w:r w:rsidRPr="001747EB">
              <w:rPr>
                <w:rFonts w:ascii="Times New Roman" w:eastAsia="Times New Roman" w:hAnsi="Times New Roman" w:cs="Times New Roman"/>
                <w:sz w:val="20"/>
                <w:szCs w:val="20"/>
                <w:lang w:eastAsia="es-MX"/>
              </w:rPr>
              <w:t>En Guatemala, un programa de provisión de suplementos alimenticios demostró que una exposición continua, desde el embarazo hasta los tres primeros años de vida del niño, son los más impor</w:t>
            </w:r>
            <w:r>
              <w:rPr>
                <w:rFonts w:ascii="Times New Roman" w:eastAsia="Times New Roman" w:hAnsi="Times New Roman" w:cs="Times New Roman"/>
                <w:sz w:val="20"/>
                <w:szCs w:val="20"/>
                <w:lang w:eastAsia="es-MX"/>
              </w:rPr>
              <w:t>t</w:t>
            </w:r>
            <w:r w:rsidRPr="001747EB">
              <w:rPr>
                <w:rFonts w:ascii="Times New Roman" w:eastAsia="Times New Roman" w:hAnsi="Times New Roman" w:cs="Times New Roman"/>
                <w:sz w:val="20"/>
                <w:szCs w:val="20"/>
                <w:lang w:eastAsia="es-MX"/>
              </w:rPr>
              <w:t xml:space="preserve">antes comparados con los posteriores entre tres y seis años de edad. Intervenciones en edades tempranas causaron mayores y significativos resultados en relación a años de escolaridad completados, comprensión lectora y comunicación. </w:t>
            </w:r>
          </w:p>
        </w:tc>
      </w:tr>
      <w:tr w:rsidR="00D214DF" w:rsidRPr="001747EB" w14:paraId="1F221C9D" w14:textId="77777777" w:rsidTr="003562B4">
        <w:trPr>
          <w:trHeight w:val="3237"/>
          <w:tblHead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E68F5" w14:textId="77777777" w:rsidR="00D214DF" w:rsidRPr="001747EB" w:rsidRDefault="00D214DF" w:rsidP="003562B4">
            <w:pPr>
              <w:spacing w:after="0" w:line="240" w:lineRule="auto"/>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World Food Programme</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A0D4E0D" w14:textId="77777777" w:rsidR="00D214DF" w:rsidRPr="001747EB" w:rsidRDefault="00D214DF" w:rsidP="003562B4">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Afghanistán, Brasil, El Salvador, Ethiopia, Kenya, Lao PDR, Malawi, Pakistán, Uganda</w:t>
            </w:r>
          </w:p>
        </w:tc>
        <w:tc>
          <w:tcPr>
            <w:tcW w:w="827" w:type="pct"/>
            <w:tcBorders>
              <w:top w:val="single" w:sz="4" w:space="0" w:color="auto"/>
              <w:left w:val="nil"/>
              <w:bottom w:val="single" w:sz="4" w:space="0" w:color="auto"/>
              <w:right w:val="single" w:sz="4" w:space="0" w:color="auto"/>
            </w:tcBorders>
            <w:shd w:val="clear" w:color="auto" w:fill="auto"/>
            <w:vAlign w:val="center"/>
            <w:hideMark/>
          </w:tcPr>
          <w:p w14:paraId="6B783AC3" w14:textId="77777777" w:rsidR="00D214DF" w:rsidRPr="001747EB" w:rsidRDefault="00D214DF" w:rsidP="003562B4">
            <w:pPr>
              <w:spacing w:after="0" w:line="240" w:lineRule="auto"/>
              <w:jc w:val="center"/>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2006</w:t>
            </w:r>
          </w:p>
        </w:tc>
        <w:tc>
          <w:tcPr>
            <w:tcW w:w="788" w:type="pct"/>
            <w:tcBorders>
              <w:top w:val="single" w:sz="4" w:space="0" w:color="auto"/>
              <w:left w:val="nil"/>
              <w:bottom w:val="single" w:sz="4" w:space="0" w:color="auto"/>
              <w:right w:val="single" w:sz="4" w:space="0" w:color="auto"/>
            </w:tcBorders>
            <w:shd w:val="clear" w:color="auto" w:fill="auto"/>
            <w:vAlign w:val="center"/>
            <w:hideMark/>
          </w:tcPr>
          <w:p w14:paraId="7E73365C" w14:textId="77777777" w:rsidR="00D214DF" w:rsidRPr="001747EB" w:rsidRDefault="00D214DF" w:rsidP="003562B4">
            <w:pPr>
              <w:spacing w:after="0" w:line="240" w:lineRule="auto"/>
              <w:jc w:val="both"/>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Niños en edad pre-escolar y escolar</w:t>
            </w:r>
          </w:p>
        </w:tc>
        <w:tc>
          <w:tcPr>
            <w:tcW w:w="932" w:type="pct"/>
            <w:tcBorders>
              <w:top w:val="single" w:sz="4" w:space="0" w:color="auto"/>
              <w:left w:val="nil"/>
              <w:bottom w:val="single" w:sz="4" w:space="0" w:color="auto"/>
              <w:right w:val="single" w:sz="4" w:space="0" w:color="auto"/>
            </w:tcBorders>
            <w:shd w:val="clear" w:color="auto" w:fill="auto"/>
            <w:vAlign w:val="center"/>
            <w:hideMark/>
          </w:tcPr>
          <w:p w14:paraId="24F95A70" w14:textId="77777777" w:rsidR="00D214DF" w:rsidRPr="001747EB" w:rsidRDefault="00D214DF" w:rsidP="003562B4">
            <w:pPr>
              <w:spacing w:after="0" w:line="240" w:lineRule="auto"/>
              <w:jc w:val="both"/>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Evaluación de prácticas, lecciones aprendidas y metodologías de implementación de programas de alimentación escolar de los países de estudio</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14:paraId="0D0F4DA3" w14:textId="77777777" w:rsidR="00D214DF" w:rsidRPr="001747EB" w:rsidRDefault="00D214DF" w:rsidP="003562B4">
            <w:pPr>
              <w:spacing w:after="0" w:line="240" w:lineRule="auto"/>
              <w:jc w:val="both"/>
              <w:rPr>
                <w:rFonts w:ascii="Times New Roman" w:eastAsia="Times New Roman" w:hAnsi="Times New Roman" w:cs="Times New Roman"/>
                <w:color w:val="000000"/>
                <w:sz w:val="20"/>
                <w:szCs w:val="20"/>
                <w:lang w:eastAsia="es-MX"/>
              </w:rPr>
            </w:pPr>
            <w:r w:rsidRPr="001747EB">
              <w:rPr>
                <w:rFonts w:ascii="Times New Roman" w:eastAsia="Times New Roman" w:hAnsi="Times New Roman" w:cs="Times New Roman"/>
                <w:color w:val="000000"/>
                <w:sz w:val="20"/>
                <w:szCs w:val="20"/>
                <w:lang w:eastAsia="es-MX"/>
              </w:rPr>
              <w:t xml:space="preserve">Los resultados de los casos de estudio sugieren varias prácticas y metodologías de implementación de programas de alimentación, resaltándose la forma en que se preparan las comidas y el entorno favorable que debe existir al mismo tiempo. Se enfatiza además que los programas deben enfocarse principalmente en edades iniciales, es decir, durante la pre-primaria y la primaria. Se resalta el caso de los niños de Malawi de edad pre-escolar, a los que se los involucra en la escuela anticipadamente con el objetivo de recibir nutrición y educación durante la temporada de escasez del país. </w:t>
            </w:r>
          </w:p>
        </w:tc>
      </w:tr>
    </w:tbl>
    <w:p w14:paraId="28D33A90" w14:textId="77777777" w:rsidR="007537A4" w:rsidRDefault="007537A4" w:rsidP="00F65642">
      <w:pPr>
        <w:rPr>
          <w:b/>
        </w:rPr>
        <w:sectPr w:rsidR="007537A4" w:rsidSect="007B329A">
          <w:pgSz w:w="16838" w:h="11906" w:orient="landscape"/>
          <w:pgMar w:top="1701" w:right="1417" w:bottom="1701" w:left="1417" w:header="708" w:footer="708" w:gutter="0"/>
          <w:cols w:space="708"/>
          <w:docGrid w:linePitch="360"/>
        </w:sectPr>
      </w:pPr>
    </w:p>
    <w:p w14:paraId="3E07164E" w14:textId="4E4A2B1B" w:rsidR="00560916" w:rsidRDefault="00F43F8B" w:rsidP="003439D0">
      <w:pPr>
        <w:spacing w:after="120" w:line="276" w:lineRule="auto"/>
        <w:jc w:val="both"/>
        <w:rPr>
          <w:rFonts w:ascii="Times New Roman" w:hAnsi="Times New Roman" w:cs="Times New Roman"/>
        </w:rPr>
      </w:pPr>
      <w:r w:rsidRPr="00E64B5E">
        <w:rPr>
          <w:rFonts w:ascii="Times New Roman" w:hAnsi="Times New Roman" w:cs="Times New Roman"/>
        </w:rPr>
        <w:lastRenderedPageBreak/>
        <w:t>Adicionalmente, el programa incluye un componente de alimentación para niños en la etapa de educación ini</w:t>
      </w:r>
      <w:r>
        <w:rPr>
          <w:rFonts w:ascii="Times New Roman" w:hAnsi="Times New Roman" w:cs="Times New Roman"/>
        </w:rPr>
        <w:t xml:space="preserve">cial. La literatura al respecto (Tabla 4) es menos detallada en cuanto a resultados medibles, pero hay sin embargo diversos estudios que tienden a corroborar que los esfuerzos enfocados en la pequeña infancia tienden a ser generalmente más importantes aún que aquellos en edades posteriores. </w:t>
      </w:r>
      <w:r w:rsidR="00560916" w:rsidRPr="00E803FC">
        <w:rPr>
          <w:rFonts w:ascii="Times New Roman" w:hAnsi="Times New Roman" w:cs="Times New Roman"/>
          <w:lang w:val="es-ES"/>
        </w:rPr>
        <w:t xml:space="preserve">Una parte de la evidencia señala que la mejor edad para realizar intervenciones alimenticias es durante los primeros 1,000 días de vida del niño, en otras palabras, en los primeros tres años. De acuerdo al Banco Mundial (2015) los resultados mostrados en una intervención realizada en Guatemala evidenciaron que los niños que recibieron un suplemento alimenticio durante </w:t>
      </w:r>
      <w:r w:rsidR="00E803FC">
        <w:rPr>
          <w:rFonts w:ascii="Times New Roman" w:hAnsi="Times New Roman" w:cs="Times New Roman"/>
          <w:lang w:val="es-ES"/>
        </w:rPr>
        <w:t>sus primeros 1,000 días de vida</w:t>
      </w:r>
      <w:r w:rsidR="00560916" w:rsidRPr="00E803FC">
        <w:rPr>
          <w:rFonts w:ascii="Times New Roman" w:hAnsi="Times New Roman" w:cs="Times New Roman"/>
          <w:lang w:val="es-ES"/>
        </w:rPr>
        <w:t xml:space="preserve"> registraron mayores años de escolaridad completados, así como también mejores resultados en comprensión lectora y comunicación en general. Además, el estudio indica que intervenir en edades tempranas genera mejores efectos que intervenciones en edades posteriores. Esto podría explicarse por los argumentos que Martorell (1996) y Druyan (1994) resaltan en sus respectivos estudios. De acuerdo a estos autores, una malnutrición en edades tempranas genera efectos negativos que perduran durante toda la vida. De ahí que se justifiquen las intervenciones alimenticias en edades pre-escolares y escolares. En la práctica, si bien la etapa pre-escolar es la más importante, puesto que incide directamente en el rendimiento de los estudiantes en la etapa escolar y posterior desarrollo educativo y profesional, los programas de alimentación se concentran en la etapa escolar.</w:t>
      </w:r>
    </w:p>
    <w:p w14:paraId="59B007CD" w14:textId="369A95F2" w:rsidR="00417010" w:rsidRDefault="00417010" w:rsidP="00417010">
      <w:pPr>
        <w:spacing w:after="120"/>
        <w:jc w:val="both"/>
        <w:rPr>
          <w:rFonts w:ascii="Times New Roman" w:hAnsi="Times New Roman" w:cs="Times New Roman"/>
        </w:rPr>
      </w:pPr>
      <w:r>
        <w:rPr>
          <w:rFonts w:ascii="Times New Roman" w:hAnsi="Times New Roman" w:cs="Times New Roman"/>
        </w:rPr>
        <w:t xml:space="preserve">En los casos en que se puede evidenciar que los programas de alimentación escolar tienen un </w:t>
      </w:r>
      <w:r w:rsidRPr="003439D0">
        <w:rPr>
          <w:rFonts w:ascii="Times New Roman" w:hAnsi="Times New Roman" w:cs="Times New Roman"/>
        </w:rPr>
        <w:t xml:space="preserve">impacto favorable en los resultados de aprendizaje, se </w:t>
      </w:r>
      <w:r w:rsidR="00FF26F4" w:rsidRPr="003439D0">
        <w:rPr>
          <w:rFonts w:ascii="Times New Roman" w:hAnsi="Times New Roman" w:cs="Times New Roman"/>
        </w:rPr>
        <w:t>puede</w:t>
      </w:r>
      <w:r w:rsidRPr="003439D0">
        <w:rPr>
          <w:rFonts w:ascii="Times New Roman" w:hAnsi="Times New Roman" w:cs="Times New Roman"/>
        </w:rPr>
        <w:t xml:space="preserve"> adicionalmente estimar el retorno de la educación en el crecimiento económico de las naciones. Al analizar la relación entre el desempeño educativo y el crecimiento del Producto Interno Bruto (PIB), Hanushek y Woessmann (2012) hallan una relación positiva y estable a través de extensos análisis de sensibilidad de las especificaciones, periodo de tiempo y grupos de países. Basados en un modelo de crecimiento, los autores utilizan los resultados de las pruebas internacionales educativas (FIMS, FISS, FIRS, SIMS, SISS, TIMSS, PISA, PIRLS) para evaluar cómo las habilidades cognitivas medidas a través </w:t>
      </w:r>
      <w:r w:rsidRPr="003E49D9">
        <w:rPr>
          <w:rFonts w:ascii="Times New Roman" w:hAnsi="Times New Roman" w:cs="Times New Roman"/>
        </w:rPr>
        <w:t xml:space="preserve">del promedio simple de las pruebas de matemáticas y ciencias, afectan el crecimiento anual del PIB per cápita de 50 diferentes países en un periodo de 50 años (1960-2000). </w:t>
      </w:r>
    </w:p>
    <w:p w14:paraId="43446666" w14:textId="77777777" w:rsidR="00417010" w:rsidRDefault="00417010" w:rsidP="00417010">
      <w:pPr>
        <w:keepLines/>
        <w:spacing w:after="120"/>
        <w:jc w:val="both"/>
        <w:rPr>
          <w:rFonts w:ascii="Times New Roman" w:hAnsi="Times New Roman" w:cs="Times New Roman"/>
        </w:rPr>
      </w:pPr>
      <w:r w:rsidRPr="003E49D9">
        <w:rPr>
          <w:rFonts w:ascii="Times New Roman" w:hAnsi="Times New Roman" w:cs="Times New Roman"/>
        </w:rPr>
        <w:t>Los resultados</w:t>
      </w:r>
      <w:r>
        <w:rPr>
          <w:rFonts w:ascii="Times New Roman" w:hAnsi="Times New Roman" w:cs="Times New Roman"/>
        </w:rPr>
        <w:t xml:space="preserve"> de</w:t>
      </w:r>
      <w:r w:rsidRPr="00F53C72">
        <w:rPr>
          <w:rFonts w:ascii="Times New Roman" w:hAnsi="Times New Roman" w:cs="Times New Roman"/>
        </w:rPr>
        <w:t xml:space="preserve"> </w:t>
      </w:r>
      <w:r w:rsidRPr="003E49D9">
        <w:rPr>
          <w:rFonts w:ascii="Times New Roman" w:hAnsi="Times New Roman" w:cs="Times New Roman"/>
        </w:rPr>
        <w:t>Hanushek y Woessmann (2012) indican que una</w:t>
      </w:r>
      <w:r>
        <w:rPr>
          <w:rFonts w:ascii="Times New Roman" w:hAnsi="Times New Roman" w:cs="Times New Roman"/>
        </w:rPr>
        <w:t xml:space="preserve"> mejora equivalente a una</w:t>
      </w:r>
      <w:r w:rsidRPr="003E49D9">
        <w:rPr>
          <w:rFonts w:ascii="Times New Roman" w:hAnsi="Times New Roman" w:cs="Times New Roman"/>
        </w:rPr>
        <w:t xml:space="preserve"> desviación estándar en los resultados de las pruebas está asociad</w:t>
      </w:r>
      <w:r>
        <w:rPr>
          <w:rFonts w:ascii="Times New Roman" w:hAnsi="Times New Roman" w:cs="Times New Roman"/>
        </w:rPr>
        <w:t>a</w:t>
      </w:r>
      <w:r w:rsidRPr="003E49D9">
        <w:rPr>
          <w:rFonts w:ascii="Times New Roman" w:hAnsi="Times New Roman" w:cs="Times New Roman"/>
        </w:rPr>
        <w:t xml:space="preserve"> con un incremento entre 1.2-2 puntos porcentuales en el crecimiento anual del PIB per cápita. Adicionalmente, las estimaciones para diferentes especificaciones presentan evidencia de que las habilidades cognitivas tienen un mayor impacto en los países en vías de desarrollo. El efecto del resultado en las pruebas para países de ingreso medio y bajo alcanza 2.29 puntos frente a 1.29 </w:t>
      </w:r>
      <w:r>
        <w:rPr>
          <w:rFonts w:ascii="Times New Roman" w:hAnsi="Times New Roman" w:cs="Times New Roman"/>
        </w:rPr>
        <w:t>para</w:t>
      </w:r>
      <w:r w:rsidRPr="003E49D9">
        <w:rPr>
          <w:rFonts w:ascii="Times New Roman" w:hAnsi="Times New Roman" w:cs="Times New Roman"/>
        </w:rPr>
        <w:t xml:space="preserve"> los países de ingresos altos. Estas diferencias son estadísticamente significativas. Por otro lado, vale mencionar que los años de escolaridad no tienen un efecto estadísticamente significativo cuando se considera paralelamente una medida directa de las destrezas cognitivas del capital humano. Esto confirma los resultados de investigaciones previas donde se demuestra que la calidad de la educación, es más importante para el crecimiento económico que la mera cantidad de educación (Hanushek y Woessmann, 2007).</w:t>
      </w:r>
    </w:p>
    <w:p w14:paraId="32192CD9" w14:textId="084740E5" w:rsidR="00417010" w:rsidRDefault="00417010" w:rsidP="00417010">
      <w:pPr>
        <w:spacing w:after="120" w:line="276" w:lineRule="auto"/>
        <w:jc w:val="both"/>
        <w:rPr>
          <w:rFonts w:ascii="Times New Roman" w:hAnsi="Times New Roman" w:cs="Times New Roman"/>
        </w:rPr>
      </w:pPr>
      <w:r>
        <w:rPr>
          <w:rFonts w:ascii="Times New Roman" w:hAnsi="Times New Roman" w:cs="Times New Roman"/>
        </w:rPr>
        <w:t xml:space="preserve">Para evaluar los beneficios del </w:t>
      </w:r>
      <w:r w:rsidRPr="00322C1F">
        <w:rPr>
          <w:rFonts w:ascii="Times New Roman" w:hAnsi="Times New Roman" w:cs="Times New Roman"/>
        </w:rPr>
        <w:t>componente</w:t>
      </w:r>
      <w:r>
        <w:rPr>
          <w:rFonts w:ascii="Times New Roman" w:hAnsi="Times New Roman" w:cs="Times New Roman"/>
        </w:rPr>
        <w:t xml:space="preserve"> de alimentación escolar del programa</w:t>
      </w:r>
      <w:r w:rsidRPr="00322C1F">
        <w:rPr>
          <w:rFonts w:ascii="Times New Roman" w:hAnsi="Times New Roman" w:cs="Times New Roman"/>
        </w:rPr>
        <w:t>, se utilizará una metodolo</w:t>
      </w:r>
      <w:r>
        <w:rPr>
          <w:rFonts w:ascii="Times New Roman" w:hAnsi="Times New Roman" w:cs="Times New Roman"/>
        </w:rPr>
        <w:t xml:space="preserve">gía que </w:t>
      </w:r>
      <w:r w:rsidR="00307651">
        <w:rPr>
          <w:rFonts w:ascii="Times New Roman" w:hAnsi="Times New Roman" w:cs="Times New Roman"/>
        </w:rPr>
        <w:t xml:space="preserve">combina tres </w:t>
      </w:r>
      <w:r>
        <w:rPr>
          <w:rFonts w:ascii="Times New Roman" w:hAnsi="Times New Roman" w:cs="Times New Roman"/>
        </w:rPr>
        <w:t xml:space="preserve">factores: </w:t>
      </w:r>
    </w:p>
    <w:p w14:paraId="62DE3E45" w14:textId="58922DDA" w:rsidR="00142310" w:rsidRPr="00307651" w:rsidRDefault="00142310" w:rsidP="00142310">
      <w:pPr>
        <w:pStyle w:val="ListParagraph"/>
        <w:numPr>
          <w:ilvl w:val="0"/>
          <w:numId w:val="6"/>
        </w:numPr>
        <w:spacing w:after="120" w:line="276" w:lineRule="auto"/>
        <w:contextualSpacing w:val="0"/>
        <w:jc w:val="both"/>
        <w:rPr>
          <w:rFonts w:ascii="Times New Roman" w:hAnsi="Times New Roman" w:cs="Times New Roman"/>
        </w:rPr>
      </w:pPr>
      <w:r w:rsidRPr="00307651">
        <w:rPr>
          <w:rFonts w:ascii="Times New Roman" w:hAnsi="Times New Roman" w:cs="Times New Roman"/>
        </w:rPr>
        <w:t>En primer lugar, se</w:t>
      </w:r>
      <w:r w:rsidR="00417010" w:rsidRPr="00307651">
        <w:rPr>
          <w:rFonts w:ascii="Times New Roman" w:hAnsi="Times New Roman" w:cs="Times New Roman"/>
        </w:rPr>
        <w:t xml:space="preserve"> estimará el impacto de la alimentación escolar en resultados académicos en los años de Educación General Básica (EGB). Se usará para ello los resultados de las pruebas </w:t>
      </w:r>
      <w:r w:rsidR="008C0AAF">
        <w:rPr>
          <w:rFonts w:ascii="Times New Roman" w:hAnsi="Times New Roman" w:cs="Times New Roman"/>
        </w:rPr>
        <w:t>TERCE</w:t>
      </w:r>
      <w:r w:rsidR="00417010" w:rsidRPr="00307651">
        <w:rPr>
          <w:rFonts w:ascii="Times New Roman" w:hAnsi="Times New Roman" w:cs="Times New Roman"/>
        </w:rPr>
        <w:t xml:space="preserve"> (Tercer Estudio Regional Comparativo y Explicativo) de 2013</w:t>
      </w:r>
      <w:r w:rsidR="00CC0892" w:rsidRPr="00307651">
        <w:rPr>
          <w:rFonts w:ascii="Times New Roman" w:hAnsi="Times New Roman" w:cs="Times New Roman"/>
        </w:rPr>
        <w:t xml:space="preserve"> y, </w:t>
      </w:r>
      <w:r w:rsidR="00CC0892" w:rsidRPr="00307651">
        <w:rPr>
          <w:rFonts w:ascii="Times New Roman" w:hAnsi="Times New Roman" w:cs="Times New Roman"/>
        </w:rPr>
        <w:lastRenderedPageBreak/>
        <w:t>alternativamente, el análisis de factores asociados</w:t>
      </w:r>
      <w:r w:rsidR="00417010" w:rsidRPr="00307651">
        <w:rPr>
          <w:rFonts w:ascii="Times New Roman" w:hAnsi="Times New Roman" w:cs="Times New Roman"/>
        </w:rPr>
        <w:t xml:space="preserve"> </w:t>
      </w:r>
      <w:r w:rsidR="00CC0892" w:rsidRPr="00307651">
        <w:rPr>
          <w:rFonts w:ascii="Times New Roman" w:hAnsi="Times New Roman" w:cs="Times New Roman"/>
        </w:rPr>
        <w:t xml:space="preserve">alimenticios que surge de los resultados de las pruebas SER Estudiante llevadas a cabo por el INEVAL. </w:t>
      </w:r>
      <w:r w:rsidRPr="00307651">
        <w:rPr>
          <w:rFonts w:ascii="Times New Roman" w:hAnsi="Times New Roman" w:cs="Times New Roman"/>
        </w:rPr>
        <w:t>Sobre la base de las estimaciones del impacto del programa de alimentación escolar sobre los resultados de aprendizaje, y tomando como referencia las estimaciones de Hanushek y Woessmann, se estimará un impacto sobre el crecimiento de la economía.</w:t>
      </w:r>
    </w:p>
    <w:p w14:paraId="112E70C1" w14:textId="12F48CE0" w:rsidR="00142310" w:rsidRDefault="00142310" w:rsidP="00142310">
      <w:pPr>
        <w:pStyle w:val="ListParagraph"/>
        <w:numPr>
          <w:ilvl w:val="0"/>
          <w:numId w:val="6"/>
        </w:numPr>
        <w:spacing w:after="120" w:line="276" w:lineRule="auto"/>
        <w:contextualSpacing w:val="0"/>
        <w:jc w:val="both"/>
        <w:rPr>
          <w:rFonts w:ascii="Times New Roman" w:hAnsi="Times New Roman" w:cs="Times New Roman"/>
        </w:rPr>
      </w:pPr>
      <w:r>
        <w:rPr>
          <w:rFonts w:ascii="Times New Roman" w:hAnsi="Times New Roman" w:cs="Times New Roman"/>
        </w:rPr>
        <w:t>Se debe también incluir los</w:t>
      </w:r>
      <w:r w:rsidRPr="00206ABD">
        <w:rPr>
          <w:rFonts w:ascii="Times New Roman" w:hAnsi="Times New Roman" w:cs="Times New Roman"/>
        </w:rPr>
        <w:t xml:space="preserve"> beneficios </w:t>
      </w:r>
      <w:r>
        <w:rPr>
          <w:rFonts w:ascii="Times New Roman" w:hAnsi="Times New Roman" w:cs="Times New Roman"/>
        </w:rPr>
        <w:t>esperados por el programa de alimentación escolar orientada a</w:t>
      </w:r>
      <w:r w:rsidRPr="00206ABD">
        <w:rPr>
          <w:rFonts w:ascii="Times New Roman" w:hAnsi="Times New Roman" w:cs="Times New Roman"/>
        </w:rPr>
        <w:t xml:space="preserve"> niños que reciben educación inicial. </w:t>
      </w:r>
      <w:r w:rsidR="00262B47">
        <w:rPr>
          <w:rFonts w:ascii="Times New Roman" w:hAnsi="Times New Roman" w:cs="Times New Roman"/>
        </w:rPr>
        <w:t>Para este segmento, no se dispone de evaluaciones de aprendizaje similares a las que existen para la EGB. Sin embargo, la literatura sugiere que los programas a nivel de educación inicial generalmente tienen mayores retornos que aquellos a nivel de EGB. A falta de mayor información, se asumirá</w:t>
      </w:r>
      <w:r w:rsidRPr="00206ABD">
        <w:rPr>
          <w:rFonts w:ascii="Times New Roman" w:hAnsi="Times New Roman" w:cs="Times New Roman"/>
        </w:rPr>
        <w:t xml:space="preserve"> que este subcomponente tiene al menos </w:t>
      </w:r>
      <w:r w:rsidR="00262B47">
        <w:rPr>
          <w:rFonts w:ascii="Times New Roman" w:hAnsi="Times New Roman" w:cs="Times New Roman"/>
        </w:rPr>
        <w:t>los mismos beneficios que en EGB, de forma proporcional a la inversión realizada</w:t>
      </w:r>
      <w:r w:rsidRPr="00206ABD">
        <w:rPr>
          <w:rFonts w:ascii="Times New Roman" w:hAnsi="Times New Roman" w:cs="Times New Roman"/>
        </w:rPr>
        <w:t xml:space="preserve">. </w:t>
      </w:r>
    </w:p>
    <w:p w14:paraId="4B93A8BB" w14:textId="40547EA8" w:rsidR="00FB7A05" w:rsidRDefault="00FB7A05" w:rsidP="00417010">
      <w:pPr>
        <w:pStyle w:val="ListParagraph"/>
        <w:numPr>
          <w:ilvl w:val="0"/>
          <w:numId w:val="6"/>
        </w:numPr>
        <w:spacing w:after="120" w:line="276" w:lineRule="auto"/>
        <w:contextualSpacing w:val="0"/>
        <w:jc w:val="both"/>
        <w:rPr>
          <w:rFonts w:ascii="Times New Roman" w:hAnsi="Times New Roman" w:cs="Times New Roman"/>
        </w:rPr>
      </w:pPr>
      <w:r>
        <w:rPr>
          <w:rFonts w:ascii="Times New Roman" w:hAnsi="Times New Roman" w:cs="Times New Roman"/>
        </w:rPr>
        <w:t xml:space="preserve">Finalmente, el programa de alimentación escolar implica la adquisición de insumos alimenticios, con un énfasis reciente en </w:t>
      </w:r>
      <w:r w:rsidR="00417010" w:rsidRPr="00206ABD">
        <w:rPr>
          <w:rFonts w:ascii="Times New Roman" w:hAnsi="Times New Roman" w:cs="Times New Roman"/>
        </w:rPr>
        <w:t>el incentivo a la producción local y a micro y pequeños productores</w:t>
      </w:r>
      <w:r>
        <w:rPr>
          <w:rFonts w:ascii="Times New Roman" w:hAnsi="Times New Roman" w:cs="Times New Roman"/>
        </w:rPr>
        <w:t xml:space="preserve">. Se puede estimar en este ámbito el impacto de estas políticas de adquisiciones en el crecimiento económico a mediano plazo, utilizando la matriz insumo producto de la economía ecuatoriana. </w:t>
      </w:r>
    </w:p>
    <w:p w14:paraId="780BB8FA" w14:textId="5D9EECE1" w:rsidR="009E069A" w:rsidRPr="00742D0E" w:rsidRDefault="009E069A" w:rsidP="009E069A">
      <w:pPr>
        <w:spacing w:after="120" w:line="276" w:lineRule="auto"/>
        <w:jc w:val="both"/>
        <w:rPr>
          <w:rFonts w:ascii="Times New Roman" w:hAnsi="Times New Roman" w:cs="Times New Roman"/>
          <w:smallCaps/>
        </w:rPr>
      </w:pPr>
      <w:r w:rsidRPr="00742D0E">
        <w:rPr>
          <w:rFonts w:ascii="Times New Roman" w:hAnsi="Times New Roman" w:cs="Times New Roman"/>
          <w:b/>
          <w:i/>
          <w:smallCaps/>
          <w:spacing w:val="-2"/>
        </w:rPr>
        <w:t>C</w:t>
      </w:r>
      <w:r w:rsidRPr="00742D0E">
        <w:rPr>
          <w:rFonts w:ascii="Times New Roman" w:hAnsi="Times New Roman" w:cs="Times New Roman"/>
          <w:b/>
          <w:bCs/>
          <w:i/>
          <w:smallCaps/>
        </w:rPr>
        <w:t xml:space="preserve">onclusión de ciclos escolares </w:t>
      </w:r>
    </w:p>
    <w:p w14:paraId="6B87D61E" w14:textId="615DFE67" w:rsidR="00F16153" w:rsidRDefault="008D7C96" w:rsidP="00A9224A">
      <w:pPr>
        <w:spacing w:after="120" w:line="276" w:lineRule="auto"/>
        <w:jc w:val="both"/>
        <w:rPr>
          <w:rFonts w:ascii="Times New Roman" w:hAnsi="Times New Roman" w:cs="Times New Roman"/>
          <w:lang w:val="es-ES_tradnl"/>
        </w:rPr>
      </w:pPr>
      <w:r>
        <w:rPr>
          <w:rFonts w:ascii="Times New Roman" w:hAnsi="Times New Roman" w:cs="Times New Roman"/>
          <w:lang w:val="es-ES_tradnl"/>
        </w:rPr>
        <w:t xml:space="preserve">De acuerdo a la </w:t>
      </w:r>
      <w:r w:rsidRPr="00191FFD">
        <w:rPr>
          <w:rFonts w:ascii="Times New Roman" w:hAnsi="Times New Roman" w:cs="Times New Roman"/>
          <w:lang w:val="es-ES_tradnl"/>
        </w:rPr>
        <w:t>teoría del capital humano</w:t>
      </w:r>
      <w:r>
        <w:rPr>
          <w:rFonts w:ascii="Times New Roman" w:hAnsi="Times New Roman" w:cs="Times New Roman"/>
          <w:lang w:val="es-ES_tradnl"/>
        </w:rPr>
        <w:t xml:space="preserve"> (</w:t>
      </w:r>
      <w:r w:rsidRPr="00191FFD">
        <w:rPr>
          <w:rFonts w:ascii="Times New Roman" w:hAnsi="Times New Roman" w:cs="Times New Roman"/>
          <w:lang w:val="es-ES_tradnl"/>
        </w:rPr>
        <w:t>Becker, 1962; Mincer, 1958</w:t>
      </w:r>
      <w:r>
        <w:rPr>
          <w:rFonts w:ascii="Times New Roman" w:hAnsi="Times New Roman" w:cs="Times New Roman"/>
          <w:lang w:val="es-ES_tradnl"/>
        </w:rPr>
        <w:t>)</w:t>
      </w:r>
      <w:r w:rsidR="001033F4">
        <w:rPr>
          <w:rFonts w:ascii="Times New Roman" w:hAnsi="Times New Roman" w:cs="Times New Roman"/>
          <w:lang w:val="es-ES_tradnl"/>
        </w:rPr>
        <w:t xml:space="preserve">, una </w:t>
      </w:r>
      <w:r w:rsidR="001033F4" w:rsidRPr="00191FFD">
        <w:rPr>
          <w:rFonts w:ascii="Times New Roman" w:hAnsi="Times New Roman" w:cs="Times New Roman"/>
          <w:lang w:val="es-ES_tradnl"/>
        </w:rPr>
        <w:t>persona invierte en sí misma</w:t>
      </w:r>
      <w:r w:rsidR="001033F4">
        <w:rPr>
          <w:rFonts w:ascii="Times New Roman" w:hAnsi="Times New Roman" w:cs="Times New Roman"/>
          <w:lang w:val="es-ES_tradnl"/>
        </w:rPr>
        <w:t xml:space="preserve"> a través de la educación</w:t>
      </w:r>
      <w:r w:rsidR="001033F4" w:rsidRPr="00191FFD">
        <w:rPr>
          <w:rFonts w:ascii="Times New Roman" w:hAnsi="Times New Roman" w:cs="Times New Roman"/>
          <w:lang w:val="es-ES_tradnl"/>
        </w:rPr>
        <w:t xml:space="preserve">, en un momento dado, para </w:t>
      </w:r>
      <w:r w:rsidR="001033F4">
        <w:rPr>
          <w:rFonts w:ascii="Times New Roman" w:hAnsi="Times New Roman" w:cs="Times New Roman"/>
          <w:lang w:val="es-ES_tradnl"/>
        </w:rPr>
        <w:t>mejorar sus remuneracio</w:t>
      </w:r>
      <w:r w:rsidR="001033F4" w:rsidRPr="00191FFD">
        <w:rPr>
          <w:rFonts w:ascii="Times New Roman" w:hAnsi="Times New Roman" w:cs="Times New Roman"/>
          <w:lang w:val="es-ES_tradnl"/>
        </w:rPr>
        <w:t>n</w:t>
      </w:r>
      <w:r w:rsidR="001033F4">
        <w:rPr>
          <w:rFonts w:ascii="Times New Roman" w:hAnsi="Times New Roman" w:cs="Times New Roman"/>
          <w:lang w:val="es-ES_tradnl"/>
        </w:rPr>
        <w:t>es a niveles</w:t>
      </w:r>
      <w:r w:rsidR="001033F4" w:rsidRPr="00191FFD">
        <w:rPr>
          <w:rFonts w:ascii="Times New Roman" w:hAnsi="Times New Roman" w:cs="Times New Roman"/>
          <w:lang w:val="es-ES_tradnl"/>
        </w:rPr>
        <w:t xml:space="preserve"> más elevad</w:t>
      </w:r>
      <w:r w:rsidR="001033F4">
        <w:rPr>
          <w:rFonts w:ascii="Times New Roman" w:hAnsi="Times New Roman" w:cs="Times New Roman"/>
          <w:lang w:val="es-ES_tradnl"/>
        </w:rPr>
        <w:t>os que aquellos</w:t>
      </w:r>
      <w:r w:rsidR="001033F4" w:rsidRPr="00191FFD">
        <w:rPr>
          <w:rFonts w:ascii="Times New Roman" w:hAnsi="Times New Roman" w:cs="Times New Roman"/>
          <w:lang w:val="es-ES_tradnl"/>
        </w:rPr>
        <w:t xml:space="preserve"> que hubiese obtenido sin </w:t>
      </w:r>
      <w:r w:rsidR="001033F4">
        <w:rPr>
          <w:rFonts w:ascii="Times New Roman" w:hAnsi="Times New Roman" w:cs="Times New Roman"/>
          <w:lang w:val="es-ES_tradnl"/>
        </w:rPr>
        <w:t xml:space="preserve">realizar </w:t>
      </w:r>
      <w:r w:rsidR="001033F4" w:rsidRPr="00191FFD">
        <w:rPr>
          <w:rFonts w:ascii="Times New Roman" w:hAnsi="Times New Roman" w:cs="Times New Roman"/>
          <w:lang w:val="es-ES_tradnl"/>
        </w:rPr>
        <w:t>esa inversión</w:t>
      </w:r>
      <w:r w:rsidR="001033F4">
        <w:rPr>
          <w:rFonts w:ascii="Times New Roman" w:hAnsi="Times New Roman" w:cs="Times New Roman"/>
          <w:lang w:val="es-ES_tradnl"/>
        </w:rPr>
        <w:t xml:space="preserve">. Desde esa perspectiva, los beneficios de la educación </w:t>
      </w:r>
      <w:r w:rsidR="005F61E8" w:rsidRPr="00191FFD">
        <w:rPr>
          <w:rFonts w:ascii="Times New Roman" w:hAnsi="Times New Roman" w:cs="Times New Roman"/>
          <w:lang w:val="es-ES_tradnl"/>
        </w:rPr>
        <w:t xml:space="preserve">se </w:t>
      </w:r>
      <w:r w:rsidR="001033F4">
        <w:rPr>
          <w:rFonts w:ascii="Times New Roman" w:hAnsi="Times New Roman" w:cs="Times New Roman"/>
          <w:lang w:val="es-ES_tradnl"/>
        </w:rPr>
        <w:t>traducen</w:t>
      </w:r>
      <w:r w:rsidR="005F61E8" w:rsidRPr="00191FFD">
        <w:rPr>
          <w:rFonts w:ascii="Times New Roman" w:hAnsi="Times New Roman" w:cs="Times New Roman"/>
          <w:lang w:val="es-ES_tradnl"/>
        </w:rPr>
        <w:t xml:space="preserve"> en diferencias salariales obtenidas por poseer un mayor nivel educativo o de formación.</w:t>
      </w:r>
      <w:r w:rsidR="00D627F7">
        <w:rPr>
          <w:rFonts w:ascii="Times New Roman" w:hAnsi="Times New Roman" w:cs="Times New Roman"/>
          <w:lang w:val="es-ES_tradnl"/>
        </w:rPr>
        <w:t xml:space="preserve"> </w:t>
      </w:r>
      <w:r w:rsidR="00D627F7" w:rsidRPr="00191FFD">
        <w:rPr>
          <w:rFonts w:ascii="Times New Roman" w:hAnsi="Times New Roman" w:cs="Times New Roman"/>
          <w:lang w:val="es-ES_tradnl"/>
        </w:rPr>
        <w:t>Psacharopoulos (1981)</w:t>
      </w:r>
      <w:r w:rsidR="00D627F7">
        <w:rPr>
          <w:rFonts w:ascii="Times New Roman" w:hAnsi="Times New Roman" w:cs="Times New Roman"/>
          <w:lang w:val="es-ES_tradnl"/>
        </w:rPr>
        <w:t xml:space="preserve">, sobre la base de datos transversales </w:t>
      </w:r>
      <w:r w:rsidR="00D627F7" w:rsidRPr="00191FFD">
        <w:rPr>
          <w:rFonts w:ascii="Times New Roman" w:hAnsi="Times New Roman" w:cs="Times New Roman"/>
          <w:lang w:val="es-ES_tradnl"/>
        </w:rPr>
        <w:t>sobre perfiles de edad-</w:t>
      </w:r>
      <w:r w:rsidR="00D627F7">
        <w:rPr>
          <w:rFonts w:ascii="Times New Roman" w:hAnsi="Times New Roman" w:cs="Times New Roman"/>
          <w:lang w:val="es-ES_tradnl"/>
        </w:rPr>
        <w:t>remuneraciones,</w:t>
      </w:r>
      <w:r w:rsidR="00D627F7" w:rsidRPr="00191FFD">
        <w:rPr>
          <w:rFonts w:ascii="Times New Roman" w:hAnsi="Times New Roman" w:cs="Times New Roman"/>
          <w:lang w:val="es-ES_tradnl"/>
        </w:rPr>
        <w:t xml:space="preserve"> </w:t>
      </w:r>
      <w:r w:rsidR="00D627F7">
        <w:rPr>
          <w:rFonts w:ascii="Times New Roman" w:hAnsi="Times New Roman" w:cs="Times New Roman"/>
          <w:lang w:val="es-ES_tradnl"/>
        </w:rPr>
        <w:t>resalta</w:t>
      </w:r>
      <w:r w:rsidR="00D627F7" w:rsidRPr="00191FFD">
        <w:rPr>
          <w:rFonts w:ascii="Times New Roman" w:hAnsi="Times New Roman" w:cs="Times New Roman"/>
          <w:lang w:val="es-ES_tradnl"/>
        </w:rPr>
        <w:t xml:space="preserve"> que el promedio de ingresos a lo largo de la vida de un trabajador se incrementa a medida que se eleva su nivel educativo</w:t>
      </w:r>
      <w:r w:rsidR="00F16153">
        <w:rPr>
          <w:rFonts w:ascii="Times New Roman" w:hAnsi="Times New Roman" w:cs="Times New Roman"/>
          <w:lang w:val="es-ES_tradnl"/>
        </w:rPr>
        <w:t>.</w:t>
      </w:r>
      <w:r w:rsidR="005F61E8" w:rsidRPr="00191FFD">
        <w:rPr>
          <w:rFonts w:ascii="Times New Roman" w:hAnsi="Times New Roman" w:cs="Times New Roman"/>
          <w:lang w:val="es-ES_tradnl"/>
        </w:rPr>
        <w:t xml:space="preserve"> </w:t>
      </w:r>
    </w:p>
    <w:p w14:paraId="735029CA" w14:textId="552E3A8D" w:rsidR="00A9224A" w:rsidRPr="00191FFD" w:rsidRDefault="00A9224A" w:rsidP="00A9224A">
      <w:pPr>
        <w:spacing w:after="120" w:line="276" w:lineRule="auto"/>
        <w:jc w:val="both"/>
        <w:rPr>
          <w:rFonts w:ascii="Times New Roman" w:hAnsi="Times New Roman" w:cs="Times New Roman"/>
        </w:rPr>
      </w:pPr>
      <w:r>
        <w:rPr>
          <w:rFonts w:ascii="Times New Roman" w:hAnsi="Times New Roman" w:cs="Times New Roman"/>
          <w:lang w:val="es-ES_tradnl"/>
        </w:rPr>
        <w:t xml:space="preserve">Los </w:t>
      </w:r>
      <w:r w:rsidRPr="00191FFD">
        <w:rPr>
          <w:rFonts w:ascii="Times New Roman" w:hAnsi="Times New Roman" w:cs="Times New Roman"/>
          <w:lang w:val="es-ES_tradnl"/>
        </w:rPr>
        <w:t>estudios empíricos de Becker</w:t>
      </w:r>
      <w:r>
        <w:rPr>
          <w:rFonts w:ascii="Times New Roman" w:hAnsi="Times New Roman" w:cs="Times New Roman"/>
          <w:lang w:val="es-ES_tradnl"/>
        </w:rPr>
        <w:t xml:space="preserve"> (1975) también indican que</w:t>
      </w:r>
      <w:r w:rsidRPr="00191FFD">
        <w:rPr>
          <w:rFonts w:ascii="Times New Roman" w:hAnsi="Times New Roman" w:cs="Times New Roman"/>
          <w:lang w:val="es-ES_tradnl"/>
        </w:rPr>
        <w:t>,</w:t>
      </w:r>
      <w:r>
        <w:rPr>
          <w:rFonts w:ascii="Times New Roman" w:hAnsi="Times New Roman" w:cs="Times New Roman"/>
          <w:lang w:val="es-ES_tradnl"/>
        </w:rPr>
        <w:t xml:space="preserve"> generalmente, </w:t>
      </w:r>
      <w:r w:rsidRPr="00191FFD">
        <w:rPr>
          <w:rFonts w:ascii="Times New Roman" w:hAnsi="Times New Roman" w:cs="Times New Roman"/>
          <w:lang w:val="es-ES_tradnl"/>
        </w:rPr>
        <w:t xml:space="preserve">el rendimiento de la inversión en educación es igual o superior al obtenido en una inversión alternativa, y </w:t>
      </w:r>
      <w:r>
        <w:rPr>
          <w:rFonts w:ascii="Times New Roman" w:hAnsi="Times New Roman" w:cs="Times New Roman"/>
          <w:lang w:val="es-ES_tradnl"/>
        </w:rPr>
        <w:t xml:space="preserve">que </w:t>
      </w:r>
      <w:r w:rsidRPr="00191FFD">
        <w:rPr>
          <w:rFonts w:ascii="Times New Roman" w:hAnsi="Times New Roman" w:cs="Times New Roman"/>
          <w:lang w:val="es-ES_tradnl"/>
        </w:rPr>
        <w:t xml:space="preserve">la tasa de retorno </w:t>
      </w:r>
      <w:r>
        <w:rPr>
          <w:rFonts w:ascii="Times New Roman" w:hAnsi="Times New Roman" w:cs="Times New Roman"/>
          <w:lang w:val="es-ES_tradnl"/>
        </w:rPr>
        <w:t>de la educación tiende a decrecer conforme se asciende de nivel educativo, en especial en países en desarrollo</w:t>
      </w:r>
      <w:r w:rsidRPr="00191FFD">
        <w:rPr>
          <w:rFonts w:ascii="Times New Roman" w:hAnsi="Times New Roman" w:cs="Times New Roman"/>
          <w:lang w:val="es-ES_tradnl"/>
        </w:rPr>
        <w:t>.</w:t>
      </w:r>
      <w:r w:rsidR="00D627F7">
        <w:rPr>
          <w:rFonts w:ascii="Times New Roman" w:hAnsi="Times New Roman" w:cs="Times New Roman"/>
          <w:lang w:val="es-ES_tradnl"/>
        </w:rPr>
        <w:t xml:space="preserve"> </w:t>
      </w:r>
    </w:p>
    <w:p w14:paraId="02FF5687" w14:textId="22A3C1D9" w:rsidR="00D84284" w:rsidRDefault="001033F4" w:rsidP="001033F4">
      <w:pPr>
        <w:spacing w:after="120" w:line="276" w:lineRule="auto"/>
        <w:jc w:val="both"/>
        <w:rPr>
          <w:rFonts w:ascii="Times New Roman" w:hAnsi="Times New Roman" w:cs="Times New Roman"/>
          <w:lang w:val="es-ES_tradnl"/>
        </w:rPr>
      </w:pPr>
      <w:r>
        <w:rPr>
          <w:rFonts w:ascii="Times New Roman" w:hAnsi="Times New Roman" w:cs="Times New Roman"/>
          <w:lang w:val="es-ES_tradnl"/>
        </w:rPr>
        <w:t>En paralelo, la</w:t>
      </w:r>
      <w:r w:rsidR="005F61E8" w:rsidRPr="00191FFD">
        <w:rPr>
          <w:rFonts w:ascii="Times New Roman" w:hAnsi="Times New Roman" w:cs="Times New Roman"/>
          <w:lang w:val="es-ES_tradnl"/>
        </w:rPr>
        <w:t xml:space="preserve"> decisión </w:t>
      </w:r>
      <w:r>
        <w:rPr>
          <w:rFonts w:ascii="Times New Roman" w:hAnsi="Times New Roman" w:cs="Times New Roman"/>
          <w:lang w:val="es-ES_tradnl"/>
        </w:rPr>
        <w:t xml:space="preserve">de inversión </w:t>
      </w:r>
      <w:r w:rsidR="00A9224A">
        <w:rPr>
          <w:rFonts w:ascii="Times New Roman" w:hAnsi="Times New Roman" w:cs="Times New Roman"/>
          <w:lang w:val="es-ES_tradnl"/>
        </w:rPr>
        <w:t xml:space="preserve">de una persona para mejorar su educación </w:t>
      </w:r>
      <w:r w:rsidR="005F61E8" w:rsidRPr="00191FFD">
        <w:rPr>
          <w:rFonts w:ascii="Times New Roman" w:hAnsi="Times New Roman" w:cs="Times New Roman"/>
          <w:lang w:val="es-ES_tradnl"/>
        </w:rPr>
        <w:t xml:space="preserve">implica </w:t>
      </w:r>
      <w:r>
        <w:rPr>
          <w:rFonts w:ascii="Times New Roman" w:hAnsi="Times New Roman" w:cs="Times New Roman"/>
          <w:lang w:val="es-ES_tradnl"/>
        </w:rPr>
        <w:t>el</w:t>
      </w:r>
      <w:r w:rsidR="005F61E8" w:rsidRPr="00191FFD">
        <w:rPr>
          <w:rFonts w:ascii="Times New Roman" w:hAnsi="Times New Roman" w:cs="Times New Roman"/>
          <w:lang w:val="es-ES_tradnl"/>
        </w:rPr>
        <w:t xml:space="preserve"> renunciar a cubrir una necesidad o consumo actual para obtener un beneficio futuro</w:t>
      </w:r>
      <w:r>
        <w:rPr>
          <w:rFonts w:ascii="Times New Roman" w:hAnsi="Times New Roman" w:cs="Times New Roman"/>
          <w:lang w:val="es-ES_tradnl"/>
        </w:rPr>
        <w:t xml:space="preserve">. Hay por lo tanto un costo de oportunidad para la persona que estudia, al </w:t>
      </w:r>
      <w:r w:rsidR="00CD7BE5">
        <w:rPr>
          <w:rFonts w:ascii="Times New Roman" w:hAnsi="Times New Roman" w:cs="Times New Roman"/>
          <w:lang w:val="es-ES_tradnl"/>
        </w:rPr>
        <w:t>sacrificar</w:t>
      </w:r>
      <w:r w:rsidR="005F61E8" w:rsidRPr="00191FFD">
        <w:rPr>
          <w:rFonts w:ascii="Times New Roman" w:hAnsi="Times New Roman" w:cs="Times New Roman"/>
          <w:lang w:val="es-ES_tradnl"/>
        </w:rPr>
        <w:t xml:space="preserve"> ingresos que podrían obtenerse en lugar de destinar tiempo a la formación. </w:t>
      </w:r>
      <w:r w:rsidR="002A151E">
        <w:rPr>
          <w:rFonts w:ascii="Times New Roman" w:hAnsi="Times New Roman" w:cs="Times New Roman"/>
          <w:lang w:val="es-ES_tradnl"/>
        </w:rPr>
        <w:t xml:space="preserve">Adicionalmente, la inversión pública en educación tiene como beneficios el incremento en ingresos fiscales asociados a una mejor remuneración de la población beneficiaria. </w:t>
      </w:r>
    </w:p>
    <w:p w14:paraId="1E5455EB" w14:textId="3345D1BF" w:rsidR="005F61E8" w:rsidRDefault="00F16153" w:rsidP="00322C1F">
      <w:pPr>
        <w:spacing w:after="120" w:line="276" w:lineRule="auto"/>
        <w:jc w:val="both"/>
        <w:rPr>
          <w:rFonts w:ascii="Times New Roman" w:hAnsi="Times New Roman" w:cs="Times New Roman"/>
        </w:rPr>
      </w:pPr>
      <w:r>
        <w:rPr>
          <w:rFonts w:ascii="Times New Roman" w:hAnsi="Times New Roman" w:cs="Times New Roman"/>
          <w:lang w:val="es-ES_tradnl"/>
        </w:rPr>
        <w:t xml:space="preserve">Estos estudios sustentan la idea que la inversión en educación beneficia a los individuos y, en consecuencia, a la sociedad. En el caso ecuatoriano, se dispone de los resultados de </w:t>
      </w:r>
      <w:r w:rsidR="005F61E8" w:rsidRPr="00191FFD">
        <w:rPr>
          <w:rFonts w:ascii="Times New Roman" w:hAnsi="Times New Roman" w:cs="Times New Roman"/>
        </w:rPr>
        <w:t>la Encuesta Nacional de Empleo y Desempleo, ENEMDU, que tiene una periodicidad trimestral. Estos datos permiten analizar la correlación existente entre el nivel de educación de los individuos y su situación laboral. Particularmente, es posible identificar los años de escolaridad alcanzados por cada persona y si han culminado ciclos completos de educación como EGB y Bachillerato.</w:t>
      </w:r>
      <w:r>
        <w:rPr>
          <w:rFonts w:ascii="Times New Roman" w:hAnsi="Times New Roman" w:cs="Times New Roman"/>
        </w:rPr>
        <w:t xml:space="preserve"> También se </w:t>
      </w:r>
      <w:r>
        <w:rPr>
          <w:rFonts w:ascii="Times New Roman" w:hAnsi="Times New Roman" w:cs="Times New Roman"/>
        </w:rPr>
        <w:lastRenderedPageBreak/>
        <w:t xml:space="preserve">puede identificar si las personas han formado parte de algún programa de alfabetización </w:t>
      </w:r>
      <w:r w:rsidR="003B783F">
        <w:rPr>
          <w:rFonts w:ascii="Times New Roman" w:hAnsi="Times New Roman" w:cs="Times New Roman"/>
        </w:rPr>
        <w:t xml:space="preserve">y hasta qué nivel/año de educación han avanzado. </w:t>
      </w:r>
      <w:r w:rsidR="005F61E8" w:rsidRPr="00191FFD">
        <w:rPr>
          <w:rFonts w:ascii="Times New Roman" w:hAnsi="Times New Roman" w:cs="Times New Roman"/>
        </w:rPr>
        <w:t xml:space="preserve">De esta forma se puede </w:t>
      </w:r>
      <w:r w:rsidR="004F01BF">
        <w:rPr>
          <w:rFonts w:ascii="Times New Roman" w:hAnsi="Times New Roman" w:cs="Times New Roman"/>
        </w:rPr>
        <w:t>estimar</w:t>
      </w:r>
      <w:r w:rsidR="005F61E8" w:rsidRPr="00191FFD">
        <w:rPr>
          <w:rFonts w:ascii="Times New Roman" w:hAnsi="Times New Roman" w:cs="Times New Roman"/>
        </w:rPr>
        <w:t xml:space="preserve"> las diferencias existentes en los salarios medios</w:t>
      </w:r>
      <w:r w:rsidR="00B43AD6">
        <w:rPr>
          <w:rFonts w:ascii="Times New Roman" w:hAnsi="Times New Roman" w:cs="Times New Roman"/>
        </w:rPr>
        <w:t>, a lo largo de la vida profesional,</w:t>
      </w:r>
      <w:r w:rsidR="005F61E8" w:rsidRPr="00191FFD">
        <w:rPr>
          <w:rFonts w:ascii="Times New Roman" w:hAnsi="Times New Roman" w:cs="Times New Roman"/>
        </w:rPr>
        <w:t xml:space="preserve"> entre quienes han culminado ciclos completos escolares y quienes llegaron a niveles ligeramente inferiores, </w:t>
      </w:r>
      <w:r w:rsidR="004F01BF">
        <w:rPr>
          <w:rFonts w:ascii="Times New Roman" w:hAnsi="Times New Roman" w:cs="Times New Roman"/>
        </w:rPr>
        <w:t>así como las diferencias salariales por año de educación alcanzado y como consecuencia de asistir a un programa de alfabetización</w:t>
      </w:r>
      <w:r w:rsidR="005F61E8" w:rsidRPr="00191FFD">
        <w:rPr>
          <w:rFonts w:ascii="Times New Roman" w:hAnsi="Times New Roman" w:cs="Times New Roman"/>
        </w:rPr>
        <w:t>. Además, la encuesta cuenta con suficientes variables de caracterización sociodemográfica que permiten realizar una evaluación integral de los cambios en las categorías mencionadas.</w:t>
      </w:r>
    </w:p>
    <w:p w14:paraId="474FAB15" w14:textId="5139CD9F" w:rsidR="005D4E26" w:rsidRDefault="005D4E26" w:rsidP="00322C1F">
      <w:pPr>
        <w:spacing w:after="120" w:line="276" w:lineRule="auto"/>
        <w:jc w:val="both"/>
        <w:rPr>
          <w:rFonts w:ascii="Times New Roman" w:hAnsi="Times New Roman" w:cs="Times New Roman"/>
        </w:rPr>
      </w:pPr>
      <w:r>
        <w:rPr>
          <w:rFonts w:ascii="Times New Roman" w:hAnsi="Times New Roman" w:cs="Times New Roman"/>
        </w:rPr>
        <w:t>Estos datos permiten en el caso ecuatoriano estimar el beneficio de los programas orientados a mejorar la conclusión de ciclos escolares para las personas cubiertas por estos programas.</w:t>
      </w:r>
    </w:p>
    <w:p w14:paraId="27D3B8CB" w14:textId="3E019F5A" w:rsidR="0029768E" w:rsidRPr="00742D0E" w:rsidRDefault="0029768E" w:rsidP="0029768E">
      <w:pPr>
        <w:spacing w:after="120" w:line="276" w:lineRule="auto"/>
        <w:jc w:val="both"/>
        <w:rPr>
          <w:rFonts w:ascii="Times New Roman" w:hAnsi="Times New Roman" w:cs="Times New Roman"/>
          <w:smallCaps/>
        </w:rPr>
      </w:pPr>
      <w:r w:rsidRPr="00742D0E">
        <w:rPr>
          <w:rFonts w:ascii="Times New Roman" w:hAnsi="Times New Roman" w:cs="Times New Roman"/>
          <w:b/>
          <w:i/>
          <w:smallCaps/>
          <w:spacing w:val="-2"/>
        </w:rPr>
        <w:t>Evaluación educativa</w:t>
      </w:r>
    </w:p>
    <w:p w14:paraId="1337D65E" w14:textId="7FFF75F6" w:rsidR="00B2404D" w:rsidRPr="005D48E9" w:rsidRDefault="00B2404D" w:rsidP="00B2404D">
      <w:pPr>
        <w:spacing w:after="120" w:line="276" w:lineRule="auto"/>
        <w:jc w:val="both"/>
        <w:rPr>
          <w:rFonts w:ascii="Times New Roman" w:hAnsi="Times New Roman" w:cs="Times New Roman"/>
          <w:lang w:val="es-ES"/>
        </w:rPr>
      </w:pPr>
      <w:r w:rsidRPr="008443D4">
        <w:rPr>
          <w:rFonts w:ascii="Times New Roman" w:hAnsi="Times New Roman" w:cs="Times New Roman"/>
          <w:lang w:val="es-ES"/>
        </w:rPr>
        <w:t xml:space="preserve">A partir de la revisión de literatura existente en el área de evaluación educativa, se pueden destacar tres argumentos para realizar un seguimiento de los resultados educativos. </w:t>
      </w:r>
      <w:r w:rsidR="00334C13" w:rsidRPr="005D48E9">
        <w:rPr>
          <w:rFonts w:ascii="Times New Roman" w:hAnsi="Times New Roman" w:cs="Times New Roman"/>
          <w:lang w:val="es-ES"/>
        </w:rPr>
        <w:t xml:space="preserve">Según </w:t>
      </w:r>
      <w:r w:rsidR="00BC317B" w:rsidRPr="005D48E9">
        <w:rPr>
          <w:rFonts w:ascii="Times New Roman" w:hAnsi="Times New Roman" w:cs="Times New Roman"/>
          <w:lang w:val="es-ES"/>
        </w:rPr>
        <w:t>Tourón (2009)</w:t>
      </w:r>
      <w:r w:rsidR="00334C13" w:rsidRPr="005D48E9">
        <w:rPr>
          <w:rFonts w:ascii="Times New Roman" w:hAnsi="Times New Roman" w:cs="Times New Roman"/>
          <w:lang w:val="es-ES"/>
        </w:rPr>
        <w:t>, e</w:t>
      </w:r>
      <w:r w:rsidRPr="005D48E9">
        <w:rPr>
          <w:rFonts w:ascii="Times New Roman" w:hAnsi="Times New Roman" w:cs="Times New Roman"/>
          <w:lang w:val="es-ES"/>
        </w:rPr>
        <w:t>l primer</w:t>
      </w:r>
      <w:r w:rsidR="00334C13" w:rsidRPr="005D48E9">
        <w:rPr>
          <w:rFonts w:ascii="Times New Roman" w:hAnsi="Times New Roman" w:cs="Times New Roman"/>
          <w:lang w:val="es-ES"/>
        </w:rPr>
        <w:t xml:space="preserve"> argument</w:t>
      </w:r>
      <w:r w:rsidRPr="005D48E9">
        <w:rPr>
          <w:rFonts w:ascii="Times New Roman" w:hAnsi="Times New Roman" w:cs="Times New Roman"/>
          <w:lang w:val="es-ES"/>
        </w:rPr>
        <w:t>o se relaciona con los estudiantes</w:t>
      </w:r>
      <w:r w:rsidR="008443D4" w:rsidRPr="005D48E9">
        <w:rPr>
          <w:rFonts w:ascii="Times New Roman" w:hAnsi="Times New Roman" w:cs="Times New Roman"/>
          <w:lang w:val="es-ES"/>
        </w:rPr>
        <w:t xml:space="preserve"> </w:t>
      </w:r>
      <w:r w:rsidRPr="005D48E9">
        <w:rPr>
          <w:rFonts w:ascii="Times New Roman" w:hAnsi="Times New Roman" w:cs="Times New Roman"/>
          <w:lang w:val="es-ES"/>
        </w:rPr>
        <w:t>pues el evaluarlos permite conocer su nivel instructivo y</w:t>
      </w:r>
      <w:r w:rsidR="008443D4" w:rsidRPr="005D48E9">
        <w:rPr>
          <w:rFonts w:ascii="Times New Roman" w:hAnsi="Times New Roman" w:cs="Times New Roman"/>
          <w:lang w:val="es-ES"/>
        </w:rPr>
        <w:t>,</w:t>
      </w:r>
      <w:r w:rsidRPr="005D48E9">
        <w:rPr>
          <w:rFonts w:ascii="Times New Roman" w:hAnsi="Times New Roman" w:cs="Times New Roman"/>
          <w:lang w:val="es-ES"/>
        </w:rPr>
        <w:t xml:space="preserve"> a partir de esto, proponer estándares a alcanzar, mismos que considerarían</w:t>
      </w:r>
      <w:r w:rsidR="008443D4" w:rsidRPr="005D48E9">
        <w:rPr>
          <w:rFonts w:ascii="Times New Roman" w:hAnsi="Times New Roman" w:cs="Times New Roman"/>
          <w:lang w:val="es-ES"/>
        </w:rPr>
        <w:t>,</w:t>
      </w:r>
      <w:r w:rsidRPr="005D48E9">
        <w:rPr>
          <w:rFonts w:ascii="Times New Roman" w:hAnsi="Times New Roman" w:cs="Times New Roman"/>
          <w:lang w:val="es-ES"/>
        </w:rPr>
        <w:t xml:space="preserve"> además de las notas de los exámenes, otro tipo de factores de entorno como infraestructura y profesorado. El segundo, se relaciona con las escuelas. De acuerdo a Margarita Poggi (2013:143), se ha evidenciado en América Latina que la exigencia por registrar mejores resultados en las evaluaciones ha presionado a la mejora de la calidad educativa. Este proceso se ha desarrollado mediante dos tipos de esfuerzos</w:t>
      </w:r>
      <w:r w:rsidR="008362CA" w:rsidRPr="005D48E9">
        <w:rPr>
          <w:rFonts w:ascii="Times New Roman" w:hAnsi="Times New Roman" w:cs="Times New Roman"/>
          <w:lang w:val="es-ES"/>
        </w:rPr>
        <w:t xml:space="preserve">: por </w:t>
      </w:r>
      <w:r w:rsidRPr="005D48E9">
        <w:rPr>
          <w:rFonts w:ascii="Times New Roman" w:hAnsi="Times New Roman" w:cs="Times New Roman"/>
          <w:lang w:val="es-ES"/>
        </w:rPr>
        <w:t>las mismas escuelas y colegios quienes, a manera de competencia, buscaron mejorar su nivel educativo</w:t>
      </w:r>
      <w:r w:rsidR="008362CA" w:rsidRPr="005D48E9">
        <w:rPr>
          <w:rFonts w:ascii="Times New Roman" w:hAnsi="Times New Roman" w:cs="Times New Roman"/>
          <w:lang w:val="es-ES"/>
        </w:rPr>
        <w:t xml:space="preserve"> y por</w:t>
      </w:r>
      <w:r w:rsidRPr="005D48E9">
        <w:rPr>
          <w:rFonts w:ascii="Times New Roman" w:hAnsi="Times New Roman" w:cs="Times New Roman"/>
          <w:lang w:val="es-ES"/>
        </w:rPr>
        <w:t xml:space="preserve"> la implementación de políticas educativas por parte de los gobiernos, </w:t>
      </w:r>
      <w:r w:rsidR="008362CA" w:rsidRPr="005D48E9">
        <w:rPr>
          <w:rFonts w:ascii="Times New Roman" w:hAnsi="Times New Roman" w:cs="Times New Roman"/>
          <w:lang w:val="es-ES"/>
        </w:rPr>
        <w:t xml:space="preserve">que </w:t>
      </w:r>
      <w:r w:rsidRPr="005D48E9">
        <w:rPr>
          <w:rFonts w:ascii="Times New Roman" w:hAnsi="Times New Roman" w:cs="Times New Roman"/>
          <w:lang w:val="es-ES"/>
        </w:rPr>
        <w:t xml:space="preserve">también ha presionado a la intensificación de las mejoras globales. Finalmente, el tercer argumento se desprende de esta última idea. </w:t>
      </w:r>
      <w:r w:rsidR="00334C13" w:rsidRPr="005D48E9">
        <w:rPr>
          <w:rFonts w:ascii="Times New Roman" w:hAnsi="Times New Roman" w:cs="Times New Roman"/>
          <w:lang w:val="es-ES"/>
        </w:rPr>
        <w:t xml:space="preserve">Según Froemel (2006), </w:t>
      </w:r>
      <w:r w:rsidRPr="005D48E9">
        <w:rPr>
          <w:rFonts w:ascii="Times New Roman" w:hAnsi="Times New Roman" w:cs="Times New Roman"/>
          <w:lang w:val="es-ES"/>
        </w:rPr>
        <w:t>la evaluación es importante desde el ámbito de la política pública puesto que es útil para el desarrollo de medidas educativas, diseño de sistemas y pruebas de evaluación, seguimiento del progreso y, en algunas instancias, como sustento para la obtención de créditos de organismos multilaterales.</w:t>
      </w:r>
    </w:p>
    <w:p w14:paraId="6BD987B3" w14:textId="2E288CE6" w:rsidR="00B2404D" w:rsidRDefault="00B2404D" w:rsidP="00B2404D">
      <w:pPr>
        <w:spacing w:after="120" w:line="276" w:lineRule="auto"/>
        <w:jc w:val="both"/>
        <w:rPr>
          <w:rFonts w:ascii="Times New Roman" w:hAnsi="Times New Roman" w:cs="Times New Roman"/>
          <w:color w:val="000000" w:themeColor="text1"/>
        </w:rPr>
      </w:pPr>
      <w:r w:rsidRPr="005D48E9">
        <w:rPr>
          <w:rFonts w:ascii="Times New Roman" w:hAnsi="Times New Roman" w:cs="Times New Roman"/>
          <w:color w:val="000000" w:themeColor="text1"/>
          <w:lang w:val="es-ES"/>
        </w:rPr>
        <w:t>Para este componente, no existe una estimación directa de beneficio en cuanto al impacto sobre los resultados de aprendizaje. Por sus características, el trabajo del INEVAL no genera beneficios</w:t>
      </w:r>
      <w:r w:rsidRPr="005C4E64">
        <w:rPr>
          <w:rFonts w:ascii="Times New Roman" w:hAnsi="Times New Roman" w:cs="Times New Roman"/>
          <w:color w:val="000000" w:themeColor="text1"/>
          <w:lang w:val="es-ES"/>
        </w:rPr>
        <w:t xml:space="preserve"> monetarios en cuanto a incremento de recursos, </w:t>
      </w:r>
      <w:r w:rsidR="00E2411C">
        <w:rPr>
          <w:rFonts w:ascii="Times New Roman" w:hAnsi="Times New Roman" w:cs="Times New Roman"/>
          <w:color w:val="000000" w:themeColor="text1"/>
          <w:lang w:val="es-ES"/>
        </w:rPr>
        <w:t>aunque</w:t>
      </w:r>
      <w:r w:rsidRPr="005C4E64">
        <w:rPr>
          <w:rFonts w:ascii="Times New Roman" w:hAnsi="Times New Roman" w:cs="Times New Roman"/>
          <w:color w:val="000000" w:themeColor="text1"/>
          <w:lang w:val="es-ES"/>
        </w:rPr>
        <w:t xml:space="preserve"> </w:t>
      </w:r>
      <w:r w:rsidR="00194094" w:rsidRPr="005C4E64">
        <w:rPr>
          <w:rFonts w:ascii="Times New Roman" w:hAnsi="Times New Roman" w:cs="Times New Roman"/>
          <w:color w:val="000000" w:themeColor="text1"/>
          <w:lang w:val="es-ES"/>
        </w:rPr>
        <w:t xml:space="preserve">sí genera un ahorro para el Estado pues el costo del diseño local de las pruebas es considerablemente inferior al costo internacional. Además, </w:t>
      </w:r>
      <w:r w:rsidRPr="005C4E64">
        <w:rPr>
          <w:rFonts w:ascii="Times New Roman" w:hAnsi="Times New Roman" w:cs="Times New Roman"/>
          <w:color w:val="000000" w:themeColor="text1"/>
        </w:rPr>
        <w:t xml:space="preserve">el beneficio </w:t>
      </w:r>
      <w:r w:rsidR="00194094" w:rsidRPr="005C4E64">
        <w:rPr>
          <w:rFonts w:ascii="Times New Roman" w:hAnsi="Times New Roman" w:cs="Times New Roman"/>
          <w:color w:val="000000" w:themeColor="text1"/>
        </w:rPr>
        <w:t xml:space="preserve">que genera el seguimiento de los resultados educativos </w:t>
      </w:r>
      <w:r w:rsidRPr="005C4E64">
        <w:rPr>
          <w:rFonts w:ascii="Times New Roman" w:hAnsi="Times New Roman" w:cs="Times New Roman"/>
          <w:color w:val="000000" w:themeColor="text1"/>
        </w:rPr>
        <w:t xml:space="preserve">para la sociedad es </w:t>
      </w:r>
      <w:r w:rsidR="00194094" w:rsidRPr="005C4E64">
        <w:rPr>
          <w:rFonts w:ascii="Times New Roman" w:hAnsi="Times New Roman" w:cs="Times New Roman"/>
          <w:color w:val="000000" w:themeColor="text1"/>
        </w:rPr>
        <w:t>grande</w:t>
      </w:r>
      <w:r w:rsidRPr="005C4E64">
        <w:rPr>
          <w:rFonts w:ascii="Times New Roman" w:hAnsi="Times New Roman" w:cs="Times New Roman"/>
          <w:color w:val="000000" w:themeColor="text1"/>
        </w:rPr>
        <w:t>, debido que el fin último es promover la calidad en la educación básica y bachillerato a través de las evaluaciones aplicadas, mismos que serán visibles a largo plazo a través de los efectos que genere una educación de calidad al incrementar el nivel de productividad de los beneficiarios, y por ende, sus ingresos, fomentando de esta manera un crecimiento económico.</w:t>
      </w:r>
    </w:p>
    <w:p w14:paraId="0ED2D986" w14:textId="26AA8793" w:rsidR="002853CC" w:rsidRDefault="002853CC" w:rsidP="00B2404D">
      <w:pPr>
        <w:spacing w:after="120" w:line="276" w:lineRule="auto"/>
        <w:jc w:val="both"/>
        <w:rPr>
          <w:rFonts w:ascii="Times New Roman" w:hAnsi="Times New Roman" w:cs="Times New Roman"/>
          <w:color w:val="000000" w:themeColor="text1"/>
        </w:rPr>
      </w:pPr>
      <w:r w:rsidRPr="00CB290A">
        <w:rPr>
          <w:rFonts w:ascii="Times New Roman" w:hAnsi="Times New Roman" w:cs="Times New Roman"/>
          <w:b/>
          <w:i/>
          <w:smallCaps/>
          <w:spacing w:val="-2"/>
        </w:rPr>
        <w:t>SELECCIÓN PROFESORES</w:t>
      </w:r>
    </w:p>
    <w:p w14:paraId="557916A6" w14:textId="1C386DAA" w:rsidR="002853CC" w:rsidRPr="00F43F8B" w:rsidRDefault="002853CC" w:rsidP="002853CC">
      <w:pPr>
        <w:spacing w:after="120" w:line="276" w:lineRule="auto"/>
        <w:jc w:val="both"/>
        <w:rPr>
          <w:rFonts w:ascii="Times New Roman" w:eastAsia="Times New Roman" w:hAnsi="Times New Roman" w:cs="Times New Roman"/>
        </w:rPr>
      </w:pPr>
      <w:r w:rsidRPr="00F43F8B">
        <w:rPr>
          <w:rFonts w:ascii="Times New Roman" w:eastAsia="Times New Roman" w:hAnsi="Times New Roman" w:cs="Times New Roman"/>
        </w:rPr>
        <w:t>Jacob (2016) estudia el proceso de selección de profesores en las escuelas públicas en Washington D.C. en 2009 y resume el efecto de dicho proceso de selección en una predicción del desempeño futuro. En su estudio, Jacob divide la predicción en c</w:t>
      </w:r>
      <w:r w:rsidR="00D1152D">
        <w:rPr>
          <w:rFonts w:ascii="Times New Roman" w:eastAsia="Times New Roman" w:hAnsi="Times New Roman" w:cs="Times New Roman"/>
        </w:rPr>
        <w:t>uartiles y calcula qué</w:t>
      </w:r>
      <w:r w:rsidRPr="00F43F8B">
        <w:rPr>
          <w:rFonts w:ascii="Times New Roman" w:eastAsia="Times New Roman" w:hAnsi="Times New Roman" w:cs="Times New Roman"/>
        </w:rPr>
        <w:t xml:space="preserve"> tan abajo o arriba de la </w:t>
      </w:r>
      <w:r w:rsidRPr="00F43F8B">
        <w:rPr>
          <w:rFonts w:ascii="Times New Roman" w:eastAsia="Times New Roman" w:hAnsi="Times New Roman" w:cs="Times New Roman"/>
        </w:rPr>
        <w:lastRenderedPageBreak/>
        <w:t>media de desempeño real</w:t>
      </w:r>
      <w:r w:rsidR="00CB290A">
        <w:rPr>
          <w:rStyle w:val="FootnoteReference"/>
          <w:rFonts w:ascii="Times New Roman" w:eastAsia="Times New Roman" w:hAnsi="Times New Roman" w:cs="Times New Roman"/>
        </w:rPr>
        <w:footnoteReference w:id="4"/>
      </w:r>
      <w:r w:rsidRPr="00F43F8B">
        <w:rPr>
          <w:rFonts w:ascii="Times New Roman" w:eastAsia="Times New Roman" w:hAnsi="Times New Roman" w:cs="Times New Roman"/>
        </w:rPr>
        <w:t xml:space="preserve"> está cada cuartil. Con eso</w:t>
      </w:r>
      <w:r w:rsidR="00D1152D">
        <w:rPr>
          <w:rFonts w:ascii="Times New Roman" w:eastAsia="Times New Roman" w:hAnsi="Times New Roman" w:cs="Times New Roman"/>
        </w:rPr>
        <w:t>,</w:t>
      </w:r>
      <w:r w:rsidRPr="00F43F8B">
        <w:rPr>
          <w:rFonts w:ascii="Times New Roman" w:eastAsia="Times New Roman" w:hAnsi="Times New Roman" w:cs="Times New Roman"/>
        </w:rPr>
        <w:t xml:space="preserve"> el cuartil más bajo (aquellos profesores que en la preselección presentaron las variables más bajas y fueron contratados) está, en la práctica, casi 0.4 desviaciones estándar bajo la media. De la misma forma el cuartil más alto (profesores con las mejores características) en la práctica presenta un desempeño 0.22 desviaciones estándar sobre la media. Los resultados de este estudio sugieren que mejorar el proceso de selección de profesores es una forma relativamente barata de mejorar la fuerza de trabajo de profesores. </w:t>
      </w:r>
    </w:p>
    <w:p w14:paraId="094920B9" w14:textId="06EE2E5C" w:rsidR="002853CC" w:rsidRDefault="002853CC" w:rsidP="002853CC">
      <w:pPr>
        <w:spacing w:after="120" w:line="276" w:lineRule="auto"/>
        <w:jc w:val="both"/>
        <w:rPr>
          <w:rFonts w:ascii="Times New Roman" w:eastAsia="Times New Roman" w:hAnsi="Times New Roman" w:cs="Times New Roman"/>
        </w:rPr>
      </w:pPr>
      <w:r w:rsidRPr="00D1152D">
        <w:rPr>
          <w:rFonts w:ascii="Times New Roman" w:eastAsia="Times New Roman" w:hAnsi="Times New Roman" w:cs="Times New Roman"/>
        </w:rPr>
        <w:t>Por otro lado, Hanushek (2010) combina información sobre la efectividad de un profesor con el impacto económico de mayores logros en los estudiantes. Sus resultados indican que</w:t>
      </w:r>
      <w:r w:rsidR="00D53B16">
        <w:rPr>
          <w:rFonts w:ascii="Times New Roman" w:eastAsia="Times New Roman" w:hAnsi="Times New Roman" w:cs="Times New Roman"/>
        </w:rPr>
        <w:t>,</w:t>
      </w:r>
      <w:r w:rsidRPr="00D1152D">
        <w:rPr>
          <w:rFonts w:ascii="Times New Roman" w:eastAsia="Times New Roman" w:hAnsi="Times New Roman" w:cs="Times New Roman"/>
        </w:rPr>
        <w:t xml:space="preserve"> cuando el desempeño</w:t>
      </w:r>
      <w:r w:rsidR="00CB290A">
        <w:rPr>
          <w:rStyle w:val="FootnoteReference"/>
          <w:rFonts w:ascii="Times New Roman" w:eastAsia="Times New Roman" w:hAnsi="Times New Roman" w:cs="Times New Roman"/>
        </w:rPr>
        <w:footnoteReference w:id="5"/>
      </w:r>
      <w:r w:rsidRPr="00D1152D">
        <w:rPr>
          <w:rFonts w:ascii="Times New Roman" w:eastAsia="Times New Roman" w:hAnsi="Times New Roman" w:cs="Times New Roman"/>
        </w:rPr>
        <w:t xml:space="preserve"> de un profesor está sobre la media, el ingreso esperado de sus alumnos aumenta y estima cuánto es ese efecto en función de cuán alto es el desempeño del profesor. Así, un profesor con una efectividad una desviación estándar mayor a la media genera ganancias marginales sobre US$400,000 en los ingresos futuros del estudiante, en valor presente, en una clase con 20 estudiantes y la ganancia aumenta proporcionalmente en clases más grandes. El rango más bajo de Hanushek </w:t>
      </w:r>
      <w:r w:rsidR="00A5392D">
        <w:rPr>
          <w:rFonts w:ascii="Times New Roman" w:eastAsia="Times New Roman" w:hAnsi="Times New Roman" w:cs="Times New Roman"/>
        </w:rPr>
        <w:t>corresponde a</w:t>
      </w:r>
      <w:r w:rsidRPr="00D1152D">
        <w:rPr>
          <w:rFonts w:ascii="Times New Roman" w:eastAsia="Times New Roman" w:hAnsi="Times New Roman" w:cs="Times New Roman"/>
        </w:rPr>
        <w:t xml:space="preserve"> un desempeño de 0.25 desviaciones estándar sobre la media</w:t>
      </w:r>
      <w:r w:rsidR="00CB290A">
        <w:rPr>
          <w:rFonts w:ascii="Times New Roman" w:eastAsia="Times New Roman" w:hAnsi="Times New Roman" w:cs="Times New Roman"/>
        </w:rPr>
        <w:t xml:space="preserve"> (percentil 60)</w:t>
      </w:r>
      <w:r w:rsidR="00AA4321">
        <w:rPr>
          <w:rFonts w:ascii="Times New Roman" w:eastAsia="Times New Roman" w:hAnsi="Times New Roman" w:cs="Times New Roman"/>
        </w:rPr>
        <w:t>. Com</w:t>
      </w:r>
      <w:r w:rsidR="00CB290A">
        <w:rPr>
          <w:rFonts w:ascii="Times New Roman" w:eastAsia="Times New Roman" w:hAnsi="Times New Roman" w:cs="Times New Roman"/>
        </w:rPr>
        <w:t>parando con el estudio de Jacob</w:t>
      </w:r>
      <w:r w:rsidR="00AA4321">
        <w:rPr>
          <w:rFonts w:ascii="Times New Roman" w:eastAsia="Times New Roman" w:hAnsi="Times New Roman" w:cs="Times New Roman"/>
        </w:rPr>
        <w:t>, este es</w:t>
      </w:r>
      <w:r w:rsidRPr="00D1152D">
        <w:rPr>
          <w:rFonts w:ascii="Times New Roman" w:eastAsia="Times New Roman" w:hAnsi="Times New Roman" w:cs="Times New Roman"/>
        </w:rPr>
        <w:t xml:space="preserve"> </w:t>
      </w:r>
      <w:r w:rsidR="00AA4321">
        <w:rPr>
          <w:rFonts w:ascii="Times New Roman" w:eastAsia="Times New Roman" w:hAnsi="Times New Roman" w:cs="Times New Roman"/>
        </w:rPr>
        <w:t>un rango similar al de aquellos profesores que,</w:t>
      </w:r>
      <w:r w:rsidRPr="00D1152D">
        <w:rPr>
          <w:rFonts w:ascii="Times New Roman" w:eastAsia="Times New Roman" w:hAnsi="Times New Roman" w:cs="Times New Roman"/>
        </w:rPr>
        <w:t xml:space="preserve"> </w:t>
      </w:r>
      <w:r w:rsidR="00AA4321">
        <w:rPr>
          <w:rFonts w:ascii="Times New Roman" w:eastAsia="Times New Roman" w:hAnsi="Times New Roman" w:cs="Times New Roman"/>
        </w:rPr>
        <w:t>al</w:t>
      </w:r>
      <w:r w:rsidRPr="00D1152D">
        <w:rPr>
          <w:rFonts w:ascii="Times New Roman" w:eastAsia="Times New Roman" w:hAnsi="Times New Roman" w:cs="Times New Roman"/>
        </w:rPr>
        <w:t xml:space="preserve"> momento de ser seleccionados</w:t>
      </w:r>
      <w:r w:rsidR="00AA4321">
        <w:rPr>
          <w:rFonts w:ascii="Times New Roman" w:eastAsia="Times New Roman" w:hAnsi="Times New Roman" w:cs="Times New Roman"/>
        </w:rPr>
        <w:t>,</w:t>
      </w:r>
      <w:r w:rsidRPr="00D1152D">
        <w:rPr>
          <w:rFonts w:ascii="Times New Roman" w:eastAsia="Times New Roman" w:hAnsi="Times New Roman" w:cs="Times New Roman"/>
        </w:rPr>
        <w:t xml:space="preserve"> tienen las mejores características.</w:t>
      </w:r>
    </w:p>
    <w:p w14:paraId="3147FC06" w14:textId="0D4CF612" w:rsidR="005A0E67" w:rsidRPr="00D53B16" w:rsidRDefault="00D53B16" w:rsidP="00D53B16">
      <w:pPr>
        <w:tabs>
          <w:tab w:val="left" w:pos="1830"/>
          <w:tab w:val="center" w:pos="4419"/>
        </w:tabs>
        <w:spacing w:after="0" w:line="276"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5A0E67" w:rsidRPr="00D53B16">
        <w:rPr>
          <w:rFonts w:ascii="Times New Roman" w:eastAsia="Times New Roman" w:hAnsi="Times New Roman" w:cs="Times New Roman"/>
          <w:b/>
        </w:rPr>
        <w:t>Tabla 5</w:t>
      </w:r>
    </w:p>
    <w:p w14:paraId="5251422E" w14:textId="45963F25" w:rsidR="005A0E67" w:rsidRDefault="00D53B16" w:rsidP="005A0E67">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I</w:t>
      </w:r>
      <w:r w:rsidR="005A0E67" w:rsidRPr="00D53B16">
        <w:rPr>
          <w:rFonts w:ascii="Times New Roman" w:eastAsia="Times New Roman" w:hAnsi="Times New Roman" w:cs="Times New Roman"/>
          <w:b/>
        </w:rPr>
        <w:t>ngreso esperado en la vida de un estudiante, producto de la calidad del profesor</w:t>
      </w:r>
    </w:p>
    <w:p w14:paraId="4EF50C4F" w14:textId="4F28B22E" w:rsidR="005A0E67" w:rsidRDefault="005A0E67" w:rsidP="005A0E67">
      <w:pPr>
        <w:spacing w:after="0" w:line="276" w:lineRule="auto"/>
        <w:jc w:val="both"/>
        <w:rPr>
          <w:rFonts w:ascii="Times New Roman" w:hAnsi="Times New Roman" w:cs="Times New Roman"/>
          <w:color w:val="000000" w:themeColor="text1"/>
          <w:lang w:val="es-ES_tradnl"/>
        </w:rPr>
      </w:pPr>
      <w:r w:rsidRPr="005A0E67">
        <w:rPr>
          <w:noProof/>
          <w:lang w:val="en-US"/>
        </w:rPr>
        <w:drawing>
          <wp:inline distT="0" distB="0" distL="0" distR="0" wp14:anchorId="1DCBC098" wp14:editId="73C69A1D">
            <wp:extent cx="5612130" cy="1344223"/>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344223"/>
                    </a:xfrm>
                    <a:prstGeom prst="rect">
                      <a:avLst/>
                    </a:prstGeom>
                    <a:noFill/>
                    <a:ln>
                      <a:noFill/>
                    </a:ln>
                  </pic:spPr>
                </pic:pic>
              </a:graphicData>
            </a:graphic>
          </wp:inline>
        </w:drawing>
      </w:r>
    </w:p>
    <w:p w14:paraId="25133037" w14:textId="746A3039" w:rsidR="005A0E67" w:rsidRPr="005A0E67" w:rsidRDefault="005A0E67" w:rsidP="002853CC">
      <w:pPr>
        <w:spacing w:after="120" w:line="276" w:lineRule="auto"/>
        <w:jc w:val="both"/>
        <w:rPr>
          <w:rFonts w:ascii="Times New Roman" w:hAnsi="Times New Roman" w:cs="Times New Roman"/>
          <w:color w:val="000000" w:themeColor="text1"/>
          <w:sz w:val="20"/>
          <w:szCs w:val="20"/>
          <w:lang w:val="es-ES_tradnl"/>
        </w:rPr>
      </w:pPr>
      <w:r w:rsidRPr="005A0E67">
        <w:rPr>
          <w:rFonts w:ascii="Times New Roman" w:hAnsi="Times New Roman" w:cs="Times New Roman"/>
          <w:color w:val="000000" w:themeColor="text1"/>
          <w:sz w:val="20"/>
          <w:szCs w:val="20"/>
          <w:lang w:val="es-ES_tradnl"/>
        </w:rPr>
        <w:t>Fuente: Hanushek (2010)</w:t>
      </w:r>
    </w:p>
    <w:p w14:paraId="7CEAAD56" w14:textId="77777777" w:rsidR="00E62CAD" w:rsidRPr="00F179E5" w:rsidRDefault="00E62CAD" w:rsidP="003F10B5">
      <w:pPr>
        <w:pStyle w:val="ListParagraph"/>
        <w:numPr>
          <w:ilvl w:val="0"/>
          <w:numId w:val="3"/>
        </w:numPr>
        <w:spacing w:before="240" w:after="240" w:line="276" w:lineRule="auto"/>
        <w:jc w:val="both"/>
        <w:rPr>
          <w:rFonts w:ascii="Times New Roman" w:hAnsi="Times New Roman" w:cs="Times New Roman"/>
          <w:b/>
          <w:sz w:val="24"/>
          <w:szCs w:val="24"/>
        </w:rPr>
      </w:pPr>
      <w:r w:rsidRPr="00F179E5">
        <w:rPr>
          <w:rFonts w:ascii="Times New Roman" w:hAnsi="Times New Roman" w:cs="Times New Roman"/>
          <w:b/>
          <w:sz w:val="24"/>
          <w:szCs w:val="24"/>
        </w:rPr>
        <w:t>Estimación de los beneficios de los componentes</w:t>
      </w:r>
    </w:p>
    <w:p w14:paraId="5CB2D8D4" w14:textId="77777777" w:rsidR="00C57F40" w:rsidRPr="00C57F40" w:rsidRDefault="00C57F40" w:rsidP="00C57F40">
      <w:pPr>
        <w:spacing w:after="120" w:line="276" w:lineRule="auto"/>
        <w:jc w:val="both"/>
        <w:rPr>
          <w:rFonts w:ascii="Times New Roman" w:hAnsi="Times New Roman" w:cs="Times New Roman"/>
          <w:smallCaps/>
        </w:rPr>
      </w:pPr>
      <w:r w:rsidRPr="00C57F40">
        <w:rPr>
          <w:rFonts w:ascii="Times New Roman" w:hAnsi="Times New Roman" w:cs="Times New Roman"/>
          <w:b/>
          <w:i/>
          <w:smallCaps/>
          <w:spacing w:val="-2"/>
        </w:rPr>
        <w:t>Componente de c</w:t>
      </w:r>
      <w:r w:rsidRPr="00C57F40">
        <w:rPr>
          <w:rFonts w:ascii="Times New Roman" w:hAnsi="Times New Roman" w:cs="Times New Roman"/>
          <w:b/>
          <w:bCs/>
          <w:i/>
          <w:smallCaps/>
        </w:rPr>
        <w:t>onclusión de ciclos escolares y formación docente</w:t>
      </w:r>
    </w:p>
    <w:p w14:paraId="54353367" w14:textId="77777777" w:rsidR="00C57F40" w:rsidRPr="00C57F40" w:rsidRDefault="00C57F40" w:rsidP="00C57F40">
      <w:pPr>
        <w:spacing w:after="120" w:line="276" w:lineRule="auto"/>
        <w:jc w:val="both"/>
        <w:rPr>
          <w:rFonts w:ascii="Times New Roman" w:hAnsi="Times New Roman" w:cs="Times New Roman"/>
          <w:shd w:val="clear" w:color="auto" w:fill="FFFFFF"/>
        </w:rPr>
      </w:pPr>
      <w:r w:rsidRPr="00C57F40">
        <w:rPr>
          <w:rFonts w:ascii="Times New Roman" w:hAnsi="Times New Roman" w:cs="Times New Roman"/>
        </w:rPr>
        <w:t xml:space="preserve">Como se mencionó, para estimar los beneficios del componente de educación para jóvenes y adultos, se utiliza la ENEMDU. </w:t>
      </w:r>
      <w:r w:rsidRPr="00C57F40">
        <w:rPr>
          <w:rFonts w:ascii="Times New Roman" w:hAnsi="Times New Roman" w:cs="Times New Roman"/>
          <w:shd w:val="clear" w:color="auto" w:fill="FFFFFF"/>
        </w:rPr>
        <w:t xml:space="preserve">El propósito de esta encuesta es proporcionar información sobre el mercado laboral ecuatoriano, a través de la recolección de datos, con periodicidad trimestral, </w:t>
      </w:r>
      <w:r w:rsidRPr="00C57F40">
        <w:rPr>
          <w:rFonts w:ascii="Times New Roman" w:hAnsi="Times New Roman" w:cs="Times New Roman"/>
          <w:lang w:val="es-AR"/>
        </w:rPr>
        <w:t xml:space="preserve">con una cobertura nacional y regional, a nivel urbano y rural, </w:t>
      </w:r>
      <w:r w:rsidRPr="00C57F40">
        <w:rPr>
          <w:rFonts w:ascii="Times New Roman" w:hAnsi="Times New Roman" w:cs="Times New Roman"/>
          <w:shd w:val="clear" w:color="auto" w:fill="FFFFFF"/>
        </w:rPr>
        <w:t>siguiendo las normas y recomendaciones internacionales de la OIT.</w:t>
      </w:r>
    </w:p>
    <w:p w14:paraId="1801CFF6" w14:textId="77777777" w:rsidR="00C57F40" w:rsidRPr="00C57F40" w:rsidRDefault="00C57F40" w:rsidP="00C57F40">
      <w:pPr>
        <w:spacing w:after="120" w:line="276" w:lineRule="auto"/>
        <w:jc w:val="both"/>
        <w:rPr>
          <w:rFonts w:ascii="Times New Roman" w:hAnsi="Times New Roman" w:cs="Times New Roman"/>
          <w:shd w:val="clear" w:color="auto" w:fill="FFFFFF"/>
        </w:rPr>
      </w:pPr>
      <w:r w:rsidRPr="00C57F40">
        <w:rPr>
          <w:rFonts w:ascii="Times New Roman" w:hAnsi="Times New Roman" w:cs="Times New Roman"/>
          <w:shd w:val="clear" w:color="auto" w:fill="FFFFFF"/>
        </w:rPr>
        <w:t>Al procesar su base de datos, se puede obtener información, a nivel individual, de la edad, el nivel de educación alcanzado y el ingreso laboral promedio mensual. Esta información se puede cruzar con la información proporcionada por EBJA.</w:t>
      </w:r>
    </w:p>
    <w:p w14:paraId="1893C62B" w14:textId="77777777" w:rsidR="00C57F40" w:rsidRPr="00C57F40" w:rsidRDefault="00C57F40" w:rsidP="00C57F40">
      <w:pPr>
        <w:spacing w:after="120" w:line="276" w:lineRule="auto"/>
        <w:jc w:val="both"/>
        <w:rPr>
          <w:rFonts w:ascii="Times New Roman" w:hAnsi="Times New Roman" w:cs="Times New Roman"/>
          <w:shd w:val="clear" w:color="auto" w:fill="FFFFFF"/>
        </w:rPr>
      </w:pPr>
      <w:r w:rsidRPr="00C57F40">
        <w:rPr>
          <w:rFonts w:ascii="Times New Roman" w:hAnsi="Times New Roman" w:cs="Times New Roman"/>
          <w:color w:val="000000"/>
        </w:rPr>
        <w:lastRenderedPageBreak/>
        <w:t>Desde el año 2010 el Ministerio de Educación ejecuta el Proyecto de Educación Básica para Jóvenes y Adultos con el propósito de ofertar los servicios educativos de alfabetización y post alfabetización a la población mayor de 15 años. Según la encuesta ENEMDU de diciembre 2014 existen en el país 1’629,556 personas de 15 años en adelante que requieren completar su educación básica media de los</w:t>
      </w:r>
      <w:r w:rsidRPr="00C57F40">
        <w:rPr>
          <w:rFonts w:ascii="Times New Roman" w:hAnsi="Times New Roman" w:cs="Times New Roman"/>
        </w:rPr>
        <w:t xml:space="preserve"> cuales 643,231 personas corresponden a alfabetización y 986,325 a post alfabetización</w:t>
      </w:r>
      <w:r>
        <w:rPr>
          <w:rStyle w:val="FootnoteReference"/>
          <w:rFonts w:ascii="Times New Roman" w:hAnsi="Times New Roman" w:cs="Times New Roman"/>
        </w:rPr>
        <w:footnoteReference w:id="6"/>
      </w:r>
      <w:r w:rsidRPr="00C57F40">
        <w:rPr>
          <w:rFonts w:ascii="Times New Roman" w:hAnsi="Times New Roman" w:cs="Times New Roman"/>
        </w:rPr>
        <w:t xml:space="preserve">. </w:t>
      </w:r>
    </w:p>
    <w:p w14:paraId="78262321" w14:textId="77777777" w:rsidR="00C57F40" w:rsidRPr="00C57F40" w:rsidRDefault="00C57F40" w:rsidP="00C57F40">
      <w:pPr>
        <w:spacing w:after="120" w:line="276" w:lineRule="auto"/>
        <w:jc w:val="both"/>
        <w:rPr>
          <w:rFonts w:ascii="Times New Roman" w:hAnsi="Times New Roman" w:cs="Times New Roman"/>
        </w:rPr>
      </w:pPr>
      <w:r w:rsidRPr="00C57F40">
        <w:rPr>
          <w:rFonts w:ascii="Times New Roman" w:hAnsi="Times New Roman" w:cs="Times New Roman"/>
          <w:shd w:val="clear" w:color="auto" w:fill="FFFFFF"/>
        </w:rPr>
        <w:t xml:space="preserve">En los primeros años, este programa se enfocó en la alfabetización. Este primer componente es para personas mayores de 15 años con un módulo que tiene una duración de 6 meses. </w:t>
      </w:r>
      <w:r w:rsidRPr="00C57F40">
        <w:rPr>
          <w:rFonts w:ascii="Times New Roman" w:hAnsi="Times New Roman" w:cs="Times New Roman"/>
        </w:rPr>
        <w:t xml:space="preserve">La alfabetización consiste en enseñar a jóvenes y adultos a leer y escribir, que por la falta de continuidad han olvidado lo aprendido o no tuvieron la oportunidad de ingresar al sistema educativo. </w:t>
      </w:r>
      <w:r w:rsidRPr="00C57F40">
        <w:rPr>
          <w:rFonts w:ascii="Times New Roman" w:hAnsi="Times New Roman" w:cs="Times New Roman"/>
          <w:shd w:val="clear" w:color="auto" w:fill="FFFFFF"/>
        </w:rPr>
        <w:t>Este componente f</w:t>
      </w:r>
      <w:r w:rsidRPr="00C57F40">
        <w:rPr>
          <w:rFonts w:ascii="Times New Roman" w:hAnsi="Times New Roman" w:cs="Times New Roman"/>
        </w:rPr>
        <w:t xml:space="preserve">unciona con una modalidad presencial, que puede ser diurna, vespertina y nocturna, acorde a la necesidad del participante/beneficiario. </w:t>
      </w:r>
    </w:p>
    <w:p w14:paraId="6A1E9C13" w14:textId="77777777" w:rsidR="00C57F40" w:rsidRPr="00C57F40" w:rsidRDefault="00C57F40" w:rsidP="00C57F40">
      <w:pPr>
        <w:spacing w:after="120" w:line="276" w:lineRule="auto"/>
        <w:jc w:val="both"/>
        <w:rPr>
          <w:rFonts w:ascii="Times New Roman" w:hAnsi="Times New Roman" w:cs="Times New Roman"/>
        </w:rPr>
      </w:pPr>
      <w:r w:rsidRPr="00C57F40">
        <w:rPr>
          <w:rFonts w:ascii="Times New Roman" w:hAnsi="Times New Roman" w:cs="Times New Roman"/>
        </w:rPr>
        <w:t xml:space="preserve">En 2015, el programa amplió su oferta incluyendo los componentes de post alfabetización, educación general básica y bachillerato. La post-alfabetización es la continuidad del proceso de alfabetización y atiende a la población que ya adquirió la habilidad de lecto - escritura y matemáticas, consolidando estas destrezas adquiridas. Este componente es también para personas mayores de 15 años y funciona con varios módulos que duran 24 semanas cada uno: el módulo 2 es equivalente a 3ro y 4to grado, el módulo 3 es equivalente a 5to y 6to grado y el módulo 4 es equivalente a 7mo grado. </w:t>
      </w:r>
      <w:r w:rsidRPr="00C57F40">
        <w:rPr>
          <w:rFonts w:ascii="Times New Roman" w:hAnsi="Times New Roman" w:cs="Times New Roman"/>
          <w:shd w:val="clear" w:color="auto" w:fill="FFFFFF"/>
        </w:rPr>
        <w:t>Este componente f</w:t>
      </w:r>
      <w:r w:rsidRPr="00C57F40">
        <w:rPr>
          <w:rFonts w:ascii="Times New Roman" w:hAnsi="Times New Roman" w:cs="Times New Roman"/>
        </w:rPr>
        <w:t>unciona con una modalidad presencial, que puede ser diurna, vespertina y nocturna, acorde a la necesidad del participante/beneficiario.</w:t>
      </w:r>
    </w:p>
    <w:p w14:paraId="3356851B" w14:textId="77777777" w:rsidR="00C57F40" w:rsidRPr="00A83602" w:rsidRDefault="00C57F40" w:rsidP="00C57F40">
      <w:pPr>
        <w:pStyle w:val="NormalWeb"/>
        <w:spacing w:after="120" w:line="276" w:lineRule="auto"/>
        <w:jc w:val="both"/>
        <w:rPr>
          <w:sz w:val="22"/>
          <w:szCs w:val="22"/>
          <w:shd w:val="clear" w:color="auto" w:fill="FFFFFF"/>
        </w:rPr>
      </w:pPr>
      <w:r w:rsidRPr="00EF6068">
        <w:rPr>
          <w:sz w:val="22"/>
          <w:szCs w:val="22"/>
        </w:rPr>
        <w:t>El componente de Educación General Básica funciona con un módulo de 11 meses para personas entre 15 y 21 años de edad que deben terminar el último año de este ciclo educativo, mientras que el Bachillerato está orientado a personas entre 18 y 29 años de edad. El componente puede durar 10 meses, que equivalen a 1º, 2º y 3º de Bachillerato, o 7 meses que equivalen a 2º y 3º de Bachillerato, o 4 meses, equivalente a 3º de Bachillerato. Recientemente, el EBJA incluyó en este componente una nueva oferta para que cada uno de los años faltantes se pueda realizar en 5 meses por año, con 30 horas semanales en un horario de 17h00 – 22h00 que incluye los sábados de 08h00 – 17h00. Dado que esta es una nueva modalidad, beneficiaría solo a un grupo específico de estudiantes.</w:t>
      </w:r>
      <w:r>
        <w:rPr>
          <w:sz w:val="22"/>
          <w:szCs w:val="22"/>
        </w:rPr>
        <w:t xml:space="preserve"> </w:t>
      </w:r>
    </w:p>
    <w:p w14:paraId="193D2E7C" w14:textId="03B79FE5" w:rsidR="00C57F40" w:rsidRPr="00C57F40" w:rsidRDefault="0024363C" w:rsidP="00C57F40">
      <w:pPr>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Tabla 6</w:t>
      </w:r>
    </w:p>
    <w:p w14:paraId="5B2CFE12" w14:textId="77777777" w:rsidR="00C57F40" w:rsidRPr="00C57F40" w:rsidRDefault="00C57F40" w:rsidP="00C57F40">
      <w:pPr>
        <w:spacing w:after="0" w:line="240" w:lineRule="auto"/>
        <w:jc w:val="center"/>
        <w:rPr>
          <w:rFonts w:ascii="Times New Roman" w:hAnsi="Times New Roman" w:cs="Times New Roman"/>
          <w:b/>
          <w:shd w:val="clear" w:color="auto" w:fill="FFFFFF"/>
        </w:rPr>
      </w:pPr>
      <w:r w:rsidRPr="00C57F40">
        <w:rPr>
          <w:rFonts w:ascii="Times New Roman" w:hAnsi="Times New Roman" w:cs="Times New Roman"/>
          <w:b/>
          <w:shd w:val="clear" w:color="auto" w:fill="FFFFFF"/>
        </w:rPr>
        <w:t>Población atendida por EBJA</w:t>
      </w:r>
    </w:p>
    <w:p w14:paraId="681BED20" w14:textId="77777777" w:rsidR="00C57F40" w:rsidRPr="00C57F40" w:rsidRDefault="00C57F40" w:rsidP="00C57F40">
      <w:pPr>
        <w:spacing w:after="0" w:line="276" w:lineRule="auto"/>
        <w:jc w:val="both"/>
        <w:rPr>
          <w:rFonts w:ascii="Times New Roman" w:hAnsi="Times New Roman" w:cs="Times New Roman"/>
          <w:shd w:val="clear" w:color="auto" w:fill="FFFFFF"/>
        </w:rPr>
      </w:pPr>
      <w:r w:rsidRPr="003B0EFD">
        <w:rPr>
          <w:noProof/>
          <w:lang w:val="en-US"/>
        </w:rPr>
        <w:drawing>
          <wp:inline distT="0" distB="0" distL="0" distR="0" wp14:anchorId="10C58E50" wp14:editId="05F14545">
            <wp:extent cx="5543550" cy="1504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3550" cy="1504950"/>
                    </a:xfrm>
                    <a:prstGeom prst="rect">
                      <a:avLst/>
                    </a:prstGeom>
                    <a:noFill/>
                    <a:ln>
                      <a:noFill/>
                    </a:ln>
                  </pic:spPr>
                </pic:pic>
              </a:graphicData>
            </a:graphic>
          </wp:inline>
        </w:drawing>
      </w:r>
    </w:p>
    <w:p w14:paraId="1264D6BE" w14:textId="77777777" w:rsidR="00C57F40" w:rsidRPr="00C57F40" w:rsidRDefault="00C57F40" w:rsidP="00C57F40">
      <w:pPr>
        <w:spacing w:after="120" w:line="276" w:lineRule="auto"/>
        <w:jc w:val="both"/>
        <w:rPr>
          <w:rFonts w:ascii="Times New Roman" w:hAnsi="Times New Roman" w:cs="Times New Roman"/>
          <w:sz w:val="20"/>
          <w:szCs w:val="20"/>
          <w:shd w:val="clear" w:color="auto" w:fill="FFFFFF"/>
        </w:rPr>
      </w:pPr>
      <w:r w:rsidRPr="00C57F40">
        <w:rPr>
          <w:rFonts w:ascii="Times New Roman" w:hAnsi="Times New Roman" w:cs="Times New Roman"/>
          <w:sz w:val="20"/>
          <w:szCs w:val="20"/>
          <w:shd w:val="clear" w:color="auto" w:fill="FFFFFF"/>
        </w:rPr>
        <w:t>Fuente: EBJA</w:t>
      </w:r>
    </w:p>
    <w:p w14:paraId="418F0300" w14:textId="5DA0F755" w:rsidR="00C57F40" w:rsidRDefault="00C57F40" w:rsidP="00C57F40">
      <w:pPr>
        <w:spacing w:after="120" w:line="276" w:lineRule="auto"/>
        <w:jc w:val="both"/>
        <w:rPr>
          <w:rFonts w:ascii="Times New Roman" w:hAnsi="Times New Roman" w:cs="Times New Roman"/>
          <w:bCs/>
        </w:rPr>
      </w:pPr>
      <w:r w:rsidRPr="00C57F40">
        <w:rPr>
          <w:rFonts w:ascii="Times New Roman" w:hAnsi="Times New Roman" w:cs="Times New Roman"/>
          <w:shd w:val="clear" w:color="auto" w:fill="FFFFFF"/>
        </w:rPr>
        <w:t xml:space="preserve">Según el EBJA, los beneficiarios en 2016 serían </w:t>
      </w:r>
      <w:r w:rsidR="00B625ED">
        <w:rPr>
          <w:rFonts w:ascii="Times New Roman" w:hAnsi="Times New Roman" w:cs="Times New Roman"/>
          <w:shd w:val="clear" w:color="auto" w:fill="FFFFFF"/>
        </w:rPr>
        <w:t>110,000</w:t>
      </w:r>
      <w:r w:rsidRPr="00C57F40">
        <w:rPr>
          <w:rFonts w:ascii="Times New Roman" w:hAnsi="Times New Roman" w:cs="Times New Roman"/>
          <w:shd w:val="clear" w:color="auto" w:fill="FFFFFF"/>
        </w:rPr>
        <w:t xml:space="preserve"> en EGB y </w:t>
      </w:r>
      <w:r w:rsidR="00B625ED">
        <w:rPr>
          <w:rFonts w:ascii="Times New Roman" w:hAnsi="Times New Roman" w:cs="Times New Roman"/>
          <w:shd w:val="clear" w:color="auto" w:fill="FFFFFF"/>
        </w:rPr>
        <w:t>30,000</w:t>
      </w:r>
      <w:r w:rsidRPr="00C57F40">
        <w:rPr>
          <w:rFonts w:ascii="Times New Roman" w:hAnsi="Times New Roman" w:cs="Times New Roman"/>
          <w:shd w:val="clear" w:color="auto" w:fill="FFFFFF"/>
        </w:rPr>
        <w:t xml:space="preserve"> en bachillerato, mientras que en 2017 los beneficiarios </w:t>
      </w:r>
      <w:r w:rsidR="00043635">
        <w:rPr>
          <w:rFonts w:ascii="Times New Roman" w:hAnsi="Times New Roman" w:cs="Times New Roman"/>
          <w:shd w:val="clear" w:color="auto" w:fill="FFFFFF"/>
        </w:rPr>
        <w:t>serían 5</w:t>
      </w:r>
      <w:r w:rsidR="00B625ED">
        <w:rPr>
          <w:rFonts w:ascii="Times New Roman" w:hAnsi="Times New Roman" w:cs="Times New Roman"/>
          <w:shd w:val="clear" w:color="auto" w:fill="FFFFFF"/>
        </w:rPr>
        <w:t>7</w:t>
      </w:r>
      <w:r w:rsidR="00043635">
        <w:rPr>
          <w:rFonts w:ascii="Times New Roman" w:hAnsi="Times New Roman" w:cs="Times New Roman"/>
          <w:shd w:val="clear" w:color="auto" w:fill="FFFFFF"/>
        </w:rPr>
        <w:t>,</w:t>
      </w:r>
      <w:r w:rsidR="00B625ED">
        <w:rPr>
          <w:rFonts w:ascii="Times New Roman" w:hAnsi="Times New Roman" w:cs="Times New Roman"/>
          <w:shd w:val="clear" w:color="auto" w:fill="FFFFFF"/>
        </w:rPr>
        <w:t>000</w:t>
      </w:r>
      <w:r w:rsidR="00043635">
        <w:rPr>
          <w:rFonts w:ascii="Times New Roman" w:hAnsi="Times New Roman" w:cs="Times New Roman"/>
          <w:shd w:val="clear" w:color="auto" w:fill="FFFFFF"/>
        </w:rPr>
        <w:t xml:space="preserve"> </w:t>
      </w:r>
      <w:r w:rsidRPr="00C57F40">
        <w:rPr>
          <w:rFonts w:ascii="Times New Roman" w:hAnsi="Times New Roman" w:cs="Times New Roman"/>
          <w:shd w:val="clear" w:color="auto" w:fill="FFFFFF"/>
        </w:rPr>
        <w:t xml:space="preserve">en EGB y </w:t>
      </w:r>
      <w:r w:rsidR="00043635">
        <w:rPr>
          <w:rFonts w:ascii="Times New Roman" w:hAnsi="Times New Roman" w:cs="Times New Roman"/>
          <w:shd w:val="clear" w:color="auto" w:fill="FFFFFF"/>
        </w:rPr>
        <w:t xml:space="preserve">54,250 en </w:t>
      </w:r>
      <w:r w:rsidRPr="00C57F40">
        <w:rPr>
          <w:rFonts w:ascii="Times New Roman" w:hAnsi="Times New Roman" w:cs="Times New Roman"/>
          <w:shd w:val="clear" w:color="auto" w:fill="FFFFFF"/>
        </w:rPr>
        <w:t xml:space="preserve">bachillerato. En los años </w:t>
      </w:r>
      <w:r w:rsidRPr="00C57F40">
        <w:rPr>
          <w:rFonts w:ascii="Times New Roman" w:hAnsi="Times New Roman" w:cs="Times New Roman"/>
          <w:shd w:val="clear" w:color="auto" w:fill="FFFFFF"/>
        </w:rPr>
        <w:lastRenderedPageBreak/>
        <w:t>anteriores, el EBJA ha registrado un porcentaje de 90% de e</w:t>
      </w:r>
      <w:r w:rsidRPr="00C57F40">
        <w:rPr>
          <w:rFonts w:ascii="Times New Roman" w:hAnsi="Times New Roman" w:cs="Times New Roman"/>
          <w:bCs/>
        </w:rPr>
        <w:t xml:space="preserve">studiantes graduados del ciclo de EGB del total de matriculados y de 88% de estudiantes graduados de bachillerato del total de matriculados. </w:t>
      </w:r>
      <w:r w:rsidR="00C91F2F" w:rsidRPr="00C57F40">
        <w:rPr>
          <w:rFonts w:ascii="Times New Roman" w:hAnsi="Times New Roman" w:cs="Times New Roman"/>
          <w:bCs/>
        </w:rPr>
        <w:t>Dado que las metas planteadas para los próximos años son ambiciosas frente al número efectivo de beneficiarios de 2015</w:t>
      </w:r>
      <w:r w:rsidR="00C91F2F">
        <w:rPr>
          <w:rFonts w:ascii="Times New Roman" w:hAnsi="Times New Roman" w:cs="Times New Roman"/>
          <w:bCs/>
        </w:rPr>
        <w:t xml:space="preserve"> (especialmente para bachillerato)</w:t>
      </w:r>
      <w:r w:rsidR="00C91F2F" w:rsidRPr="00C57F40">
        <w:rPr>
          <w:rFonts w:ascii="Times New Roman" w:hAnsi="Times New Roman" w:cs="Times New Roman"/>
          <w:bCs/>
        </w:rPr>
        <w:t xml:space="preserve">, en el cálculo de los beneficios se asumirá una tasa de graduación de </w:t>
      </w:r>
      <w:r w:rsidR="00C91F2F">
        <w:rPr>
          <w:rFonts w:ascii="Times New Roman" w:hAnsi="Times New Roman" w:cs="Times New Roman"/>
          <w:bCs/>
        </w:rPr>
        <w:t>5</w:t>
      </w:r>
      <w:r w:rsidR="00C91F2F" w:rsidRPr="00C57F40">
        <w:rPr>
          <w:rFonts w:ascii="Times New Roman" w:hAnsi="Times New Roman" w:cs="Times New Roman"/>
          <w:bCs/>
        </w:rPr>
        <w:t xml:space="preserve">0% </w:t>
      </w:r>
      <w:r w:rsidR="00C91F2F">
        <w:rPr>
          <w:rFonts w:ascii="Times New Roman" w:hAnsi="Times New Roman" w:cs="Times New Roman"/>
          <w:bCs/>
        </w:rPr>
        <w:t xml:space="preserve">para bachillerato y de 60% para EGB </w:t>
      </w:r>
      <w:r w:rsidR="00C91F2F" w:rsidRPr="00C57F40">
        <w:rPr>
          <w:rFonts w:ascii="Times New Roman" w:hAnsi="Times New Roman" w:cs="Times New Roman"/>
          <w:bCs/>
        </w:rPr>
        <w:t>y además, se realizarán análisis de sensibilidad con menores tasas de participación</w:t>
      </w:r>
      <w:r w:rsidRPr="00C57F40">
        <w:rPr>
          <w:rFonts w:ascii="Times New Roman" w:hAnsi="Times New Roman" w:cs="Times New Roman"/>
          <w:bCs/>
        </w:rPr>
        <w:t>.</w:t>
      </w:r>
    </w:p>
    <w:p w14:paraId="2672F7E2" w14:textId="472AE49E" w:rsidR="00C57F40" w:rsidRPr="00C57F40" w:rsidRDefault="0096437D" w:rsidP="00C57F40">
      <w:pPr>
        <w:spacing w:after="120" w:line="276" w:lineRule="auto"/>
        <w:jc w:val="both"/>
        <w:rPr>
          <w:rFonts w:ascii="Times New Roman" w:hAnsi="Times New Roman" w:cs="Times New Roman"/>
          <w:shd w:val="clear" w:color="auto" w:fill="FFFFFF"/>
        </w:rPr>
      </w:pPr>
      <w:r w:rsidRPr="00C57F40">
        <w:rPr>
          <w:rFonts w:ascii="Times New Roman" w:hAnsi="Times New Roman" w:cs="Times New Roman"/>
          <w:shd w:val="clear" w:color="auto" w:fill="FFFFFF"/>
        </w:rPr>
        <w:t>Como se mencionó, con los datos de la ENEMDU, se puede calcular el ingreso laboral anual</w:t>
      </w:r>
      <w:r>
        <w:rPr>
          <w:rStyle w:val="FootnoteReference"/>
          <w:rFonts w:ascii="Times New Roman" w:hAnsi="Times New Roman" w:cs="Times New Roman"/>
          <w:shd w:val="clear" w:color="auto" w:fill="FFFFFF"/>
        </w:rPr>
        <w:footnoteReference w:id="7"/>
      </w:r>
      <w:r w:rsidRPr="00C57F40">
        <w:rPr>
          <w:rFonts w:ascii="Times New Roman" w:hAnsi="Times New Roman" w:cs="Times New Roman"/>
          <w:shd w:val="clear" w:color="auto" w:fill="FFFFFF"/>
        </w:rPr>
        <w:t xml:space="preserve"> promedio según el ciclo educativo alcanzado. A diciembre 2015, el ingreso promedio anual para las personas que no tienen ningún nivel educativo, es de US$2,283, US$526 menor al ingreso promedio anual de las personas que completaron la educación en un centro de alfabetización. </w:t>
      </w:r>
    </w:p>
    <w:p w14:paraId="239C6D9F" w14:textId="0FB2BBB5" w:rsidR="00C57F40" w:rsidRPr="00C57F40" w:rsidRDefault="0024363C" w:rsidP="00C57F40">
      <w:pPr>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Tabla 7</w:t>
      </w:r>
    </w:p>
    <w:p w14:paraId="43264268" w14:textId="77777777" w:rsidR="00C57F40" w:rsidRPr="00C57F40" w:rsidRDefault="00C57F40" w:rsidP="00C57F40">
      <w:pPr>
        <w:spacing w:after="0" w:line="240" w:lineRule="auto"/>
        <w:jc w:val="center"/>
        <w:rPr>
          <w:rFonts w:ascii="Times New Roman" w:hAnsi="Times New Roman" w:cs="Times New Roman"/>
          <w:b/>
          <w:shd w:val="clear" w:color="auto" w:fill="FFFFFF"/>
        </w:rPr>
      </w:pPr>
      <w:r w:rsidRPr="00C57F40">
        <w:rPr>
          <w:rFonts w:ascii="Times New Roman" w:hAnsi="Times New Roman" w:cs="Times New Roman"/>
          <w:b/>
          <w:shd w:val="clear" w:color="auto" w:fill="FFFFFF"/>
        </w:rPr>
        <w:t>Alfabetización - ingreso laboral anual promedio US$</w:t>
      </w:r>
    </w:p>
    <w:p w14:paraId="2DCE5ADC" w14:textId="77777777" w:rsidR="00C57F40" w:rsidRPr="00C57F40" w:rsidRDefault="00C57F40" w:rsidP="00C57F40">
      <w:pPr>
        <w:spacing w:after="0" w:line="276" w:lineRule="auto"/>
        <w:jc w:val="center"/>
        <w:rPr>
          <w:rFonts w:ascii="Times New Roman" w:hAnsi="Times New Roman" w:cs="Times New Roman"/>
          <w:shd w:val="clear" w:color="auto" w:fill="FFFFFF"/>
        </w:rPr>
      </w:pPr>
      <w:r w:rsidRPr="00F276F5">
        <w:rPr>
          <w:noProof/>
          <w:lang w:val="en-US"/>
        </w:rPr>
        <w:drawing>
          <wp:inline distT="0" distB="0" distL="0" distR="0" wp14:anchorId="13FB1002" wp14:editId="21A1C916">
            <wp:extent cx="3009900" cy="942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942975"/>
                    </a:xfrm>
                    <a:prstGeom prst="rect">
                      <a:avLst/>
                    </a:prstGeom>
                    <a:noFill/>
                    <a:ln>
                      <a:noFill/>
                    </a:ln>
                  </pic:spPr>
                </pic:pic>
              </a:graphicData>
            </a:graphic>
          </wp:inline>
        </w:drawing>
      </w:r>
    </w:p>
    <w:p w14:paraId="608083E9" w14:textId="2C51D97B" w:rsidR="00C57F40" w:rsidRPr="00C57F40" w:rsidRDefault="0024363C" w:rsidP="0024363C">
      <w:pPr>
        <w:spacing w:after="120" w:line="276" w:lineRule="auto"/>
        <w:ind w:firstLine="7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57F40" w:rsidRPr="00C57F40">
        <w:rPr>
          <w:rFonts w:ascii="Times New Roman" w:hAnsi="Times New Roman" w:cs="Times New Roman"/>
          <w:sz w:val="20"/>
          <w:szCs w:val="20"/>
          <w:shd w:val="clear" w:color="auto" w:fill="FFFFFF"/>
        </w:rPr>
        <w:t xml:space="preserve">             Fuente: ENEMDU</w:t>
      </w:r>
    </w:p>
    <w:p w14:paraId="3D516141" w14:textId="77777777" w:rsidR="00C57F40" w:rsidRPr="00C57F40" w:rsidRDefault="00C57F40" w:rsidP="00C57F40">
      <w:pPr>
        <w:spacing w:after="120" w:line="276" w:lineRule="auto"/>
        <w:rPr>
          <w:rFonts w:ascii="Times New Roman" w:hAnsi="Times New Roman" w:cs="Times New Roman"/>
          <w:shd w:val="clear" w:color="auto" w:fill="FFFFFF"/>
        </w:rPr>
      </w:pPr>
      <w:r w:rsidRPr="00C57F40">
        <w:rPr>
          <w:rFonts w:ascii="Times New Roman" w:hAnsi="Times New Roman" w:cs="Times New Roman"/>
          <w:shd w:val="clear" w:color="auto" w:fill="FFFFFF"/>
        </w:rPr>
        <w:t xml:space="preserve">Por su parte el ingreso laboral promedio anual para los individuos que tienen un nivel de educación entre segundo y sexto grado de EGB es US$3,343, US$1,015 menos de lo que recibiría alguien que completó 7 años de EGB. </w:t>
      </w:r>
    </w:p>
    <w:p w14:paraId="760CCBC2" w14:textId="3830EBAD" w:rsidR="00C57F40" w:rsidRPr="00C57F40" w:rsidRDefault="0024363C" w:rsidP="00C57F40">
      <w:pPr>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Tabla 8</w:t>
      </w:r>
    </w:p>
    <w:p w14:paraId="63F1C6D0" w14:textId="77777777" w:rsidR="00C57F40" w:rsidRPr="00C57F40" w:rsidRDefault="00C57F40" w:rsidP="00C57F40">
      <w:pPr>
        <w:spacing w:after="0" w:line="240" w:lineRule="auto"/>
        <w:jc w:val="center"/>
        <w:rPr>
          <w:rFonts w:ascii="Times New Roman" w:hAnsi="Times New Roman" w:cs="Times New Roman"/>
          <w:b/>
          <w:shd w:val="clear" w:color="auto" w:fill="FFFFFF"/>
        </w:rPr>
      </w:pPr>
      <w:r w:rsidRPr="00C57F40">
        <w:rPr>
          <w:rFonts w:ascii="Times New Roman" w:hAnsi="Times New Roman" w:cs="Times New Roman"/>
          <w:b/>
          <w:shd w:val="clear" w:color="auto" w:fill="FFFFFF"/>
        </w:rPr>
        <w:t>Post alfabetización - ingreso laboral anual promedio US$</w:t>
      </w:r>
    </w:p>
    <w:p w14:paraId="4D6504C9" w14:textId="77777777" w:rsidR="00C57F40" w:rsidRPr="00C57F40" w:rsidRDefault="00C57F40" w:rsidP="00C57F40">
      <w:pPr>
        <w:spacing w:after="0" w:line="276" w:lineRule="auto"/>
        <w:jc w:val="center"/>
        <w:rPr>
          <w:rFonts w:ascii="Times New Roman" w:hAnsi="Times New Roman" w:cs="Times New Roman"/>
          <w:shd w:val="clear" w:color="auto" w:fill="FFFFFF"/>
        </w:rPr>
      </w:pPr>
      <w:r w:rsidRPr="00F30404">
        <w:rPr>
          <w:noProof/>
          <w:lang w:val="en-US"/>
        </w:rPr>
        <w:drawing>
          <wp:inline distT="0" distB="0" distL="0" distR="0" wp14:anchorId="56AC18D9" wp14:editId="23421E17">
            <wp:extent cx="3009900" cy="962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9900" cy="962025"/>
                    </a:xfrm>
                    <a:prstGeom prst="rect">
                      <a:avLst/>
                    </a:prstGeom>
                    <a:noFill/>
                    <a:ln>
                      <a:noFill/>
                    </a:ln>
                  </pic:spPr>
                </pic:pic>
              </a:graphicData>
            </a:graphic>
          </wp:inline>
        </w:drawing>
      </w:r>
    </w:p>
    <w:p w14:paraId="37756A16" w14:textId="47CE1308" w:rsidR="00C57F40" w:rsidRPr="00C57F40" w:rsidRDefault="0024363C" w:rsidP="0024363C">
      <w:pPr>
        <w:spacing w:after="120" w:line="276" w:lineRule="auto"/>
        <w:ind w:firstLine="7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C57F40" w:rsidRPr="00C57F40">
        <w:rPr>
          <w:rFonts w:ascii="Times New Roman" w:hAnsi="Times New Roman" w:cs="Times New Roman"/>
          <w:sz w:val="20"/>
          <w:szCs w:val="20"/>
          <w:shd w:val="clear" w:color="auto" w:fill="FFFFFF"/>
        </w:rPr>
        <w:t xml:space="preserve">             Fuente: ENEMDU</w:t>
      </w:r>
    </w:p>
    <w:p w14:paraId="2E73AA61" w14:textId="5574B13C" w:rsidR="00C57F40" w:rsidRPr="00C57F40" w:rsidRDefault="00C57F40" w:rsidP="00C57F40">
      <w:pPr>
        <w:spacing w:after="120" w:line="276" w:lineRule="auto"/>
        <w:jc w:val="both"/>
        <w:rPr>
          <w:rFonts w:ascii="Times New Roman" w:hAnsi="Times New Roman" w:cs="Times New Roman"/>
          <w:shd w:val="clear" w:color="auto" w:fill="FFFFFF"/>
        </w:rPr>
      </w:pPr>
      <w:r w:rsidRPr="00C57F40">
        <w:rPr>
          <w:rFonts w:ascii="Times New Roman" w:hAnsi="Times New Roman" w:cs="Times New Roman"/>
          <w:shd w:val="clear" w:color="auto" w:fill="FFFFFF"/>
        </w:rPr>
        <w:t>Los datos de la ENEMDU muestran también la diferencia en el ingreso laboral anual promedio para las personas que tienen 9 años de EGB y para las que completaron el ciclo, es decir culminaron los 10 años. En este caso se decidió calcular esta diferencia por rangos de edades y se observa que excepto para el grupo entre 20 y 24 años, la diferencia en salario es positiva. En el rango de edades 20-24, las personas que no culminaron la EGB y tienen 9 años de educación tienen un salario US$381 mayor al de las personas que terminar</w:t>
      </w:r>
      <w:r w:rsidR="009B4A2D">
        <w:rPr>
          <w:rFonts w:ascii="Times New Roman" w:hAnsi="Times New Roman" w:cs="Times New Roman"/>
          <w:shd w:val="clear" w:color="auto" w:fill="FFFFFF"/>
        </w:rPr>
        <w:t>on</w:t>
      </w:r>
      <w:r w:rsidRPr="00C57F40">
        <w:rPr>
          <w:rFonts w:ascii="Times New Roman" w:hAnsi="Times New Roman" w:cs="Times New Roman"/>
          <w:shd w:val="clear" w:color="auto" w:fill="FFFFFF"/>
        </w:rPr>
        <w:t xml:space="preserve"> el ciclo educativo. En los siguientes rangos de edades, hasta los 65 años, el haber completado la EGB significa un mayor salario, diferencia que sobresale en los rangos de 35-44 y 55-65 años.</w:t>
      </w:r>
    </w:p>
    <w:p w14:paraId="265C23A8" w14:textId="657B758C" w:rsidR="00C57F40" w:rsidRPr="00C57F40" w:rsidRDefault="0024363C" w:rsidP="00C57F40">
      <w:pPr>
        <w:keepNext/>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Tabla 9</w:t>
      </w:r>
    </w:p>
    <w:p w14:paraId="37D0A465" w14:textId="77777777" w:rsidR="00C57F40" w:rsidRPr="00C57F40" w:rsidRDefault="00C57F40" w:rsidP="00C57F40">
      <w:pPr>
        <w:keepNext/>
        <w:spacing w:after="0" w:line="276" w:lineRule="auto"/>
        <w:jc w:val="center"/>
        <w:rPr>
          <w:rFonts w:ascii="Times New Roman" w:hAnsi="Times New Roman" w:cs="Times New Roman"/>
          <w:b/>
          <w:shd w:val="clear" w:color="auto" w:fill="FFFFFF"/>
        </w:rPr>
      </w:pPr>
      <w:r w:rsidRPr="00C57F40">
        <w:rPr>
          <w:rFonts w:ascii="Times New Roman" w:hAnsi="Times New Roman" w:cs="Times New Roman"/>
          <w:b/>
          <w:shd w:val="clear" w:color="auto" w:fill="FFFFFF"/>
        </w:rPr>
        <w:t>Educación General Básica - ingreso laboral anual promedio US$</w:t>
      </w:r>
    </w:p>
    <w:p w14:paraId="5A3F91A7" w14:textId="77777777" w:rsidR="00C57F40" w:rsidRPr="00C57F40" w:rsidRDefault="00C57F40" w:rsidP="00C57F40">
      <w:pPr>
        <w:spacing w:after="0" w:line="276" w:lineRule="auto"/>
        <w:jc w:val="both"/>
        <w:rPr>
          <w:rFonts w:ascii="Times New Roman" w:hAnsi="Times New Roman" w:cs="Times New Roman"/>
          <w:shd w:val="clear" w:color="auto" w:fill="FFFFFF"/>
        </w:rPr>
      </w:pPr>
      <w:r w:rsidRPr="009B5DDE">
        <w:rPr>
          <w:noProof/>
          <w:lang w:val="en-US"/>
        </w:rPr>
        <w:drawing>
          <wp:inline distT="0" distB="0" distL="0" distR="0" wp14:anchorId="3A89295B" wp14:editId="3B044919">
            <wp:extent cx="55054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5450" cy="962025"/>
                    </a:xfrm>
                    <a:prstGeom prst="rect">
                      <a:avLst/>
                    </a:prstGeom>
                    <a:noFill/>
                    <a:ln>
                      <a:noFill/>
                    </a:ln>
                  </pic:spPr>
                </pic:pic>
              </a:graphicData>
            </a:graphic>
          </wp:inline>
        </w:drawing>
      </w:r>
    </w:p>
    <w:p w14:paraId="53C3A123" w14:textId="77777777" w:rsidR="00C57F40" w:rsidRPr="00C57F40" w:rsidRDefault="00C57F40" w:rsidP="00C57F40">
      <w:pPr>
        <w:spacing w:after="120" w:line="276" w:lineRule="auto"/>
        <w:jc w:val="both"/>
        <w:rPr>
          <w:rFonts w:ascii="Times New Roman" w:hAnsi="Times New Roman" w:cs="Times New Roman"/>
          <w:sz w:val="20"/>
          <w:szCs w:val="20"/>
          <w:shd w:val="clear" w:color="auto" w:fill="FFFFFF"/>
        </w:rPr>
      </w:pPr>
      <w:r w:rsidRPr="00C57F40">
        <w:rPr>
          <w:rFonts w:ascii="Times New Roman" w:hAnsi="Times New Roman" w:cs="Times New Roman"/>
          <w:sz w:val="20"/>
          <w:szCs w:val="20"/>
          <w:shd w:val="clear" w:color="auto" w:fill="FFFFFF"/>
        </w:rPr>
        <w:t>Fuente: ENEMDU</w:t>
      </w:r>
    </w:p>
    <w:p w14:paraId="1309A405" w14:textId="28F5DF2B" w:rsidR="00C57F40" w:rsidRPr="00C57F40" w:rsidRDefault="00C57F40" w:rsidP="00C57F40">
      <w:pPr>
        <w:spacing w:after="120" w:line="276" w:lineRule="auto"/>
        <w:jc w:val="both"/>
        <w:rPr>
          <w:rFonts w:ascii="Times New Roman" w:hAnsi="Times New Roman" w:cs="Times New Roman"/>
          <w:shd w:val="clear" w:color="auto" w:fill="FFFFFF"/>
        </w:rPr>
      </w:pPr>
      <w:r w:rsidRPr="00C57F40">
        <w:rPr>
          <w:rFonts w:ascii="Times New Roman" w:hAnsi="Times New Roman" w:cs="Times New Roman"/>
          <w:shd w:val="clear" w:color="auto" w:fill="FFFFFF"/>
        </w:rPr>
        <w:t>Al calcular la diferencia salarial entre personas que tienen dos años de bachillerato y personas que completaron el ciclo educativo, para diferentes rangos de edades, se observa que las personas con el título de bachiller tienen siempre un mayor salario. En los rangos de edades 45-54 y 55-65 sobresale esta diferencia, con un promedio de US$2,143 más para las personas con bachillerato.</w:t>
      </w:r>
    </w:p>
    <w:p w14:paraId="73E6014C" w14:textId="1D0B053E" w:rsidR="00C57F40" w:rsidRPr="00C57F40" w:rsidRDefault="00C57F40" w:rsidP="00C57F40">
      <w:pPr>
        <w:keepNext/>
        <w:spacing w:after="0" w:line="276" w:lineRule="auto"/>
        <w:jc w:val="center"/>
        <w:rPr>
          <w:rFonts w:ascii="Times New Roman" w:hAnsi="Times New Roman" w:cs="Times New Roman"/>
          <w:b/>
          <w:shd w:val="clear" w:color="auto" w:fill="FFFFFF"/>
        </w:rPr>
      </w:pPr>
      <w:r w:rsidRPr="00C57F40">
        <w:rPr>
          <w:rFonts w:ascii="Times New Roman" w:hAnsi="Times New Roman" w:cs="Times New Roman"/>
          <w:b/>
          <w:shd w:val="clear" w:color="auto" w:fill="FFFFFF"/>
        </w:rPr>
        <w:t>Tabla 1</w:t>
      </w:r>
      <w:r w:rsidR="0024363C">
        <w:rPr>
          <w:rFonts w:ascii="Times New Roman" w:hAnsi="Times New Roman" w:cs="Times New Roman"/>
          <w:b/>
          <w:shd w:val="clear" w:color="auto" w:fill="FFFFFF"/>
        </w:rPr>
        <w:t>0</w:t>
      </w:r>
    </w:p>
    <w:p w14:paraId="59CCA443" w14:textId="77777777" w:rsidR="00C57F40" w:rsidRPr="00C57F40" w:rsidRDefault="00C57F40" w:rsidP="00C57F40">
      <w:pPr>
        <w:keepNext/>
        <w:spacing w:after="0" w:line="276" w:lineRule="auto"/>
        <w:jc w:val="center"/>
        <w:rPr>
          <w:rFonts w:ascii="Times New Roman" w:hAnsi="Times New Roman" w:cs="Times New Roman"/>
          <w:shd w:val="clear" w:color="auto" w:fill="FFFFFF"/>
        </w:rPr>
      </w:pPr>
      <w:r w:rsidRPr="00C57F40">
        <w:rPr>
          <w:rFonts w:ascii="Times New Roman" w:hAnsi="Times New Roman" w:cs="Times New Roman"/>
          <w:b/>
          <w:shd w:val="clear" w:color="auto" w:fill="FFFFFF"/>
        </w:rPr>
        <w:t>Bachillerato - ingreso laboral anual promedio US$</w:t>
      </w:r>
    </w:p>
    <w:p w14:paraId="1AC68EA9" w14:textId="77777777" w:rsidR="00C57F40" w:rsidRPr="00C57F40" w:rsidRDefault="00C57F40" w:rsidP="00C57F40">
      <w:pPr>
        <w:spacing w:after="0" w:line="276" w:lineRule="auto"/>
        <w:jc w:val="both"/>
        <w:rPr>
          <w:rFonts w:ascii="Times New Roman" w:hAnsi="Times New Roman" w:cs="Times New Roman"/>
          <w:shd w:val="clear" w:color="auto" w:fill="FFFFFF"/>
        </w:rPr>
      </w:pPr>
      <w:r w:rsidRPr="00E67737">
        <w:rPr>
          <w:noProof/>
          <w:lang w:val="en-US"/>
        </w:rPr>
        <w:drawing>
          <wp:inline distT="0" distB="0" distL="0" distR="0" wp14:anchorId="2E751109" wp14:editId="5C1B4EA6">
            <wp:extent cx="550545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962025"/>
                    </a:xfrm>
                    <a:prstGeom prst="rect">
                      <a:avLst/>
                    </a:prstGeom>
                    <a:noFill/>
                    <a:ln>
                      <a:noFill/>
                    </a:ln>
                  </pic:spPr>
                </pic:pic>
              </a:graphicData>
            </a:graphic>
          </wp:inline>
        </w:drawing>
      </w:r>
      <w:r w:rsidRPr="00C57F40">
        <w:rPr>
          <w:rFonts w:ascii="Times New Roman" w:hAnsi="Times New Roman" w:cs="Times New Roman"/>
          <w:shd w:val="clear" w:color="auto" w:fill="FFFFFF"/>
        </w:rPr>
        <w:t xml:space="preserve">  </w:t>
      </w:r>
    </w:p>
    <w:p w14:paraId="4E5BA796" w14:textId="77777777" w:rsidR="00C57F40" w:rsidRPr="00C57F40" w:rsidRDefault="00C57F40" w:rsidP="00C57F40">
      <w:pPr>
        <w:spacing w:after="120" w:line="276" w:lineRule="auto"/>
        <w:jc w:val="both"/>
        <w:rPr>
          <w:rFonts w:ascii="Times New Roman" w:hAnsi="Times New Roman" w:cs="Times New Roman"/>
          <w:sz w:val="20"/>
          <w:szCs w:val="20"/>
          <w:shd w:val="clear" w:color="auto" w:fill="FFFFFF"/>
        </w:rPr>
      </w:pPr>
      <w:r w:rsidRPr="00C57F40">
        <w:rPr>
          <w:rFonts w:ascii="Times New Roman" w:hAnsi="Times New Roman" w:cs="Times New Roman"/>
          <w:sz w:val="20"/>
          <w:szCs w:val="20"/>
          <w:shd w:val="clear" w:color="auto" w:fill="FFFFFF"/>
        </w:rPr>
        <w:t>Fuente: ENEMDU</w:t>
      </w:r>
    </w:p>
    <w:p w14:paraId="2D38F631" w14:textId="17D4A235" w:rsidR="00C57F40" w:rsidRPr="00C57F40" w:rsidRDefault="00C57F40" w:rsidP="00C57F40">
      <w:pPr>
        <w:spacing w:after="120" w:line="276" w:lineRule="auto"/>
        <w:jc w:val="both"/>
        <w:rPr>
          <w:rFonts w:ascii="Times New Roman" w:hAnsi="Times New Roman" w:cs="Times New Roman"/>
        </w:rPr>
      </w:pPr>
      <w:r w:rsidRPr="00C57F40">
        <w:rPr>
          <w:rFonts w:ascii="Times New Roman" w:hAnsi="Times New Roman" w:cs="Times New Roman"/>
          <w:shd w:val="clear" w:color="auto" w:fill="FFFFFF"/>
        </w:rPr>
        <w:t>Con las diferencias salariales mencionadas, se proyecta el flujo adicional de ingresos que un individuo obtendría hasta cumplir 65 años para cada componente del EBJA (educación general básica y bachillerato), asumiendo una inflación anual de 3%.</w:t>
      </w:r>
      <w:r w:rsidRPr="00C57F40">
        <w:rPr>
          <w:rFonts w:ascii="Times New Roman" w:hAnsi="Times New Roman" w:cs="Times New Roman"/>
        </w:rPr>
        <w:t xml:space="preserve"> La edad promedio de los beneficiarios de cada subcomponente del programa se ha estimado en base a las características que el programa define como su población objetivo. Específicamente, se asume un promedio de edad de 25 años para los programas de educación básica acelerada y bachillerato intensivo (ya que los programas están diseñados para población de hasta 24 años de edad). </w:t>
      </w:r>
      <w:r w:rsidR="00D02B71" w:rsidRPr="00C57F40">
        <w:rPr>
          <w:rFonts w:ascii="Times New Roman" w:hAnsi="Times New Roman" w:cs="Times New Roman"/>
        </w:rPr>
        <w:t xml:space="preserve">Por último, como se mencionó, se plantea un escenario base conservador en el cual se establece una tasa de graduación de </w:t>
      </w:r>
      <w:r w:rsidR="00D02B71">
        <w:rPr>
          <w:rFonts w:ascii="Times New Roman" w:hAnsi="Times New Roman" w:cs="Times New Roman"/>
        </w:rPr>
        <w:t>5</w:t>
      </w:r>
      <w:r w:rsidR="00D02B71" w:rsidRPr="00C57F40">
        <w:rPr>
          <w:rFonts w:ascii="Times New Roman" w:hAnsi="Times New Roman" w:cs="Times New Roman"/>
        </w:rPr>
        <w:t xml:space="preserve">0% para </w:t>
      </w:r>
      <w:r w:rsidR="00D02B71">
        <w:rPr>
          <w:rFonts w:ascii="Times New Roman" w:hAnsi="Times New Roman" w:cs="Times New Roman"/>
        </w:rPr>
        <w:t>bachillerato y de 60% para educación básica</w:t>
      </w:r>
      <w:r w:rsidRPr="00C57F40">
        <w:rPr>
          <w:rFonts w:ascii="Times New Roman" w:hAnsi="Times New Roman" w:cs="Times New Roman"/>
        </w:rPr>
        <w:t xml:space="preserve">. </w:t>
      </w:r>
    </w:p>
    <w:p w14:paraId="7D498153" w14:textId="6A1CF687" w:rsidR="00C57F40" w:rsidRPr="00C57F40" w:rsidRDefault="00C57F40" w:rsidP="00C57F40">
      <w:pPr>
        <w:spacing w:after="120" w:line="276" w:lineRule="auto"/>
        <w:jc w:val="both"/>
        <w:rPr>
          <w:rFonts w:ascii="Times New Roman" w:hAnsi="Times New Roman" w:cs="Times New Roman"/>
          <w:shd w:val="clear" w:color="auto" w:fill="FFFFFF"/>
        </w:rPr>
      </w:pPr>
      <w:r w:rsidRPr="00B20B9D">
        <w:rPr>
          <w:rFonts w:ascii="Times New Roman" w:hAnsi="Times New Roman" w:cs="Times New Roman"/>
          <w:shd w:val="clear" w:color="auto" w:fill="FFFFFF"/>
        </w:rPr>
        <w:t xml:space="preserve">Dentro del flujo calculado para EGB, se toma en cuenta el tiempo que el individuo deja de trabajar y por lo tanto deja de percibir ingresos, para poder estudiar. Para este tiempo, se asume un costo de oportunidad para la persona que asiste a los programas que equivale al ingreso mensual promedio para personas con esas características de acuerdo a la ENEMDU. </w:t>
      </w:r>
      <w:r w:rsidR="00A60FC9" w:rsidRPr="00B20B9D">
        <w:rPr>
          <w:rFonts w:ascii="Times New Roman" w:hAnsi="Times New Roman" w:cs="Times New Roman"/>
          <w:shd w:val="clear" w:color="auto" w:fill="FFFFFF"/>
        </w:rPr>
        <w:t>En EGB se asume que e</w:t>
      </w:r>
      <w:r w:rsidRPr="00B20B9D">
        <w:rPr>
          <w:rFonts w:ascii="Times New Roman" w:hAnsi="Times New Roman" w:cs="Times New Roman"/>
          <w:shd w:val="clear" w:color="auto" w:fill="FFFFFF"/>
        </w:rPr>
        <w:t xml:space="preserve">ste tiempo </w:t>
      </w:r>
      <w:r w:rsidR="00A60FC9" w:rsidRPr="00B20B9D">
        <w:rPr>
          <w:rFonts w:ascii="Times New Roman" w:hAnsi="Times New Roman" w:cs="Times New Roman"/>
          <w:shd w:val="clear" w:color="auto" w:fill="FFFFFF"/>
        </w:rPr>
        <w:t xml:space="preserve">es de </w:t>
      </w:r>
      <w:r w:rsidRPr="00B20B9D">
        <w:rPr>
          <w:rFonts w:ascii="Times New Roman" w:hAnsi="Times New Roman" w:cs="Times New Roman"/>
          <w:shd w:val="clear" w:color="auto" w:fill="FFFFFF"/>
        </w:rPr>
        <w:t>12 meses.</w:t>
      </w:r>
      <w:r w:rsidR="00B20B9D">
        <w:rPr>
          <w:rFonts w:ascii="Times New Roman" w:hAnsi="Times New Roman" w:cs="Times New Roman"/>
          <w:shd w:val="clear" w:color="auto" w:fill="FFFFFF"/>
        </w:rPr>
        <w:t xml:space="preserve"> No se incluye este cálculo en el programa de bachillerato, ya que los programas han sido ajustados para permitir el estudio en paralelo al trabajo.</w:t>
      </w:r>
    </w:p>
    <w:p w14:paraId="07F350F4" w14:textId="54009FA4" w:rsidR="00C57F40" w:rsidRPr="00C57F40" w:rsidRDefault="00C57F40" w:rsidP="00C57F40">
      <w:pPr>
        <w:spacing w:after="120" w:line="276" w:lineRule="auto"/>
        <w:jc w:val="both"/>
        <w:rPr>
          <w:rFonts w:ascii="Times New Roman" w:hAnsi="Times New Roman" w:cs="Times New Roman"/>
          <w:shd w:val="clear" w:color="auto" w:fill="FFFFFF"/>
        </w:rPr>
      </w:pPr>
      <w:r w:rsidRPr="0005345F">
        <w:rPr>
          <w:rFonts w:ascii="Times New Roman" w:hAnsi="Times New Roman" w:cs="Times New Roman"/>
          <w:shd w:val="clear" w:color="auto" w:fill="FFFFFF"/>
        </w:rPr>
        <w:t xml:space="preserve">Con la proyección del ingreso futuro hasta los 65 años de edad, se trae a valor presente con una tasa de descuento de 12% para obtener el beneficio de participar en los cursos del EBJA. </w:t>
      </w:r>
      <w:r w:rsidR="00D65A69">
        <w:rPr>
          <w:rFonts w:ascii="Times New Roman" w:hAnsi="Times New Roman" w:cs="Times New Roman"/>
          <w:shd w:val="clear" w:color="auto" w:fill="FFFFFF"/>
        </w:rPr>
        <w:t>Adicionalmente</w:t>
      </w:r>
      <w:r w:rsidR="00F13560">
        <w:rPr>
          <w:rFonts w:ascii="Times New Roman" w:hAnsi="Times New Roman" w:cs="Times New Roman"/>
          <w:shd w:val="clear" w:color="auto" w:fill="FFFFFF"/>
        </w:rPr>
        <w:t>,</w:t>
      </w:r>
      <w:r w:rsidR="00D65A69">
        <w:rPr>
          <w:rFonts w:ascii="Times New Roman" w:hAnsi="Times New Roman" w:cs="Times New Roman"/>
          <w:shd w:val="clear" w:color="auto" w:fill="FFFFFF"/>
        </w:rPr>
        <w:t xml:space="preserve"> se consideran las tasas de inacti</w:t>
      </w:r>
      <w:r w:rsidR="00922557">
        <w:rPr>
          <w:rFonts w:ascii="Times New Roman" w:hAnsi="Times New Roman" w:cs="Times New Roman"/>
          <w:shd w:val="clear" w:color="auto" w:fill="FFFFFF"/>
        </w:rPr>
        <w:t xml:space="preserve">vidad, desempleo y empleo no remunerado </w:t>
      </w:r>
      <w:r w:rsidR="00D65A69">
        <w:rPr>
          <w:rFonts w:ascii="Times New Roman" w:hAnsi="Times New Roman" w:cs="Times New Roman"/>
          <w:shd w:val="clear" w:color="auto" w:fill="FFFFFF"/>
        </w:rPr>
        <w:t xml:space="preserve">por rangos de edad, según la ENEMDU. </w:t>
      </w:r>
      <w:r w:rsidR="001D49AE">
        <w:rPr>
          <w:rFonts w:ascii="Times New Roman" w:hAnsi="Times New Roman" w:cs="Times New Roman"/>
          <w:shd w:val="clear" w:color="auto" w:fill="FFFFFF"/>
        </w:rPr>
        <w:t xml:space="preserve">Se </w:t>
      </w:r>
      <w:r w:rsidR="001D49AE" w:rsidRPr="0005345F">
        <w:rPr>
          <w:rFonts w:ascii="Times New Roman" w:hAnsi="Times New Roman" w:cs="Times New Roman"/>
          <w:shd w:val="clear" w:color="auto" w:fill="FFFFFF"/>
        </w:rPr>
        <w:t xml:space="preserve">asume un </w:t>
      </w:r>
      <w:r w:rsidR="001D49AE">
        <w:rPr>
          <w:rFonts w:ascii="Times New Roman" w:hAnsi="Times New Roman" w:cs="Times New Roman"/>
          <w:shd w:val="clear" w:color="auto" w:fill="FFFFFF"/>
        </w:rPr>
        <w:t>4</w:t>
      </w:r>
      <w:r w:rsidR="001D49AE" w:rsidRPr="0005345F">
        <w:rPr>
          <w:rFonts w:ascii="Times New Roman" w:hAnsi="Times New Roman" w:cs="Times New Roman"/>
          <w:shd w:val="clear" w:color="auto" w:fill="FFFFFF"/>
        </w:rPr>
        <w:t>0% de cumplimiento de la meta</w:t>
      </w:r>
      <w:r w:rsidR="001D49AE">
        <w:rPr>
          <w:rFonts w:ascii="Times New Roman" w:hAnsi="Times New Roman" w:cs="Times New Roman"/>
          <w:shd w:val="clear" w:color="auto" w:fill="FFFFFF"/>
        </w:rPr>
        <w:t xml:space="preserve"> en bachillerato, dado que este es un programa nuevo y existe mayor incertidumbre en el cumplimiento de metas, y un 60% de cumplimiento de meta para EGB. Además, como se mencionó, se supone </w:t>
      </w:r>
      <w:r w:rsidR="001D49AE" w:rsidRPr="0005345F">
        <w:rPr>
          <w:rFonts w:ascii="Times New Roman" w:hAnsi="Times New Roman" w:cs="Times New Roman"/>
          <w:shd w:val="clear" w:color="auto" w:fill="FFFFFF"/>
        </w:rPr>
        <w:t xml:space="preserve">una tasa de graduación de </w:t>
      </w:r>
      <w:r w:rsidR="001D49AE">
        <w:rPr>
          <w:rFonts w:ascii="Times New Roman" w:hAnsi="Times New Roman" w:cs="Times New Roman"/>
          <w:shd w:val="clear" w:color="auto" w:fill="FFFFFF"/>
        </w:rPr>
        <w:t>5</w:t>
      </w:r>
      <w:r w:rsidR="001D49AE" w:rsidRPr="0005345F">
        <w:rPr>
          <w:rFonts w:ascii="Times New Roman" w:hAnsi="Times New Roman" w:cs="Times New Roman"/>
          <w:shd w:val="clear" w:color="auto" w:fill="FFFFFF"/>
        </w:rPr>
        <w:t xml:space="preserve">0% </w:t>
      </w:r>
      <w:r w:rsidR="001D49AE">
        <w:rPr>
          <w:rFonts w:ascii="Times New Roman" w:hAnsi="Times New Roman" w:cs="Times New Roman"/>
          <w:shd w:val="clear" w:color="auto" w:fill="FFFFFF"/>
        </w:rPr>
        <w:t>para bachillerato y de 60% para EGB</w:t>
      </w:r>
      <w:r w:rsidR="00A953D3">
        <w:rPr>
          <w:rFonts w:ascii="Times New Roman" w:hAnsi="Times New Roman" w:cs="Times New Roman"/>
          <w:shd w:val="clear" w:color="auto" w:fill="FFFFFF"/>
        </w:rPr>
        <w:t xml:space="preserve">. Con estos supuestos, en </w:t>
      </w:r>
      <w:r w:rsidRPr="0005345F">
        <w:rPr>
          <w:rFonts w:ascii="Times New Roman" w:hAnsi="Times New Roman" w:cs="Times New Roman"/>
          <w:shd w:val="clear" w:color="auto" w:fill="FFFFFF"/>
        </w:rPr>
        <w:t xml:space="preserve">el escenario </w:t>
      </w:r>
      <w:r w:rsidRPr="0005345F">
        <w:rPr>
          <w:rFonts w:ascii="Times New Roman" w:hAnsi="Times New Roman" w:cs="Times New Roman"/>
          <w:shd w:val="clear" w:color="auto" w:fill="FFFFFF"/>
        </w:rPr>
        <w:lastRenderedPageBreak/>
        <w:t>base, se tiene un beneficio del programa en 2016, traído a valor presente, de US$</w:t>
      </w:r>
      <w:r w:rsidR="00F515A1">
        <w:rPr>
          <w:rFonts w:ascii="Times New Roman" w:hAnsi="Times New Roman" w:cs="Times New Roman"/>
          <w:shd w:val="clear" w:color="auto" w:fill="FFFFFF"/>
        </w:rPr>
        <w:t>30</w:t>
      </w:r>
      <w:r w:rsidRPr="0005345F">
        <w:rPr>
          <w:rFonts w:ascii="Times New Roman" w:hAnsi="Times New Roman" w:cs="Times New Roman"/>
          <w:shd w:val="clear" w:color="auto" w:fill="FFFFFF"/>
        </w:rPr>
        <w:t xml:space="preserve"> millones</w:t>
      </w:r>
      <w:r w:rsidR="00F515A1">
        <w:rPr>
          <w:rFonts w:ascii="Times New Roman" w:hAnsi="Times New Roman" w:cs="Times New Roman"/>
          <w:shd w:val="clear" w:color="auto" w:fill="FFFFFF"/>
        </w:rPr>
        <w:t>, mientras que e</w:t>
      </w:r>
      <w:r w:rsidRPr="0005345F">
        <w:rPr>
          <w:rFonts w:ascii="Times New Roman" w:hAnsi="Times New Roman" w:cs="Times New Roman"/>
          <w:shd w:val="clear" w:color="auto" w:fill="FFFFFF"/>
        </w:rPr>
        <w:t>n 2017,</w:t>
      </w:r>
      <w:r w:rsidR="00F515A1">
        <w:rPr>
          <w:rFonts w:ascii="Times New Roman" w:hAnsi="Times New Roman" w:cs="Times New Roman"/>
          <w:shd w:val="clear" w:color="auto" w:fill="FFFFFF"/>
        </w:rPr>
        <w:t xml:space="preserve"> por el aumento en el número de beneficiarios de bachillerato, </w:t>
      </w:r>
      <w:r w:rsidRPr="0005345F">
        <w:rPr>
          <w:rFonts w:ascii="Times New Roman" w:hAnsi="Times New Roman" w:cs="Times New Roman"/>
          <w:shd w:val="clear" w:color="auto" w:fill="FFFFFF"/>
        </w:rPr>
        <w:t>el beneficio aumenta a US$</w:t>
      </w:r>
      <w:r w:rsidR="006B0EE0">
        <w:rPr>
          <w:rFonts w:ascii="Times New Roman" w:hAnsi="Times New Roman" w:cs="Times New Roman"/>
          <w:shd w:val="clear" w:color="auto" w:fill="FFFFFF"/>
        </w:rPr>
        <w:t>1</w:t>
      </w:r>
      <w:r w:rsidR="00A953D3">
        <w:rPr>
          <w:rFonts w:ascii="Times New Roman" w:hAnsi="Times New Roman" w:cs="Times New Roman"/>
          <w:shd w:val="clear" w:color="auto" w:fill="FFFFFF"/>
        </w:rPr>
        <w:t>0</w:t>
      </w:r>
      <w:r w:rsidR="00F515A1">
        <w:rPr>
          <w:rFonts w:ascii="Times New Roman" w:hAnsi="Times New Roman" w:cs="Times New Roman"/>
          <w:shd w:val="clear" w:color="auto" w:fill="FFFFFF"/>
        </w:rPr>
        <w:t>4</w:t>
      </w:r>
      <w:r w:rsidRPr="0005345F">
        <w:rPr>
          <w:rFonts w:ascii="Times New Roman" w:hAnsi="Times New Roman" w:cs="Times New Roman"/>
          <w:shd w:val="clear" w:color="auto" w:fill="FFFFFF"/>
        </w:rPr>
        <w:t xml:space="preserve"> millones. </w:t>
      </w:r>
      <w:r w:rsidR="0080452A">
        <w:rPr>
          <w:rFonts w:ascii="Times New Roman" w:hAnsi="Times New Roman" w:cs="Times New Roman"/>
          <w:shd w:val="clear" w:color="auto" w:fill="FFFFFF"/>
        </w:rPr>
        <w:t xml:space="preserve">Vale recalcar que estos valores corresponden al beneficio total generado por la implementación de estos programas hasta que los beneficiarios cumplan 65 años, y difieren del beneficio neto para cada año presentado en la Tabla 18. </w:t>
      </w:r>
    </w:p>
    <w:p w14:paraId="1C75679A" w14:textId="613B62FD" w:rsidR="00C57F40" w:rsidRPr="00C57F40" w:rsidRDefault="0024363C" w:rsidP="00F13560">
      <w:pPr>
        <w:keepNext/>
        <w:spacing w:after="0" w:line="276" w:lineRule="auto"/>
        <w:jc w:val="center"/>
        <w:rPr>
          <w:rFonts w:ascii="Times New Roman" w:hAnsi="Times New Roman" w:cs="Times New Roman"/>
          <w:b/>
          <w:shd w:val="clear" w:color="auto" w:fill="FFFFFF"/>
        </w:rPr>
      </w:pPr>
      <w:r w:rsidRPr="00AA244A">
        <w:rPr>
          <w:rFonts w:ascii="Times New Roman" w:hAnsi="Times New Roman" w:cs="Times New Roman"/>
          <w:b/>
          <w:shd w:val="clear" w:color="auto" w:fill="FFFFFF"/>
        </w:rPr>
        <w:t>Tabla 11</w:t>
      </w:r>
    </w:p>
    <w:p w14:paraId="5F1432F2" w14:textId="77777777" w:rsidR="00C57F40" w:rsidRPr="00C57F40" w:rsidRDefault="00C57F40" w:rsidP="00C57F40">
      <w:pPr>
        <w:keepNext/>
        <w:spacing w:after="0" w:line="276" w:lineRule="auto"/>
        <w:jc w:val="center"/>
        <w:rPr>
          <w:rFonts w:ascii="Times New Roman" w:hAnsi="Times New Roman" w:cs="Times New Roman"/>
          <w:b/>
          <w:shd w:val="clear" w:color="auto" w:fill="FFFFFF"/>
        </w:rPr>
      </w:pPr>
      <w:r w:rsidRPr="00C57F40">
        <w:rPr>
          <w:rFonts w:ascii="Times New Roman" w:hAnsi="Times New Roman" w:cs="Times New Roman"/>
          <w:b/>
          <w:shd w:val="clear" w:color="auto" w:fill="FFFFFF"/>
        </w:rPr>
        <w:t>Beneficio total del programa EBJA en 2016</w:t>
      </w:r>
    </w:p>
    <w:p w14:paraId="24F34A01" w14:textId="3E9CB388" w:rsidR="00C57F40" w:rsidRPr="00C57F40" w:rsidRDefault="00452B11" w:rsidP="00924683">
      <w:pPr>
        <w:spacing w:after="0" w:line="276" w:lineRule="auto"/>
        <w:jc w:val="center"/>
        <w:rPr>
          <w:rFonts w:ascii="Times New Roman" w:hAnsi="Times New Roman" w:cs="Times New Roman"/>
        </w:rPr>
      </w:pPr>
      <w:r w:rsidRPr="00452B11">
        <w:rPr>
          <w:rFonts w:ascii="Times New Roman" w:hAnsi="Times New Roman" w:cs="Times New Roman"/>
        </w:rPr>
        <w:t xml:space="preserve"> </w:t>
      </w:r>
      <w:r w:rsidR="001D49AE" w:rsidRPr="001D49AE">
        <w:rPr>
          <w:noProof/>
          <w:lang w:val="en-US"/>
        </w:rPr>
        <w:drawing>
          <wp:inline distT="0" distB="0" distL="0" distR="0" wp14:anchorId="4AAB8901" wp14:editId="4932D831">
            <wp:extent cx="3476625" cy="942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76625" cy="942975"/>
                    </a:xfrm>
                    <a:prstGeom prst="rect">
                      <a:avLst/>
                    </a:prstGeom>
                    <a:noFill/>
                    <a:ln>
                      <a:noFill/>
                    </a:ln>
                  </pic:spPr>
                </pic:pic>
              </a:graphicData>
            </a:graphic>
          </wp:inline>
        </w:drawing>
      </w:r>
    </w:p>
    <w:p w14:paraId="28F1501E" w14:textId="72D5C314" w:rsidR="00A65003" w:rsidRDefault="00296C3F" w:rsidP="00DD20EA">
      <w:pPr>
        <w:spacing w:after="120" w:line="276" w:lineRule="auto"/>
        <w:ind w:left="1560" w:right="468"/>
        <w:jc w:val="both"/>
        <w:rPr>
          <w:rFonts w:ascii="Times New Roman" w:hAnsi="Times New Roman" w:cs="Times New Roman"/>
          <w:sz w:val="20"/>
          <w:szCs w:val="20"/>
        </w:rPr>
      </w:pPr>
      <w:r>
        <w:rPr>
          <w:rFonts w:ascii="Times New Roman" w:hAnsi="Times New Roman" w:cs="Times New Roman"/>
          <w:sz w:val="20"/>
          <w:szCs w:val="20"/>
        </w:rPr>
        <w:t xml:space="preserve">Nota: </w:t>
      </w:r>
      <w:r w:rsidR="009E04E8">
        <w:rPr>
          <w:rFonts w:ascii="Times New Roman" w:hAnsi="Times New Roman" w:cs="Times New Roman"/>
          <w:sz w:val="20"/>
          <w:szCs w:val="20"/>
        </w:rPr>
        <w:t>los 1</w:t>
      </w:r>
      <w:r w:rsidR="00DE5332">
        <w:rPr>
          <w:rFonts w:ascii="Times New Roman" w:hAnsi="Times New Roman" w:cs="Times New Roman"/>
          <w:sz w:val="20"/>
          <w:szCs w:val="20"/>
        </w:rPr>
        <w:t>40,000</w:t>
      </w:r>
      <w:r w:rsidR="009E04E8">
        <w:rPr>
          <w:rFonts w:ascii="Times New Roman" w:hAnsi="Times New Roman" w:cs="Times New Roman"/>
          <w:sz w:val="20"/>
          <w:szCs w:val="20"/>
        </w:rPr>
        <w:t xml:space="preserve"> beneficiarios de 2016 se desagregan en </w:t>
      </w:r>
      <w:r w:rsidR="00DE5332">
        <w:rPr>
          <w:rFonts w:ascii="Times New Roman" w:hAnsi="Times New Roman" w:cs="Times New Roman"/>
          <w:sz w:val="20"/>
          <w:szCs w:val="20"/>
        </w:rPr>
        <w:t>110,000</w:t>
      </w:r>
      <w:r w:rsidR="009E04E8">
        <w:rPr>
          <w:rFonts w:ascii="Times New Roman" w:hAnsi="Times New Roman" w:cs="Times New Roman"/>
          <w:sz w:val="20"/>
          <w:szCs w:val="20"/>
        </w:rPr>
        <w:t xml:space="preserve"> de EGB</w:t>
      </w:r>
      <w:r w:rsidR="00452B11">
        <w:rPr>
          <w:rFonts w:ascii="Times New Roman" w:hAnsi="Times New Roman" w:cs="Times New Roman"/>
          <w:sz w:val="20"/>
          <w:szCs w:val="20"/>
        </w:rPr>
        <w:t xml:space="preserve"> y</w:t>
      </w:r>
      <w:r w:rsidR="009E04E8">
        <w:rPr>
          <w:rFonts w:ascii="Times New Roman" w:hAnsi="Times New Roman" w:cs="Times New Roman"/>
          <w:sz w:val="20"/>
          <w:szCs w:val="20"/>
        </w:rPr>
        <w:t xml:space="preserve"> </w:t>
      </w:r>
      <w:r w:rsidR="00DE5332">
        <w:rPr>
          <w:rFonts w:ascii="Times New Roman" w:hAnsi="Times New Roman" w:cs="Times New Roman"/>
          <w:sz w:val="20"/>
          <w:szCs w:val="20"/>
        </w:rPr>
        <w:t>30,000</w:t>
      </w:r>
      <w:r w:rsidR="009E04E8">
        <w:rPr>
          <w:rFonts w:ascii="Times New Roman" w:hAnsi="Times New Roman" w:cs="Times New Roman"/>
          <w:sz w:val="20"/>
          <w:szCs w:val="20"/>
        </w:rPr>
        <w:t xml:space="preserve"> beneficiarios de bachillerato tradicional. En 2017 son 5</w:t>
      </w:r>
      <w:r w:rsidR="00DE5332">
        <w:rPr>
          <w:rFonts w:ascii="Times New Roman" w:hAnsi="Times New Roman" w:cs="Times New Roman"/>
          <w:sz w:val="20"/>
          <w:szCs w:val="20"/>
        </w:rPr>
        <w:t>7,000</w:t>
      </w:r>
      <w:r w:rsidR="009E04E8">
        <w:rPr>
          <w:rFonts w:ascii="Times New Roman" w:hAnsi="Times New Roman" w:cs="Times New Roman"/>
          <w:sz w:val="20"/>
          <w:szCs w:val="20"/>
        </w:rPr>
        <w:t xml:space="preserve"> de EGB</w:t>
      </w:r>
      <w:r w:rsidR="00452B11">
        <w:rPr>
          <w:rFonts w:ascii="Times New Roman" w:hAnsi="Times New Roman" w:cs="Times New Roman"/>
          <w:sz w:val="20"/>
          <w:szCs w:val="20"/>
        </w:rPr>
        <w:t xml:space="preserve"> y</w:t>
      </w:r>
      <w:r w:rsidR="009E04E8">
        <w:rPr>
          <w:rFonts w:ascii="Times New Roman" w:hAnsi="Times New Roman" w:cs="Times New Roman"/>
          <w:sz w:val="20"/>
          <w:szCs w:val="20"/>
        </w:rPr>
        <w:t xml:space="preserve"> 54,250 de bachillerato tradicional. </w:t>
      </w:r>
    </w:p>
    <w:p w14:paraId="246AC4E8" w14:textId="3FE68812" w:rsidR="00C57F40" w:rsidRPr="00C57F40" w:rsidRDefault="00C57F40" w:rsidP="00DD20EA">
      <w:pPr>
        <w:spacing w:after="120" w:line="276" w:lineRule="auto"/>
        <w:ind w:left="1560"/>
        <w:jc w:val="both"/>
        <w:rPr>
          <w:rFonts w:ascii="Times New Roman" w:hAnsi="Times New Roman" w:cs="Times New Roman"/>
          <w:sz w:val="20"/>
          <w:szCs w:val="20"/>
        </w:rPr>
      </w:pPr>
      <w:r w:rsidRPr="00C57F40">
        <w:rPr>
          <w:rFonts w:ascii="Times New Roman" w:hAnsi="Times New Roman" w:cs="Times New Roman"/>
          <w:sz w:val="20"/>
          <w:szCs w:val="20"/>
        </w:rPr>
        <w:t>Fuente: EBJA. Cálculos consultores</w:t>
      </w:r>
    </w:p>
    <w:p w14:paraId="71955EB9" w14:textId="41A691AA" w:rsidR="00C57F40" w:rsidRPr="00C57F40" w:rsidRDefault="00C57F40" w:rsidP="00E12CED">
      <w:pPr>
        <w:spacing w:after="120" w:line="276" w:lineRule="auto"/>
        <w:jc w:val="both"/>
        <w:rPr>
          <w:rFonts w:ascii="Times New Roman" w:hAnsi="Times New Roman" w:cs="Times New Roman"/>
          <w:lang w:val="es-ES"/>
        </w:rPr>
      </w:pPr>
      <w:r w:rsidRPr="00C57F40">
        <w:rPr>
          <w:rFonts w:ascii="Times New Roman" w:hAnsi="Times New Roman" w:cs="Times New Roman"/>
        </w:rPr>
        <w:t>En este componente se incluye también la formación docente, a través del programa Sí Profe. El objetivo de este programa es contar</w:t>
      </w:r>
      <w:r w:rsidRPr="00C57F40">
        <w:rPr>
          <w:rFonts w:ascii="Times New Roman" w:hAnsi="Times New Roman" w:cs="Times New Roman"/>
          <w:lang w:val="es-ES"/>
        </w:rPr>
        <w:t xml:space="preserve"> con un nuevo sistema de desarrollo profesional para los profesionales de educación del sistema educativo, en sus niveles de formación inicial, inducción y acompañamiento, durante el primer año de servicio; y capacitación, perfeccionamiento y formación continua durante el ejercicio, con la intención de potenciar el desempeño e incidir de manera significativa en una mejor educación para el país. El programa está compuesto por 4 niveles: (i)</w:t>
      </w:r>
      <w:r w:rsidR="00545B22">
        <w:rPr>
          <w:rFonts w:ascii="Times New Roman" w:hAnsi="Times New Roman" w:cs="Times New Roman"/>
          <w:lang w:val="es-ES"/>
        </w:rPr>
        <w:t> </w:t>
      </w:r>
      <w:r w:rsidRPr="00C57F40">
        <w:rPr>
          <w:rFonts w:ascii="Times New Roman" w:hAnsi="Times New Roman" w:cs="Times New Roman"/>
          <w:lang w:val="es-ES"/>
        </w:rPr>
        <w:t>formación inicial fortalecida en lo administrativo y académico, evaluada con estándares de calidad; (ii)</w:t>
      </w:r>
      <w:r w:rsidR="00F56DAA">
        <w:rPr>
          <w:rFonts w:ascii="Times New Roman" w:hAnsi="Times New Roman" w:cs="Times New Roman"/>
          <w:lang w:val="es-ES"/>
        </w:rPr>
        <w:t xml:space="preserve"> </w:t>
      </w:r>
      <w:r w:rsidRPr="00C57F40">
        <w:rPr>
          <w:rFonts w:ascii="Times New Roman" w:hAnsi="Times New Roman" w:cs="Times New Roman"/>
          <w:lang w:val="es-ES"/>
        </w:rPr>
        <w:t>implementación del programa de inducción y acompañamiento para profesionales de educación; (iii)</w:t>
      </w:r>
      <w:r w:rsidR="00F56DAA">
        <w:rPr>
          <w:rFonts w:ascii="Times New Roman" w:hAnsi="Times New Roman" w:cs="Times New Roman"/>
          <w:lang w:val="es-ES"/>
        </w:rPr>
        <w:t xml:space="preserve"> </w:t>
      </w:r>
      <w:r w:rsidRPr="00C57F40">
        <w:rPr>
          <w:rFonts w:ascii="Times New Roman" w:hAnsi="Times New Roman" w:cs="Times New Roman"/>
          <w:lang w:val="es-ES"/>
        </w:rPr>
        <w:t>Plan Nacional de Capacitación, perfeccionamiento y formación continua que incluye la modalidad a distancia; y (iv)</w:t>
      </w:r>
      <w:r w:rsidR="00F56DAA">
        <w:rPr>
          <w:rFonts w:ascii="Times New Roman" w:hAnsi="Times New Roman" w:cs="Times New Roman"/>
          <w:lang w:val="es-ES"/>
        </w:rPr>
        <w:t xml:space="preserve"> </w:t>
      </w:r>
      <w:r w:rsidRPr="00C57F40">
        <w:rPr>
          <w:rFonts w:ascii="Times New Roman" w:hAnsi="Times New Roman" w:cs="Times New Roman"/>
          <w:lang w:val="es-ES"/>
        </w:rPr>
        <w:t xml:space="preserve">programa de registro individual, seguimiento y evaluación interna para el sistema de desarrollo profesional. Las metas de beneficiarios de este programa son de 180 docentes formados en buenas prácticas en aula en 2017 y 850 en 2018.   </w:t>
      </w:r>
    </w:p>
    <w:p w14:paraId="0A5FE302" w14:textId="77777777" w:rsidR="00C57F40" w:rsidRPr="00C57F40" w:rsidRDefault="00C57F40" w:rsidP="00E12CED">
      <w:pPr>
        <w:spacing w:after="120" w:line="276" w:lineRule="auto"/>
        <w:jc w:val="both"/>
        <w:rPr>
          <w:rFonts w:ascii="Times New Roman" w:hAnsi="Times New Roman" w:cs="Times New Roman"/>
          <w:lang w:val="es-ES_tradnl"/>
        </w:rPr>
      </w:pPr>
      <w:r w:rsidRPr="00C57F40">
        <w:rPr>
          <w:rFonts w:ascii="Times New Roman" w:hAnsi="Times New Roman" w:cs="Times New Roman"/>
          <w:lang w:val="es-ES_tradnl"/>
        </w:rPr>
        <w:t>La literatura señala que los docentes son el factor más importante que incide en el aprendizaje de los estudiantes, además del entorno socioeconómico de los hogares (Rivkin et al., 2005). No obstante, las características observables de los docentes, aquellas comúnmente medidas y sobre las cuales se basan los sistemas de selección, evaluación, y capacitación docente en la región (los títulos, las calificaciones, los años de experiencia, etc.), explican muy poco acerca de los resultados de aprendizaje tanto en los países desarrollados como los países en vías de desarrollo (véanse los análisis de Hanushek y Rivkin, 2006; 2012). El esfuerzo por evaluar los factores determinantes de la enseñanza de alta calidad y los modos de mejorarla es reconocido como una prioridad de política en la región y ha dado lugar, en los últimos años, a una gran cantidad de investigaciones y experimentación de política.</w:t>
      </w:r>
    </w:p>
    <w:p w14:paraId="1B948AB0" w14:textId="77777777" w:rsidR="00C57F40" w:rsidRPr="00C57F40" w:rsidRDefault="00C57F40" w:rsidP="00C57F40">
      <w:pPr>
        <w:spacing w:after="120" w:line="276" w:lineRule="auto"/>
        <w:jc w:val="both"/>
        <w:rPr>
          <w:rFonts w:ascii="Times New Roman" w:hAnsi="Times New Roman" w:cs="Times New Roman"/>
          <w:lang w:val="es-ES_tradnl"/>
        </w:rPr>
      </w:pPr>
      <w:r w:rsidRPr="00C57F40">
        <w:rPr>
          <w:rFonts w:ascii="Times New Roman" w:hAnsi="Times New Roman" w:cs="Times New Roman"/>
          <w:lang w:val="es-ES_tradnl"/>
        </w:rPr>
        <w:t xml:space="preserve">Según estudios recientes del BID, en Ecuador, ser asignado a un profesor “excepcional” (en el percentil 95 de la distribución de calidad), en vez de a un profesor promedio (en el percentil 50) permite a un niño con una madre que tiene educación primaria incompleta o menos a cerrar un </w:t>
      </w:r>
      <w:r w:rsidRPr="00C57F40">
        <w:rPr>
          <w:rFonts w:ascii="Times New Roman" w:hAnsi="Times New Roman" w:cs="Times New Roman"/>
          <w:lang w:val="es-ES_tradnl"/>
        </w:rPr>
        <w:lastRenderedPageBreak/>
        <w:t>cuarto de la brecha de aprendizaje (la cual ascendía a 0.51 desviaciones estándar) en relación con un niño con una madre que posee educación secundaria completa o más, en un solo año.</w:t>
      </w:r>
    </w:p>
    <w:p w14:paraId="2C9935F0" w14:textId="2E2F107C" w:rsidR="00C57F40" w:rsidRPr="00C57F40" w:rsidRDefault="00C57F40" w:rsidP="00C57F40">
      <w:pPr>
        <w:spacing w:after="120" w:line="276" w:lineRule="auto"/>
        <w:jc w:val="both"/>
        <w:rPr>
          <w:rFonts w:ascii="Times New Roman" w:hAnsi="Times New Roman" w:cs="Times New Roman"/>
        </w:rPr>
      </w:pPr>
      <w:r w:rsidRPr="00C57F40">
        <w:rPr>
          <w:rFonts w:ascii="Times New Roman" w:hAnsi="Times New Roman" w:cs="Times New Roman"/>
          <w:lang w:val="es-ES_tradnl"/>
        </w:rPr>
        <w:t xml:space="preserve">Usando estos datos, se puede estimar que un profesor excelente logra una mejora en el aprendizaje de los niños de 0.13 desviación estándar en un año escolar. </w:t>
      </w:r>
      <w:r w:rsidRPr="008F4193">
        <w:rPr>
          <w:rFonts w:ascii="Times New Roman" w:hAnsi="Times New Roman" w:cs="Times New Roman"/>
          <w:lang w:val="es-ES_tradnl"/>
        </w:rPr>
        <w:t>En este caso específicamente, por realizar un cálculo conservador, se utiliza como supuesto que un profesor excelente mejora en 0.</w:t>
      </w:r>
      <w:r w:rsidR="008F4193" w:rsidRPr="008F4193">
        <w:rPr>
          <w:rFonts w:ascii="Times New Roman" w:hAnsi="Times New Roman" w:cs="Times New Roman"/>
          <w:lang w:val="es-ES_tradnl"/>
        </w:rPr>
        <w:t>1</w:t>
      </w:r>
      <w:r w:rsidR="00F56DAA" w:rsidRPr="008F4193">
        <w:rPr>
          <w:rFonts w:ascii="Times New Roman" w:hAnsi="Times New Roman" w:cs="Times New Roman"/>
          <w:lang w:val="es-ES_tradnl"/>
        </w:rPr>
        <w:t>0</w:t>
      </w:r>
      <w:r w:rsidRPr="008F4193">
        <w:rPr>
          <w:rFonts w:ascii="Times New Roman" w:hAnsi="Times New Roman" w:cs="Times New Roman"/>
          <w:lang w:val="es-ES_tradnl"/>
        </w:rPr>
        <w:t xml:space="preserve"> desviaciones estándar el desempeño de los niños.</w:t>
      </w:r>
      <w:r w:rsidRPr="00C57F40">
        <w:rPr>
          <w:rFonts w:ascii="Times New Roman" w:hAnsi="Times New Roman" w:cs="Times New Roman"/>
          <w:lang w:val="es-ES_tradnl"/>
        </w:rPr>
        <w:t xml:space="preserve"> </w:t>
      </w:r>
      <w:r w:rsidR="00F56DAA" w:rsidRPr="00545B22">
        <w:rPr>
          <w:rFonts w:ascii="Times New Roman" w:hAnsi="Times New Roman" w:cs="Times New Roman"/>
          <w:lang w:val="es-ES_tradnl"/>
        </w:rPr>
        <w:t>Pero además, se supone que gracias a los cursos de formación, 5 cohortes de estudiantes se benefician del mejor desempeño del profesor (es decir, el beneficio de la formación docente dura 5 años</w:t>
      </w:r>
      <w:r w:rsidR="00545B22">
        <w:rPr>
          <w:rFonts w:ascii="Times New Roman" w:hAnsi="Times New Roman" w:cs="Times New Roman"/>
          <w:lang w:val="es-ES_tradnl"/>
        </w:rPr>
        <w:t xml:space="preserve"> en promedio</w:t>
      </w:r>
      <w:r w:rsidR="00F56DAA" w:rsidRPr="00545B22">
        <w:rPr>
          <w:rFonts w:ascii="Times New Roman" w:hAnsi="Times New Roman" w:cs="Times New Roman"/>
          <w:lang w:val="es-ES_tradnl"/>
        </w:rPr>
        <w:t>).</w:t>
      </w:r>
      <w:r w:rsidR="00F56DAA">
        <w:rPr>
          <w:rFonts w:ascii="Times New Roman" w:hAnsi="Times New Roman" w:cs="Times New Roman"/>
          <w:lang w:val="es-ES_tradnl"/>
        </w:rPr>
        <w:t xml:space="preserve"> </w:t>
      </w:r>
      <w:r w:rsidRPr="00C57F40">
        <w:rPr>
          <w:rFonts w:ascii="Times New Roman" w:hAnsi="Times New Roman" w:cs="Times New Roman"/>
          <w:lang w:val="es-ES_tradnl"/>
        </w:rPr>
        <w:t xml:space="preserve">Con la misma metodología utilizada para el programa de alimentación escolar </w:t>
      </w:r>
      <w:r w:rsidRPr="00C57F40">
        <w:rPr>
          <w:rFonts w:ascii="Times New Roman" w:hAnsi="Times New Roman" w:cs="Times New Roman"/>
        </w:rPr>
        <w:t xml:space="preserve">y tomando como referencia las estimaciones de Hanushek y Woessmann, se estima un impacto sobre el crecimiento de la economía. </w:t>
      </w:r>
    </w:p>
    <w:p w14:paraId="0CB71447" w14:textId="6002E8AA" w:rsidR="00C57F40" w:rsidRPr="00C57F40" w:rsidRDefault="0081508B" w:rsidP="00C57F40">
      <w:pPr>
        <w:spacing w:after="120" w:line="276" w:lineRule="auto"/>
        <w:jc w:val="both"/>
        <w:rPr>
          <w:rFonts w:ascii="Times New Roman" w:hAnsi="Times New Roman" w:cs="Times New Roman"/>
        </w:rPr>
      </w:pPr>
      <w:r>
        <w:rPr>
          <w:rFonts w:ascii="Times New Roman" w:hAnsi="Times New Roman" w:cs="Times New Roman"/>
        </w:rPr>
        <w:t xml:space="preserve">Para el escenario base, se utilizan </w:t>
      </w:r>
      <w:r w:rsidR="00C57F40" w:rsidRPr="00C57F40">
        <w:rPr>
          <w:rFonts w:ascii="Times New Roman" w:hAnsi="Times New Roman" w:cs="Times New Roman"/>
        </w:rPr>
        <w:t xml:space="preserve">los resultados de Hanushek y Woessmann (2012) </w:t>
      </w:r>
      <w:r>
        <w:rPr>
          <w:rFonts w:ascii="Times New Roman" w:hAnsi="Times New Roman" w:cs="Times New Roman"/>
        </w:rPr>
        <w:t xml:space="preserve">que </w:t>
      </w:r>
      <w:r w:rsidR="00C57F40" w:rsidRPr="00C57F40">
        <w:rPr>
          <w:rFonts w:ascii="Times New Roman" w:hAnsi="Times New Roman" w:cs="Times New Roman"/>
        </w:rPr>
        <w:t>indican que una mejora equivalente a una desviación estándar en los resultados de las pruebas está asociada con un incremento en 2.</w:t>
      </w:r>
      <w:r>
        <w:rPr>
          <w:rFonts w:ascii="Times New Roman" w:hAnsi="Times New Roman" w:cs="Times New Roman"/>
        </w:rPr>
        <w:t>056</w:t>
      </w:r>
      <w:r w:rsidR="00C57F40" w:rsidRPr="00C57F40">
        <w:rPr>
          <w:rFonts w:ascii="Times New Roman" w:hAnsi="Times New Roman" w:cs="Times New Roman"/>
        </w:rPr>
        <w:t xml:space="preserve"> puntos porcentuales en el crecimiento anual del PIB per cápita para los países </w:t>
      </w:r>
      <w:r>
        <w:rPr>
          <w:rFonts w:ascii="Times New Roman" w:hAnsi="Times New Roman" w:cs="Times New Roman"/>
        </w:rPr>
        <w:t>no OECD</w:t>
      </w:r>
      <w:r w:rsidR="00C57F40" w:rsidRPr="00C57F40">
        <w:rPr>
          <w:rFonts w:ascii="Times New Roman" w:hAnsi="Times New Roman" w:cs="Times New Roman"/>
        </w:rPr>
        <w:t>.</w:t>
      </w:r>
    </w:p>
    <w:p w14:paraId="1DEF2415" w14:textId="0CE0987A" w:rsidR="00120B7E" w:rsidRDefault="00C57F40" w:rsidP="00C57F40">
      <w:pPr>
        <w:spacing w:after="120" w:line="276" w:lineRule="auto"/>
        <w:jc w:val="both"/>
        <w:rPr>
          <w:rFonts w:ascii="Times New Roman" w:hAnsi="Times New Roman" w:cs="Times New Roman"/>
        </w:rPr>
      </w:pPr>
      <w:r w:rsidRPr="00F13560">
        <w:rPr>
          <w:rFonts w:ascii="Times New Roman" w:hAnsi="Times New Roman" w:cs="Times New Roman"/>
        </w:rPr>
        <w:t>La inversión de este programa empezaría en 2017, por lo que los beneficios se observarían en</w:t>
      </w:r>
      <w:r w:rsidR="001B1348">
        <w:rPr>
          <w:rFonts w:ascii="Times New Roman" w:hAnsi="Times New Roman" w:cs="Times New Roman"/>
        </w:rPr>
        <w:t>tre</w:t>
      </w:r>
      <w:r w:rsidRPr="00F13560">
        <w:rPr>
          <w:rFonts w:ascii="Times New Roman" w:hAnsi="Times New Roman" w:cs="Times New Roman"/>
        </w:rPr>
        <w:t xml:space="preserve"> 2018 y 20</w:t>
      </w:r>
      <w:r w:rsidR="001B1348">
        <w:rPr>
          <w:rFonts w:ascii="Times New Roman" w:hAnsi="Times New Roman" w:cs="Times New Roman"/>
        </w:rPr>
        <w:t>23</w:t>
      </w:r>
      <w:r w:rsidRPr="00F13560">
        <w:rPr>
          <w:rFonts w:ascii="Times New Roman" w:hAnsi="Times New Roman" w:cs="Times New Roman"/>
        </w:rPr>
        <w:t xml:space="preserve">. Para realizar el cálculo del impacto sobre el crecimiento de la economía ecuatoriana, se supone que, para el escenario base, del total de docentes formados, </w:t>
      </w:r>
      <w:r w:rsidR="00A953D3">
        <w:rPr>
          <w:rFonts w:ascii="Times New Roman" w:hAnsi="Times New Roman" w:cs="Times New Roman"/>
        </w:rPr>
        <w:t xml:space="preserve">30% </w:t>
      </w:r>
      <w:r w:rsidR="00120B7E">
        <w:rPr>
          <w:rFonts w:ascii="Times New Roman" w:hAnsi="Times New Roman" w:cs="Times New Roman"/>
        </w:rPr>
        <w:t xml:space="preserve">aprovecha el curso de formación y de estos profesores, </w:t>
      </w:r>
      <w:r w:rsidR="00A953D3">
        <w:rPr>
          <w:rFonts w:ascii="Times New Roman" w:hAnsi="Times New Roman" w:cs="Times New Roman"/>
        </w:rPr>
        <w:t>15%</w:t>
      </w:r>
      <w:r w:rsidR="00120B7E">
        <w:rPr>
          <w:rFonts w:ascii="Times New Roman" w:hAnsi="Times New Roman" w:cs="Times New Roman"/>
        </w:rPr>
        <w:t xml:space="preserve"> </w:t>
      </w:r>
      <w:r w:rsidRPr="00F13560">
        <w:rPr>
          <w:rFonts w:ascii="Times New Roman" w:hAnsi="Times New Roman" w:cs="Times New Roman"/>
        </w:rPr>
        <w:t>sería excelente</w:t>
      </w:r>
      <w:r w:rsidR="00120B7E">
        <w:rPr>
          <w:rFonts w:ascii="Times New Roman" w:hAnsi="Times New Roman" w:cs="Times New Roman"/>
        </w:rPr>
        <w:t xml:space="preserve"> (en 2017, de los 180 docentes formatos, </w:t>
      </w:r>
      <w:r w:rsidR="00A953D3">
        <w:rPr>
          <w:rFonts w:ascii="Times New Roman" w:hAnsi="Times New Roman" w:cs="Times New Roman"/>
        </w:rPr>
        <w:t>8</w:t>
      </w:r>
      <w:r w:rsidR="00120B7E">
        <w:rPr>
          <w:rFonts w:ascii="Times New Roman" w:hAnsi="Times New Roman" w:cs="Times New Roman"/>
        </w:rPr>
        <w:t xml:space="preserve"> darían el salto a la excelencia)</w:t>
      </w:r>
      <w:r w:rsidR="00387549">
        <w:rPr>
          <w:rFonts w:ascii="Times New Roman" w:hAnsi="Times New Roman" w:cs="Times New Roman"/>
        </w:rPr>
        <w:t>. A</w:t>
      </w:r>
      <w:r w:rsidRPr="00F13560">
        <w:rPr>
          <w:rFonts w:ascii="Times New Roman" w:hAnsi="Times New Roman" w:cs="Times New Roman"/>
        </w:rPr>
        <w:t>demás se asume que cada profesor tiene a su cargo alrededor de 18 estudiantes, dato que corresponde al promedio global del país</w:t>
      </w:r>
      <w:r w:rsidR="001B1348" w:rsidRPr="00F13560">
        <w:rPr>
          <w:rStyle w:val="FootnoteReference"/>
          <w:rFonts w:ascii="Times New Roman" w:hAnsi="Times New Roman" w:cs="Times New Roman"/>
        </w:rPr>
        <w:footnoteReference w:id="8"/>
      </w:r>
      <w:r w:rsidRPr="00F13560">
        <w:rPr>
          <w:rFonts w:ascii="Times New Roman" w:hAnsi="Times New Roman" w:cs="Times New Roman"/>
        </w:rPr>
        <w:t xml:space="preserve">. </w:t>
      </w:r>
      <w:r w:rsidR="00120B7E">
        <w:rPr>
          <w:rFonts w:ascii="Times New Roman" w:hAnsi="Times New Roman" w:cs="Times New Roman"/>
        </w:rPr>
        <w:t xml:space="preserve">Aplicando este parámetro al total de estudiantes en el país, se obtiene el número de estudiantes beneficiados. </w:t>
      </w:r>
    </w:p>
    <w:p w14:paraId="7C5A4816" w14:textId="136CC0EA" w:rsidR="00C57F40" w:rsidRPr="00C57F40" w:rsidRDefault="006C6826" w:rsidP="00C57F40">
      <w:pPr>
        <w:spacing w:after="0"/>
        <w:jc w:val="center"/>
        <w:rPr>
          <w:rFonts w:ascii="Times New Roman" w:hAnsi="Times New Roman" w:cs="Times New Roman"/>
          <w:b/>
        </w:rPr>
      </w:pPr>
      <w:r>
        <w:rPr>
          <w:rFonts w:ascii="Times New Roman" w:hAnsi="Times New Roman" w:cs="Times New Roman"/>
        </w:rPr>
        <w:t xml:space="preserve"> </w:t>
      </w:r>
      <w:r w:rsidR="00C57F40" w:rsidRPr="00924683">
        <w:rPr>
          <w:rFonts w:ascii="Times New Roman" w:hAnsi="Times New Roman" w:cs="Times New Roman"/>
          <w:b/>
        </w:rPr>
        <w:t xml:space="preserve">Tabla </w:t>
      </w:r>
      <w:r w:rsidR="0024363C" w:rsidRPr="00924683">
        <w:rPr>
          <w:rFonts w:ascii="Times New Roman" w:hAnsi="Times New Roman" w:cs="Times New Roman"/>
          <w:b/>
        </w:rPr>
        <w:t>1</w:t>
      </w:r>
      <w:r w:rsidR="00647DDA" w:rsidRPr="00AA244A">
        <w:rPr>
          <w:rFonts w:ascii="Times New Roman" w:hAnsi="Times New Roman" w:cs="Times New Roman"/>
          <w:b/>
        </w:rPr>
        <w:t>2</w:t>
      </w:r>
    </w:p>
    <w:p w14:paraId="2E8C73D2" w14:textId="77777777" w:rsidR="00C57F40" w:rsidRPr="00C57F40" w:rsidRDefault="00C57F40" w:rsidP="00C57F40">
      <w:pPr>
        <w:spacing w:after="0"/>
        <w:jc w:val="center"/>
        <w:rPr>
          <w:rFonts w:ascii="Times New Roman" w:hAnsi="Times New Roman" w:cs="Times New Roman"/>
        </w:rPr>
      </w:pPr>
      <w:r w:rsidRPr="00C57F40">
        <w:rPr>
          <w:rFonts w:ascii="Times New Roman" w:hAnsi="Times New Roman" w:cs="Times New Roman"/>
          <w:b/>
        </w:rPr>
        <w:t xml:space="preserve">Estimación del beneficio del programa Sí Profe en la economía nacional </w:t>
      </w:r>
    </w:p>
    <w:p w14:paraId="5D4414A2" w14:textId="4E3182FC" w:rsidR="00C57F40" w:rsidRPr="00C57F40" w:rsidRDefault="00924683" w:rsidP="00C57F40">
      <w:pPr>
        <w:spacing w:after="0"/>
        <w:jc w:val="center"/>
        <w:rPr>
          <w:rFonts w:ascii="Times New Roman" w:hAnsi="Times New Roman" w:cs="Times New Roman"/>
        </w:rPr>
      </w:pPr>
      <w:r w:rsidRPr="00924683">
        <w:rPr>
          <w:rFonts w:ascii="Times New Roman" w:hAnsi="Times New Roman" w:cs="Times New Roman"/>
        </w:rPr>
        <w:t xml:space="preserve"> </w:t>
      </w:r>
      <w:r w:rsidR="00AA244A" w:rsidRPr="00AA244A">
        <w:rPr>
          <w:noProof/>
          <w:lang w:val="en-US"/>
        </w:rPr>
        <w:drawing>
          <wp:inline distT="0" distB="0" distL="0" distR="0" wp14:anchorId="34381249" wp14:editId="1358D853">
            <wp:extent cx="4237990" cy="24885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37990" cy="2488565"/>
                    </a:xfrm>
                    <a:prstGeom prst="rect">
                      <a:avLst/>
                    </a:prstGeom>
                    <a:noFill/>
                    <a:ln>
                      <a:noFill/>
                    </a:ln>
                  </pic:spPr>
                </pic:pic>
              </a:graphicData>
            </a:graphic>
          </wp:inline>
        </w:drawing>
      </w:r>
    </w:p>
    <w:p w14:paraId="17D8606C" w14:textId="0EE88243" w:rsidR="00C57F40" w:rsidRPr="00C57F40" w:rsidRDefault="00C57F40" w:rsidP="00C57F40">
      <w:pPr>
        <w:spacing w:after="120"/>
        <w:rPr>
          <w:rFonts w:ascii="Times New Roman" w:hAnsi="Times New Roman" w:cs="Times New Roman"/>
          <w:sz w:val="20"/>
          <w:szCs w:val="20"/>
        </w:rPr>
      </w:pPr>
      <w:r w:rsidRPr="00C57F40">
        <w:rPr>
          <w:rFonts w:ascii="Times New Roman" w:hAnsi="Times New Roman" w:cs="Times New Roman"/>
        </w:rPr>
        <w:t xml:space="preserve">        </w:t>
      </w:r>
      <w:r w:rsidR="0024363C">
        <w:rPr>
          <w:rFonts w:ascii="Times New Roman" w:hAnsi="Times New Roman" w:cs="Times New Roman"/>
        </w:rPr>
        <w:tab/>
        <w:t xml:space="preserve">          </w:t>
      </w:r>
      <w:r w:rsidRPr="00C57F40">
        <w:rPr>
          <w:rFonts w:ascii="Times New Roman" w:hAnsi="Times New Roman" w:cs="Times New Roman"/>
          <w:sz w:val="20"/>
          <w:szCs w:val="20"/>
        </w:rPr>
        <w:t xml:space="preserve">Fuente: </w:t>
      </w:r>
      <w:r w:rsidR="0024363C">
        <w:rPr>
          <w:rFonts w:ascii="Times New Roman" w:hAnsi="Times New Roman" w:cs="Times New Roman"/>
          <w:sz w:val="20"/>
          <w:szCs w:val="20"/>
        </w:rPr>
        <w:t>cálculos</w:t>
      </w:r>
      <w:r w:rsidRPr="00C57F40">
        <w:rPr>
          <w:rFonts w:ascii="Times New Roman" w:hAnsi="Times New Roman" w:cs="Times New Roman"/>
          <w:sz w:val="20"/>
          <w:szCs w:val="20"/>
        </w:rPr>
        <w:t xml:space="preserve"> consultores </w:t>
      </w:r>
    </w:p>
    <w:p w14:paraId="466A12A4" w14:textId="77777777" w:rsidR="00454EEE" w:rsidRPr="00C57F40" w:rsidRDefault="00454EEE" w:rsidP="00454EEE">
      <w:pPr>
        <w:spacing w:after="120" w:line="276" w:lineRule="auto"/>
        <w:jc w:val="both"/>
        <w:rPr>
          <w:rFonts w:ascii="Times New Roman" w:hAnsi="Times New Roman" w:cs="Times New Roman"/>
        </w:rPr>
      </w:pPr>
      <w:r w:rsidRPr="00F13560">
        <w:rPr>
          <w:rFonts w:ascii="Times New Roman" w:hAnsi="Times New Roman" w:cs="Times New Roman"/>
        </w:rPr>
        <w:lastRenderedPageBreak/>
        <w:t>Con estos datos</w:t>
      </w:r>
      <w:r>
        <w:rPr>
          <w:rFonts w:ascii="Times New Roman" w:hAnsi="Times New Roman" w:cs="Times New Roman"/>
        </w:rPr>
        <w:t>,</w:t>
      </w:r>
      <w:r w:rsidRPr="00F13560">
        <w:rPr>
          <w:rFonts w:ascii="Times New Roman" w:hAnsi="Times New Roman" w:cs="Times New Roman"/>
        </w:rPr>
        <w:t xml:space="preserve"> y utilizando el coeficiente de Hanushek para países no OECD, se obtiene que el impacto de este programa en la economía nacional sería de US$</w:t>
      </w:r>
      <w:r>
        <w:rPr>
          <w:rFonts w:ascii="Times New Roman" w:hAnsi="Times New Roman" w:cs="Times New Roman"/>
        </w:rPr>
        <w:t>7,519 en 2018 y US$35</w:t>
      </w:r>
      <w:r w:rsidRPr="00F13560">
        <w:rPr>
          <w:rFonts w:ascii="Times New Roman" w:hAnsi="Times New Roman" w:cs="Times New Roman"/>
        </w:rPr>
        <w:t>,</w:t>
      </w:r>
      <w:r>
        <w:rPr>
          <w:rFonts w:ascii="Times New Roman" w:hAnsi="Times New Roman" w:cs="Times New Roman"/>
        </w:rPr>
        <w:t>702 en 2019 (el beneficio en los siguientes años se presenta en la tabla resumen en la última sección).</w:t>
      </w:r>
    </w:p>
    <w:p w14:paraId="0FE10AC0" w14:textId="1117C3FA" w:rsidR="006B5B0B" w:rsidRPr="006B5B0B" w:rsidRDefault="00C57F40" w:rsidP="00C57F40">
      <w:pPr>
        <w:spacing w:after="120" w:line="276" w:lineRule="auto"/>
        <w:jc w:val="both"/>
        <w:rPr>
          <w:rFonts w:ascii="Times New Roman" w:eastAsia="Times New Roman" w:hAnsi="Times New Roman" w:cs="Times New Roman"/>
        </w:rPr>
      </w:pPr>
      <w:r w:rsidRPr="007D4C7D">
        <w:rPr>
          <w:rFonts w:ascii="Times New Roman" w:hAnsi="Times New Roman" w:cs="Times New Roman"/>
          <w:spacing w:val="-2"/>
        </w:rPr>
        <w:t>P</w:t>
      </w:r>
      <w:r w:rsidR="00120B7E">
        <w:rPr>
          <w:rFonts w:ascii="Times New Roman" w:hAnsi="Times New Roman" w:cs="Times New Roman"/>
          <w:spacing w:val="-2"/>
        </w:rPr>
        <w:t>or otro lado</w:t>
      </w:r>
      <w:r w:rsidRPr="007D4C7D">
        <w:rPr>
          <w:rFonts w:ascii="Times New Roman" w:hAnsi="Times New Roman" w:cs="Times New Roman"/>
          <w:spacing w:val="-2"/>
        </w:rPr>
        <w:t xml:space="preserve">, se puede estimar </w:t>
      </w:r>
      <w:r w:rsidR="00120B7E">
        <w:rPr>
          <w:rFonts w:ascii="Times New Roman" w:hAnsi="Times New Roman" w:cs="Times New Roman"/>
          <w:spacing w:val="-2"/>
        </w:rPr>
        <w:t xml:space="preserve">también </w:t>
      </w:r>
      <w:r w:rsidRPr="007D4C7D">
        <w:rPr>
          <w:rFonts w:ascii="Times New Roman" w:hAnsi="Times New Roman" w:cs="Times New Roman"/>
          <w:spacing w:val="-2"/>
        </w:rPr>
        <w:t xml:space="preserve">el beneficio de este programa utilizando el estudio de Hanushek (2010) que indica que, </w:t>
      </w:r>
      <w:r w:rsidRPr="007D4C7D">
        <w:rPr>
          <w:rFonts w:ascii="Times New Roman" w:eastAsia="Times New Roman" w:hAnsi="Times New Roman" w:cs="Times New Roman"/>
        </w:rPr>
        <w:t xml:space="preserve">cuando el desempeño de un profesor está sobre la media, el ingreso esperado de sus alumnos aumenta. </w:t>
      </w:r>
      <w:r w:rsidR="006B5B0B">
        <w:rPr>
          <w:rFonts w:ascii="Times New Roman" w:eastAsia="Times New Roman" w:hAnsi="Times New Roman" w:cs="Times New Roman"/>
        </w:rPr>
        <w:t xml:space="preserve">Además, Figlio y Loeb (2011), presentan </w:t>
      </w:r>
      <w:r w:rsidR="006B5B0B" w:rsidRPr="006B5B0B">
        <w:rPr>
          <w:rFonts w:ascii="Times New Roman" w:eastAsia="Times New Roman" w:hAnsi="Times New Roman" w:cs="Times New Roman"/>
        </w:rPr>
        <w:t xml:space="preserve">rangos que estiman el tamaño del </w:t>
      </w:r>
      <w:r w:rsidR="006B5B0B" w:rsidRPr="00E12CED">
        <w:rPr>
          <w:rFonts w:ascii="Times New Roman" w:eastAsia="Times New Roman" w:hAnsi="Times New Roman" w:cs="Times New Roman"/>
          <w:i/>
        </w:rPr>
        <w:t>accountability effect</w:t>
      </w:r>
      <w:r w:rsidR="006B5B0B" w:rsidRPr="006B5B0B">
        <w:rPr>
          <w:rFonts w:ascii="Times New Roman" w:eastAsia="Times New Roman" w:hAnsi="Times New Roman" w:cs="Times New Roman"/>
        </w:rPr>
        <w:t xml:space="preserve"> en los docentes de este tipo de programas y de medir a través de tests estandarizados los resultados de estudiantes en materias claves, que van desde un efecto cero a un efecto de 0.2 desviaciones estándar. </w:t>
      </w:r>
    </w:p>
    <w:p w14:paraId="62F7D358" w14:textId="57C60D0F" w:rsidR="00C57F40" w:rsidRPr="00F13817" w:rsidRDefault="00C57F40" w:rsidP="00C57F40">
      <w:pPr>
        <w:spacing w:after="120" w:line="276" w:lineRule="auto"/>
        <w:jc w:val="both"/>
        <w:rPr>
          <w:rFonts w:ascii="Times New Roman" w:eastAsia="Times New Roman" w:hAnsi="Times New Roman" w:cs="Times New Roman"/>
        </w:rPr>
      </w:pPr>
      <w:r w:rsidRPr="007D4C7D">
        <w:rPr>
          <w:rFonts w:ascii="Times New Roman" w:eastAsia="Times New Roman" w:hAnsi="Times New Roman" w:cs="Times New Roman"/>
        </w:rPr>
        <w:t xml:space="preserve">Para este caso específicamente, </w:t>
      </w:r>
      <w:r w:rsidR="00A85915">
        <w:rPr>
          <w:rFonts w:ascii="Times New Roman" w:eastAsia="Times New Roman" w:hAnsi="Times New Roman" w:cs="Times New Roman"/>
        </w:rPr>
        <w:t xml:space="preserve">se utiliza este último parámetro (0.20 desviaciones estándar) y </w:t>
      </w:r>
      <w:r w:rsidRPr="007D4C7D">
        <w:rPr>
          <w:rFonts w:ascii="Times New Roman" w:eastAsia="Times New Roman" w:hAnsi="Times New Roman" w:cs="Times New Roman"/>
        </w:rPr>
        <w:t xml:space="preserve">se supone que un proceso de formación docente lleva a que uno de cada cuatro profesores </w:t>
      </w:r>
      <w:r w:rsidR="007D4C7D">
        <w:rPr>
          <w:rFonts w:ascii="Times New Roman" w:eastAsia="Times New Roman" w:hAnsi="Times New Roman" w:cs="Times New Roman"/>
        </w:rPr>
        <w:t>mejore su desempeño docente</w:t>
      </w:r>
      <w:r w:rsidR="00E652AA">
        <w:rPr>
          <w:rFonts w:ascii="Times New Roman" w:eastAsia="Times New Roman" w:hAnsi="Times New Roman" w:cs="Times New Roman"/>
        </w:rPr>
        <w:t xml:space="preserve"> como consecuencia de ello</w:t>
      </w:r>
      <w:r w:rsidRPr="007D4C7D">
        <w:rPr>
          <w:rFonts w:ascii="Times New Roman" w:eastAsia="Times New Roman" w:hAnsi="Times New Roman" w:cs="Times New Roman"/>
        </w:rPr>
        <w:t xml:space="preserve"> y </w:t>
      </w:r>
      <w:r w:rsidR="00E652AA">
        <w:rPr>
          <w:rFonts w:ascii="Times New Roman" w:eastAsia="Times New Roman" w:hAnsi="Times New Roman" w:cs="Times New Roman"/>
        </w:rPr>
        <w:t xml:space="preserve">se asume, que, al ser un proceso de formación parcial, ello </w:t>
      </w:r>
      <w:r w:rsidRPr="007D4C7D">
        <w:rPr>
          <w:rFonts w:ascii="Times New Roman" w:eastAsia="Times New Roman" w:hAnsi="Times New Roman" w:cs="Times New Roman"/>
        </w:rPr>
        <w:t>genere un impacto de 0.</w:t>
      </w:r>
      <w:r w:rsidR="00F80034" w:rsidRPr="007D4C7D">
        <w:rPr>
          <w:rFonts w:ascii="Times New Roman" w:eastAsia="Times New Roman" w:hAnsi="Times New Roman" w:cs="Times New Roman"/>
        </w:rPr>
        <w:t>0</w:t>
      </w:r>
      <w:r w:rsidR="00B85FC8">
        <w:rPr>
          <w:rFonts w:ascii="Times New Roman" w:eastAsia="Times New Roman" w:hAnsi="Times New Roman" w:cs="Times New Roman"/>
        </w:rPr>
        <w:t>3</w:t>
      </w:r>
      <w:r w:rsidRPr="007D4C7D">
        <w:rPr>
          <w:rFonts w:ascii="Times New Roman" w:eastAsia="Times New Roman" w:hAnsi="Times New Roman" w:cs="Times New Roman"/>
        </w:rPr>
        <w:t xml:space="preserve"> desviaciones estándar</w:t>
      </w:r>
      <w:r w:rsidRPr="007D4C7D">
        <w:rPr>
          <w:rStyle w:val="FootnoteReference"/>
          <w:rFonts w:ascii="Times New Roman" w:eastAsia="Times New Roman" w:hAnsi="Times New Roman" w:cs="Times New Roman"/>
        </w:rPr>
        <w:footnoteReference w:id="9"/>
      </w:r>
      <w:r w:rsidRPr="007D4C7D">
        <w:rPr>
          <w:rFonts w:ascii="Times New Roman" w:eastAsia="Times New Roman" w:hAnsi="Times New Roman" w:cs="Times New Roman"/>
        </w:rPr>
        <w:t xml:space="preserve"> en desempeño y eso repercuta en el ingreso esperado futuro de los estudiantes.</w:t>
      </w:r>
      <w:r w:rsidR="00F80034" w:rsidRPr="007D4C7D">
        <w:rPr>
          <w:rFonts w:ascii="Times New Roman" w:eastAsia="Times New Roman" w:hAnsi="Times New Roman" w:cs="Times New Roman"/>
        </w:rPr>
        <w:t xml:space="preserve"> Además, se supone que</w:t>
      </w:r>
      <w:r w:rsidR="00375DE6">
        <w:rPr>
          <w:rFonts w:ascii="Times New Roman" w:eastAsia="Times New Roman" w:hAnsi="Times New Roman" w:cs="Times New Roman"/>
        </w:rPr>
        <w:t>,</w:t>
      </w:r>
      <w:r w:rsidR="00F80034" w:rsidRPr="007D4C7D">
        <w:rPr>
          <w:rFonts w:ascii="Times New Roman" w:eastAsia="Times New Roman" w:hAnsi="Times New Roman" w:cs="Times New Roman"/>
        </w:rPr>
        <w:t xml:space="preserve"> con la formación docente, 5 cohortes de estudiantes se benefician del mejor desempeño del profesor.</w:t>
      </w:r>
      <w:r w:rsidR="00F80034">
        <w:rPr>
          <w:rFonts w:ascii="Times New Roman" w:eastAsia="Times New Roman" w:hAnsi="Times New Roman" w:cs="Times New Roman"/>
        </w:rPr>
        <w:t xml:space="preserve"> </w:t>
      </w:r>
    </w:p>
    <w:p w14:paraId="2468B388" w14:textId="1CFE00AD" w:rsidR="00A349EF" w:rsidRDefault="00C57F40" w:rsidP="00C57F40">
      <w:pPr>
        <w:spacing w:after="120" w:line="276" w:lineRule="auto"/>
        <w:jc w:val="both"/>
        <w:rPr>
          <w:rFonts w:ascii="Times New Roman" w:eastAsia="Times New Roman" w:hAnsi="Times New Roman" w:cs="Times New Roman"/>
        </w:rPr>
      </w:pPr>
      <w:r w:rsidRPr="00F15443">
        <w:rPr>
          <w:rFonts w:ascii="Times New Roman" w:eastAsia="Times New Roman" w:hAnsi="Times New Roman" w:cs="Times New Roman"/>
        </w:rPr>
        <w:t>El impacto calculado por Hanushek se convierte a dólares ecuatorianos, utilizando el tipo de cambio de paridad de poder de compra (para reflejar diferencias en el nivel de vida de los países) y se calcula también cuántos estudiantes serían beneficiados</w:t>
      </w:r>
      <w:r w:rsidR="00C36C24">
        <w:rPr>
          <w:rStyle w:val="FootnoteReference"/>
          <w:rFonts w:ascii="Times New Roman" w:eastAsia="Times New Roman" w:hAnsi="Times New Roman" w:cs="Times New Roman"/>
        </w:rPr>
        <w:footnoteReference w:id="10"/>
      </w:r>
      <w:r w:rsidRPr="00F15443">
        <w:rPr>
          <w:rFonts w:ascii="Times New Roman" w:eastAsia="Times New Roman" w:hAnsi="Times New Roman" w:cs="Times New Roman"/>
        </w:rPr>
        <w:t xml:space="preserve"> por recibir clases con estos profesores con un desempeño superior en 0.</w:t>
      </w:r>
      <w:r w:rsidR="0026788E" w:rsidRPr="00F15443">
        <w:rPr>
          <w:rFonts w:ascii="Times New Roman" w:eastAsia="Times New Roman" w:hAnsi="Times New Roman" w:cs="Times New Roman"/>
        </w:rPr>
        <w:t>0</w:t>
      </w:r>
      <w:r w:rsidR="00B85FC8">
        <w:rPr>
          <w:rFonts w:ascii="Times New Roman" w:eastAsia="Times New Roman" w:hAnsi="Times New Roman" w:cs="Times New Roman"/>
        </w:rPr>
        <w:t>3</w:t>
      </w:r>
      <w:r w:rsidRPr="00F15443">
        <w:rPr>
          <w:rFonts w:ascii="Times New Roman" w:eastAsia="Times New Roman" w:hAnsi="Times New Roman" w:cs="Times New Roman"/>
        </w:rPr>
        <w:t xml:space="preserve"> desviaciones estándar. Con todos estos supuestos, se obtiene un beneficio del programa, equivalente al incremento total en el ingreso esperado de los beneficiarios a lo largo de su vida de US$</w:t>
      </w:r>
      <w:r w:rsidR="00A349EF">
        <w:rPr>
          <w:rFonts w:ascii="Times New Roman" w:eastAsia="Times New Roman" w:hAnsi="Times New Roman" w:cs="Times New Roman"/>
        </w:rPr>
        <w:t>3</w:t>
      </w:r>
      <w:r w:rsidR="00B85FC8">
        <w:rPr>
          <w:rFonts w:ascii="Times New Roman" w:eastAsia="Times New Roman" w:hAnsi="Times New Roman" w:cs="Times New Roman"/>
        </w:rPr>
        <w:t>07</w:t>
      </w:r>
      <w:r w:rsidR="00A349EF">
        <w:rPr>
          <w:rFonts w:ascii="Times New Roman" w:eastAsia="Times New Roman" w:hAnsi="Times New Roman" w:cs="Times New Roman"/>
        </w:rPr>
        <w:t>,</w:t>
      </w:r>
      <w:r w:rsidR="00B85FC8">
        <w:rPr>
          <w:rFonts w:ascii="Times New Roman" w:eastAsia="Times New Roman" w:hAnsi="Times New Roman" w:cs="Times New Roman"/>
        </w:rPr>
        <w:t>522</w:t>
      </w:r>
      <w:r w:rsidR="00A349EF">
        <w:rPr>
          <w:rFonts w:ascii="Times New Roman" w:eastAsia="Times New Roman" w:hAnsi="Times New Roman" w:cs="Times New Roman"/>
        </w:rPr>
        <w:t xml:space="preserve"> </w:t>
      </w:r>
      <w:r w:rsidRPr="00F15443">
        <w:rPr>
          <w:rFonts w:ascii="Times New Roman" w:eastAsia="Times New Roman" w:hAnsi="Times New Roman" w:cs="Times New Roman"/>
        </w:rPr>
        <w:t>en 2018 y de US$</w:t>
      </w:r>
      <w:r w:rsidR="00B85FC8">
        <w:rPr>
          <w:rFonts w:ascii="Times New Roman" w:eastAsia="Times New Roman" w:hAnsi="Times New Roman" w:cs="Times New Roman"/>
        </w:rPr>
        <w:t>1</w:t>
      </w:r>
      <w:r w:rsidR="00760C2A" w:rsidRPr="00F15443">
        <w:rPr>
          <w:rFonts w:ascii="Times New Roman" w:eastAsia="Times New Roman" w:hAnsi="Times New Roman" w:cs="Times New Roman"/>
        </w:rPr>
        <w:t>.</w:t>
      </w:r>
      <w:r w:rsidR="00B85FC8">
        <w:rPr>
          <w:rFonts w:ascii="Times New Roman" w:eastAsia="Times New Roman" w:hAnsi="Times New Roman" w:cs="Times New Roman"/>
        </w:rPr>
        <w:t>5</w:t>
      </w:r>
      <w:r w:rsidRPr="00F15443">
        <w:rPr>
          <w:rFonts w:ascii="Times New Roman" w:eastAsia="Times New Roman" w:hAnsi="Times New Roman" w:cs="Times New Roman"/>
        </w:rPr>
        <w:t xml:space="preserve"> millones en 2019. </w:t>
      </w:r>
    </w:p>
    <w:p w14:paraId="5873B514" w14:textId="50B81ADA" w:rsidR="00C57F40" w:rsidRPr="00C32082" w:rsidRDefault="00A349EF" w:rsidP="00C57F40">
      <w:pPr>
        <w:spacing w:after="120" w:line="276" w:lineRule="auto"/>
        <w:jc w:val="both"/>
        <w:rPr>
          <w:rFonts w:ascii="Times New Roman" w:eastAsia="Times New Roman" w:hAnsi="Times New Roman" w:cs="Times New Roman"/>
        </w:rPr>
      </w:pPr>
      <w:r w:rsidRPr="00C32082">
        <w:rPr>
          <w:rFonts w:ascii="Times New Roman" w:hAnsi="Times New Roman" w:cs="Times New Roman"/>
        </w:rPr>
        <w:t>El beneficio del programa Sí Profe se podría medir de las dos formas explicadas</w:t>
      </w:r>
      <w:r w:rsidR="00454EEE">
        <w:rPr>
          <w:rFonts w:ascii="Times New Roman" w:hAnsi="Times New Roman" w:cs="Times New Roman"/>
        </w:rPr>
        <w:t>. S</w:t>
      </w:r>
      <w:r w:rsidRPr="00C32082">
        <w:rPr>
          <w:rFonts w:ascii="Times New Roman" w:hAnsi="Times New Roman" w:cs="Times New Roman"/>
        </w:rPr>
        <w:t xml:space="preserve">in </w:t>
      </w:r>
      <w:r w:rsidR="00454EEE" w:rsidRPr="00C32082">
        <w:rPr>
          <w:rFonts w:ascii="Times New Roman" w:hAnsi="Times New Roman" w:cs="Times New Roman"/>
        </w:rPr>
        <w:t>embargo,</w:t>
      </w:r>
      <w:r w:rsidRPr="00C32082">
        <w:rPr>
          <w:rFonts w:ascii="Times New Roman" w:hAnsi="Times New Roman" w:cs="Times New Roman"/>
        </w:rPr>
        <w:t xml:space="preserve"> para evitar cualquier duplicación de beneficios</w:t>
      </w:r>
      <w:r w:rsidR="002D6803">
        <w:rPr>
          <w:rFonts w:ascii="Times New Roman" w:hAnsi="Times New Roman" w:cs="Times New Roman"/>
        </w:rPr>
        <w:t xml:space="preserve"> entre ambas mediciones</w:t>
      </w:r>
      <w:r w:rsidRPr="00C32082">
        <w:rPr>
          <w:rFonts w:ascii="Times New Roman" w:hAnsi="Times New Roman" w:cs="Times New Roman"/>
        </w:rPr>
        <w:t>, para el cálculo final del beneficio total se toma en cuenta</w:t>
      </w:r>
      <w:r w:rsidR="00454EEE">
        <w:rPr>
          <w:rFonts w:ascii="Times New Roman" w:hAnsi="Times New Roman" w:cs="Times New Roman"/>
        </w:rPr>
        <w:t xml:space="preserve"> únicamente</w:t>
      </w:r>
      <w:r w:rsidRPr="00C32082">
        <w:rPr>
          <w:rFonts w:ascii="Times New Roman" w:hAnsi="Times New Roman" w:cs="Times New Roman"/>
        </w:rPr>
        <w:t xml:space="preserve"> esta última estimación. </w:t>
      </w:r>
    </w:p>
    <w:p w14:paraId="69F69F7F" w14:textId="41EB038C" w:rsidR="00C57F40" w:rsidRPr="00C57F40" w:rsidRDefault="00C57F40" w:rsidP="00C57F40">
      <w:pPr>
        <w:spacing w:after="0" w:line="276" w:lineRule="auto"/>
        <w:jc w:val="center"/>
        <w:rPr>
          <w:rFonts w:ascii="Times New Roman" w:eastAsia="Times New Roman" w:hAnsi="Times New Roman" w:cs="Times New Roman"/>
          <w:b/>
        </w:rPr>
      </w:pPr>
      <w:r w:rsidRPr="00DC18CD">
        <w:rPr>
          <w:rFonts w:ascii="Times New Roman" w:eastAsia="Times New Roman" w:hAnsi="Times New Roman" w:cs="Times New Roman"/>
          <w:b/>
        </w:rPr>
        <w:t xml:space="preserve">Tabla </w:t>
      </w:r>
      <w:r w:rsidR="0024363C" w:rsidRPr="00DC18CD">
        <w:rPr>
          <w:rFonts w:ascii="Times New Roman" w:eastAsia="Times New Roman" w:hAnsi="Times New Roman" w:cs="Times New Roman"/>
          <w:b/>
        </w:rPr>
        <w:t>1</w:t>
      </w:r>
      <w:r w:rsidR="00647DDA" w:rsidRPr="00DC18CD">
        <w:rPr>
          <w:rFonts w:ascii="Times New Roman" w:eastAsia="Times New Roman" w:hAnsi="Times New Roman" w:cs="Times New Roman"/>
          <w:b/>
        </w:rPr>
        <w:t>3</w:t>
      </w:r>
    </w:p>
    <w:p w14:paraId="3551C62C" w14:textId="77777777" w:rsidR="00C57F40" w:rsidRPr="00C57F40" w:rsidRDefault="00C57F40" w:rsidP="00C57F40">
      <w:pPr>
        <w:spacing w:after="0" w:line="276" w:lineRule="auto"/>
        <w:jc w:val="center"/>
        <w:rPr>
          <w:rFonts w:ascii="Times New Roman" w:eastAsia="Times New Roman" w:hAnsi="Times New Roman" w:cs="Times New Roman"/>
        </w:rPr>
      </w:pPr>
      <w:r w:rsidRPr="00C57F40">
        <w:rPr>
          <w:rFonts w:ascii="Times New Roman" w:hAnsi="Times New Roman" w:cs="Times New Roman"/>
          <w:b/>
        </w:rPr>
        <w:t>Estimación del beneficio del programa Sí Profe en el ingreso esperado de los beneficiarios</w:t>
      </w:r>
    </w:p>
    <w:p w14:paraId="1D2C4334" w14:textId="6FF3F057" w:rsidR="00C57F40" w:rsidRPr="00C57F40" w:rsidRDefault="00DC18CD" w:rsidP="00C57F40">
      <w:pPr>
        <w:spacing w:after="0" w:line="276" w:lineRule="auto"/>
        <w:jc w:val="center"/>
        <w:rPr>
          <w:rFonts w:ascii="Times New Roman" w:hAnsi="Times New Roman" w:cs="Times New Roman"/>
        </w:rPr>
      </w:pPr>
      <w:r w:rsidRPr="00DC18CD">
        <w:rPr>
          <w:rFonts w:ascii="Times New Roman" w:hAnsi="Times New Roman" w:cs="Times New Roman"/>
        </w:rPr>
        <w:t xml:space="preserve"> </w:t>
      </w:r>
      <w:r w:rsidRPr="00DC18CD">
        <w:rPr>
          <w:noProof/>
          <w:lang w:val="en-US"/>
        </w:rPr>
        <w:drawing>
          <wp:inline distT="0" distB="0" distL="0" distR="0" wp14:anchorId="0180EA86" wp14:editId="2DC085C2">
            <wp:extent cx="5120640" cy="1534795"/>
            <wp:effectExtent l="0" t="0" r="381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0640" cy="1534795"/>
                    </a:xfrm>
                    <a:prstGeom prst="rect">
                      <a:avLst/>
                    </a:prstGeom>
                    <a:noFill/>
                    <a:ln>
                      <a:noFill/>
                    </a:ln>
                  </pic:spPr>
                </pic:pic>
              </a:graphicData>
            </a:graphic>
          </wp:inline>
        </w:drawing>
      </w:r>
    </w:p>
    <w:p w14:paraId="6F15E6A6" w14:textId="3D850915" w:rsidR="00C57F40" w:rsidRPr="00C57F40" w:rsidRDefault="00C57F40" w:rsidP="00C57F40">
      <w:pPr>
        <w:spacing w:after="120" w:line="276" w:lineRule="auto"/>
        <w:jc w:val="both"/>
        <w:rPr>
          <w:rFonts w:ascii="Times New Roman" w:hAnsi="Times New Roman" w:cs="Times New Roman"/>
          <w:smallCaps/>
        </w:rPr>
      </w:pPr>
      <w:r w:rsidRPr="00C57F40">
        <w:rPr>
          <w:rFonts w:ascii="Times New Roman" w:hAnsi="Times New Roman" w:cs="Times New Roman"/>
          <w:sz w:val="20"/>
          <w:szCs w:val="20"/>
        </w:rPr>
        <w:t xml:space="preserve">        Fuente: </w:t>
      </w:r>
      <w:r w:rsidR="0024363C">
        <w:rPr>
          <w:rFonts w:ascii="Times New Roman" w:hAnsi="Times New Roman" w:cs="Times New Roman"/>
          <w:sz w:val="20"/>
          <w:szCs w:val="20"/>
        </w:rPr>
        <w:t>cálculos</w:t>
      </w:r>
      <w:r w:rsidRPr="00C57F40">
        <w:rPr>
          <w:rFonts w:ascii="Times New Roman" w:hAnsi="Times New Roman" w:cs="Times New Roman"/>
          <w:sz w:val="20"/>
          <w:szCs w:val="20"/>
        </w:rPr>
        <w:t xml:space="preserve"> consultores</w:t>
      </w:r>
    </w:p>
    <w:p w14:paraId="3CB64EE0" w14:textId="798BC8B9" w:rsidR="003F10B5" w:rsidRPr="00742D0E" w:rsidRDefault="00D57851" w:rsidP="005233ED">
      <w:pPr>
        <w:spacing w:after="120" w:line="276" w:lineRule="auto"/>
        <w:jc w:val="both"/>
        <w:rPr>
          <w:rFonts w:ascii="Times New Roman" w:hAnsi="Times New Roman" w:cs="Times New Roman"/>
          <w:b/>
          <w:i/>
          <w:smallCaps/>
        </w:rPr>
      </w:pPr>
      <w:r w:rsidRPr="00742D0E">
        <w:rPr>
          <w:rFonts w:ascii="Times New Roman" w:hAnsi="Times New Roman" w:cs="Times New Roman"/>
          <w:b/>
          <w:i/>
          <w:smallCaps/>
        </w:rPr>
        <w:lastRenderedPageBreak/>
        <w:t>Componente de a</w:t>
      </w:r>
      <w:r w:rsidR="003F10B5" w:rsidRPr="00742D0E">
        <w:rPr>
          <w:rFonts w:ascii="Times New Roman" w:hAnsi="Times New Roman" w:cs="Times New Roman"/>
          <w:b/>
          <w:i/>
          <w:smallCaps/>
        </w:rPr>
        <w:t xml:space="preserve">limentación escolar </w:t>
      </w:r>
    </w:p>
    <w:p w14:paraId="73BC432A" w14:textId="56CA60F2" w:rsidR="00A615E6" w:rsidRPr="00C00949" w:rsidRDefault="00293A33" w:rsidP="00C00949">
      <w:pPr>
        <w:spacing w:after="120" w:line="276" w:lineRule="auto"/>
        <w:jc w:val="both"/>
        <w:rPr>
          <w:rFonts w:ascii="Times New Roman" w:hAnsi="Times New Roman" w:cs="Times New Roman"/>
        </w:rPr>
      </w:pPr>
      <w:r w:rsidRPr="00C00949">
        <w:rPr>
          <w:rFonts w:ascii="Times New Roman" w:hAnsi="Times New Roman" w:cs="Times New Roman"/>
        </w:rPr>
        <w:t xml:space="preserve">En los últimos dos años se </w:t>
      </w:r>
      <w:r w:rsidR="00E31387" w:rsidRPr="00C00949">
        <w:rPr>
          <w:rFonts w:ascii="Times New Roman" w:hAnsi="Times New Roman" w:cs="Times New Roman"/>
        </w:rPr>
        <w:t xml:space="preserve">han </w:t>
      </w:r>
      <w:r w:rsidRPr="00C00949">
        <w:rPr>
          <w:rFonts w:ascii="Times New Roman" w:hAnsi="Times New Roman" w:cs="Times New Roman"/>
        </w:rPr>
        <w:t>realiza</w:t>
      </w:r>
      <w:r w:rsidR="00E31387" w:rsidRPr="00C00949">
        <w:rPr>
          <w:rFonts w:ascii="Times New Roman" w:hAnsi="Times New Roman" w:cs="Times New Roman"/>
        </w:rPr>
        <w:t>do</w:t>
      </w:r>
      <w:r w:rsidRPr="00C00949">
        <w:rPr>
          <w:rFonts w:ascii="Times New Roman" w:hAnsi="Times New Roman" w:cs="Times New Roman"/>
        </w:rPr>
        <w:t xml:space="preserve"> algunos cambios en el programa de alimentación escolar</w:t>
      </w:r>
      <w:r w:rsidR="00DC5746">
        <w:rPr>
          <w:rFonts w:ascii="Times New Roman" w:hAnsi="Times New Roman" w:cs="Times New Roman"/>
        </w:rPr>
        <w:t>,</w:t>
      </w:r>
      <w:r w:rsidRPr="00C00949">
        <w:rPr>
          <w:rFonts w:ascii="Times New Roman" w:hAnsi="Times New Roman" w:cs="Times New Roman"/>
        </w:rPr>
        <w:t xml:space="preserve"> con el fin de proporcionar un</w:t>
      </w:r>
      <w:r w:rsidR="008A1741">
        <w:rPr>
          <w:rFonts w:ascii="Times New Roman" w:hAnsi="Times New Roman" w:cs="Times New Roman"/>
        </w:rPr>
        <w:t>a</w:t>
      </w:r>
      <w:r w:rsidRPr="00C00949">
        <w:rPr>
          <w:rFonts w:ascii="Times New Roman" w:hAnsi="Times New Roman" w:cs="Times New Roman"/>
        </w:rPr>
        <w:t xml:space="preserve"> mejor </w:t>
      </w:r>
      <w:r w:rsidR="008A1741">
        <w:rPr>
          <w:rFonts w:ascii="Times New Roman" w:hAnsi="Times New Roman" w:cs="Times New Roman"/>
        </w:rPr>
        <w:t>nutrición</w:t>
      </w:r>
      <w:r w:rsidRPr="00C00949">
        <w:rPr>
          <w:rFonts w:ascii="Times New Roman" w:hAnsi="Times New Roman" w:cs="Times New Roman"/>
        </w:rPr>
        <w:t xml:space="preserve"> a los estudiantes, con una mayor cantidad de nutrientes provenientes de alimentos frescos y producidos localmente: se incorporaron 7 productos procesados y 13 alimentos frescos, buscando que la provisión de los alimentos frescos sea de pequeños productores agrícolas y con materias primas tradicionales. </w:t>
      </w:r>
      <w:r w:rsidR="00E31387" w:rsidRPr="00C00949">
        <w:rPr>
          <w:rFonts w:ascii="Times New Roman" w:hAnsi="Times New Roman" w:cs="Times New Roman"/>
        </w:rPr>
        <w:t>S</w:t>
      </w:r>
      <w:r w:rsidRPr="00C00949">
        <w:rPr>
          <w:rFonts w:ascii="Times New Roman" w:hAnsi="Times New Roman" w:cs="Times New Roman"/>
        </w:rPr>
        <w:t>e incluyó la leche líquida como fuente de proteína</w:t>
      </w:r>
      <w:r w:rsidR="00A615E6" w:rsidRPr="00C00949">
        <w:rPr>
          <w:rFonts w:ascii="Times New Roman" w:hAnsi="Times New Roman" w:cs="Times New Roman"/>
        </w:rPr>
        <w:t>,</w:t>
      </w:r>
      <w:r w:rsidR="00E31387" w:rsidRPr="00C00949">
        <w:rPr>
          <w:rFonts w:ascii="Times New Roman" w:hAnsi="Times New Roman" w:cs="Times New Roman"/>
        </w:rPr>
        <w:t xml:space="preserve"> y de fruta fresca para cultivar su hábito de consumo. Además, mientras que </w:t>
      </w:r>
      <w:r w:rsidR="00A615E6" w:rsidRPr="00C00949">
        <w:rPr>
          <w:rFonts w:ascii="Times New Roman" w:hAnsi="Times New Roman" w:cs="Times New Roman"/>
        </w:rPr>
        <w:t xml:space="preserve">en </w:t>
      </w:r>
      <w:r w:rsidR="00E31387" w:rsidRPr="00C00949">
        <w:rPr>
          <w:rFonts w:ascii="Times New Roman" w:hAnsi="Times New Roman" w:cs="Times New Roman"/>
        </w:rPr>
        <w:t xml:space="preserve">los años anteriores 84% de las materias primas era importado y existía una oferta oligopólica de alimentos, en la actualidad 87% de las materias primas es nacional, con el objetivo de llegar a 97% en 2017 y </w:t>
      </w:r>
      <w:r w:rsidR="00A615E6" w:rsidRPr="00C00949">
        <w:rPr>
          <w:rFonts w:ascii="Times New Roman" w:hAnsi="Times New Roman" w:cs="Times New Roman"/>
        </w:rPr>
        <w:t>se ha</w:t>
      </w:r>
      <w:r w:rsidR="00E31387" w:rsidRPr="00C00949">
        <w:rPr>
          <w:rFonts w:ascii="Times New Roman" w:hAnsi="Times New Roman" w:cs="Times New Roman"/>
        </w:rPr>
        <w:t xml:space="preserve"> incorpor</w:t>
      </w:r>
      <w:r w:rsidR="00A615E6" w:rsidRPr="00C00949">
        <w:rPr>
          <w:rFonts w:ascii="Times New Roman" w:hAnsi="Times New Roman" w:cs="Times New Roman"/>
        </w:rPr>
        <w:t>ado</w:t>
      </w:r>
      <w:r w:rsidR="00E31387" w:rsidRPr="00C00949">
        <w:rPr>
          <w:rFonts w:ascii="Times New Roman" w:hAnsi="Times New Roman" w:cs="Times New Roman"/>
        </w:rPr>
        <w:t xml:space="preserve"> a pequeños proveedores en la compra de alimentos a través de ferias inclusivas y ruedas de negocios.</w:t>
      </w:r>
      <w:r w:rsidR="00A615E6" w:rsidRPr="00C00949">
        <w:rPr>
          <w:rFonts w:ascii="Times New Roman" w:hAnsi="Times New Roman" w:cs="Times New Roman"/>
        </w:rPr>
        <w:t xml:space="preserve"> El año 2015 fue el primer año en el que este servicio fue universal, es decir todas las instituciones educativas públicas recibieron</w:t>
      </w:r>
      <w:r w:rsidR="00913C23" w:rsidRPr="00C00949">
        <w:rPr>
          <w:rFonts w:ascii="Times New Roman" w:hAnsi="Times New Roman" w:cs="Times New Roman"/>
        </w:rPr>
        <w:t xml:space="preserve"> desayuno o refrigerio o ambos. </w:t>
      </w:r>
    </w:p>
    <w:p w14:paraId="23294D0E" w14:textId="657E8870" w:rsidR="00A615E6" w:rsidRPr="00C00949" w:rsidRDefault="00A615E6" w:rsidP="00C00949">
      <w:pPr>
        <w:spacing w:after="120" w:line="276" w:lineRule="auto"/>
        <w:jc w:val="both"/>
        <w:rPr>
          <w:rFonts w:ascii="Times New Roman" w:hAnsi="Times New Roman" w:cs="Times New Roman"/>
        </w:rPr>
      </w:pPr>
      <w:r w:rsidRPr="00C00949">
        <w:rPr>
          <w:rFonts w:ascii="Times New Roman" w:hAnsi="Times New Roman" w:cs="Times New Roman"/>
        </w:rPr>
        <w:t xml:space="preserve">El programa de alimentación escolar funciona con varias modalidades. En educación inicial, para niños entre 3 y 5 años, los centros educativos diurnos reciben desayuno y refrigerio, mientras que los vespertinos reciben un refrigerio. Por su parte, en los centros </w:t>
      </w:r>
      <w:r w:rsidR="00913C23" w:rsidRPr="00C00949">
        <w:rPr>
          <w:rFonts w:ascii="Times New Roman" w:hAnsi="Times New Roman" w:cs="Times New Roman"/>
        </w:rPr>
        <w:t xml:space="preserve">rurales </w:t>
      </w:r>
      <w:r w:rsidRPr="00C00949">
        <w:rPr>
          <w:rFonts w:ascii="Times New Roman" w:hAnsi="Times New Roman" w:cs="Times New Roman"/>
        </w:rPr>
        <w:t>de Educación General Básica (EGB)</w:t>
      </w:r>
      <w:r w:rsidR="00913C23" w:rsidRPr="00C00949">
        <w:rPr>
          <w:rFonts w:ascii="Times New Roman" w:hAnsi="Times New Roman" w:cs="Times New Roman"/>
        </w:rPr>
        <w:t xml:space="preserve"> los niños entre 5 y 14 años reciben desayuno, mientras que en los centros urbanos los niños reciben un refrigerio. </w:t>
      </w:r>
    </w:p>
    <w:p w14:paraId="1DD7747D" w14:textId="3C8215AA" w:rsidR="00BB12F9" w:rsidRPr="00C00949" w:rsidRDefault="00BB12F9" w:rsidP="00C00949">
      <w:pPr>
        <w:spacing w:after="120" w:line="276" w:lineRule="auto"/>
        <w:jc w:val="both"/>
        <w:rPr>
          <w:rFonts w:ascii="Times New Roman" w:hAnsi="Times New Roman" w:cs="Times New Roman"/>
        </w:rPr>
      </w:pPr>
      <w:r w:rsidRPr="00C00949">
        <w:rPr>
          <w:rFonts w:ascii="Times New Roman" w:hAnsi="Times New Roman" w:cs="Times New Roman"/>
        </w:rPr>
        <w:t>Se conoce que el monto presupuestario asignado para el proyecto “Intervención en la Alimentación Escolar” en 2016 asciende a US$123 millones, incluido valores de pago pendientes de 2015</w:t>
      </w:r>
      <w:r w:rsidR="003213B4">
        <w:rPr>
          <w:rFonts w:ascii="Times New Roman" w:hAnsi="Times New Roman" w:cs="Times New Roman"/>
        </w:rPr>
        <w:t xml:space="preserve"> (alrededor de US$23 millones)</w:t>
      </w:r>
      <w:r w:rsidRPr="00C00949">
        <w:rPr>
          <w:rFonts w:ascii="Times New Roman" w:hAnsi="Times New Roman" w:cs="Times New Roman"/>
        </w:rPr>
        <w:t xml:space="preserve">. Esta cifra es menor en US$30 millones al presupuesto asignado al proyecto en 2015. Además, por otra parte, en 2015 se registró un incremento de 652,112 beneficiarios. Dadas estas restricciones </w:t>
      </w:r>
      <w:r w:rsidR="00DF07A2" w:rsidRPr="00C00949">
        <w:rPr>
          <w:rFonts w:ascii="Times New Roman" w:hAnsi="Times New Roman" w:cs="Times New Roman"/>
        </w:rPr>
        <w:t xml:space="preserve">se han realizado algunos ajustes </w:t>
      </w:r>
      <w:r w:rsidRPr="00C00949">
        <w:rPr>
          <w:rFonts w:ascii="Times New Roman" w:hAnsi="Times New Roman" w:cs="Times New Roman"/>
        </w:rPr>
        <w:t xml:space="preserve">dentro de la planificación de la adquisición de alimentos para el Programa de Alimentación Escolar (PAE), considerando alteraciones en las variables que influencian el uso del presupuesto: cantidad de beneficiarios; días de cobertura; </w:t>
      </w:r>
      <w:r w:rsidR="00DF07A2" w:rsidRPr="00C00949">
        <w:rPr>
          <w:rFonts w:ascii="Times New Roman" w:hAnsi="Times New Roman" w:cs="Times New Roman"/>
        </w:rPr>
        <w:t xml:space="preserve">y </w:t>
      </w:r>
      <w:r w:rsidRPr="00C00949">
        <w:rPr>
          <w:rFonts w:ascii="Times New Roman" w:hAnsi="Times New Roman" w:cs="Times New Roman"/>
        </w:rPr>
        <w:t>cantidad, combinaciones y precios de producto</w:t>
      </w:r>
      <w:r w:rsidR="00DF07A2" w:rsidRPr="00C00949">
        <w:rPr>
          <w:rFonts w:ascii="Times New Roman" w:hAnsi="Times New Roman" w:cs="Times New Roman"/>
        </w:rPr>
        <w:t>s</w:t>
      </w:r>
      <w:r w:rsidRPr="00C00949">
        <w:rPr>
          <w:rFonts w:ascii="Times New Roman" w:hAnsi="Times New Roman" w:cs="Times New Roman"/>
        </w:rPr>
        <w:t>.</w:t>
      </w:r>
    </w:p>
    <w:p w14:paraId="57A4037E" w14:textId="717807F4" w:rsidR="00DF07A2" w:rsidRPr="00C00949" w:rsidRDefault="00DF07A2" w:rsidP="00C00949">
      <w:pPr>
        <w:spacing w:after="120" w:line="276" w:lineRule="auto"/>
        <w:jc w:val="both"/>
        <w:rPr>
          <w:rFonts w:ascii="Times New Roman" w:hAnsi="Times New Roman" w:cs="Times New Roman"/>
        </w:rPr>
      </w:pPr>
      <w:r w:rsidRPr="00C00949">
        <w:rPr>
          <w:rFonts w:ascii="Times New Roman" w:hAnsi="Times New Roman" w:cs="Times New Roman"/>
        </w:rPr>
        <w:t>En 2016, el programa trabajará con las modalidades descritas</w:t>
      </w:r>
      <w:r w:rsidR="006E7745" w:rsidRPr="00C00949">
        <w:rPr>
          <w:rFonts w:ascii="Times New Roman" w:hAnsi="Times New Roman" w:cs="Times New Roman"/>
        </w:rPr>
        <w:t>.</w:t>
      </w:r>
      <w:r w:rsidR="00490D73" w:rsidRPr="00C00949">
        <w:rPr>
          <w:rFonts w:ascii="Times New Roman" w:hAnsi="Times New Roman" w:cs="Times New Roman"/>
        </w:rPr>
        <w:t xml:space="preserve"> En educación inicial, el desayuno consiste en 5 días de leche 3 días de fruta, 2 días de cereal, mientras que el refrigerio consiste en cereales durante los 5 días (2 cereales por día). Para los centros educativos de educación inicial que solo reciben refrigerio en las tardes, sería de 5 días de leche y 5 días de cereal. Por su parte, en EGB el desayuno consiste en 5 días de colada, 5 días de cereal y una combinación de 3 días de fruta y 2 de cereal, mientras que el refrigerio consiste en leche todos los días. </w:t>
      </w:r>
      <w:r w:rsidR="006E7745" w:rsidRPr="00C00949">
        <w:rPr>
          <w:rFonts w:ascii="Times New Roman" w:hAnsi="Times New Roman" w:cs="Times New Roman"/>
        </w:rPr>
        <w:t xml:space="preserve">El </w:t>
      </w:r>
      <w:r w:rsidR="000E70A1" w:rsidRPr="00C00949">
        <w:rPr>
          <w:rFonts w:ascii="Times New Roman" w:hAnsi="Times New Roman" w:cs="Times New Roman"/>
        </w:rPr>
        <w:t>refrigerio para EGB es la prestación más afectada con un promedio de 47% de aporte nutricional. La dieta planificada para estos beneficiarios contempla únicamente el consumo de leche, debido al aporte de proteína de alta biodisponibilidad, así como por ser un producto fortificado con base en los requerimientos de la población.</w:t>
      </w:r>
    </w:p>
    <w:p w14:paraId="55EE3A6B" w14:textId="7C8B7D76" w:rsidR="00C75D35" w:rsidRDefault="003A23D9" w:rsidP="006D372D">
      <w:pPr>
        <w:keepNext/>
        <w:spacing w:after="120" w:line="276" w:lineRule="auto"/>
        <w:jc w:val="both"/>
        <w:rPr>
          <w:rFonts w:ascii="Times New Roman" w:hAnsi="Times New Roman" w:cs="Times New Roman"/>
        </w:rPr>
      </w:pPr>
      <w:r w:rsidRPr="00C00949">
        <w:rPr>
          <w:rFonts w:ascii="Times New Roman" w:hAnsi="Times New Roman" w:cs="Times New Roman"/>
        </w:rPr>
        <w:t>Para el cálculo de los beneficios de este programa se utilizan</w:t>
      </w:r>
      <w:r w:rsidR="00C75D35">
        <w:rPr>
          <w:rFonts w:ascii="Times New Roman" w:hAnsi="Times New Roman" w:cs="Times New Roman"/>
        </w:rPr>
        <w:t xml:space="preserve"> dos fuentes de información ligadas a evaluaciones de aprendizaje:</w:t>
      </w:r>
    </w:p>
    <w:p w14:paraId="0E0DCAD2" w14:textId="2F43FA68" w:rsidR="003A23D9" w:rsidRPr="00C75D35" w:rsidRDefault="00C75D35" w:rsidP="00C75D35">
      <w:pPr>
        <w:pStyle w:val="ListParagraph"/>
        <w:numPr>
          <w:ilvl w:val="0"/>
          <w:numId w:val="7"/>
        </w:numPr>
        <w:spacing w:after="120" w:line="276" w:lineRule="auto"/>
        <w:jc w:val="both"/>
        <w:rPr>
          <w:rFonts w:ascii="Times New Roman" w:hAnsi="Times New Roman" w:cs="Times New Roman"/>
        </w:rPr>
      </w:pPr>
      <w:r w:rsidRPr="00C75D35">
        <w:rPr>
          <w:rFonts w:ascii="Times New Roman" w:hAnsi="Times New Roman" w:cs="Times New Roman"/>
        </w:rPr>
        <w:t xml:space="preserve">Por una parte, </w:t>
      </w:r>
      <w:r w:rsidR="003A23D9" w:rsidRPr="00C75D35">
        <w:rPr>
          <w:rFonts w:ascii="Times New Roman" w:hAnsi="Times New Roman" w:cs="Times New Roman"/>
        </w:rPr>
        <w:t xml:space="preserve">la base de datos del Tercer Estudio Regional Comparativo y Explicativo </w:t>
      </w:r>
      <w:r w:rsidR="001B6880" w:rsidRPr="00C75D35">
        <w:rPr>
          <w:rFonts w:ascii="Times New Roman" w:hAnsi="Times New Roman" w:cs="Times New Roman"/>
        </w:rPr>
        <w:t>TERCE</w:t>
      </w:r>
      <w:r w:rsidR="003A23D9" w:rsidRPr="00C75D35">
        <w:rPr>
          <w:rFonts w:ascii="Times New Roman" w:hAnsi="Times New Roman" w:cs="Times New Roman"/>
        </w:rPr>
        <w:t xml:space="preserve"> llevado a cabo en 2013, bajo la coordinación del Laboratorio Latinoamericano de Evaluación de la Calidad de la Educación (Llece) de la Oficina Regional de Educación de la Unesco para América Latina y el Caribe (Orealc). La prueba </w:t>
      </w:r>
      <w:r w:rsidR="001B6880" w:rsidRPr="00C75D35">
        <w:rPr>
          <w:rFonts w:ascii="Times New Roman" w:hAnsi="Times New Roman" w:cs="Times New Roman"/>
        </w:rPr>
        <w:t>TERCE</w:t>
      </w:r>
      <w:r w:rsidR="003A23D9" w:rsidRPr="00C75D35">
        <w:rPr>
          <w:rFonts w:ascii="Times New Roman" w:hAnsi="Times New Roman" w:cs="Times New Roman"/>
        </w:rPr>
        <w:t xml:space="preserve"> se aplicó en 15 países </w:t>
      </w:r>
      <w:r w:rsidR="003A23D9" w:rsidRPr="00C75D35">
        <w:rPr>
          <w:rFonts w:ascii="Times New Roman" w:hAnsi="Times New Roman" w:cs="Times New Roman"/>
        </w:rPr>
        <w:lastRenderedPageBreak/>
        <w:t xml:space="preserve">de la Región, evaluando a estudiantes de cuarto y séptimo grado de EGB en las áreas de Matemática, Lectura y Escritura. Además, los estudiantes de séptimo fueron evaluados en Ciencias. </w:t>
      </w:r>
    </w:p>
    <w:p w14:paraId="7E55CA97" w14:textId="6F055F14" w:rsidR="003A23D9" w:rsidRPr="00740AAC" w:rsidRDefault="003A23D9" w:rsidP="00C75D35">
      <w:pPr>
        <w:spacing w:after="120" w:line="276" w:lineRule="auto"/>
        <w:ind w:left="708"/>
        <w:jc w:val="both"/>
        <w:rPr>
          <w:rFonts w:ascii="Times New Roman" w:hAnsi="Times New Roman" w:cs="Times New Roman"/>
        </w:rPr>
      </w:pPr>
      <w:r w:rsidRPr="00740AAC">
        <w:rPr>
          <w:rFonts w:ascii="Times New Roman" w:hAnsi="Times New Roman" w:cs="Times New Roman"/>
        </w:rPr>
        <w:t>Junto con las evaluaciones en las áreas mencionadas, se realizó una encuesta a estudiantes, padres de familia, maestros y directivos sobre factores asociados al desempeño educativo. Con los resultados de</w:t>
      </w:r>
      <w:r w:rsidR="00C00949" w:rsidRPr="00740AAC">
        <w:rPr>
          <w:rFonts w:ascii="Times New Roman" w:hAnsi="Times New Roman" w:cs="Times New Roman"/>
        </w:rPr>
        <w:t xml:space="preserve"> esta encuesta se</w:t>
      </w:r>
      <w:r w:rsidRPr="00740AAC">
        <w:rPr>
          <w:rFonts w:ascii="Times New Roman" w:hAnsi="Times New Roman" w:cs="Times New Roman"/>
        </w:rPr>
        <w:t xml:space="preserve"> dio una calificación a cada centro educativo en 4 áreas: infraestructura, </w:t>
      </w:r>
      <w:r w:rsidR="00C00949" w:rsidRPr="00740AAC">
        <w:rPr>
          <w:rFonts w:ascii="Times New Roman" w:hAnsi="Times New Roman" w:cs="Times New Roman"/>
        </w:rPr>
        <w:t xml:space="preserve">nivel socioeconómico, violencia y actividades </w:t>
      </w:r>
      <w:r w:rsidR="00B21160" w:rsidRPr="00740AAC">
        <w:rPr>
          <w:rFonts w:ascii="Times New Roman" w:hAnsi="Times New Roman" w:cs="Times New Roman"/>
        </w:rPr>
        <w:t>docente</w:t>
      </w:r>
      <w:r w:rsidR="00C00949" w:rsidRPr="00740AAC">
        <w:rPr>
          <w:rFonts w:ascii="Times New Roman" w:hAnsi="Times New Roman" w:cs="Times New Roman"/>
        </w:rPr>
        <w:t xml:space="preserve">s. </w:t>
      </w:r>
    </w:p>
    <w:p w14:paraId="01FBF637" w14:textId="26ABD04F" w:rsidR="0064464B" w:rsidRDefault="00740AAC" w:rsidP="0064464B">
      <w:pPr>
        <w:spacing w:after="120" w:line="276" w:lineRule="auto"/>
        <w:ind w:left="708"/>
        <w:jc w:val="both"/>
        <w:rPr>
          <w:rFonts w:ascii="Times New Roman" w:hAnsi="Times New Roman" w:cs="Times New Roman"/>
        </w:rPr>
      </w:pPr>
      <w:r w:rsidRPr="00740AAC">
        <w:rPr>
          <w:rFonts w:ascii="Times New Roman" w:hAnsi="Times New Roman" w:cs="Times New Roman"/>
        </w:rPr>
        <w:t xml:space="preserve">Para el caso ecuatoriano específicamente, se tienen los resultados escolares de </w:t>
      </w:r>
      <w:r w:rsidR="001B6880">
        <w:rPr>
          <w:rFonts w:ascii="Times New Roman" w:hAnsi="Times New Roman" w:cs="Times New Roman"/>
        </w:rPr>
        <w:t>TERCE</w:t>
      </w:r>
      <w:r w:rsidRPr="00740AAC">
        <w:rPr>
          <w:rFonts w:ascii="Times New Roman" w:hAnsi="Times New Roman" w:cs="Times New Roman"/>
        </w:rPr>
        <w:t xml:space="preserve"> de los estudiantes, que son 5 puntajes, y se tienen clasificadas las escuelas entre rurales o urbanas, privadas o públicas, si recibieron </w:t>
      </w:r>
      <w:r w:rsidR="00914D60">
        <w:rPr>
          <w:rFonts w:ascii="Times New Roman" w:hAnsi="Times New Roman" w:cs="Times New Roman"/>
        </w:rPr>
        <w:t>alimentación</w:t>
      </w:r>
      <w:r w:rsidRPr="00740AAC">
        <w:rPr>
          <w:rFonts w:ascii="Times New Roman" w:hAnsi="Times New Roman" w:cs="Times New Roman"/>
        </w:rPr>
        <w:t xml:space="preserve"> escolar o no, y los 4 índices mencionados.</w:t>
      </w:r>
      <w:r>
        <w:rPr>
          <w:rFonts w:ascii="Times New Roman" w:hAnsi="Times New Roman" w:cs="Times New Roman"/>
        </w:rPr>
        <w:t xml:space="preserve"> Con toda esta información, se busca determinar si el haber recibido </w:t>
      </w:r>
      <w:r w:rsidR="0081056B">
        <w:rPr>
          <w:rFonts w:ascii="Times New Roman" w:hAnsi="Times New Roman" w:cs="Times New Roman"/>
        </w:rPr>
        <w:t>alimentación</w:t>
      </w:r>
      <w:r>
        <w:rPr>
          <w:rFonts w:ascii="Times New Roman" w:hAnsi="Times New Roman" w:cs="Times New Roman"/>
        </w:rPr>
        <w:t xml:space="preserve"> escolar influye en los resultados de </w:t>
      </w:r>
      <w:r w:rsidR="001B6880">
        <w:rPr>
          <w:rFonts w:ascii="Times New Roman" w:hAnsi="Times New Roman" w:cs="Times New Roman"/>
        </w:rPr>
        <w:t>TERCE</w:t>
      </w:r>
      <w:r>
        <w:rPr>
          <w:rFonts w:ascii="Times New Roman" w:hAnsi="Times New Roman" w:cs="Times New Roman"/>
        </w:rPr>
        <w:t xml:space="preserve">. </w:t>
      </w:r>
    </w:p>
    <w:p w14:paraId="36F67008" w14:textId="6AE3A2D3" w:rsidR="00C75D35" w:rsidRPr="00130BC3" w:rsidRDefault="0064464B" w:rsidP="0064464B">
      <w:pPr>
        <w:pStyle w:val="ListParagraph"/>
        <w:numPr>
          <w:ilvl w:val="0"/>
          <w:numId w:val="7"/>
        </w:numPr>
        <w:spacing w:after="120" w:line="276" w:lineRule="auto"/>
        <w:jc w:val="both"/>
        <w:rPr>
          <w:rFonts w:ascii="Times New Roman" w:hAnsi="Times New Roman" w:cs="Times New Roman"/>
        </w:rPr>
      </w:pPr>
      <w:r w:rsidRPr="00130BC3">
        <w:rPr>
          <w:rFonts w:ascii="Times New Roman" w:hAnsi="Times New Roman" w:cs="Times New Roman"/>
        </w:rPr>
        <w:t>P</w:t>
      </w:r>
      <w:r w:rsidR="00C75D35" w:rsidRPr="00130BC3">
        <w:rPr>
          <w:rFonts w:ascii="Times New Roman" w:hAnsi="Times New Roman" w:cs="Times New Roman"/>
        </w:rPr>
        <w:t xml:space="preserve">or otro lado, los resultados de las pruebas Ser Estudiante 2013, desarrolladas por el INEVAL </w:t>
      </w:r>
      <w:r w:rsidRPr="00130BC3">
        <w:rPr>
          <w:rFonts w:ascii="Times New Roman" w:hAnsi="Times New Roman" w:cs="Times New Roman"/>
        </w:rPr>
        <w:t xml:space="preserve">que están </w:t>
      </w:r>
      <w:r w:rsidRPr="00130BC3">
        <w:rPr>
          <w:rFonts w:ascii="Times New Roman" w:hAnsi="Times New Roman" w:cs="Times New Roman"/>
          <w:color w:val="010101"/>
        </w:rPr>
        <w:t>dirigidas a niños de cuarto, séptimo y décimo de EGB y tercero de Bachillerato, con el propósito de conocer el nivel de aprendizaje alcanzado de acuerdo a los Estándares de Calidad Educativa emitidos por el Ministerio de Educación para cada nivel, en relación a sus saberes y habilidades de razonamiento. Las pruebas son de tipo criterial, es decir, se construyen con base en un criterio o referentes previamente definidos, permiten conocer lo que un evaluado es capaz o no de realizar en los</w:t>
      </w:r>
      <w:r w:rsidR="00FC05DC">
        <w:rPr>
          <w:rFonts w:ascii="Times New Roman" w:hAnsi="Times New Roman" w:cs="Times New Roman"/>
          <w:color w:val="010101"/>
        </w:rPr>
        <w:t xml:space="preserve"> siguientes</w:t>
      </w:r>
      <w:r w:rsidRPr="00130BC3">
        <w:rPr>
          <w:rFonts w:ascii="Times New Roman" w:hAnsi="Times New Roman" w:cs="Times New Roman"/>
          <w:color w:val="010101"/>
        </w:rPr>
        <w:t xml:space="preserve"> campos: Lengua y Literatura, Matemática, Ciencias Naturales y Estudios Sociales. El INEVAL aplicó entre junio y noviembre de 2013 estas pruebas a 41,702 estudiantes que realizaron los exámenes diseñados por el mismo INEVAL, construidos con la colaboración de cientos de profesores del país. Los resultados de estas pruebas son complementados con información de encuestas de factores asociados que permiten su contextualización. La Encuesta de Factores Asociados es un conjunto de preguntas que brinda información sobre elementos sociales, culturales, económicos y personales de hábitos de alimentación y estudio. Con los resultados obtenidos, se propone tomar decisiones de mejoramiento acertadas y oportunas, conjuntamente con docentes y directivos.</w:t>
      </w:r>
      <w:r w:rsidR="00C75D35" w:rsidRPr="00130BC3">
        <w:rPr>
          <w:rFonts w:ascii="Times New Roman" w:hAnsi="Times New Roman" w:cs="Times New Roman"/>
        </w:rPr>
        <w:t xml:space="preserve"> </w:t>
      </w:r>
    </w:p>
    <w:p w14:paraId="1BDCAF77" w14:textId="329FCE90" w:rsidR="00AE6C43" w:rsidRPr="00742D0E" w:rsidRDefault="00AE6C43" w:rsidP="00740AAC">
      <w:pPr>
        <w:spacing w:after="120" w:line="276" w:lineRule="auto"/>
        <w:jc w:val="both"/>
        <w:rPr>
          <w:rFonts w:ascii="Times New Roman" w:hAnsi="Times New Roman" w:cs="Times New Roman"/>
          <w:b/>
          <w:i/>
        </w:rPr>
      </w:pPr>
      <w:r w:rsidRPr="00742D0E">
        <w:rPr>
          <w:rFonts w:ascii="Times New Roman" w:hAnsi="Times New Roman" w:cs="Times New Roman"/>
          <w:b/>
          <w:i/>
        </w:rPr>
        <w:t xml:space="preserve">Resultados en base a </w:t>
      </w:r>
      <w:r w:rsidR="00262CA3" w:rsidRPr="00742D0E">
        <w:rPr>
          <w:rFonts w:ascii="Times New Roman" w:hAnsi="Times New Roman" w:cs="Times New Roman"/>
          <w:b/>
          <w:i/>
        </w:rPr>
        <w:t>evaluación</w:t>
      </w:r>
      <w:r w:rsidRPr="00742D0E">
        <w:rPr>
          <w:rFonts w:ascii="Times New Roman" w:hAnsi="Times New Roman" w:cs="Times New Roman"/>
          <w:b/>
          <w:i/>
        </w:rPr>
        <w:t xml:space="preserve"> TERCE 2013</w:t>
      </w:r>
    </w:p>
    <w:p w14:paraId="0B0A8E2C" w14:textId="5DFB3541" w:rsidR="00420C7A" w:rsidRPr="00C66581" w:rsidRDefault="00420C7A" w:rsidP="00420C7A">
      <w:pPr>
        <w:spacing w:after="120" w:line="276" w:lineRule="auto"/>
        <w:jc w:val="both"/>
        <w:rPr>
          <w:rFonts w:ascii="Times New Roman" w:hAnsi="Times New Roman" w:cs="Times New Roman"/>
        </w:rPr>
      </w:pPr>
      <w:r w:rsidRPr="00B85FC8">
        <w:rPr>
          <w:rFonts w:ascii="Times New Roman" w:hAnsi="Times New Roman" w:cs="Times New Roman"/>
        </w:rPr>
        <w:t xml:space="preserve">Se dispone de resultados de la evaluación TERCE 2013 para </w:t>
      </w:r>
      <w:r w:rsidR="00EB7B5F" w:rsidRPr="00B85FC8">
        <w:rPr>
          <w:rFonts w:ascii="Times New Roman" w:hAnsi="Times New Roman" w:cs="Times New Roman"/>
        </w:rPr>
        <w:t xml:space="preserve">el </w:t>
      </w:r>
      <w:r w:rsidR="00B85FC8" w:rsidRPr="00B85FC8">
        <w:rPr>
          <w:rFonts w:ascii="Times New Roman" w:hAnsi="Times New Roman" w:cs="Times New Roman"/>
        </w:rPr>
        <w:t xml:space="preserve">3° y </w:t>
      </w:r>
      <w:r w:rsidR="00A672B5" w:rsidRPr="00B85FC8">
        <w:rPr>
          <w:rFonts w:ascii="Times New Roman" w:hAnsi="Times New Roman" w:cs="Times New Roman"/>
        </w:rPr>
        <w:t>7</w:t>
      </w:r>
      <w:r w:rsidRPr="00B85FC8">
        <w:rPr>
          <w:rFonts w:ascii="Times New Roman" w:hAnsi="Times New Roman" w:cs="Times New Roman"/>
        </w:rPr>
        <w:t xml:space="preserve">º </w:t>
      </w:r>
      <w:r w:rsidR="00A672B5" w:rsidRPr="00B85FC8">
        <w:rPr>
          <w:rFonts w:ascii="Times New Roman" w:hAnsi="Times New Roman" w:cs="Times New Roman"/>
        </w:rPr>
        <w:t>grado</w:t>
      </w:r>
      <w:r w:rsidRPr="00B85FC8">
        <w:rPr>
          <w:rFonts w:ascii="Times New Roman" w:hAnsi="Times New Roman" w:cs="Times New Roman"/>
        </w:rPr>
        <w:t xml:space="preserve"> de EGB de 3</w:t>
      </w:r>
      <w:r w:rsidR="00B85FC8" w:rsidRPr="00B85FC8">
        <w:rPr>
          <w:rFonts w:ascii="Times New Roman" w:hAnsi="Times New Roman" w:cs="Times New Roman"/>
        </w:rPr>
        <w:t>89</w:t>
      </w:r>
      <w:r w:rsidRPr="00B85FC8">
        <w:rPr>
          <w:rFonts w:ascii="Times New Roman" w:hAnsi="Times New Roman" w:cs="Times New Roman"/>
        </w:rPr>
        <w:t xml:space="preserve"> </w:t>
      </w:r>
      <w:r w:rsidR="00F9736C" w:rsidRPr="00B85FC8">
        <w:rPr>
          <w:rFonts w:ascii="Times New Roman" w:hAnsi="Times New Roman" w:cs="Times New Roman"/>
        </w:rPr>
        <w:t>establecimientos educativos</w:t>
      </w:r>
      <w:r w:rsidR="00B85FC8">
        <w:rPr>
          <w:rStyle w:val="FootnoteReference"/>
          <w:rFonts w:ascii="Times New Roman" w:hAnsi="Times New Roman" w:cs="Times New Roman"/>
        </w:rPr>
        <w:footnoteReference w:id="11"/>
      </w:r>
      <w:r w:rsidRPr="00B85FC8">
        <w:rPr>
          <w:rFonts w:ascii="Times New Roman" w:hAnsi="Times New Roman" w:cs="Times New Roman"/>
        </w:rPr>
        <w:t xml:space="preserve"> de Ecuador (de los que 4,</w:t>
      </w:r>
      <w:r w:rsidR="00B85FC8" w:rsidRPr="00B85FC8">
        <w:rPr>
          <w:rFonts w:ascii="Times New Roman" w:hAnsi="Times New Roman" w:cs="Times New Roman"/>
        </w:rPr>
        <w:t>887</w:t>
      </w:r>
      <w:r w:rsidRPr="00B85FC8">
        <w:rPr>
          <w:rFonts w:ascii="Times New Roman" w:hAnsi="Times New Roman" w:cs="Times New Roman"/>
        </w:rPr>
        <w:t xml:space="preserve"> estudiantes </w:t>
      </w:r>
      <w:r w:rsidR="00B85FC8" w:rsidRPr="00B85FC8">
        <w:rPr>
          <w:rFonts w:ascii="Times New Roman" w:hAnsi="Times New Roman" w:cs="Times New Roman"/>
        </w:rPr>
        <w:t xml:space="preserve">de 7° de EGB </w:t>
      </w:r>
      <w:r w:rsidRPr="00B85FC8">
        <w:rPr>
          <w:rFonts w:ascii="Times New Roman" w:hAnsi="Times New Roman" w:cs="Times New Roman"/>
        </w:rPr>
        <w:t>realizaron la evaluación), de los cuales 23</w:t>
      </w:r>
      <w:r w:rsidR="00B85FC8" w:rsidRPr="00B85FC8">
        <w:rPr>
          <w:rFonts w:ascii="Times New Roman" w:hAnsi="Times New Roman" w:cs="Times New Roman"/>
        </w:rPr>
        <w:t>0</w:t>
      </w:r>
      <w:r w:rsidRPr="00B85FC8">
        <w:rPr>
          <w:rFonts w:ascii="Times New Roman" w:hAnsi="Times New Roman" w:cs="Times New Roman"/>
        </w:rPr>
        <w:t xml:space="preserve"> recibían, en el momento de la </w:t>
      </w:r>
      <w:r w:rsidR="00EB7B5F" w:rsidRPr="00B85FC8">
        <w:rPr>
          <w:rFonts w:ascii="Times New Roman" w:hAnsi="Times New Roman" w:cs="Times New Roman"/>
        </w:rPr>
        <w:t>encuesta</w:t>
      </w:r>
      <w:r w:rsidRPr="00B85FC8">
        <w:rPr>
          <w:rFonts w:ascii="Times New Roman" w:hAnsi="Times New Roman" w:cs="Times New Roman"/>
        </w:rPr>
        <w:t xml:space="preserve">, </w:t>
      </w:r>
      <w:r w:rsidR="00C66581" w:rsidRPr="00B85FC8">
        <w:rPr>
          <w:rFonts w:ascii="Times New Roman" w:hAnsi="Times New Roman" w:cs="Times New Roman"/>
        </w:rPr>
        <w:t>alimentación</w:t>
      </w:r>
      <w:r w:rsidRPr="00B85FC8">
        <w:rPr>
          <w:rFonts w:ascii="Times New Roman" w:hAnsi="Times New Roman" w:cs="Times New Roman"/>
        </w:rPr>
        <w:t xml:space="preserve"> escolar (de los que 2,9</w:t>
      </w:r>
      <w:r w:rsidR="00B85FC8" w:rsidRPr="00B85FC8">
        <w:rPr>
          <w:rFonts w:ascii="Times New Roman" w:hAnsi="Times New Roman" w:cs="Times New Roman"/>
        </w:rPr>
        <w:t>997</w:t>
      </w:r>
      <w:r w:rsidRPr="00B85FC8">
        <w:rPr>
          <w:rFonts w:ascii="Times New Roman" w:hAnsi="Times New Roman" w:cs="Times New Roman"/>
        </w:rPr>
        <w:t xml:space="preserve"> estudiantes</w:t>
      </w:r>
      <w:r w:rsidR="00B85FC8" w:rsidRPr="00B85FC8">
        <w:rPr>
          <w:rFonts w:ascii="Times New Roman" w:hAnsi="Times New Roman" w:cs="Times New Roman"/>
        </w:rPr>
        <w:t xml:space="preserve"> de 7° de EGB</w:t>
      </w:r>
      <w:r w:rsidRPr="00B85FC8">
        <w:rPr>
          <w:rFonts w:ascii="Times New Roman" w:hAnsi="Times New Roman" w:cs="Times New Roman"/>
        </w:rPr>
        <w:t xml:space="preserve"> realizaron la evaluación).</w:t>
      </w:r>
    </w:p>
    <w:p w14:paraId="2EFCEFFF" w14:textId="2352950A" w:rsidR="00420C7A" w:rsidRPr="00F9736C" w:rsidRDefault="00420C7A" w:rsidP="00420C7A">
      <w:pPr>
        <w:spacing w:after="120" w:line="276" w:lineRule="auto"/>
        <w:jc w:val="both"/>
        <w:rPr>
          <w:rFonts w:ascii="Times New Roman" w:hAnsi="Times New Roman" w:cs="Times New Roman"/>
        </w:rPr>
      </w:pPr>
      <w:r w:rsidRPr="00F9736C">
        <w:rPr>
          <w:rFonts w:ascii="Times New Roman" w:hAnsi="Times New Roman" w:cs="Times New Roman"/>
        </w:rPr>
        <w:t xml:space="preserve">Los datos permiten identificar algunas variables características del </w:t>
      </w:r>
      <w:r w:rsidR="00F9736C">
        <w:rPr>
          <w:rFonts w:ascii="Times New Roman" w:hAnsi="Times New Roman" w:cs="Times New Roman"/>
        </w:rPr>
        <w:t>establecimiento educativo</w:t>
      </w:r>
      <w:r w:rsidRPr="00F9736C">
        <w:rPr>
          <w:rFonts w:ascii="Times New Roman" w:hAnsi="Times New Roman" w:cs="Times New Roman"/>
        </w:rPr>
        <w:t>, incluyendo índices de nivel socio económico y de infraestructura de la institución. El primero considera el nivel de educación de la madre y características de su empleo, ingresos del hogar, materiales de construcción del mismo, acceso a servicios básicos, posesión de bienes duraderos y disponibilidad de libros en el hogar. Por su parte</w:t>
      </w:r>
      <w:r w:rsidR="00F81FA0">
        <w:rPr>
          <w:rFonts w:ascii="Times New Roman" w:hAnsi="Times New Roman" w:cs="Times New Roman"/>
        </w:rPr>
        <w:t>,</w:t>
      </w:r>
      <w:r w:rsidRPr="00F9736C">
        <w:rPr>
          <w:rFonts w:ascii="Times New Roman" w:hAnsi="Times New Roman" w:cs="Times New Roman"/>
        </w:rPr>
        <w:t xml:space="preserve"> el índice de infraestructura de la institución considera las instalaciones con las que cuenta la escuela tales como oficinas, campos deportivos, salas de computación, enfermería, biblioteca</w:t>
      </w:r>
      <w:r w:rsidR="00F81FA0">
        <w:rPr>
          <w:rFonts w:ascii="Times New Roman" w:hAnsi="Times New Roman" w:cs="Times New Roman"/>
        </w:rPr>
        <w:t>,</w:t>
      </w:r>
      <w:r w:rsidRPr="00F9736C">
        <w:rPr>
          <w:rFonts w:ascii="Times New Roman" w:hAnsi="Times New Roman" w:cs="Times New Roman"/>
        </w:rPr>
        <w:t xml:space="preserve"> entre otros; el equipamiento de las aulas; y l</w:t>
      </w:r>
      <w:r w:rsidR="00EB7B5F" w:rsidRPr="00F9736C">
        <w:rPr>
          <w:rFonts w:ascii="Times New Roman" w:hAnsi="Times New Roman" w:cs="Times New Roman"/>
        </w:rPr>
        <w:t xml:space="preserve">os </w:t>
      </w:r>
      <w:r w:rsidR="00EB7B5F" w:rsidRPr="00F9736C">
        <w:rPr>
          <w:rFonts w:ascii="Times New Roman" w:hAnsi="Times New Roman" w:cs="Times New Roman"/>
        </w:rPr>
        <w:lastRenderedPageBreak/>
        <w:t xml:space="preserve">servicios con los que cuenta, </w:t>
      </w:r>
      <w:r w:rsidRPr="00F9736C">
        <w:rPr>
          <w:rFonts w:ascii="Times New Roman" w:hAnsi="Times New Roman" w:cs="Times New Roman"/>
        </w:rPr>
        <w:t xml:space="preserve">entre </w:t>
      </w:r>
      <w:r w:rsidR="00F81FA0">
        <w:rPr>
          <w:rFonts w:ascii="Times New Roman" w:hAnsi="Times New Roman" w:cs="Times New Roman"/>
        </w:rPr>
        <w:t>los que</w:t>
      </w:r>
      <w:r w:rsidRPr="00F9736C">
        <w:rPr>
          <w:rFonts w:ascii="Times New Roman" w:hAnsi="Times New Roman" w:cs="Times New Roman"/>
        </w:rPr>
        <w:t xml:space="preserve"> se incluyen baños, acceso a internet, recolección de basura y transporte.</w:t>
      </w:r>
    </w:p>
    <w:p w14:paraId="388FE473" w14:textId="754CBDAD" w:rsidR="00420C7A" w:rsidRPr="00F81FA0" w:rsidRDefault="00420C7A" w:rsidP="00420C7A">
      <w:pPr>
        <w:spacing w:after="120" w:line="276" w:lineRule="auto"/>
        <w:jc w:val="both"/>
        <w:rPr>
          <w:rFonts w:ascii="Times New Roman" w:hAnsi="Times New Roman" w:cs="Times New Roman"/>
        </w:rPr>
      </w:pPr>
      <w:r w:rsidRPr="00F81FA0">
        <w:rPr>
          <w:rFonts w:ascii="Times New Roman" w:hAnsi="Times New Roman" w:cs="Times New Roman"/>
        </w:rPr>
        <w:t>Adicionalmente se presenta un índice de prácticas docentes que toma en cuenta desde la experiencia de los estudiantes, el nivel de motivación que estos reciben de sus profesores</w:t>
      </w:r>
      <w:r w:rsidR="002D6803">
        <w:rPr>
          <w:rFonts w:ascii="Times New Roman" w:hAnsi="Times New Roman" w:cs="Times New Roman"/>
        </w:rPr>
        <w:t>,</w:t>
      </w:r>
      <w:r w:rsidRPr="00F81FA0">
        <w:rPr>
          <w:rFonts w:ascii="Times New Roman" w:hAnsi="Times New Roman" w:cs="Times New Roman"/>
        </w:rPr>
        <w:t xml:space="preserve"> así como la organización en el aula y la habilidad de los docentes para explicar los contenidos y llevar a cabo un adecuado proceso de retroalimentación con los estudiantes. Por otro lado</w:t>
      </w:r>
      <w:r w:rsidR="001C6EEC">
        <w:rPr>
          <w:rFonts w:ascii="Times New Roman" w:hAnsi="Times New Roman" w:cs="Times New Roman"/>
        </w:rPr>
        <w:t>,</w:t>
      </w:r>
      <w:r w:rsidRPr="00F81FA0">
        <w:rPr>
          <w:rFonts w:ascii="Times New Roman" w:hAnsi="Times New Roman" w:cs="Times New Roman"/>
        </w:rPr>
        <w:t xml:space="preserve"> es posible identificar el</w:t>
      </w:r>
      <w:r w:rsidR="001C6EEC">
        <w:rPr>
          <w:rFonts w:ascii="Times New Roman" w:hAnsi="Times New Roman" w:cs="Times New Roman"/>
        </w:rPr>
        <w:t xml:space="preserve"> nivel de violencia del entorno, que </w:t>
      </w:r>
      <w:r w:rsidRPr="00F81FA0">
        <w:rPr>
          <w:rFonts w:ascii="Times New Roman" w:hAnsi="Times New Roman" w:cs="Times New Roman"/>
        </w:rPr>
        <w:t>considera la probabilidad de que en la comunidad donde se encuentra la escuela exista venta explícita de drogas, actos de vandalismo, agresiones graves entre vecinos, peleas con armas y robos.</w:t>
      </w:r>
    </w:p>
    <w:p w14:paraId="2D589A3E" w14:textId="7AB6ABB0" w:rsidR="00420C7A" w:rsidRDefault="00420C7A" w:rsidP="00420C7A">
      <w:pPr>
        <w:spacing w:after="120" w:line="276" w:lineRule="auto"/>
        <w:jc w:val="both"/>
        <w:rPr>
          <w:rFonts w:ascii="Times New Roman" w:hAnsi="Times New Roman" w:cs="Times New Roman"/>
        </w:rPr>
      </w:pPr>
      <w:r w:rsidRPr="001C6EEC">
        <w:rPr>
          <w:rFonts w:ascii="Times New Roman" w:hAnsi="Times New Roman" w:cs="Times New Roman"/>
        </w:rPr>
        <w:t xml:space="preserve">Asimismo, </w:t>
      </w:r>
      <w:r w:rsidR="001C6EEC">
        <w:rPr>
          <w:rFonts w:ascii="Times New Roman" w:hAnsi="Times New Roman" w:cs="Times New Roman"/>
        </w:rPr>
        <w:t xml:space="preserve">se </w:t>
      </w:r>
      <w:r w:rsidRPr="001C6EEC">
        <w:rPr>
          <w:rFonts w:ascii="Times New Roman" w:hAnsi="Times New Roman" w:cs="Times New Roman"/>
        </w:rPr>
        <w:t>incluyen algunas variables características de cada estudiante, como por ejemplo su edad, género, auto identificación étnica, particularidades de su familia, situación laboral, hábitos de estudio, entre otras. Las pruebas realizadas incluyeron lenguaje, matemáticas y ciencias. Para simplificar la estimación, se presentan aquí los resultados asociados a la suma de los resultados en las 3 pruebas.</w:t>
      </w:r>
    </w:p>
    <w:p w14:paraId="70397D84" w14:textId="3B220F9F" w:rsidR="00161D6F" w:rsidRDefault="006F48D9" w:rsidP="00420C7A">
      <w:pPr>
        <w:spacing w:after="120" w:line="276" w:lineRule="auto"/>
        <w:jc w:val="both"/>
        <w:rPr>
          <w:rFonts w:ascii="Times New Roman" w:hAnsi="Times New Roman" w:cs="Times New Roman"/>
        </w:rPr>
      </w:pPr>
      <w:r>
        <w:rPr>
          <w:rFonts w:ascii="Times New Roman" w:hAnsi="Times New Roman" w:cs="Times New Roman"/>
        </w:rPr>
        <w:t>La aproximación empírica a los datos de la encuesta TERCE se hizo por tres diferentes vías:</w:t>
      </w:r>
    </w:p>
    <w:p w14:paraId="020DA4CF" w14:textId="77777777" w:rsidR="000D05BB" w:rsidRPr="000D05BB" w:rsidRDefault="005D4741" w:rsidP="005D4741">
      <w:pPr>
        <w:pStyle w:val="ListParagraph"/>
        <w:numPr>
          <w:ilvl w:val="0"/>
          <w:numId w:val="8"/>
        </w:numPr>
        <w:spacing w:after="120" w:line="276" w:lineRule="auto"/>
        <w:contextualSpacing w:val="0"/>
        <w:jc w:val="both"/>
        <w:rPr>
          <w:rFonts w:ascii="Times New Roman" w:hAnsi="Times New Roman" w:cs="Times New Roman"/>
          <w:lang w:val="es-ES"/>
        </w:rPr>
      </w:pPr>
      <w:r w:rsidRPr="00C17248">
        <w:rPr>
          <w:rFonts w:ascii="Times New Roman" w:hAnsi="Times New Roman" w:cs="Times New Roman"/>
          <w:lang w:val="es-EC"/>
        </w:rPr>
        <w:t xml:space="preserve">Se estimó una regresión incluyendo los resultados de aprendizaje frente a diversas variables características tanto del estudiante como del </w:t>
      </w:r>
      <w:r w:rsidR="00712062">
        <w:rPr>
          <w:rFonts w:ascii="Times New Roman" w:hAnsi="Times New Roman" w:cs="Times New Roman"/>
        </w:rPr>
        <w:t>establecimiento educativo</w:t>
      </w:r>
      <w:r w:rsidRPr="00C17248">
        <w:rPr>
          <w:rFonts w:ascii="Times New Roman" w:hAnsi="Times New Roman" w:cs="Times New Roman"/>
          <w:lang w:val="es-EC"/>
        </w:rPr>
        <w:t xml:space="preserve">. </w:t>
      </w:r>
      <w:r w:rsidR="00420C7A" w:rsidRPr="00C17248">
        <w:rPr>
          <w:rFonts w:ascii="Times New Roman" w:hAnsi="Times New Roman" w:cs="Times New Roman"/>
          <w:lang w:val="es-EC"/>
        </w:rPr>
        <w:t>Particularmente se tomó en cuenta la dependencia de</w:t>
      </w:r>
      <w:r w:rsidR="00712062">
        <w:rPr>
          <w:rFonts w:ascii="Times New Roman" w:hAnsi="Times New Roman" w:cs="Times New Roman"/>
          <w:lang w:val="es-EC"/>
        </w:rPr>
        <w:t>l</w:t>
      </w:r>
      <w:r w:rsidR="00420C7A" w:rsidRPr="00C17248">
        <w:rPr>
          <w:rFonts w:ascii="Times New Roman" w:hAnsi="Times New Roman" w:cs="Times New Roman"/>
          <w:lang w:val="es-EC"/>
        </w:rPr>
        <w:t xml:space="preserve"> </w:t>
      </w:r>
      <w:r w:rsidR="00712062">
        <w:rPr>
          <w:rFonts w:ascii="Times New Roman" w:hAnsi="Times New Roman" w:cs="Times New Roman"/>
        </w:rPr>
        <w:t>establecimiento educativo</w:t>
      </w:r>
      <w:r w:rsidR="00712062" w:rsidRPr="00C17248">
        <w:rPr>
          <w:rFonts w:ascii="Times New Roman" w:hAnsi="Times New Roman" w:cs="Times New Roman"/>
          <w:lang w:val="es-EC"/>
        </w:rPr>
        <w:t xml:space="preserve"> </w:t>
      </w:r>
      <w:r w:rsidR="00420C7A" w:rsidRPr="00C17248">
        <w:rPr>
          <w:rFonts w:ascii="Times New Roman" w:hAnsi="Times New Roman" w:cs="Times New Roman"/>
          <w:lang w:val="es-EC"/>
        </w:rPr>
        <w:t>(público o privad</w:t>
      </w:r>
      <w:r w:rsidR="00712062">
        <w:rPr>
          <w:rFonts w:ascii="Times New Roman" w:hAnsi="Times New Roman" w:cs="Times New Roman"/>
          <w:lang w:val="es-EC"/>
        </w:rPr>
        <w:t>o</w:t>
      </w:r>
      <w:r w:rsidR="00420C7A" w:rsidRPr="00C17248">
        <w:rPr>
          <w:rFonts w:ascii="Times New Roman" w:hAnsi="Times New Roman" w:cs="Times New Roman"/>
          <w:lang w:val="es-EC"/>
        </w:rPr>
        <w:t xml:space="preserve">), un identificador para </w:t>
      </w:r>
      <w:r w:rsidR="00712062">
        <w:rPr>
          <w:rFonts w:ascii="Times New Roman" w:hAnsi="Times New Roman" w:cs="Times New Roman"/>
          <w:lang w:val="es-EC"/>
        </w:rPr>
        <w:t xml:space="preserve">los </w:t>
      </w:r>
      <w:r w:rsidR="00712062">
        <w:rPr>
          <w:rFonts w:ascii="Times New Roman" w:hAnsi="Times New Roman" w:cs="Times New Roman"/>
        </w:rPr>
        <w:t>establecimientos</w:t>
      </w:r>
      <w:r w:rsidR="00420C7A" w:rsidRPr="00C17248">
        <w:rPr>
          <w:rFonts w:ascii="Times New Roman" w:hAnsi="Times New Roman" w:cs="Times New Roman"/>
          <w:lang w:val="es-EC"/>
        </w:rPr>
        <w:t xml:space="preserve"> públicas urbanas, el índice de infraestructura, el índice de violencia en el entorno, la media del índice de estatus socioeconómico de familia por escuela, el índice de prácticas docentes para el desarrollo de aprendizaje así como el índice de puntualidad y asistencia del mismo, y un identificador para </w:t>
      </w:r>
      <w:r w:rsidR="00712062">
        <w:rPr>
          <w:rFonts w:ascii="Times New Roman" w:hAnsi="Times New Roman" w:cs="Times New Roman"/>
          <w:lang w:val="es-EC"/>
        </w:rPr>
        <w:t xml:space="preserve">los </w:t>
      </w:r>
      <w:r w:rsidR="00712062">
        <w:rPr>
          <w:rFonts w:ascii="Times New Roman" w:hAnsi="Times New Roman" w:cs="Times New Roman"/>
        </w:rPr>
        <w:t>establecimientos</w:t>
      </w:r>
      <w:r w:rsidR="00712062" w:rsidRPr="00C17248">
        <w:rPr>
          <w:rFonts w:ascii="Times New Roman" w:hAnsi="Times New Roman" w:cs="Times New Roman"/>
          <w:lang w:val="es-EC"/>
        </w:rPr>
        <w:t xml:space="preserve"> </w:t>
      </w:r>
      <w:r w:rsidR="00420C7A" w:rsidRPr="00C17248">
        <w:rPr>
          <w:rFonts w:ascii="Times New Roman" w:hAnsi="Times New Roman" w:cs="Times New Roman"/>
          <w:lang w:val="es-EC"/>
        </w:rPr>
        <w:t xml:space="preserve">que recibían </w:t>
      </w:r>
      <w:r w:rsidR="00E66328">
        <w:rPr>
          <w:rFonts w:ascii="Times New Roman" w:hAnsi="Times New Roman" w:cs="Times New Roman"/>
          <w:lang w:val="es-EC"/>
        </w:rPr>
        <w:t xml:space="preserve">alimentación </w:t>
      </w:r>
      <w:r w:rsidR="00420C7A" w:rsidRPr="00C17248">
        <w:rPr>
          <w:rFonts w:ascii="Times New Roman" w:hAnsi="Times New Roman" w:cs="Times New Roman"/>
          <w:lang w:val="es-EC"/>
        </w:rPr>
        <w:t>escolar. Respecto a las características del hogar se consideró: el número de miembros del hogar, el nivel educativo de los pad</w:t>
      </w:r>
      <w:r w:rsidR="007E023A" w:rsidRPr="00C17248">
        <w:rPr>
          <w:rFonts w:ascii="Times New Roman" w:hAnsi="Times New Roman" w:cs="Times New Roman"/>
          <w:lang w:val="es-EC"/>
        </w:rPr>
        <w:t xml:space="preserve">res, el acceso a luz eléctrica. </w:t>
      </w:r>
      <w:r w:rsidR="00420C7A" w:rsidRPr="00C17248">
        <w:rPr>
          <w:rFonts w:ascii="Times New Roman" w:hAnsi="Times New Roman" w:cs="Times New Roman"/>
          <w:lang w:val="es-EC"/>
        </w:rPr>
        <w:t>Finalmente, se incluyó la edad y género del estudiante, sus hábitos de lectura, si este trabajaba o no, y si había repetido algún curso.</w:t>
      </w:r>
      <w:r w:rsidRPr="00C17248">
        <w:rPr>
          <w:rFonts w:ascii="Times New Roman" w:hAnsi="Times New Roman" w:cs="Times New Roman"/>
          <w:lang w:val="es-EC"/>
        </w:rPr>
        <w:t xml:space="preserve"> </w:t>
      </w:r>
    </w:p>
    <w:p w14:paraId="1916812F" w14:textId="0936F408" w:rsidR="005D4741" w:rsidRPr="000D05BB" w:rsidRDefault="005D4741" w:rsidP="000D05BB">
      <w:pPr>
        <w:spacing w:after="120" w:line="276" w:lineRule="auto"/>
        <w:ind w:left="708"/>
        <w:jc w:val="both"/>
        <w:rPr>
          <w:rFonts w:ascii="Times New Roman" w:hAnsi="Times New Roman" w:cs="Times New Roman"/>
          <w:lang w:val="es-ES"/>
        </w:rPr>
      </w:pPr>
      <w:r w:rsidRPr="000D05BB">
        <w:rPr>
          <w:rFonts w:ascii="Times New Roman" w:hAnsi="Times New Roman" w:cs="Times New Roman"/>
          <w:lang w:val="es-EC"/>
        </w:rPr>
        <w:t xml:space="preserve">Los resultados sugieren que el acceso a alimentación escolar mejora ligeramente los resultados de aprendizaje, pero el coeficiente correspondiente no es estadísticamente significativo. Sin embargo, la encuesta TERCE no fue diseñada para evaluar el impacto de la alimentación escolar sobre el desempeño académico, sino que en este caso constituye la fuente de información disponible. Ello hace que la encuesta no capture todas las características propias de lo que se busca estimar. Por ejemplo, se dispone de ciertas características del </w:t>
      </w:r>
      <w:r w:rsidR="000D05BB">
        <w:rPr>
          <w:rFonts w:ascii="Times New Roman" w:hAnsi="Times New Roman" w:cs="Times New Roman"/>
          <w:lang w:val="es-EC"/>
        </w:rPr>
        <w:t>establecimiento educativo y otra</w:t>
      </w:r>
      <w:r w:rsidRPr="000D05BB">
        <w:rPr>
          <w:rFonts w:ascii="Times New Roman" w:hAnsi="Times New Roman" w:cs="Times New Roman"/>
          <w:lang w:val="es-EC"/>
        </w:rPr>
        <w:t>s de los estudiantes individuales, que son los que rinden la evaluación. Asimismo, la decisión de que un establecimiento reciba, o no, alimentación escolar, no es aleatoria</w:t>
      </w:r>
      <w:r w:rsidR="002D6803">
        <w:rPr>
          <w:rFonts w:ascii="Times New Roman" w:hAnsi="Times New Roman" w:cs="Times New Roman"/>
          <w:lang w:val="es-EC"/>
        </w:rPr>
        <w:t>,</w:t>
      </w:r>
      <w:r w:rsidRPr="000D05BB">
        <w:rPr>
          <w:rFonts w:ascii="Times New Roman" w:hAnsi="Times New Roman" w:cs="Times New Roman"/>
          <w:lang w:val="es-EC"/>
        </w:rPr>
        <w:t xml:space="preserve"> sino que responde a criterios que pueden a su vez afectar el desempeño escolar. Esto podría explicar que los resultados no sean significativos. </w:t>
      </w:r>
    </w:p>
    <w:p w14:paraId="0F66ACA3" w14:textId="77777777" w:rsidR="005D4741" w:rsidRPr="0075483C" w:rsidRDefault="005D4741" w:rsidP="005D4741">
      <w:pPr>
        <w:pStyle w:val="ListParagraph"/>
        <w:numPr>
          <w:ilvl w:val="0"/>
          <w:numId w:val="8"/>
        </w:numPr>
        <w:spacing w:after="120" w:line="276" w:lineRule="auto"/>
        <w:contextualSpacing w:val="0"/>
        <w:jc w:val="both"/>
        <w:rPr>
          <w:rFonts w:ascii="Times New Roman" w:hAnsi="Times New Roman" w:cs="Times New Roman"/>
          <w:lang w:val="es-ES"/>
        </w:rPr>
      </w:pPr>
      <w:r>
        <w:rPr>
          <w:rFonts w:ascii="Times New Roman" w:hAnsi="Times New Roman" w:cs="Times New Roman"/>
          <w:lang w:val="es-ES"/>
        </w:rPr>
        <w:t>Adicionalmente, s</w:t>
      </w:r>
      <w:r w:rsidRPr="0075483C">
        <w:rPr>
          <w:rFonts w:ascii="Times New Roman" w:hAnsi="Times New Roman" w:cs="Times New Roman"/>
          <w:lang w:val="es-ES"/>
        </w:rPr>
        <w:t>e estimó un</w:t>
      </w:r>
      <w:r>
        <w:rPr>
          <w:rFonts w:ascii="Times New Roman" w:hAnsi="Times New Roman" w:cs="Times New Roman"/>
          <w:lang w:val="es-ES"/>
        </w:rPr>
        <w:t xml:space="preserve"> modelo de</w:t>
      </w:r>
      <w:r w:rsidRPr="0075483C">
        <w:rPr>
          <w:rFonts w:ascii="Times New Roman" w:hAnsi="Times New Roman" w:cs="Times New Roman"/>
          <w:lang w:val="es-ES"/>
        </w:rPr>
        <w:t xml:space="preserve"> </w:t>
      </w:r>
      <w:r w:rsidRPr="00BF643E">
        <w:rPr>
          <w:rFonts w:ascii="Times New Roman" w:hAnsi="Times New Roman" w:cs="Times New Roman"/>
          <w:i/>
          <w:lang w:val="es-ES"/>
        </w:rPr>
        <w:t>propensity score matching</w:t>
      </w:r>
      <w:r>
        <w:rPr>
          <w:rFonts w:ascii="Times New Roman" w:hAnsi="Times New Roman" w:cs="Times New Roman"/>
          <w:lang w:val="es-ES"/>
        </w:rPr>
        <w:t>,</w:t>
      </w:r>
      <w:r w:rsidRPr="0075483C">
        <w:rPr>
          <w:rFonts w:ascii="Times New Roman" w:hAnsi="Times New Roman" w:cs="Times New Roman"/>
          <w:lang w:val="es-ES"/>
        </w:rPr>
        <w:t xml:space="preserve"> con el fin de construir un contra factual que permita identificar el efecto causal de la alimentación escolar sobre el desempeño académico. No obstante, los resultados obtenidos no son concluyentes, particularmente respecto al nivel de comparabilidad de los grupos de tratamiento y control. Por un lado, las diferencias observadas entre los grupos pueden deberse a que la encuesta TERCE reporta si la escuela participa en el programa de alimentación escolar o no, mas no </w:t>
      </w:r>
      <w:r w:rsidRPr="0075483C">
        <w:rPr>
          <w:rFonts w:ascii="Times New Roman" w:hAnsi="Times New Roman" w:cs="Times New Roman"/>
          <w:lang w:val="es-ES"/>
        </w:rPr>
        <w:lastRenderedPageBreak/>
        <w:t xml:space="preserve">existe información que respalde si el niño efectivamente consume los alimentos. Por otro lado, la encuesta no reporta información suficiente y estandarizada del desempeño académico previo de cada niño, por lo que no se observa una variable determinante para establecer la comparabilidad entre los grupos.  </w:t>
      </w:r>
    </w:p>
    <w:p w14:paraId="71F9F31A" w14:textId="130E6C73" w:rsidR="002D1385" w:rsidRPr="006410DE" w:rsidRDefault="002D1385" w:rsidP="006410DE">
      <w:pPr>
        <w:pStyle w:val="ListParagraph"/>
        <w:numPr>
          <w:ilvl w:val="0"/>
          <w:numId w:val="8"/>
        </w:numPr>
        <w:spacing w:after="120" w:line="276" w:lineRule="auto"/>
        <w:contextualSpacing w:val="0"/>
        <w:jc w:val="both"/>
        <w:rPr>
          <w:rFonts w:ascii="Times New Roman" w:hAnsi="Times New Roman" w:cs="Times New Roman"/>
          <w:lang w:val="es-EC"/>
        </w:rPr>
      </w:pPr>
      <w:r>
        <w:rPr>
          <w:rFonts w:ascii="Times New Roman" w:hAnsi="Times New Roman" w:cs="Times New Roman"/>
          <w:lang w:val="es-EC"/>
        </w:rPr>
        <w:t>Dado que l</w:t>
      </w:r>
      <w:r w:rsidR="00D57851">
        <w:rPr>
          <w:rFonts w:ascii="Times New Roman" w:hAnsi="Times New Roman" w:cs="Times New Roman"/>
          <w:lang w:val="es-EC"/>
        </w:rPr>
        <w:t>o</w:t>
      </w:r>
      <w:r>
        <w:rPr>
          <w:rFonts w:ascii="Times New Roman" w:hAnsi="Times New Roman" w:cs="Times New Roman"/>
          <w:lang w:val="es-EC"/>
        </w:rPr>
        <w:t xml:space="preserve">s </w:t>
      </w:r>
      <w:r w:rsidR="005D4741">
        <w:rPr>
          <w:rFonts w:ascii="Times New Roman" w:hAnsi="Times New Roman" w:cs="Times New Roman"/>
          <w:lang w:val="es-EC"/>
        </w:rPr>
        <w:t>ejercicios</w:t>
      </w:r>
      <w:r>
        <w:rPr>
          <w:rFonts w:ascii="Times New Roman" w:hAnsi="Times New Roman" w:cs="Times New Roman"/>
          <w:lang w:val="es-EC"/>
        </w:rPr>
        <w:t xml:space="preserve"> anteriores no llegaron a resultados concluyentes, se consideró necesario implementar un método que permita distinguir con más precisión el impacto de las características propias de cada </w:t>
      </w:r>
      <w:r w:rsidR="00492BD3">
        <w:rPr>
          <w:rFonts w:ascii="Times New Roman" w:hAnsi="Times New Roman" w:cs="Times New Roman"/>
          <w:lang w:val="es-EC"/>
        </w:rPr>
        <w:t>establecimiento educativo</w:t>
      </w:r>
      <w:r>
        <w:rPr>
          <w:rFonts w:ascii="Times New Roman" w:hAnsi="Times New Roman" w:cs="Times New Roman"/>
          <w:lang w:val="es-EC"/>
        </w:rPr>
        <w:t xml:space="preserve"> de aquellas de los estudiantes.</w:t>
      </w:r>
      <w:r w:rsidR="00434A31">
        <w:rPr>
          <w:rFonts w:ascii="Times New Roman" w:hAnsi="Times New Roman" w:cs="Times New Roman"/>
          <w:lang w:val="es-EC"/>
        </w:rPr>
        <w:t xml:space="preserve"> Esto con el objetivo de comparar, de la forma más precisa posible, resultados de evaluación para estudiantes en </w:t>
      </w:r>
      <w:r w:rsidR="00492BD3">
        <w:rPr>
          <w:rFonts w:ascii="Times New Roman" w:hAnsi="Times New Roman" w:cs="Times New Roman"/>
          <w:lang w:val="es-EC"/>
        </w:rPr>
        <w:t xml:space="preserve">establecimientos educativos </w:t>
      </w:r>
      <w:r w:rsidR="00434A31">
        <w:rPr>
          <w:rFonts w:ascii="Times New Roman" w:hAnsi="Times New Roman" w:cs="Times New Roman"/>
          <w:lang w:val="es-EC"/>
        </w:rPr>
        <w:t xml:space="preserve">con y sin </w:t>
      </w:r>
      <w:r w:rsidR="00A7600A">
        <w:rPr>
          <w:rFonts w:ascii="Times New Roman" w:hAnsi="Times New Roman" w:cs="Times New Roman"/>
          <w:lang w:val="es-EC"/>
        </w:rPr>
        <w:t>alimentación</w:t>
      </w:r>
      <w:r w:rsidR="00434A31">
        <w:rPr>
          <w:rFonts w:ascii="Times New Roman" w:hAnsi="Times New Roman" w:cs="Times New Roman"/>
          <w:lang w:val="es-EC"/>
        </w:rPr>
        <w:t xml:space="preserve"> escolar, </w:t>
      </w:r>
      <w:r w:rsidR="00E31194">
        <w:rPr>
          <w:rFonts w:ascii="Times New Roman" w:hAnsi="Times New Roman" w:cs="Times New Roman"/>
          <w:lang w:val="es-EC"/>
        </w:rPr>
        <w:t xml:space="preserve">segmentando los </w:t>
      </w:r>
      <w:r w:rsidR="00A7600A">
        <w:rPr>
          <w:rFonts w:ascii="Times New Roman" w:hAnsi="Times New Roman" w:cs="Times New Roman"/>
          <w:lang w:val="es-EC"/>
        </w:rPr>
        <w:t xml:space="preserve">establecimientos </w:t>
      </w:r>
      <w:r w:rsidR="00E31194">
        <w:rPr>
          <w:rFonts w:ascii="Times New Roman" w:hAnsi="Times New Roman" w:cs="Times New Roman"/>
          <w:lang w:val="es-EC"/>
        </w:rPr>
        <w:t xml:space="preserve">participantes para buscar eliminar posibles </w:t>
      </w:r>
      <w:r w:rsidR="00E31194">
        <w:rPr>
          <w:rFonts w:ascii="Times New Roman" w:hAnsi="Times New Roman" w:cs="Times New Roman"/>
        </w:rPr>
        <w:t>sesgos que pueda</w:t>
      </w:r>
      <w:r w:rsidR="00E31194" w:rsidRPr="00B9340A">
        <w:rPr>
          <w:rFonts w:ascii="Times New Roman" w:hAnsi="Times New Roman" w:cs="Times New Roman"/>
        </w:rPr>
        <w:t xml:space="preserve">n generarse en los resultados de </w:t>
      </w:r>
      <w:r w:rsidR="00E31194">
        <w:rPr>
          <w:rFonts w:ascii="Times New Roman" w:hAnsi="Times New Roman" w:cs="Times New Roman"/>
        </w:rPr>
        <w:t>las evaluaciones</w:t>
      </w:r>
      <w:r w:rsidR="00E31194" w:rsidRPr="00B9340A">
        <w:rPr>
          <w:rFonts w:ascii="Times New Roman" w:hAnsi="Times New Roman" w:cs="Times New Roman"/>
        </w:rPr>
        <w:t xml:space="preserve"> debido a variables de</w:t>
      </w:r>
      <w:r w:rsidR="005227CC">
        <w:rPr>
          <w:rFonts w:ascii="Times New Roman" w:hAnsi="Times New Roman" w:cs="Times New Roman"/>
        </w:rPr>
        <w:t>l</w:t>
      </w:r>
      <w:r w:rsidR="00E31194" w:rsidRPr="00B9340A">
        <w:rPr>
          <w:rFonts w:ascii="Times New Roman" w:hAnsi="Times New Roman" w:cs="Times New Roman"/>
        </w:rPr>
        <w:t xml:space="preserve"> </w:t>
      </w:r>
      <w:r w:rsidR="005227CC">
        <w:rPr>
          <w:rFonts w:ascii="Times New Roman" w:hAnsi="Times New Roman" w:cs="Times New Roman"/>
          <w:lang w:val="es-EC"/>
        </w:rPr>
        <w:t xml:space="preserve">establecimiento </w:t>
      </w:r>
      <w:r w:rsidR="00E31194" w:rsidRPr="00B9340A">
        <w:rPr>
          <w:rFonts w:ascii="Times New Roman" w:hAnsi="Times New Roman" w:cs="Times New Roman"/>
        </w:rPr>
        <w:t>y su entorno</w:t>
      </w:r>
      <w:r w:rsidR="00A22254">
        <w:rPr>
          <w:rFonts w:ascii="Times New Roman" w:hAnsi="Times New Roman" w:cs="Times New Roman"/>
        </w:rPr>
        <w:t>.</w:t>
      </w:r>
    </w:p>
    <w:p w14:paraId="39113D2D" w14:textId="7EC06586" w:rsidR="00FE7BA2" w:rsidRDefault="00B044E0" w:rsidP="005C2472">
      <w:pPr>
        <w:spacing w:after="120" w:line="276" w:lineRule="auto"/>
        <w:ind w:left="708"/>
        <w:jc w:val="both"/>
        <w:rPr>
          <w:rFonts w:ascii="Times New Roman" w:hAnsi="Times New Roman" w:cs="Times New Roman"/>
        </w:rPr>
      </w:pPr>
      <w:r>
        <w:rPr>
          <w:rFonts w:ascii="Times New Roman" w:hAnsi="Times New Roman" w:cs="Times New Roman"/>
        </w:rPr>
        <w:t xml:space="preserve">La </w:t>
      </w:r>
      <w:r w:rsidR="00B4131B">
        <w:rPr>
          <w:rFonts w:ascii="Times New Roman" w:hAnsi="Times New Roman" w:cs="Times New Roman"/>
        </w:rPr>
        <w:t>agrupación</w:t>
      </w:r>
      <w:r>
        <w:rPr>
          <w:rFonts w:ascii="Times New Roman" w:hAnsi="Times New Roman" w:cs="Times New Roman"/>
        </w:rPr>
        <w:t xml:space="preserve"> o “</w:t>
      </w:r>
      <w:r w:rsidR="00B9340A" w:rsidRPr="00B9340A">
        <w:rPr>
          <w:rFonts w:ascii="Times New Roman" w:hAnsi="Times New Roman" w:cs="Times New Roman"/>
        </w:rPr>
        <w:t>cl</w:t>
      </w:r>
      <w:r>
        <w:rPr>
          <w:rFonts w:ascii="Times New Roman" w:hAnsi="Times New Roman" w:cs="Times New Roman"/>
        </w:rPr>
        <w:t>usterizació</w:t>
      </w:r>
      <w:r w:rsidR="00B9340A" w:rsidRPr="00B9340A">
        <w:rPr>
          <w:rFonts w:ascii="Times New Roman" w:hAnsi="Times New Roman" w:cs="Times New Roman"/>
        </w:rPr>
        <w:t>n</w:t>
      </w:r>
      <w:r>
        <w:rPr>
          <w:rFonts w:ascii="Times New Roman" w:hAnsi="Times New Roman" w:cs="Times New Roman"/>
        </w:rPr>
        <w:t>”</w:t>
      </w:r>
      <w:r w:rsidR="00B9340A" w:rsidRPr="00B9340A">
        <w:rPr>
          <w:rFonts w:ascii="Times New Roman" w:hAnsi="Times New Roman" w:cs="Times New Roman"/>
        </w:rPr>
        <w:t xml:space="preserve"> de los establecimientos educativos</w:t>
      </w:r>
      <w:r w:rsidR="00ED4A2F">
        <w:rPr>
          <w:rFonts w:ascii="Times New Roman" w:hAnsi="Times New Roman" w:cs="Times New Roman"/>
        </w:rPr>
        <w:t xml:space="preserve"> se basó en </w:t>
      </w:r>
      <w:r w:rsidR="00B9340A" w:rsidRPr="00B9340A">
        <w:rPr>
          <w:rFonts w:ascii="Times New Roman" w:hAnsi="Times New Roman" w:cs="Times New Roman"/>
        </w:rPr>
        <w:t>un proceso estadístico denominado Kohonen</w:t>
      </w:r>
      <w:r w:rsidR="00D9524B">
        <w:rPr>
          <w:rFonts w:ascii="Times New Roman" w:hAnsi="Times New Roman" w:cs="Times New Roman"/>
        </w:rPr>
        <w:t>,</w:t>
      </w:r>
      <w:r w:rsidR="00B9340A" w:rsidRPr="00B9340A">
        <w:rPr>
          <w:rFonts w:ascii="Times New Roman" w:hAnsi="Times New Roman" w:cs="Times New Roman"/>
        </w:rPr>
        <w:t xml:space="preserve"> que básicamente permite construir</w:t>
      </w:r>
      <w:r w:rsidR="00B4131B">
        <w:rPr>
          <w:rFonts w:ascii="Times New Roman" w:hAnsi="Times New Roman" w:cs="Times New Roman"/>
        </w:rPr>
        <w:t xml:space="preserve"> distancias euclidianas entre las distinta</w:t>
      </w:r>
      <w:r w:rsidR="00B9340A" w:rsidRPr="00B9340A">
        <w:rPr>
          <w:rFonts w:ascii="Times New Roman" w:hAnsi="Times New Roman" w:cs="Times New Roman"/>
        </w:rPr>
        <w:t xml:space="preserve">s </w:t>
      </w:r>
      <w:r w:rsidR="00B4131B">
        <w:rPr>
          <w:rFonts w:ascii="Times New Roman" w:hAnsi="Times New Roman" w:cs="Times New Roman"/>
        </w:rPr>
        <w:t>variables de</w:t>
      </w:r>
      <w:r w:rsidR="00B9340A" w:rsidRPr="00B9340A">
        <w:rPr>
          <w:rFonts w:ascii="Times New Roman" w:hAnsi="Times New Roman" w:cs="Times New Roman"/>
        </w:rPr>
        <w:t xml:space="preserve"> cada </w:t>
      </w:r>
      <w:r w:rsidR="00B4131B">
        <w:rPr>
          <w:rFonts w:ascii="Times New Roman" w:hAnsi="Times New Roman" w:cs="Times New Roman"/>
        </w:rPr>
        <w:t>establecimiento,</w:t>
      </w:r>
      <w:r w:rsidR="00B9340A" w:rsidRPr="00B9340A">
        <w:rPr>
          <w:rFonts w:ascii="Times New Roman" w:hAnsi="Times New Roman" w:cs="Times New Roman"/>
        </w:rPr>
        <w:t xml:space="preserve"> minimiza</w:t>
      </w:r>
      <w:r w:rsidR="00B4131B">
        <w:rPr>
          <w:rFonts w:ascii="Times New Roman" w:hAnsi="Times New Roman" w:cs="Times New Roman"/>
        </w:rPr>
        <w:t>ndo</w:t>
      </w:r>
      <w:r w:rsidR="00B9340A" w:rsidRPr="00B9340A">
        <w:rPr>
          <w:rFonts w:ascii="Times New Roman" w:hAnsi="Times New Roman" w:cs="Times New Roman"/>
        </w:rPr>
        <w:t xml:space="preserve"> la suma de las distancias entre los </w:t>
      </w:r>
      <w:r w:rsidR="00B4131B">
        <w:rPr>
          <w:rFonts w:ascii="Times New Roman" w:hAnsi="Times New Roman" w:cs="Times New Roman"/>
        </w:rPr>
        <w:t>establecimientos</w:t>
      </w:r>
      <w:r w:rsidR="00B4131B" w:rsidRPr="00B9340A">
        <w:rPr>
          <w:rFonts w:ascii="Times New Roman" w:hAnsi="Times New Roman" w:cs="Times New Roman"/>
        </w:rPr>
        <w:t xml:space="preserve"> </w:t>
      </w:r>
      <w:r w:rsidR="00B9340A" w:rsidRPr="00B9340A">
        <w:rPr>
          <w:rFonts w:ascii="Times New Roman" w:hAnsi="Times New Roman" w:cs="Times New Roman"/>
        </w:rPr>
        <w:t>de cada grupo</w:t>
      </w:r>
      <w:r w:rsidR="004B0659">
        <w:rPr>
          <w:rStyle w:val="FootnoteReference"/>
          <w:rFonts w:ascii="Times New Roman" w:hAnsi="Times New Roman" w:cs="Times New Roman"/>
        </w:rPr>
        <w:footnoteReference w:id="12"/>
      </w:r>
      <w:r w:rsidR="00B9340A" w:rsidRPr="00B9340A">
        <w:rPr>
          <w:rFonts w:ascii="Times New Roman" w:hAnsi="Times New Roman" w:cs="Times New Roman"/>
        </w:rPr>
        <w:t>. De esta manera se garantiza que se obtienen grupos</w:t>
      </w:r>
      <w:r w:rsidR="00D9524B">
        <w:rPr>
          <w:rFonts w:ascii="Times New Roman" w:hAnsi="Times New Roman" w:cs="Times New Roman"/>
        </w:rPr>
        <w:t xml:space="preserve"> de</w:t>
      </w:r>
      <w:r w:rsidR="00D9524B" w:rsidRPr="00D9524B">
        <w:rPr>
          <w:rFonts w:ascii="Times New Roman" w:hAnsi="Times New Roman" w:cs="Times New Roman"/>
        </w:rPr>
        <w:t xml:space="preserve"> </w:t>
      </w:r>
      <w:r w:rsidR="00D9524B">
        <w:rPr>
          <w:rFonts w:ascii="Times New Roman" w:hAnsi="Times New Roman" w:cs="Times New Roman"/>
        </w:rPr>
        <w:t>establecimientos</w:t>
      </w:r>
      <w:r w:rsidR="00B9340A" w:rsidRPr="00B9340A">
        <w:rPr>
          <w:rFonts w:ascii="Times New Roman" w:hAnsi="Times New Roman" w:cs="Times New Roman"/>
        </w:rPr>
        <w:t xml:space="preserve"> homogéneos y similares ente si, </w:t>
      </w:r>
      <w:r w:rsidR="0012689C">
        <w:rPr>
          <w:rFonts w:ascii="Times New Roman" w:hAnsi="Times New Roman" w:cs="Times New Roman"/>
        </w:rPr>
        <w:t>separando a</w:t>
      </w:r>
      <w:r w:rsidR="00B9340A" w:rsidRPr="00B9340A">
        <w:rPr>
          <w:rFonts w:ascii="Times New Roman" w:hAnsi="Times New Roman" w:cs="Times New Roman"/>
        </w:rPr>
        <w:t xml:space="preserve"> los elementos menos similares en grupo</w:t>
      </w:r>
      <w:r w:rsidR="004B0659">
        <w:rPr>
          <w:rFonts w:ascii="Times New Roman" w:hAnsi="Times New Roman" w:cs="Times New Roman"/>
        </w:rPr>
        <w:t>s restantes. Para este proceso s</w:t>
      </w:r>
      <w:r w:rsidR="00B9340A" w:rsidRPr="00B9340A">
        <w:rPr>
          <w:rFonts w:ascii="Times New Roman" w:hAnsi="Times New Roman" w:cs="Times New Roman"/>
        </w:rPr>
        <w:t>e utilizaron</w:t>
      </w:r>
      <w:r w:rsidR="004B0659">
        <w:rPr>
          <w:rFonts w:ascii="Times New Roman" w:hAnsi="Times New Roman" w:cs="Times New Roman"/>
        </w:rPr>
        <w:t xml:space="preserve"> como variables principales para la agrupación</w:t>
      </w:r>
      <w:r w:rsidR="00B9340A" w:rsidRPr="00B9340A">
        <w:rPr>
          <w:rFonts w:ascii="Times New Roman" w:hAnsi="Times New Roman" w:cs="Times New Roman"/>
        </w:rPr>
        <w:t xml:space="preserve"> los índices de infraestructura y estrato sociodemográfico de las familias que asisten a dichos establecimientos.</w:t>
      </w:r>
      <w:r w:rsidR="00842934">
        <w:rPr>
          <w:rFonts w:ascii="Times New Roman" w:hAnsi="Times New Roman" w:cs="Times New Roman"/>
        </w:rPr>
        <w:t xml:space="preserve"> </w:t>
      </w:r>
      <w:r w:rsidR="00CC32E7">
        <w:rPr>
          <w:rFonts w:ascii="Times New Roman" w:hAnsi="Times New Roman" w:cs="Times New Roman"/>
        </w:rPr>
        <w:t>Después de hacer varios ejercicios, estos dos índices son los que mejor permiten medir las diferencias entre los centros educativos, por lo que los otros índices no se toman en cuenta.</w:t>
      </w:r>
    </w:p>
    <w:p w14:paraId="77CF97FF" w14:textId="1E17FA5C" w:rsidR="003716B9" w:rsidRDefault="00B51D08" w:rsidP="005C2472">
      <w:pPr>
        <w:spacing w:after="120" w:line="276" w:lineRule="auto"/>
        <w:ind w:left="708"/>
        <w:jc w:val="both"/>
        <w:rPr>
          <w:rFonts w:ascii="Times New Roman" w:hAnsi="Times New Roman" w:cs="Times New Roman"/>
        </w:rPr>
      </w:pPr>
      <w:r>
        <w:rPr>
          <w:rFonts w:ascii="Times New Roman" w:hAnsi="Times New Roman" w:cs="Times New Roman"/>
        </w:rPr>
        <w:t xml:space="preserve">Se obtuvieron 12 grupos compuestos por </w:t>
      </w:r>
      <w:r w:rsidR="00644713">
        <w:rPr>
          <w:rFonts w:ascii="Times New Roman" w:hAnsi="Times New Roman" w:cs="Times New Roman"/>
          <w:lang w:val="es-EC"/>
        </w:rPr>
        <w:t xml:space="preserve">establecimientos educativos </w:t>
      </w:r>
      <w:r>
        <w:rPr>
          <w:rFonts w:ascii="Times New Roman" w:hAnsi="Times New Roman" w:cs="Times New Roman"/>
        </w:rPr>
        <w:t>con características homogéneas para compararl</w:t>
      </w:r>
      <w:r w:rsidR="00C00E9E">
        <w:rPr>
          <w:rFonts w:ascii="Times New Roman" w:hAnsi="Times New Roman" w:cs="Times New Roman"/>
        </w:rPr>
        <w:t>o</w:t>
      </w:r>
      <w:r>
        <w:rPr>
          <w:rFonts w:ascii="Times New Roman" w:hAnsi="Times New Roman" w:cs="Times New Roman"/>
        </w:rPr>
        <w:t xml:space="preserve">s. </w:t>
      </w:r>
      <w:r w:rsidR="003716B9">
        <w:rPr>
          <w:rFonts w:ascii="Times New Roman" w:hAnsi="Times New Roman" w:cs="Times New Roman"/>
        </w:rPr>
        <w:t>Sin embargo, e</w:t>
      </w:r>
      <w:r w:rsidR="00FE7BA2">
        <w:rPr>
          <w:rFonts w:ascii="Times New Roman" w:hAnsi="Times New Roman" w:cs="Times New Roman"/>
        </w:rPr>
        <w:t xml:space="preserve">n cada grupo hay un subgrupo con los estudiantes </w:t>
      </w:r>
      <w:r w:rsidR="003716B9">
        <w:rPr>
          <w:rFonts w:ascii="Times New Roman" w:hAnsi="Times New Roman" w:cs="Times New Roman"/>
        </w:rPr>
        <w:t>en establecimientos que</w:t>
      </w:r>
      <w:r w:rsidR="00FE7BA2">
        <w:rPr>
          <w:rFonts w:ascii="Times New Roman" w:hAnsi="Times New Roman" w:cs="Times New Roman"/>
        </w:rPr>
        <w:t xml:space="preserve"> recibieron </w:t>
      </w:r>
      <w:r w:rsidR="006D3C79">
        <w:rPr>
          <w:rFonts w:ascii="Times New Roman" w:hAnsi="Times New Roman" w:cs="Times New Roman"/>
        </w:rPr>
        <w:t>alimentación</w:t>
      </w:r>
      <w:r w:rsidR="00FE7BA2">
        <w:rPr>
          <w:rFonts w:ascii="Times New Roman" w:hAnsi="Times New Roman" w:cs="Times New Roman"/>
        </w:rPr>
        <w:t xml:space="preserve"> escolar y otro con </w:t>
      </w:r>
      <w:r w:rsidR="003716B9">
        <w:rPr>
          <w:rFonts w:ascii="Times New Roman" w:hAnsi="Times New Roman" w:cs="Times New Roman"/>
        </w:rPr>
        <w:t>los estudiantes en establecimientos</w:t>
      </w:r>
      <w:r w:rsidR="00FE7BA2">
        <w:rPr>
          <w:rFonts w:ascii="Times New Roman" w:hAnsi="Times New Roman" w:cs="Times New Roman"/>
        </w:rPr>
        <w:t xml:space="preserve"> que no recibieron</w:t>
      </w:r>
      <w:r w:rsidR="003716B9" w:rsidRPr="003716B9">
        <w:rPr>
          <w:rFonts w:ascii="Times New Roman" w:hAnsi="Times New Roman" w:cs="Times New Roman"/>
        </w:rPr>
        <w:t xml:space="preserve"> </w:t>
      </w:r>
      <w:r w:rsidR="003716B9">
        <w:rPr>
          <w:rFonts w:ascii="Times New Roman" w:hAnsi="Times New Roman" w:cs="Times New Roman"/>
        </w:rPr>
        <w:t>alimentación escolar. Por ende, podría haber todavía heterogeneidad entre esos dos subgrupos en cuanto a infraestructura o de nivel socio económico</w:t>
      </w:r>
      <w:r w:rsidR="006D3C79">
        <w:rPr>
          <w:rFonts w:ascii="Times New Roman" w:hAnsi="Times New Roman" w:cs="Times New Roman"/>
        </w:rPr>
        <w:t>.</w:t>
      </w:r>
      <w:r w:rsidR="00B50112">
        <w:rPr>
          <w:rFonts w:ascii="Times New Roman" w:hAnsi="Times New Roman" w:cs="Times New Roman"/>
        </w:rPr>
        <w:t xml:space="preserve"> Se observa entonces si los índices de infraestructura y de nivel socio económico difieren de forma estadísticamente significativa, para los dos subgrupos. </w:t>
      </w:r>
    </w:p>
    <w:p w14:paraId="5616DB02" w14:textId="5874676E" w:rsidR="00B50112" w:rsidRDefault="00B50112" w:rsidP="003716B9">
      <w:pPr>
        <w:pStyle w:val="ListParagraph"/>
        <w:numPr>
          <w:ilvl w:val="0"/>
          <w:numId w:val="9"/>
        </w:numPr>
        <w:spacing w:after="120" w:line="276" w:lineRule="auto"/>
        <w:ind w:left="1066"/>
        <w:contextualSpacing w:val="0"/>
        <w:jc w:val="both"/>
        <w:rPr>
          <w:rFonts w:ascii="Times New Roman" w:hAnsi="Times New Roman" w:cs="Times New Roman"/>
        </w:rPr>
      </w:pPr>
      <w:r w:rsidRPr="003716B9">
        <w:rPr>
          <w:rFonts w:ascii="Times New Roman" w:hAnsi="Times New Roman" w:cs="Times New Roman"/>
        </w:rPr>
        <w:t xml:space="preserve">Si la diferencia es estadísticamente significativa, implica que los resultados de las evaluaciones de uno y otro subgrupo podrían estar influidas por las diferencias en nivel socio económico o en infraestructura, por lo que no se puede </w:t>
      </w:r>
      <w:r w:rsidR="00A37290" w:rsidRPr="003716B9">
        <w:rPr>
          <w:rFonts w:ascii="Times New Roman" w:hAnsi="Times New Roman" w:cs="Times New Roman"/>
        </w:rPr>
        <w:t>tener una conclusión clara</w:t>
      </w:r>
      <w:r w:rsidR="001D10F2">
        <w:rPr>
          <w:rFonts w:ascii="Times New Roman" w:hAnsi="Times New Roman" w:cs="Times New Roman"/>
        </w:rPr>
        <w:t xml:space="preserve"> (son los denominados grupos no comparables)</w:t>
      </w:r>
      <w:r w:rsidR="003716B9">
        <w:rPr>
          <w:rFonts w:ascii="Times New Roman" w:hAnsi="Times New Roman" w:cs="Times New Roman"/>
        </w:rPr>
        <w:t>;</w:t>
      </w:r>
    </w:p>
    <w:p w14:paraId="410E18D1" w14:textId="11C22E8E" w:rsidR="003716B9" w:rsidRPr="003716B9" w:rsidRDefault="003716B9" w:rsidP="003716B9">
      <w:pPr>
        <w:pStyle w:val="ListParagraph"/>
        <w:numPr>
          <w:ilvl w:val="0"/>
          <w:numId w:val="9"/>
        </w:numPr>
        <w:spacing w:after="120" w:line="276" w:lineRule="auto"/>
        <w:ind w:left="1066"/>
        <w:contextualSpacing w:val="0"/>
        <w:jc w:val="both"/>
        <w:rPr>
          <w:rFonts w:ascii="Times New Roman" w:hAnsi="Times New Roman" w:cs="Times New Roman"/>
        </w:rPr>
      </w:pPr>
      <w:r>
        <w:rPr>
          <w:rFonts w:ascii="Times New Roman" w:hAnsi="Times New Roman" w:cs="Times New Roman"/>
        </w:rPr>
        <w:lastRenderedPageBreak/>
        <w:t xml:space="preserve">Si en cambio no hay diferencia estadísticamente significativa, se puede comparar los resultados en las evaluaciones </w:t>
      </w:r>
      <w:r w:rsidR="000B71A6">
        <w:rPr>
          <w:rFonts w:ascii="Times New Roman" w:hAnsi="Times New Roman" w:cs="Times New Roman"/>
        </w:rPr>
        <w:t>de los dos subgrupos, y utilizar las diferencias para medir el impacto estimado de la alimentación escolar en las evaluaciones</w:t>
      </w:r>
      <w:r w:rsidR="001D10F2">
        <w:rPr>
          <w:rFonts w:ascii="Times New Roman" w:hAnsi="Times New Roman" w:cs="Times New Roman"/>
        </w:rPr>
        <w:t xml:space="preserve"> (son los denominados grupos comparables)</w:t>
      </w:r>
      <w:r w:rsidR="000B71A6">
        <w:rPr>
          <w:rFonts w:ascii="Times New Roman" w:hAnsi="Times New Roman" w:cs="Times New Roman"/>
        </w:rPr>
        <w:t>.</w:t>
      </w:r>
    </w:p>
    <w:p w14:paraId="309BF350" w14:textId="54D53ED4" w:rsidR="00007520" w:rsidRDefault="005E3DD8" w:rsidP="005C2472">
      <w:pPr>
        <w:spacing w:after="120" w:line="276" w:lineRule="auto"/>
        <w:ind w:left="708"/>
        <w:jc w:val="both"/>
        <w:rPr>
          <w:rFonts w:ascii="Times New Roman" w:hAnsi="Times New Roman" w:cs="Times New Roman"/>
        </w:rPr>
      </w:pPr>
      <w:r>
        <w:rPr>
          <w:rFonts w:ascii="Times New Roman" w:hAnsi="Times New Roman" w:cs="Times New Roman"/>
        </w:rPr>
        <w:t>Se obtuvo 7 grupos no comparables</w:t>
      </w:r>
      <w:r w:rsidR="006E7FCE">
        <w:rPr>
          <w:rStyle w:val="FootnoteReference"/>
          <w:rFonts w:ascii="Times New Roman" w:hAnsi="Times New Roman" w:cs="Times New Roman"/>
        </w:rPr>
        <w:footnoteReference w:id="13"/>
      </w:r>
      <w:r>
        <w:rPr>
          <w:rFonts w:ascii="Times New Roman" w:hAnsi="Times New Roman" w:cs="Times New Roman"/>
        </w:rPr>
        <w:t xml:space="preserve"> y 5 comparables. </w:t>
      </w:r>
      <w:r w:rsidRPr="009F1538">
        <w:rPr>
          <w:rFonts w:ascii="Times New Roman" w:hAnsi="Times New Roman" w:cs="Times New Roman"/>
        </w:rPr>
        <w:t>Estos últimos incluyen un total de 141 establecimientos educativos, de los que 1,815 estudiantes rindieron las evaluaciones. De ellos, 109 establecimientos educativos recibieron alimentación escolar, de los que 1,520 rindieron las evaluaciones.</w:t>
      </w:r>
      <w:r>
        <w:rPr>
          <w:rFonts w:ascii="Times New Roman" w:hAnsi="Times New Roman" w:cs="Times New Roman"/>
        </w:rPr>
        <w:t xml:space="preserve"> </w:t>
      </w:r>
    </w:p>
    <w:p w14:paraId="35797D01" w14:textId="33D4679C" w:rsidR="001B6880" w:rsidRDefault="001B6880" w:rsidP="005C2472">
      <w:pPr>
        <w:spacing w:after="120" w:line="276" w:lineRule="auto"/>
        <w:ind w:left="708"/>
        <w:jc w:val="both"/>
        <w:rPr>
          <w:rFonts w:ascii="Times New Roman" w:hAnsi="Times New Roman" w:cs="Times New Roman"/>
        </w:rPr>
      </w:pPr>
      <w:r>
        <w:rPr>
          <w:rFonts w:ascii="Times New Roman" w:hAnsi="Times New Roman" w:cs="Times New Roman"/>
        </w:rPr>
        <w:t xml:space="preserve">El gráfico </w:t>
      </w:r>
      <w:r w:rsidR="00D57851">
        <w:rPr>
          <w:rFonts w:ascii="Times New Roman" w:hAnsi="Times New Roman" w:cs="Times New Roman"/>
        </w:rPr>
        <w:t xml:space="preserve">a </w:t>
      </w:r>
      <w:r>
        <w:rPr>
          <w:rFonts w:ascii="Times New Roman" w:hAnsi="Times New Roman" w:cs="Times New Roman"/>
        </w:rPr>
        <w:t xml:space="preserve">muestra los colegios que tomaron la prueba TERCE 2013 ordenados por </w:t>
      </w:r>
      <w:r w:rsidR="00786679">
        <w:rPr>
          <w:rFonts w:ascii="Times New Roman" w:hAnsi="Times New Roman" w:cs="Times New Roman"/>
        </w:rPr>
        <w:t xml:space="preserve">los 12 </w:t>
      </w:r>
      <w:r>
        <w:rPr>
          <w:rFonts w:ascii="Times New Roman" w:hAnsi="Times New Roman" w:cs="Times New Roman"/>
        </w:rPr>
        <w:t xml:space="preserve">grupos, de acuerdo a los índices de nivel socio económico y de infraestructura. En cada grupo hay un subgrupo con los estudiantes que recibieron </w:t>
      </w:r>
      <w:r w:rsidR="00942E9B">
        <w:rPr>
          <w:rFonts w:ascii="Times New Roman" w:hAnsi="Times New Roman" w:cs="Times New Roman"/>
        </w:rPr>
        <w:t>alimentación</w:t>
      </w:r>
      <w:r>
        <w:rPr>
          <w:rFonts w:ascii="Times New Roman" w:hAnsi="Times New Roman" w:cs="Times New Roman"/>
        </w:rPr>
        <w:t xml:space="preserve"> escola</w:t>
      </w:r>
      <w:r w:rsidR="00942E9B">
        <w:rPr>
          <w:rFonts w:ascii="Times New Roman" w:hAnsi="Times New Roman" w:cs="Times New Roman"/>
        </w:rPr>
        <w:t>r y otro con los que no la</w:t>
      </w:r>
      <w:r>
        <w:rPr>
          <w:rFonts w:ascii="Times New Roman" w:hAnsi="Times New Roman" w:cs="Times New Roman"/>
        </w:rPr>
        <w:t xml:space="preserve"> recibieron. </w:t>
      </w:r>
    </w:p>
    <w:p w14:paraId="37121D2D" w14:textId="6669A92C" w:rsidR="001B6880" w:rsidRPr="001B6880" w:rsidRDefault="001B6880" w:rsidP="00D57851">
      <w:pPr>
        <w:keepNext/>
        <w:spacing w:after="0" w:line="276" w:lineRule="auto"/>
        <w:jc w:val="center"/>
        <w:rPr>
          <w:rFonts w:ascii="Times New Roman" w:hAnsi="Times New Roman" w:cs="Times New Roman"/>
          <w:b/>
        </w:rPr>
      </w:pPr>
      <w:r w:rsidRPr="001B6880">
        <w:rPr>
          <w:rFonts w:ascii="Times New Roman" w:hAnsi="Times New Roman" w:cs="Times New Roman"/>
          <w:b/>
        </w:rPr>
        <w:t>Gráfico 1</w:t>
      </w:r>
    </w:p>
    <w:p w14:paraId="187E0A75" w14:textId="33F63443" w:rsidR="001B6880" w:rsidRDefault="00BA56E1" w:rsidP="00D57851">
      <w:pPr>
        <w:keepNext/>
        <w:spacing w:after="0" w:line="276" w:lineRule="auto"/>
        <w:jc w:val="center"/>
        <w:rPr>
          <w:rFonts w:ascii="Times New Roman" w:hAnsi="Times New Roman" w:cs="Times New Roman"/>
        </w:rPr>
      </w:pPr>
      <w:r>
        <w:rPr>
          <w:rFonts w:ascii="Times New Roman" w:hAnsi="Times New Roman" w:cs="Times New Roman"/>
          <w:b/>
        </w:rPr>
        <w:t>G</w:t>
      </w:r>
      <w:r w:rsidR="001B6880" w:rsidRPr="001B6880">
        <w:rPr>
          <w:rFonts w:ascii="Times New Roman" w:hAnsi="Times New Roman" w:cs="Times New Roman"/>
          <w:b/>
        </w:rPr>
        <w:t xml:space="preserve">rupos </w:t>
      </w:r>
      <w:r w:rsidR="00F65D5A">
        <w:rPr>
          <w:rFonts w:ascii="Times New Roman" w:hAnsi="Times New Roman" w:cs="Times New Roman"/>
          <w:b/>
        </w:rPr>
        <w:t xml:space="preserve">homogéneos </w:t>
      </w:r>
      <w:r w:rsidR="001B6880" w:rsidRPr="001B6880">
        <w:rPr>
          <w:rFonts w:ascii="Times New Roman" w:hAnsi="Times New Roman" w:cs="Times New Roman"/>
          <w:b/>
        </w:rPr>
        <w:t xml:space="preserve">de </w:t>
      </w:r>
      <w:r w:rsidR="00F65D5A">
        <w:rPr>
          <w:rFonts w:ascii="Times New Roman" w:hAnsi="Times New Roman" w:cs="Times New Roman"/>
          <w:b/>
        </w:rPr>
        <w:t>establecimientos educativos</w:t>
      </w:r>
    </w:p>
    <w:p w14:paraId="7C4305EC" w14:textId="288FA386" w:rsidR="001B6880" w:rsidRDefault="001B6880" w:rsidP="00BA56E1">
      <w:pPr>
        <w:spacing w:after="0" w:line="276" w:lineRule="auto"/>
        <w:jc w:val="center"/>
        <w:rPr>
          <w:rFonts w:ascii="Times New Roman" w:hAnsi="Times New Roman" w:cs="Times New Roman"/>
        </w:rPr>
      </w:pPr>
      <w:r w:rsidRPr="001B6880">
        <w:rPr>
          <w:noProof/>
          <w:lang w:val="en-US"/>
        </w:rPr>
        <w:drawing>
          <wp:inline distT="0" distB="0" distL="0" distR="0" wp14:anchorId="3AC3134B" wp14:editId="4B838130">
            <wp:extent cx="5612130" cy="366483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2130" cy="3664830"/>
                    </a:xfrm>
                    <a:prstGeom prst="rect">
                      <a:avLst/>
                    </a:prstGeom>
                    <a:noFill/>
                    <a:ln>
                      <a:noFill/>
                    </a:ln>
                  </pic:spPr>
                </pic:pic>
              </a:graphicData>
            </a:graphic>
          </wp:inline>
        </w:drawing>
      </w:r>
    </w:p>
    <w:p w14:paraId="67679E94" w14:textId="0BCC8953" w:rsidR="00BA56E1" w:rsidRPr="00BA56E1" w:rsidRDefault="00BA56E1" w:rsidP="00BA56E1">
      <w:pPr>
        <w:spacing w:after="120" w:line="276" w:lineRule="auto"/>
        <w:rPr>
          <w:rFonts w:ascii="Times New Roman" w:hAnsi="Times New Roman" w:cs="Times New Roman"/>
          <w:sz w:val="20"/>
          <w:szCs w:val="20"/>
        </w:rPr>
      </w:pPr>
      <w:r w:rsidRPr="00BA56E1">
        <w:rPr>
          <w:rFonts w:ascii="Times New Roman" w:hAnsi="Times New Roman" w:cs="Times New Roman"/>
          <w:sz w:val="20"/>
          <w:szCs w:val="20"/>
        </w:rPr>
        <w:t>Fuente: base de datos TERCE</w:t>
      </w:r>
    </w:p>
    <w:p w14:paraId="463C2F69" w14:textId="7E2096E2" w:rsidR="00BA56E1" w:rsidRDefault="008C0AAF" w:rsidP="00BA56E1">
      <w:pPr>
        <w:spacing w:after="120" w:line="276" w:lineRule="auto"/>
        <w:jc w:val="both"/>
        <w:rPr>
          <w:rFonts w:ascii="Times New Roman" w:hAnsi="Times New Roman" w:cs="Times New Roman"/>
        </w:rPr>
      </w:pPr>
      <w:r>
        <w:rPr>
          <w:rFonts w:ascii="Times New Roman" w:hAnsi="Times New Roman" w:cs="Times New Roman"/>
        </w:rPr>
        <w:t>Como se mencionó, d</w:t>
      </w:r>
      <w:r w:rsidR="00BA56E1">
        <w:rPr>
          <w:rFonts w:ascii="Times New Roman" w:hAnsi="Times New Roman" w:cs="Times New Roman"/>
        </w:rPr>
        <w:t xml:space="preserve">e los 12 grupos, 5 son comparables. Al evaluar si existe una diferencia estadísticamente significativa entre los resultados en TERCE de los </w:t>
      </w:r>
      <w:r w:rsidR="00786679">
        <w:rPr>
          <w:rFonts w:ascii="Times New Roman" w:hAnsi="Times New Roman" w:cs="Times New Roman"/>
        </w:rPr>
        <w:t xml:space="preserve">estudiantes de los 5 establecimientos educativos </w:t>
      </w:r>
      <w:r w:rsidR="00BA56E1">
        <w:rPr>
          <w:rFonts w:ascii="Times New Roman" w:hAnsi="Times New Roman" w:cs="Times New Roman"/>
        </w:rPr>
        <w:t xml:space="preserve">que sí recibieron </w:t>
      </w:r>
      <w:r w:rsidR="00786679">
        <w:rPr>
          <w:rFonts w:ascii="Times New Roman" w:hAnsi="Times New Roman" w:cs="Times New Roman"/>
        </w:rPr>
        <w:t>alimentación escolar frente a los estudiantes de los demás establecimientos</w:t>
      </w:r>
      <w:r w:rsidR="00BA56E1">
        <w:rPr>
          <w:rFonts w:ascii="Times New Roman" w:hAnsi="Times New Roman" w:cs="Times New Roman"/>
        </w:rPr>
        <w:t>, se observa que</w:t>
      </w:r>
      <w:r w:rsidR="002D6803">
        <w:rPr>
          <w:rFonts w:ascii="Times New Roman" w:hAnsi="Times New Roman" w:cs="Times New Roman"/>
        </w:rPr>
        <w:t>,</w:t>
      </w:r>
      <w:r w:rsidR="00BA56E1">
        <w:rPr>
          <w:rFonts w:ascii="Times New Roman" w:hAnsi="Times New Roman" w:cs="Times New Roman"/>
        </w:rPr>
        <w:t xml:space="preserve"> en 3 de estos grupos, la diferencia no es significativa. En los dos grupos </w:t>
      </w:r>
      <w:r w:rsidR="00EF6E18">
        <w:rPr>
          <w:rFonts w:ascii="Times New Roman" w:hAnsi="Times New Roman" w:cs="Times New Roman"/>
        </w:rPr>
        <w:t xml:space="preserve">restantes, </w:t>
      </w:r>
      <w:r w:rsidR="00BA56E1">
        <w:rPr>
          <w:rFonts w:ascii="Times New Roman" w:hAnsi="Times New Roman" w:cs="Times New Roman"/>
        </w:rPr>
        <w:t>sí existe una diferencia</w:t>
      </w:r>
      <w:r w:rsidR="003C1CC4">
        <w:rPr>
          <w:rFonts w:ascii="Times New Roman" w:hAnsi="Times New Roman" w:cs="Times New Roman"/>
        </w:rPr>
        <w:t xml:space="preserve"> estadísticamente significativa:</w:t>
      </w:r>
      <w:r w:rsidR="00BA56E1">
        <w:rPr>
          <w:rFonts w:ascii="Times New Roman" w:hAnsi="Times New Roman" w:cs="Times New Roman"/>
        </w:rPr>
        <w:t xml:space="preserve"> los estudiantes que </w:t>
      </w:r>
      <w:r w:rsidR="00BA56E1">
        <w:rPr>
          <w:rFonts w:ascii="Times New Roman" w:hAnsi="Times New Roman" w:cs="Times New Roman"/>
        </w:rPr>
        <w:lastRenderedPageBreak/>
        <w:t xml:space="preserve">recibieron </w:t>
      </w:r>
      <w:r w:rsidR="003C1CC4">
        <w:rPr>
          <w:rFonts w:ascii="Times New Roman" w:hAnsi="Times New Roman" w:cs="Times New Roman"/>
        </w:rPr>
        <w:t xml:space="preserve">alimentación </w:t>
      </w:r>
      <w:r w:rsidR="00BA56E1">
        <w:rPr>
          <w:rFonts w:ascii="Times New Roman" w:hAnsi="Times New Roman" w:cs="Times New Roman"/>
        </w:rPr>
        <w:t xml:space="preserve">escolar tuvieron mejores puntajes en las pruebas TERCE que los que no recibieron </w:t>
      </w:r>
      <w:r w:rsidR="003C1CC4">
        <w:rPr>
          <w:rFonts w:ascii="Times New Roman" w:hAnsi="Times New Roman" w:cs="Times New Roman"/>
        </w:rPr>
        <w:t>alimentación</w:t>
      </w:r>
      <w:r w:rsidR="00BA56E1">
        <w:rPr>
          <w:rFonts w:ascii="Times New Roman" w:hAnsi="Times New Roman" w:cs="Times New Roman"/>
        </w:rPr>
        <w:t xml:space="preserve">. Calculando un promedio ponderado, se puede concluir que los estudiantes que recibieron </w:t>
      </w:r>
      <w:r w:rsidR="00942E9B">
        <w:rPr>
          <w:rFonts w:ascii="Times New Roman" w:hAnsi="Times New Roman" w:cs="Times New Roman"/>
        </w:rPr>
        <w:t xml:space="preserve">alimentación </w:t>
      </w:r>
      <w:r w:rsidR="00BA56E1">
        <w:rPr>
          <w:rFonts w:ascii="Times New Roman" w:hAnsi="Times New Roman" w:cs="Times New Roman"/>
        </w:rPr>
        <w:t xml:space="preserve">tuvieron un puntaje 1.0% mayor al de los estudiantes que no recibieron </w:t>
      </w:r>
      <w:r w:rsidR="00942E9B">
        <w:rPr>
          <w:rFonts w:ascii="Times New Roman" w:hAnsi="Times New Roman" w:cs="Times New Roman"/>
        </w:rPr>
        <w:t>alimentación</w:t>
      </w:r>
      <w:r w:rsidR="00BA56E1">
        <w:rPr>
          <w:rFonts w:ascii="Times New Roman" w:hAnsi="Times New Roman" w:cs="Times New Roman"/>
        </w:rPr>
        <w:t>.</w:t>
      </w:r>
      <w:r w:rsidR="000431E8">
        <w:rPr>
          <w:rFonts w:ascii="Times New Roman" w:hAnsi="Times New Roman" w:cs="Times New Roman"/>
        </w:rPr>
        <w:t xml:space="preserve"> Este porcentaje es equivalente a una mejora de 0.102 desviación estándar. </w:t>
      </w:r>
    </w:p>
    <w:p w14:paraId="54B18C28" w14:textId="2D3A09FD" w:rsidR="00BA56E1" w:rsidRPr="001B6880" w:rsidRDefault="00BA56E1" w:rsidP="000908EE">
      <w:pPr>
        <w:keepNext/>
        <w:spacing w:after="0" w:line="276" w:lineRule="auto"/>
        <w:jc w:val="center"/>
        <w:rPr>
          <w:rFonts w:ascii="Times New Roman" w:hAnsi="Times New Roman" w:cs="Times New Roman"/>
          <w:b/>
        </w:rPr>
      </w:pPr>
      <w:r>
        <w:rPr>
          <w:rFonts w:ascii="Times New Roman" w:hAnsi="Times New Roman" w:cs="Times New Roman"/>
          <w:b/>
        </w:rPr>
        <w:t>Gráfico 2</w:t>
      </w:r>
    </w:p>
    <w:p w14:paraId="6560FC07" w14:textId="2AE5ED9C" w:rsidR="00BA56E1" w:rsidRDefault="00BA56E1" w:rsidP="000908EE">
      <w:pPr>
        <w:keepNext/>
        <w:spacing w:after="0" w:line="276" w:lineRule="auto"/>
        <w:jc w:val="center"/>
        <w:rPr>
          <w:rFonts w:ascii="Times New Roman" w:hAnsi="Times New Roman" w:cs="Times New Roman"/>
          <w:b/>
        </w:rPr>
      </w:pPr>
      <w:r w:rsidRPr="001B6880">
        <w:rPr>
          <w:rFonts w:ascii="Times New Roman" w:hAnsi="Times New Roman" w:cs="Times New Roman"/>
          <w:b/>
        </w:rPr>
        <w:t xml:space="preserve">Subgrupos de </w:t>
      </w:r>
      <w:r w:rsidR="00F65D5A">
        <w:rPr>
          <w:rFonts w:ascii="Times New Roman" w:hAnsi="Times New Roman" w:cs="Times New Roman"/>
          <w:b/>
        </w:rPr>
        <w:t>establecimientos educativos</w:t>
      </w:r>
      <w:r>
        <w:rPr>
          <w:rFonts w:ascii="Times New Roman" w:hAnsi="Times New Roman" w:cs="Times New Roman"/>
          <w:b/>
        </w:rPr>
        <w:t xml:space="preserve"> comparables</w:t>
      </w:r>
    </w:p>
    <w:p w14:paraId="7D2CB874" w14:textId="7A656D8A" w:rsidR="00BA56E1" w:rsidRDefault="00BA56E1" w:rsidP="00C83EA8">
      <w:pPr>
        <w:spacing w:after="0" w:line="276" w:lineRule="auto"/>
        <w:jc w:val="center"/>
        <w:rPr>
          <w:rFonts w:ascii="Times New Roman" w:hAnsi="Times New Roman" w:cs="Times New Roman"/>
        </w:rPr>
      </w:pPr>
      <w:r w:rsidRPr="00BA56E1">
        <w:rPr>
          <w:noProof/>
          <w:lang w:val="en-US"/>
        </w:rPr>
        <w:drawing>
          <wp:inline distT="0" distB="0" distL="0" distR="0" wp14:anchorId="3589D904" wp14:editId="79397B3F">
            <wp:extent cx="5612130" cy="3668808"/>
            <wp:effectExtent l="0" t="0" r="762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2130" cy="3668808"/>
                    </a:xfrm>
                    <a:prstGeom prst="rect">
                      <a:avLst/>
                    </a:prstGeom>
                    <a:noFill/>
                    <a:ln>
                      <a:noFill/>
                    </a:ln>
                  </pic:spPr>
                </pic:pic>
              </a:graphicData>
            </a:graphic>
          </wp:inline>
        </w:drawing>
      </w:r>
    </w:p>
    <w:p w14:paraId="269DEA2E" w14:textId="4C1104D4" w:rsidR="00BA56E1" w:rsidRDefault="00BA56E1" w:rsidP="00C83EA8">
      <w:pPr>
        <w:spacing w:after="120" w:line="276" w:lineRule="auto"/>
        <w:rPr>
          <w:rFonts w:ascii="Times New Roman" w:hAnsi="Times New Roman" w:cs="Times New Roman"/>
          <w:sz w:val="20"/>
          <w:szCs w:val="20"/>
        </w:rPr>
      </w:pPr>
      <w:r w:rsidRPr="00C83EA8">
        <w:rPr>
          <w:rFonts w:ascii="Times New Roman" w:hAnsi="Times New Roman" w:cs="Times New Roman"/>
          <w:sz w:val="20"/>
          <w:szCs w:val="20"/>
        </w:rPr>
        <w:t>Fuente: Base de datos TERCE</w:t>
      </w:r>
    </w:p>
    <w:p w14:paraId="063E36C7" w14:textId="3985862A" w:rsidR="00AE6C43" w:rsidRPr="00742D0E" w:rsidRDefault="00AE6C43" w:rsidP="00AE6C43">
      <w:pPr>
        <w:spacing w:after="120" w:line="276" w:lineRule="auto"/>
        <w:jc w:val="both"/>
        <w:rPr>
          <w:rFonts w:ascii="Times New Roman" w:hAnsi="Times New Roman" w:cs="Times New Roman"/>
          <w:b/>
          <w:i/>
        </w:rPr>
      </w:pPr>
      <w:r w:rsidRPr="00742D0E">
        <w:rPr>
          <w:rFonts w:ascii="Times New Roman" w:hAnsi="Times New Roman" w:cs="Times New Roman"/>
          <w:b/>
          <w:i/>
        </w:rPr>
        <w:t xml:space="preserve">Resultados en base a </w:t>
      </w:r>
      <w:r w:rsidR="00262CA3" w:rsidRPr="00742D0E">
        <w:rPr>
          <w:rFonts w:ascii="Times New Roman" w:hAnsi="Times New Roman" w:cs="Times New Roman"/>
          <w:b/>
          <w:i/>
        </w:rPr>
        <w:t>evaluación</w:t>
      </w:r>
      <w:r w:rsidRPr="00742D0E">
        <w:rPr>
          <w:rFonts w:ascii="Times New Roman" w:hAnsi="Times New Roman" w:cs="Times New Roman"/>
          <w:b/>
          <w:i/>
        </w:rPr>
        <w:t xml:space="preserve"> SER ESTUDIANTE 2013</w:t>
      </w:r>
    </w:p>
    <w:p w14:paraId="725B3EEE" w14:textId="19223014" w:rsidR="00C83EA8" w:rsidRPr="00C83EA8" w:rsidRDefault="00C83EA8" w:rsidP="00FB684C">
      <w:pPr>
        <w:spacing w:after="120" w:line="276" w:lineRule="auto"/>
        <w:jc w:val="both"/>
        <w:rPr>
          <w:rFonts w:ascii="Times New Roman" w:hAnsi="Times New Roman" w:cs="Times New Roman"/>
        </w:rPr>
      </w:pPr>
      <w:r>
        <w:rPr>
          <w:rFonts w:ascii="Times New Roman" w:hAnsi="Times New Roman" w:cs="Times New Roman"/>
        </w:rPr>
        <w:t xml:space="preserve">Existe también otra forma de medir los beneficios del programa de alimentación escolar usando la base de datos de </w:t>
      </w:r>
      <w:r w:rsidR="000431E8">
        <w:rPr>
          <w:rFonts w:ascii="Times New Roman" w:hAnsi="Times New Roman" w:cs="Times New Roman"/>
        </w:rPr>
        <w:t xml:space="preserve">SER Estudiante </w:t>
      </w:r>
      <w:r>
        <w:rPr>
          <w:rFonts w:ascii="Times New Roman" w:hAnsi="Times New Roman" w:cs="Times New Roman"/>
        </w:rPr>
        <w:t xml:space="preserve">sobre factores asociados alimenticios. Esta base de datos, entre otras cosas, permite analizar el puntaje en las pruebas en función de los hábitos alimenticios de los estudiantes. </w:t>
      </w:r>
      <w:r w:rsidR="00FB684C">
        <w:rPr>
          <w:rFonts w:ascii="Times New Roman" w:hAnsi="Times New Roman" w:cs="Times New Roman"/>
        </w:rPr>
        <w:t>Haciendo un cálculo simple</w:t>
      </w:r>
      <w:r w:rsidR="00FF43B3">
        <w:rPr>
          <w:rFonts w:ascii="Times New Roman" w:hAnsi="Times New Roman" w:cs="Times New Roman"/>
        </w:rPr>
        <w:t>,</w:t>
      </w:r>
      <w:r w:rsidR="00FB684C">
        <w:rPr>
          <w:rFonts w:ascii="Times New Roman" w:hAnsi="Times New Roman" w:cs="Times New Roman"/>
        </w:rPr>
        <w:t xml:space="preserve"> se puede calcular la diferencia en el puntaje de </w:t>
      </w:r>
      <w:r w:rsidR="00637B90">
        <w:rPr>
          <w:rFonts w:ascii="Times New Roman" w:hAnsi="Times New Roman" w:cs="Times New Roman"/>
        </w:rPr>
        <w:t xml:space="preserve">los </w:t>
      </w:r>
      <w:r w:rsidR="00FB684C">
        <w:rPr>
          <w:rFonts w:ascii="Times New Roman" w:hAnsi="Times New Roman" w:cs="Times New Roman"/>
        </w:rPr>
        <w:t>estudiante</w:t>
      </w:r>
      <w:r w:rsidR="00637B90">
        <w:rPr>
          <w:rFonts w:ascii="Times New Roman" w:hAnsi="Times New Roman" w:cs="Times New Roman"/>
        </w:rPr>
        <w:t>s</w:t>
      </w:r>
      <w:r w:rsidR="00FB684C">
        <w:rPr>
          <w:rFonts w:ascii="Times New Roman" w:hAnsi="Times New Roman" w:cs="Times New Roman"/>
        </w:rPr>
        <w:t xml:space="preserve"> </w:t>
      </w:r>
      <w:r w:rsidR="00FF43B3">
        <w:rPr>
          <w:rFonts w:ascii="Times New Roman" w:hAnsi="Times New Roman" w:cs="Times New Roman"/>
        </w:rPr>
        <w:t>en función de sus hábitos alimenticios.</w:t>
      </w:r>
      <w:r w:rsidR="00FB684C">
        <w:rPr>
          <w:rFonts w:ascii="Times New Roman" w:hAnsi="Times New Roman" w:cs="Times New Roman"/>
        </w:rPr>
        <w:t xml:space="preserve"> </w:t>
      </w:r>
    </w:p>
    <w:p w14:paraId="6271AB5D" w14:textId="4882D85E" w:rsidR="000377D8" w:rsidRDefault="00FB684C" w:rsidP="00FB684C">
      <w:pPr>
        <w:spacing w:after="120" w:line="276" w:lineRule="auto"/>
        <w:jc w:val="both"/>
        <w:rPr>
          <w:rFonts w:ascii="Times New Roman" w:hAnsi="Times New Roman" w:cs="Times New Roman"/>
        </w:rPr>
      </w:pPr>
      <w:r>
        <w:rPr>
          <w:rFonts w:ascii="Times New Roman" w:hAnsi="Times New Roman" w:cs="Times New Roman"/>
        </w:rPr>
        <w:t xml:space="preserve">Con relación a los hábitos alimenticios, una de las preguntas que se realiza es “¿cuántas veces por semana se comen los siguientes alimentos?”. Observando los resultados relacionados a la ingestión de alimentos </w:t>
      </w:r>
      <w:r w:rsidR="00BA3C01">
        <w:rPr>
          <w:rFonts w:ascii="Times New Roman" w:hAnsi="Times New Roman" w:cs="Times New Roman"/>
        </w:rPr>
        <w:t>que están incluidos en el programa de alimentación</w:t>
      </w:r>
      <w:r w:rsidR="00637B90">
        <w:rPr>
          <w:rFonts w:ascii="Times New Roman" w:hAnsi="Times New Roman" w:cs="Times New Roman"/>
        </w:rPr>
        <w:t xml:space="preserve"> escolar, se </w:t>
      </w:r>
      <w:r w:rsidR="00A959E4">
        <w:rPr>
          <w:rFonts w:ascii="Times New Roman" w:hAnsi="Times New Roman" w:cs="Times New Roman"/>
        </w:rPr>
        <w:t>puede inducir</w:t>
      </w:r>
      <w:r w:rsidR="00637B90">
        <w:rPr>
          <w:rFonts w:ascii="Times New Roman" w:hAnsi="Times New Roman" w:cs="Times New Roman"/>
        </w:rPr>
        <w:t xml:space="preserve"> que </w:t>
      </w:r>
      <w:r w:rsidR="00A959E4">
        <w:rPr>
          <w:rFonts w:ascii="Times New Roman" w:hAnsi="Times New Roman" w:cs="Times New Roman"/>
        </w:rPr>
        <w:t>dicho programa</w:t>
      </w:r>
      <w:r w:rsidR="00637B90">
        <w:rPr>
          <w:rFonts w:ascii="Times New Roman" w:hAnsi="Times New Roman" w:cs="Times New Roman"/>
        </w:rPr>
        <w:t>,</w:t>
      </w:r>
      <w:r w:rsidR="00A959E4">
        <w:rPr>
          <w:rFonts w:ascii="Times New Roman" w:hAnsi="Times New Roman" w:cs="Times New Roman"/>
        </w:rPr>
        <w:t xml:space="preserve"> al permitir </w:t>
      </w:r>
      <w:r w:rsidR="00637B90">
        <w:rPr>
          <w:rFonts w:ascii="Times New Roman" w:hAnsi="Times New Roman" w:cs="Times New Roman"/>
        </w:rPr>
        <w:t xml:space="preserve">que los estudiantes consuman </w:t>
      </w:r>
      <w:r w:rsidR="00A959E4">
        <w:rPr>
          <w:rFonts w:ascii="Times New Roman" w:hAnsi="Times New Roman" w:cs="Times New Roman"/>
        </w:rPr>
        <w:t xml:space="preserve">ciertas categorías de </w:t>
      </w:r>
      <w:r w:rsidR="00637B90">
        <w:rPr>
          <w:rFonts w:ascii="Times New Roman" w:hAnsi="Times New Roman" w:cs="Times New Roman"/>
        </w:rPr>
        <w:t>alimentos de</w:t>
      </w:r>
      <w:r w:rsidR="00A959E4">
        <w:rPr>
          <w:rFonts w:ascii="Times New Roman" w:hAnsi="Times New Roman" w:cs="Times New Roman"/>
        </w:rPr>
        <w:t xml:space="preserve"> 3 a 5 veces por semana, implicaría en promedio</w:t>
      </w:r>
      <w:r w:rsidR="00637B90">
        <w:rPr>
          <w:rFonts w:ascii="Times New Roman" w:hAnsi="Times New Roman" w:cs="Times New Roman"/>
        </w:rPr>
        <w:t xml:space="preserve"> una mejora en </w:t>
      </w:r>
      <w:r w:rsidR="003773C3">
        <w:rPr>
          <w:rFonts w:ascii="Times New Roman" w:hAnsi="Times New Roman" w:cs="Times New Roman"/>
        </w:rPr>
        <w:t>el</w:t>
      </w:r>
      <w:r w:rsidR="00637B90">
        <w:rPr>
          <w:rFonts w:ascii="Times New Roman" w:hAnsi="Times New Roman" w:cs="Times New Roman"/>
        </w:rPr>
        <w:t xml:space="preserve"> puntaje </w:t>
      </w:r>
      <w:r w:rsidR="003773C3">
        <w:rPr>
          <w:rFonts w:ascii="Times New Roman" w:hAnsi="Times New Roman" w:cs="Times New Roman"/>
        </w:rPr>
        <w:t>para</w:t>
      </w:r>
      <w:r w:rsidR="00637B90">
        <w:rPr>
          <w:rFonts w:ascii="Times New Roman" w:hAnsi="Times New Roman" w:cs="Times New Roman"/>
        </w:rPr>
        <w:t xml:space="preserve"> aquellos estudiantes que declaran que no </w:t>
      </w:r>
      <w:r w:rsidR="003773C3">
        <w:rPr>
          <w:rFonts w:ascii="Times New Roman" w:hAnsi="Times New Roman" w:cs="Times New Roman"/>
        </w:rPr>
        <w:t>consumen, en el momento de la evaluación,</w:t>
      </w:r>
      <w:r w:rsidR="00637B90">
        <w:rPr>
          <w:rFonts w:ascii="Times New Roman" w:hAnsi="Times New Roman" w:cs="Times New Roman"/>
        </w:rPr>
        <w:t xml:space="preserve"> estos alimentos. Por ejemplo, </w:t>
      </w:r>
      <w:r w:rsidR="000377D8">
        <w:rPr>
          <w:rFonts w:ascii="Times New Roman" w:hAnsi="Times New Roman" w:cs="Times New Roman"/>
        </w:rPr>
        <w:t>los</w:t>
      </w:r>
      <w:r>
        <w:rPr>
          <w:rFonts w:ascii="Times New Roman" w:hAnsi="Times New Roman" w:cs="Times New Roman"/>
        </w:rPr>
        <w:t xml:space="preserve"> estudiante</w:t>
      </w:r>
      <w:r w:rsidR="000377D8">
        <w:rPr>
          <w:rFonts w:ascii="Times New Roman" w:hAnsi="Times New Roman" w:cs="Times New Roman"/>
        </w:rPr>
        <w:t>s</w:t>
      </w:r>
      <w:r>
        <w:rPr>
          <w:rFonts w:ascii="Times New Roman" w:hAnsi="Times New Roman" w:cs="Times New Roman"/>
        </w:rPr>
        <w:t xml:space="preserve"> </w:t>
      </w:r>
      <w:r w:rsidR="00637B90">
        <w:rPr>
          <w:rFonts w:ascii="Times New Roman" w:hAnsi="Times New Roman" w:cs="Times New Roman"/>
        </w:rPr>
        <w:t xml:space="preserve">de cuarto EGB </w:t>
      </w:r>
      <w:r>
        <w:rPr>
          <w:rFonts w:ascii="Times New Roman" w:hAnsi="Times New Roman" w:cs="Times New Roman"/>
        </w:rPr>
        <w:t>que consumi</w:t>
      </w:r>
      <w:r w:rsidR="000377D8">
        <w:rPr>
          <w:rFonts w:ascii="Times New Roman" w:hAnsi="Times New Roman" w:cs="Times New Roman"/>
        </w:rPr>
        <w:t>eron</w:t>
      </w:r>
      <w:r>
        <w:rPr>
          <w:rFonts w:ascii="Times New Roman" w:hAnsi="Times New Roman" w:cs="Times New Roman"/>
        </w:rPr>
        <w:t xml:space="preserve"> leche</w:t>
      </w:r>
      <w:r w:rsidR="00637B90">
        <w:rPr>
          <w:rFonts w:ascii="Times New Roman" w:hAnsi="Times New Roman" w:cs="Times New Roman"/>
        </w:rPr>
        <w:t xml:space="preserve"> o derivados</w:t>
      </w:r>
      <w:r>
        <w:rPr>
          <w:rFonts w:ascii="Times New Roman" w:hAnsi="Times New Roman" w:cs="Times New Roman"/>
        </w:rPr>
        <w:t xml:space="preserve"> de 3 a 5 veces por semana tuv</w:t>
      </w:r>
      <w:r w:rsidR="000377D8">
        <w:rPr>
          <w:rFonts w:ascii="Times New Roman" w:hAnsi="Times New Roman" w:cs="Times New Roman"/>
        </w:rPr>
        <w:t xml:space="preserve">ieron </w:t>
      </w:r>
      <w:r w:rsidR="00E27ECD">
        <w:rPr>
          <w:rFonts w:ascii="Times New Roman" w:hAnsi="Times New Roman" w:cs="Times New Roman"/>
        </w:rPr>
        <w:t>14</w:t>
      </w:r>
      <w:r>
        <w:rPr>
          <w:rFonts w:ascii="Times New Roman" w:hAnsi="Times New Roman" w:cs="Times New Roman"/>
        </w:rPr>
        <w:t xml:space="preserve"> puntos más en las pruebas </w:t>
      </w:r>
      <w:r w:rsidR="003773C3">
        <w:rPr>
          <w:rFonts w:ascii="Times New Roman" w:hAnsi="Times New Roman" w:cs="Times New Roman"/>
        </w:rPr>
        <w:t>frente a</w:t>
      </w:r>
      <w:r>
        <w:rPr>
          <w:rFonts w:ascii="Times New Roman" w:hAnsi="Times New Roman" w:cs="Times New Roman"/>
        </w:rPr>
        <w:t xml:space="preserve"> </w:t>
      </w:r>
      <w:r w:rsidR="00637B90">
        <w:rPr>
          <w:rFonts w:ascii="Times New Roman" w:hAnsi="Times New Roman" w:cs="Times New Roman"/>
        </w:rPr>
        <w:t xml:space="preserve">los estudiantes que </w:t>
      </w:r>
      <w:r>
        <w:rPr>
          <w:rFonts w:ascii="Times New Roman" w:hAnsi="Times New Roman" w:cs="Times New Roman"/>
        </w:rPr>
        <w:t>consumi</w:t>
      </w:r>
      <w:r w:rsidR="000377D8">
        <w:rPr>
          <w:rFonts w:ascii="Times New Roman" w:hAnsi="Times New Roman" w:cs="Times New Roman"/>
        </w:rPr>
        <w:t xml:space="preserve">eron </w:t>
      </w:r>
      <w:r>
        <w:rPr>
          <w:rFonts w:ascii="Times New Roman" w:hAnsi="Times New Roman" w:cs="Times New Roman"/>
        </w:rPr>
        <w:t xml:space="preserve">leche </w:t>
      </w:r>
      <w:r w:rsidR="00637B90">
        <w:rPr>
          <w:rFonts w:ascii="Times New Roman" w:hAnsi="Times New Roman" w:cs="Times New Roman"/>
        </w:rPr>
        <w:t xml:space="preserve">o derivados </w:t>
      </w:r>
      <w:r>
        <w:rPr>
          <w:rFonts w:ascii="Times New Roman" w:hAnsi="Times New Roman" w:cs="Times New Roman"/>
        </w:rPr>
        <w:t xml:space="preserve">de 1 a 2 veces por semana y </w:t>
      </w:r>
      <w:r w:rsidR="00E27ECD">
        <w:rPr>
          <w:rFonts w:ascii="Times New Roman" w:hAnsi="Times New Roman" w:cs="Times New Roman"/>
        </w:rPr>
        <w:t>17</w:t>
      </w:r>
      <w:r w:rsidR="000377D8">
        <w:rPr>
          <w:rFonts w:ascii="Times New Roman" w:hAnsi="Times New Roman" w:cs="Times New Roman"/>
        </w:rPr>
        <w:t xml:space="preserve"> puntos más frente a</w:t>
      </w:r>
      <w:r w:rsidR="00637B90">
        <w:rPr>
          <w:rFonts w:ascii="Times New Roman" w:hAnsi="Times New Roman" w:cs="Times New Roman"/>
        </w:rPr>
        <w:t xml:space="preserve"> los que </w:t>
      </w:r>
      <w:r w:rsidR="003773C3">
        <w:rPr>
          <w:rFonts w:ascii="Times New Roman" w:hAnsi="Times New Roman" w:cs="Times New Roman"/>
        </w:rPr>
        <w:t xml:space="preserve">rara vez </w:t>
      </w:r>
      <w:r w:rsidR="000377D8">
        <w:rPr>
          <w:rFonts w:ascii="Times New Roman" w:hAnsi="Times New Roman" w:cs="Times New Roman"/>
        </w:rPr>
        <w:t>consumi</w:t>
      </w:r>
      <w:r w:rsidR="00637B90">
        <w:rPr>
          <w:rFonts w:ascii="Times New Roman" w:hAnsi="Times New Roman" w:cs="Times New Roman"/>
        </w:rPr>
        <w:t xml:space="preserve">eron </w:t>
      </w:r>
      <w:r w:rsidR="000377D8">
        <w:rPr>
          <w:rFonts w:ascii="Times New Roman" w:hAnsi="Times New Roman" w:cs="Times New Roman"/>
        </w:rPr>
        <w:t xml:space="preserve">leche </w:t>
      </w:r>
      <w:r w:rsidR="00637B90">
        <w:rPr>
          <w:rFonts w:ascii="Times New Roman" w:hAnsi="Times New Roman" w:cs="Times New Roman"/>
        </w:rPr>
        <w:t>o derivados</w:t>
      </w:r>
      <w:r w:rsidR="000377D8">
        <w:rPr>
          <w:rFonts w:ascii="Times New Roman" w:hAnsi="Times New Roman" w:cs="Times New Roman"/>
        </w:rPr>
        <w:t>.</w:t>
      </w:r>
      <w:r w:rsidR="00637B90">
        <w:rPr>
          <w:rFonts w:ascii="Times New Roman" w:hAnsi="Times New Roman" w:cs="Times New Roman"/>
        </w:rPr>
        <w:t xml:space="preserve"> </w:t>
      </w:r>
      <w:r w:rsidR="00E27ECD">
        <w:rPr>
          <w:rFonts w:ascii="Times New Roman" w:hAnsi="Times New Roman" w:cs="Times New Roman"/>
        </w:rPr>
        <w:t>Si este</w:t>
      </w:r>
      <w:r w:rsidR="00637B90">
        <w:rPr>
          <w:rFonts w:ascii="Times New Roman" w:hAnsi="Times New Roman" w:cs="Times New Roman"/>
        </w:rPr>
        <w:t xml:space="preserve"> cálculo se realiza tomando en cuenta el número de estudiantes en cada caso</w:t>
      </w:r>
      <w:r w:rsidR="00E27ECD">
        <w:rPr>
          <w:rFonts w:ascii="Times New Roman" w:hAnsi="Times New Roman" w:cs="Times New Roman"/>
        </w:rPr>
        <w:t xml:space="preserve">, se puede deducir el impacto global del </w:t>
      </w:r>
      <w:r w:rsidR="00E27ECD">
        <w:rPr>
          <w:rFonts w:ascii="Times New Roman" w:hAnsi="Times New Roman" w:cs="Times New Roman"/>
        </w:rPr>
        <w:lastRenderedPageBreak/>
        <w:t>consumo de los diferentes productos de la alimentación escolar sobre los resultados</w:t>
      </w:r>
      <w:r w:rsidR="00637B90">
        <w:rPr>
          <w:rFonts w:ascii="Times New Roman" w:hAnsi="Times New Roman" w:cs="Times New Roman"/>
        </w:rPr>
        <w:t>.</w:t>
      </w:r>
      <w:r w:rsidR="000377D8">
        <w:rPr>
          <w:rFonts w:ascii="Times New Roman" w:hAnsi="Times New Roman" w:cs="Times New Roman"/>
        </w:rPr>
        <w:t xml:space="preserve"> </w:t>
      </w:r>
      <w:r w:rsidR="00E27ECD" w:rsidRPr="00E27ECD">
        <w:rPr>
          <w:rFonts w:ascii="Times New Roman" w:hAnsi="Times New Roman" w:cs="Times New Roman"/>
        </w:rPr>
        <w:t>Así, e</w:t>
      </w:r>
      <w:r w:rsidR="00495FE6" w:rsidRPr="00E27ECD">
        <w:rPr>
          <w:rFonts w:ascii="Times New Roman" w:hAnsi="Times New Roman" w:cs="Times New Roman"/>
        </w:rPr>
        <w:t>n promedio, asumiendo que todos los niños de</w:t>
      </w:r>
      <w:r w:rsidR="00F203B7" w:rsidRPr="00E27ECD">
        <w:rPr>
          <w:rFonts w:ascii="Times New Roman" w:hAnsi="Times New Roman" w:cs="Times New Roman"/>
        </w:rPr>
        <w:t xml:space="preserve"> cuarto de </w:t>
      </w:r>
      <w:r w:rsidR="00495FE6" w:rsidRPr="00E27ECD">
        <w:rPr>
          <w:rFonts w:ascii="Times New Roman" w:hAnsi="Times New Roman" w:cs="Times New Roman"/>
        </w:rPr>
        <w:t xml:space="preserve">EGB del país consuman leche o derivados de 3 a 5 veces por semana (en lugar de 1 a 2 veces o nunca), </w:t>
      </w:r>
      <w:r w:rsidR="00E27ECD">
        <w:rPr>
          <w:rFonts w:ascii="Times New Roman" w:hAnsi="Times New Roman" w:cs="Times New Roman"/>
        </w:rPr>
        <w:t xml:space="preserve">ello </w:t>
      </w:r>
      <w:r w:rsidR="00495FE6" w:rsidRPr="00E27ECD">
        <w:rPr>
          <w:rFonts w:ascii="Times New Roman" w:hAnsi="Times New Roman" w:cs="Times New Roman"/>
        </w:rPr>
        <w:t>permitiría tener un puntaje mayor en las pruebas de</w:t>
      </w:r>
      <w:r w:rsidR="00F203B7" w:rsidRPr="00E27ECD">
        <w:rPr>
          <w:rFonts w:ascii="Times New Roman" w:hAnsi="Times New Roman" w:cs="Times New Roman"/>
        </w:rPr>
        <w:t xml:space="preserve"> </w:t>
      </w:r>
      <w:r w:rsidR="00495FE6" w:rsidRPr="00E27ECD">
        <w:rPr>
          <w:rFonts w:ascii="Times New Roman" w:hAnsi="Times New Roman" w:cs="Times New Roman"/>
        </w:rPr>
        <w:t>Ser Estudiante</w:t>
      </w:r>
      <w:r w:rsidR="00D60D07" w:rsidRPr="00E27ECD">
        <w:rPr>
          <w:rFonts w:ascii="Times New Roman" w:hAnsi="Times New Roman" w:cs="Times New Roman"/>
        </w:rPr>
        <w:t xml:space="preserve"> (que incluyen temas de </w:t>
      </w:r>
      <w:r w:rsidR="00D60D07" w:rsidRPr="00E27ECD">
        <w:rPr>
          <w:rFonts w:ascii="Times New Roman" w:hAnsi="Times New Roman" w:cs="Times New Roman"/>
          <w:color w:val="010101"/>
        </w:rPr>
        <w:t>Lengua y Literatura, Matemática, Ciencias Naturales y Estudios Sociales)</w:t>
      </w:r>
      <w:r w:rsidR="00495FE6" w:rsidRPr="00E27ECD">
        <w:rPr>
          <w:rFonts w:ascii="Times New Roman" w:hAnsi="Times New Roman" w:cs="Times New Roman"/>
        </w:rPr>
        <w:t xml:space="preserve"> en 7.4 puntos por </w:t>
      </w:r>
      <w:r w:rsidR="00F203B7" w:rsidRPr="00E27ECD">
        <w:rPr>
          <w:rFonts w:ascii="Times New Roman" w:hAnsi="Times New Roman" w:cs="Times New Roman"/>
        </w:rPr>
        <w:t>encima del promedio nacional ac</w:t>
      </w:r>
      <w:r w:rsidR="00495FE6" w:rsidRPr="00E27ECD">
        <w:rPr>
          <w:rFonts w:ascii="Times New Roman" w:hAnsi="Times New Roman" w:cs="Times New Roman"/>
        </w:rPr>
        <w:t>t</w:t>
      </w:r>
      <w:r w:rsidR="00F203B7" w:rsidRPr="00E27ECD">
        <w:rPr>
          <w:rFonts w:ascii="Times New Roman" w:hAnsi="Times New Roman" w:cs="Times New Roman"/>
        </w:rPr>
        <w:t>ual.</w:t>
      </w:r>
    </w:p>
    <w:p w14:paraId="76BBEB51" w14:textId="0C2F11B8" w:rsidR="00637B90" w:rsidRDefault="00637B90" w:rsidP="00FB684C">
      <w:pPr>
        <w:spacing w:after="120" w:line="276" w:lineRule="auto"/>
        <w:jc w:val="both"/>
        <w:rPr>
          <w:rFonts w:ascii="Times New Roman" w:hAnsi="Times New Roman" w:cs="Times New Roman"/>
        </w:rPr>
      </w:pPr>
      <w:r>
        <w:rPr>
          <w:rFonts w:ascii="Times New Roman" w:hAnsi="Times New Roman" w:cs="Times New Roman"/>
        </w:rPr>
        <w:t xml:space="preserve">Al realizar este ejercicio con los alimentos que pertenecen al </w:t>
      </w:r>
      <w:r w:rsidR="00DB4ADC">
        <w:rPr>
          <w:rFonts w:ascii="Times New Roman" w:hAnsi="Times New Roman" w:cs="Times New Roman"/>
        </w:rPr>
        <w:t>programa de alimentación escolar</w:t>
      </w:r>
      <w:r>
        <w:rPr>
          <w:rFonts w:ascii="Times New Roman" w:hAnsi="Times New Roman" w:cs="Times New Roman"/>
        </w:rPr>
        <w:t xml:space="preserve"> para los estudiantes de cuarto de EGB, séptimo de EGB, décimo de EGB y tercero de bachillerato</w:t>
      </w:r>
      <w:r w:rsidR="00550D15">
        <w:rPr>
          <w:rFonts w:ascii="Times New Roman" w:hAnsi="Times New Roman" w:cs="Times New Roman"/>
        </w:rPr>
        <w:t>, se obtiene un incremento promedio ponderado de 0.27 en la desviación estándar de los puntajes en las pruebas.</w:t>
      </w:r>
      <w:r w:rsidR="004D485B">
        <w:rPr>
          <w:rFonts w:ascii="Times New Roman" w:hAnsi="Times New Roman" w:cs="Times New Roman"/>
        </w:rPr>
        <w:t xml:space="preserve"> Sin embargo, ese resultado implicaría que el programa de alimentación escolar tenga cobertura </w:t>
      </w:r>
      <w:r w:rsidR="006D3FA3">
        <w:rPr>
          <w:rFonts w:ascii="Times New Roman" w:hAnsi="Times New Roman" w:cs="Times New Roman"/>
        </w:rPr>
        <w:t>universal.</w:t>
      </w:r>
      <w:r w:rsidR="00550D15">
        <w:rPr>
          <w:rFonts w:ascii="Times New Roman" w:hAnsi="Times New Roman" w:cs="Times New Roman"/>
        </w:rPr>
        <w:t xml:space="preserve"> Para tener un mejor estimado se realiza este ejercicio con los estudiantes que serán beneficiarios en 2016: 544,667 con desayuno en los centros educativos rurales y 1’382,337 con </w:t>
      </w:r>
      <w:r w:rsidR="00550D15" w:rsidRPr="00DB4ADC">
        <w:rPr>
          <w:rFonts w:ascii="Times New Roman" w:hAnsi="Times New Roman" w:cs="Times New Roman"/>
        </w:rPr>
        <w:t>refrigerio</w:t>
      </w:r>
      <w:r w:rsidR="00550D15">
        <w:rPr>
          <w:rFonts w:ascii="Times New Roman" w:hAnsi="Times New Roman" w:cs="Times New Roman"/>
        </w:rPr>
        <w:t xml:space="preserve"> en los centros educativos rurales. Con estos supuestos, el </w:t>
      </w:r>
      <w:r w:rsidR="004D485B">
        <w:rPr>
          <w:rFonts w:ascii="Times New Roman" w:hAnsi="Times New Roman" w:cs="Times New Roman"/>
        </w:rPr>
        <w:t>programa de alimentación</w:t>
      </w:r>
      <w:r w:rsidR="00550D15">
        <w:rPr>
          <w:rFonts w:ascii="Times New Roman" w:hAnsi="Times New Roman" w:cs="Times New Roman"/>
        </w:rPr>
        <w:t xml:space="preserve"> escolar permitiría </w:t>
      </w:r>
      <w:r w:rsidR="004D485B">
        <w:rPr>
          <w:rFonts w:ascii="Times New Roman" w:hAnsi="Times New Roman" w:cs="Times New Roman"/>
        </w:rPr>
        <w:t>lograr</w:t>
      </w:r>
      <w:r w:rsidR="00550D15">
        <w:rPr>
          <w:rFonts w:ascii="Times New Roman" w:hAnsi="Times New Roman" w:cs="Times New Roman"/>
        </w:rPr>
        <w:t xml:space="preserve"> una mejora en el puntaje global </w:t>
      </w:r>
      <w:r w:rsidR="006D3FA3">
        <w:rPr>
          <w:rFonts w:ascii="Times New Roman" w:hAnsi="Times New Roman" w:cs="Times New Roman"/>
        </w:rPr>
        <w:t xml:space="preserve">para el país </w:t>
      </w:r>
      <w:r w:rsidR="00550D15">
        <w:rPr>
          <w:rFonts w:ascii="Times New Roman" w:hAnsi="Times New Roman" w:cs="Times New Roman"/>
        </w:rPr>
        <w:t xml:space="preserve">de 0.114 desviación estándar.      </w:t>
      </w:r>
    </w:p>
    <w:p w14:paraId="73E4334E" w14:textId="1C3C7C39" w:rsidR="00550D15" w:rsidRPr="00550D15" w:rsidRDefault="0024363C" w:rsidP="00550D15">
      <w:pPr>
        <w:spacing w:after="0" w:line="276" w:lineRule="auto"/>
        <w:jc w:val="center"/>
        <w:rPr>
          <w:rFonts w:ascii="Times New Roman" w:hAnsi="Times New Roman" w:cs="Times New Roman"/>
          <w:b/>
        </w:rPr>
      </w:pPr>
      <w:r>
        <w:rPr>
          <w:rFonts w:ascii="Times New Roman" w:hAnsi="Times New Roman" w:cs="Times New Roman"/>
          <w:b/>
        </w:rPr>
        <w:t>Tabla 1</w:t>
      </w:r>
      <w:r w:rsidR="00800A2E">
        <w:rPr>
          <w:rFonts w:ascii="Times New Roman" w:hAnsi="Times New Roman" w:cs="Times New Roman"/>
          <w:b/>
        </w:rPr>
        <w:t>4</w:t>
      </w:r>
    </w:p>
    <w:p w14:paraId="191098B0" w14:textId="30A02E82" w:rsidR="00550D15" w:rsidRDefault="00550D15" w:rsidP="00550D15">
      <w:pPr>
        <w:spacing w:after="0" w:line="276" w:lineRule="auto"/>
        <w:jc w:val="center"/>
        <w:rPr>
          <w:rFonts w:ascii="Times New Roman" w:hAnsi="Times New Roman" w:cs="Times New Roman"/>
        </w:rPr>
      </w:pPr>
      <w:r w:rsidRPr="00550D15">
        <w:rPr>
          <w:rFonts w:ascii="Times New Roman" w:hAnsi="Times New Roman" w:cs="Times New Roman"/>
          <w:b/>
        </w:rPr>
        <w:t xml:space="preserve">Incremento en el puntaje global con </w:t>
      </w:r>
      <w:r w:rsidR="00D441E5" w:rsidRPr="00D441E5">
        <w:rPr>
          <w:rFonts w:ascii="Times New Roman" w:hAnsi="Times New Roman" w:cs="Times New Roman"/>
          <w:b/>
        </w:rPr>
        <w:t>alimentación</w:t>
      </w:r>
      <w:r w:rsidR="00D441E5">
        <w:rPr>
          <w:rFonts w:ascii="Times New Roman" w:hAnsi="Times New Roman" w:cs="Times New Roman"/>
          <w:b/>
        </w:rPr>
        <w:t xml:space="preserve"> escolar</w:t>
      </w:r>
    </w:p>
    <w:p w14:paraId="0E65EA14" w14:textId="54DDE88A" w:rsidR="00550D15" w:rsidRDefault="00046733" w:rsidP="00046733">
      <w:pPr>
        <w:spacing w:after="0" w:line="276" w:lineRule="auto"/>
        <w:jc w:val="center"/>
        <w:rPr>
          <w:rFonts w:ascii="Times New Roman" w:hAnsi="Times New Roman" w:cs="Times New Roman"/>
        </w:rPr>
      </w:pPr>
      <w:r w:rsidRPr="00046733">
        <w:rPr>
          <w:noProof/>
          <w:lang w:val="en-US"/>
        </w:rPr>
        <w:drawing>
          <wp:inline distT="0" distB="0" distL="0" distR="0" wp14:anchorId="4D382817" wp14:editId="20576F0B">
            <wp:extent cx="5612130" cy="1333461"/>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333461"/>
                    </a:xfrm>
                    <a:prstGeom prst="rect">
                      <a:avLst/>
                    </a:prstGeom>
                    <a:noFill/>
                    <a:ln>
                      <a:noFill/>
                    </a:ln>
                  </pic:spPr>
                </pic:pic>
              </a:graphicData>
            </a:graphic>
          </wp:inline>
        </w:drawing>
      </w:r>
    </w:p>
    <w:p w14:paraId="42EEE781" w14:textId="712F6DF9" w:rsidR="000431E8" w:rsidRPr="000431E8" w:rsidRDefault="000431E8" w:rsidP="00157B2D">
      <w:pPr>
        <w:tabs>
          <w:tab w:val="left" w:pos="3855"/>
        </w:tabs>
        <w:spacing w:after="120" w:line="276" w:lineRule="auto"/>
        <w:jc w:val="both"/>
        <w:rPr>
          <w:rFonts w:ascii="Times New Roman" w:hAnsi="Times New Roman" w:cs="Times New Roman"/>
          <w:sz w:val="20"/>
          <w:szCs w:val="20"/>
        </w:rPr>
      </w:pPr>
      <w:r w:rsidRPr="000431E8">
        <w:rPr>
          <w:rFonts w:ascii="Times New Roman" w:hAnsi="Times New Roman" w:cs="Times New Roman"/>
          <w:sz w:val="20"/>
          <w:szCs w:val="20"/>
        </w:rPr>
        <w:t>Fuente: base de datos SER Estudiante</w:t>
      </w:r>
      <w:r w:rsidR="00157B2D">
        <w:rPr>
          <w:rFonts w:ascii="Times New Roman" w:hAnsi="Times New Roman" w:cs="Times New Roman"/>
          <w:sz w:val="20"/>
          <w:szCs w:val="20"/>
        </w:rPr>
        <w:tab/>
      </w:r>
    </w:p>
    <w:p w14:paraId="5F4C2CCE" w14:textId="095B6BBC" w:rsidR="00BA56E1" w:rsidRPr="005F0F44" w:rsidRDefault="000431E8" w:rsidP="00FB684C">
      <w:pPr>
        <w:spacing w:after="120" w:line="276" w:lineRule="auto"/>
        <w:jc w:val="both"/>
        <w:rPr>
          <w:rFonts w:ascii="Times New Roman" w:hAnsi="Times New Roman" w:cs="Times New Roman"/>
        </w:rPr>
      </w:pPr>
      <w:r w:rsidRPr="005F0F44">
        <w:rPr>
          <w:rFonts w:ascii="Times New Roman" w:hAnsi="Times New Roman" w:cs="Times New Roman"/>
        </w:rPr>
        <w:t xml:space="preserve">Con las dos metodologías descritas, usando las bases de datos de TERCE y SER Estudiante de factores asociados, las magnitudes de mejora en los puntajes son </w:t>
      </w:r>
      <w:r w:rsidR="005F0F44">
        <w:rPr>
          <w:rFonts w:ascii="Times New Roman" w:hAnsi="Times New Roman" w:cs="Times New Roman"/>
        </w:rPr>
        <w:t>similares</w:t>
      </w:r>
      <w:r w:rsidRPr="005F0F44">
        <w:rPr>
          <w:rFonts w:ascii="Times New Roman" w:hAnsi="Times New Roman" w:cs="Times New Roman"/>
        </w:rPr>
        <w:t>.</w:t>
      </w:r>
      <w:r w:rsidR="008C0AAF" w:rsidRPr="005F0F44">
        <w:rPr>
          <w:rFonts w:ascii="Times New Roman" w:hAnsi="Times New Roman" w:cs="Times New Roman"/>
        </w:rPr>
        <w:t xml:space="preserve"> Sobre la base de estas estimaciones del impacto del programa de alimentación escolar sobre los resultados de aprendizaje, y tomando como referencia las estimaciones de Hanushek y Woessmann, se estima un impacto sobre el crecimiento de la economía</w:t>
      </w:r>
      <w:r w:rsidR="008550BE" w:rsidRPr="005F0F44">
        <w:rPr>
          <w:rFonts w:ascii="Times New Roman" w:hAnsi="Times New Roman" w:cs="Times New Roman"/>
        </w:rPr>
        <w:t>.</w:t>
      </w:r>
    </w:p>
    <w:p w14:paraId="3E930D82" w14:textId="67CD422E" w:rsidR="008C0AAF" w:rsidRPr="006254A9" w:rsidRDefault="008C0AAF" w:rsidP="00FB684C">
      <w:pPr>
        <w:spacing w:after="120" w:line="276" w:lineRule="auto"/>
        <w:jc w:val="both"/>
        <w:rPr>
          <w:rFonts w:ascii="Times New Roman" w:hAnsi="Times New Roman" w:cs="Times New Roman"/>
        </w:rPr>
      </w:pPr>
      <w:r w:rsidRPr="006254A9">
        <w:rPr>
          <w:rFonts w:ascii="Times New Roman" w:hAnsi="Times New Roman" w:cs="Times New Roman"/>
        </w:rPr>
        <w:t xml:space="preserve">Como se mencionó anteriormente, los resultados de Hanushek y Woessmann (2012) indican que una mejora equivalente a una desviación estándar en los resultados de las pruebas está asociada con un incremento entre 1.2-2 puntos porcentuales en el crecimiento anual del PIB per cápita. Adicionalmente, las estimaciones para diferentes especificaciones presentan evidencia de que las habilidades cognitivas tienen un mayor impacto en los países en vías de desarrollo. El efecto del resultado en las pruebas para </w:t>
      </w:r>
      <w:r w:rsidR="008550BE" w:rsidRPr="006254A9">
        <w:rPr>
          <w:rFonts w:ascii="Times New Roman" w:hAnsi="Times New Roman" w:cs="Times New Roman"/>
        </w:rPr>
        <w:t xml:space="preserve">todos los </w:t>
      </w:r>
      <w:r w:rsidRPr="006254A9">
        <w:rPr>
          <w:rFonts w:ascii="Times New Roman" w:hAnsi="Times New Roman" w:cs="Times New Roman"/>
        </w:rPr>
        <w:t>países</w:t>
      </w:r>
      <w:r w:rsidR="008550BE" w:rsidRPr="006254A9">
        <w:rPr>
          <w:rFonts w:ascii="Times New Roman" w:hAnsi="Times New Roman" w:cs="Times New Roman"/>
        </w:rPr>
        <w:t xml:space="preserve"> es 1.98, mientras que para los países que no pertenecen a la OECD es 2.056 y para los países de ingresos bajos es 2.286. </w:t>
      </w:r>
      <w:r w:rsidRPr="006254A9">
        <w:rPr>
          <w:rFonts w:ascii="Times New Roman" w:hAnsi="Times New Roman" w:cs="Times New Roman"/>
        </w:rPr>
        <w:t>Estas diferencias son estadísticamente significativas.</w:t>
      </w:r>
      <w:r w:rsidR="008550BE" w:rsidRPr="006254A9">
        <w:rPr>
          <w:rFonts w:ascii="Times New Roman" w:hAnsi="Times New Roman" w:cs="Times New Roman"/>
        </w:rPr>
        <w:t xml:space="preserve"> Estos 3 coeficientes permiten realizar los cálculos y al mismo tiempo, hacer un análisis de sensibilidad. </w:t>
      </w:r>
    </w:p>
    <w:p w14:paraId="1BEC31B5" w14:textId="57765BB7" w:rsidR="008550BE" w:rsidRPr="00256E5E" w:rsidRDefault="0024363C" w:rsidP="0056785D">
      <w:pPr>
        <w:keepNext/>
        <w:spacing w:after="0" w:line="276" w:lineRule="auto"/>
        <w:jc w:val="center"/>
        <w:rPr>
          <w:rFonts w:ascii="Times New Roman" w:hAnsi="Times New Roman" w:cs="Times New Roman"/>
          <w:b/>
        </w:rPr>
      </w:pPr>
      <w:r>
        <w:rPr>
          <w:rFonts w:ascii="Times New Roman" w:hAnsi="Times New Roman" w:cs="Times New Roman"/>
          <w:b/>
        </w:rPr>
        <w:lastRenderedPageBreak/>
        <w:t>Tabla 1</w:t>
      </w:r>
      <w:r w:rsidR="00DD0503">
        <w:rPr>
          <w:rFonts w:ascii="Times New Roman" w:hAnsi="Times New Roman" w:cs="Times New Roman"/>
          <w:b/>
        </w:rPr>
        <w:t>5</w:t>
      </w:r>
    </w:p>
    <w:p w14:paraId="3DACC709" w14:textId="36300D5F" w:rsidR="008550BE" w:rsidRPr="00256E5E" w:rsidRDefault="008550BE" w:rsidP="0056785D">
      <w:pPr>
        <w:keepNext/>
        <w:spacing w:after="0" w:line="276" w:lineRule="auto"/>
        <w:jc w:val="center"/>
        <w:rPr>
          <w:rFonts w:ascii="Times New Roman" w:hAnsi="Times New Roman" w:cs="Times New Roman"/>
        </w:rPr>
      </w:pPr>
      <w:r w:rsidRPr="00256E5E">
        <w:rPr>
          <w:rFonts w:ascii="Times New Roman" w:hAnsi="Times New Roman" w:cs="Times New Roman"/>
          <w:b/>
        </w:rPr>
        <w:t>Supuestos para la estimación del impacto sobre el crecimiento de la economía ecuatoriana del programa de alimentación escolar</w:t>
      </w:r>
    </w:p>
    <w:p w14:paraId="296753BF" w14:textId="798FEC1D" w:rsidR="008550BE" w:rsidRPr="00256E5E" w:rsidRDefault="00CC457D" w:rsidP="008550BE">
      <w:pPr>
        <w:spacing w:after="0" w:line="276" w:lineRule="auto"/>
        <w:jc w:val="center"/>
        <w:rPr>
          <w:rFonts w:ascii="Times New Roman" w:hAnsi="Times New Roman" w:cs="Times New Roman"/>
        </w:rPr>
      </w:pPr>
      <w:r w:rsidRPr="00CC457D">
        <w:rPr>
          <w:noProof/>
          <w:lang w:val="en-US"/>
        </w:rPr>
        <w:drawing>
          <wp:inline distT="0" distB="0" distL="0" distR="0" wp14:anchorId="1B9F8BD3" wp14:editId="0DA12187">
            <wp:extent cx="4143375" cy="2867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43375" cy="2867025"/>
                    </a:xfrm>
                    <a:prstGeom prst="rect">
                      <a:avLst/>
                    </a:prstGeom>
                    <a:noFill/>
                    <a:ln>
                      <a:noFill/>
                    </a:ln>
                  </pic:spPr>
                </pic:pic>
              </a:graphicData>
            </a:graphic>
          </wp:inline>
        </w:drawing>
      </w:r>
    </w:p>
    <w:p w14:paraId="6C7DD69E" w14:textId="0A1CA3FC" w:rsidR="008550BE" w:rsidRPr="0024363C" w:rsidRDefault="008550BE" w:rsidP="008550BE">
      <w:pPr>
        <w:spacing w:after="120" w:line="276" w:lineRule="auto"/>
        <w:ind w:left="708"/>
        <w:rPr>
          <w:rFonts w:ascii="Times New Roman" w:hAnsi="Times New Roman" w:cs="Times New Roman"/>
          <w:sz w:val="20"/>
          <w:szCs w:val="20"/>
        </w:rPr>
      </w:pPr>
      <w:r w:rsidRPr="0024363C">
        <w:rPr>
          <w:rFonts w:ascii="Times New Roman" w:hAnsi="Times New Roman" w:cs="Times New Roman"/>
          <w:sz w:val="20"/>
          <w:szCs w:val="20"/>
        </w:rPr>
        <w:t xml:space="preserve">          Fuentes: BCE, MINEDUC, Hanushek </w:t>
      </w:r>
    </w:p>
    <w:p w14:paraId="52C51E95" w14:textId="3BBF62CB" w:rsidR="008550BE" w:rsidRPr="00256E5E" w:rsidRDefault="008550BE" w:rsidP="00FB684C">
      <w:pPr>
        <w:spacing w:after="120" w:line="276" w:lineRule="auto"/>
        <w:jc w:val="both"/>
        <w:rPr>
          <w:rFonts w:ascii="Times New Roman" w:hAnsi="Times New Roman" w:cs="Times New Roman"/>
        </w:rPr>
      </w:pPr>
      <w:r w:rsidRPr="00256E5E">
        <w:rPr>
          <w:rFonts w:ascii="Times New Roman" w:hAnsi="Times New Roman" w:cs="Times New Roman"/>
        </w:rPr>
        <w:t xml:space="preserve">Para realizar el cálculo del impacto sobre el crecimiento de la economía ecuatoriana, se supone que los beneficiarios del programa de alimentación escolar representan </w:t>
      </w:r>
      <w:r w:rsidR="00CC457D">
        <w:rPr>
          <w:rFonts w:ascii="Times New Roman" w:hAnsi="Times New Roman" w:cs="Times New Roman"/>
        </w:rPr>
        <w:t>30.7</w:t>
      </w:r>
      <w:r w:rsidRPr="00256E5E">
        <w:rPr>
          <w:rFonts w:ascii="Times New Roman" w:hAnsi="Times New Roman" w:cs="Times New Roman"/>
        </w:rPr>
        <w:t>% del total de estudiantes a nivel nacional de EGB y Bachillerato</w:t>
      </w:r>
      <w:r w:rsidR="004F7097">
        <w:rPr>
          <w:rFonts w:ascii="Times New Roman" w:hAnsi="Times New Roman" w:cs="Times New Roman"/>
        </w:rPr>
        <w:t xml:space="preserve"> en 2016 y 14.3% en 2017</w:t>
      </w:r>
      <w:r w:rsidR="00A63290">
        <w:rPr>
          <w:rFonts w:ascii="Times New Roman" w:hAnsi="Times New Roman" w:cs="Times New Roman"/>
        </w:rPr>
        <w:t xml:space="preserve"> (en concordancia con las proyecciones del programa)</w:t>
      </w:r>
      <w:r w:rsidRPr="00256E5E">
        <w:rPr>
          <w:rFonts w:ascii="Times New Roman" w:hAnsi="Times New Roman" w:cs="Times New Roman"/>
        </w:rPr>
        <w:t xml:space="preserve">. Además, se cuenta con los datos de PIB en 2014, US$100,917 millones, de población nacional, 16.03 millones y por lo tanto el estimado del PIB per cápita es US$6,297. </w:t>
      </w:r>
    </w:p>
    <w:p w14:paraId="58CAD48C" w14:textId="5A744205" w:rsidR="002D6803" w:rsidRDefault="008550BE" w:rsidP="00DD0503">
      <w:pPr>
        <w:spacing w:after="120" w:line="276" w:lineRule="auto"/>
        <w:jc w:val="both"/>
        <w:rPr>
          <w:rFonts w:ascii="Times New Roman" w:hAnsi="Times New Roman" w:cs="Times New Roman"/>
        </w:rPr>
      </w:pPr>
      <w:r w:rsidRPr="00DE3690">
        <w:rPr>
          <w:rFonts w:ascii="Times New Roman" w:hAnsi="Times New Roman" w:cs="Times New Roman"/>
        </w:rPr>
        <w:t>Al usar el estimado de mejora en los puntajes</w:t>
      </w:r>
      <w:r w:rsidR="008D67FD" w:rsidRPr="00DE3690">
        <w:rPr>
          <w:rFonts w:ascii="Times New Roman" w:hAnsi="Times New Roman" w:cs="Times New Roman"/>
        </w:rPr>
        <w:t xml:space="preserve"> para los estudiantes de EGB</w:t>
      </w:r>
      <w:r w:rsidRPr="00DE3690">
        <w:rPr>
          <w:rFonts w:ascii="Times New Roman" w:hAnsi="Times New Roman" w:cs="Times New Roman"/>
        </w:rPr>
        <w:t>, según la base de datos TERCE,</w:t>
      </w:r>
      <w:r w:rsidR="008D67FD" w:rsidRPr="00DE3690">
        <w:rPr>
          <w:rFonts w:ascii="Times New Roman" w:hAnsi="Times New Roman" w:cs="Times New Roman"/>
        </w:rPr>
        <w:t xml:space="preserve"> el impacto del programa de </w:t>
      </w:r>
      <w:r w:rsidR="008359DA">
        <w:rPr>
          <w:rFonts w:ascii="Times New Roman" w:hAnsi="Times New Roman" w:cs="Times New Roman"/>
        </w:rPr>
        <w:t xml:space="preserve">alimentación </w:t>
      </w:r>
      <w:r w:rsidR="008D67FD" w:rsidRPr="00DE3690">
        <w:rPr>
          <w:rFonts w:ascii="Times New Roman" w:hAnsi="Times New Roman" w:cs="Times New Roman"/>
        </w:rPr>
        <w:t>escolar en la economía nacional estaría entre US$</w:t>
      </w:r>
      <w:r w:rsidR="00CC457D">
        <w:rPr>
          <w:rFonts w:ascii="Times New Roman" w:hAnsi="Times New Roman" w:cs="Times New Roman"/>
        </w:rPr>
        <w:t>63</w:t>
      </w:r>
      <w:r w:rsidR="008D67FD" w:rsidRPr="00DE3690">
        <w:rPr>
          <w:rFonts w:ascii="Times New Roman" w:hAnsi="Times New Roman" w:cs="Times New Roman"/>
        </w:rPr>
        <w:t xml:space="preserve"> millones, usando el coeficiente de Hanushek para todos los países, y US$</w:t>
      </w:r>
      <w:r w:rsidR="00CC457D">
        <w:rPr>
          <w:rFonts w:ascii="Times New Roman" w:hAnsi="Times New Roman" w:cs="Times New Roman"/>
        </w:rPr>
        <w:t>73</w:t>
      </w:r>
      <w:r w:rsidR="008D67FD" w:rsidRPr="00DE3690">
        <w:rPr>
          <w:rFonts w:ascii="Times New Roman" w:hAnsi="Times New Roman" w:cs="Times New Roman"/>
        </w:rPr>
        <w:t xml:space="preserve"> millones, usando el coeficiente para países de ingresos bajos. Por su parte, al usar el estimado de mejora en los puntajes para los estudiantes de EGB, según la base de datos de SER Estudiante, el impacto del programa en la economía nacional estaría entre US$</w:t>
      </w:r>
      <w:r w:rsidR="00CC457D">
        <w:rPr>
          <w:rFonts w:ascii="Times New Roman" w:hAnsi="Times New Roman" w:cs="Times New Roman"/>
        </w:rPr>
        <w:t>71</w:t>
      </w:r>
      <w:r w:rsidR="008D67FD" w:rsidRPr="00DE3690">
        <w:rPr>
          <w:rFonts w:ascii="Times New Roman" w:hAnsi="Times New Roman" w:cs="Times New Roman"/>
        </w:rPr>
        <w:t xml:space="preserve"> millones y US$</w:t>
      </w:r>
      <w:r w:rsidR="00CC457D">
        <w:rPr>
          <w:rFonts w:ascii="Times New Roman" w:hAnsi="Times New Roman" w:cs="Times New Roman"/>
        </w:rPr>
        <w:t>82</w:t>
      </w:r>
      <w:r w:rsidR="008D67FD" w:rsidRPr="00DE3690">
        <w:rPr>
          <w:rFonts w:ascii="Times New Roman" w:hAnsi="Times New Roman" w:cs="Times New Roman"/>
        </w:rPr>
        <w:t xml:space="preserve"> millones.</w:t>
      </w:r>
      <w:r w:rsidR="00DD0503">
        <w:rPr>
          <w:rFonts w:ascii="Times New Roman" w:hAnsi="Times New Roman" w:cs="Times New Roman"/>
        </w:rPr>
        <w:t xml:space="preserve"> </w:t>
      </w:r>
    </w:p>
    <w:p w14:paraId="546B1A40" w14:textId="72A9607B" w:rsidR="00DD0503" w:rsidRPr="00850661" w:rsidRDefault="00DD0503" w:rsidP="00DD0503">
      <w:pPr>
        <w:spacing w:after="120" w:line="276" w:lineRule="auto"/>
        <w:jc w:val="both"/>
        <w:rPr>
          <w:rFonts w:ascii="Times New Roman" w:hAnsi="Times New Roman" w:cs="Times New Roman"/>
        </w:rPr>
      </w:pPr>
      <w:r w:rsidRPr="00DD0503">
        <w:rPr>
          <w:rFonts w:ascii="Times New Roman" w:hAnsi="Times New Roman" w:cs="Times New Roman"/>
        </w:rPr>
        <w:t xml:space="preserve">Sin embargo, usando la base de datos de SER Estudiante no se puede </w:t>
      </w:r>
      <w:r w:rsidR="002D6803">
        <w:rPr>
          <w:rFonts w:ascii="Times New Roman" w:hAnsi="Times New Roman" w:cs="Times New Roman"/>
        </w:rPr>
        <w:t>diferenciar</w:t>
      </w:r>
      <w:r w:rsidRPr="00DD0503">
        <w:rPr>
          <w:rFonts w:ascii="Times New Roman" w:hAnsi="Times New Roman" w:cs="Times New Roman"/>
        </w:rPr>
        <w:t xml:space="preserve"> si el consumo de alimentos está correlacionado con el nivel socioeconómico del hogar, por lo que se podría estar sobreestimando el impacto</w:t>
      </w:r>
      <w:r w:rsidR="002D6803">
        <w:rPr>
          <w:rFonts w:ascii="Times New Roman" w:hAnsi="Times New Roman" w:cs="Times New Roman"/>
        </w:rPr>
        <w:t xml:space="preserve"> ya que el beneficio de alimentación escolar no afectaría otros aspectos ligados al nivel socioeconómico del hogar</w:t>
      </w:r>
      <w:r w:rsidRPr="00DD0503">
        <w:rPr>
          <w:rFonts w:ascii="Times New Roman" w:hAnsi="Times New Roman" w:cs="Times New Roman"/>
        </w:rPr>
        <w:t>. Por esta razón, en el cálculo del escenario base se utilizan los resultados según la base de datos TERCE. Este escenario es más conversador y no tiene el problema que la base de datos SER Estudiante</w:t>
      </w:r>
      <w:r w:rsidR="002D6803">
        <w:rPr>
          <w:rFonts w:ascii="Times New Roman" w:hAnsi="Times New Roman" w:cs="Times New Roman"/>
        </w:rPr>
        <w:t>,</w:t>
      </w:r>
      <w:r w:rsidRPr="00DD0503">
        <w:rPr>
          <w:rFonts w:ascii="Times New Roman" w:hAnsi="Times New Roman" w:cs="Times New Roman"/>
        </w:rPr>
        <w:t xml:space="preserve"> pues estos datos sí permiten identificar el nivel socio económico de los establecimientos educativos</w:t>
      </w:r>
      <w:r w:rsidR="002D6803">
        <w:rPr>
          <w:rFonts w:ascii="Times New Roman" w:hAnsi="Times New Roman" w:cs="Times New Roman"/>
        </w:rPr>
        <w:t xml:space="preserve"> y realizar las comparaciones para establecimientos relativamente similares</w:t>
      </w:r>
      <w:r w:rsidRPr="00850661">
        <w:rPr>
          <w:rFonts w:ascii="Times New Roman" w:hAnsi="Times New Roman" w:cs="Times New Roman"/>
        </w:rPr>
        <w:t xml:space="preserve">. </w:t>
      </w:r>
    </w:p>
    <w:p w14:paraId="6FD41FDE" w14:textId="0EC8236F" w:rsidR="008550BE" w:rsidRPr="00DE3690" w:rsidRDefault="008E6217" w:rsidP="00FB684C">
      <w:pPr>
        <w:spacing w:after="120" w:line="276" w:lineRule="auto"/>
        <w:jc w:val="both"/>
        <w:rPr>
          <w:rFonts w:ascii="Times New Roman" w:hAnsi="Times New Roman" w:cs="Times New Roman"/>
        </w:rPr>
      </w:pPr>
      <w:r w:rsidRPr="001528D7">
        <w:rPr>
          <w:rFonts w:ascii="Times New Roman" w:hAnsi="Times New Roman" w:cs="Times New Roman"/>
        </w:rPr>
        <w:t>Para el cálcu</w:t>
      </w:r>
      <w:r w:rsidR="003664CE" w:rsidRPr="001528D7">
        <w:rPr>
          <w:rFonts w:ascii="Times New Roman" w:hAnsi="Times New Roman" w:cs="Times New Roman"/>
        </w:rPr>
        <w:t>lo del escenario base, se toma</w:t>
      </w:r>
      <w:r w:rsidRPr="001528D7">
        <w:rPr>
          <w:rFonts w:ascii="Times New Roman" w:hAnsi="Times New Roman" w:cs="Times New Roman"/>
        </w:rPr>
        <w:t>n los resultados según la base de datos TERCE y el coeficiente de Hanushek para los países</w:t>
      </w:r>
      <w:r w:rsidR="00186503">
        <w:rPr>
          <w:rFonts w:ascii="Times New Roman" w:hAnsi="Times New Roman" w:cs="Times New Roman"/>
        </w:rPr>
        <w:t xml:space="preserve"> de ingresos bajos</w:t>
      </w:r>
      <w:r w:rsidRPr="001528D7">
        <w:rPr>
          <w:rFonts w:ascii="Times New Roman" w:hAnsi="Times New Roman" w:cs="Times New Roman"/>
        </w:rPr>
        <w:t>. Con estos supuestos, el impacto del programa en la economía nacional sería de US$</w:t>
      </w:r>
      <w:r w:rsidR="00CC457D">
        <w:rPr>
          <w:rFonts w:ascii="Times New Roman" w:hAnsi="Times New Roman" w:cs="Times New Roman"/>
        </w:rPr>
        <w:t>73</w:t>
      </w:r>
      <w:r w:rsidRPr="001528D7">
        <w:rPr>
          <w:rFonts w:ascii="Times New Roman" w:hAnsi="Times New Roman" w:cs="Times New Roman"/>
        </w:rPr>
        <w:t xml:space="preserve"> millones.</w:t>
      </w:r>
      <w:r>
        <w:rPr>
          <w:rFonts w:ascii="Times New Roman" w:hAnsi="Times New Roman" w:cs="Times New Roman"/>
        </w:rPr>
        <w:t xml:space="preserve"> </w:t>
      </w:r>
      <w:r w:rsidR="008D67FD" w:rsidRPr="00DE3690">
        <w:rPr>
          <w:rFonts w:ascii="Times New Roman" w:hAnsi="Times New Roman" w:cs="Times New Roman"/>
        </w:rPr>
        <w:t xml:space="preserve"> </w:t>
      </w:r>
    </w:p>
    <w:p w14:paraId="40DF5B98" w14:textId="5BED12C2" w:rsidR="008D67FD" w:rsidRPr="00DE3690" w:rsidRDefault="00DE3690" w:rsidP="00FB684C">
      <w:pPr>
        <w:spacing w:after="120" w:line="276" w:lineRule="auto"/>
        <w:jc w:val="both"/>
        <w:rPr>
          <w:rFonts w:ascii="Times New Roman" w:hAnsi="Times New Roman" w:cs="Times New Roman"/>
        </w:rPr>
      </w:pPr>
      <w:r>
        <w:rPr>
          <w:rFonts w:ascii="Times New Roman" w:hAnsi="Times New Roman" w:cs="Times New Roman"/>
        </w:rPr>
        <w:lastRenderedPageBreak/>
        <w:t xml:space="preserve">Adicionalmente, </w:t>
      </w:r>
      <w:r w:rsidR="00533840">
        <w:rPr>
          <w:rFonts w:ascii="Times New Roman" w:hAnsi="Times New Roman" w:cs="Times New Roman"/>
        </w:rPr>
        <w:t>la alimentación</w:t>
      </w:r>
      <w:r w:rsidR="008D67FD" w:rsidRPr="00DE3690">
        <w:rPr>
          <w:rFonts w:ascii="Times New Roman" w:hAnsi="Times New Roman" w:cs="Times New Roman"/>
        </w:rPr>
        <w:t xml:space="preserve"> escolar está dirigid</w:t>
      </w:r>
      <w:r w:rsidR="00533840">
        <w:rPr>
          <w:rFonts w:ascii="Times New Roman" w:hAnsi="Times New Roman" w:cs="Times New Roman"/>
        </w:rPr>
        <w:t>a</w:t>
      </w:r>
      <w:r w:rsidR="008D67FD" w:rsidRPr="00DE3690">
        <w:rPr>
          <w:rFonts w:ascii="Times New Roman" w:hAnsi="Times New Roman" w:cs="Times New Roman"/>
        </w:rPr>
        <w:t xml:space="preserve"> a estudiantes no solo de EGB sino también de educación inicial. Como ya se mencionó, la literatura sugiere que los programas a nivel de educación inicial generalmente tienen mayores retornos que aquellos a nivel de EGB. Sin embargo, para este segmento, no se dispone de evaluaciones de aprendizaje similares a las que existen para la EGB, por lo que</w:t>
      </w:r>
      <w:r w:rsidR="00F70DE7">
        <w:rPr>
          <w:rFonts w:ascii="Times New Roman" w:hAnsi="Times New Roman" w:cs="Times New Roman"/>
        </w:rPr>
        <w:t>,</w:t>
      </w:r>
      <w:r w:rsidR="008D67FD" w:rsidRPr="00DE3690">
        <w:rPr>
          <w:rFonts w:ascii="Times New Roman" w:hAnsi="Times New Roman" w:cs="Times New Roman"/>
        </w:rPr>
        <w:t xml:space="preserve"> a falta de mayor información, se asumirá que este subcomponente tiene al menos los mismos beneficios que en EGB, de forma proporcional a la inversión realizada.</w:t>
      </w:r>
      <w:r w:rsidR="00D237D1" w:rsidRPr="00DE3690">
        <w:rPr>
          <w:rFonts w:ascii="Times New Roman" w:hAnsi="Times New Roman" w:cs="Times New Roman"/>
        </w:rPr>
        <w:t xml:space="preserve"> Entonces, usando nuevamente los coeficientes de Hanushek, se puede estimar el impacto en la economía ecuatoriana de</w:t>
      </w:r>
      <w:r w:rsidR="008359DA">
        <w:rPr>
          <w:rFonts w:ascii="Times New Roman" w:hAnsi="Times New Roman" w:cs="Times New Roman"/>
        </w:rPr>
        <w:t xml:space="preserve"> </w:t>
      </w:r>
      <w:r w:rsidR="00D237D1" w:rsidRPr="00DE3690">
        <w:rPr>
          <w:rFonts w:ascii="Times New Roman" w:hAnsi="Times New Roman" w:cs="Times New Roman"/>
        </w:rPr>
        <w:t>l</w:t>
      </w:r>
      <w:r w:rsidR="008359DA">
        <w:rPr>
          <w:rFonts w:ascii="Times New Roman" w:hAnsi="Times New Roman" w:cs="Times New Roman"/>
        </w:rPr>
        <w:t>a</w:t>
      </w:r>
      <w:r w:rsidR="00D237D1" w:rsidRPr="00DE3690">
        <w:rPr>
          <w:rFonts w:ascii="Times New Roman" w:hAnsi="Times New Roman" w:cs="Times New Roman"/>
        </w:rPr>
        <w:t xml:space="preserve"> </w:t>
      </w:r>
      <w:r w:rsidR="008359DA">
        <w:rPr>
          <w:rFonts w:ascii="Times New Roman" w:hAnsi="Times New Roman" w:cs="Times New Roman"/>
        </w:rPr>
        <w:t xml:space="preserve">alimentación </w:t>
      </w:r>
      <w:r w:rsidR="00D237D1" w:rsidRPr="00DE3690">
        <w:rPr>
          <w:rFonts w:ascii="Times New Roman" w:hAnsi="Times New Roman" w:cs="Times New Roman"/>
        </w:rPr>
        <w:t>escolar en educación inicial, que estaría entre US$</w:t>
      </w:r>
      <w:r w:rsidR="00CF582F">
        <w:rPr>
          <w:rFonts w:ascii="Times New Roman" w:hAnsi="Times New Roman" w:cs="Times New Roman"/>
        </w:rPr>
        <w:t>11</w:t>
      </w:r>
      <w:r w:rsidR="00D237D1" w:rsidRPr="00DE3690">
        <w:rPr>
          <w:rFonts w:ascii="Times New Roman" w:hAnsi="Times New Roman" w:cs="Times New Roman"/>
        </w:rPr>
        <w:t xml:space="preserve"> millones y US$</w:t>
      </w:r>
      <w:r w:rsidR="00186503">
        <w:rPr>
          <w:rFonts w:ascii="Times New Roman" w:hAnsi="Times New Roman" w:cs="Times New Roman"/>
        </w:rPr>
        <w:t>1</w:t>
      </w:r>
      <w:r w:rsidR="00CF582F">
        <w:rPr>
          <w:rFonts w:ascii="Times New Roman" w:hAnsi="Times New Roman" w:cs="Times New Roman"/>
        </w:rPr>
        <w:t>3</w:t>
      </w:r>
      <w:r w:rsidR="00D237D1" w:rsidRPr="00DE3690">
        <w:rPr>
          <w:rFonts w:ascii="Times New Roman" w:hAnsi="Times New Roman" w:cs="Times New Roman"/>
        </w:rPr>
        <w:t xml:space="preserve"> millones, </w:t>
      </w:r>
      <w:r w:rsidR="00850661">
        <w:rPr>
          <w:rFonts w:ascii="Times New Roman" w:hAnsi="Times New Roman" w:cs="Times New Roman"/>
        </w:rPr>
        <w:t xml:space="preserve">según </w:t>
      </w:r>
      <w:r w:rsidR="00D237D1" w:rsidRPr="00DE3690">
        <w:rPr>
          <w:rFonts w:ascii="Times New Roman" w:hAnsi="Times New Roman" w:cs="Times New Roman"/>
        </w:rPr>
        <w:t>la base de datos</w:t>
      </w:r>
      <w:r w:rsidR="00850661">
        <w:rPr>
          <w:rFonts w:ascii="Times New Roman" w:hAnsi="Times New Roman" w:cs="Times New Roman"/>
        </w:rPr>
        <w:t xml:space="preserve"> TERCE</w:t>
      </w:r>
      <w:r w:rsidR="00D237D1" w:rsidRPr="00DE3690">
        <w:rPr>
          <w:rFonts w:ascii="Times New Roman" w:hAnsi="Times New Roman" w:cs="Times New Roman"/>
        </w:rPr>
        <w:t>.</w:t>
      </w:r>
      <w:r w:rsidR="008E6217">
        <w:rPr>
          <w:rFonts w:ascii="Times New Roman" w:hAnsi="Times New Roman" w:cs="Times New Roman"/>
        </w:rPr>
        <w:t xml:space="preserve"> </w:t>
      </w:r>
      <w:r w:rsidR="008E6217" w:rsidRPr="004B4AC3">
        <w:rPr>
          <w:rFonts w:ascii="Times New Roman" w:hAnsi="Times New Roman" w:cs="Times New Roman"/>
        </w:rPr>
        <w:t>En el escenario base, el impacto de</w:t>
      </w:r>
      <w:r w:rsidR="0032414E">
        <w:rPr>
          <w:rFonts w:ascii="Times New Roman" w:hAnsi="Times New Roman" w:cs="Times New Roman"/>
        </w:rPr>
        <w:t xml:space="preserve"> </w:t>
      </w:r>
      <w:r w:rsidR="008E6217" w:rsidRPr="004B4AC3">
        <w:rPr>
          <w:rFonts w:ascii="Times New Roman" w:hAnsi="Times New Roman" w:cs="Times New Roman"/>
        </w:rPr>
        <w:t>l</w:t>
      </w:r>
      <w:r w:rsidR="0032414E">
        <w:rPr>
          <w:rFonts w:ascii="Times New Roman" w:hAnsi="Times New Roman" w:cs="Times New Roman"/>
        </w:rPr>
        <w:t>a</w:t>
      </w:r>
      <w:r w:rsidR="008E6217" w:rsidRPr="004B4AC3">
        <w:rPr>
          <w:rFonts w:ascii="Times New Roman" w:hAnsi="Times New Roman" w:cs="Times New Roman"/>
        </w:rPr>
        <w:t xml:space="preserve"> </w:t>
      </w:r>
      <w:r w:rsidR="0032414E">
        <w:rPr>
          <w:rFonts w:ascii="Times New Roman" w:hAnsi="Times New Roman" w:cs="Times New Roman"/>
        </w:rPr>
        <w:t>alimentación</w:t>
      </w:r>
      <w:r w:rsidR="008E6217" w:rsidRPr="004B4AC3">
        <w:rPr>
          <w:rFonts w:ascii="Times New Roman" w:hAnsi="Times New Roman" w:cs="Times New Roman"/>
        </w:rPr>
        <w:t xml:space="preserve"> escolar en educación inicial sobre la economía sería de US$1</w:t>
      </w:r>
      <w:r w:rsidR="00CF582F">
        <w:rPr>
          <w:rFonts w:ascii="Times New Roman" w:hAnsi="Times New Roman" w:cs="Times New Roman"/>
        </w:rPr>
        <w:t>3</w:t>
      </w:r>
      <w:r w:rsidR="008E6217" w:rsidRPr="004B4AC3">
        <w:rPr>
          <w:rFonts w:ascii="Times New Roman" w:hAnsi="Times New Roman" w:cs="Times New Roman"/>
        </w:rPr>
        <w:t xml:space="preserve"> millones.</w:t>
      </w:r>
      <w:r w:rsidR="008E6217">
        <w:rPr>
          <w:rFonts w:ascii="Times New Roman" w:hAnsi="Times New Roman" w:cs="Times New Roman"/>
        </w:rPr>
        <w:t xml:space="preserve"> </w:t>
      </w:r>
    </w:p>
    <w:p w14:paraId="71796A01" w14:textId="2E7B6D3B" w:rsidR="00D237D1" w:rsidRPr="00222C0B" w:rsidRDefault="00D237D1" w:rsidP="00FB684C">
      <w:pPr>
        <w:spacing w:after="120" w:line="276" w:lineRule="auto"/>
        <w:jc w:val="both"/>
        <w:rPr>
          <w:rFonts w:ascii="Times New Roman" w:hAnsi="Times New Roman" w:cs="Times New Roman"/>
        </w:rPr>
      </w:pPr>
      <w:r w:rsidRPr="00222C0B">
        <w:rPr>
          <w:rFonts w:ascii="Times New Roman" w:hAnsi="Times New Roman" w:cs="Times New Roman"/>
        </w:rPr>
        <w:t>Finalmente, el programa de alimentación escolar implica la adquisición de insumos alimenticios, con un énfasis reciente en el incentivo a la producción local y a micro y pequeños productores. A raíz de este cambio, se puede estimar en este ámbito el impacto de estas políticas de adquisiciones en el crecimiento económico a mediano plazo, utilizando la matriz insumo</w:t>
      </w:r>
      <w:r w:rsidR="00F70DE7">
        <w:rPr>
          <w:rFonts w:ascii="Times New Roman" w:hAnsi="Times New Roman" w:cs="Times New Roman"/>
        </w:rPr>
        <w:t>-</w:t>
      </w:r>
      <w:r w:rsidRPr="00222C0B">
        <w:rPr>
          <w:rFonts w:ascii="Times New Roman" w:hAnsi="Times New Roman" w:cs="Times New Roman"/>
        </w:rPr>
        <w:t>producto de la economía ecuatoriana.</w:t>
      </w:r>
    </w:p>
    <w:p w14:paraId="71255F8F" w14:textId="501A34D8" w:rsidR="00313CF3" w:rsidRDefault="00D237D1" w:rsidP="00D237D1">
      <w:pPr>
        <w:spacing w:after="120" w:line="276" w:lineRule="auto"/>
        <w:jc w:val="both"/>
        <w:rPr>
          <w:rFonts w:ascii="Times New Roman" w:hAnsi="Times New Roman" w:cs="Times New Roman"/>
          <w:lang w:val="es-ES"/>
        </w:rPr>
      </w:pPr>
      <w:r w:rsidRPr="00EA0A20">
        <w:rPr>
          <w:rFonts w:ascii="Times New Roman" w:hAnsi="Times New Roman" w:cs="Times New Roman"/>
          <w:lang w:val="es-ES"/>
        </w:rPr>
        <w:t>Se supone que cuando aumenta la demanda de un producto, en este caso alimenticio, se generan incrementos en sus necesidades de insumos para satisfacer la producción adicional requerida que permite atender el cambio inicial de la demanda. Estos cambios se conocen como efectos directos.</w:t>
      </w:r>
    </w:p>
    <w:p w14:paraId="6D691F4C" w14:textId="25261FA0" w:rsidR="00C77360" w:rsidRDefault="00850661" w:rsidP="00D237D1">
      <w:pPr>
        <w:spacing w:after="120" w:line="276" w:lineRule="auto"/>
        <w:jc w:val="both"/>
        <w:rPr>
          <w:rFonts w:ascii="Times New Roman" w:hAnsi="Times New Roman" w:cs="Times New Roman"/>
          <w:lang w:val="es-ES"/>
        </w:rPr>
      </w:pPr>
      <w:r>
        <w:rPr>
          <w:rFonts w:ascii="Times New Roman" w:hAnsi="Times New Roman" w:cs="Times New Roman"/>
          <w:lang w:val="es-ES"/>
        </w:rPr>
        <w:t xml:space="preserve">Sin embargo, </w:t>
      </w:r>
      <w:r w:rsidR="00134788">
        <w:rPr>
          <w:rFonts w:ascii="Times New Roman" w:hAnsi="Times New Roman" w:cs="Times New Roman"/>
          <w:lang w:val="es-ES"/>
        </w:rPr>
        <w:t>hay</w:t>
      </w:r>
      <w:r w:rsidR="0061012B">
        <w:rPr>
          <w:rFonts w:ascii="Times New Roman" w:hAnsi="Times New Roman" w:cs="Times New Roman"/>
          <w:lang w:val="es-ES"/>
        </w:rPr>
        <w:t xml:space="preserve"> que</w:t>
      </w:r>
      <w:r w:rsidR="00134788">
        <w:rPr>
          <w:rFonts w:ascii="Times New Roman" w:hAnsi="Times New Roman" w:cs="Times New Roman"/>
          <w:lang w:val="es-ES"/>
        </w:rPr>
        <w:t xml:space="preserve"> </w:t>
      </w:r>
      <w:r w:rsidR="00313CF3">
        <w:rPr>
          <w:rFonts w:ascii="Times New Roman" w:hAnsi="Times New Roman" w:cs="Times New Roman"/>
          <w:lang w:val="es-ES"/>
        </w:rPr>
        <w:t>tomar</w:t>
      </w:r>
      <w:r>
        <w:rPr>
          <w:rFonts w:ascii="Times New Roman" w:hAnsi="Times New Roman" w:cs="Times New Roman"/>
          <w:lang w:val="es-ES"/>
        </w:rPr>
        <w:t xml:space="preserve"> en cuenta que un</w:t>
      </w:r>
      <w:r w:rsidR="00313CF3">
        <w:rPr>
          <w:rFonts w:ascii="Times New Roman" w:hAnsi="Times New Roman" w:cs="Times New Roman"/>
          <w:lang w:val="es-ES"/>
        </w:rPr>
        <w:t>a parte</w:t>
      </w:r>
      <w:r>
        <w:rPr>
          <w:rFonts w:ascii="Times New Roman" w:hAnsi="Times New Roman" w:cs="Times New Roman"/>
          <w:lang w:val="es-ES"/>
        </w:rPr>
        <w:t xml:space="preserve"> de </w:t>
      </w:r>
      <w:r w:rsidR="00313CF3">
        <w:rPr>
          <w:rFonts w:ascii="Times New Roman" w:hAnsi="Times New Roman" w:cs="Times New Roman"/>
          <w:lang w:val="es-ES"/>
        </w:rPr>
        <w:t xml:space="preserve">los </w:t>
      </w:r>
      <w:r>
        <w:rPr>
          <w:rFonts w:ascii="Times New Roman" w:hAnsi="Times New Roman" w:cs="Times New Roman"/>
          <w:lang w:val="es-ES"/>
        </w:rPr>
        <w:t>niños desayunaría de todas formas aún si no recib</w:t>
      </w:r>
      <w:r w:rsidR="00313CF3">
        <w:rPr>
          <w:rFonts w:ascii="Times New Roman" w:hAnsi="Times New Roman" w:cs="Times New Roman"/>
          <w:lang w:val="es-ES"/>
        </w:rPr>
        <w:t>iera</w:t>
      </w:r>
      <w:r>
        <w:rPr>
          <w:rFonts w:ascii="Times New Roman" w:hAnsi="Times New Roman" w:cs="Times New Roman"/>
          <w:lang w:val="es-ES"/>
        </w:rPr>
        <w:t xml:space="preserve"> el desayuno en su establecimiento educativo</w:t>
      </w:r>
      <w:r w:rsidR="00313CF3">
        <w:rPr>
          <w:rFonts w:ascii="Times New Roman" w:hAnsi="Times New Roman" w:cs="Times New Roman"/>
          <w:lang w:val="es-ES"/>
        </w:rPr>
        <w:t>, generando simplemente una sustitución en las compras de insumos</w:t>
      </w:r>
      <w:r>
        <w:rPr>
          <w:rFonts w:ascii="Times New Roman" w:hAnsi="Times New Roman" w:cs="Times New Roman"/>
          <w:lang w:val="es-ES"/>
        </w:rPr>
        <w:t>.</w:t>
      </w:r>
      <w:r w:rsidR="00313CF3">
        <w:rPr>
          <w:rFonts w:ascii="Times New Roman" w:hAnsi="Times New Roman" w:cs="Times New Roman"/>
          <w:lang w:val="es-ES"/>
        </w:rPr>
        <w:t xml:space="preserve"> </w:t>
      </w:r>
      <w:r w:rsidR="00BE045B">
        <w:rPr>
          <w:rFonts w:ascii="Times New Roman" w:hAnsi="Times New Roman" w:cs="Times New Roman"/>
          <w:lang w:val="es-ES"/>
        </w:rPr>
        <w:t>De forma conservadora, y p</w:t>
      </w:r>
      <w:r w:rsidR="00313CF3">
        <w:rPr>
          <w:rFonts w:ascii="Times New Roman" w:hAnsi="Times New Roman" w:cs="Times New Roman"/>
          <w:lang w:val="es-ES"/>
        </w:rPr>
        <w:t>ara evitar incluir en los beneficios del programa a estos casos en que habría simplemente sustitución de proveedores, s</w:t>
      </w:r>
      <w:r w:rsidR="00134788">
        <w:rPr>
          <w:rFonts w:ascii="Times New Roman" w:hAnsi="Times New Roman" w:cs="Times New Roman"/>
          <w:lang w:val="es-ES"/>
        </w:rPr>
        <w:t xml:space="preserve">e mide </w:t>
      </w:r>
      <w:r w:rsidR="00313CF3">
        <w:rPr>
          <w:rFonts w:ascii="Times New Roman" w:hAnsi="Times New Roman" w:cs="Times New Roman"/>
          <w:lang w:val="es-ES"/>
        </w:rPr>
        <w:t>el</w:t>
      </w:r>
      <w:r w:rsidR="00134788">
        <w:rPr>
          <w:rFonts w:ascii="Times New Roman" w:hAnsi="Times New Roman" w:cs="Times New Roman"/>
          <w:lang w:val="es-ES"/>
        </w:rPr>
        <w:t xml:space="preserve"> impacto en la demanda y en la economía nacional considerando únicamente a los estudiantes que pertenecen al quintil 1</w:t>
      </w:r>
      <w:r w:rsidR="002D1731">
        <w:rPr>
          <w:rFonts w:ascii="Times New Roman" w:hAnsi="Times New Roman" w:cs="Times New Roman"/>
          <w:lang w:val="es-ES"/>
        </w:rPr>
        <w:t xml:space="preserve">, </w:t>
      </w:r>
      <w:r w:rsidR="00134788">
        <w:rPr>
          <w:rFonts w:ascii="Times New Roman" w:hAnsi="Times New Roman" w:cs="Times New Roman"/>
          <w:lang w:val="es-ES"/>
        </w:rPr>
        <w:t xml:space="preserve">un segmento de </w:t>
      </w:r>
      <w:r w:rsidR="002D1731">
        <w:rPr>
          <w:rFonts w:ascii="Times New Roman" w:hAnsi="Times New Roman" w:cs="Times New Roman"/>
          <w:lang w:val="es-ES"/>
        </w:rPr>
        <w:t xml:space="preserve">la </w:t>
      </w:r>
      <w:r w:rsidR="00134788">
        <w:rPr>
          <w:rFonts w:ascii="Times New Roman" w:hAnsi="Times New Roman" w:cs="Times New Roman"/>
          <w:lang w:val="es-ES"/>
        </w:rPr>
        <w:t>población que no tendr</w:t>
      </w:r>
      <w:r w:rsidR="002D1731">
        <w:rPr>
          <w:rFonts w:ascii="Times New Roman" w:hAnsi="Times New Roman" w:cs="Times New Roman"/>
          <w:lang w:val="es-ES"/>
        </w:rPr>
        <w:t>ía acceso a</w:t>
      </w:r>
      <w:r w:rsidR="00134788">
        <w:rPr>
          <w:rFonts w:ascii="Times New Roman" w:hAnsi="Times New Roman" w:cs="Times New Roman"/>
          <w:lang w:val="es-ES"/>
        </w:rPr>
        <w:t xml:space="preserve"> desayuno actualmente</w:t>
      </w:r>
      <w:r w:rsidR="00313CF3">
        <w:rPr>
          <w:rFonts w:ascii="Times New Roman" w:hAnsi="Times New Roman" w:cs="Times New Roman"/>
          <w:lang w:val="es-ES"/>
        </w:rPr>
        <w:t>, excluyendo de la medición a todos los estudiantes de los quintiles socio económicos 2, 3, 4 y 5</w:t>
      </w:r>
      <w:r w:rsidR="00134788">
        <w:rPr>
          <w:rFonts w:ascii="Times New Roman" w:hAnsi="Times New Roman" w:cs="Times New Roman"/>
          <w:lang w:val="es-ES"/>
        </w:rPr>
        <w:t xml:space="preserve">. </w:t>
      </w:r>
    </w:p>
    <w:p w14:paraId="5A0DA7C9" w14:textId="1ADDBF2E" w:rsidR="00D237D1" w:rsidRPr="00EA0A20" w:rsidRDefault="00C77360" w:rsidP="00D237D1">
      <w:pPr>
        <w:spacing w:after="120" w:line="276" w:lineRule="auto"/>
        <w:jc w:val="both"/>
        <w:rPr>
          <w:rFonts w:ascii="Times New Roman" w:hAnsi="Times New Roman" w:cs="Times New Roman"/>
          <w:lang w:val="es-ES"/>
        </w:rPr>
      </w:pPr>
      <w:r>
        <w:rPr>
          <w:rFonts w:ascii="Times New Roman" w:hAnsi="Times New Roman" w:cs="Times New Roman"/>
          <w:lang w:val="es-ES"/>
        </w:rPr>
        <w:t>Hay que considerar que</w:t>
      </w:r>
      <w:r w:rsidR="00F47E0B">
        <w:rPr>
          <w:rFonts w:ascii="Times New Roman" w:hAnsi="Times New Roman" w:cs="Times New Roman"/>
          <w:lang w:val="es-ES"/>
        </w:rPr>
        <w:t>,</w:t>
      </w:r>
      <w:r>
        <w:rPr>
          <w:rFonts w:ascii="Times New Roman" w:hAnsi="Times New Roman" w:cs="Times New Roman"/>
          <w:lang w:val="es-ES"/>
        </w:rPr>
        <w:t xml:space="preserve"> </w:t>
      </w:r>
      <w:r w:rsidR="00D237D1" w:rsidRPr="00EA0A20">
        <w:rPr>
          <w:rFonts w:ascii="Times New Roman" w:hAnsi="Times New Roman" w:cs="Times New Roman"/>
          <w:lang w:val="es-ES"/>
        </w:rPr>
        <w:t xml:space="preserve">para que los insumos directos puedan aumentar, sus respectivos insumos también deben crecer. Estos cambios en cadena que se producen son conocidos como efectos indirectos. La suma de estos efectos permite determinar el efecto total. </w:t>
      </w:r>
      <w:r w:rsidR="00EA0A20">
        <w:rPr>
          <w:rFonts w:ascii="Times New Roman" w:hAnsi="Times New Roman" w:cs="Times New Roman"/>
          <w:lang w:val="es-ES"/>
        </w:rPr>
        <w:t>A</w:t>
      </w:r>
      <w:r w:rsidR="00D237D1" w:rsidRPr="00EA0A20">
        <w:rPr>
          <w:rFonts w:ascii="Times New Roman" w:hAnsi="Times New Roman" w:cs="Times New Roman"/>
          <w:lang w:val="es-ES"/>
        </w:rPr>
        <w:t xml:space="preserve">l realizar este análisis a través del uso de la Matriz Insumo Producto (MIP) de la economía ecuatoriana, construida para el año 2010 con precios constantes (año base 2007), </w:t>
      </w:r>
      <w:r w:rsidR="00D237D1" w:rsidRPr="00044C1A">
        <w:rPr>
          <w:rFonts w:ascii="Times New Roman" w:hAnsi="Times New Roman" w:cs="Times New Roman"/>
          <w:lang w:val="es-ES"/>
        </w:rPr>
        <w:t>se pudo evidenciar que un incremento de US$</w:t>
      </w:r>
      <w:r w:rsidR="00044C1A" w:rsidRPr="00044C1A">
        <w:rPr>
          <w:rFonts w:ascii="Times New Roman" w:hAnsi="Times New Roman" w:cs="Times New Roman"/>
          <w:lang w:val="es-ES"/>
        </w:rPr>
        <w:t>45</w:t>
      </w:r>
      <w:r w:rsidR="00D237D1" w:rsidRPr="00044C1A">
        <w:rPr>
          <w:rFonts w:ascii="Times New Roman" w:hAnsi="Times New Roman" w:cs="Times New Roman"/>
          <w:lang w:val="es-ES"/>
        </w:rPr>
        <w:t xml:space="preserve"> millones </w:t>
      </w:r>
      <w:r w:rsidR="00186503" w:rsidRPr="00044C1A">
        <w:rPr>
          <w:rFonts w:ascii="Times New Roman" w:hAnsi="Times New Roman" w:cs="Times New Roman"/>
          <w:lang w:val="es-ES"/>
        </w:rPr>
        <w:t xml:space="preserve">en 2016 y de US$21 millones en 2017 </w:t>
      </w:r>
      <w:r w:rsidR="00D237D1" w:rsidRPr="00044C1A">
        <w:rPr>
          <w:rFonts w:ascii="Times New Roman" w:hAnsi="Times New Roman" w:cs="Times New Roman"/>
          <w:lang w:val="es-ES"/>
        </w:rPr>
        <w:t>en la demanda</w:t>
      </w:r>
      <w:r w:rsidR="000A5D57" w:rsidRPr="00044C1A">
        <w:rPr>
          <w:rFonts w:ascii="Times New Roman" w:hAnsi="Times New Roman" w:cs="Times New Roman"/>
          <w:lang w:val="es-ES"/>
        </w:rPr>
        <w:t xml:space="preserve"> de insumos</w:t>
      </w:r>
      <w:r w:rsidR="00D237D1" w:rsidRPr="00044C1A">
        <w:rPr>
          <w:rFonts w:ascii="Times New Roman" w:hAnsi="Times New Roman" w:cs="Times New Roman"/>
          <w:lang w:val="es-ES"/>
        </w:rPr>
        <w:t>, distribuido en función de los valores por producto alimenticio que tiene presupuestado el programa de alimentación escolar</w:t>
      </w:r>
      <w:r w:rsidR="00D237D1" w:rsidRPr="00044C1A">
        <w:rPr>
          <w:rStyle w:val="FootnoteReference"/>
          <w:rFonts w:ascii="Times New Roman" w:hAnsi="Times New Roman" w:cs="Times New Roman"/>
          <w:lang w:val="es-ES"/>
        </w:rPr>
        <w:footnoteReference w:id="14"/>
      </w:r>
      <w:r w:rsidR="00D237D1" w:rsidRPr="00044C1A">
        <w:rPr>
          <w:rFonts w:ascii="Times New Roman" w:hAnsi="Times New Roman" w:cs="Times New Roman"/>
          <w:lang w:val="es-ES"/>
        </w:rPr>
        <w:t>, representaría un crecimiento económico</w:t>
      </w:r>
      <w:r w:rsidRPr="00044C1A">
        <w:rPr>
          <w:rFonts w:ascii="Times New Roman" w:hAnsi="Times New Roman" w:cs="Times New Roman"/>
          <w:lang w:val="es-ES"/>
        </w:rPr>
        <w:t xml:space="preserve"> </w:t>
      </w:r>
      <w:r w:rsidR="00D237D1" w:rsidRPr="00044C1A">
        <w:rPr>
          <w:rFonts w:ascii="Times New Roman" w:hAnsi="Times New Roman" w:cs="Times New Roman"/>
          <w:lang w:val="es-ES"/>
        </w:rPr>
        <w:t xml:space="preserve">a mediano plazo (cambio estructural en función de la MIP 2010). </w:t>
      </w:r>
      <w:r w:rsidR="00E3559D" w:rsidRPr="00044C1A">
        <w:rPr>
          <w:rFonts w:ascii="Times New Roman" w:hAnsi="Times New Roman" w:cs="Times New Roman"/>
          <w:lang w:val="es-ES"/>
        </w:rPr>
        <w:t>El efecto de 2016</w:t>
      </w:r>
      <w:r w:rsidR="008C6D3B" w:rsidRPr="00044C1A">
        <w:rPr>
          <w:rFonts w:ascii="Times New Roman" w:hAnsi="Times New Roman" w:cs="Times New Roman"/>
          <w:lang w:val="es-ES"/>
        </w:rPr>
        <w:t>, aplicado al PIB anual 2014 de la economía ecuatoriana, equivale a un impacto de US$</w:t>
      </w:r>
      <w:r w:rsidR="00044C1A" w:rsidRPr="00044C1A">
        <w:rPr>
          <w:rFonts w:ascii="Times New Roman" w:hAnsi="Times New Roman" w:cs="Times New Roman"/>
          <w:lang w:val="es-ES"/>
        </w:rPr>
        <w:t>46</w:t>
      </w:r>
      <w:r w:rsidR="008C6D3B" w:rsidRPr="00044C1A">
        <w:rPr>
          <w:rFonts w:ascii="Times New Roman" w:hAnsi="Times New Roman" w:cs="Times New Roman"/>
          <w:lang w:val="es-ES"/>
        </w:rPr>
        <w:t xml:space="preserve"> millones en el mediano plazo</w:t>
      </w:r>
      <w:r w:rsidR="00E3559D" w:rsidRPr="00044C1A">
        <w:rPr>
          <w:rFonts w:ascii="Times New Roman" w:hAnsi="Times New Roman" w:cs="Times New Roman"/>
          <w:lang w:val="es-ES"/>
        </w:rPr>
        <w:t xml:space="preserve">, mientras que el efecto de 2017 causaría un impacto de US$21 millones en crecimiento económico. El efecto de 2016 entonces generaría </w:t>
      </w:r>
      <w:r w:rsidR="008C6D3B" w:rsidRPr="00044C1A">
        <w:rPr>
          <w:rFonts w:ascii="Times New Roman" w:hAnsi="Times New Roman" w:cs="Times New Roman"/>
          <w:lang w:val="es-ES"/>
        </w:rPr>
        <w:t>un impacto anual de US$</w:t>
      </w:r>
      <w:r w:rsidR="00044C1A" w:rsidRPr="00044C1A">
        <w:rPr>
          <w:rFonts w:ascii="Times New Roman" w:hAnsi="Times New Roman" w:cs="Times New Roman"/>
          <w:lang w:val="es-ES"/>
        </w:rPr>
        <w:t>15.2</w:t>
      </w:r>
      <w:r w:rsidR="008C6D3B" w:rsidRPr="00044C1A">
        <w:rPr>
          <w:rFonts w:ascii="Times New Roman" w:hAnsi="Times New Roman" w:cs="Times New Roman"/>
          <w:lang w:val="es-ES"/>
        </w:rPr>
        <w:t xml:space="preserve"> millones</w:t>
      </w:r>
      <w:r w:rsidRPr="00044C1A">
        <w:rPr>
          <w:rFonts w:ascii="Times New Roman" w:hAnsi="Times New Roman" w:cs="Times New Roman"/>
          <w:lang w:val="es-ES"/>
        </w:rPr>
        <w:t>, si se consideraría el impacto en todos los</w:t>
      </w:r>
      <w:r>
        <w:rPr>
          <w:rFonts w:ascii="Times New Roman" w:hAnsi="Times New Roman" w:cs="Times New Roman"/>
          <w:lang w:val="es-ES"/>
        </w:rPr>
        <w:t xml:space="preserve"> quintiles de la población. Para el escenario base, se asume que habría un impacto únicamente en el quintil 1, equivalente a US$</w:t>
      </w:r>
      <w:r w:rsidR="00044C1A">
        <w:rPr>
          <w:rFonts w:ascii="Times New Roman" w:hAnsi="Times New Roman" w:cs="Times New Roman"/>
          <w:lang w:val="es-ES"/>
        </w:rPr>
        <w:t>3</w:t>
      </w:r>
      <w:r>
        <w:rPr>
          <w:rFonts w:ascii="Times New Roman" w:hAnsi="Times New Roman" w:cs="Times New Roman"/>
          <w:lang w:val="es-ES"/>
        </w:rPr>
        <w:t xml:space="preserve"> millones</w:t>
      </w:r>
      <w:r w:rsidR="008C6D3B" w:rsidRPr="00EA0A20">
        <w:rPr>
          <w:rFonts w:ascii="Times New Roman" w:hAnsi="Times New Roman" w:cs="Times New Roman"/>
          <w:lang w:val="es-ES"/>
        </w:rPr>
        <w:t xml:space="preserve">. </w:t>
      </w:r>
    </w:p>
    <w:p w14:paraId="62A2CB31" w14:textId="11C16E57" w:rsidR="008C6D3B" w:rsidRPr="00C12EFA" w:rsidRDefault="004A2C98" w:rsidP="00BC639C">
      <w:pPr>
        <w:keepNext/>
        <w:spacing w:after="0" w:line="276" w:lineRule="auto"/>
        <w:jc w:val="center"/>
        <w:rPr>
          <w:rFonts w:ascii="Times New Roman" w:hAnsi="Times New Roman" w:cs="Times New Roman"/>
          <w:b/>
          <w:lang w:val="es-ES"/>
        </w:rPr>
      </w:pPr>
      <w:r>
        <w:rPr>
          <w:rFonts w:ascii="Times New Roman" w:hAnsi="Times New Roman" w:cs="Times New Roman"/>
          <w:b/>
          <w:lang w:val="es-ES"/>
        </w:rPr>
        <w:lastRenderedPageBreak/>
        <w:t xml:space="preserve">Tabla </w:t>
      </w:r>
      <w:r w:rsidR="0024363C">
        <w:rPr>
          <w:rFonts w:ascii="Times New Roman" w:hAnsi="Times New Roman" w:cs="Times New Roman"/>
          <w:b/>
          <w:lang w:val="es-ES"/>
        </w:rPr>
        <w:t>1</w:t>
      </w:r>
      <w:r w:rsidR="00C77360">
        <w:rPr>
          <w:rFonts w:ascii="Times New Roman" w:hAnsi="Times New Roman" w:cs="Times New Roman"/>
          <w:b/>
          <w:lang w:val="es-ES"/>
        </w:rPr>
        <w:t>6</w:t>
      </w:r>
    </w:p>
    <w:p w14:paraId="427EEC36" w14:textId="77161E15" w:rsidR="00C12EFA" w:rsidRDefault="00C12EFA" w:rsidP="00BC639C">
      <w:pPr>
        <w:keepNext/>
        <w:spacing w:after="0" w:line="276" w:lineRule="auto"/>
        <w:jc w:val="center"/>
        <w:rPr>
          <w:rFonts w:ascii="Times New Roman" w:hAnsi="Times New Roman" w:cs="Times New Roman"/>
          <w:lang w:val="es-ES"/>
        </w:rPr>
      </w:pPr>
      <w:r w:rsidRPr="00C12EFA">
        <w:rPr>
          <w:rFonts w:ascii="Times New Roman" w:hAnsi="Times New Roman" w:cs="Times New Roman"/>
          <w:b/>
          <w:lang w:val="es-ES"/>
        </w:rPr>
        <w:t>Beneficio total del programa de alimentación escolar para la economía ecuatoriana</w:t>
      </w:r>
    </w:p>
    <w:p w14:paraId="67E92AA6" w14:textId="364B78DC" w:rsidR="00C12EFA" w:rsidRDefault="00CF582F" w:rsidP="00C12EFA">
      <w:pPr>
        <w:spacing w:after="0" w:line="276" w:lineRule="auto"/>
        <w:jc w:val="both"/>
        <w:rPr>
          <w:rFonts w:ascii="Times New Roman" w:hAnsi="Times New Roman" w:cs="Times New Roman"/>
          <w:lang w:val="es-ES"/>
        </w:rPr>
      </w:pPr>
      <w:r w:rsidRPr="00CF582F">
        <w:rPr>
          <w:noProof/>
          <w:lang w:val="en-US"/>
        </w:rPr>
        <w:drawing>
          <wp:inline distT="0" distB="0" distL="0" distR="0" wp14:anchorId="1634F60E" wp14:editId="07CEBFE1">
            <wp:extent cx="5612130" cy="1272603"/>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1272603"/>
                    </a:xfrm>
                    <a:prstGeom prst="rect">
                      <a:avLst/>
                    </a:prstGeom>
                    <a:noFill/>
                    <a:ln>
                      <a:noFill/>
                    </a:ln>
                  </pic:spPr>
                </pic:pic>
              </a:graphicData>
            </a:graphic>
          </wp:inline>
        </w:drawing>
      </w:r>
    </w:p>
    <w:p w14:paraId="7E82138E" w14:textId="1F906F0F" w:rsidR="00C12EFA" w:rsidRPr="00C12EFA" w:rsidRDefault="00C12EFA" w:rsidP="00D237D1">
      <w:pPr>
        <w:spacing w:after="120" w:line="276" w:lineRule="auto"/>
        <w:jc w:val="both"/>
        <w:rPr>
          <w:rFonts w:ascii="Times New Roman" w:hAnsi="Times New Roman" w:cs="Times New Roman"/>
          <w:sz w:val="20"/>
          <w:szCs w:val="20"/>
          <w:lang w:val="es-ES"/>
        </w:rPr>
      </w:pPr>
      <w:r w:rsidRPr="00C12EFA">
        <w:rPr>
          <w:rFonts w:ascii="Times New Roman" w:hAnsi="Times New Roman" w:cs="Times New Roman"/>
          <w:sz w:val="20"/>
          <w:szCs w:val="20"/>
          <w:lang w:val="es-ES"/>
        </w:rPr>
        <w:t xml:space="preserve">Fuente: </w:t>
      </w:r>
      <w:r w:rsidR="0024363C">
        <w:rPr>
          <w:rFonts w:ascii="Times New Roman" w:hAnsi="Times New Roman" w:cs="Times New Roman"/>
          <w:sz w:val="20"/>
          <w:szCs w:val="20"/>
          <w:lang w:val="es-ES"/>
        </w:rPr>
        <w:t>cálculos</w:t>
      </w:r>
      <w:r w:rsidRPr="00C12EFA">
        <w:rPr>
          <w:rFonts w:ascii="Times New Roman" w:hAnsi="Times New Roman" w:cs="Times New Roman"/>
          <w:sz w:val="20"/>
          <w:szCs w:val="20"/>
          <w:lang w:val="es-ES"/>
        </w:rPr>
        <w:t xml:space="preserve"> </w:t>
      </w:r>
      <w:r w:rsidR="00136ABF">
        <w:rPr>
          <w:rFonts w:ascii="Times New Roman" w:hAnsi="Times New Roman" w:cs="Times New Roman"/>
          <w:sz w:val="20"/>
          <w:szCs w:val="20"/>
          <w:lang w:val="es-ES"/>
        </w:rPr>
        <w:t>consultores</w:t>
      </w:r>
    </w:p>
    <w:p w14:paraId="0FF0A1CB" w14:textId="28DD1815" w:rsidR="00847D38" w:rsidRDefault="00847D38" w:rsidP="00847D38">
      <w:pPr>
        <w:spacing w:after="120" w:line="276" w:lineRule="auto"/>
        <w:jc w:val="both"/>
        <w:rPr>
          <w:rFonts w:ascii="Times New Roman" w:hAnsi="Times New Roman" w:cs="Times New Roman"/>
          <w:lang w:val="es-ES"/>
        </w:rPr>
      </w:pPr>
      <w:r>
        <w:rPr>
          <w:rFonts w:ascii="Times New Roman" w:hAnsi="Times New Roman" w:cs="Times New Roman"/>
          <w:lang w:val="es-ES"/>
        </w:rPr>
        <w:t>Finalmente, e</w:t>
      </w:r>
      <w:r w:rsidRPr="000A5D57">
        <w:rPr>
          <w:rFonts w:ascii="Times New Roman" w:hAnsi="Times New Roman" w:cs="Times New Roman"/>
          <w:lang w:val="es-ES"/>
        </w:rPr>
        <w:t xml:space="preserve">l beneficio total del programa de alimentación escolar en la economía ecuatoriana </w:t>
      </w:r>
      <w:r>
        <w:rPr>
          <w:rFonts w:ascii="Times New Roman" w:hAnsi="Times New Roman" w:cs="Times New Roman"/>
          <w:lang w:val="es-ES"/>
        </w:rPr>
        <w:t xml:space="preserve">sería </w:t>
      </w:r>
      <w:r w:rsidRPr="000A5D57">
        <w:rPr>
          <w:rFonts w:ascii="Times New Roman" w:hAnsi="Times New Roman" w:cs="Times New Roman"/>
          <w:lang w:val="es-ES"/>
        </w:rPr>
        <w:t>la suma de estos 3 impactos: de</w:t>
      </w:r>
      <w:r>
        <w:rPr>
          <w:rFonts w:ascii="Times New Roman" w:hAnsi="Times New Roman" w:cs="Times New Roman"/>
          <w:lang w:val="es-ES"/>
        </w:rPr>
        <w:t xml:space="preserve"> </w:t>
      </w:r>
      <w:r w:rsidRPr="000A5D57">
        <w:rPr>
          <w:rFonts w:ascii="Times New Roman" w:hAnsi="Times New Roman" w:cs="Times New Roman"/>
          <w:lang w:val="es-ES"/>
        </w:rPr>
        <w:t>l</w:t>
      </w:r>
      <w:r>
        <w:rPr>
          <w:rFonts w:ascii="Times New Roman" w:hAnsi="Times New Roman" w:cs="Times New Roman"/>
          <w:lang w:val="es-ES"/>
        </w:rPr>
        <w:t>a alimentación escolar</w:t>
      </w:r>
      <w:r w:rsidRPr="000A5D57">
        <w:rPr>
          <w:rFonts w:ascii="Times New Roman" w:hAnsi="Times New Roman" w:cs="Times New Roman"/>
          <w:lang w:val="es-ES"/>
        </w:rPr>
        <w:t xml:space="preserve"> en EGB, de</w:t>
      </w:r>
      <w:r>
        <w:rPr>
          <w:rFonts w:ascii="Times New Roman" w:hAnsi="Times New Roman" w:cs="Times New Roman"/>
          <w:lang w:val="es-ES"/>
        </w:rPr>
        <w:t xml:space="preserve"> </w:t>
      </w:r>
      <w:r w:rsidRPr="000A5D57">
        <w:rPr>
          <w:rFonts w:ascii="Times New Roman" w:hAnsi="Times New Roman" w:cs="Times New Roman"/>
          <w:lang w:val="es-ES"/>
        </w:rPr>
        <w:t>l</w:t>
      </w:r>
      <w:r>
        <w:rPr>
          <w:rFonts w:ascii="Times New Roman" w:hAnsi="Times New Roman" w:cs="Times New Roman"/>
          <w:lang w:val="es-ES"/>
        </w:rPr>
        <w:t>a alimentación escolar</w:t>
      </w:r>
      <w:r w:rsidRPr="000A5D57">
        <w:rPr>
          <w:rFonts w:ascii="Times New Roman" w:hAnsi="Times New Roman" w:cs="Times New Roman"/>
          <w:lang w:val="es-ES"/>
        </w:rPr>
        <w:t xml:space="preserve"> en educación inicial y del mayor consumo de insumos locales. Al usar la base de datos TERCE, el beneficio total para la economía ecuatoriana</w:t>
      </w:r>
      <w:r w:rsidR="00C77360">
        <w:rPr>
          <w:rFonts w:ascii="Times New Roman" w:hAnsi="Times New Roman" w:cs="Times New Roman"/>
          <w:lang w:val="es-ES"/>
        </w:rPr>
        <w:t>, en el escenario base, sería de US$</w:t>
      </w:r>
      <w:r w:rsidR="00CF582F">
        <w:rPr>
          <w:rFonts w:ascii="Times New Roman" w:hAnsi="Times New Roman" w:cs="Times New Roman"/>
          <w:lang w:val="es-ES"/>
        </w:rPr>
        <w:t>89</w:t>
      </w:r>
      <w:r w:rsidR="00C77360">
        <w:rPr>
          <w:rFonts w:ascii="Times New Roman" w:hAnsi="Times New Roman" w:cs="Times New Roman"/>
          <w:lang w:val="es-ES"/>
        </w:rPr>
        <w:t xml:space="preserve"> millones. </w:t>
      </w:r>
      <w:r w:rsidRPr="000A5D57">
        <w:rPr>
          <w:rFonts w:ascii="Times New Roman" w:hAnsi="Times New Roman" w:cs="Times New Roman"/>
          <w:lang w:val="es-ES"/>
        </w:rPr>
        <w:t xml:space="preserve"> </w:t>
      </w:r>
    </w:p>
    <w:p w14:paraId="038D04AC" w14:textId="5DF6A89E" w:rsidR="0018340E" w:rsidRPr="00BD130E" w:rsidRDefault="00D57851" w:rsidP="0056785D">
      <w:pPr>
        <w:keepNext/>
        <w:spacing w:after="120" w:line="276" w:lineRule="auto"/>
        <w:jc w:val="both"/>
        <w:rPr>
          <w:rFonts w:ascii="Times New Roman" w:hAnsi="Times New Roman" w:cs="Times New Roman"/>
          <w:smallCaps/>
        </w:rPr>
      </w:pPr>
      <w:r w:rsidRPr="00BD130E">
        <w:rPr>
          <w:rFonts w:ascii="Times New Roman" w:hAnsi="Times New Roman" w:cs="Times New Roman"/>
          <w:b/>
          <w:i/>
          <w:smallCaps/>
          <w:spacing w:val="-2"/>
        </w:rPr>
        <w:t>Componente de e</w:t>
      </w:r>
      <w:r w:rsidR="0018340E" w:rsidRPr="00BD130E">
        <w:rPr>
          <w:rFonts w:ascii="Times New Roman" w:hAnsi="Times New Roman" w:cs="Times New Roman"/>
          <w:b/>
          <w:i/>
          <w:smallCaps/>
          <w:spacing w:val="-2"/>
        </w:rPr>
        <w:t>valuación educativa</w:t>
      </w:r>
    </w:p>
    <w:p w14:paraId="153329F0" w14:textId="77777777" w:rsidR="007B329A" w:rsidRPr="007359BC" w:rsidRDefault="007B329A" w:rsidP="007B329A">
      <w:pPr>
        <w:autoSpaceDE w:val="0"/>
        <w:autoSpaceDN w:val="0"/>
        <w:adjustRightInd w:val="0"/>
        <w:spacing w:after="120" w:line="276" w:lineRule="auto"/>
        <w:jc w:val="both"/>
        <w:rPr>
          <w:rFonts w:ascii="Times New Roman" w:hAnsi="Times New Roman" w:cs="Times New Roman"/>
        </w:rPr>
      </w:pPr>
      <w:r w:rsidRPr="007359BC">
        <w:rPr>
          <w:rFonts w:ascii="Times New Roman" w:hAnsi="Times New Roman" w:cs="Times New Roman"/>
        </w:rPr>
        <w:t>El Plan Decenal de Educación del Ecuador 2006-2015, en su Política 6 “Mejoramiento de Calidad y Equidad de la Educación e Implementación del Sistema Nacional de Evaluación”, señala como línea de acción el desarrollo e implementación del sistema nacional de evaluación (medición de logros académicos, evaluación de la gestión institucional y evaluación del desempeño docente en función de estándares para todos los niveles y modalidades del sistema).</w:t>
      </w:r>
    </w:p>
    <w:p w14:paraId="66DC88FE" w14:textId="54066238" w:rsidR="007B329A" w:rsidRPr="007359BC" w:rsidRDefault="007B329A" w:rsidP="007B329A">
      <w:pPr>
        <w:pStyle w:val="NormalWeb"/>
        <w:shd w:val="clear" w:color="auto" w:fill="FFFFFF"/>
        <w:spacing w:after="120" w:line="276" w:lineRule="auto"/>
        <w:jc w:val="both"/>
        <w:rPr>
          <w:sz w:val="22"/>
          <w:szCs w:val="22"/>
        </w:rPr>
      </w:pPr>
      <w:r w:rsidRPr="007359BC">
        <w:rPr>
          <w:sz w:val="22"/>
          <w:szCs w:val="22"/>
        </w:rPr>
        <w:t>A raíz de lo establecido en el Plan Decenal, se crea el Instituto Nacional de Evaluación Educativa INEVAL</w:t>
      </w:r>
      <w:r w:rsidR="00D93552" w:rsidRPr="007359BC">
        <w:rPr>
          <w:sz w:val="22"/>
          <w:szCs w:val="22"/>
        </w:rPr>
        <w:t xml:space="preserve"> en 2012</w:t>
      </w:r>
      <w:r w:rsidRPr="007359BC">
        <w:rPr>
          <w:sz w:val="22"/>
          <w:szCs w:val="22"/>
        </w:rPr>
        <w:t>, responsable de la evaluación integral, externa e interna, del Sistema Nacional de Educación del Ecuador. El INEVAL realiza sus labores con base en los estándares de calidad educativa definidos por el Ministerio de Educación y desarrolla otros que considere técnicamente pertinentes. Asimismo, promueve la cultura de la evaluación a través de procesos continuos que se enfocan en el aprendizaje de los estudiantes, el desempeño de docentes y directivos, y la gestión de establecimientos educativos. Sus funciones y atribuciones son:</w:t>
      </w:r>
    </w:p>
    <w:p w14:paraId="358069F1" w14:textId="77777777" w:rsidR="007B329A" w:rsidRPr="007359BC" w:rsidRDefault="007B329A" w:rsidP="007B329A">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rPr>
      </w:pPr>
      <w:r w:rsidRPr="007359BC">
        <w:rPr>
          <w:rFonts w:ascii="Times New Roman" w:hAnsi="Times New Roman" w:cs="Times New Roman"/>
        </w:rPr>
        <w:t>Construir y aplicar los indicadores de calidad de la educación y los instrumentos para la evaluación del Sistema Nacional de Educación, los cuales deben tener pertinencia cultural y lingüística, deben estar basados en los estándares e indicadores de calidad educativa definidos por el nivel central de la Autoridad Educativa Nacional, y deben cumplir con las políticas públicas de evaluación educativa establecidas por ella;</w:t>
      </w:r>
    </w:p>
    <w:p w14:paraId="1A6D0B16" w14:textId="77777777" w:rsidR="007B329A" w:rsidRPr="007359BC" w:rsidRDefault="007B329A" w:rsidP="007B329A">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rPr>
      </w:pPr>
      <w:r w:rsidRPr="007359BC">
        <w:rPr>
          <w:rFonts w:ascii="Times New Roman" w:hAnsi="Times New Roman" w:cs="Times New Roman"/>
        </w:rPr>
        <w:t>Aplicar protocolos de seguridad en el diseño y toma de pruebas y otros instrumentos para garantizar la confiabilidad de los resultados de las evaluaciones del Sistema Nacional de Educación;</w:t>
      </w:r>
    </w:p>
    <w:p w14:paraId="644EF7DF" w14:textId="77777777" w:rsidR="007B329A" w:rsidRPr="007359BC" w:rsidRDefault="007B329A" w:rsidP="007B329A">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rPr>
      </w:pPr>
      <w:r w:rsidRPr="007359BC">
        <w:rPr>
          <w:rFonts w:ascii="Times New Roman" w:hAnsi="Times New Roman" w:cs="Times New Roman"/>
        </w:rPr>
        <w:t>Diseñar y aplicar cuestionarios de factores asociados y otros instrumentos similares según lo requerido por el nivel central de la Autoridad Educativa Nacional; y,</w:t>
      </w:r>
    </w:p>
    <w:p w14:paraId="44881EA5" w14:textId="77777777" w:rsidR="007B329A" w:rsidRPr="007359BC" w:rsidRDefault="007B329A" w:rsidP="007B329A">
      <w:pPr>
        <w:pStyle w:val="ListParagraph"/>
        <w:numPr>
          <w:ilvl w:val="0"/>
          <w:numId w:val="11"/>
        </w:numPr>
        <w:autoSpaceDE w:val="0"/>
        <w:autoSpaceDN w:val="0"/>
        <w:adjustRightInd w:val="0"/>
        <w:spacing w:after="120" w:line="276" w:lineRule="auto"/>
        <w:contextualSpacing w:val="0"/>
        <w:jc w:val="both"/>
        <w:rPr>
          <w:rFonts w:ascii="Times New Roman" w:hAnsi="Times New Roman" w:cs="Times New Roman"/>
        </w:rPr>
      </w:pPr>
      <w:r w:rsidRPr="007359BC">
        <w:rPr>
          <w:rFonts w:ascii="Times New Roman" w:hAnsi="Times New Roman" w:cs="Times New Roman"/>
        </w:rPr>
        <w:t>Diseñar y administrar un sistema de información en el cual debe ingresar todos los resultados obtenidos mediante la aplicación de instrumentos de evaluación, y garantizar el acceso de la Autoridad Educativa Nacional a dicho sistema.</w:t>
      </w:r>
    </w:p>
    <w:p w14:paraId="50EA4E32" w14:textId="2472E10D" w:rsidR="007B329A" w:rsidRPr="007359BC" w:rsidRDefault="0026134B" w:rsidP="0026134B">
      <w:pPr>
        <w:spacing w:after="120" w:line="276" w:lineRule="auto"/>
        <w:jc w:val="both"/>
        <w:rPr>
          <w:rFonts w:ascii="Times New Roman" w:hAnsi="Times New Roman" w:cs="Times New Roman"/>
          <w:lang w:val="es-ES"/>
        </w:rPr>
      </w:pPr>
      <w:r>
        <w:rPr>
          <w:rFonts w:ascii="Times New Roman" w:hAnsi="Times New Roman" w:cs="Times New Roman"/>
        </w:rPr>
        <w:lastRenderedPageBreak/>
        <w:t xml:space="preserve">Es importante mencionar que este componente </w:t>
      </w:r>
      <w:r w:rsidR="007B329A" w:rsidRPr="007359BC">
        <w:rPr>
          <w:rFonts w:ascii="Times New Roman" w:hAnsi="Times New Roman" w:cs="Times New Roman"/>
        </w:rPr>
        <w:t xml:space="preserve">genera un ahorro para el Estado </w:t>
      </w:r>
      <w:r>
        <w:rPr>
          <w:rFonts w:ascii="Times New Roman" w:hAnsi="Times New Roman" w:cs="Times New Roman"/>
        </w:rPr>
        <w:t xml:space="preserve">por </w:t>
      </w:r>
      <w:r w:rsidR="007B329A" w:rsidRPr="007359BC">
        <w:rPr>
          <w:rFonts w:ascii="Times New Roman" w:hAnsi="Times New Roman" w:cs="Times New Roman"/>
        </w:rPr>
        <w:t>la aplicación continua de evaluaciones a través del INEVAL, pues de lo contrario, se incurriría en gastos adicionales porque sería necesaria la contratación de un organismo internacional para su aplicación, o en su defecto de la contratación de asesores extranjeros en el tema, lo que, en ambos casos significaría una inversión mayor de recursos.</w:t>
      </w:r>
      <w:r w:rsidR="007B329A" w:rsidRPr="007359BC">
        <w:rPr>
          <w:rFonts w:ascii="Times New Roman" w:hAnsi="Times New Roman" w:cs="Times New Roman"/>
          <w:lang w:val="es-ES"/>
        </w:rPr>
        <w:t xml:space="preserve"> </w:t>
      </w:r>
    </w:p>
    <w:p w14:paraId="47C6AA55" w14:textId="3E3A20F5" w:rsidR="007B329A" w:rsidRPr="00D93552" w:rsidRDefault="00D24939" w:rsidP="00D93552">
      <w:pPr>
        <w:autoSpaceDE w:val="0"/>
        <w:autoSpaceDN w:val="0"/>
        <w:adjustRightInd w:val="0"/>
        <w:spacing w:after="120" w:line="276" w:lineRule="auto"/>
        <w:jc w:val="both"/>
        <w:rPr>
          <w:rFonts w:ascii="Times New Roman" w:hAnsi="Times New Roman" w:cs="Times New Roman"/>
        </w:rPr>
      </w:pPr>
      <w:r w:rsidRPr="00D24939">
        <w:rPr>
          <w:rFonts w:ascii="Times New Roman" w:hAnsi="Times New Roman" w:cs="Times New Roman"/>
          <w:lang w:val="es-ES"/>
        </w:rPr>
        <w:t>De acuerdo a los propios análisis d</w:t>
      </w:r>
      <w:r w:rsidR="007B329A" w:rsidRPr="00D24939">
        <w:rPr>
          <w:rFonts w:ascii="Times New Roman" w:hAnsi="Times New Roman" w:cs="Times New Roman"/>
          <w:lang w:val="es-ES"/>
        </w:rPr>
        <w:t>el INEVAL</w:t>
      </w:r>
      <w:r w:rsidR="0059516A">
        <w:rPr>
          <w:rFonts w:ascii="Times New Roman" w:hAnsi="Times New Roman" w:cs="Times New Roman"/>
          <w:lang w:val="es-ES"/>
        </w:rPr>
        <w:t xml:space="preserve"> (2013)</w:t>
      </w:r>
      <w:r w:rsidR="007B329A" w:rsidRPr="00D24939">
        <w:rPr>
          <w:rFonts w:ascii="Times New Roman" w:hAnsi="Times New Roman" w:cs="Times New Roman"/>
          <w:lang w:val="es-ES"/>
        </w:rPr>
        <w:t xml:space="preserve">, </w:t>
      </w:r>
      <w:r w:rsidR="007B329A" w:rsidRPr="00D24939">
        <w:rPr>
          <w:rFonts w:ascii="Times New Roman" w:hAnsi="Times New Roman" w:cs="Times New Roman"/>
        </w:rPr>
        <w:t>el costo promedio de una evaluación internacional por aplicación de instrumento es de US$33, mientras que una aplicación nacional representa un costo aproximado de US$8, lo que genera al Estado un ahorro del US$26 por cada instrumento aplicado. En el caso de los docentes</w:t>
      </w:r>
      <w:r w:rsidR="0038162F">
        <w:rPr>
          <w:rFonts w:ascii="Times New Roman" w:hAnsi="Times New Roman" w:cs="Times New Roman"/>
        </w:rPr>
        <w:t>,</w:t>
      </w:r>
      <w:r w:rsidR="007B329A" w:rsidRPr="00D24939">
        <w:rPr>
          <w:rFonts w:ascii="Times New Roman" w:hAnsi="Times New Roman" w:cs="Times New Roman"/>
        </w:rPr>
        <w:t xml:space="preserve"> el costo es aún más elevando, estimándose un precio referencia de US$67.15 en países con experiencia en esta rama, mientras que</w:t>
      </w:r>
      <w:r w:rsidR="0038162F">
        <w:rPr>
          <w:rFonts w:ascii="Times New Roman" w:hAnsi="Times New Roman" w:cs="Times New Roman"/>
        </w:rPr>
        <w:t xml:space="preserve"> para</w:t>
      </w:r>
      <w:r w:rsidR="007B329A" w:rsidRPr="00D24939">
        <w:rPr>
          <w:rFonts w:ascii="Times New Roman" w:hAnsi="Times New Roman" w:cs="Times New Roman"/>
        </w:rPr>
        <w:t xml:space="preserve"> las aplicaciones a realizarse en el país e</w:t>
      </w:r>
      <w:r w:rsidR="0038162F">
        <w:rPr>
          <w:rFonts w:ascii="Times New Roman" w:hAnsi="Times New Roman" w:cs="Times New Roman"/>
        </w:rPr>
        <w:t>l</w:t>
      </w:r>
      <w:r w:rsidR="007B329A" w:rsidRPr="00D24939">
        <w:rPr>
          <w:rFonts w:ascii="Times New Roman" w:hAnsi="Times New Roman" w:cs="Times New Roman"/>
        </w:rPr>
        <w:t xml:space="preserve"> co</w:t>
      </w:r>
      <w:r w:rsidR="0038162F">
        <w:rPr>
          <w:rFonts w:ascii="Times New Roman" w:hAnsi="Times New Roman" w:cs="Times New Roman"/>
        </w:rPr>
        <w:t>s</w:t>
      </w:r>
      <w:r w:rsidR="007B329A" w:rsidRPr="00D24939">
        <w:rPr>
          <w:rFonts w:ascii="Times New Roman" w:hAnsi="Times New Roman" w:cs="Times New Roman"/>
        </w:rPr>
        <w:t>to aproximado será de US$8.</w:t>
      </w:r>
    </w:p>
    <w:p w14:paraId="4AE20B50" w14:textId="717093F0" w:rsidR="000D25F0" w:rsidRPr="00973358" w:rsidRDefault="000D25F0" w:rsidP="00D93552">
      <w:pPr>
        <w:autoSpaceDE w:val="0"/>
        <w:autoSpaceDN w:val="0"/>
        <w:adjustRightInd w:val="0"/>
        <w:spacing w:after="120" w:line="276" w:lineRule="auto"/>
        <w:jc w:val="both"/>
        <w:rPr>
          <w:rFonts w:ascii="Times New Roman" w:hAnsi="Times New Roman" w:cs="Times New Roman"/>
        </w:rPr>
      </w:pPr>
      <w:r w:rsidRPr="00973358">
        <w:rPr>
          <w:rFonts w:ascii="Times New Roman" w:hAnsi="Times New Roman" w:cs="Times New Roman"/>
        </w:rPr>
        <w:t>La viabilidad económica de la implementación de la evaluación integral del sistema educativo, según el INEVAL, se calcula comparando los beneficios monetarios que reciben la sociedad y los costos operativos, de ejecución y mantenimiento del proyecto. El beneficio social se mide a través del ahorro que representará para el Estado y en el que incurren todos los actores del sistema educativo gracias a las acciones del proyecto. Para el cálculo del ahorro que le generará al Estado la implementación y ejecución de este proyecto, el INEVAL toma como referencia los costos promedio de las evaluaciones de aprendizaje realizadas a los estudiantes en América Latina, así como datos de las evaluaciones realizadas a los docentes. Además, realiza una proyección de la población a ser evaluada, tanto de estudiantes como docentes, con base en la información proporcionada por el Ministerio de Educación, referente al actual período lectivo. Se calcula el ingreso entendido como el ahorro que el proyecto generará, a partir del segundo año, ya que la mayor inversión se realizará durante el primer año.</w:t>
      </w:r>
    </w:p>
    <w:p w14:paraId="198DD6A7" w14:textId="250F8540" w:rsidR="000D25F0" w:rsidRPr="004672EC" w:rsidRDefault="000D25F0" w:rsidP="00D93552">
      <w:pPr>
        <w:autoSpaceDE w:val="0"/>
        <w:autoSpaceDN w:val="0"/>
        <w:adjustRightInd w:val="0"/>
        <w:spacing w:after="120" w:line="276" w:lineRule="auto"/>
        <w:jc w:val="both"/>
        <w:rPr>
          <w:rFonts w:ascii="Times New Roman" w:hAnsi="Times New Roman" w:cs="Times New Roman"/>
        </w:rPr>
      </w:pPr>
      <w:r w:rsidRPr="004672EC">
        <w:rPr>
          <w:rFonts w:ascii="Times New Roman" w:hAnsi="Times New Roman" w:cs="Times New Roman"/>
        </w:rPr>
        <w:t>Para los costos</w:t>
      </w:r>
      <w:r w:rsidR="00D93552" w:rsidRPr="004672EC">
        <w:rPr>
          <w:rFonts w:ascii="Times New Roman" w:hAnsi="Times New Roman" w:cs="Times New Roman"/>
        </w:rPr>
        <w:t xml:space="preserve"> operativos</w:t>
      </w:r>
      <w:r w:rsidRPr="004672EC">
        <w:rPr>
          <w:rFonts w:ascii="Times New Roman" w:hAnsi="Times New Roman" w:cs="Times New Roman"/>
        </w:rPr>
        <w:t xml:space="preserve">, se toma como referencia </w:t>
      </w:r>
      <w:r w:rsidR="00D93552" w:rsidRPr="004672EC">
        <w:rPr>
          <w:rFonts w:ascii="Times New Roman" w:hAnsi="Times New Roman" w:cs="Times New Roman"/>
        </w:rPr>
        <w:t xml:space="preserve">el proyecto </w:t>
      </w:r>
      <w:r w:rsidRPr="004672EC">
        <w:rPr>
          <w:rFonts w:ascii="Times New Roman" w:hAnsi="Times New Roman" w:cs="Times New Roman"/>
        </w:rPr>
        <w:t>desarrollado por el Ministerio d</w:t>
      </w:r>
      <w:r w:rsidR="00D93552" w:rsidRPr="004672EC">
        <w:rPr>
          <w:rFonts w:ascii="Times New Roman" w:hAnsi="Times New Roman" w:cs="Times New Roman"/>
        </w:rPr>
        <w:t xml:space="preserve">e Educación, denominado Sistema </w:t>
      </w:r>
      <w:r w:rsidRPr="004672EC">
        <w:rPr>
          <w:rFonts w:ascii="Times New Roman" w:hAnsi="Times New Roman" w:cs="Times New Roman"/>
        </w:rPr>
        <w:t xml:space="preserve">Nacional de Evaluación, </w:t>
      </w:r>
      <w:r w:rsidR="00D93552" w:rsidRPr="004672EC">
        <w:rPr>
          <w:rFonts w:ascii="Times New Roman" w:hAnsi="Times New Roman" w:cs="Times New Roman"/>
        </w:rPr>
        <w:t xml:space="preserve">el cual se desarrolló hasta la creación del INEVAL. </w:t>
      </w:r>
      <w:r w:rsidRPr="004672EC">
        <w:rPr>
          <w:rFonts w:ascii="Times New Roman" w:hAnsi="Times New Roman" w:cs="Times New Roman"/>
        </w:rPr>
        <w:t>Para el caso de sistemas y</w:t>
      </w:r>
      <w:r w:rsidR="00D93552" w:rsidRPr="004672EC">
        <w:rPr>
          <w:rFonts w:ascii="Times New Roman" w:hAnsi="Times New Roman" w:cs="Times New Roman"/>
        </w:rPr>
        <w:t xml:space="preserve"> </w:t>
      </w:r>
      <w:r w:rsidRPr="004672EC">
        <w:rPr>
          <w:rFonts w:ascii="Times New Roman" w:hAnsi="Times New Roman" w:cs="Times New Roman"/>
        </w:rPr>
        <w:t>paquetes informáticos se considera como referencia el costo</w:t>
      </w:r>
      <w:r w:rsidR="00D93552" w:rsidRPr="004672EC">
        <w:rPr>
          <w:rFonts w:ascii="Times New Roman" w:hAnsi="Times New Roman" w:cs="Times New Roman"/>
        </w:rPr>
        <w:t xml:space="preserve"> </w:t>
      </w:r>
      <w:r w:rsidRPr="004672EC">
        <w:rPr>
          <w:rFonts w:ascii="Times New Roman" w:hAnsi="Times New Roman" w:cs="Times New Roman"/>
        </w:rPr>
        <w:t xml:space="preserve">de un 10% luego de su </w:t>
      </w:r>
      <w:r w:rsidR="00D93552" w:rsidRPr="004672EC">
        <w:rPr>
          <w:rFonts w:ascii="Times New Roman" w:hAnsi="Times New Roman" w:cs="Times New Roman"/>
        </w:rPr>
        <w:t xml:space="preserve">implementación para realizar un </w:t>
      </w:r>
      <w:r w:rsidRPr="004672EC">
        <w:rPr>
          <w:rFonts w:ascii="Times New Roman" w:hAnsi="Times New Roman" w:cs="Times New Roman"/>
        </w:rPr>
        <w:t>mantenimiento anual. De igual</w:t>
      </w:r>
      <w:r w:rsidR="00D93552" w:rsidRPr="004672EC">
        <w:rPr>
          <w:rFonts w:ascii="Times New Roman" w:hAnsi="Times New Roman" w:cs="Times New Roman"/>
        </w:rPr>
        <w:t xml:space="preserve"> manera se mantienen los costos </w:t>
      </w:r>
      <w:r w:rsidRPr="004672EC">
        <w:rPr>
          <w:rFonts w:ascii="Times New Roman" w:hAnsi="Times New Roman" w:cs="Times New Roman"/>
        </w:rPr>
        <w:t>de personal, debido a que su ap</w:t>
      </w:r>
      <w:r w:rsidR="00D93552" w:rsidRPr="004672EC">
        <w:rPr>
          <w:rFonts w:ascii="Times New Roman" w:hAnsi="Times New Roman" w:cs="Times New Roman"/>
        </w:rPr>
        <w:t xml:space="preserve">oyo se ejecutará luego de la </w:t>
      </w:r>
      <w:r w:rsidRPr="004672EC">
        <w:rPr>
          <w:rFonts w:ascii="Times New Roman" w:hAnsi="Times New Roman" w:cs="Times New Roman"/>
        </w:rPr>
        <w:t>implementación el proyecto. El costo operativo mayor luego de la</w:t>
      </w:r>
      <w:r w:rsidR="00D93552" w:rsidRPr="004672EC">
        <w:rPr>
          <w:rFonts w:ascii="Times New Roman" w:hAnsi="Times New Roman" w:cs="Times New Roman"/>
        </w:rPr>
        <w:t xml:space="preserve"> </w:t>
      </w:r>
      <w:r w:rsidRPr="004672EC">
        <w:rPr>
          <w:rFonts w:ascii="Times New Roman" w:hAnsi="Times New Roman" w:cs="Times New Roman"/>
        </w:rPr>
        <w:t>ejecución de</w:t>
      </w:r>
      <w:r w:rsidR="004672EC">
        <w:rPr>
          <w:rFonts w:ascii="Times New Roman" w:hAnsi="Times New Roman" w:cs="Times New Roman"/>
        </w:rPr>
        <w:t>l</w:t>
      </w:r>
      <w:r w:rsidRPr="004672EC">
        <w:rPr>
          <w:rFonts w:ascii="Times New Roman" w:hAnsi="Times New Roman" w:cs="Times New Roman"/>
        </w:rPr>
        <w:t xml:space="preserve"> proyecto </w:t>
      </w:r>
      <w:r w:rsidR="004672EC">
        <w:rPr>
          <w:rFonts w:ascii="Times New Roman" w:hAnsi="Times New Roman" w:cs="Times New Roman"/>
        </w:rPr>
        <w:t>estaría concentrado en</w:t>
      </w:r>
      <w:r w:rsidR="00D93552" w:rsidRPr="004672EC">
        <w:rPr>
          <w:rFonts w:ascii="Times New Roman" w:hAnsi="Times New Roman" w:cs="Times New Roman"/>
        </w:rPr>
        <w:t xml:space="preserve"> la aplicación de las evaluaciones y </w:t>
      </w:r>
      <w:r w:rsidRPr="004672EC">
        <w:rPr>
          <w:rFonts w:ascii="Times New Roman" w:hAnsi="Times New Roman" w:cs="Times New Roman"/>
        </w:rPr>
        <w:t>todo lo referente a logística y materiales.</w:t>
      </w:r>
      <w:r w:rsidR="00D93552" w:rsidRPr="004672EC">
        <w:rPr>
          <w:rFonts w:ascii="Times New Roman" w:hAnsi="Times New Roman" w:cs="Times New Roman"/>
        </w:rPr>
        <w:t xml:space="preserve"> </w:t>
      </w:r>
    </w:p>
    <w:p w14:paraId="18F4434D" w14:textId="76630C6E" w:rsidR="00D93552" w:rsidRPr="00D93552" w:rsidRDefault="00D93552" w:rsidP="00D93552">
      <w:pPr>
        <w:autoSpaceDE w:val="0"/>
        <w:autoSpaceDN w:val="0"/>
        <w:adjustRightInd w:val="0"/>
        <w:spacing w:after="120" w:line="276" w:lineRule="auto"/>
        <w:jc w:val="both"/>
        <w:rPr>
          <w:rFonts w:ascii="Times New Roman" w:hAnsi="Times New Roman" w:cs="Times New Roman"/>
        </w:rPr>
      </w:pPr>
      <w:r w:rsidRPr="0019494E">
        <w:rPr>
          <w:rFonts w:ascii="Times New Roman" w:hAnsi="Times New Roman" w:cs="Times New Roman"/>
        </w:rPr>
        <w:t xml:space="preserve">Con estos supuestos, INEVAL </w:t>
      </w:r>
      <w:r w:rsidR="00BE2ED0">
        <w:rPr>
          <w:rFonts w:ascii="Times New Roman" w:hAnsi="Times New Roman" w:cs="Times New Roman"/>
        </w:rPr>
        <w:t xml:space="preserve">(2013) </w:t>
      </w:r>
      <w:r w:rsidRPr="0019494E">
        <w:rPr>
          <w:rFonts w:ascii="Times New Roman" w:hAnsi="Times New Roman" w:cs="Times New Roman"/>
        </w:rPr>
        <w:t>realizó escenarios de sensibilidad para la viabilidad económica, con diferentes tasas de cobertura. Como se puede ver en la siguiente tabla, incluso bajo el escenario pesimista</w:t>
      </w:r>
      <w:r w:rsidR="0019494E">
        <w:rPr>
          <w:rFonts w:ascii="Times New Roman" w:hAnsi="Times New Roman" w:cs="Times New Roman"/>
        </w:rPr>
        <w:t>,</w:t>
      </w:r>
      <w:r w:rsidRPr="0019494E">
        <w:rPr>
          <w:rFonts w:ascii="Times New Roman" w:hAnsi="Times New Roman" w:cs="Times New Roman"/>
        </w:rPr>
        <w:t xml:space="preserve"> los valores se muestran positivos </w:t>
      </w:r>
      <w:r w:rsidR="00375DE6">
        <w:rPr>
          <w:rFonts w:ascii="Times New Roman" w:hAnsi="Times New Roman" w:cs="Times New Roman"/>
        </w:rPr>
        <w:t>y</w:t>
      </w:r>
      <w:r w:rsidRPr="0019494E">
        <w:rPr>
          <w:rFonts w:ascii="Times New Roman" w:hAnsi="Times New Roman" w:cs="Times New Roman"/>
        </w:rPr>
        <w:t xml:space="preserve"> el proyecto es económicamente rentable.</w:t>
      </w:r>
      <w:r w:rsidRPr="00D93552">
        <w:rPr>
          <w:rFonts w:ascii="Times New Roman" w:hAnsi="Times New Roman" w:cs="Times New Roman"/>
        </w:rPr>
        <w:t xml:space="preserve"> </w:t>
      </w:r>
    </w:p>
    <w:p w14:paraId="04C17DA1" w14:textId="50E0DBE9" w:rsidR="007B329A" w:rsidRPr="0019494E" w:rsidRDefault="0024363C" w:rsidP="00D93552">
      <w:pPr>
        <w:spacing w:after="0" w:line="276" w:lineRule="auto"/>
        <w:jc w:val="center"/>
        <w:rPr>
          <w:rFonts w:ascii="Times New Roman" w:hAnsi="Times New Roman" w:cs="Times New Roman"/>
          <w:b/>
          <w:spacing w:val="-2"/>
        </w:rPr>
      </w:pPr>
      <w:r>
        <w:rPr>
          <w:rFonts w:ascii="Times New Roman" w:hAnsi="Times New Roman" w:cs="Times New Roman"/>
          <w:b/>
          <w:spacing w:val="-2"/>
        </w:rPr>
        <w:t>Tabla 1</w:t>
      </w:r>
      <w:r w:rsidR="00915BBE">
        <w:rPr>
          <w:rFonts w:ascii="Times New Roman" w:hAnsi="Times New Roman" w:cs="Times New Roman"/>
          <w:b/>
          <w:spacing w:val="-2"/>
        </w:rPr>
        <w:t>7</w:t>
      </w:r>
    </w:p>
    <w:p w14:paraId="0F90749F" w14:textId="5B4E619B" w:rsidR="00D93552" w:rsidRPr="0019494E" w:rsidRDefault="00D93552" w:rsidP="00D93552">
      <w:pPr>
        <w:spacing w:after="0" w:line="276" w:lineRule="auto"/>
        <w:jc w:val="center"/>
        <w:rPr>
          <w:rFonts w:ascii="Times New Roman" w:hAnsi="Times New Roman" w:cs="Times New Roman"/>
          <w:spacing w:val="-2"/>
        </w:rPr>
      </w:pPr>
      <w:r w:rsidRPr="0019494E">
        <w:rPr>
          <w:rFonts w:ascii="Times New Roman" w:hAnsi="Times New Roman" w:cs="Times New Roman"/>
          <w:b/>
          <w:spacing w:val="-2"/>
        </w:rPr>
        <w:t>Evaluación económica INEVAL</w:t>
      </w:r>
      <w:r w:rsidR="0036120A">
        <w:rPr>
          <w:rFonts w:ascii="Times New Roman" w:hAnsi="Times New Roman" w:cs="Times New Roman"/>
          <w:b/>
          <w:spacing w:val="-2"/>
        </w:rPr>
        <w:t xml:space="preserve"> por ahorro de costos</w:t>
      </w:r>
    </w:p>
    <w:p w14:paraId="0C4D10DF" w14:textId="05F5B1F1" w:rsidR="0018340E" w:rsidRDefault="00D93552" w:rsidP="00D93552">
      <w:pPr>
        <w:spacing w:after="0" w:line="276" w:lineRule="auto"/>
        <w:jc w:val="center"/>
        <w:rPr>
          <w:rFonts w:ascii="Times New Roman" w:hAnsi="Times New Roman" w:cs="Times New Roman"/>
          <w:spacing w:val="-2"/>
        </w:rPr>
      </w:pPr>
      <w:r w:rsidRPr="00D93552">
        <w:rPr>
          <w:noProof/>
          <w:lang w:val="en-US"/>
        </w:rPr>
        <w:drawing>
          <wp:inline distT="0" distB="0" distL="0" distR="0" wp14:anchorId="20FA25A7" wp14:editId="49EC368E">
            <wp:extent cx="3829050" cy="771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29050" cy="771525"/>
                    </a:xfrm>
                    <a:prstGeom prst="rect">
                      <a:avLst/>
                    </a:prstGeom>
                    <a:noFill/>
                    <a:ln>
                      <a:noFill/>
                    </a:ln>
                  </pic:spPr>
                </pic:pic>
              </a:graphicData>
            </a:graphic>
          </wp:inline>
        </w:drawing>
      </w:r>
    </w:p>
    <w:p w14:paraId="6BF22977" w14:textId="3C980B51" w:rsidR="00D93552" w:rsidRPr="00D93552" w:rsidRDefault="00D93552" w:rsidP="00D93552">
      <w:pPr>
        <w:spacing w:after="120" w:line="276" w:lineRule="auto"/>
        <w:ind w:left="141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 </w:t>
      </w:r>
      <w:r w:rsidRPr="00D93552">
        <w:rPr>
          <w:rFonts w:ascii="Times New Roman" w:hAnsi="Times New Roman" w:cs="Times New Roman"/>
          <w:spacing w:val="-2"/>
          <w:sz w:val="20"/>
          <w:szCs w:val="20"/>
        </w:rPr>
        <w:t>Fuente: INEVAL</w:t>
      </w:r>
    </w:p>
    <w:p w14:paraId="053100AF" w14:textId="2DFC8D70" w:rsidR="00B64831" w:rsidRPr="00281620" w:rsidRDefault="00B64831" w:rsidP="00B64831">
      <w:pPr>
        <w:spacing w:after="120" w:line="276" w:lineRule="auto"/>
        <w:jc w:val="both"/>
        <w:rPr>
          <w:rFonts w:ascii="Times New Roman" w:hAnsi="Times New Roman" w:cs="Times New Roman"/>
        </w:rPr>
      </w:pPr>
      <w:r w:rsidRPr="00281620">
        <w:rPr>
          <w:rFonts w:ascii="Times New Roman" w:hAnsi="Times New Roman" w:cs="Times New Roman"/>
        </w:rPr>
        <w:lastRenderedPageBreak/>
        <w:t>El INEVAL</w:t>
      </w:r>
      <w:r w:rsidR="000A7D5B">
        <w:rPr>
          <w:rFonts w:ascii="Times New Roman" w:hAnsi="Times New Roman" w:cs="Times New Roman"/>
        </w:rPr>
        <w:t>,</w:t>
      </w:r>
      <w:r w:rsidRPr="00281620">
        <w:rPr>
          <w:rFonts w:ascii="Times New Roman" w:hAnsi="Times New Roman" w:cs="Times New Roman"/>
        </w:rPr>
        <w:t xml:space="preserve"> al medir los logros académicos y realizar una evaluación de la gestión institucional y del desempeño docente, implementa mecanismos de rendición de cuentas para los establecimientos educativos del país y todos sus actores. </w:t>
      </w:r>
    </w:p>
    <w:p w14:paraId="43F3FC56" w14:textId="77777777" w:rsidR="00B64831" w:rsidRPr="00281620" w:rsidRDefault="00B64831" w:rsidP="00B64831">
      <w:pPr>
        <w:spacing w:after="120" w:line="276" w:lineRule="auto"/>
        <w:jc w:val="both"/>
        <w:rPr>
          <w:rFonts w:ascii="Times New Roman" w:hAnsi="Times New Roman" w:cs="Times New Roman"/>
        </w:rPr>
      </w:pPr>
      <w:r w:rsidRPr="00281620">
        <w:rPr>
          <w:rFonts w:ascii="Times New Roman" w:hAnsi="Times New Roman" w:cs="Times New Roman"/>
        </w:rPr>
        <w:t>La evaluación integral al Sistema Nacional Educativo contribuye además a generar información que refleje la situación del sistema escolar e identifique las inequidades existentes, para que la Autoridad Nacional formule políticas para mejorar prácticas en educación y se eliminen las brechas en los niveles de desempeño de los estudiantes que históricamente han sido marginados por condiciones socioeconómicas.</w:t>
      </w:r>
    </w:p>
    <w:p w14:paraId="02244304" w14:textId="238C8A17" w:rsidR="00B64831" w:rsidRPr="00281620" w:rsidRDefault="00B64831" w:rsidP="00B64831">
      <w:pPr>
        <w:spacing w:after="120" w:line="276" w:lineRule="auto"/>
        <w:jc w:val="both"/>
        <w:rPr>
          <w:rFonts w:ascii="Times New Roman" w:hAnsi="Times New Roman" w:cs="Times New Roman"/>
          <w:lang w:val="es-ES"/>
        </w:rPr>
      </w:pPr>
      <w:r w:rsidRPr="00281620">
        <w:rPr>
          <w:rFonts w:ascii="Times New Roman" w:hAnsi="Times New Roman" w:cs="Times New Roman"/>
        </w:rPr>
        <w:t>En este componente</w:t>
      </w:r>
      <w:r w:rsidR="000A7D5B">
        <w:rPr>
          <w:rFonts w:ascii="Times New Roman" w:hAnsi="Times New Roman" w:cs="Times New Roman"/>
        </w:rPr>
        <w:t>,</w:t>
      </w:r>
      <w:r w:rsidRPr="00281620">
        <w:rPr>
          <w:rFonts w:ascii="Times New Roman" w:hAnsi="Times New Roman" w:cs="Times New Roman"/>
        </w:rPr>
        <w:t xml:space="preserve"> lo ideal sería tener </w:t>
      </w:r>
      <w:r w:rsidRPr="00281620">
        <w:rPr>
          <w:rFonts w:ascii="Times New Roman" w:hAnsi="Times New Roman" w:cs="Times New Roman"/>
          <w:lang w:val="es-ES"/>
        </w:rPr>
        <w:t xml:space="preserve">una estimación directa de beneficio en cuanto al impacto sobre los resultados de aprendizaje o sobre una mejora en la toma de decisiones públicas que, sobre la base de información de mejor calidad, oportuna y detallada, incidiría a fin de cuentas en la calidad educativa y en las perspectivas profesionales de la población. </w:t>
      </w:r>
    </w:p>
    <w:p w14:paraId="442BA6C7" w14:textId="40B9752B" w:rsidR="00B64831" w:rsidRPr="00281620" w:rsidRDefault="00B64831" w:rsidP="00B64831">
      <w:pPr>
        <w:spacing w:after="120" w:line="276" w:lineRule="auto"/>
        <w:jc w:val="both"/>
        <w:rPr>
          <w:rFonts w:ascii="Times New Roman" w:hAnsi="Times New Roman" w:cs="Times New Roman"/>
        </w:rPr>
      </w:pPr>
      <w:r w:rsidRPr="00281620">
        <w:rPr>
          <w:rFonts w:ascii="Times New Roman" w:hAnsi="Times New Roman" w:cs="Times New Roman"/>
          <w:lang w:val="es-ES"/>
        </w:rPr>
        <w:t xml:space="preserve">Sin embargo, según </w:t>
      </w:r>
      <w:r w:rsidRPr="00281620">
        <w:rPr>
          <w:rFonts w:ascii="Times New Roman" w:eastAsia="Times New Roman" w:hAnsi="Times New Roman" w:cs="Times New Roman"/>
        </w:rPr>
        <w:t>Figlio y Loeb (2011), m</w:t>
      </w:r>
      <w:r w:rsidRPr="00281620">
        <w:rPr>
          <w:rFonts w:ascii="Times New Roman" w:hAnsi="Times New Roman" w:cs="Times New Roman"/>
        </w:rPr>
        <w:t xml:space="preserve">edir el impacto de una rendición de cuentas en resultados escolares no es tarea fácil, pues existen problemas para aislar el impacto de las evaluaciones de otros efectos y, además, por lo general los tiempos entre la introducción de la evaluación y sus respectivos incentivos y la medición de impacto son cortos. </w:t>
      </w:r>
      <w:r>
        <w:rPr>
          <w:rFonts w:ascii="Times New Roman" w:hAnsi="Times New Roman" w:cs="Times New Roman"/>
        </w:rPr>
        <w:t>A pesar de esto</w:t>
      </w:r>
      <w:r w:rsidRPr="00281620">
        <w:rPr>
          <w:rFonts w:ascii="Times New Roman" w:hAnsi="Times New Roman" w:cs="Times New Roman"/>
        </w:rPr>
        <w:t xml:space="preserve"> manifiestan que, en general, para diversas mediciones en algunos estados de los Estados Unidos</w:t>
      </w:r>
      <w:r w:rsidR="000A7D5B">
        <w:rPr>
          <w:rFonts w:ascii="Times New Roman" w:hAnsi="Times New Roman" w:cs="Times New Roman"/>
        </w:rPr>
        <w:t>,</w:t>
      </w:r>
      <w:r w:rsidRPr="00281620">
        <w:rPr>
          <w:rFonts w:ascii="Times New Roman" w:hAnsi="Times New Roman" w:cs="Times New Roman"/>
        </w:rPr>
        <w:t xml:space="preserve"> los resultados son positivos, aunque variados. Además, a pesar de que en general los resultados encontrados indican un crecimiento en el desempeño educativo en establecimientos que están sujetos a una rendición de cuentas, los efectos positivos estimados son más claros y más frecuentes en matemáticas. El efecto de la rendición de cuentas </w:t>
      </w:r>
      <w:r>
        <w:rPr>
          <w:rFonts w:ascii="Times New Roman" w:hAnsi="Times New Roman" w:cs="Times New Roman"/>
        </w:rPr>
        <w:t xml:space="preserve">tendría un efecto promedio de </w:t>
      </w:r>
      <w:r w:rsidRPr="00281620">
        <w:rPr>
          <w:rFonts w:ascii="Times New Roman" w:hAnsi="Times New Roman" w:cs="Times New Roman"/>
        </w:rPr>
        <w:t>0.2 desviaciones estándar</w:t>
      </w:r>
      <w:r w:rsidR="008C4559">
        <w:rPr>
          <w:rFonts w:ascii="Times New Roman" w:hAnsi="Times New Roman" w:cs="Times New Roman"/>
        </w:rPr>
        <w:t xml:space="preserve"> en los resultados de los estudiantes</w:t>
      </w:r>
      <w:r w:rsidRPr="00281620">
        <w:rPr>
          <w:rFonts w:ascii="Times New Roman" w:hAnsi="Times New Roman" w:cs="Times New Roman"/>
        </w:rPr>
        <w:t>. Sin embargo, hay que recordar que evaluar la relevancia de la política pública y el tamaño de estos efectos no es fácil.</w:t>
      </w:r>
    </w:p>
    <w:p w14:paraId="59A9EE38" w14:textId="77777777" w:rsidR="00B64831" w:rsidRPr="00281620" w:rsidRDefault="00B64831" w:rsidP="00B64831">
      <w:pPr>
        <w:spacing w:after="120" w:line="276" w:lineRule="auto"/>
        <w:jc w:val="both"/>
        <w:rPr>
          <w:rFonts w:ascii="Times New Roman" w:hAnsi="Times New Roman" w:cs="Times New Roman"/>
        </w:rPr>
      </w:pPr>
      <w:r w:rsidRPr="00281620">
        <w:rPr>
          <w:rFonts w:ascii="Times New Roman" w:hAnsi="Times New Roman" w:cs="Times New Roman"/>
        </w:rPr>
        <w:t xml:space="preserve">Utilizando la bibliografía revisada, en este documento se estimará el beneficio del INEVAL por realizar evaluaciones continuas a los estudiantes ecuatorianos. Así, para calcular este beneficio se utiliza este parámetro de Figlio y Loeb (2011), combinándolo con la metodología explicada más arriba de Hanushek y Woessmann (2012) que indican que una mejora equivalente a una desviación estándar en los resultados de las pruebas está asociada con un incremento entre 1.2-2 puntos porcentuales en el crecimiento anual del PIB per cápita. </w:t>
      </w:r>
    </w:p>
    <w:p w14:paraId="205F5AF4" w14:textId="6724C796" w:rsidR="00B64831" w:rsidRDefault="00B64831" w:rsidP="00B64831">
      <w:pPr>
        <w:spacing w:after="120" w:line="276" w:lineRule="auto"/>
        <w:jc w:val="both"/>
        <w:rPr>
          <w:rFonts w:ascii="Times New Roman" w:hAnsi="Times New Roman" w:cs="Times New Roman"/>
          <w:spacing w:val="-2"/>
        </w:rPr>
      </w:pPr>
      <w:r w:rsidRPr="00281620">
        <w:rPr>
          <w:rFonts w:ascii="Times New Roman" w:hAnsi="Times New Roman" w:cs="Times New Roman"/>
        </w:rPr>
        <w:t>El INEVAL</w:t>
      </w:r>
      <w:r>
        <w:rPr>
          <w:rFonts w:ascii="Times New Roman" w:hAnsi="Times New Roman" w:cs="Times New Roman"/>
        </w:rPr>
        <w:t xml:space="preserve"> se plantea como objetivo</w:t>
      </w:r>
      <w:r w:rsidRPr="00281620">
        <w:rPr>
          <w:rFonts w:ascii="Times New Roman" w:hAnsi="Times New Roman" w:cs="Times New Roman"/>
        </w:rPr>
        <w:t xml:space="preserve"> evaluar a 1’061,947 estudiantes en 2016, 278,000 en 2017 y 278,000 en 2018. En el escenario base, se asume que del total de estudiantes evaluado en cada año, </w:t>
      </w:r>
      <w:r>
        <w:rPr>
          <w:rFonts w:ascii="Times New Roman" w:hAnsi="Times New Roman" w:cs="Times New Roman"/>
        </w:rPr>
        <w:t>20</w:t>
      </w:r>
      <w:r w:rsidRPr="00281620">
        <w:rPr>
          <w:rFonts w:ascii="Times New Roman" w:hAnsi="Times New Roman" w:cs="Times New Roman"/>
        </w:rPr>
        <w:t>% mejora en su desempeño en 0.10 desviaciones estándar.</w:t>
      </w:r>
      <w:r w:rsidRPr="00281620">
        <w:rPr>
          <w:rStyle w:val="FootnoteReference"/>
          <w:rFonts w:ascii="Times New Roman" w:hAnsi="Times New Roman" w:cs="Times New Roman"/>
        </w:rPr>
        <w:footnoteReference w:id="15"/>
      </w:r>
      <w:r w:rsidRPr="00281620">
        <w:rPr>
          <w:rFonts w:ascii="Times New Roman" w:hAnsi="Times New Roman" w:cs="Times New Roman"/>
        </w:rPr>
        <w:t xml:space="preserve"> Usando el coeficiente de Hanushek para todos los países, se estima un impacto sobre el crecimiento de la economía de </w:t>
      </w:r>
      <w:r>
        <w:rPr>
          <w:rFonts w:ascii="Times New Roman" w:hAnsi="Times New Roman" w:cs="Times New Roman"/>
        </w:rPr>
        <w:t>US$11 millones en 2017 y de US$3 millones en 2018 y 2019.</w:t>
      </w:r>
    </w:p>
    <w:p w14:paraId="402A01F1" w14:textId="5A3ACFD7" w:rsidR="00493EB0" w:rsidRPr="00C479C0" w:rsidRDefault="00493EB0" w:rsidP="0026134B">
      <w:pPr>
        <w:spacing w:after="120" w:line="276" w:lineRule="auto"/>
        <w:jc w:val="both"/>
        <w:rPr>
          <w:rFonts w:ascii="Times New Roman" w:eastAsia="Times New Roman" w:hAnsi="Times New Roman" w:cs="Times New Roman"/>
        </w:rPr>
      </w:pPr>
    </w:p>
    <w:p w14:paraId="4C13DB59" w14:textId="3A76BEC8" w:rsidR="00CE2A9C" w:rsidRPr="00794221" w:rsidRDefault="00CE2A9C" w:rsidP="00AE20C3">
      <w:pPr>
        <w:pStyle w:val="ListParagraph"/>
        <w:keepNext/>
        <w:numPr>
          <w:ilvl w:val="0"/>
          <w:numId w:val="3"/>
        </w:numPr>
        <w:spacing w:before="240" w:after="240" w:line="276" w:lineRule="auto"/>
        <w:jc w:val="both"/>
        <w:rPr>
          <w:rFonts w:ascii="Times New Roman" w:hAnsi="Times New Roman" w:cs="Times New Roman"/>
          <w:b/>
        </w:rPr>
      </w:pPr>
      <w:r w:rsidRPr="00794221">
        <w:rPr>
          <w:rFonts w:ascii="Times New Roman" w:hAnsi="Times New Roman" w:cs="Times New Roman"/>
          <w:b/>
        </w:rPr>
        <w:lastRenderedPageBreak/>
        <w:t xml:space="preserve">Análisis costo – beneficio del programa </w:t>
      </w:r>
    </w:p>
    <w:p w14:paraId="7BF48AE7" w14:textId="07C31E11" w:rsidR="00DD777B" w:rsidRDefault="00C479C0" w:rsidP="00AE20C3">
      <w:pPr>
        <w:keepNext/>
        <w:spacing w:after="120" w:line="276" w:lineRule="auto"/>
        <w:jc w:val="both"/>
        <w:rPr>
          <w:rFonts w:ascii="Times New Roman" w:hAnsi="Times New Roman" w:cs="Times New Roman"/>
          <w:lang w:val="es-ES_tradnl"/>
        </w:rPr>
      </w:pPr>
      <w:r w:rsidRPr="00D6379C">
        <w:rPr>
          <w:rFonts w:ascii="Times New Roman" w:eastAsia="Times New Roman" w:hAnsi="Times New Roman" w:cs="Times New Roman"/>
        </w:rPr>
        <w:t xml:space="preserve">La tabla a continuación resume los costos y beneficios </w:t>
      </w:r>
      <w:r w:rsidRPr="00D6379C">
        <w:rPr>
          <w:rFonts w:ascii="Times New Roman" w:hAnsi="Times New Roman" w:cs="Times New Roman"/>
        </w:rPr>
        <w:t>para el programa “</w:t>
      </w:r>
      <w:r w:rsidRPr="00D6379C">
        <w:rPr>
          <w:rFonts w:ascii="Times New Roman" w:hAnsi="Times New Roman" w:cs="Times New Roman"/>
          <w:lang w:val="es-ES_tradnl"/>
        </w:rPr>
        <w:t xml:space="preserve">Apoyo Sectorial para una Educación de Calidad en Ecuador” durante 2016 y </w:t>
      </w:r>
      <w:r w:rsidR="0005616B" w:rsidRPr="00794221">
        <w:rPr>
          <w:rFonts w:ascii="Times New Roman" w:hAnsi="Times New Roman" w:cs="Times New Roman"/>
          <w:lang w:val="es-ES_tradnl"/>
        </w:rPr>
        <w:t>2019</w:t>
      </w:r>
      <w:r w:rsidRPr="00D6379C">
        <w:rPr>
          <w:rStyle w:val="FootnoteReference"/>
          <w:rFonts w:ascii="Times New Roman" w:hAnsi="Times New Roman" w:cs="Times New Roman"/>
          <w:lang w:val="es-ES_tradnl"/>
        </w:rPr>
        <w:footnoteReference w:id="16"/>
      </w:r>
      <w:r w:rsidR="006E31E8">
        <w:rPr>
          <w:rFonts w:ascii="Times New Roman" w:hAnsi="Times New Roman" w:cs="Times New Roman"/>
          <w:lang w:val="es-ES_tradnl"/>
        </w:rPr>
        <w:t xml:space="preserve"> para el escenario base</w:t>
      </w:r>
      <w:r w:rsidRPr="00D6379C">
        <w:rPr>
          <w:rFonts w:ascii="Times New Roman" w:hAnsi="Times New Roman" w:cs="Times New Roman"/>
          <w:lang w:val="es-ES_tradnl"/>
        </w:rPr>
        <w:t>. Los costos y beneficios para cada componente de programa se explicaron a lo largo del documento.</w:t>
      </w:r>
      <w:r>
        <w:rPr>
          <w:rFonts w:ascii="Times New Roman" w:hAnsi="Times New Roman" w:cs="Times New Roman"/>
          <w:lang w:val="es-ES_tradnl"/>
        </w:rPr>
        <w:t xml:space="preserve"> </w:t>
      </w:r>
    </w:p>
    <w:p w14:paraId="2E180737" w14:textId="1D444A91" w:rsidR="00AD0E59" w:rsidRPr="00AD0E59" w:rsidRDefault="0005616B" w:rsidP="00D6379C">
      <w:pPr>
        <w:keepNext/>
        <w:spacing w:after="0" w:line="276" w:lineRule="auto"/>
        <w:jc w:val="center"/>
        <w:rPr>
          <w:rFonts w:ascii="Times New Roman" w:hAnsi="Times New Roman" w:cs="Times New Roman"/>
          <w:b/>
          <w:lang w:val="es-ES_tradnl"/>
        </w:rPr>
      </w:pPr>
      <w:r>
        <w:rPr>
          <w:rFonts w:ascii="Times New Roman" w:hAnsi="Times New Roman" w:cs="Times New Roman"/>
          <w:b/>
          <w:lang w:val="es-ES_tradnl"/>
        </w:rPr>
        <w:t>Tabla 1</w:t>
      </w:r>
      <w:r w:rsidR="00915BBE">
        <w:rPr>
          <w:rFonts w:ascii="Times New Roman" w:hAnsi="Times New Roman" w:cs="Times New Roman"/>
          <w:b/>
          <w:lang w:val="es-ES_tradnl"/>
        </w:rPr>
        <w:t>8</w:t>
      </w:r>
    </w:p>
    <w:p w14:paraId="4A43C835" w14:textId="44F1B765" w:rsidR="00DC18CD" w:rsidRDefault="00AD0E59">
      <w:pPr>
        <w:keepNext/>
        <w:spacing w:after="0" w:line="276" w:lineRule="auto"/>
        <w:jc w:val="center"/>
        <w:rPr>
          <w:noProof/>
          <w:lang w:eastAsia="es-MX"/>
        </w:rPr>
      </w:pPr>
      <w:r w:rsidRPr="00AD0E59">
        <w:rPr>
          <w:rFonts w:ascii="Times New Roman" w:hAnsi="Times New Roman" w:cs="Times New Roman"/>
          <w:b/>
          <w:lang w:val="es-ES_tradnl"/>
        </w:rPr>
        <w:t xml:space="preserve">Costos y beneficios del programa </w:t>
      </w:r>
      <w:r w:rsidRPr="00AD0E59">
        <w:rPr>
          <w:rFonts w:ascii="Times New Roman" w:hAnsi="Times New Roman" w:cs="Times New Roman"/>
          <w:b/>
        </w:rPr>
        <w:t>“</w:t>
      </w:r>
      <w:r w:rsidRPr="00AD0E59">
        <w:rPr>
          <w:rFonts w:ascii="Times New Roman" w:hAnsi="Times New Roman" w:cs="Times New Roman"/>
          <w:b/>
          <w:lang w:val="es-ES_tradnl"/>
        </w:rPr>
        <w:t>Apoyo Sectorial para una Educación de Calidad en Ecuador”</w:t>
      </w:r>
      <w:r w:rsidR="00AD0CC1">
        <w:rPr>
          <w:rFonts w:ascii="Times New Roman" w:hAnsi="Times New Roman" w:cs="Times New Roman"/>
          <w:b/>
          <w:lang w:val="es-ES_tradnl"/>
        </w:rPr>
        <w:t xml:space="preserve"> – escenario base</w:t>
      </w:r>
      <w:r w:rsidR="00915BBE" w:rsidRPr="00915BBE">
        <w:rPr>
          <w:rFonts w:ascii="Times New Roman" w:hAnsi="Times New Roman" w:cs="Times New Roman"/>
          <w:lang w:val="es-ES_tradnl"/>
        </w:rPr>
        <w:t xml:space="preserve"> </w:t>
      </w:r>
      <w:r w:rsidR="005C02A3" w:rsidRPr="005C02A3">
        <w:rPr>
          <w:rFonts w:ascii="Times New Roman" w:hAnsi="Times New Roman" w:cs="Times New Roman"/>
          <w:lang w:val="es-ES_tradnl"/>
        </w:rPr>
        <w:t xml:space="preserve"> </w:t>
      </w:r>
    </w:p>
    <w:p w14:paraId="08156866" w14:textId="36C786DF" w:rsidR="00CF582F" w:rsidRDefault="00CF582F">
      <w:pPr>
        <w:keepNext/>
        <w:spacing w:after="0" w:line="276" w:lineRule="auto"/>
        <w:jc w:val="center"/>
        <w:rPr>
          <w:rFonts w:ascii="Times New Roman" w:hAnsi="Times New Roman" w:cs="Times New Roman"/>
          <w:lang w:val="es-ES_tradnl"/>
        </w:rPr>
      </w:pPr>
      <w:r w:rsidRPr="00CF582F">
        <w:rPr>
          <w:noProof/>
          <w:lang w:val="en-US"/>
        </w:rPr>
        <w:drawing>
          <wp:inline distT="0" distB="0" distL="0" distR="0" wp14:anchorId="5F0051AE" wp14:editId="492CC294">
            <wp:extent cx="5612130" cy="1453083"/>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453083"/>
                    </a:xfrm>
                    <a:prstGeom prst="rect">
                      <a:avLst/>
                    </a:prstGeom>
                    <a:noFill/>
                    <a:ln>
                      <a:noFill/>
                    </a:ln>
                  </pic:spPr>
                </pic:pic>
              </a:graphicData>
            </a:graphic>
          </wp:inline>
        </w:drawing>
      </w:r>
    </w:p>
    <w:p w14:paraId="7488DB35" w14:textId="4F98E629" w:rsidR="00AD0E59" w:rsidRDefault="00AD0E59" w:rsidP="00AD0E59">
      <w:pPr>
        <w:spacing w:after="120" w:line="276" w:lineRule="auto"/>
        <w:rPr>
          <w:rFonts w:ascii="Times New Roman" w:hAnsi="Times New Roman" w:cs="Times New Roman"/>
          <w:sz w:val="20"/>
          <w:szCs w:val="20"/>
          <w:lang w:val="es-ES_tradnl"/>
        </w:rPr>
      </w:pPr>
      <w:r w:rsidRPr="00AD0E59">
        <w:rPr>
          <w:rFonts w:ascii="Times New Roman" w:hAnsi="Times New Roman" w:cs="Times New Roman"/>
          <w:sz w:val="20"/>
          <w:szCs w:val="20"/>
          <w:lang w:val="es-ES_tradnl"/>
        </w:rPr>
        <w:t xml:space="preserve">Fuente: </w:t>
      </w:r>
      <w:r w:rsidR="00CE2A9C">
        <w:rPr>
          <w:rFonts w:ascii="Times New Roman" w:hAnsi="Times New Roman" w:cs="Times New Roman"/>
          <w:sz w:val="20"/>
          <w:szCs w:val="20"/>
          <w:lang w:val="es-ES_tradnl"/>
        </w:rPr>
        <w:t>cálculos consultores</w:t>
      </w:r>
      <w:r w:rsidRPr="00AD0E59">
        <w:rPr>
          <w:rFonts w:ascii="Times New Roman" w:hAnsi="Times New Roman" w:cs="Times New Roman"/>
          <w:sz w:val="20"/>
          <w:szCs w:val="20"/>
          <w:lang w:val="es-ES_tradnl"/>
        </w:rPr>
        <w:t xml:space="preserve"> </w:t>
      </w:r>
    </w:p>
    <w:p w14:paraId="4746F49D" w14:textId="5038D918" w:rsidR="00DE0419" w:rsidRDefault="00DE0419" w:rsidP="00DE0419">
      <w:pPr>
        <w:pStyle w:val="Paragraph"/>
        <w:numPr>
          <w:ilvl w:val="0"/>
          <w:numId w:val="0"/>
        </w:numPr>
        <w:spacing w:before="0" w:line="276" w:lineRule="auto"/>
        <w:outlineLvl w:val="9"/>
        <w:rPr>
          <w:sz w:val="22"/>
          <w:szCs w:val="22"/>
          <w:highlight w:val="yellow"/>
        </w:rPr>
      </w:pPr>
      <w:r w:rsidRPr="00D6379C">
        <w:rPr>
          <w:sz w:val="22"/>
          <w:szCs w:val="22"/>
        </w:rPr>
        <w:t xml:space="preserve">El análisis económico ex ante del programa, llevado a cabo mediante la metodología de costo-beneficio, y usando una tasa de descuento del 12%, dio resultados positivos. Los principales beneficios que se cuantificaron están vinculados a los diferenciales salariales esperados en el futuro, obtenidos por quienes son beneficiados por recibir una mayor y mejor educación, así como por un mayor crecimiento económico al nivel del país al tener una fuerza laboral presente y futura más calificada y con profesores mejor seleccionados. Estas estimaciones se consideran un piso ya que no incorporan externalidades positivas tales como el impacto en menor criminalidad y drogadicción o ahorros en gastos en salud. La evaluación ex ante de los beneficios del programa, en </w:t>
      </w:r>
      <w:r>
        <w:rPr>
          <w:sz w:val="22"/>
          <w:szCs w:val="22"/>
        </w:rPr>
        <w:t xml:space="preserve">el </w:t>
      </w:r>
      <w:r w:rsidRPr="00D6379C">
        <w:rPr>
          <w:sz w:val="22"/>
          <w:szCs w:val="22"/>
        </w:rPr>
        <w:t xml:space="preserve">escenario </w:t>
      </w:r>
      <w:r>
        <w:rPr>
          <w:sz w:val="22"/>
          <w:szCs w:val="22"/>
        </w:rPr>
        <w:t>base</w:t>
      </w:r>
      <w:r w:rsidRPr="00D6379C">
        <w:rPr>
          <w:sz w:val="22"/>
          <w:szCs w:val="22"/>
        </w:rPr>
        <w:t xml:space="preserve">, indica un Valor Actual Neto (VAN) de </w:t>
      </w:r>
      <w:r>
        <w:rPr>
          <w:sz w:val="22"/>
          <w:szCs w:val="22"/>
        </w:rPr>
        <w:t>US</w:t>
      </w:r>
      <w:r w:rsidRPr="00D6379C">
        <w:rPr>
          <w:sz w:val="22"/>
          <w:szCs w:val="22"/>
        </w:rPr>
        <w:t>$</w:t>
      </w:r>
      <w:r w:rsidR="00CF582F">
        <w:rPr>
          <w:sz w:val="22"/>
          <w:szCs w:val="22"/>
        </w:rPr>
        <w:t>88</w:t>
      </w:r>
      <w:r w:rsidRPr="00D6379C">
        <w:rPr>
          <w:sz w:val="22"/>
          <w:szCs w:val="22"/>
        </w:rPr>
        <w:t xml:space="preserve"> millones positivo y la Tasa Interna de Retorno Social (TIRS) es de </w:t>
      </w:r>
      <w:r w:rsidR="009F1538">
        <w:rPr>
          <w:sz w:val="22"/>
          <w:szCs w:val="22"/>
        </w:rPr>
        <w:t>1</w:t>
      </w:r>
      <w:r w:rsidR="00EB02B1">
        <w:rPr>
          <w:sz w:val="22"/>
          <w:szCs w:val="22"/>
        </w:rPr>
        <w:t>4</w:t>
      </w:r>
      <w:r w:rsidRPr="00D6379C">
        <w:rPr>
          <w:sz w:val="22"/>
          <w:szCs w:val="22"/>
        </w:rPr>
        <w:t xml:space="preserve">%, tornando viable el proyecto. </w:t>
      </w:r>
    </w:p>
    <w:p w14:paraId="7C9DA6A6" w14:textId="4181E26E" w:rsidR="007D3CE3" w:rsidRDefault="00DE0419" w:rsidP="00CE2A9C">
      <w:pPr>
        <w:spacing w:after="120" w:line="276" w:lineRule="auto"/>
        <w:jc w:val="both"/>
        <w:rPr>
          <w:rFonts w:ascii="Times New Roman" w:hAnsi="Times New Roman" w:cs="Times New Roman"/>
        </w:rPr>
      </w:pPr>
      <w:r>
        <w:rPr>
          <w:rFonts w:ascii="Times New Roman" w:hAnsi="Times New Roman" w:cs="Times New Roman"/>
        </w:rPr>
        <w:t>Adicionalmente, s</w:t>
      </w:r>
      <w:r w:rsidR="006E31E8" w:rsidRPr="00CE2A9C">
        <w:rPr>
          <w:rFonts w:ascii="Times New Roman" w:hAnsi="Times New Roman" w:cs="Times New Roman"/>
        </w:rPr>
        <w:t>e realizaron estimaci</w:t>
      </w:r>
      <w:r w:rsidR="007D3CE3">
        <w:rPr>
          <w:rFonts w:ascii="Times New Roman" w:hAnsi="Times New Roman" w:cs="Times New Roman"/>
        </w:rPr>
        <w:t>ones con diferentes escenarios. Por un lado, se definieron supuestos más pesimistas para cada componente, los que se detallan a continuación:</w:t>
      </w:r>
    </w:p>
    <w:p w14:paraId="2A9238E8" w14:textId="5CAF3012" w:rsidR="007D3CE3" w:rsidRDefault="005345B7" w:rsidP="007D3CE3">
      <w:pPr>
        <w:pStyle w:val="ListParagraph"/>
        <w:numPr>
          <w:ilvl w:val="0"/>
          <w:numId w:val="17"/>
        </w:numPr>
        <w:spacing w:after="120" w:line="276" w:lineRule="auto"/>
        <w:contextualSpacing w:val="0"/>
        <w:jc w:val="both"/>
        <w:rPr>
          <w:rFonts w:ascii="Times New Roman" w:hAnsi="Times New Roman" w:cs="Times New Roman"/>
        </w:rPr>
      </w:pPr>
      <w:r>
        <w:rPr>
          <w:rFonts w:ascii="Times New Roman" w:hAnsi="Times New Roman" w:cs="Times New Roman"/>
        </w:rPr>
        <w:t>En el subcomponente del EBJA</w:t>
      </w:r>
      <w:r w:rsidR="004542A4">
        <w:rPr>
          <w:rFonts w:ascii="Times New Roman" w:hAnsi="Times New Roman" w:cs="Times New Roman"/>
        </w:rPr>
        <w:t>,</w:t>
      </w:r>
      <w:r>
        <w:rPr>
          <w:rFonts w:ascii="Times New Roman" w:hAnsi="Times New Roman" w:cs="Times New Roman"/>
        </w:rPr>
        <w:t xml:space="preserve"> se </w:t>
      </w:r>
      <w:r w:rsidRPr="00A13E17">
        <w:rPr>
          <w:rFonts w:ascii="Times New Roman" w:hAnsi="Times New Roman" w:cs="Times New Roman"/>
        </w:rPr>
        <w:t xml:space="preserve">cambia el supuesto del cumplimiento de meta y </w:t>
      </w:r>
      <w:r>
        <w:rPr>
          <w:rFonts w:ascii="Times New Roman" w:hAnsi="Times New Roman" w:cs="Times New Roman"/>
        </w:rPr>
        <w:t xml:space="preserve">se </w:t>
      </w:r>
      <w:r w:rsidRPr="00A13E17">
        <w:rPr>
          <w:rFonts w:ascii="Times New Roman" w:hAnsi="Times New Roman" w:cs="Times New Roman"/>
        </w:rPr>
        <w:t>asum</w:t>
      </w:r>
      <w:r>
        <w:rPr>
          <w:rFonts w:ascii="Times New Roman" w:hAnsi="Times New Roman" w:cs="Times New Roman"/>
        </w:rPr>
        <w:t>e</w:t>
      </w:r>
      <w:r w:rsidRPr="00A13E17">
        <w:rPr>
          <w:rFonts w:ascii="Times New Roman" w:hAnsi="Times New Roman" w:cs="Times New Roman"/>
        </w:rPr>
        <w:t xml:space="preserve"> que </w:t>
      </w:r>
      <w:r>
        <w:rPr>
          <w:rFonts w:ascii="Times New Roman" w:hAnsi="Times New Roman" w:cs="Times New Roman"/>
        </w:rPr>
        <w:t xml:space="preserve">se </w:t>
      </w:r>
      <w:r w:rsidRPr="00A13E17">
        <w:rPr>
          <w:rFonts w:ascii="Times New Roman" w:hAnsi="Times New Roman" w:cs="Times New Roman"/>
        </w:rPr>
        <w:t xml:space="preserve">tendrá, en cada año, </w:t>
      </w:r>
      <w:r w:rsidR="00417CE3">
        <w:rPr>
          <w:rFonts w:ascii="Times New Roman" w:hAnsi="Times New Roman" w:cs="Times New Roman"/>
        </w:rPr>
        <w:t xml:space="preserve">únicamente </w:t>
      </w:r>
      <w:r w:rsidR="00915BBE">
        <w:rPr>
          <w:rFonts w:ascii="Times New Roman" w:hAnsi="Times New Roman" w:cs="Times New Roman"/>
        </w:rPr>
        <w:t>2</w:t>
      </w:r>
      <w:r w:rsidRPr="00A13E17">
        <w:rPr>
          <w:rFonts w:ascii="Times New Roman" w:hAnsi="Times New Roman" w:cs="Times New Roman"/>
        </w:rPr>
        <w:t>0% de los beneficiarios</w:t>
      </w:r>
      <w:r>
        <w:rPr>
          <w:rFonts w:ascii="Times New Roman" w:hAnsi="Times New Roman" w:cs="Times New Roman"/>
        </w:rPr>
        <w:t xml:space="preserve"> proyectados</w:t>
      </w:r>
      <w:r w:rsidR="00FB74E7">
        <w:rPr>
          <w:rFonts w:ascii="Times New Roman" w:hAnsi="Times New Roman" w:cs="Times New Roman"/>
        </w:rPr>
        <w:t xml:space="preserve">, manteniendo </w:t>
      </w:r>
      <w:r>
        <w:rPr>
          <w:rFonts w:ascii="Times New Roman" w:hAnsi="Times New Roman" w:cs="Times New Roman"/>
        </w:rPr>
        <w:t xml:space="preserve">un porcentaje de graduación de </w:t>
      </w:r>
      <w:r w:rsidR="00915BBE">
        <w:rPr>
          <w:rFonts w:ascii="Times New Roman" w:hAnsi="Times New Roman" w:cs="Times New Roman"/>
        </w:rPr>
        <w:t>5</w:t>
      </w:r>
      <w:r>
        <w:rPr>
          <w:rFonts w:ascii="Times New Roman" w:hAnsi="Times New Roman" w:cs="Times New Roman"/>
        </w:rPr>
        <w:t>0%</w:t>
      </w:r>
      <w:r w:rsidR="009F1538">
        <w:rPr>
          <w:rFonts w:ascii="Times New Roman" w:hAnsi="Times New Roman" w:cs="Times New Roman"/>
        </w:rPr>
        <w:t xml:space="preserve"> para bachillerato, mientras que para EGB el cumplimiento de meta sería de 30% y el porcentaje de graduación de 60%.</w:t>
      </w:r>
    </w:p>
    <w:p w14:paraId="14BDD589" w14:textId="1FBECE1B" w:rsidR="007D3CE3" w:rsidRDefault="007D3CE3" w:rsidP="007D3CE3">
      <w:pPr>
        <w:pStyle w:val="ListParagraph"/>
        <w:numPr>
          <w:ilvl w:val="0"/>
          <w:numId w:val="17"/>
        </w:numPr>
        <w:spacing w:after="120" w:line="276" w:lineRule="auto"/>
        <w:contextualSpacing w:val="0"/>
        <w:jc w:val="both"/>
        <w:rPr>
          <w:rFonts w:ascii="Times New Roman" w:hAnsi="Times New Roman" w:cs="Times New Roman"/>
        </w:rPr>
      </w:pPr>
      <w:r>
        <w:rPr>
          <w:rFonts w:ascii="Times New Roman" w:hAnsi="Times New Roman" w:cs="Times New Roman"/>
        </w:rPr>
        <w:t>En el subcomponente de Síprofe</w:t>
      </w:r>
      <w:r w:rsidR="00330579">
        <w:rPr>
          <w:rFonts w:ascii="Times New Roman" w:hAnsi="Times New Roman" w:cs="Times New Roman"/>
        </w:rPr>
        <w:t xml:space="preserve">, para la estimación del beneficio en el ingreso futuro de los beneficiarios, se asume que </w:t>
      </w:r>
      <w:r w:rsidR="009F1538">
        <w:rPr>
          <w:rFonts w:ascii="Times New Roman" w:hAnsi="Times New Roman" w:cs="Times New Roman"/>
        </w:rPr>
        <w:t xml:space="preserve">25% de profesores aprovechan el curso y de estos 15% </w:t>
      </w:r>
      <w:r w:rsidR="00FB74E7">
        <w:rPr>
          <w:rFonts w:ascii="Times New Roman" w:eastAsia="Times New Roman" w:hAnsi="Times New Roman" w:cs="Times New Roman"/>
        </w:rPr>
        <w:t>mejor</w:t>
      </w:r>
      <w:r w:rsidR="009F1538">
        <w:rPr>
          <w:rFonts w:ascii="Times New Roman" w:eastAsia="Times New Roman" w:hAnsi="Times New Roman" w:cs="Times New Roman"/>
        </w:rPr>
        <w:t>a</w:t>
      </w:r>
      <w:r w:rsidR="00FB74E7">
        <w:rPr>
          <w:rFonts w:ascii="Times New Roman" w:eastAsia="Times New Roman" w:hAnsi="Times New Roman" w:cs="Times New Roman"/>
        </w:rPr>
        <w:t xml:space="preserve"> su desempeño docente (en </w:t>
      </w:r>
      <w:r w:rsidR="00FB74E7" w:rsidRPr="007D4C7D">
        <w:rPr>
          <w:rFonts w:ascii="Times New Roman" w:eastAsia="Times New Roman" w:hAnsi="Times New Roman" w:cs="Times New Roman"/>
        </w:rPr>
        <w:t>0.0</w:t>
      </w:r>
      <w:r w:rsidR="009F1538">
        <w:rPr>
          <w:rFonts w:ascii="Times New Roman" w:eastAsia="Times New Roman" w:hAnsi="Times New Roman" w:cs="Times New Roman"/>
        </w:rPr>
        <w:t>3</w:t>
      </w:r>
      <w:r w:rsidR="00FB74E7" w:rsidRPr="007D4C7D">
        <w:rPr>
          <w:rFonts w:ascii="Times New Roman" w:eastAsia="Times New Roman" w:hAnsi="Times New Roman" w:cs="Times New Roman"/>
        </w:rPr>
        <w:t xml:space="preserve"> desviaciones estándar</w:t>
      </w:r>
      <w:r w:rsidR="00FB74E7">
        <w:rPr>
          <w:rFonts w:ascii="Times New Roman" w:eastAsia="Times New Roman" w:hAnsi="Times New Roman" w:cs="Times New Roman"/>
        </w:rPr>
        <w:t xml:space="preserve">) como consecuencia del </w:t>
      </w:r>
      <w:r w:rsidR="00FB74E7" w:rsidRPr="007D4C7D">
        <w:rPr>
          <w:rFonts w:ascii="Times New Roman" w:eastAsia="Times New Roman" w:hAnsi="Times New Roman" w:cs="Times New Roman"/>
        </w:rPr>
        <w:t>proceso de formación docente</w:t>
      </w:r>
      <w:r w:rsidR="00330579">
        <w:rPr>
          <w:rFonts w:ascii="Times New Roman" w:hAnsi="Times New Roman" w:cs="Times New Roman"/>
        </w:rPr>
        <w:t>.</w:t>
      </w:r>
    </w:p>
    <w:p w14:paraId="42C72590" w14:textId="3F32B911" w:rsidR="007D3CE3" w:rsidRDefault="00330579" w:rsidP="007D3CE3">
      <w:pPr>
        <w:pStyle w:val="ListParagraph"/>
        <w:numPr>
          <w:ilvl w:val="0"/>
          <w:numId w:val="17"/>
        </w:numPr>
        <w:spacing w:after="120" w:line="276" w:lineRule="auto"/>
        <w:contextualSpacing w:val="0"/>
        <w:jc w:val="both"/>
        <w:rPr>
          <w:rFonts w:ascii="Times New Roman" w:hAnsi="Times New Roman" w:cs="Times New Roman"/>
        </w:rPr>
      </w:pPr>
      <w:r>
        <w:rPr>
          <w:rFonts w:ascii="Times New Roman" w:hAnsi="Times New Roman" w:cs="Times New Roman"/>
        </w:rPr>
        <w:t>En el componente de a</w:t>
      </w:r>
      <w:r w:rsidR="007D3CE3">
        <w:rPr>
          <w:rFonts w:ascii="Times New Roman" w:hAnsi="Times New Roman" w:cs="Times New Roman"/>
        </w:rPr>
        <w:t>limentación escolar</w:t>
      </w:r>
      <w:r w:rsidR="004542A4">
        <w:rPr>
          <w:rFonts w:ascii="Times New Roman" w:hAnsi="Times New Roman" w:cs="Times New Roman"/>
        </w:rPr>
        <w:t>,</w:t>
      </w:r>
      <w:r>
        <w:rPr>
          <w:rFonts w:ascii="Times New Roman" w:hAnsi="Times New Roman" w:cs="Times New Roman"/>
        </w:rPr>
        <w:t xml:space="preserve"> se utilizan los datos según la base de datos TERCE, el coeficiente de Hanushek para los países</w:t>
      </w:r>
      <w:r w:rsidR="005C02A3">
        <w:rPr>
          <w:rFonts w:ascii="Times New Roman" w:hAnsi="Times New Roman" w:cs="Times New Roman"/>
        </w:rPr>
        <w:t xml:space="preserve"> de ingresos bajos</w:t>
      </w:r>
      <w:r>
        <w:rPr>
          <w:rFonts w:ascii="Times New Roman" w:hAnsi="Times New Roman" w:cs="Times New Roman"/>
        </w:rPr>
        <w:t xml:space="preserve"> y además, se elimina </w:t>
      </w:r>
      <w:r>
        <w:rPr>
          <w:rFonts w:ascii="Times New Roman" w:hAnsi="Times New Roman" w:cs="Times New Roman"/>
        </w:rPr>
        <w:lastRenderedPageBreak/>
        <w:t xml:space="preserve">el impacto que tiene la mayor </w:t>
      </w:r>
      <w:r w:rsidRPr="00222C0B">
        <w:rPr>
          <w:rFonts w:ascii="Times New Roman" w:hAnsi="Times New Roman" w:cs="Times New Roman"/>
        </w:rPr>
        <w:t xml:space="preserve">adquisición </w:t>
      </w:r>
      <w:r>
        <w:rPr>
          <w:rFonts w:ascii="Times New Roman" w:hAnsi="Times New Roman" w:cs="Times New Roman"/>
        </w:rPr>
        <w:t xml:space="preserve">local </w:t>
      </w:r>
      <w:r w:rsidRPr="00222C0B">
        <w:rPr>
          <w:rFonts w:ascii="Times New Roman" w:hAnsi="Times New Roman" w:cs="Times New Roman"/>
        </w:rPr>
        <w:t>de insumos alimenticios</w:t>
      </w:r>
      <w:r>
        <w:rPr>
          <w:rFonts w:ascii="Times New Roman" w:hAnsi="Times New Roman" w:cs="Times New Roman"/>
        </w:rPr>
        <w:t xml:space="preserve"> en el crecimiento económico. </w:t>
      </w:r>
    </w:p>
    <w:p w14:paraId="39B1988B" w14:textId="05FD9324" w:rsidR="007D3CE3" w:rsidRPr="00FB74E7" w:rsidRDefault="00330579" w:rsidP="007D3CE3">
      <w:pPr>
        <w:pStyle w:val="ListParagraph"/>
        <w:numPr>
          <w:ilvl w:val="0"/>
          <w:numId w:val="17"/>
        </w:numPr>
        <w:spacing w:after="120" w:line="276" w:lineRule="auto"/>
        <w:jc w:val="both"/>
        <w:rPr>
          <w:rFonts w:ascii="Times New Roman" w:hAnsi="Times New Roman" w:cs="Times New Roman"/>
        </w:rPr>
      </w:pPr>
      <w:r w:rsidRPr="00330579">
        <w:rPr>
          <w:rFonts w:ascii="Times New Roman" w:hAnsi="Times New Roman" w:cs="Times New Roman"/>
        </w:rPr>
        <w:t>En el componente de e</w:t>
      </w:r>
      <w:r w:rsidR="007D3CE3" w:rsidRPr="00330579">
        <w:rPr>
          <w:rFonts w:ascii="Times New Roman" w:hAnsi="Times New Roman" w:cs="Times New Roman"/>
        </w:rPr>
        <w:t>valuación educativa</w:t>
      </w:r>
      <w:r w:rsidR="004542A4">
        <w:rPr>
          <w:rFonts w:ascii="Times New Roman" w:hAnsi="Times New Roman" w:cs="Times New Roman"/>
        </w:rPr>
        <w:t>,</w:t>
      </w:r>
      <w:r w:rsidRPr="00330579">
        <w:rPr>
          <w:rFonts w:ascii="Times New Roman" w:hAnsi="Times New Roman" w:cs="Times New Roman"/>
        </w:rPr>
        <w:t xml:space="preserve"> </w:t>
      </w:r>
      <w:r w:rsidRPr="00330579">
        <w:rPr>
          <w:rFonts w:ascii="Times New Roman" w:eastAsia="Times New Roman" w:hAnsi="Times New Roman" w:cs="Times New Roman"/>
        </w:rPr>
        <w:t>se asume que</w:t>
      </w:r>
      <w:r w:rsidR="00BC0743">
        <w:rPr>
          <w:rFonts w:ascii="Times New Roman" w:eastAsia="Times New Roman" w:hAnsi="Times New Roman" w:cs="Times New Roman"/>
        </w:rPr>
        <w:t>,</w:t>
      </w:r>
      <w:r w:rsidR="000C23A5">
        <w:rPr>
          <w:rFonts w:ascii="Times New Roman" w:eastAsia="Times New Roman" w:hAnsi="Times New Roman" w:cs="Times New Roman"/>
        </w:rPr>
        <w:t xml:space="preserve"> gracias a los mecanismos de rendición de cuentas,</w:t>
      </w:r>
      <w:r w:rsidRPr="00330579">
        <w:rPr>
          <w:rFonts w:ascii="Times New Roman" w:eastAsia="Times New Roman" w:hAnsi="Times New Roman" w:cs="Times New Roman"/>
        </w:rPr>
        <w:t xml:space="preserve"> </w:t>
      </w:r>
      <w:r w:rsidR="000C23A5">
        <w:rPr>
          <w:rFonts w:ascii="Times New Roman" w:eastAsia="Times New Roman" w:hAnsi="Times New Roman" w:cs="Times New Roman"/>
        </w:rPr>
        <w:t xml:space="preserve">20% de los estudiantes evaluados mejora su desempeño en 0.095 desviaciones estándar causando un impacto positivo en la economía ecuatoriana. Se utiliza el coeficiente de Hanushek para todos los países. </w:t>
      </w:r>
    </w:p>
    <w:p w14:paraId="36C19EAF" w14:textId="6C583517" w:rsidR="00F7527B" w:rsidRDefault="00F7527B" w:rsidP="00CE2A9C">
      <w:pPr>
        <w:spacing w:after="120" w:line="276" w:lineRule="auto"/>
        <w:jc w:val="both"/>
        <w:rPr>
          <w:rFonts w:ascii="Times New Roman" w:hAnsi="Times New Roman" w:cs="Times New Roman"/>
        </w:rPr>
      </w:pPr>
      <w:r>
        <w:rPr>
          <w:rFonts w:ascii="Times New Roman" w:hAnsi="Times New Roman" w:cs="Times New Roman"/>
        </w:rPr>
        <w:t xml:space="preserve">Utilizando la misma metodología que en el escenario base, con estos supuestos pesimistas, el proyecto tendría un VAN de </w:t>
      </w:r>
      <w:r w:rsidR="00AD0CC1">
        <w:rPr>
          <w:rFonts w:ascii="Times New Roman" w:hAnsi="Times New Roman" w:cs="Times New Roman"/>
        </w:rPr>
        <w:t>US$</w:t>
      </w:r>
      <w:r w:rsidR="002A0473">
        <w:rPr>
          <w:rFonts w:ascii="Times New Roman" w:hAnsi="Times New Roman" w:cs="Times New Roman"/>
        </w:rPr>
        <w:t>17</w:t>
      </w:r>
      <w:r w:rsidR="00AD0CC1">
        <w:rPr>
          <w:rFonts w:ascii="Times New Roman" w:hAnsi="Times New Roman" w:cs="Times New Roman"/>
        </w:rPr>
        <w:t xml:space="preserve"> millones </w:t>
      </w:r>
      <w:r>
        <w:rPr>
          <w:rFonts w:ascii="Times New Roman" w:hAnsi="Times New Roman" w:cs="Times New Roman"/>
        </w:rPr>
        <w:t xml:space="preserve">y una TIRS de </w:t>
      </w:r>
      <w:r w:rsidR="00915BBE">
        <w:rPr>
          <w:rFonts w:ascii="Times New Roman" w:hAnsi="Times New Roman" w:cs="Times New Roman"/>
        </w:rPr>
        <w:t>1</w:t>
      </w:r>
      <w:r w:rsidR="002A0473">
        <w:rPr>
          <w:rFonts w:ascii="Times New Roman" w:hAnsi="Times New Roman" w:cs="Times New Roman"/>
        </w:rPr>
        <w:t>3</w:t>
      </w:r>
      <w:r w:rsidR="00AD0CC1">
        <w:rPr>
          <w:rFonts w:ascii="Times New Roman" w:hAnsi="Times New Roman" w:cs="Times New Roman"/>
        </w:rPr>
        <w:t>%</w:t>
      </w:r>
      <w:r>
        <w:rPr>
          <w:rFonts w:ascii="Times New Roman" w:hAnsi="Times New Roman" w:cs="Times New Roman"/>
        </w:rPr>
        <w:t xml:space="preserve">. </w:t>
      </w:r>
    </w:p>
    <w:p w14:paraId="7C904490" w14:textId="3D93C94D" w:rsidR="00F7527B" w:rsidRPr="00AD0CC1" w:rsidRDefault="00F7527B" w:rsidP="00346B92">
      <w:pPr>
        <w:keepNext/>
        <w:spacing w:after="0" w:line="276" w:lineRule="auto"/>
        <w:jc w:val="center"/>
        <w:rPr>
          <w:rFonts w:ascii="Times New Roman" w:hAnsi="Times New Roman" w:cs="Times New Roman"/>
          <w:b/>
        </w:rPr>
      </w:pPr>
      <w:r w:rsidRPr="00AD0CC1">
        <w:rPr>
          <w:rFonts w:ascii="Times New Roman" w:hAnsi="Times New Roman" w:cs="Times New Roman"/>
          <w:b/>
        </w:rPr>
        <w:t>Tabla</w:t>
      </w:r>
      <w:r w:rsidR="00863E01">
        <w:rPr>
          <w:rFonts w:ascii="Times New Roman" w:hAnsi="Times New Roman" w:cs="Times New Roman"/>
          <w:b/>
        </w:rPr>
        <w:t xml:space="preserve"> </w:t>
      </w:r>
      <w:r w:rsidR="00915BBE">
        <w:rPr>
          <w:rFonts w:ascii="Times New Roman" w:hAnsi="Times New Roman" w:cs="Times New Roman"/>
          <w:b/>
        </w:rPr>
        <w:t>19</w:t>
      </w:r>
    </w:p>
    <w:p w14:paraId="76BC49A6" w14:textId="0EF998F6" w:rsidR="00AD0CC1" w:rsidRDefault="00AD0CC1" w:rsidP="00DD20EA">
      <w:pPr>
        <w:keepNext/>
        <w:spacing w:after="0" w:line="276" w:lineRule="auto"/>
        <w:jc w:val="center"/>
        <w:rPr>
          <w:noProof/>
          <w:lang w:eastAsia="es-MX"/>
        </w:rPr>
      </w:pPr>
      <w:r w:rsidRPr="00AD0CC1">
        <w:rPr>
          <w:rFonts w:ascii="Times New Roman" w:hAnsi="Times New Roman" w:cs="Times New Roman"/>
          <w:b/>
          <w:lang w:val="es-ES_tradnl"/>
        </w:rPr>
        <w:t xml:space="preserve">Costos y beneficios del programa </w:t>
      </w:r>
      <w:r w:rsidRPr="00AD0CC1">
        <w:rPr>
          <w:rFonts w:ascii="Times New Roman" w:hAnsi="Times New Roman" w:cs="Times New Roman"/>
          <w:b/>
        </w:rPr>
        <w:t>“</w:t>
      </w:r>
      <w:r w:rsidRPr="00AD0CC1">
        <w:rPr>
          <w:rFonts w:ascii="Times New Roman" w:hAnsi="Times New Roman" w:cs="Times New Roman"/>
          <w:b/>
          <w:lang w:val="es-ES_tradnl"/>
        </w:rPr>
        <w:t xml:space="preserve">Apoyo Sectorial para una Educación de Calidad en Ecuador” – escenario </w:t>
      </w:r>
      <w:r>
        <w:rPr>
          <w:rFonts w:ascii="Times New Roman" w:hAnsi="Times New Roman" w:cs="Times New Roman"/>
          <w:b/>
          <w:lang w:val="es-ES_tradnl"/>
        </w:rPr>
        <w:t>pesimista</w:t>
      </w:r>
      <w:r w:rsidR="00D27E7B" w:rsidRPr="00D27E7B">
        <w:rPr>
          <w:rFonts w:ascii="Times New Roman" w:hAnsi="Times New Roman" w:cs="Times New Roman"/>
        </w:rPr>
        <w:t xml:space="preserve"> </w:t>
      </w:r>
    </w:p>
    <w:p w14:paraId="186DD489" w14:textId="24FE1896" w:rsidR="002A0473" w:rsidRDefault="002A0473" w:rsidP="00DD20EA">
      <w:pPr>
        <w:keepNext/>
        <w:spacing w:after="0" w:line="276" w:lineRule="auto"/>
        <w:jc w:val="center"/>
        <w:rPr>
          <w:rFonts w:ascii="Times New Roman" w:hAnsi="Times New Roman" w:cs="Times New Roman"/>
        </w:rPr>
      </w:pPr>
      <w:r w:rsidRPr="002A0473">
        <w:rPr>
          <w:noProof/>
          <w:lang w:val="en-US"/>
        </w:rPr>
        <w:drawing>
          <wp:inline distT="0" distB="0" distL="0" distR="0" wp14:anchorId="0C2E59F5" wp14:editId="665489BD">
            <wp:extent cx="5612130" cy="1453083"/>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53083"/>
                    </a:xfrm>
                    <a:prstGeom prst="rect">
                      <a:avLst/>
                    </a:prstGeom>
                    <a:noFill/>
                    <a:ln>
                      <a:noFill/>
                    </a:ln>
                  </pic:spPr>
                </pic:pic>
              </a:graphicData>
            </a:graphic>
          </wp:inline>
        </w:drawing>
      </w:r>
    </w:p>
    <w:p w14:paraId="5D5A81F1" w14:textId="57B896AD" w:rsidR="00AD0CC1" w:rsidRDefault="00AD0CC1" w:rsidP="00AD0CC1">
      <w:pPr>
        <w:spacing w:after="120" w:line="276" w:lineRule="auto"/>
        <w:rPr>
          <w:rFonts w:ascii="Times New Roman" w:hAnsi="Times New Roman" w:cs="Times New Roman"/>
        </w:rPr>
      </w:pPr>
      <w:r w:rsidRPr="00AD0E59">
        <w:rPr>
          <w:rFonts w:ascii="Times New Roman" w:hAnsi="Times New Roman" w:cs="Times New Roman"/>
          <w:sz w:val="20"/>
          <w:szCs w:val="20"/>
          <w:lang w:val="es-ES_tradnl"/>
        </w:rPr>
        <w:t xml:space="preserve">Fuente: </w:t>
      </w:r>
      <w:r>
        <w:rPr>
          <w:rFonts w:ascii="Times New Roman" w:hAnsi="Times New Roman" w:cs="Times New Roman"/>
          <w:sz w:val="20"/>
          <w:szCs w:val="20"/>
          <w:lang w:val="es-ES_tradnl"/>
        </w:rPr>
        <w:t>cálculos consultores</w:t>
      </w:r>
    </w:p>
    <w:p w14:paraId="2667FBE7" w14:textId="5A186E0D" w:rsidR="00F7527B" w:rsidRDefault="00F7527B" w:rsidP="00FC7ECC">
      <w:pPr>
        <w:keepNext/>
        <w:spacing w:after="120" w:line="276" w:lineRule="auto"/>
        <w:jc w:val="both"/>
        <w:rPr>
          <w:rFonts w:ascii="Times New Roman" w:hAnsi="Times New Roman" w:cs="Times New Roman"/>
        </w:rPr>
      </w:pPr>
      <w:r>
        <w:rPr>
          <w:rFonts w:ascii="Times New Roman" w:hAnsi="Times New Roman" w:cs="Times New Roman"/>
        </w:rPr>
        <w:t>Para el escenario optimista, se asumen los siguientes supuestos:</w:t>
      </w:r>
    </w:p>
    <w:p w14:paraId="10051B3C" w14:textId="3594833D" w:rsidR="00F7527B" w:rsidRDefault="00F7527B" w:rsidP="00F7527B">
      <w:pPr>
        <w:pStyle w:val="ListParagraph"/>
        <w:numPr>
          <w:ilvl w:val="0"/>
          <w:numId w:val="17"/>
        </w:numPr>
        <w:spacing w:after="120" w:line="276" w:lineRule="auto"/>
        <w:contextualSpacing w:val="0"/>
        <w:jc w:val="both"/>
        <w:rPr>
          <w:rFonts w:ascii="Times New Roman" w:hAnsi="Times New Roman" w:cs="Times New Roman"/>
        </w:rPr>
      </w:pPr>
      <w:r>
        <w:rPr>
          <w:rFonts w:ascii="Times New Roman" w:hAnsi="Times New Roman" w:cs="Times New Roman"/>
        </w:rPr>
        <w:t>En el subcomponente del EBJA</w:t>
      </w:r>
      <w:r w:rsidR="001B0477">
        <w:rPr>
          <w:rFonts w:ascii="Times New Roman" w:hAnsi="Times New Roman" w:cs="Times New Roman"/>
        </w:rPr>
        <w:t>,</w:t>
      </w:r>
      <w:r w:rsidR="005345B7">
        <w:rPr>
          <w:rFonts w:ascii="Times New Roman" w:hAnsi="Times New Roman" w:cs="Times New Roman"/>
        </w:rPr>
        <w:t xml:space="preserve"> se </w:t>
      </w:r>
      <w:r w:rsidR="005345B7" w:rsidRPr="00A13E17">
        <w:rPr>
          <w:rFonts w:ascii="Times New Roman" w:hAnsi="Times New Roman" w:cs="Times New Roman"/>
        </w:rPr>
        <w:t xml:space="preserve">cambia el supuesto del cumplimiento de meta y </w:t>
      </w:r>
      <w:r w:rsidR="005345B7">
        <w:rPr>
          <w:rFonts w:ascii="Times New Roman" w:hAnsi="Times New Roman" w:cs="Times New Roman"/>
        </w:rPr>
        <w:t xml:space="preserve">se </w:t>
      </w:r>
      <w:r w:rsidR="005345B7" w:rsidRPr="00A13E17">
        <w:rPr>
          <w:rFonts w:ascii="Times New Roman" w:hAnsi="Times New Roman" w:cs="Times New Roman"/>
        </w:rPr>
        <w:t>asum</w:t>
      </w:r>
      <w:r w:rsidR="005345B7">
        <w:rPr>
          <w:rFonts w:ascii="Times New Roman" w:hAnsi="Times New Roman" w:cs="Times New Roman"/>
        </w:rPr>
        <w:t>e</w:t>
      </w:r>
      <w:r w:rsidR="005345B7" w:rsidRPr="00A13E17">
        <w:rPr>
          <w:rFonts w:ascii="Times New Roman" w:hAnsi="Times New Roman" w:cs="Times New Roman"/>
        </w:rPr>
        <w:t xml:space="preserve"> que </w:t>
      </w:r>
      <w:r w:rsidR="005345B7">
        <w:rPr>
          <w:rFonts w:ascii="Times New Roman" w:hAnsi="Times New Roman" w:cs="Times New Roman"/>
        </w:rPr>
        <w:t xml:space="preserve">se </w:t>
      </w:r>
      <w:r w:rsidR="005345B7" w:rsidRPr="00A13E17">
        <w:rPr>
          <w:rFonts w:ascii="Times New Roman" w:hAnsi="Times New Roman" w:cs="Times New Roman"/>
        </w:rPr>
        <w:t>tendrá, en cada año</w:t>
      </w:r>
      <w:r w:rsidR="0080452A">
        <w:rPr>
          <w:rFonts w:ascii="Times New Roman" w:hAnsi="Times New Roman" w:cs="Times New Roman"/>
        </w:rPr>
        <w:t xml:space="preserve"> en bachillerato</w:t>
      </w:r>
      <w:r w:rsidR="005345B7" w:rsidRPr="00A13E17">
        <w:rPr>
          <w:rFonts w:ascii="Times New Roman" w:hAnsi="Times New Roman" w:cs="Times New Roman"/>
        </w:rPr>
        <w:t xml:space="preserve">, </w:t>
      </w:r>
      <w:r w:rsidR="0080452A">
        <w:rPr>
          <w:rFonts w:ascii="Times New Roman" w:hAnsi="Times New Roman" w:cs="Times New Roman"/>
        </w:rPr>
        <w:t>8</w:t>
      </w:r>
      <w:r w:rsidR="005345B7" w:rsidRPr="00A13E17">
        <w:rPr>
          <w:rFonts w:ascii="Times New Roman" w:hAnsi="Times New Roman" w:cs="Times New Roman"/>
        </w:rPr>
        <w:t>0% de los beneficiarios</w:t>
      </w:r>
      <w:r w:rsidR="005345B7">
        <w:rPr>
          <w:rFonts w:ascii="Times New Roman" w:hAnsi="Times New Roman" w:cs="Times New Roman"/>
        </w:rPr>
        <w:t xml:space="preserve"> proyectados</w:t>
      </w:r>
      <w:r>
        <w:rPr>
          <w:rFonts w:ascii="Times New Roman" w:hAnsi="Times New Roman" w:cs="Times New Roman"/>
        </w:rPr>
        <w:t xml:space="preserve"> y un porcentaje de graduación de </w:t>
      </w:r>
      <w:r w:rsidR="0080452A">
        <w:rPr>
          <w:rFonts w:ascii="Times New Roman" w:hAnsi="Times New Roman" w:cs="Times New Roman"/>
        </w:rPr>
        <w:t>5</w:t>
      </w:r>
      <w:r>
        <w:rPr>
          <w:rFonts w:ascii="Times New Roman" w:hAnsi="Times New Roman" w:cs="Times New Roman"/>
        </w:rPr>
        <w:t>0%</w:t>
      </w:r>
      <w:r w:rsidR="0080452A">
        <w:rPr>
          <w:rFonts w:ascii="Times New Roman" w:hAnsi="Times New Roman" w:cs="Times New Roman"/>
        </w:rPr>
        <w:t xml:space="preserve">, para EGB el cumplimiento de meta sería de 90% y el porcentaje de graduación de 60%. </w:t>
      </w:r>
    </w:p>
    <w:p w14:paraId="2EF293FB" w14:textId="088C49CD" w:rsidR="00F7527B" w:rsidRDefault="00F7527B" w:rsidP="00F7527B">
      <w:pPr>
        <w:pStyle w:val="ListParagraph"/>
        <w:numPr>
          <w:ilvl w:val="0"/>
          <w:numId w:val="17"/>
        </w:numPr>
        <w:spacing w:after="120" w:line="276" w:lineRule="auto"/>
        <w:contextualSpacing w:val="0"/>
        <w:jc w:val="both"/>
        <w:rPr>
          <w:rFonts w:ascii="Times New Roman" w:hAnsi="Times New Roman" w:cs="Times New Roman"/>
        </w:rPr>
      </w:pPr>
      <w:r>
        <w:rPr>
          <w:rFonts w:ascii="Times New Roman" w:hAnsi="Times New Roman" w:cs="Times New Roman"/>
        </w:rPr>
        <w:t xml:space="preserve">En el subcomponente de Síprofe, para la estimación del beneficio en el ingreso futuro de los beneficiarios, </w:t>
      </w:r>
      <w:r w:rsidR="002E7CF2">
        <w:rPr>
          <w:rFonts w:ascii="Times New Roman" w:hAnsi="Times New Roman" w:cs="Times New Roman"/>
        </w:rPr>
        <w:t xml:space="preserve">se asume que </w:t>
      </w:r>
      <w:r w:rsidR="0080452A">
        <w:rPr>
          <w:rFonts w:ascii="Times New Roman" w:hAnsi="Times New Roman" w:cs="Times New Roman"/>
        </w:rPr>
        <w:t xml:space="preserve">35% de los profesores aprovechan el curso y de estos 15% </w:t>
      </w:r>
      <w:r w:rsidR="002E7CF2">
        <w:rPr>
          <w:rFonts w:ascii="Times New Roman" w:eastAsia="Times New Roman" w:hAnsi="Times New Roman" w:cs="Times New Roman"/>
        </w:rPr>
        <w:t>mejor</w:t>
      </w:r>
      <w:r w:rsidR="0080452A">
        <w:rPr>
          <w:rFonts w:ascii="Times New Roman" w:eastAsia="Times New Roman" w:hAnsi="Times New Roman" w:cs="Times New Roman"/>
        </w:rPr>
        <w:t>a</w:t>
      </w:r>
      <w:r w:rsidR="002E7CF2">
        <w:rPr>
          <w:rFonts w:ascii="Times New Roman" w:eastAsia="Times New Roman" w:hAnsi="Times New Roman" w:cs="Times New Roman"/>
        </w:rPr>
        <w:t xml:space="preserve"> su desempeño docente (en </w:t>
      </w:r>
      <w:r w:rsidR="002E7CF2" w:rsidRPr="007D4C7D">
        <w:rPr>
          <w:rFonts w:ascii="Times New Roman" w:eastAsia="Times New Roman" w:hAnsi="Times New Roman" w:cs="Times New Roman"/>
        </w:rPr>
        <w:t>0.0</w:t>
      </w:r>
      <w:r w:rsidR="0080452A">
        <w:rPr>
          <w:rFonts w:ascii="Times New Roman" w:eastAsia="Times New Roman" w:hAnsi="Times New Roman" w:cs="Times New Roman"/>
        </w:rPr>
        <w:t>3</w:t>
      </w:r>
      <w:r w:rsidR="002E7CF2" w:rsidRPr="007D4C7D">
        <w:rPr>
          <w:rFonts w:ascii="Times New Roman" w:eastAsia="Times New Roman" w:hAnsi="Times New Roman" w:cs="Times New Roman"/>
        </w:rPr>
        <w:t xml:space="preserve"> desviaciones estándar</w:t>
      </w:r>
      <w:r w:rsidR="002E7CF2">
        <w:rPr>
          <w:rFonts w:ascii="Times New Roman" w:eastAsia="Times New Roman" w:hAnsi="Times New Roman" w:cs="Times New Roman"/>
        </w:rPr>
        <w:t xml:space="preserve">) como consecuencia del </w:t>
      </w:r>
      <w:r w:rsidR="002E7CF2" w:rsidRPr="007D4C7D">
        <w:rPr>
          <w:rFonts w:ascii="Times New Roman" w:eastAsia="Times New Roman" w:hAnsi="Times New Roman" w:cs="Times New Roman"/>
        </w:rPr>
        <w:t>proceso de formación docente</w:t>
      </w:r>
      <w:r>
        <w:rPr>
          <w:rFonts w:ascii="Times New Roman" w:hAnsi="Times New Roman" w:cs="Times New Roman"/>
        </w:rPr>
        <w:t>.</w:t>
      </w:r>
    </w:p>
    <w:p w14:paraId="3B01980A" w14:textId="03C5EC30" w:rsidR="00F7527B" w:rsidRDefault="00F7527B" w:rsidP="00F7527B">
      <w:pPr>
        <w:pStyle w:val="ListParagraph"/>
        <w:numPr>
          <w:ilvl w:val="0"/>
          <w:numId w:val="17"/>
        </w:numPr>
        <w:spacing w:after="120" w:line="276" w:lineRule="auto"/>
        <w:contextualSpacing w:val="0"/>
        <w:jc w:val="both"/>
        <w:rPr>
          <w:rFonts w:ascii="Times New Roman" w:hAnsi="Times New Roman" w:cs="Times New Roman"/>
        </w:rPr>
      </w:pPr>
      <w:r>
        <w:rPr>
          <w:rFonts w:ascii="Times New Roman" w:hAnsi="Times New Roman" w:cs="Times New Roman"/>
        </w:rPr>
        <w:t>En el componente de alimentación escolar</w:t>
      </w:r>
      <w:r w:rsidR="001B0477">
        <w:rPr>
          <w:rFonts w:ascii="Times New Roman" w:hAnsi="Times New Roman" w:cs="Times New Roman"/>
        </w:rPr>
        <w:t>,</w:t>
      </w:r>
      <w:r>
        <w:rPr>
          <w:rFonts w:ascii="Times New Roman" w:hAnsi="Times New Roman" w:cs="Times New Roman"/>
        </w:rPr>
        <w:t xml:space="preserve"> se utilizan los datos según la base de datos de </w:t>
      </w:r>
      <w:r w:rsidR="00915BBE">
        <w:rPr>
          <w:rFonts w:ascii="Times New Roman" w:hAnsi="Times New Roman" w:cs="Times New Roman"/>
        </w:rPr>
        <w:t>TERCE</w:t>
      </w:r>
      <w:r>
        <w:rPr>
          <w:rFonts w:ascii="Times New Roman" w:hAnsi="Times New Roman" w:cs="Times New Roman"/>
        </w:rPr>
        <w:t xml:space="preserve"> y el coeficiente de Hanushek para los países </w:t>
      </w:r>
      <w:r w:rsidR="00D27E7B">
        <w:rPr>
          <w:rFonts w:ascii="Times New Roman" w:hAnsi="Times New Roman" w:cs="Times New Roman"/>
        </w:rPr>
        <w:t>de ingresos bajos.</w:t>
      </w:r>
      <w:r>
        <w:rPr>
          <w:rFonts w:ascii="Times New Roman" w:hAnsi="Times New Roman" w:cs="Times New Roman"/>
        </w:rPr>
        <w:t xml:space="preserve"> </w:t>
      </w:r>
    </w:p>
    <w:p w14:paraId="7642D272" w14:textId="1A5AAEFC" w:rsidR="00F7527B" w:rsidRPr="00663C95" w:rsidRDefault="000C23A5" w:rsidP="00F7527B">
      <w:pPr>
        <w:pStyle w:val="ListParagraph"/>
        <w:numPr>
          <w:ilvl w:val="0"/>
          <w:numId w:val="17"/>
        </w:numPr>
        <w:spacing w:after="120" w:line="276" w:lineRule="auto"/>
        <w:jc w:val="both"/>
        <w:rPr>
          <w:rFonts w:ascii="Times New Roman" w:hAnsi="Times New Roman" w:cs="Times New Roman"/>
        </w:rPr>
      </w:pPr>
      <w:r w:rsidRPr="00330579">
        <w:rPr>
          <w:rFonts w:ascii="Times New Roman" w:hAnsi="Times New Roman" w:cs="Times New Roman"/>
        </w:rPr>
        <w:t>En el componente de evaluación educativa</w:t>
      </w:r>
      <w:r>
        <w:rPr>
          <w:rFonts w:ascii="Times New Roman" w:hAnsi="Times New Roman" w:cs="Times New Roman"/>
        </w:rPr>
        <w:t>,</w:t>
      </w:r>
      <w:r w:rsidRPr="00330579">
        <w:rPr>
          <w:rFonts w:ascii="Times New Roman" w:hAnsi="Times New Roman" w:cs="Times New Roman"/>
        </w:rPr>
        <w:t xml:space="preserve"> </w:t>
      </w:r>
      <w:r w:rsidRPr="00330579">
        <w:rPr>
          <w:rFonts w:ascii="Times New Roman" w:eastAsia="Times New Roman" w:hAnsi="Times New Roman" w:cs="Times New Roman"/>
        </w:rPr>
        <w:t>se asume que</w:t>
      </w:r>
      <w:r w:rsidR="00BC0743">
        <w:rPr>
          <w:rFonts w:ascii="Times New Roman" w:eastAsia="Times New Roman" w:hAnsi="Times New Roman" w:cs="Times New Roman"/>
        </w:rPr>
        <w:t>,</w:t>
      </w:r>
      <w:r>
        <w:rPr>
          <w:rFonts w:ascii="Times New Roman" w:eastAsia="Times New Roman" w:hAnsi="Times New Roman" w:cs="Times New Roman"/>
        </w:rPr>
        <w:t xml:space="preserve"> gracias a los mecanismos de rendición de cuentas,</w:t>
      </w:r>
      <w:r w:rsidRPr="00330579">
        <w:rPr>
          <w:rFonts w:ascii="Times New Roman" w:eastAsia="Times New Roman" w:hAnsi="Times New Roman" w:cs="Times New Roman"/>
        </w:rPr>
        <w:t xml:space="preserve"> </w:t>
      </w:r>
      <w:r>
        <w:rPr>
          <w:rFonts w:ascii="Times New Roman" w:eastAsia="Times New Roman" w:hAnsi="Times New Roman" w:cs="Times New Roman"/>
        </w:rPr>
        <w:t>20% de los estudiantes evaluados mejora su desempeño en 0.105 desviaciones estándar causando un impacto positivo en la economía ecuatoriana. Se utiliza el coeficiente de Hanushek para los países no OECD.</w:t>
      </w:r>
    </w:p>
    <w:p w14:paraId="1E01495D" w14:textId="1C62B3FD" w:rsidR="00F7527B" w:rsidRPr="00F7527B" w:rsidRDefault="00F7527B" w:rsidP="00F7527B">
      <w:pPr>
        <w:spacing w:after="120" w:line="276" w:lineRule="auto"/>
        <w:jc w:val="both"/>
        <w:rPr>
          <w:rFonts w:ascii="Times New Roman" w:hAnsi="Times New Roman" w:cs="Times New Roman"/>
        </w:rPr>
      </w:pPr>
      <w:r>
        <w:rPr>
          <w:rFonts w:ascii="Times New Roman" w:hAnsi="Times New Roman" w:cs="Times New Roman"/>
        </w:rPr>
        <w:t>Utilizando la misma metodología que en el escenario base, con estos supuestos optimistas, el proyecto tendría un VAN de</w:t>
      </w:r>
      <w:r w:rsidR="00AD0CC1">
        <w:rPr>
          <w:rFonts w:ascii="Times New Roman" w:hAnsi="Times New Roman" w:cs="Times New Roman"/>
        </w:rPr>
        <w:t xml:space="preserve"> US$</w:t>
      </w:r>
      <w:r w:rsidR="002A0473">
        <w:rPr>
          <w:rFonts w:ascii="Times New Roman" w:hAnsi="Times New Roman" w:cs="Times New Roman"/>
        </w:rPr>
        <w:t>239</w:t>
      </w:r>
      <w:r w:rsidR="00AD0CC1">
        <w:rPr>
          <w:rFonts w:ascii="Times New Roman" w:hAnsi="Times New Roman" w:cs="Times New Roman"/>
        </w:rPr>
        <w:t xml:space="preserve"> millones </w:t>
      </w:r>
      <w:r>
        <w:rPr>
          <w:rFonts w:ascii="Times New Roman" w:hAnsi="Times New Roman" w:cs="Times New Roman"/>
        </w:rPr>
        <w:t xml:space="preserve">y una TIRS de </w:t>
      </w:r>
      <w:r w:rsidR="002A0473">
        <w:rPr>
          <w:rFonts w:ascii="Times New Roman" w:hAnsi="Times New Roman" w:cs="Times New Roman"/>
        </w:rPr>
        <w:t>17</w:t>
      </w:r>
      <w:r w:rsidR="00AD0CC1">
        <w:rPr>
          <w:rFonts w:ascii="Times New Roman" w:hAnsi="Times New Roman" w:cs="Times New Roman"/>
        </w:rPr>
        <w:t>%</w:t>
      </w:r>
      <w:r>
        <w:rPr>
          <w:rFonts w:ascii="Times New Roman" w:hAnsi="Times New Roman" w:cs="Times New Roman"/>
        </w:rPr>
        <w:t xml:space="preserve">. </w:t>
      </w:r>
    </w:p>
    <w:p w14:paraId="0ED34F15" w14:textId="40A5C314" w:rsidR="009F7DE8" w:rsidRPr="00AD0CC1" w:rsidRDefault="007D3CE3" w:rsidP="00BE2ED0">
      <w:pPr>
        <w:keepNext/>
        <w:spacing w:after="0" w:line="276" w:lineRule="auto"/>
        <w:jc w:val="center"/>
        <w:rPr>
          <w:rFonts w:ascii="Times New Roman" w:hAnsi="Times New Roman" w:cs="Times New Roman"/>
          <w:b/>
        </w:rPr>
      </w:pPr>
      <w:r>
        <w:rPr>
          <w:rFonts w:ascii="Times New Roman" w:hAnsi="Times New Roman" w:cs="Times New Roman"/>
        </w:rPr>
        <w:lastRenderedPageBreak/>
        <w:t xml:space="preserve">  </w:t>
      </w:r>
      <w:r w:rsidR="009F7DE8" w:rsidRPr="00AD0CC1">
        <w:rPr>
          <w:rFonts w:ascii="Times New Roman" w:hAnsi="Times New Roman" w:cs="Times New Roman"/>
          <w:b/>
        </w:rPr>
        <w:t>Tabla</w:t>
      </w:r>
      <w:r w:rsidR="00863E01">
        <w:rPr>
          <w:rFonts w:ascii="Times New Roman" w:hAnsi="Times New Roman" w:cs="Times New Roman"/>
          <w:b/>
        </w:rPr>
        <w:t xml:space="preserve"> 2</w:t>
      </w:r>
      <w:r w:rsidR="00915BBE">
        <w:rPr>
          <w:rFonts w:ascii="Times New Roman" w:hAnsi="Times New Roman" w:cs="Times New Roman"/>
          <w:b/>
        </w:rPr>
        <w:t>0</w:t>
      </w:r>
    </w:p>
    <w:p w14:paraId="70FA60B8" w14:textId="68FADAEE" w:rsidR="00AD0CC1" w:rsidRDefault="00AD0CC1" w:rsidP="00BC639C">
      <w:pPr>
        <w:keepNext/>
        <w:spacing w:after="0" w:line="276" w:lineRule="auto"/>
        <w:jc w:val="center"/>
        <w:rPr>
          <w:rFonts w:ascii="Times New Roman" w:hAnsi="Times New Roman" w:cs="Times New Roman"/>
        </w:rPr>
      </w:pPr>
      <w:r w:rsidRPr="00AD0CC1">
        <w:rPr>
          <w:rFonts w:ascii="Times New Roman" w:hAnsi="Times New Roman" w:cs="Times New Roman"/>
          <w:b/>
          <w:lang w:val="es-ES_tradnl"/>
        </w:rPr>
        <w:t xml:space="preserve">Costos y beneficios del programa </w:t>
      </w:r>
      <w:r w:rsidRPr="00AD0CC1">
        <w:rPr>
          <w:rFonts w:ascii="Times New Roman" w:hAnsi="Times New Roman" w:cs="Times New Roman"/>
          <w:b/>
        </w:rPr>
        <w:t>“</w:t>
      </w:r>
      <w:r w:rsidRPr="00AD0CC1">
        <w:rPr>
          <w:rFonts w:ascii="Times New Roman" w:hAnsi="Times New Roman" w:cs="Times New Roman"/>
          <w:b/>
          <w:lang w:val="es-ES_tradnl"/>
        </w:rPr>
        <w:t>Apoyo Sectorial para una Educación de Calidad en Ecuador” – escenario optimista</w:t>
      </w:r>
      <w:r w:rsidR="00DC18CD" w:rsidRPr="00DC18CD">
        <w:rPr>
          <w:rFonts w:ascii="Times New Roman" w:hAnsi="Times New Roman" w:cs="Times New Roman"/>
        </w:rPr>
        <w:t xml:space="preserve"> </w:t>
      </w:r>
    </w:p>
    <w:p w14:paraId="5C864113" w14:textId="01A9AFD8" w:rsidR="000C23A5" w:rsidRDefault="002A0473" w:rsidP="00BC639C">
      <w:pPr>
        <w:keepNext/>
        <w:spacing w:after="0" w:line="276" w:lineRule="auto"/>
        <w:jc w:val="center"/>
        <w:rPr>
          <w:rFonts w:ascii="Times New Roman" w:hAnsi="Times New Roman" w:cs="Times New Roman"/>
        </w:rPr>
      </w:pPr>
      <w:r w:rsidRPr="002A0473">
        <w:rPr>
          <w:noProof/>
          <w:lang w:val="en-US"/>
        </w:rPr>
        <w:drawing>
          <wp:inline distT="0" distB="0" distL="0" distR="0" wp14:anchorId="762D01F1" wp14:editId="3CA9D968">
            <wp:extent cx="5612130" cy="1453083"/>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1453083"/>
                    </a:xfrm>
                    <a:prstGeom prst="rect">
                      <a:avLst/>
                    </a:prstGeom>
                    <a:noFill/>
                    <a:ln>
                      <a:noFill/>
                    </a:ln>
                  </pic:spPr>
                </pic:pic>
              </a:graphicData>
            </a:graphic>
          </wp:inline>
        </w:drawing>
      </w:r>
    </w:p>
    <w:p w14:paraId="07B1C96F" w14:textId="77777777" w:rsidR="004E2ADD" w:rsidRPr="00DD20EA" w:rsidRDefault="004E2ADD" w:rsidP="004E2ADD">
      <w:pPr>
        <w:spacing w:after="120" w:line="276" w:lineRule="auto"/>
        <w:rPr>
          <w:rFonts w:ascii="Times New Roman" w:hAnsi="Times New Roman" w:cs="Times New Roman"/>
          <w:sz w:val="20"/>
          <w:szCs w:val="20"/>
          <w:lang w:val="en-US"/>
        </w:rPr>
      </w:pPr>
      <w:r w:rsidRPr="00DD20EA">
        <w:rPr>
          <w:rFonts w:ascii="Times New Roman" w:hAnsi="Times New Roman" w:cs="Times New Roman"/>
          <w:sz w:val="20"/>
          <w:szCs w:val="20"/>
          <w:lang w:val="en-US"/>
        </w:rPr>
        <w:t>Fuente: cálculos consultores</w:t>
      </w:r>
    </w:p>
    <w:p w14:paraId="4E529FAA" w14:textId="36ACAA36" w:rsidR="003A47E3" w:rsidRPr="00BC639C" w:rsidRDefault="003A47E3" w:rsidP="00BC639C">
      <w:pPr>
        <w:spacing w:after="120" w:line="276" w:lineRule="auto"/>
        <w:rPr>
          <w:rFonts w:ascii="Times New Roman" w:hAnsi="Times New Roman" w:cs="Times New Roman"/>
          <w:lang w:val="en-US"/>
        </w:rPr>
      </w:pPr>
    </w:p>
    <w:p w14:paraId="24C38200" w14:textId="63EC55C0" w:rsidR="00C81443" w:rsidRPr="00BC639C" w:rsidRDefault="00240688" w:rsidP="00240688">
      <w:pPr>
        <w:spacing w:after="120" w:line="276" w:lineRule="auto"/>
        <w:jc w:val="both"/>
        <w:rPr>
          <w:rFonts w:ascii="Times New Roman" w:hAnsi="Times New Roman" w:cs="Times New Roman"/>
          <w:lang w:val="en-US"/>
        </w:rPr>
      </w:pPr>
      <w:r w:rsidRPr="00BC639C">
        <w:rPr>
          <w:rFonts w:ascii="Times New Roman" w:hAnsi="Times New Roman" w:cs="Times New Roman"/>
          <w:lang w:val="en-US"/>
        </w:rPr>
        <w:t xml:space="preserve">   </w:t>
      </w:r>
      <w:r w:rsidR="00C81443" w:rsidRPr="00BC639C">
        <w:rPr>
          <w:rFonts w:ascii="Times New Roman" w:hAnsi="Times New Roman" w:cs="Times New Roman"/>
          <w:lang w:val="en-US"/>
        </w:rPr>
        <w:t xml:space="preserve">  </w:t>
      </w:r>
    </w:p>
    <w:p w14:paraId="67D59493" w14:textId="77777777" w:rsidR="004E2ADD" w:rsidRPr="00BC639C" w:rsidRDefault="004E2ADD" w:rsidP="00AD0CC1">
      <w:pPr>
        <w:spacing w:after="0" w:line="276" w:lineRule="auto"/>
        <w:jc w:val="center"/>
        <w:rPr>
          <w:rFonts w:ascii="Times New Roman" w:hAnsi="Times New Roman" w:cs="Times New Roman"/>
          <w:lang w:val="en-US"/>
        </w:rPr>
      </w:pPr>
    </w:p>
    <w:p w14:paraId="4A7CF88D" w14:textId="4A896EBB" w:rsidR="009C55D1" w:rsidRPr="00BC639C" w:rsidRDefault="009C55D1" w:rsidP="00CE2A9C">
      <w:pPr>
        <w:spacing w:line="276" w:lineRule="auto"/>
        <w:jc w:val="both"/>
        <w:rPr>
          <w:rFonts w:ascii="Times New Roman" w:hAnsi="Times New Roman" w:cs="Times New Roman"/>
          <w:lang w:val="en-US"/>
        </w:rPr>
      </w:pPr>
    </w:p>
    <w:p w14:paraId="3C19ADA8" w14:textId="77777777" w:rsidR="00BE2ED0" w:rsidRPr="00BC639C" w:rsidRDefault="00BE2ED0">
      <w:pPr>
        <w:rPr>
          <w:rFonts w:ascii="Times New Roman" w:hAnsi="Times New Roman" w:cs="Times New Roman"/>
          <w:lang w:val="en-US"/>
        </w:rPr>
      </w:pPr>
      <w:r w:rsidRPr="00BC639C">
        <w:rPr>
          <w:rFonts w:ascii="Times New Roman" w:hAnsi="Times New Roman" w:cs="Times New Roman"/>
          <w:lang w:val="en-US"/>
        </w:rPr>
        <w:br w:type="page"/>
      </w:r>
    </w:p>
    <w:p w14:paraId="5670979E" w14:textId="071141E5" w:rsidR="009C55D1" w:rsidRPr="00BC639C" w:rsidRDefault="009C55D1" w:rsidP="00BE2ED0">
      <w:pPr>
        <w:spacing w:line="276" w:lineRule="auto"/>
        <w:jc w:val="center"/>
        <w:rPr>
          <w:rFonts w:ascii="Times New Roman" w:hAnsi="Times New Roman" w:cs="Times New Roman"/>
          <w:lang w:val="en-US"/>
        </w:rPr>
      </w:pPr>
      <w:r w:rsidRPr="00BC639C">
        <w:rPr>
          <w:rFonts w:ascii="Times New Roman" w:hAnsi="Times New Roman" w:cs="Times New Roman"/>
          <w:lang w:val="en-US"/>
        </w:rPr>
        <w:lastRenderedPageBreak/>
        <w:t>BIBLIOGRAFIA</w:t>
      </w:r>
    </w:p>
    <w:p w14:paraId="38755C65" w14:textId="62F4A830" w:rsidR="009C55D1" w:rsidRPr="005E65A3" w:rsidRDefault="009C55D1" w:rsidP="009C55D1">
      <w:pPr>
        <w:autoSpaceDE w:val="0"/>
        <w:autoSpaceDN w:val="0"/>
        <w:adjustRightInd w:val="0"/>
        <w:spacing w:line="276" w:lineRule="auto"/>
        <w:rPr>
          <w:rFonts w:ascii="Times New Roman" w:hAnsi="Times New Roman" w:cs="Times New Roman"/>
          <w:lang w:val="en-US"/>
        </w:rPr>
      </w:pPr>
      <w:r w:rsidRPr="00526641">
        <w:rPr>
          <w:rFonts w:ascii="Times New Roman" w:hAnsi="Times New Roman" w:cs="Times New Roman"/>
          <w:lang w:val="en-US"/>
        </w:rPr>
        <w:t xml:space="preserve">Adelman S., Gilligan D. Lehrer K. (2008) </w:t>
      </w:r>
      <w:r w:rsidRPr="00526641">
        <w:rPr>
          <w:rFonts w:ascii="Times New Roman" w:hAnsi="Times New Roman" w:cs="Times New Roman"/>
          <w:i/>
          <w:lang w:val="en-US"/>
        </w:rPr>
        <w:t>How Effective are Food f</w:t>
      </w:r>
      <w:r w:rsidRPr="005E65A3">
        <w:rPr>
          <w:rFonts w:ascii="Times New Roman" w:hAnsi="Times New Roman" w:cs="Times New Roman"/>
          <w:i/>
          <w:lang w:val="en-US"/>
        </w:rPr>
        <w:t>or Education Programs? A Critical Assessment of the Evidence from Developing Countries.</w:t>
      </w:r>
      <w:r w:rsidRPr="005E65A3">
        <w:rPr>
          <w:rFonts w:ascii="Times New Roman" w:hAnsi="Times New Roman" w:cs="Times New Roman"/>
          <w:lang w:val="en-US"/>
        </w:rPr>
        <w:t xml:space="preserve"> International Food Policy Research Institute, Food Policy Review 9, Washington D.C.</w:t>
      </w:r>
    </w:p>
    <w:p w14:paraId="096659EC" w14:textId="77777777" w:rsidR="009C55D1" w:rsidRPr="005E65A3" w:rsidRDefault="007B615E" w:rsidP="009C55D1">
      <w:pPr>
        <w:autoSpaceDE w:val="0"/>
        <w:autoSpaceDN w:val="0"/>
        <w:adjustRightInd w:val="0"/>
        <w:spacing w:line="276" w:lineRule="auto"/>
        <w:rPr>
          <w:rFonts w:ascii="Times New Roman" w:hAnsi="Times New Roman" w:cs="Times New Roman"/>
          <w:lang w:val="en-US"/>
        </w:rPr>
      </w:pPr>
      <w:hyperlink r:id="rId36" w:history="1">
        <w:r w:rsidR="009C55D1" w:rsidRPr="005E65A3">
          <w:rPr>
            <w:rStyle w:val="Hyperlink"/>
            <w:rFonts w:ascii="Times New Roman" w:hAnsi="Times New Roman" w:cs="Times New Roman"/>
            <w:lang w:val="en-US"/>
          </w:rPr>
          <w:t>http://ebrary.ifpri.org/cdm/ref/collection/p15738coll2/id/13310</w:t>
        </w:r>
      </w:hyperlink>
      <w:r w:rsidR="009C55D1" w:rsidRPr="005E65A3">
        <w:rPr>
          <w:rFonts w:ascii="Times New Roman" w:hAnsi="Times New Roman" w:cs="Times New Roman"/>
          <w:lang w:val="en-US"/>
        </w:rPr>
        <w:t xml:space="preserve"> </w:t>
      </w:r>
    </w:p>
    <w:p w14:paraId="783E5EF9" w14:textId="77777777" w:rsidR="009C55D1" w:rsidRPr="005E65A3" w:rsidRDefault="009C55D1" w:rsidP="009C55D1">
      <w:pPr>
        <w:spacing w:line="276" w:lineRule="auto"/>
        <w:rPr>
          <w:rFonts w:ascii="Times New Roman" w:hAnsi="Times New Roman" w:cs="Times New Roman"/>
          <w:lang w:val="en-US"/>
        </w:rPr>
      </w:pPr>
      <w:r w:rsidRPr="007B615E">
        <w:rPr>
          <w:rFonts w:ascii="Times New Roman" w:hAnsi="Times New Roman" w:cs="Times New Roman"/>
          <w:lang w:val="de-AT"/>
        </w:rPr>
        <w:t xml:space="preserve">Adrogue, C. &amp; Orlicki, M. E. (2013). </w:t>
      </w:r>
      <w:r w:rsidRPr="004E4A92">
        <w:rPr>
          <w:rFonts w:ascii="Times New Roman" w:hAnsi="Times New Roman" w:cs="Times New Roman"/>
          <w:i/>
          <w:lang w:val="en-US"/>
        </w:rPr>
        <w:t>Do in-school feeding programs have an impact on academic performance and dropouts? The case of public schools in Argentina. Education Policy Analysis Archives</w:t>
      </w:r>
      <w:r w:rsidRPr="004E4A92">
        <w:rPr>
          <w:rFonts w:ascii="Times New Roman" w:hAnsi="Times New Roman" w:cs="Times New Roman"/>
          <w:lang w:val="en-US"/>
        </w:rPr>
        <w:t>, Vol. 21 Number 50.</w:t>
      </w:r>
    </w:p>
    <w:p w14:paraId="0BCE6EB8" w14:textId="77777777" w:rsidR="009C55D1" w:rsidRPr="005E65A3" w:rsidRDefault="007B615E" w:rsidP="009C55D1">
      <w:pPr>
        <w:spacing w:line="276" w:lineRule="auto"/>
        <w:rPr>
          <w:rStyle w:val="Hyperlink"/>
          <w:rFonts w:ascii="Times New Roman" w:hAnsi="Times New Roman" w:cs="Times New Roman"/>
          <w:lang w:val="en-US"/>
        </w:rPr>
      </w:pPr>
      <w:hyperlink r:id="rId37" w:history="1">
        <w:r w:rsidR="009C55D1" w:rsidRPr="005E65A3">
          <w:rPr>
            <w:rStyle w:val="Hyperlink"/>
            <w:rFonts w:ascii="Times New Roman" w:hAnsi="Times New Roman" w:cs="Times New Roman"/>
            <w:lang w:val="en-US"/>
          </w:rPr>
          <w:t>http://epaa.asu.edu/ojs/article/view/1162</w:t>
        </w:r>
      </w:hyperlink>
    </w:p>
    <w:p w14:paraId="347C8407" w14:textId="77777777" w:rsidR="009C55D1" w:rsidRPr="004E4A92" w:rsidRDefault="009C55D1" w:rsidP="009C55D1">
      <w:pPr>
        <w:spacing w:line="276" w:lineRule="auto"/>
        <w:jc w:val="both"/>
        <w:rPr>
          <w:rFonts w:ascii="Times New Roman" w:hAnsi="Times New Roman" w:cs="Times New Roman"/>
          <w:lang w:val="en-US"/>
        </w:rPr>
      </w:pPr>
      <w:r w:rsidRPr="005E65A3">
        <w:rPr>
          <w:rFonts w:ascii="Times New Roman" w:hAnsi="Times New Roman" w:cs="Times New Roman"/>
          <w:lang w:val="en-US"/>
        </w:rPr>
        <w:t xml:space="preserve">Alderman, H., Hoddinott, J., &amp; Kinsey, B. (2003). </w:t>
      </w:r>
      <w:r w:rsidRPr="005E65A3">
        <w:rPr>
          <w:rFonts w:ascii="Times New Roman" w:hAnsi="Times New Roman" w:cs="Times New Roman"/>
          <w:i/>
          <w:lang w:val="en-US"/>
        </w:rPr>
        <w:t>Long-term consequences of early childhood malnutrition</w:t>
      </w:r>
      <w:r w:rsidRPr="005E65A3">
        <w:rPr>
          <w:rFonts w:ascii="Times New Roman" w:hAnsi="Times New Roman" w:cs="Times New Roman"/>
          <w:lang w:val="en-US"/>
        </w:rPr>
        <w:t xml:space="preserve">. Food Consumption and Nutrition Division, </w:t>
      </w:r>
      <w:r w:rsidRPr="004E4A92">
        <w:rPr>
          <w:rFonts w:ascii="Times New Roman" w:hAnsi="Times New Roman" w:cs="Times New Roman"/>
          <w:lang w:val="en-US"/>
        </w:rPr>
        <w:t>Washington, D.C.</w:t>
      </w:r>
    </w:p>
    <w:p w14:paraId="27E1C94D" w14:textId="77777777" w:rsidR="009C55D1" w:rsidRPr="004E4A92" w:rsidRDefault="007B615E" w:rsidP="009C55D1">
      <w:pPr>
        <w:spacing w:line="276" w:lineRule="auto"/>
        <w:rPr>
          <w:rFonts w:ascii="Times New Roman" w:hAnsi="Times New Roman" w:cs="Times New Roman"/>
          <w:lang w:val="en-US"/>
        </w:rPr>
      </w:pPr>
      <w:hyperlink r:id="rId38" w:history="1">
        <w:r w:rsidR="009C55D1" w:rsidRPr="004E4A92">
          <w:rPr>
            <w:rStyle w:val="Hyperlink"/>
            <w:rFonts w:ascii="Times New Roman" w:hAnsi="Times New Roman" w:cs="Times New Roman"/>
            <w:lang w:val="en-US"/>
          </w:rPr>
          <w:t>http://ageconsearch.umn.edu/bitstream/16436/1/fc040168.pdf</w:t>
        </w:r>
      </w:hyperlink>
    </w:p>
    <w:p w14:paraId="06CB0EC0" w14:textId="77777777" w:rsidR="009C55D1" w:rsidRPr="005E65A3" w:rsidRDefault="009C55D1" w:rsidP="009C55D1">
      <w:pPr>
        <w:spacing w:line="276" w:lineRule="auto"/>
        <w:rPr>
          <w:rFonts w:ascii="Times New Roman" w:hAnsi="Times New Roman" w:cs="Times New Roman"/>
          <w:lang w:val="en-US"/>
        </w:rPr>
      </w:pPr>
      <w:r w:rsidRPr="005E65A3">
        <w:rPr>
          <w:rFonts w:ascii="Times New Roman" w:hAnsi="Times New Roman" w:cs="Times New Roman"/>
          <w:lang w:val="en-US"/>
        </w:rPr>
        <w:t xml:space="preserve">Ahmed, A. U., (2004). </w:t>
      </w:r>
      <w:r w:rsidRPr="005E65A3">
        <w:rPr>
          <w:rFonts w:ascii="Times New Roman" w:hAnsi="Times New Roman" w:cs="Times New Roman"/>
          <w:i/>
          <w:lang w:val="en-US"/>
        </w:rPr>
        <w:t>Impact of Feeding Children in School: Evidence from Bangladesh</w:t>
      </w:r>
      <w:r w:rsidRPr="005E65A3">
        <w:rPr>
          <w:rFonts w:ascii="Times New Roman" w:hAnsi="Times New Roman" w:cs="Times New Roman"/>
          <w:lang w:val="en-US"/>
        </w:rPr>
        <w:t>, International Food Policy Research Institute, Washington, DC.</w:t>
      </w:r>
    </w:p>
    <w:p w14:paraId="3701A149" w14:textId="77777777" w:rsidR="009C55D1" w:rsidRPr="005E65A3" w:rsidRDefault="007B615E" w:rsidP="009C55D1">
      <w:pPr>
        <w:spacing w:line="276" w:lineRule="auto"/>
        <w:rPr>
          <w:rFonts w:ascii="Times New Roman" w:hAnsi="Times New Roman" w:cs="Times New Roman"/>
          <w:lang w:val="en-US"/>
        </w:rPr>
      </w:pPr>
      <w:hyperlink r:id="rId39" w:history="1">
        <w:r w:rsidR="009C55D1" w:rsidRPr="005E65A3">
          <w:rPr>
            <w:rStyle w:val="Hyperlink"/>
            <w:rFonts w:ascii="Times New Roman" w:hAnsi="Times New Roman" w:cs="Times New Roman"/>
            <w:lang w:val="en-US"/>
          </w:rPr>
          <w:t>https://www.wfp.org/content/impact-feeding-children-school-evidence-bangladesh-1</w:t>
        </w:r>
      </w:hyperlink>
    </w:p>
    <w:p w14:paraId="7B5B830F" w14:textId="5E39DDD0" w:rsidR="009C55D1" w:rsidRPr="0026134B" w:rsidRDefault="009C55D1" w:rsidP="009C55D1">
      <w:pPr>
        <w:spacing w:line="276" w:lineRule="auto"/>
        <w:rPr>
          <w:rFonts w:ascii="Times New Roman" w:hAnsi="Times New Roman" w:cs="Times New Roman"/>
          <w:lang w:val="en-US"/>
        </w:rPr>
      </w:pPr>
      <w:r w:rsidRPr="005E65A3">
        <w:rPr>
          <w:rFonts w:ascii="Times New Roman" w:hAnsi="Times New Roman" w:cs="Times New Roman"/>
          <w:lang w:val="en-US"/>
        </w:rPr>
        <w:t>Becker, G. S. (1962)</w:t>
      </w:r>
      <w:r w:rsidR="00526641">
        <w:rPr>
          <w:rFonts w:ascii="Times New Roman" w:hAnsi="Times New Roman" w:cs="Times New Roman"/>
          <w:lang w:val="en-US"/>
        </w:rPr>
        <w:t xml:space="preserve">. </w:t>
      </w:r>
      <w:r w:rsidRPr="00E8663C">
        <w:rPr>
          <w:rFonts w:ascii="Times New Roman" w:hAnsi="Times New Roman" w:cs="Times New Roman"/>
          <w:i/>
          <w:lang w:val="en-US"/>
        </w:rPr>
        <w:t>Investment in Human Capital: A Theoretical Analysis. The Journal of Political Economy</w:t>
      </w:r>
      <w:r w:rsidRPr="005E65A3">
        <w:rPr>
          <w:rFonts w:ascii="Times New Roman" w:hAnsi="Times New Roman" w:cs="Times New Roman"/>
          <w:lang w:val="en-US"/>
        </w:rPr>
        <w:t xml:space="preserve">, Volume 70, Issue 5. </w:t>
      </w:r>
      <w:hyperlink r:id="rId40" w:history="1">
        <w:r w:rsidRPr="0026134B">
          <w:rPr>
            <w:rStyle w:val="Hyperlink"/>
            <w:rFonts w:ascii="Times New Roman" w:hAnsi="Times New Roman" w:cs="Times New Roman"/>
            <w:lang w:val="en-US"/>
          </w:rPr>
          <w:t>http://www.jstor.org/discover/1829103?sid=21104982618981&amp;uid=4&amp;uid=2129&amp;uid=3737512&amp;uid=2&amp;uid=70</w:t>
        </w:r>
      </w:hyperlink>
      <w:r w:rsidRPr="0026134B">
        <w:rPr>
          <w:rFonts w:ascii="Times New Roman" w:hAnsi="Times New Roman" w:cs="Times New Roman"/>
          <w:lang w:val="en-US"/>
        </w:rPr>
        <w:t xml:space="preserve"> </w:t>
      </w:r>
    </w:p>
    <w:p w14:paraId="5AE5530D" w14:textId="3DB951F6" w:rsidR="009C55D1" w:rsidRPr="005E65A3" w:rsidRDefault="009C55D1" w:rsidP="009C55D1">
      <w:pPr>
        <w:spacing w:line="276" w:lineRule="auto"/>
        <w:rPr>
          <w:rFonts w:ascii="Times New Roman" w:hAnsi="Times New Roman" w:cs="Times New Roman"/>
        </w:rPr>
      </w:pPr>
      <w:r w:rsidRPr="005E65A3">
        <w:rPr>
          <w:rFonts w:ascii="Times New Roman" w:hAnsi="Times New Roman" w:cs="Times New Roman"/>
          <w:lang w:val="en-US"/>
        </w:rPr>
        <w:t>Becker, J. S. (1975)</w:t>
      </w:r>
      <w:r w:rsidR="00526641">
        <w:rPr>
          <w:rFonts w:ascii="Times New Roman" w:hAnsi="Times New Roman" w:cs="Times New Roman"/>
          <w:lang w:val="en-US"/>
        </w:rPr>
        <w:t xml:space="preserve">. </w:t>
      </w:r>
      <w:r w:rsidRPr="00E8663C">
        <w:rPr>
          <w:rFonts w:ascii="Times New Roman" w:hAnsi="Times New Roman" w:cs="Times New Roman"/>
          <w:i/>
          <w:lang w:val="en-US"/>
        </w:rPr>
        <w:t>Human Capital: A Theoretical and Empirical Analysis, with Special Reference to Education</w:t>
      </w:r>
      <w:r w:rsidRPr="005E65A3">
        <w:rPr>
          <w:rFonts w:ascii="Times New Roman" w:hAnsi="Times New Roman" w:cs="Times New Roman"/>
          <w:lang w:val="en-US"/>
        </w:rPr>
        <w:t xml:space="preserve">. Second Edition. University of Chicago. The National Bureau of Economic Research. </w:t>
      </w:r>
      <w:hyperlink r:id="rId41" w:history="1">
        <w:r w:rsidRPr="005E65A3">
          <w:rPr>
            <w:rStyle w:val="Hyperlink"/>
            <w:rFonts w:ascii="Times New Roman" w:hAnsi="Times New Roman" w:cs="Times New Roman"/>
          </w:rPr>
          <w:t>http://books.google.co.uk/books/about/Human_Capital.html?id=9t69iICmrZ0C</w:t>
        </w:r>
      </w:hyperlink>
      <w:r w:rsidRPr="005E65A3">
        <w:rPr>
          <w:rFonts w:ascii="Times New Roman" w:hAnsi="Times New Roman" w:cs="Times New Roman"/>
        </w:rPr>
        <w:t>.</w:t>
      </w:r>
    </w:p>
    <w:p w14:paraId="3D4A7F7D" w14:textId="5ED57921" w:rsidR="009C55D1" w:rsidRPr="005E65A3" w:rsidRDefault="009C55D1" w:rsidP="009C55D1">
      <w:pPr>
        <w:autoSpaceDE w:val="0"/>
        <w:autoSpaceDN w:val="0"/>
        <w:adjustRightInd w:val="0"/>
        <w:spacing w:line="276" w:lineRule="auto"/>
        <w:rPr>
          <w:rFonts w:ascii="Times New Roman" w:hAnsi="Times New Roman" w:cs="Times New Roman"/>
          <w:lang w:val="en-US"/>
        </w:rPr>
      </w:pPr>
      <w:r w:rsidRPr="004E4A92">
        <w:rPr>
          <w:rFonts w:ascii="Times New Roman" w:hAnsi="Times New Roman" w:cs="Times New Roman"/>
          <w:lang w:val="en-US"/>
        </w:rPr>
        <w:t>Cheung M. &amp; Perrota M. (2014)</w:t>
      </w:r>
      <w:r w:rsidR="00526641">
        <w:rPr>
          <w:rFonts w:ascii="Times New Roman" w:hAnsi="Times New Roman" w:cs="Times New Roman"/>
          <w:lang w:val="en-US"/>
        </w:rPr>
        <w:t>.</w:t>
      </w:r>
      <w:r w:rsidRPr="004E4A92">
        <w:rPr>
          <w:rFonts w:ascii="Times New Roman" w:hAnsi="Times New Roman" w:cs="Times New Roman"/>
          <w:lang w:val="en-US"/>
        </w:rPr>
        <w:t xml:space="preserve"> </w:t>
      </w:r>
      <w:r w:rsidRPr="004E4A92">
        <w:rPr>
          <w:rFonts w:ascii="Times New Roman" w:hAnsi="Times New Roman" w:cs="Times New Roman"/>
          <w:i/>
          <w:lang w:val="en-US"/>
        </w:rPr>
        <w:t>The Impact of a Food for Education Program on Schooling in Cambodia.</w:t>
      </w:r>
      <w:r w:rsidRPr="004E4A92">
        <w:rPr>
          <w:rFonts w:ascii="Times New Roman" w:hAnsi="Times New Roman" w:cs="Times New Roman"/>
          <w:lang w:val="en-US"/>
        </w:rPr>
        <w:t xml:space="preserve">  Asia &amp; the Pacific Policy Studies, vol. 2, no. 1, pp. 44–57. The Australian National University</w:t>
      </w:r>
    </w:p>
    <w:p w14:paraId="6E09BA0C" w14:textId="77777777" w:rsidR="009C55D1" w:rsidRPr="005E65A3" w:rsidRDefault="007B615E" w:rsidP="009C55D1">
      <w:pPr>
        <w:spacing w:line="276" w:lineRule="auto"/>
        <w:rPr>
          <w:rFonts w:ascii="Times New Roman" w:hAnsi="Times New Roman" w:cs="Times New Roman"/>
          <w:lang w:val="en-US"/>
        </w:rPr>
      </w:pPr>
      <w:hyperlink r:id="rId42" w:history="1">
        <w:r w:rsidR="009C55D1" w:rsidRPr="005E65A3">
          <w:rPr>
            <w:rStyle w:val="Hyperlink"/>
            <w:rFonts w:ascii="Times New Roman" w:hAnsi="Times New Roman" w:cs="Times New Roman"/>
            <w:lang w:val="en-US"/>
          </w:rPr>
          <w:t>http://onlinelibrary.wiley.com/doi/10.1002/app5.21/abstract</w:t>
        </w:r>
      </w:hyperlink>
    </w:p>
    <w:p w14:paraId="238F16AD" w14:textId="19D0FFD1" w:rsidR="00E8663C" w:rsidRPr="009C55D1" w:rsidRDefault="00526641" w:rsidP="00E8663C">
      <w:pPr>
        <w:spacing w:line="276" w:lineRule="auto"/>
        <w:rPr>
          <w:rFonts w:ascii="Times New Roman" w:hAnsi="Times New Roman" w:cs="Times New Roman"/>
          <w:lang w:val="en-US"/>
        </w:rPr>
      </w:pPr>
      <w:r>
        <w:rPr>
          <w:rFonts w:ascii="Times New Roman" w:hAnsi="Times New Roman" w:cs="Times New Roman"/>
          <w:lang w:val="en-US"/>
        </w:rPr>
        <w:t>Figlio D., and S. Loeb. 2011</w:t>
      </w:r>
      <w:r w:rsidRPr="00E8663C">
        <w:rPr>
          <w:rFonts w:ascii="Times New Roman" w:hAnsi="Times New Roman" w:cs="Times New Roman"/>
          <w:i/>
          <w:lang w:val="en-US"/>
        </w:rPr>
        <w:t xml:space="preserve">. </w:t>
      </w:r>
      <w:r w:rsidR="00E8663C" w:rsidRPr="00E8663C">
        <w:rPr>
          <w:rFonts w:ascii="Times New Roman" w:hAnsi="Times New Roman" w:cs="Times New Roman"/>
          <w:i/>
          <w:lang w:val="en-US"/>
        </w:rPr>
        <w:t>School Accountability</w:t>
      </w:r>
      <w:r w:rsidR="00E8663C">
        <w:rPr>
          <w:rFonts w:ascii="Times New Roman" w:hAnsi="Times New Roman" w:cs="Times New Roman"/>
          <w:lang w:val="en-US"/>
        </w:rPr>
        <w:t xml:space="preserve">. </w:t>
      </w:r>
      <w:r w:rsidR="00E8663C" w:rsidRPr="005C1D1C">
        <w:rPr>
          <w:rFonts w:ascii="Times New Roman" w:hAnsi="Times New Roman" w:cs="Times New Roman"/>
          <w:lang w:val="en-US"/>
        </w:rPr>
        <w:t xml:space="preserve">In E. Hanushek, </w:t>
      </w:r>
      <w:r w:rsidR="00E8663C">
        <w:rPr>
          <w:rFonts w:ascii="Times New Roman" w:hAnsi="Times New Roman" w:cs="Times New Roman"/>
          <w:lang w:val="en-US"/>
        </w:rPr>
        <w:t xml:space="preserve">S. Machin and L. Woessmann, </w:t>
      </w:r>
      <w:r w:rsidR="00E8663C" w:rsidRPr="005C1D1C">
        <w:rPr>
          <w:rFonts w:ascii="Times New Roman" w:hAnsi="Times New Roman" w:cs="Times New Roman"/>
          <w:lang w:val="en-US"/>
        </w:rPr>
        <w:t xml:space="preserve">Handbook of </w:t>
      </w:r>
      <w:r w:rsidR="00E8663C">
        <w:rPr>
          <w:rFonts w:ascii="Times New Roman" w:hAnsi="Times New Roman" w:cs="Times New Roman"/>
          <w:lang w:val="en-US"/>
        </w:rPr>
        <w:t>Economics</w:t>
      </w:r>
      <w:r w:rsidR="00E8663C" w:rsidRPr="005C1D1C">
        <w:rPr>
          <w:rFonts w:ascii="Times New Roman" w:hAnsi="Times New Roman" w:cs="Times New Roman"/>
          <w:lang w:val="en-US"/>
        </w:rPr>
        <w:t xml:space="preserve">, Vol. </w:t>
      </w:r>
      <w:r w:rsidR="00E8663C">
        <w:rPr>
          <w:rFonts w:ascii="Times New Roman" w:hAnsi="Times New Roman" w:cs="Times New Roman"/>
          <w:lang w:val="en-US"/>
        </w:rPr>
        <w:t>3</w:t>
      </w:r>
      <w:r w:rsidR="00E8663C" w:rsidRPr="005C1D1C">
        <w:rPr>
          <w:rFonts w:ascii="Times New Roman" w:hAnsi="Times New Roman" w:cs="Times New Roman"/>
          <w:lang w:val="en-US"/>
        </w:rPr>
        <w:t xml:space="preserve"> (pp. 1051-78). </w:t>
      </w:r>
      <w:r w:rsidR="00E8663C" w:rsidRPr="009C55D1">
        <w:rPr>
          <w:rFonts w:ascii="Times New Roman" w:hAnsi="Times New Roman" w:cs="Times New Roman"/>
          <w:lang w:val="en-US"/>
        </w:rPr>
        <w:t>Amsterdam: North Holland.</w:t>
      </w:r>
    </w:p>
    <w:p w14:paraId="76D764A6" w14:textId="0AC2A243" w:rsidR="009C55D1" w:rsidRDefault="009C55D1" w:rsidP="009C55D1">
      <w:pPr>
        <w:spacing w:line="276" w:lineRule="auto"/>
        <w:rPr>
          <w:rFonts w:ascii="Times New Roman" w:hAnsi="Times New Roman" w:cs="Times New Roman"/>
          <w:lang w:val="en-US"/>
        </w:rPr>
      </w:pPr>
      <w:r>
        <w:rPr>
          <w:rFonts w:ascii="Times New Roman" w:hAnsi="Times New Roman" w:cs="Times New Roman"/>
          <w:lang w:val="en-US"/>
        </w:rPr>
        <w:t xml:space="preserve">Hanushek, E. 2010. </w:t>
      </w:r>
      <w:r w:rsidRPr="00E8663C">
        <w:rPr>
          <w:rFonts w:ascii="Times New Roman" w:hAnsi="Times New Roman" w:cs="Times New Roman"/>
          <w:i/>
          <w:lang w:val="en-US"/>
        </w:rPr>
        <w:t>The Economic Value of Higher Teacher Quality</w:t>
      </w:r>
      <w:r>
        <w:rPr>
          <w:rFonts w:ascii="Times New Roman" w:hAnsi="Times New Roman" w:cs="Times New Roman"/>
          <w:lang w:val="en-US"/>
        </w:rPr>
        <w:t>. Working Paper 16606, National Bureau of Economic Research</w:t>
      </w:r>
    </w:p>
    <w:p w14:paraId="03067FBD" w14:textId="0E100932" w:rsidR="009C55D1" w:rsidRPr="009C55D1" w:rsidRDefault="009C55D1" w:rsidP="009C55D1">
      <w:pPr>
        <w:spacing w:line="276" w:lineRule="auto"/>
        <w:rPr>
          <w:rFonts w:ascii="Times New Roman" w:hAnsi="Times New Roman" w:cs="Times New Roman"/>
          <w:lang w:val="en-US"/>
        </w:rPr>
      </w:pPr>
      <w:r w:rsidRPr="005C1D1C">
        <w:rPr>
          <w:rFonts w:ascii="Times New Roman" w:hAnsi="Times New Roman" w:cs="Times New Roman"/>
          <w:lang w:val="en-US"/>
        </w:rPr>
        <w:t xml:space="preserve">Hanushek, E., and S. Rivkin. 2006. </w:t>
      </w:r>
      <w:r w:rsidRPr="00E8663C">
        <w:rPr>
          <w:rFonts w:ascii="Times New Roman" w:hAnsi="Times New Roman" w:cs="Times New Roman"/>
          <w:i/>
          <w:lang w:val="en-US"/>
        </w:rPr>
        <w:t>Teacher Quality</w:t>
      </w:r>
      <w:r w:rsidR="00526641">
        <w:rPr>
          <w:rFonts w:ascii="Times New Roman" w:hAnsi="Times New Roman" w:cs="Times New Roman"/>
          <w:lang w:val="en-US"/>
        </w:rPr>
        <w:t>.</w:t>
      </w:r>
      <w:r w:rsidRPr="005C1D1C">
        <w:rPr>
          <w:rFonts w:ascii="Times New Roman" w:hAnsi="Times New Roman" w:cs="Times New Roman"/>
          <w:lang w:val="en-US"/>
        </w:rPr>
        <w:t xml:space="preserve"> In E. Hanushek, F. Welch, Eds., Handbook of the Economics of Education, Vol. 2 (pp. 1051-78). </w:t>
      </w:r>
      <w:r w:rsidRPr="009C55D1">
        <w:rPr>
          <w:rFonts w:ascii="Times New Roman" w:hAnsi="Times New Roman" w:cs="Times New Roman"/>
          <w:lang w:val="en-US"/>
        </w:rPr>
        <w:t>Amsterdam: North Holland.</w:t>
      </w:r>
    </w:p>
    <w:p w14:paraId="7D7A8CB9" w14:textId="0075BEE9" w:rsidR="009C55D1" w:rsidRPr="009C55D1" w:rsidRDefault="009C55D1" w:rsidP="009C55D1">
      <w:pPr>
        <w:autoSpaceDE w:val="0"/>
        <w:autoSpaceDN w:val="0"/>
        <w:adjustRightInd w:val="0"/>
        <w:spacing w:line="276" w:lineRule="auto"/>
        <w:rPr>
          <w:rFonts w:ascii="Times New Roman" w:hAnsi="Times New Roman" w:cs="Times New Roman"/>
          <w:lang w:val="en-US"/>
        </w:rPr>
      </w:pPr>
      <w:r w:rsidRPr="005C1D1C">
        <w:rPr>
          <w:rFonts w:ascii="Times New Roman" w:hAnsi="Times New Roman" w:cs="Times New Roman"/>
          <w:lang w:val="en-US"/>
        </w:rPr>
        <w:t xml:space="preserve">Hanushek, E., and S. Rivkin. 2012. </w:t>
      </w:r>
      <w:r w:rsidRPr="00E8663C">
        <w:rPr>
          <w:rFonts w:ascii="Times New Roman" w:hAnsi="Times New Roman" w:cs="Times New Roman"/>
          <w:i/>
          <w:lang w:val="en-US"/>
        </w:rPr>
        <w:t>The Distribution of Teacher Quality and Implications for Policy</w:t>
      </w:r>
      <w:r w:rsidRPr="005C1D1C">
        <w:rPr>
          <w:rFonts w:ascii="Times New Roman" w:hAnsi="Times New Roman" w:cs="Times New Roman"/>
          <w:lang w:val="en-US"/>
        </w:rPr>
        <w:t xml:space="preserve">. </w:t>
      </w:r>
      <w:r w:rsidRPr="009C55D1">
        <w:rPr>
          <w:rFonts w:ascii="Times New Roman" w:hAnsi="Times New Roman" w:cs="Times New Roman"/>
          <w:lang w:val="en-US"/>
        </w:rPr>
        <w:t>Annual Review of Economics 4: 131-57.</w:t>
      </w:r>
    </w:p>
    <w:p w14:paraId="7370D73D" w14:textId="42576F1C" w:rsidR="009C55D1" w:rsidRPr="005E65A3" w:rsidRDefault="009C55D1" w:rsidP="009C55D1">
      <w:pPr>
        <w:autoSpaceDE w:val="0"/>
        <w:autoSpaceDN w:val="0"/>
        <w:adjustRightInd w:val="0"/>
        <w:spacing w:line="276" w:lineRule="auto"/>
        <w:rPr>
          <w:rFonts w:ascii="Times New Roman" w:hAnsi="Times New Roman" w:cs="Times New Roman"/>
          <w:lang w:val="en-US"/>
        </w:rPr>
      </w:pPr>
      <w:r w:rsidRPr="005E65A3">
        <w:rPr>
          <w:rFonts w:ascii="Times New Roman" w:hAnsi="Times New Roman" w:cs="Times New Roman"/>
          <w:lang w:val="en-US"/>
        </w:rPr>
        <w:lastRenderedPageBreak/>
        <w:t>Hanushek E.A. &amp; Woessmann L. (2012)</w:t>
      </w:r>
      <w:r w:rsidR="00526641">
        <w:rPr>
          <w:rFonts w:ascii="Times New Roman" w:hAnsi="Times New Roman" w:cs="Times New Roman"/>
          <w:lang w:val="en-US"/>
        </w:rPr>
        <w:t>.</w:t>
      </w:r>
      <w:r w:rsidRPr="005E65A3">
        <w:rPr>
          <w:rFonts w:ascii="Times New Roman" w:hAnsi="Times New Roman" w:cs="Times New Roman"/>
          <w:lang w:val="en-US"/>
        </w:rPr>
        <w:t xml:space="preserve"> </w:t>
      </w:r>
      <w:r w:rsidRPr="005E65A3">
        <w:rPr>
          <w:rFonts w:ascii="Times New Roman" w:hAnsi="Times New Roman" w:cs="Times New Roman"/>
          <w:i/>
          <w:lang w:val="en-US"/>
        </w:rPr>
        <w:t>Do better schools lead to more growth? Cognitive skills, economic outcomes, and causation,</w:t>
      </w:r>
      <w:r w:rsidRPr="005E65A3">
        <w:rPr>
          <w:rFonts w:ascii="Times New Roman" w:hAnsi="Times New Roman" w:cs="Times New Roman"/>
          <w:lang w:val="en-US"/>
        </w:rPr>
        <w:t xml:space="preserve"> Journal of Economic Growth 17:267–321 </w:t>
      </w:r>
      <w:hyperlink r:id="rId43" w:history="1">
        <w:r w:rsidRPr="005E65A3">
          <w:rPr>
            <w:rStyle w:val="Hyperlink"/>
            <w:rFonts w:ascii="Times New Roman" w:hAnsi="Times New Roman" w:cs="Times New Roman"/>
            <w:lang w:val="en-US"/>
          </w:rPr>
          <w:t>http://hanushek.stanford.edu/sites/default/files/publications/Hanushek%2BWoessmann%202012%20JEconGrowth%2017(4).pdf</w:t>
        </w:r>
      </w:hyperlink>
      <w:r w:rsidRPr="005E65A3">
        <w:rPr>
          <w:rFonts w:ascii="Times New Roman" w:hAnsi="Times New Roman" w:cs="Times New Roman"/>
          <w:lang w:val="en-US"/>
        </w:rPr>
        <w:t xml:space="preserve"> </w:t>
      </w:r>
    </w:p>
    <w:p w14:paraId="0EBBD784" w14:textId="2F4E5D24" w:rsidR="00407659" w:rsidRDefault="00407659" w:rsidP="009C55D1">
      <w:pPr>
        <w:spacing w:line="276" w:lineRule="auto"/>
        <w:rPr>
          <w:rFonts w:ascii="Times New Roman" w:hAnsi="Times New Roman" w:cs="Times New Roman"/>
        </w:rPr>
      </w:pPr>
      <w:r>
        <w:rPr>
          <w:rFonts w:ascii="Times New Roman" w:hAnsi="Times New Roman" w:cs="Times New Roman"/>
        </w:rPr>
        <w:t>INEVAL, 2013</w:t>
      </w:r>
      <w:r w:rsidR="00DB1904">
        <w:rPr>
          <w:rFonts w:ascii="Times New Roman" w:hAnsi="Times New Roman" w:cs="Times New Roman"/>
        </w:rPr>
        <w:t>.</w:t>
      </w:r>
      <w:r>
        <w:rPr>
          <w:rFonts w:ascii="Times New Roman" w:hAnsi="Times New Roman" w:cs="Times New Roman"/>
        </w:rPr>
        <w:t xml:space="preserve"> </w:t>
      </w:r>
      <w:r w:rsidR="00667378">
        <w:rPr>
          <w:rFonts w:ascii="Times New Roman" w:hAnsi="Times New Roman" w:cs="Times New Roman"/>
        </w:rPr>
        <w:t>Proyecto de Inversión “I</w:t>
      </w:r>
      <w:r w:rsidRPr="0059516A">
        <w:rPr>
          <w:rFonts w:ascii="Times New Roman" w:hAnsi="Times New Roman" w:cs="Times New Roman"/>
        </w:rPr>
        <w:t>mplementación de la evaluación integral del sistema educativo”</w:t>
      </w:r>
      <w:r w:rsidR="00667378">
        <w:rPr>
          <w:rFonts w:ascii="Times New Roman" w:hAnsi="Times New Roman" w:cs="Times New Roman"/>
        </w:rPr>
        <w:t xml:space="preserve">, </w:t>
      </w:r>
      <w:r>
        <w:rPr>
          <w:rFonts w:ascii="Times New Roman" w:hAnsi="Times New Roman" w:cs="Times New Roman"/>
        </w:rPr>
        <w:t>5 de junio de 2013</w:t>
      </w:r>
      <w:r w:rsidR="00667378">
        <w:rPr>
          <w:rFonts w:ascii="Times New Roman" w:hAnsi="Times New Roman" w:cs="Times New Roman"/>
        </w:rPr>
        <w:t>.</w:t>
      </w:r>
    </w:p>
    <w:p w14:paraId="1502D96E" w14:textId="7D2C370B" w:rsidR="009C55D1" w:rsidRDefault="009C55D1" w:rsidP="009C55D1">
      <w:pPr>
        <w:spacing w:line="276" w:lineRule="auto"/>
        <w:rPr>
          <w:rFonts w:ascii="Times New Roman" w:hAnsi="Times New Roman" w:cs="Times New Roman"/>
          <w:lang w:val="en-US"/>
        </w:rPr>
      </w:pPr>
      <w:r w:rsidRPr="00EB701E">
        <w:rPr>
          <w:rFonts w:ascii="Times New Roman" w:hAnsi="Times New Roman" w:cs="Times New Roman"/>
          <w:lang w:val="en-US"/>
        </w:rPr>
        <w:t xml:space="preserve">Jacob, Brian. 2016. </w:t>
      </w:r>
      <w:r w:rsidRPr="00E8663C">
        <w:rPr>
          <w:rFonts w:ascii="Times New Roman" w:hAnsi="Times New Roman" w:cs="Times New Roman"/>
          <w:i/>
          <w:lang w:val="en-US"/>
        </w:rPr>
        <w:t>The power of teacher selection to improve education</w:t>
      </w:r>
      <w:r w:rsidRPr="00EB701E">
        <w:rPr>
          <w:rFonts w:ascii="Times New Roman" w:hAnsi="Times New Roman" w:cs="Times New Roman"/>
          <w:lang w:val="en-US"/>
        </w:rPr>
        <w:t>. Evidence Speaks Reports, Vo 1, #12. Economic Studie</w:t>
      </w:r>
      <w:r>
        <w:rPr>
          <w:rFonts w:ascii="Times New Roman" w:hAnsi="Times New Roman" w:cs="Times New Roman"/>
          <w:lang w:val="en-US"/>
        </w:rPr>
        <w:t>s at Brookings.</w:t>
      </w:r>
    </w:p>
    <w:p w14:paraId="4DDA838D" w14:textId="77777777" w:rsidR="009C55D1" w:rsidRPr="005E65A3" w:rsidRDefault="009C55D1" w:rsidP="009C55D1">
      <w:pPr>
        <w:spacing w:line="276" w:lineRule="auto"/>
        <w:rPr>
          <w:rFonts w:ascii="Times New Roman" w:hAnsi="Times New Roman" w:cs="Times New Roman"/>
          <w:lang w:val="en-US"/>
        </w:rPr>
      </w:pPr>
      <w:r w:rsidRPr="005E65A3">
        <w:rPr>
          <w:rFonts w:ascii="Times New Roman" w:hAnsi="Times New Roman" w:cs="Times New Roman"/>
          <w:lang w:val="en-US"/>
        </w:rPr>
        <w:t xml:space="preserve">Kazianga, H., de Walque, D., &amp; Alderman, H., (2009), </w:t>
      </w:r>
      <w:r w:rsidRPr="005E65A3">
        <w:rPr>
          <w:rFonts w:ascii="Times New Roman" w:hAnsi="Times New Roman" w:cs="Times New Roman"/>
          <w:i/>
          <w:lang w:val="en-US"/>
        </w:rPr>
        <w:t>Educational and Health Impacts of Two School Feeding Schemes: Evidence from a Randomized Trial in Rural Burkina Faso</w:t>
      </w:r>
      <w:r w:rsidRPr="005E65A3">
        <w:rPr>
          <w:rFonts w:ascii="Times New Roman" w:hAnsi="Times New Roman" w:cs="Times New Roman"/>
          <w:lang w:val="en-US"/>
        </w:rPr>
        <w:t>, Working Paper, World Bank, Washington, DC.</w:t>
      </w:r>
    </w:p>
    <w:p w14:paraId="52F5A29F" w14:textId="77777777" w:rsidR="009C55D1" w:rsidRPr="005E65A3" w:rsidRDefault="007B615E" w:rsidP="009C55D1">
      <w:pPr>
        <w:spacing w:line="276" w:lineRule="auto"/>
        <w:rPr>
          <w:rFonts w:ascii="Times New Roman" w:hAnsi="Times New Roman" w:cs="Times New Roman"/>
          <w:lang w:val="en-US"/>
        </w:rPr>
      </w:pPr>
      <w:hyperlink r:id="rId44" w:history="1">
        <w:r w:rsidR="009C55D1" w:rsidRPr="005E65A3">
          <w:rPr>
            <w:rStyle w:val="Hyperlink"/>
            <w:rFonts w:ascii="Times New Roman" w:hAnsi="Times New Roman" w:cs="Times New Roman"/>
            <w:lang w:val="en-US"/>
          </w:rPr>
          <w:t>http://elibrary.worldbank.org/doi/abs/10.1596/1813-9450-4976</w:t>
        </w:r>
      </w:hyperlink>
    </w:p>
    <w:p w14:paraId="42337546" w14:textId="77777777" w:rsidR="009C55D1" w:rsidRPr="005E65A3" w:rsidRDefault="009C55D1" w:rsidP="009C55D1">
      <w:pPr>
        <w:spacing w:line="276" w:lineRule="auto"/>
        <w:jc w:val="both"/>
        <w:rPr>
          <w:rFonts w:ascii="Times New Roman" w:hAnsi="Times New Roman" w:cs="Times New Roman"/>
          <w:lang w:val="en-US"/>
        </w:rPr>
      </w:pPr>
      <w:r w:rsidRPr="005E65A3">
        <w:rPr>
          <w:rFonts w:ascii="Times New Roman" w:hAnsi="Times New Roman" w:cs="Times New Roman"/>
          <w:lang w:val="en-US"/>
        </w:rPr>
        <w:t xml:space="preserve">Martorell, R. (1996). </w:t>
      </w:r>
      <w:r w:rsidRPr="005E65A3">
        <w:rPr>
          <w:rFonts w:ascii="Times New Roman" w:hAnsi="Times New Roman" w:cs="Times New Roman"/>
          <w:i/>
          <w:lang w:val="en-US"/>
        </w:rPr>
        <w:t>Undernutrition during pregnancy and early childhood and its consequences for behavioral development</w:t>
      </w:r>
      <w:r w:rsidRPr="005E65A3">
        <w:rPr>
          <w:rFonts w:ascii="Times New Roman" w:hAnsi="Times New Roman" w:cs="Times New Roman"/>
          <w:lang w:val="en-US"/>
        </w:rPr>
        <w:t>. Paper prepared for World Bank's conference on Early Child Development: Investing in the future.</w:t>
      </w:r>
    </w:p>
    <w:p w14:paraId="4B26D2B9" w14:textId="77777777" w:rsidR="009C55D1" w:rsidRPr="005E65A3" w:rsidRDefault="007B615E" w:rsidP="009C55D1">
      <w:pPr>
        <w:spacing w:line="276" w:lineRule="auto"/>
        <w:rPr>
          <w:rFonts w:ascii="Times New Roman" w:hAnsi="Times New Roman" w:cs="Times New Roman"/>
          <w:lang w:val="en-US"/>
        </w:rPr>
      </w:pPr>
      <w:hyperlink r:id="rId45" w:history="1">
        <w:r w:rsidR="009C55D1" w:rsidRPr="005E65A3">
          <w:rPr>
            <w:rStyle w:val="Hyperlink"/>
            <w:rFonts w:ascii="Times New Roman" w:hAnsi="Times New Roman" w:cs="Times New Roman"/>
            <w:lang w:val="en-US"/>
          </w:rPr>
          <w:t>http://web.worldbank.org/WBSITE/EXTERNAL/TOPICS/EXTCY/EXTECD/0,,contentMDK:20207804~menuPK:528430~pagePK:148956~piPK:216618~theSitePK:344939,00.html</w:t>
        </w:r>
      </w:hyperlink>
      <w:r w:rsidR="009C55D1" w:rsidRPr="005E65A3">
        <w:rPr>
          <w:rFonts w:ascii="Times New Roman" w:hAnsi="Times New Roman" w:cs="Times New Roman"/>
          <w:lang w:val="en-US"/>
        </w:rPr>
        <w:t xml:space="preserve"> </w:t>
      </w:r>
    </w:p>
    <w:p w14:paraId="591FB024" w14:textId="77777777" w:rsidR="009C55D1" w:rsidRPr="005E65A3" w:rsidRDefault="009C55D1" w:rsidP="009C55D1">
      <w:pPr>
        <w:spacing w:line="276" w:lineRule="auto"/>
        <w:jc w:val="both"/>
        <w:rPr>
          <w:rFonts w:ascii="Times New Roman" w:hAnsi="Times New Roman" w:cs="Times New Roman"/>
          <w:lang w:val="en-US"/>
        </w:rPr>
      </w:pPr>
      <w:r w:rsidRPr="005E65A3">
        <w:rPr>
          <w:rFonts w:ascii="Times New Roman" w:hAnsi="Times New Roman" w:cs="Times New Roman"/>
          <w:lang w:val="en-US"/>
        </w:rPr>
        <w:t xml:space="preserve">Martorell, R. (1999). </w:t>
      </w:r>
      <w:r w:rsidRPr="00E8663C">
        <w:rPr>
          <w:rFonts w:ascii="Times New Roman" w:hAnsi="Times New Roman" w:cs="Times New Roman"/>
          <w:i/>
          <w:lang w:val="en-US"/>
        </w:rPr>
        <w:t>The nature of child malnutrition and its long-term implications</w:t>
      </w:r>
      <w:r w:rsidRPr="005E65A3">
        <w:rPr>
          <w:rFonts w:ascii="Times New Roman" w:hAnsi="Times New Roman" w:cs="Times New Roman"/>
          <w:lang w:val="en-US"/>
        </w:rPr>
        <w:t xml:space="preserve">. Food and Nutrition Bulletin, 288-292. </w:t>
      </w:r>
    </w:p>
    <w:p w14:paraId="2FB52DF2" w14:textId="77777777" w:rsidR="009C55D1" w:rsidRPr="005E65A3" w:rsidRDefault="007B615E" w:rsidP="009C55D1">
      <w:pPr>
        <w:autoSpaceDE w:val="0"/>
        <w:autoSpaceDN w:val="0"/>
        <w:adjustRightInd w:val="0"/>
        <w:spacing w:line="276" w:lineRule="auto"/>
        <w:rPr>
          <w:rFonts w:ascii="Times New Roman" w:hAnsi="Times New Roman" w:cs="Times New Roman"/>
          <w:lang w:val="en-US"/>
        </w:rPr>
      </w:pPr>
      <w:hyperlink r:id="rId46" w:history="1">
        <w:r w:rsidR="009C55D1" w:rsidRPr="005E65A3">
          <w:rPr>
            <w:rStyle w:val="Hyperlink"/>
            <w:rFonts w:ascii="Times New Roman" w:hAnsi="Times New Roman" w:cs="Times New Roman"/>
            <w:lang w:val="en-US"/>
          </w:rPr>
          <w:t>http://fnb.sagepub.com/content/20/3/288.full.pdf</w:t>
        </w:r>
      </w:hyperlink>
    </w:p>
    <w:p w14:paraId="0D7B81CF" w14:textId="77777777" w:rsidR="009C55D1" w:rsidRPr="005E65A3" w:rsidRDefault="009C55D1" w:rsidP="009C55D1">
      <w:pPr>
        <w:autoSpaceDE w:val="0"/>
        <w:autoSpaceDN w:val="0"/>
        <w:adjustRightInd w:val="0"/>
        <w:spacing w:line="276" w:lineRule="auto"/>
        <w:rPr>
          <w:rFonts w:ascii="Times New Roman" w:hAnsi="Times New Roman" w:cs="Times New Roman"/>
          <w:lang w:val="en-US"/>
        </w:rPr>
      </w:pPr>
      <w:r w:rsidRPr="005E65A3">
        <w:rPr>
          <w:rFonts w:ascii="Times New Roman" w:hAnsi="Times New Roman" w:cs="Times New Roman"/>
          <w:lang w:val="en-US"/>
        </w:rPr>
        <w:t xml:space="preserve">Mc. Ewan P. (2012) </w:t>
      </w:r>
      <w:r w:rsidRPr="005E65A3">
        <w:rPr>
          <w:rFonts w:ascii="Times New Roman" w:hAnsi="Times New Roman" w:cs="Times New Roman"/>
          <w:i/>
          <w:lang w:val="en-US"/>
        </w:rPr>
        <w:t>The impact of Chile’s school feeding program on education outcomes,</w:t>
      </w:r>
      <w:r w:rsidRPr="005E65A3">
        <w:rPr>
          <w:rFonts w:ascii="Times New Roman" w:hAnsi="Times New Roman" w:cs="Times New Roman"/>
          <w:lang w:val="en-US"/>
        </w:rPr>
        <w:t xml:space="preserve"> Economics of Education Review 32 (2013) 122– 139</w:t>
      </w:r>
    </w:p>
    <w:p w14:paraId="562FAB8E" w14:textId="77777777" w:rsidR="009C55D1" w:rsidRPr="005E65A3" w:rsidRDefault="007B615E" w:rsidP="009C55D1">
      <w:pPr>
        <w:autoSpaceDE w:val="0"/>
        <w:autoSpaceDN w:val="0"/>
        <w:adjustRightInd w:val="0"/>
        <w:spacing w:line="276" w:lineRule="auto"/>
        <w:rPr>
          <w:rFonts w:ascii="Times New Roman" w:hAnsi="Times New Roman" w:cs="Times New Roman"/>
          <w:lang w:val="en-US"/>
        </w:rPr>
      </w:pPr>
      <w:hyperlink r:id="rId47" w:history="1">
        <w:r w:rsidR="009C55D1" w:rsidRPr="005E65A3">
          <w:rPr>
            <w:rStyle w:val="Hyperlink"/>
            <w:rFonts w:ascii="Times New Roman" w:hAnsi="Times New Roman" w:cs="Times New Roman"/>
            <w:lang w:val="en-US"/>
          </w:rPr>
          <w:t>http://www.sciencedirect.com/science/article/pii/S0272775712001124</w:t>
        </w:r>
      </w:hyperlink>
      <w:r w:rsidR="009C55D1" w:rsidRPr="005E65A3">
        <w:rPr>
          <w:rFonts w:ascii="Times New Roman" w:hAnsi="Times New Roman" w:cs="Times New Roman"/>
          <w:lang w:val="en-US"/>
        </w:rPr>
        <w:t xml:space="preserve"> </w:t>
      </w:r>
    </w:p>
    <w:p w14:paraId="781592C7" w14:textId="438A3A44" w:rsidR="009C55D1" w:rsidRPr="005E65A3" w:rsidRDefault="009C55D1" w:rsidP="009C55D1">
      <w:pPr>
        <w:spacing w:line="276" w:lineRule="auto"/>
        <w:rPr>
          <w:rFonts w:ascii="Times New Roman" w:hAnsi="Times New Roman" w:cs="Times New Roman"/>
          <w:lang w:val="en-US"/>
        </w:rPr>
      </w:pPr>
      <w:r w:rsidRPr="005E65A3">
        <w:rPr>
          <w:rFonts w:ascii="Times New Roman" w:hAnsi="Times New Roman" w:cs="Times New Roman"/>
          <w:lang w:val="en-US"/>
        </w:rPr>
        <w:t>Mincer, J. (1958)</w:t>
      </w:r>
      <w:r w:rsidR="00526641">
        <w:rPr>
          <w:rFonts w:ascii="Times New Roman" w:hAnsi="Times New Roman" w:cs="Times New Roman"/>
          <w:lang w:val="en-US"/>
        </w:rPr>
        <w:t>.</w:t>
      </w:r>
      <w:r w:rsidRPr="005E65A3">
        <w:rPr>
          <w:rFonts w:ascii="Times New Roman" w:hAnsi="Times New Roman" w:cs="Times New Roman"/>
          <w:lang w:val="en-US"/>
        </w:rPr>
        <w:t xml:space="preserve"> </w:t>
      </w:r>
      <w:r w:rsidRPr="00E8663C">
        <w:rPr>
          <w:rFonts w:ascii="Times New Roman" w:hAnsi="Times New Roman" w:cs="Times New Roman"/>
          <w:i/>
          <w:lang w:val="en-US"/>
        </w:rPr>
        <w:t>Investment in Human Capital and Personal Income Distribution</w:t>
      </w:r>
      <w:r w:rsidRPr="005E65A3">
        <w:rPr>
          <w:rFonts w:ascii="Times New Roman" w:hAnsi="Times New Roman" w:cs="Times New Roman"/>
          <w:lang w:val="en-US"/>
        </w:rPr>
        <w:t xml:space="preserve">. The Journal of Political Economy 66. </w:t>
      </w:r>
      <w:hyperlink r:id="rId48" w:history="1">
        <w:r w:rsidRPr="005E65A3">
          <w:rPr>
            <w:rStyle w:val="Hyperlink"/>
            <w:rFonts w:ascii="Times New Roman" w:hAnsi="Times New Roman" w:cs="Times New Roman"/>
            <w:lang w:val="en-US"/>
          </w:rPr>
          <w:t>http://www.jstor.org/discover/10.2307/1827422?sid=21104984176341&amp;uid=2&amp;uid=3737512&amp;uid=4</w:t>
        </w:r>
      </w:hyperlink>
      <w:r w:rsidRPr="005E65A3">
        <w:rPr>
          <w:rFonts w:ascii="Times New Roman" w:hAnsi="Times New Roman" w:cs="Times New Roman"/>
          <w:lang w:val="en-US"/>
        </w:rPr>
        <w:t xml:space="preserve"> </w:t>
      </w:r>
    </w:p>
    <w:p w14:paraId="75FEA3A0" w14:textId="740294C8" w:rsidR="009C55D1" w:rsidRDefault="009C55D1" w:rsidP="009C55D1">
      <w:pPr>
        <w:spacing w:line="276" w:lineRule="auto"/>
        <w:rPr>
          <w:rFonts w:ascii="Times New Roman" w:hAnsi="Times New Roman" w:cs="Times New Roman"/>
          <w:lang w:val="en-US"/>
        </w:rPr>
      </w:pPr>
      <w:r w:rsidRPr="005E65A3">
        <w:rPr>
          <w:rFonts w:ascii="Times New Roman" w:hAnsi="Times New Roman" w:cs="Times New Roman"/>
          <w:lang w:val="en-US"/>
        </w:rPr>
        <w:t>Psacharopoulos, G. (1981)</w:t>
      </w:r>
      <w:r w:rsidR="00526641">
        <w:rPr>
          <w:rFonts w:ascii="Times New Roman" w:hAnsi="Times New Roman" w:cs="Times New Roman"/>
          <w:lang w:val="en-US"/>
        </w:rPr>
        <w:t>.</w:t>
      </w:r>
      <w:r w:rsidRPr="005E65A3">
        <w:rPr>
          <w:rFonts w:ascii="Times New Roman" w:hAnsi="Times New Roman" w:cs="Times New Roman"/>
          <w:lang w:val="en-US"/>
        </w:rPr>
        <w:t xml:space="preserve"> </w:t>
      </w:r>
      <w:r w:rsidRPr="00E8663C">
        <w:rPr>
          <w:rFonts w:ascii="Times New Roman" w:hAnsi="Times New Roman" w:cs="Times New Roman"/>
          <w:i/>
          <w:lang w:val="en-US"/>
        </w:rPr>
        <w:t>Returns to Education: An Updated International Comparison</w:t>
      </w:r>
      <w:r w:rsidRPr="005E65A3">
        <w:rPr>
          <w:rFonts w:ascii="Times New Roman" w:hAnsi="Times New Roman" w:cs="Times New Roman"/>
          <w:lang w:val="en-US"/>
        </w:rPr>
        <w:t xml:space="preserve">. Comparative Education, Vol. 17, No. 3 </w:t>
      </w:r>
    </w:p>
    <w:p w14:paraId="44D82CAF" w14:textId="77777777" w:rsidR="009C55D1" w:rsidRPr="005E65A3" w:rsidRDefault="007B615E" w:rsidP="009C55D1">
      <w:pPr>
        <w:spacing w:line="276" w:lineRule="auto"/>
        <w:rPr>
          <w:rFonts w:ascii="Times New Roman" w:hAnsi="Times New Roman" w:cs="Times New Roman"/>
          <w:lang w:val="en-US"/>
        </w:rPr>
      </w:pPr>
      <w:hyperlink r:id="rId49" w:history="1">
        <w:r w:rsidR="009C55D1" w:rsidRPr="005E65A3">
          <w:rPr>
            <w:rStyle w:val="Hyperlink"/>
            <w:rFonts w:ascii="Times New Roman" w:hAnsi="Times New Roman" w:cs="Times New Roman"/>
            <w:lang w:val="en-US"/>
          </w:rPr>
          <w:t>http://alihme.wikispaces.com/file/view/Psacharopoulos-comparative+education-1981.pdf</w:t>
        </w:r>
      </w:hyperlink>
      <w:r w:rsidR="009C55D1" w:rsidRPr="005E65A3">
        <w:rPr>
          <w:rFonts w:ascii="Times New Roman" w:hAnsi="Times New Roman" w:cs="Times New Roman"/>
          <w:lang w:val="en-US"/>
        </w:rPr>
        <w:t xml:space="preserve"> </w:t>
      </w:r>
    </w:p>
    <w:p w14:paraId="3C9F867A" w14:textId="5FC506CC" w:rsidR="009C55D1" w:rsidRPr="009C55D1" w:rsidRDefault="009C55D1" w:rsidP="009C55D1">
      <w:pPr>
        <w:spacing w:line="276" w:lineRule="auto"/>
        <w:jc w:val="both"/>
        <w:rPr>
          <w:rFonts w:ascii="Times New Roman" w:hAnsi="Times New Roman" w:cs="Times New Roman"/>
          <w:lang w:val="en-US"/>
        </w:rPr>
      </w:pPr>
      <w:r w:rsidRPr="005C1D1C">
        <w:rPr>
          <w:rFonts w:ascii="Times New Roman" w:hAnsi="Times New Roman" w:cs="Times New Roman"/>
          <w:lang w:val="en-US"/>
        </w:rPr>
        <w:t xml:space="preserve">Rivkin, S., E. Hanushek, and J. Kain. 2005. </w:t>
      </w:r>
      <w:r w:rsidRPr="00E8663C">
        <w:rPr>
          <w:rFonts w:ascii="Times New Roman" w:hAnsi="Times New Roman" w:cs="Times New Roman"/>
          <w:i/>
          <w:lang w:val="en-US"/>
        </w:rPr>
        <w:t>Teachers, Schools, and Academic Achievement</w:t>
      </w:r>
      <w:r w:rsidRPr="005C1D1C">
        <w:rPr>
          <w:rFonts w:ascii="Times New Roman" w:hAnsi="Times New Roman" w:cs="Times New Roman"/>
          <w:lang w:val="en-US"/>
        </w:rPr>
        <w:t>.</w:t>
      </w:r>
      <w:r w:rsidR="00526641">
        <w:rPr>
          <w:rFonts w:ascii="Times New Roman" w:hAnsi="Times New Roman" w:cs="Times New Roman"/>
          <w:lang w:val="en-US"/>
        </w:rPr>
        <w:t xml:space="preserve"> </w:t>
      </w:r>
      <w:r w:rsidRPr="009C55D1">
        <w:rPr>
          <w:rFonts w:ascii="Times New Roman" w:hAnsi="Times New Roman" w:cs="Times New Roman"/>
          <w:lang w:val="en-US"/>
        </w:rPr>
        <w:t>Econometrica 73(2): 417-58.</w:t>
      </w:r>
    </w:p>
    <w:p w14:paraId="6D858799" w14:textId="77777777" w:rsidR="009C55D1" w:rsidRPr="007B615E" w:rsidRDefault="009C55D1" w:rsidP="009C55D1">
      <w:pPr>
        <w:spacing w:line="276" w:lineRule="auto"/>
        <w:jc w:val="both"/>
        <w:rPr>
          <w:rFonts w:ascii="Times New Roman" w:hAnsi="Times New Roman" w:cs="Times New Roman"/>
          <w:lang w:val="pt-BR"/>
        </w:rPr>
      </w:pPr>
      <w:r w:rsidRPr="005E65A3">
        <w:rPr>
          <w:rFonts w:ascii="Times New Roman" w:hAnsi="Times New Roman" w:cs="Times New Roman"/>
          <w:lang w:val="en-US"/>
        </w:rPr>
        <w:t xml:space="preserve">Sagan, D. (1994). </w:t>
      </w:r>
      <w:r w:rsidRPr="00E8663C">
        <w:rPr>
          <w:rFonts w:ascii="Times New Roman" w:hAnsi="Times New Roman" w:cs="Times New Roman"/>
          <w:i/>
          <w:lang w:val="en-US"/>
        </w:rPr>
        <w:t>Literacy: The path to a more prosperus, less dangerous America</w:t>
      </w:r>
      <w:r w:rsidRPr="005E65A3">
        <w:rPr>
          <w:rFonts w:ascii="Times New Roman" w:hAnsi="Times New Roman" w:cs="Times New Roman"/>
          <w:lang w:val="en-US"/>
        </w:rPr>
        <w:t xml:space="preserve">. </w:t>
      </w:r>
      <w:r w:rsidRPr="007B615E">
        <w:rPr>
          <w:rFonts w:ascii="Times New Roman" w:hAnsi="Times New Roman" w:cs="Times New Roman"/>
          <w:lang w:val="pt-BR"/>
        </w:rPr>
        <w:t>Parade Magazine.</w:t>
      </w:r>
    </w:p>
    <w:p w14:paraId="36AFF2F1" w14:textId="77777777" w:rsidR="009C55D1" w:rsidRPr="007B615E" w:rsidRDefault="007B615E" w:rsidP="009C55D1">
      <w:pPr>
        <w:spacing w:line="276" w:lineRule="auto"/>
        <w:rPr>
          <w:rFonts w:ascii="Times New Roman" w:hAnsi="Times New Roman" w:cs="Times New Roman"/>
          <w:lang w:val="pt-BR"/>
        </w:rPr>
      </w:pPr>
      <w:hyperlink r:id="rId50" w:history="1">
        <w:r w:rsidR="009C55D1" w:rsidRPr="007B615E">
          <w:rPr>
            <w:rStyle w:val="Hyperlink"/>
            <w:rFonts w:ascii="Times New Roman" w:hAnsi="Times New Roman" w:cs="Times New Roman"/>
            <w:lang w:val="pt-BR"/>
          </w:rPr>
          <w:t>http://web.worldbank.org/WBSITE/EXTERNAL/TOPICS/EXTCY/EXTECD/0,,contentMDK:20207804~menuPK:528430~pagePK:148956~piPK:216618~theSitePK:344939,00.html</w:t>
        </w:r>
      </w:hyperlink>
      <w:r w:rsidR="009C55D1" w:rsidRPr="007B615E">
        <w:rPr>
          <w:rFonts w:ascii="Times New Roman" w:hAnsi="Times New Roman" w:cs="Times New Roman"/>
          <w:lang w:val="pt-BR"/>
        </w:rPr>
        <w:t xml:space="preserve"> </w:t>
      </w:r>
    </w:p>
    <w:p w14:paraId="2230E417" w14:textId="77777777" w:rsidR="009C55D1" w:rsidRPr="005E65A3" w:rsidRDefault="009C55D1" w:rsidP="009C55D1">
      <w:pPr>
        <w:spacing w:line="276" w:lineRule="auto"/>
        <w:jc w:val="both"/>
        <w:rPr>
          <w:rFonts w:ascii="Times New Roman" w:hAnsi="Times New Roman" w:cs="Times New Roman"/>
          <w:lang w:val="en-US"/>
        </w:rPr>
      </w:pPr>
      <w:r w:rsidRPr="005E65A3">
        <w:rPr>
          <w:rFonts w:ascii="Times New Roman" w:hAnsi="Times New Roman" w:cs="Times New Roman"/>
          <w:lang w:val="en-US"/>
        </w:rPr>
        <w:lastRenderedPageBreak/>
        <w:t xml:space="preserve">Tanner, J., Candland, T., &amp; Odden, W. (2015). </w:t>
      </w:r>
      <w:r w:rsidRPr="005E65A3">
        <w:rPr>
          <w:rFonts w:ascii="Times New Roman" w:hAnsi="Times New Roman" w:cs="Times New Roman"/>
          <w:i/>
          <w:lang w:val="en-US"/>
        </w:rPr>
        <w:t>Later impacts of early childhood interventions: A systematic review.</w:t>
      </w:r>
      <w:r w:rsidRPr="005E65A3">
        <w:rPr>
          <w:rFonts w:ascii="Times New Roman" w:hAnsi="Times New Roman" w:cs="Times New Roman"/>
          <w:lang w:val="en-US"/>
        </w:rPr>
        <w:t xml:space="preserve"> Independent Evaluation Group.</w:t>
      </w:r>
    </w:p>
    <w:p w14:paraId="48AB199A" w14:textId="77777777" w:rsidR="009C55D1" w:rsidRPr="005E65A3" w:rsidRDefault="007B615E" w:rsidP="009C55D1">
      <w:pPr>
        <w:autoSpaceDE w:val="0"/>
        <w:autoSpaceDN w:val="0"/>
        <w:adjustRightInd w:val="0"/>
        <w:spacing w:line="276" w:lineRule="auto"/>
        <w:rPr>
          <w:rFonts w:ascii="Times New Roman" w:hAnsi="Times New Roman" w:cs="Times New Roman"/>
          <w:lang w:val="en-US"/>
        </w:rPr>
      </w:pPr>
      <w:hyperlink r:id="rId51" w:history="1">
        <w:r w:rsidR="009C55D1" w:rsidRPr="005E65A3">
          <w:rPr>
            <w:rStyle w:val="Hyperlink"/>
            <w:rFonts w:ascii="Times New Roman" w:hAnsi="Times New Roman" w:cs="Times New Roman"/>
            <w:lang w:val="en-US"/>
          </w:rPr>
          <w:t>http://ieg.worldbankgroup.org/Data/reports/ImpactsofInterventions_EarlyChildhoodonLaterOutcomes.pdf</w:t>
        </w:r>
      </w:hyperlink>
    </w:p>
    <w:p w14:paraId="520F57C1" w14:textId="77777777" w:rsidR="009C55D1" w:rsidRPr="004E4A92" w:rsidRDefault="009C55D1" w:rsidP="009C55D1">
      <w:pPr>
        <w:autoSpaceDE w:val="0"/>
        <w:autoSpaceDN w:val="0"/>
        <w:adjustRightInd w:val="0"/>
        <w:spacing w:line="276" w:lineRule="auto"/>
        <w:rPr>
          <w:rFonts w:ascii="Times New Roman" w:hAnsi="Times New Roman" w:cs="Times New Roman"/>
          <w:i/>
          <w:lang w:val="en-US"/>
        </w:rPr>
      </w:pPr>
      <w:r w:rsidRPr="007B615E">
        <w:rPr>
          <w:rFonts w:ascii="Times New Roman" w:hAnsi="Times New Roman" w:cs="Times New Roman"/>
          <w:lang w:val="de-AT"/>
        </w:rPr>
        <w:t xml:space="preserve">Vermeersch, C., and M. Kremer. </w:t>
      </w:r>
      <w:r w:rsidRPr="005E65A3">
        <w:rPr>
          <w:rFonts w:ascii="Times New Roman" w:hAnsi="Times New Roman" w:cs="Times New Roman"/>
          <w:lang w:val="en-US"/>
        </w:rPr>
        <w:t xml:space="preserve">(2004). </w:t>
      </w:r>
      <w:r w:rsidRPr="005E65A3">
        <w:rPr>
          <w:rFonts w:ascii="Times New Roman" w:hAnsi="Times New Roman" w:cs="Times New Roman"/>
          <w:i/>
          <w:lang w:val="en-US"/>
        </w:rPr>
        <w:t>School meals, educational achievement and</w:t>
      </w:r>
      <w:r>
        <w:rPr>
          <w:rFonts w:ascii="Times New Roman" w:hAnsi="Times New Roman" w:cs="Times New Roman"/>
          <w:i/>
          <w:lang w:val="en-US"/>
        </w:rPr>
        <w:t xml:space="preserve"> school </w:t>
      </w:r>
      <w:r w:rsidRPr="005E65A3">
        <w:rPr>
          <w:rFonts w:ascii="Times New Roman" w:hAnsi="Times New Roman" w:cs="Times New Roman"/>
          <w:i/>
          <w:lang w:val="en-US"/>
        </w:rPr>
        <w:t>competition: Evidence from a randomized evaluation</w:t>
      </w:r>
      <w:r w:rsidRPr="005E65A3">
        <w:rPr>
          <w:rFonts w:ascii="Times New Roman" w:hAnsi="Times New Roman" w:cs="Times New Roman"/>
          <w:lang w:val="en-US"/>
        </w:rPr>
        <w:t>. Oxford University,</w:t>
      </w:r>
      <w:r>
        <w:rPr>
          <w:rFonts w:ascii="Times New Roman" w:hAnsi="Times New Roman" w:cs="Times New Roman"/>
          <w:i/>
          <w:lang w:val="en-US"/>
        </w:rPr>
        <w:t xml:space="preserve"> </w:t>
      </w:r>
      <w:r w:rsidRPr="005E65A3">
        <w:rPr>
          <w:rFonts w:ascii="Times New Roman" w:hAnsi="Times New Roman" w:cs="Times New Roman"/>
          <w:lang w:val="en-US"/>
        </w:rPr>
        <w:t xml:space="preserve">Oxford. </w:t>
      </w:r>
    </w:p>
    <w:p w14:paraId="31A65ABC" w14:textId="77777777" w:rsidR="009C55D1" w:rsidRPr="005E65A3" w:rsidRDefault="007B615E" w:rsidP="009C55D1">
      <w:pPr>
        <w:autoSpaceDE w:val="0"/>
        <w:autoSpaceDN w:val="0"/>
        <w:adjustRightInd w:val="0"/>
        <w:spacing w:line="276" w:lineRule="auto"/>
        <w:rPr>
          <w:rFonts w:ascii="Times New Roman" w:hAnsi="Times New Roman" w:cs="Times New Roman"/>
          <w:lang w:val="en-US"/>
        </w:rPr>
      </w:pPr>
      <w:hyperlink r:id="rId52" w:history="1">
        <w:r w:rsidR="009C55D1" w:rsidRPr="005E65A3">
          <w:rPr>
            <w:rStyle w:val="Hyperlink"/>
            <w:rFonts w:ascii="Times New Roman" w:hAnsi="Times New Roman" w:cs="Times New Roman"/>
            <w:lang w:val="en-US"/>
          </w:rPr>
          <w:t>https://www.povertyactionlab.org/sites/default/files/publications/100_Kremer_School_Competition.pdf</w:t>
        </w:r>
      </w:hyperlink>
      <w:r w:rsidR="009C55D1" w:rsidRPr="005E65A3">
        <w:rPr>
          <w:rFonts w:ascii="Times New Roman" w:hAnsi="Times New Roman" w:cs="Times New Roman"/>
          <w:lang w:val="en-US"/>
        </w:rPr>
        <w:t xml:space="preserve"> </w:t>
      </w:r>
    </w:p>
    <w:p w14:paraId="00427B88" w14:textId="77777777" w:rsidR="009C55D1" w:rsidRPr="005E65A3" w:rsidRDefault="009C55D1" w:rsidP="009C55D1">
      <w:pPr>
        <w:spacing w:line="276" w:lineRule="auto"/>
        <w:jc w:val="both"/>
        <w:rPr>
          <w:rFonts w:ascii="Times New Roman" w:hAnsi="Times New Roman" w:cs="Times New Roman"/>
          <w:lang w:val="en-US"/>
        </w:rPr>
      </w:pPr>
      <w:r w:rsidRPr="005E65A3">
        <w:rPr>
          <w:rFonts w:ascii="Times New Roman" w:hAnsi="Times New Roman" w:cs="Times New Roman"/>
          <w:lang w:val="en-US"/>
        </w:rPr>
        <w:t xml:space="preserve">World Food Programme. (2004). </w:t>
      </w:r>
      <w:r w:rsidRPr="00526641">
        <w:rPr>
          <w:rFonts w:ascii="Times New Roman" w:hAnsi="Times New Roman" w:cs="Times New Roman"/>
          <w:i/>
          <w:lang w:val="en-US"/>
        </w:rPr>
        <w:t>School feeding programs: Why they should be scaled up now</w:t>
      </w:r>
      <w:r w:rsidRPr="005E65A3">
        <w:rPr>
          <w:rFonts w:ascii="Times New Roman" w:hAnsi="Times New Roman" w:cs="Times New Roman"/>
          <w:lang w:val="en-US"/>
        </w:rPr>
        <w:t>.</w:t>
      </w:r>
    </w:p>
    <w:p w14:paraId="1189BF8A" w14:textId="77777777" w:rsidR="009C55D1" w:rsidRPr="005E65A3" w:rsidRDefault="007B615E" w:rsidP="009C55D1">
      <w:pPr>
        <w:spacing w:line="276" w:lineRule="auto"/>
        <w:rPr>
          <w:rStyle w:val="Hyperlink"/>
          <w:rFonts w:ascii="Times New Roman" w:hAnsi="Times New Roman" w:cs="Times New Roman"/>
          <w:lang w:val="en-US"/>
        </w:rPr>
      </w:pPr>
      <w:hyperlink r:id="rId53" w:history="1">
        <w:r w:rsidR="009C55D1" w:rsidRPr="005E65A3">
          <w:rPr>
            <w:rStyle w:val="Hyperlink"/>
            <w:rFonts w:ascii="Times New Roman" w:hAnsi="Times New Roman" w:cs="Times New Roman"/>
            <w:lang w:val="en-US"/>
          </w:rPr>
          <w:t>http://www.unep.org/training/programmes/Instructor%20Version/Part_2/Activities/Dimensions_of_Human_Well-Being/Education/Strategies/School_Feeding_Program.pdf</w:t>
        </w:r>
      </w:hyperlink>
      <w:r w:rsidR="009C55D1" w:rsidRPr="005E65A3">
        <w:rPr>
          <w:rStyle w:val="Hyperlink"/>
          <w:rFonts w:ascii="Times New Roman" w:hAnsi="Times New Roman" w:cs="Times New Roman"/>
          <w:lang w:val="en-US"/>
        </w:rPr>
        <w:t xml:space="preserve"> </w:t>
      </w:r>
    </w:p>
    <w:p w14:paraId="64474407" w14:textId="77777777" w:rsidR="009C55D1" w:rsidRPr="005E65A3" w:rsidRDefault="009C55D1" w:rsidP="009C55D1">
      <w:pPr>
        <w:spacing w:line="276" w:lineRule="auto"/>
        <w:jc w:val="both"/>
        <w:rPr>
          <w:rFonts w:ascii="Times New Roman" w:hAnsi="Times New Roman" w:cs="Times New Roman"/>
          <w:lang w:val="en-US"/>
        </w:rPr>
      </w:pPr>
      <w:r w:rsidRPr="005E65A3">
        <w:rPr>
          <w:rFonts w:ascii="Times New Roman" w:hAnsi="Times New Roman" w:cs="Times New Roman"/>
          <w:lang w:val="en-US"/>
        </w:rPr>
        <w:t>World Food Programme. (2006</w:t>
      </w:r>
      <w:r w:rsidRPr="005E65A3">
        <w:rPr>
          <w:rFonts w:ascii="Times New Roman" w:hAnsi="Times New Roman" w:cs="Times New Roman"/>
          <w:i/>
          <w:lang w:val="en-US"/>
        </w:rPr>
        <w:t>). Learning from experience. Good practices from 45 years of school feeding</w:t>
      </w:r>
      <w:r w:rsidRPr="005E65A3">
        <w:rPr>
          <w:rFonts w:ascii="Times New Roman" w:hAnsi="Times New Roman" w:cs="Times New Roman"/>
          <w:lang w:val="en-US"/>
        </w:rPr>
        <w:t>. Rome.</w:t>
      </w:r>
    </w:p>
    <w:p w14:paraId="1D09A27A" w14:textId="77777777" w:rsidR="009C55D1" w:rsidRPr="005E65A3" w:rsidRDefault="007B615E" w:rsidP="009C55D1">
      <w:pPr>
        <w:spacing w:line="276" w:lineRule="auto"/>
        <w:rPr>
          <w:rFonts w:ascii="Times New Roman" w:hAnsi="Times New Roman" w:cs="Times New Roman"/>
          <w:lang w:val="en-US"/>
        </w:rPr>
      </w:pPr>
      <w:hyperlink r:id="rId54" w:history="1">
        <w:r w:rsidR="009C55D1" w:rsidRPr="005E65A3">
          <w:rPr>
            <w:rStyle w:val="Hyperlink"/>
            <w:rFonts w:ascii="Times New Roman" w:hAnsi="Times New Roman" w:cs="Times New Roman"/>
            <w:lang w:val="en-US"/>
          </w:rPr>
          <w:t>http://documents.wfp.org/stellent/groups/public/documents/newsroom/wfp204664.pdf</w:t>
        </w:r>
      </w:hyperlink>
    </w:p>
    <w:sectPr w:rsidR="009C55D1" w:rsidRPr="005E65A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53B1" w14:textId="77777777" w:rsidR="00C94E0C" w:rsidRDefault="00C94E0C" w:rsidP="002251FE">
      <w:pPr>
        <w:spacing w:after="0" w:line="240" w:lineRule="auto"/>
      </w:pPr>
      <w:r>
        <w:separator/>
      </w:r>
    </w:p>
  </w:endnote>
  <w:endnote w:type="continuationSeparator" w:id="0">
    <w:p w14:paraId="55B042AC" w14:textId="77777777" w:rsidR="00C94E0C" w:rsidRDefault="00C94E0C" w:rsidP="0022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C781" w14:textId="77777777" w:rsidR="009B510E" w:rsidRDefault="009B5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62054"/>
      <w:docPartObj>
        <w:docPartGallery w:val="Page Numbers (Bottom of Page)"/>
        <w:docPartUnique/>
      </w:docPartObj>
    </w:sdtPr>
    <w:sdtEndPr>
      <w:rPr>
        <w:noProof/>
      </w:rPr>
    </w:sdtEndPr>
    <w:sdtContent>
      <w:p w14:paraId="58F36166" w14:textId="267F95A9" w:rsidR="009B510E" w:rsidRDefault="009B510E">
        <w:pPr>
          <w:pStyle w:val="Footer"/>
          <w:jc w:val="center"/>
        </w:pPr>
        <w:r>
          <w:fldChar w:fldCharType="begin"/>
        </w:r>
        <w:r>
          <w:instrText xml:space="preserve"> PAGE   \* MERGEFORMAT </w:instrText>
        </w:r>
        <w:r>
          <w:fldChar w:fldCharType="separate"/>
        </w:r>
        <w:r w:rsidR="007B615E">
          <w:rPr>
            <w:noProof/>
          </w:rPr>
          <w:t>1</w:t>
        </w:r>
        <w:r>
          <w:rPr>
            <w:noProof/>
          </w:rPr>
          <w:fldChar w:fldCharType="end"/>
        </w:r>
      </w:p>
    </w:sdtContent>
  </w:sdt>
  <w:p w14:paraId="3611D1DC" w14:textId="77777777" w:rsidR="009B510E" w:rsidRDefault="009B5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D233" w14:textId="77777777" w:rsidR="009B510E" w:rsidRDefault="009B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DC4D9" w14:textId="77777777" w:rsidR="00C94E0C" w:rsidRDefault="00C94E0C" w:rsidP="002251FE">
      <w:pPr>
        <w:spacing w:after="0" w:line="240" w:lineRule="auto"/>
      </w:pPr>
      <w:r>
        <w:separator/>
      </w:r>
    </w:p>
  </w:footnote>
  <w:footnote w:type="continuationSeparator" w:id="0">
    <w:p w14:paraId="667DE584" w14:textId="77777777" w:rsidR="00C94E0C" w:rsidRDefault="00C94E0C" w:rsidP="002251FE">
      <w:pPr>
        <w:spacing w:after="0" w:line="240" w:lineRule="auto"/>
      </w:pPr>
      <w:r>
        <w:continuationSeparator/>
      </w:r>
    </w:p>
  </w:footnote>
  <w:footnote w:id="1">
    <w:p w14:paraId="20B44F3D" w14:textId="78862D89" w:rsidR="009B510E" w:rsidRPr="00A3641A" w:rsidRDefault="009B510E" w:rsidP="00A3641A">
      <w:pPr>
        <w:pStyle w:val="FootnoteText"/>
        <w:rPr>
          <w:rFonts w:ascii="Times New Roman" w:hAnsi="Times New Roman" w:cs="Times New Roman"/>
        </w:rPr>
      </w:pPr>
      <w:r>
        <w:rPr>
          <w:rStyle w:val="FootnoteReference"/>
        </w:rPr>
        <w:footnoteRef/>
      </w:r>
      <w:r w:rsidRPr="003D1B88">
        <w:t xml:space="preserve"> </w:t>
      </w:r>
      <w:r w:rsidRPr="00A3641A">
        <w:rPr>
          <w:rFonts w:ascii="Times New Roman" w:hAnsi="Times New Roman" w:cs="Times New Roman"/>
        </w:rPr>
        <w:t>Desde su inicio en 2011, este prog</w:t>
      </w:r>
      <w:r>
        <w:rPr>
          <w:rFonts w:ascii="Times New Roman" w:hAnsi="Times New Roman" w:cs="Times New Roman"/>
        </w:rPr>
        <w:t>r</w:t>
      </w:r>
      <w:r w:rsidRPr="00A3641A">
        <w:rPr>
          <w:rFonts w:ascii="Times New Roman" w:hAnsi="Times New Roman" w:cs="Times New Roman"/>
        </w:rPr>
        <w:t>ama ha beneficiado a 325</w:t>
      </w:r>
      <w:r>
        <w:rPr>
          <w:rFonts w:ascii="Times New Roman" w:hAnsi="Times New Roman" w:cs="Times New Roman"/>
        </w:rPr>
        <w:t>,</w:t>
      </w:r>
      <w:r w:rsidRPr="00A3641A">
        <w:rPr>
          <w:rFonts w:ascii="Times New Roman" w:hAnsi="Times New Roman" w:cs="Times New Roman"/>
        </w:rPr>
        <w:t>000 individuos con un enfoque en los primeros años de EGB. A partir del 2016, el MINEDUC implementará de manera masiva los módulos de educación básica superior y de secundaria desarrollados y piloteados en 2015.</w:t>
      </w:r>
    </w:p>
  </w:footnote>
  <w:footnote w:id="2">
    <w:p w14:paraId="6BB7E184" w14:textId="0C04ABDF" w:rsidR="009B510E" w:rsidRPr="007D67FF" w:rsidRDefault="009B510E" w:rsidP="00A3641A">
      <w:pPr>
        <w:pStyle w:val="FootnoteText"/>
        <w:rPr>
          <w:rFonts w:ascii="Times New Roman" w:hAnsi="Times New Roman" w:cs="Times New Roman"/>
        </w:rPr>
      </w:pPr>
      <w:r w:rsidRPr="007D67FF">
        <w:rPr>
          <w:rStyle w:val="FootnoteReference"/>
          <w:rFonts w:ascii="Times New Roman" w:hAnsi="Times New Roman" w:cs="Times New Roman"/>
        </w:rPr>
        <w:footnoteRef/>
      </w:r>
      <w:r w:rsidRPr="007D67FF">
        <w:rPr>
          <w:rFonts w:ascii="Times New Roman" w:hAnsi="Times New Roman" w:cs="Times New Roman"/>
        </w:rPr>
        <w:t xml:space="preserve"> Esta inversión apoya la continuidad de un programa que ha duplicado el número de beneficiarios entre 2006 y 2015 para alcanzar a cerca de 2.9 millones de beneficiarios con una inversión de US$172 millones en 2015. Además, el programa fue transferido del MINEDUC al Ministerio de Agricultura, Ganadería, Acuacultura y Pesca (MAGAP) en 2014 con el doble objetivo de mejorar el contenido nutricional de las raciones y estimular la producción nacional mediante la compra de productos nacionales.</w:t>
      </w:r>
    </w:p>
  </w:footnote>
  <w:footnote w:id="3">
    <w:p w14:paraId="781EF722" w14:textId="77777777" w:rsidR="009B510E" w:rsidRDefault="009B510E" w:rsidP="00541A15">
      <w:pPr>
        <w:pStyle w:val="FootnoteText"/>
      </w:pPr>
      <w:r w:rsidRPr="007D67FF">
        <w:rPr>
          <w:rStyle w:val="FootnoteReference"/>
          <w:rFonts w:ascii="Times New Roman" w:hAnsi="Times New Roman" w:cs="Times New Roman"/>
        </w:rPr>
        <w:footnoteRef/>
      </w:r>
      <w:r w:rsidRPr="007D67FF">
        <w:rPr>
          <w:rFonts w:ascii="Times New Roman" w:hAnsi="Times New Roman" w:cs="Times New Roman"/>
        </w:rPr>
        <w:t xml:space="preserve"> Adicionalmente a las actividades financiadas en el marco de este componente, el Banco, a partir de insumos generados en el marco del estudio “Cerrando Brechas”, apoyará directamente al INEVAL en el mejoramiento de los instrumentos de la prueba “Ser Maestro” mediante herramientas sencillas y costo-efectivas que permiten identificar y utilizar interacciones eficaces en las aulas de clase, entre otros instrumentos encaminados a la medición de la efectividad de la enseñanza.</w:t>
      </w:r>
    </w:p>
  </w:footnote>
  <w:footnote w:id="4">
    <w:p w14:paraId="3BD3D3F2" w14:textId="77777777" w:rsidR="009B510E" w:rsidRPr="00CB290A" w:rsidRDefault="009B510E" w:rsidP="0032228B">
      <w:pPr>
        <w:pStyle w:val="FootnoteText"/>
        <w:keepLines/>
        <w:jc w:val="both"/>
        <w:rPr>
          <w:rFonts w:ascii="Times New Roman" w:hAnsi="Times New Roman" w:cs="Times New Roman"/>
          <w:lang w:val="es-EC"/>
        </w:rPr>
      </w:pPr>
      <w:r w:rsidRPr="00CB290A">
        <w:rPr>
          <w:rStyle w:val="FootnoteReference"/>
          <w:rFonts w:ascii="Times New Roman" w:hAnsi="Times New Roman" w:cs="Times New Roman"/>
        </w:rPr>
        <w:footnoteRef/>
      </w:r>
      <w:r w:rsidRPr="00CB290A">
        <w:rPr>
          <w:rFonts w:ascii="Times New Roman" w:hAnsi="Times New Roman" w:cs="Times New Roman"/>
        </w:rPr>
        <w:t xml:space="preserve"> El desempeño</w:t>
      </w:r>
      <w:r w:rsidRPr="00CB290A">
        <w:rPr>
          <w:rFonts w:ascii="Times New Roman" w:hAnsi="Times New Roman" w:cs="Times New Roman"/>
          <w:lang w:val="es-EC"/>
        </w:rPr>
        <w:t xml:space="preserve"> real está medido usando el sistema de evaluación de profesores del distrito de Washington D.C. (IMPACT). Este sistema califica el desempeño de cada profesor en el distrito sobre una serie de medidas</w:t>
      </w:r>
      <w:r>
        <w:rPr>
          <w:lang w:val="es-EC"/>
        </w:rPr>
        <w:t xml:space="preserve"> </w:t>
      </w:r>
      <w:r w:rsidRPr="00CB290A">
        <w:rPr>
          <w:rFonts w:ascii="Times New Roman" w:hAnsi="Times New Roman" w:cs="Times New Roman"/>
          <w:lang w:val="es-EC"/>
        </w:rPr>
        <w:t xml:space="preserve">que incluyen observaciones en la clase, evaluación del director de la escuela y evaluaciones de los estudiantes.  </w:t>
      </w:r>
    </w:p>
  </w:footnote>
  <w:footnote w:id="5">
    <w:p w14:paraId="1063C3F4" w14:textId="77777777" w:rsidR="009B510E" w:rsidRPr="00845772" w:rsidRDefault="009B510E" w:rsidP="00CB290A">
      <w:pPr>
        <w:pStyle w:val="FootnoteText"/>
      </w:pPr>
      <w:r w:rsidRPr="00CB290A">
        <w:rPr>
          <w:rStyle w:val="FootnoteReference"/>
          <w:rFonts w:ascii="Times New Roman" w:hAnsi="Times New Roman" w:cs="Times New Roman"/>
        </w:rPr>
        <w:footnoteRef/>
      </w:r>
      <w:r w:rsidRPr="00CB290A">
        <w:rPr>
          <w:rFonts w:ascii="Times New Roman" w:hAnsi="Times New Roman" w:cs="Times New Roman"/>
        </w:rPr>
        <w:t xml:space="preserve"> Hanushek mide el desempeño en términos de desviaciones estándar del desempeño de sus estudiantes. </w:t>
      </w:r>
    </w:p>
  </w:footnote>
  <w:footnote w:id="6">
    <w:p w14:paraId="3B0017C8" w14:textId="77777777" w:rsidR="009B510E" w:rsidRPr="00EF12BF" w:rsidRDefault="009B510E" w:rsidP="00C57F40">
      <w:pPr>
        <w:pStyle w:val="FootnoteText"/>
        <w:rPr>
          <w:rFonts w:ascii="Times New Roman" w:hAnsi="Times New Roman" w:cs="Times New Roman"/>
        </w:rPr>
      </w:pPr>
      <w:r w:rsidRPr="00EF12BF">
        <w:rPr>
          <w:rStyle w:val="FootnoteReference"/>
          <w:rFonts w:ascii="Times New Roman" w:hAnsi="Times New Roman" w:cs="Times New Roman"/>
        </w:rPr>
        <w:footnoteRef/>
      </w:r>
      <w:r w:rsidRPr="00EF12BF">
        <w:rPr>
          <w:rFonts w:ascii="Times New Roman" w:hAnsi="Times New Roman" w:cs="Times New Roman"/>
        </w:rPr>
        <w:t xml:space="preserve"> Datos obtenidos del Resumen de Proyecto EBJA. </w:t>
      </w:r>
    </w:p>
  </w:footnote>
  <w:footnote w:id="7">
    <w:p w14:paraId="162B53EB" w14:textId="77777777" w:rsidR="009B510E" w:rsidRPr="00F30404" w:rsidRDefault="009B510E" w:rsidP="0096437D">
      <w:pPr>
        <w:pStyle w:val="FootnoteText"/>
        <w:rPr>
          <w:rFonts w:ascii="Times New Roman" w:hAnsi="Times New Roman" w:cs="Times New Roman"/>
        </w:rPr>
      </w:pPr>
      <w:r w:rsidRPr="00F30404">
        <w:rPr>
          <w:rStyle w:val="FootnoteReference"/>
          <w:rFonts w:ascii="Times New Roman" w:hAnsi="Times New Roman" w:cs="Times New Roman"/>
        </w:rPr>
        <w:footnoteRef/>
      </w:r>
      <w:r w:rsidRPr="00F30404">
        <w:rPr>
          <w:rFonts w:ascii="Times New Roman" w:hAnsi="Times New Roman" w:cs="Times New Roman"/>
        </w:rPr>
        <w:t xml:space="preserve"> El ingreso anual se obtiene de multiplicar el ingreso mensual promedio por 13. En el Ecuador se recibe un décimo</w:t>
      </w:r>
      <w:r>
        <w:rPr>
          <w:rFonts w:ascii="Times New Roman" w:hAnsi="Times New Roman" w:cs="Times New Roman"/>
        </w:rPr>
        <w:t xml:space="preserve"> </w:t>
      </w:r>
      <w:r w:rsidRPr="00F30404">
        <w:rPr>
          <w:rFonts w:ascii="Times New Roman" w:hAnsi="Times New Roman" w:cs="Times New Roman"/>
        </w:rPr>
        <w:t xml:space="preserve">tercer sueldo en el mes de diciembre. </w:t>
      </w:r>
    </w:p>
  </w:footnote>
  <w:footnote w:id="8">
    <w:p w14:paraId="682C3A71" w14:textId="77777777" w:rsidR="009B510E" w:rsidRPr="00FF0A0E" w:rsidRDefault="009B510E" w:rsidP="001B1348">
      <w:pPr>
        <w:pStyle w:val="FootnoteText"/>
        <w:jc w:val="both"/>
        <w:rPr>
          <w:rFonts w:ascii="Times New Roman" w:hAnsi="Times New Roman" w:cs="Times New Roman"/>
        </w:rPr>
      </w:pPr>
      <w:r w:rsidRPr="00FF0A0E">
        <w:rPr>
          <w:rStyle w:val="FootnoteReference"/>
          <w:rFonts w:ascii="Times New Roman" w:hAnsi="Times New Roman" w:cs="Times New Roman"/>
        </w:rPr>
        <w:footnoteRef/>
      </w:r>
      <w:r w:rsidRPr="00FF0A0E">
        <w:rPr>
          <w:rFonts w:ascii="Times New Roman" w:hAnsi="Times New Roman" w:cs="Times New Roman"/>
        </w:rPr>
        <w:t xml:space="preserve"> </w:t>
      </w:r>
      <w:r>
        <w:rPr>
          <w:rFonts w:ascii="Times New Roman" w:hAnsi="Times New Roman" w:cs="Times New Roman"/>
        </w:rPr>
        <w:t>Asumiendo la misma proporción de beneficiarios entre los estudiantes que aquella de los profesores</w:t>
      </w:r>
      <w:r w:rsidRPr="00FF0A0E">
        <w:rPr>
          <w:rFonts w:ascii="Times New Roman" w:hAnsi="Times New Roman" w:cs="Times New Roman"/>
        </w:rPr>
        <w:t xml:space="preserve"> beneficiarios del programa Sí Profe </w:t>
      </w:r>
      <w:r>
        <w:rPr>
          <w:rFonts w:ascii="Times New Roman" w:hAnsi="Times New Roman" w:cs="Times New Roman"/>
        </w:rPr>
        <w:t>frente al total de</w:t>
      </w:r>
      <w:r w:rsidRPr="00FF0A0E">
        <w:rPr>
          <w:rFonts w:ascii="Times New Roman" w:hAnsi="Times New Roman" w:cs="Times New Roman"/>
        </w:rPr>
        <w:t xml:space="preserve"> profesores</w:t>
      </w:r>
      <w:r>
        <w:rPr>
          <w:rFonts w:ascii="Times New Roman" w:hAnsi="Times New Roman" w:cs="Times New Roman"/>
        </w:rPr>
        <w:t xml:space="preserve"> del país</w:t>
      </w:r>
      <w:r w:rsidRPr="00FF0A0E">
        <w:rPr>
          <w:rFonts w:ascii="Times New Roman" w:hAnsi="Times New Roman" w:cs="Times New Roman"/>
        </w:rPr>
        <w:t xml:space="preserve">. </w:t>
      </w:r>
    </w:p>
  </w:footnote>
  <w:footnote w:id="9">
    <w:p w14:paraId="2552715D" w14:textId="146F0C8F" w:rsidR="009B510E" w:rsidRPr="00E652AA" w:rsidRDefault="009B510E" w:rsidP="00C57F40">
      <w:pPr>
        <w:pStyle w:val="FootnoteText"/>
        <w:jc w:val="both"/>
        <w:rPr>
          <w:rFonts w:ascii="Times New Roman" w:eastAsia="Times New Roman" w:hAnsi="Times New Roman" w:cs="Times New Roman"/>
        </w:rPr>
      </w:pPr>
      <w:r w:rsidRPr="005A0E67">
        <w:rPr>
          <w:rStyle w:val="FootnoteReference"/>
          <w:rFonts w:ascii="Times New Roman" w:hAnsi="Times New Roman" w:cs="Times New Roman"/>
        </w:rPr>
        <w:footnoteRef/>
      </w:r>
      <w:r w:rsidRPr="005A0E67">
        <w:rPr>
          <w:rFonts w:ascii="Times New Roman" w:hAnsi="Times New Roman" w:cs="Times New Roman"/>
        </w:rPr>
        <w:t xml:space="preserve"> El rango más bajo de Hanushek</w:t>
      </w:r>
      <w:r>
        <w:rPr>
          <w:rFonts w:ascii="Times New Roman" w:hAnsi="Times New Roman" w:cs="Times New Roman"/>
        </w:rPr>
        <w:t xml:space="preserve"> es de 0.25 desviaciones estándar, mientras que </w:t>
      </w:r>
      <w:r w:rsidRPr="00F43F8B">
        <w:rPr>
          <w:rFonts w:ascii="Times New Roman" w:eastAsia="Times New Roman" w:hAnsi="Times New Roman" w:cs="Times New Roman"/>
        </w:rPr>
        <w:t xml:space="preserve">Jacob (2016) </w:t>
      </w:r>
      <w:r>
        <w:rPr>
          <w:rFonts w:ascii="Times New Roman" w:eastAsia="Times New Roman" w:hAnsi="Times New Roman" w:cs="Times New Roman"/>
        </w:rPr>
        <w:t>estima en cerca de 0.6 desviaciones estándar en desempeño la diferencia entre aquellos que estuvieron en el mejor cuartil frente a aquellos que estuvieron en el peor cuartil en la prueba de ingreso. Se supone que el salto en desempeño es de 20% de 0.20 desviaciones estándar, dado que la formación docente es parcial.</w:t>
      </w:r>
    </w:p>
  </w:footnote>
  <w:footnote w:id="10">
    <w:p w14:paraId="4AD2ADC0" w14:textId="7430C6F3" w:rsidR="009B510E" w:rsidRPr="00C36C24" w:rsidRDefault="009B510E">
      <w:pPr>
        <w:pStyle w:val="FootnoteText"/>
        <w:rPr>
          <w:rFonts w:ascii="Times New Roman" w:hAnsi="Times New Roman" w:cs="Times New Roman"/>
        </w:rPr>
      </w:pPr>
      <w:r w:rsidRPr="00C36C24">
        <w:rPr>
          <w:rStyle w:val="FootnoteReference"/>
          <w:rFonts w:ascii="Times New Roman" w:hAnsi="Times New Roman" w:cs="Times New Roman"/>
        </w:rPr>
        <w:footnoteRef/>
      </w:r>
      <w:r w:rsidRPr="00C36C24">
        <w:rPr>
          <w:rFonts w:ascii="Times New Roman" w:hAnsi="Times New Roman" w:cs="Times New Roman"/>
        </w:rPr>
        <w:t xml:space="preserve"> Se utiliza la misma metodología ya explicada: se calcula el número de docentes que mejoraría su desempeño y se aplica esa relación al número total de estudiantes en el país para obtener los estudiantes beneficiados. </w:t>
      </w:r>
    </w:p>
  </w:footnote>
  <w:footnote w:id="11">
    <w:p w14:paraId="2ADD5A1A" w14:textId="5FD943C8" w:rsidR="009B510E" w:rsidRPr="00B85FC8" w:rsidRDefault="009B510E">
      <w:pPr>
        <w:pStyle w:val="FootnoteText"/>
        <w:rPr>
          <w:rFonts w:ascii="Times New Roman" w:hAnsi="Times New Roman" w:cs="Times New Roman"/>
        </w:rPr>
      </w:pPr>
      <w:r w:rsidRPr="00B85FC8">
        <w:rPr>
          <w:rStyle w:val="FootnoteReference"/>
          <w:rFonts w:ascii="Times New Roman" w:hAnsi="Times New Roman" w:cs="Times New Roman"/>
        </w:rPr>
        <w:footnoteRef/>
      </w:r>
      <w:r w:rsidRPr="00B85FC8">
        <w:rPr>
          <w:rFonts w:ascii="Times New Roman" w:hAnsi="Times New Roman" w:cs="Times New Roman"/>
        </w:rPr>
        <w:t xml:space="preserve"> Estos datos provienen de las bases de Factores Asociados para alumno y director.</w:t>
      </w:r>
    </w:p>
  </w:footnote>
  <w:footnote w:id="12">
    <w:p w14:paraId="2E3C5B5E" w14:textId="0F960265" w:rsidR="009B510E" w:rsidRPr="004B0659" w:rsidRDefault="009B510E" w:rsidP="00F162EE">
      <w:pPr>
        <w:pStyle w:val="FootnoteText"/>
        <w:jc w:val="both"/>
      </w:pPr>
      <w:r>
        <w:rPr>
          <w:rStyle w:val="FootnoteReference"/>
        </w:rPr>
        <w:footnoteRef/>
      </w:r>
      <w:r>
        <w:t xml:space="preserve"> </w:t>
      </w:r>
      <w:r>
        <w:rPr>
          <w:rFonts w:ascii="Times New Roman" w:hAnsi="Times New Roman" w:cs="Times New Roman"/>
        </w:rPr>
        <w:t xml:space="preserve">El Algoritmo de Kohonen, </w:t>
      </w:r>
      <w:r w:rsidRPr="009D6299">
        <w:rPr>
          <w:rFonts w:ascii="Times New Roman" w:hAnsi="Times New Roman" w:cs="Times New Roman"/>
        </w:rPr>
        <w:t>disponible en el paquete estadístico SPSS</w:t>
      </w:r>
      <w:r>
        <w:rPr>
          <w:rFonts w:ascii="Times New Roman" w:hAnsi="Times New Roman" w:cs="Times New Roman"/>
        </w:rPr>
        <w:t>,</w:t>
      </w:r>
      <w:r w:rsidRPr="00B9340A">
        <w:rPr>
          <w:rFonts w:ascii="Times New Roman" w:hAnsi="Times New Roman" w:cs="Times New Roman"/>
        </w:rPr>
        <w:t xml:space="preserve"> se compone de los siguientes pasos:</w:t>
      </w:r>
      <w:r>
        <w:rPr>
          <w:rFonts w:ascii="Times New Roman" w:hAnsi="Times New Roman" w:cs="Times New Roman"/>
        </w:rPr>
        <w:t xml:space="preserve"> (i) s</w:t>
      </w:r>
      <w:r w:rsidRPr="00B9340A">
        <w:rPr>
          <w:rFonts w:ascii="Times New Roman" w:hAnsi="Times New Roman" w:cs="Times New Roman"/>
        </w:rPr>
        <w:t xml:space="preserve">e sitúa un número K (hasta 12) puntos medios de arranque dentro de una cuadricula espacial de 3 x 4 dimensiones (3 en el eje Y, 4 en el eje X) que constituirán los grupos. Dichos puntos se encuentran en un espacio inter dimensional de las variables seleccionadas. A estos </w:t>
      </w:r>
      <w:r>
        <w:rPr>
          <w:rFonts w:ascii="Times New Roman" w:hAnsi="Times New Roman" w:cs="Times New Roman"/>
        </w:rPr>
        <w:t>puntos se los denomina Neurones; (ii) s</w:t>
      </w:r>
      <w:r w:rsidRPr="00B9340A">
        <w:rPr>
          <w:rFonts w:ascii="Times New Roman" w:hAnsi="Times New Roman" w:cs="Times New Roman"/>
        </w:rPr>
        <w:t xml:space="preserve">e asigna a cada observación al grupo </w:t>
      </w:r>
      <w:r>
        <w:rPr>
          <w:rFonts w:ascii="Times New Roman" w:hAnsi="Times New Roman" w:cs="Times New Roman"/>
        </w:rPr>
        <w:t xml:space="preserve">que tiene el Neurón más cercano; (iii) </w:t>
      </w:r>
      <w:r w:rsidRPr="00B9340A">
        <w:rPr>
          <w:rFonts w:ascii="Times New Roman" w:hAnsi="Times New Roman" w:cs="Times New Roman"/>
        </w:rPr>
        <w:t>Tras haber asignado a todas las observaciones un Neurón, se recalcula los va</w:t>
      </w:r>
      <w:r>
        <w:rPr>
          <w:rFonts w:ascii="Times New Roman" w:hAnsi="Times New Roman" w:cs="Times New Roman"/>
        </w:rPr>
        <w:t>lores de cercanía de los grupos;</w:t>
      </w:r>
      <w:r w:rsidRPr="00B9340A">
        <w:rPr>
          <w:rFonts w:ascii="Times New Roman" w:hAnsi="Times New Roman" w:cs="Times New Roman"/>
        </w:rPr>
        <w:t xml:space="preserve"> </w:t>
      </w:r>
      <w:r>
        <w:rPr>
          <w:rFonts w:ascii="Times New Roman" w:hAnsi="Times New Roman" w:cs="Times New Roman"/>
        </w:rPr>
        <w:t xml:space="preserve">(iv) </w:t>
      </w:r>
      <w:r w:rsidRPr="00B9340A">
        <w:rPr>
          <w:rFonts w:ascii="Times New Roman" w:hAnsi="Times New Roman" w:cs="Times New Roman"/>
        </w:rPr>
        <w:t>En primera instancia se los asigna de manera aleatoria y posteriormente se selecciona las menores distancias</w:t>
      </w:r>
      <w:r>
        <w:rPr>
          <w:rFonts w:ascii="Times New Roman" w:hAnsi="Times New Roman" w:cs="Times New Roman"/>
        </w:rPr>
        <w:t xml:space="preserve">; (v) </w:t>
      </w:r>
      <w:r w:rsidRPr="00B9340A">
        <w:rPr>
          <w:rFonts w:ascii="Times New Roman" w:hAnsi="Times New Roman" w:cs="Times New Roman"/>
        </w:rPr>
        <w:t>Se repite los pasos 2 y 3 hasta que los centroides se mantengan estables. Esto produce una clasificación de los objetos en grupos que permite dar una métrica entre ellos</w:t>
      </w:r>
      <w:r>
        <w:rPr>
          <w:rFonts w:ascii="Times New Roman" w:hAnsi="Times New Roman" w:cs="Times New Roman"/>
        </w:rPr>
        <w:t>, m</w:t>
      </w:r>
      <w:r w:rsidRPr="00B9340A">
        <w:rPr>
          <w:rFonts w:ascii="Times New Roman" w:hAnsi="Times New Roman" w:cs="Times New Roman"/>
        </w:rPr>
        <w:t>inimizando la suma de las distancias euclidianas de cada grupo</w:t>
      </w:r>
      <w:r>
        <w:rPr>
          <w:rFonts w:ascii="Times New Roman" w:hAnsi="Times New Roman" w:cs="Times New Roman"/>
        </w:rPr>
        <w:t>.</w:t>
      </w:r>
    </w:p>
  </w:footnote>
  <w:footnote w:id="13">
    <w:p w14:paraId="13D83C16" w14:textId="63FAC81F" w:rsidR="009B510E" w:rsidRPr="006E7FCE" w:rsidRDefault="009B510E" w:rsidP="00A5338C">
      <w:pPr>
        <w:pStyle w:val="FootnoteText"/>
        <w:spacing w:before="120"/>
      </w:pPr>
      <w:r>
        <w:rPr>
          <w:rStyle w:val="FootnoteReference"/>
        </w:rPr>
        <w:footnoteRef/>
      </w:r>
      <w:r>
        <w:t xml:space="preserve"> </w:t>
      </w:r>
      <w:r w:rsidRPr="006E7FCE">
        <w:rPr>
          <w:rFonts w:ascii="Times New Roman" w:hAnsi="Times New Roman" w:cs="Times New Roman"/>
        </w:rPr>
        <w:t xml:space="preserve">Uno de los grupos </w:t>
      </w:r>
      <w:r>
        <w:rPr>
          <w:rFonts w:ascii="Times New Roman" w:hAnsi="Times New Roman" w:cs="Times New Roman"/>
        </w:rPr>
        <w:t>no se incluyó en los comparables por cuanto tenía un número demasiado pequeño de estudiantes que había rendido la evaluación.</w:t>
      </w:r>
      <w:r>
        <w:t xml:space="preserve"> </w:t>
      </w:r>
    </w:p>
  </w:footnote>
  <w:footnote w:id="14">
    <w:p w14:paraId="44CCCF9E" w14:textId="7BDDB8B2" w:rsidR="009B510E" w:rsidRPr="00D237D1" w:rsidRDefault="009B510E">
      <w:pPr>
        <w:pStyle w:val="FootnoteText"/>
        <w:rPr>
          <w:rFonts w:ascii="Times New Roman" w:hAnsi="Times New Roman" w:cs="Times New Roman"/>
        </w:rPr>
      </w:pPr>
      <w:r w:rsidRPr="00D237D1">
        <w:rPr>
          <w:rStyle w:val="FootnoteReference"/>
          <w:rFonts w:ascii="Times New Roman" w:hAnsi="Times New Roman" w:cs="Times New Roman"/>
        </w:rPr>
        <w:footnoteRef/>
      </w:r>
      <w:r w:rsidRPr="00D237D1">
        <w:rPr>
          <w:rFonts w:ascii="Times New Roman" w:hAnsi="Times New Roman" w:cs="Times New Roman"/>
        </w:rPr>
        <w:t xml:space="preserve"> Se tomaron </w:t>
      </w:r>
      <w:r>
        <w:rPr>
          <w:rFonts w:ascii="Times New Roman" w:hAnsi="Times New Roman" w:cs="Times New Roman"/>
        </w:rPr>
        <w:t xml:space="preserve">los </w:t>
      </w:r>
      <w:r w:rsidRPr="00D237D1">
        <w:rPr>
          <w:rFonts w:ascii="Times New Roman" w:hAnsi="Times New Roman" w:cs="Times New Roman"/>
        </w:rPr>
        <w:t>valores del Escenario 4 de Proalimento</w:t>
      </w:r>
      <w:r>
        <w:rPr>
          <w:rFonts w:ascii="Times New Roman" w:hAnsi="Times New Roman" w:cs="Times New Roman"/>
        </w:rPr>
        <w:t xml:space="preserve">s y se ajustaron en función de los beneficiarios proyectados para 2016 y 2017. </w:t>
      </w:r>
    </w:p>
  </w:footnote>
  <w:footnote w:id="15">
    <w:p w14:paraId="0909BF41" w14:textId="77777777" w:rsidR="009B510E" w:rsidRDefault="009B510E" w:rsidP="00B64831">
      <w:pPr>
        <w:pStyle w:val="FootnoteText"/>
      </w:pPr>
      <w:r>
        <w:rPr>
          <w:rStyle w:val="FootnoteReference"/>
        </w:rPr>
        <w:footnoteRef/>
      </w:r>
      <w:r>
        <w:t xml:space="preserve"> Para mantener un escenario conservador se asume que la mejora es en la mitad del parámetro señalado por Figlio y Loeb. </w:t>
      </w:r>
    </w:p>
  </w:footnote>
  <w:footnote w:id="16">
    <w:p w14:paraId="0BB2B9B5" w14:textId="3E5F9903" w:rsidR="009B510E" w:rsidRPr="00C479C0" w:rsidRDefault="009B510E">
      <w:pPr>
        <w:pStyle w:val="FootnoteText"/>
        <w:rPr>
          <w:rFonts w:ascii="Times New Roman" w:hAnsi="Times New Roman" w:cs="Times New Roman"/>
        </w:rPr>
      </w:pPr>
      <w:r w:rsidRPr="00C479C0">
        <w:rPr>
          <w:rStyle w:val="FootnoteReference"/>
          <w:rFonts w:ascii="Times New Roman" w:hAnsi="Times New Roman" w:cs="Times New Roman"/>
        </w:rPr>
        <w:footnoteRef/>
      </w:r>
      <w:r w:rsidRPr="00C479C0">
        <w:rPr>
          <w:rFonts w:ascii="Times New Roman" w:hAnsi="Times New Roman" w:cs="Times New Roman"/>
        </w:rPr>
        <w:t xml:space="preserve"> En el Anexo se detalla esta información hasta el año 2057.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3385E" w14:textId="77777777" w:rsidR="009B510E" w:rsidRDefault="009B5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1EF4" w14:textId="77777777" w:rsidR="009B510E" w:rsidRDefault="009B5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B646" w14:textId="77777777" w:rsidR="009B510E" w:rsidRDefault="009B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FB9"/>
    <w:multiLevelType w:val="hybridMultilevel"/>
    <w:tmpl w:val="4E9E5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A6A10"/>
    <w:multiLevelType w:val="hybridMultilevel"/>
    <w:tmpl w:val="2D441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B7FC9"/>
    <w:multiLevelType w:val="multilevel"/>
    <w:tmpl w:val="6BA8ABF6"/>
    <w:lvl w:ilvl="0">
      <w:start w:val="1"/>
      <w:numFmt w:val="upperRoman"/>
      <w:lvlRestart w:val="0"/>
      <w:pStyle w:val="Chapter"/>
      <w:lvlText w:val="%1."/>
      <w:lvlJc w:val="center"/>
      <w:pPr>
        <w:tabs>
          <w:tab w:val="num" w:pos="2070"/>
        </w:tabs>
        <w:ind w:left="1422" w:firstLine="288"/>
      </w:pPr>
      <w:rPr>
        <w:b/>
        <w:i w:val="0"/>
      </w:rPr>
    </w:lvl>
    <w:lvl w:ilvl="1">
      <w:start w:val="1"/>
      <w:numFmt w:val="decimal"/>
      <w:pStyle w:val="Paragraph"/>
      <w:isLgl/>
      <w:lvlText w:val="%1.%2"/>
      <w:lvlJc w:val="left"/>
      <w:pPr>
        <w:tabs>
          <w:tab w:val="num" w:pos="2448"/>
        </w:tabs>
        <w:ind w:left="2448" w:hanging="1296"/>
      </w:pPr>
      <w:rPr>
        <w:b w:val="0"/>
        <w:i w:val="0"/>
        <w:color w:val="000000" w:themeColor="text1"/>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10722274"/>
    <w:multiLevelType w:val="hybridMultilevel"/>
    <w:tmpl w:val="A97A1996"/>
    <w:lvl w:ilvl="0" w:tplc="98B01660">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
    <w:nsid w:val="2A954F4A"/>
    <w:multiLevelType w:val="hybridMultilevel"/>
    <w:tmpl w:val="FDB6E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BC317E"/>
    <w:multiLevelType w:val="hybridMultilevel"/>
    <w:tmpl w:val="D108CD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59B4991"/>
    <w:multiLevelType w:val="multilevel"/>
    <w:tmpl w:val="A4F4C8E6"/>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nsid w:val="469D3220"/>
    <w:multiLevelType w:val="hybridMultilevel"/>
    <w:tmpl w:val="4E325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6024D60"/>
    <w:multiLevelType w:val="multilevel"/>
    <w:tmpl w:val="0C0A001D"/>
    <w:numStyleLink w:val="Style1"/>
  </w:abstractNum>
  <w:abstractNum w:abstractNumId="9">
    <w:nsid w:val="670F0145"/>
    <w:multiLevelType w:val="multilevel"/>
    <w:tmpl w:val="4C92F0B6"/>
    <w:lvl w:ilvl="0">
      <w:start w:val="1"/>
      <w:numFmt w:val="upperRoman"/>
      <w:lvlText w:val="%1."/>
      <w:lvlJc w:val="center"/>
      <w:pPr>
        <w:tabs>
          <w:tab w:val="num" w:pos="1800"/>
        </w:tabs>
        <w:ind w:left="1152" w:firstLine="288"/>
      </w:pPr>
      <w:rPr>
        <w:b/>
        <w:i w:val="0"/>
      </w:rPr>
    </w:lvl>
    <w:lvl w:ilvl="1">
      <w:start w:val="19"/>
      <w:numFmt w:val="decimal"/>
      <w:lvlText w:val="1.%2"/>
      <w:lvlJc w:val="left"/>
      <w:pPr>
        <w:tabs>
          <w:tab w:val="num" w:pos="2448"/>
        </w:tabs>
        <w:ind w:left="2448" w:hanging="1296"/>
      </w:pPr>
      <w:rPr>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0">
    <w:nsid w:val="68C92D76"/>
    <w:multiLevelType w:val="hybridMultilevel"/>
    <w:tmpl w:val="8FA051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BCB2442"/>
    <w:multiLevelType w:val="hybridMultilevel"/>
    <w:tmpl w:val="6756A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492C30"/>
    <w:multiLevelType w:val="hybridMultilevel"/>
    <w:tmpl w:val="D108CD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EBA1B3E"/>
    <w:multiLevelType w:val="hybridMultilevel"/>
    <w:tmpl w:val="3A729E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F1C48F2"/>
    <w:multiLevelType w:val="multilevel"/>
    <w:tmpl w:val="0C0A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2668E5"/>
    <w:multiLevelType w:val="hybridMultilevel"/>
    <w:tmpl w:val="B72E08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EA7304B"/>
    <w:multiLevelType w:val="hybridMultilevel"/>
    <w:tmpl w:val="D9DC4B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6"/>
  </w:num>
  <w:num w:numId="5">
    <w:abstractNumId w:val="4"/>
  </w:num>
  <w:num w:numId="6">
    <w:abstractNumId w:val="15"/>
  </w:num>
  <w:num w:numId="7">
    <w:abstractNumId w:val="12"/>
  </w:num>
  <w:num w:numId="8">
    <w:abstractNumId w:val="10"/>
  </w:num>
  <w:num w:numId="9">
    <w:abstractNumId w:val="3"/>
  </w:num>
  <w:num w:numId="10">
    <w:abstractNumId w:val="5"/>
  </w:num>
  <w:num w:numId="11">
    <w:abstractNumId w:val="13"/>
  </w:num>
  <w:num w:numId="12">
    <w:abstractNumId w:val="14"/>
  </w:num>
  <w:num w:numId="13">
    <w:abstractNumId w:val="8"/>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F1"/>
    <w:rsid w:val="0000108E"/>
    <w:rsid w:val="0000498E"/>
    <w:rsid w:val="00007520"/>
    <w:rsid w:val="00014B5E"/>
    <w:rsid w:val="00020860"/>
    <w:rsid w:val="000377D8"/>
    <w:rsid w:val="00037EF0"/>
    <w:rsid w:val="000431E8"/>
    <w:rsid w:val="00043635"/>
    <w:rsid w:val="0004428E"/>
    <w:rsid w:val="00044C1A"/>
    <w:rsid w:val="00046733"/>
    <w:rsid w:val="0005345F"/>
    <w:rsid w:val="00055072"/>
    <w:rsid w:val="0005616B"/>
    <w:rsid w:val="00057A87"/>
    <w:rsid w:val="00057D22"/>
    <w:rsid w:val="00061D4C"/>
    <w:rsid w:val="00070031"/>
    <w:rsid w:val="000733E7"/>
    <w:rsid w:val="00075BC1"/>
    <w:rsid w:val="000908EE"/>
    <w:rsid w:val="00095DD0"/>
    <w:rsid w:val="000977AF"/>
    <w:rsid w:val="000A583F"/>
    <w:rsid w:val="000A5D57"/>
    <w:rsid w:val="000A7D5B"/>
    <w:rsid w:val="000B5D02"/>
    <w:rsid w:val="000B71A6"/>
    <w:rsid w:val="000C1D1D"/>
    <w:rsid w:val="000C23A5"/>
    <w:rsid w:val="000D05BB"/>
    <w:rsid w:val="000D25F0"/>
    <w:rsid w:val="000E70A1"/>
    <w:rsid w:val="000E787B"/>
    <w:rsid w:val="000F2A96"/>
    <w:rsid w:val="000F7E7C"/>
    <w:rsid w:val="00102865"/>
    <w:rsid w:val="001033F4"/>
    <w:rsid w:val="00114949"/>
    <w:rsid w:val="00120B7E"/>
    <w:rsid w:val="00125A2D"/>
    <w:rsid w:val="0012689C"/>
    <w:rsid w:val="0013039A"/>
    <w:rsid w:val="00130BC3"/>
    <w:rsid w:val="00131E2A"/>
    <w:rsid w:val="00134788"/>
    <w:rsid w:val="00136ABF"/>
    <w:rsid w:val="00142310"/>
    <w:rsid w:val="00143575"/>
    <w:rsid w:val="00143B06"/>
    <w:rsid w:val="001453A0"/>
    <w:rsid w:val="001528D7"/>
    <w:rsid w:val="001553CA"/>
    <w:rsid w:val="00157B2D"/>
    <w:rsid w:val="00160E33"/>
    <w:rsid w:val="00161D6F"/>
    <w:rsid w:val="00174300"/>
    <w:rsid w:val="00175415"/>
    <w:rsid w:val="00177316"/>
    <w:rsid w:val="001832B4"/>
    <w:rsid w:val="0018340E"/>
    <w:rsid w:val="00184707"/>
    <w:rsid w:val="00185759"/>
    <w:rsid w:val="00186503"/>
    <w:rsid w:val="0018724F"/>
    <w:rsid w:val="00191FFD"/>
    <w:rsid w:val="00194094"/>
    <w:rsid w:val="0019494E"/>
    <w:rsid w:val="001B0477"/>
    <w:rsid w:val="001B1348"/>
    <w:rsid w:val="001B6880"/>
    <w:rsid w:val="001C14FF"/>
    <w:rsid w:val="001C45A7"/>
    <w:rsid w:val="001C6EEC"/>
    <w:rsid w:val="001D10F2"/>
    <w:rsid w:val="001D229F"/>
    <w:rsid w:val="001D49AE"/>
    <w:rsid w:val="001E2C55"/>
    <w:rsid w:val="001F10E8"/>
    <w:rsid w:val="001F60BB"/>
    <w:rsid w:val="00206ABD"/>
    <w:rsid w:val="00206C45"/>
    <w:rsid w:val="00206FD7"/>
    <w:rsid w:val="00222C0B"/>
    <w:rsid w:val="002251FE"/>
    <w:rsid w:val="00232B8E"/>
    <w:rsid w:val="00235656"/>
    <w:rsid w:val="00240688"/>
    <w:rsid w:val="0024363C"/>
    <w:rsid w:val="00245ED5"/>
    <w:rsid w:val="00255B3B"/>
    <w:rsid w:val="00256E5E"/>
    <w:rsid w:val="0026134B"/>
    <w:rsid w:val="00261CA4"/>
    <w:rsid w:val="00262B47"/>
    <w:rsid w:val="00262CA3"/>
    <w:rsid w:val="0026597E"/>
    <w:rsid w:val="0026788E"/>
    <w:rsid w:val="0027080E"/>
    <w:rsid w:val="002715CF"/>
    <w:rsid w:val="00276566"/>
    <w:rsid w:val="002774D4"/>
    <w:rsid w:val="00277AD1"/>
    <w:rsid w:val="00283D8E"/>
    <w:rsid w:val="002853CC"/>
    <w:rsid w:val="00290B4E"/>
    <w:rsid w:val="00293A33"/>
    <w:rsid w:val="00296C3F"/>
    <w:rsid w:val="0029768E"/>
    <w:rsid w:val="002A0473"/>
    <w:rsid w:val="002A151E"/>
    <w:rsid w:val="002B50BC"/>
    <w:rsid w:val="002C379A"/>
    <w:rsid w:val="002D1385"/>
    <w:rsid w:val="002D1731"/>
    <w:rsid w:val="002D1AC2"/>
    <w:rsid w:val="002D4DD9"/>
    <w:rsid w:val="002D5A5F"/>
    <w:rsid w:val="002D6803"/>
    <w:rsid w:val="002E7153"/>
    <w:rsid w:val="002E7CF2"/>
    <w:rsid w:val="003074C3"/>
    <w:rsid w:val="00307651"/>
    <w:rsid w:val="00313B0A"/>
    <w:rsid w:val="00313CF3"/>
    <w:rsid w:val="003213B4"/>
    <w:rsid w:val="003218A8"/>
    <w:rsid w:val="0032228B"/>
    <w:rsid w:val="00322C1F"/>
    <w:rsid w:val="0032414E"/>
    <w:rsid w:val="00325B6F"/>
    <w:rsid w:val="003272B0"/>
    <w:rsid w:val="00330579"/>
    <w:rsid w:val="00332182"/>
    <w:rsid w:val="00332502"/>
    <w:rsid w:val="00334C13"/>
    <w:rsid w:val="00340086"/>
    <w:rsid w:val="003439D0"/>
    <w:rsid w:val="00346B92"/>
    <w:rsid w:val="00346C31"/>
    <w:rsid w:val="003524DF"/>
    <w:rsid w:val="003562B4"/>
    <w:rsid w:val="003607EF"/>
    <w:rsid w:val="0036120A"/>
    <w:rsid w:val="003636AD"/>
    <w:rsid w:val="00365F72"/>
    <w:rsid w:val="003664CE"/>
    <w:rsid w:val="00370B00"/>
    <w:rsid w:val="003716B9"/>
    <w:rsid w:val="00375DE6"/>
    <w:rsid w:val="003773C3"/>
    <w:rsid w:val="0038162F"/>
    <w:rsid w:val="00384CAE"/>
    <w:rsid w:val="00387549"/>
    <w:rsid w:val="00390A6B"/>
    <w:rsid w:val="00397E13"/>
    <w:rsid w:val="003A1D4E"/>
    <w:rsid w:val="003A23D9"/>
    <w:rsid w:val="003A47E3"/>
    <w:rsid w:val="003A551E"/>
    <w:rsid w:val="003B0EFD"/>
    <w:rsid w:val="003B783F"/>
    <w:rsid w:val="003C168F"/>
    <w:rsid w:val="003C1CC4"/>
    <w:rsid w:val="003D430C"/>
    <w:rsid w:val="003E49D9"/>
    <w:rsid w:val="003F10B5"/>
    <w:rsid w:val="00402935"/>
    <w:rsid w:val="00404C68"/>
    <w:rsid w:val="00404F59"/>
    <w:rsid w:val="00407659"/>
    <w:rsid w:val="00415923"/>
    <w:rsid w:val="00417010"/>
    <w:rsid w:val="00417CE3"/>
    <w:rsid w:val="00420C7A"/>
    <w:rsid w:val="00430112"/>
    <w:rsid w:val="00434A31"/>
    <w:rsid w:val="0043786F"/>
    <w:rsid w:val="0043788F"/>
    <w:rsid w:val="004425D3"/>
    <w:rsid w:val="00442E55"/>
    <w:rsid w:val="0044333B"/>
    <w:rsid w:val="00447484"/>
    <w:rsid w:val="004506B8"/>
    <w:rsid w:val="00452B11"/>
    <w:rsid w:val="004542A4"/>
    <w:rsid w:val="00454EEE"/>
    <w:rsid w:val="004672EC"/>
    <w:rsid w:val="004741B1"/>
    <w:rsid w:val="00482132"/>
    <w:rsid w:val="00486D91"/>
    <w:rsid w:val="00487FA4"/>
    <w:rsid w:val="00490B4F"/>
    <w:rsid w:val="00490D73"/>
    <w:rsid w:val="00492BD3"/>
    <w:rsid w:val="00493EB0"/>
    <w:rsid w:val="00495EFD"/>
    <w:rsid w:val="00495FE6"/>
    <w:rsid w:val="004A12B6"/>
    <w:rsid w:val="004A2C98"/>
    <w:rsid w:val="004B0659"/>
    <w:rsid w:val="004B3609"/>
    <w:rsid w:val="004B4AC3"/>
    <w:rsid w:val="004B51FD"/>
    <w:rsid w:val="004B5309"/>
    <w:rsid w:val="004B7ACC"/>
    <w:rsid w:val="004C0BF5"/>
    <w:rsid w:val="004C65E1"/>
    <w:rsid w:val="004D3042"/>
    <w:rsid w:val="004D485B"/>
    <w:rsid w:val="004D659B"/>
    <w:rsid w:val="004E274B"/>
    <w:rsid w:val="004E2ADD"/>
    <w:rsid w:val="004E59EE"/>
    <w:rsid w:val="004F01BF"/>
    <w:rsid w:val="004F14C5"/>
    <w:rsid w:val="004F7097"/>
    <w:rsid w:val="00505C9D"/>
    <w:rsid w:val="005105FD"/>
    <w:rsid w:val="0051159C"/>
    <w:rsid w:val="00512143"/>
    <w:rsid w:val="005227CC"/>
    <w:rsid w:val="005233ED"/>
    <w:rsid w:val="00526641"/>
    <w:rsid w:val="0053090E"/>
    <w:rsid w:val="00533840"/>
    <w:rsid w:val="005345B7"/>
    <w:rsid w:val="00537BBD"/>
    <w:rsid w:val="00541A15"/>
    <w:rsid w:val="00542753"/>
    <w:rsid w:val="00545B22"/>
    <w:rsid w:val="00546D81"/>
    <w:rsid w:val="00550D15"/>
    <w:rsid w:val="00550EFE"/>
    <w:rsid w:val="0055635A"/>
    <w:rsid w:val="00560916"/>
    <w:rsid w:val="0056785D"/>
    <w:rsid w:val="00573E54"/>
    <w:rsid w:val="0058711D"/>
    <w:rsid w:val="00593CB5"/>
    <w:rsid w:val="0059516A"/>
    <w:rsid w:val="005957E8"/>
    <w:rsid w:val="0059698D"/>
    <w:rsid w:val="005A0E67"/>
    <w:rsid w:val="005B4DC2"/>
    <w:rsid w:val="005B7CD4"/>
    <w:rsid w:val="005C02A3"/>
    <w:rsid w:val="005C2472"/>
    <w:rsid w:val="005C4B9B"/>
    <w:rsid w:val="005C4E64"/>
    <w:rsid w:val="005C4F38"/>
    <w:rsid w:val="005D38A7"/>
    <w:rsid w:val="005D4741"/>
    <w:rsid w:val="005D48E9"/>
    <w:rsid w:val="005D4E26"/>
    <w:rsid w:val="005D5500"/>
    <w:rsid w:val="005E3DD8"/>
    <w:rsid w:val="005E7E65"/>
    <w:rsid w:val="005F001A"/>
    <w:rsid w:val="005F0F44"/>
    <w:rsid w:val="005F61E8"/>
    <w:rsid w:val="00600B70"/>
    <w:rsid w:val="006054A8"/>
    <w:rsid w:val="006054EB"/>
    <w:rsid w:val="00605975"/>
    <w:rsid w:val="006062A8"/>
    <w:rsid w:val="0061012B"/>
    <w:rsid w:val="006163ED"/>
    <w:rsid w:val="00620FAB"/>
    <w:rsid w:val="00622F00"/>
    <w:rsid w:val="006236E3"/>
    <w:rsid w:val="006254A9"/>
    <w:rsid w:val="00632ECA"/>
    <w:rsid w:val="00637B90"/>
    <w:rsid w:val="00637CBE"/>
    <w:rsid w:val="006402AD"/>
    <w:rsid w:val="006410DE"/>
    <w:rsid w:val="0064464B"/>
    <w:rsid w:val="00644713"/>
    <w:rsid w:val="00647DDA"/>
    <w:rsid w:val="00655834"/>
    <w:rsid w:val="00662F24"/>
    <w:rsid w:val="00663C95"/>
    <w:rsid w:val="00667378"/>
    <w:rsid w:val="006701F9"/>
    <w:rsid w:val="00680135"/>
    <w:rsid w:val="006826B6"/>
    <w:rsid w:val="00686B9B"/>
    <w:rsid w:val="00687B08"/>
    <w:rsid w:val="00695BCF"/>
    <w:rsid w:val="006A4840"/>
    <w:rsid w:val="006B05F1"/>
    <w:rsid w:val="006B0EE0"/>
    <w:rsid w:val="006B5B0B"/>
    <w:rsid w:val="006B716A"/>
    <w:rsid w:val="006C05B3"/>
    <w:rsid w:val="006C06AF"/>
    <w:rsid w:val="006C1FDF"/>
    <w:rsid w:val="006C2E2F"/>
    <w:rsid w:val="006C6826"/>
    <w:rsid w:val="006D07E6"/>
    <w:rsid w:val="006D372D"/>
    <w:rsid w:val="006D3C79"/>
    <w:rsid w:val="006D3FA3"/>
    <w:rsid w:val="006D469B"/>
    <w:rsid w:val="006D7111"/>
    <w:rsid w:val="006E31E8"/>
    <w:rsid w:val="006E7745"/>
    <w:rsid w:val="006E7FCE"/>
    <w:rsid w:val="006F4585"/>
    <w:rsid w:val="006F48D9"/>
    <w:rsid w:val="00701FAB"/>
    <w:rsid w:val="0070584E"/>
    <w:rsid w:val="0071082C"/>
    <w:rsid w:val="00712062"/>
    <w:rsid w:val="007255EC"/>
    <w:rsid w:val="00727800"/>
    <w:rsid w:val="00730FAD"/>
    <w:rsid w:val="007359BC"/>
    <w:rsid w:val="00740934"/>
    <w:rsid w:val="00740AAC"/>
    <w:rsid w:val="00742D0E"/>
    <w:rsid w:val="007443F7"/>
    <w:rsid w:val="00745FC6"/>
    <w:rsid w:val="007537A4"/>
    <w:rsid w:val="0075475D"/>
    <w:rsid w:val="0075641E"/>
    <w:rsid w:val="00760C2A"/>
    <w:rsid w:val="007658BA"/>
    <w:rsid w:val="00771E27"/>
    <w:rsid w:val="007816FD"/>
    <w:rsid w:val="00781B79"/>
    <w:rsid w:val="00785F41"/>
    <w:rsid w:val="00786679"/>
    <w:rsid w:val="0079217C"/>
    <w:rsid w:val="00794221"/>
    <w:rsid w:val="007A5179"/>
    <w:rsid w:val="007B329A"/>
    <w:rsid w:val="007B615E"/>
    <w:rsid w:val="007B62C1"/>
    <w:rsid w:val="007B7ECC"/>
    <w:rsid w:val="007C00E0"/>
    <w:rsid w:val="007D3CE3"/>
    <w:rsid w:val="007D4C7D"/>
    <w:rsid w:val="007D67FF"/>
    <w:rsid w:val="007D7179"/>
    <w:rsid w:val="007E023A"/>
    <w:rsid w:val="00800A2E"/>
    <w:rsid w:val="0080131C"/>
    <w:rsid w:val="0080452A"/>
    <w:rsid w:val="00807B58"/>
    <w:rsid w:val="0081056B"/>
    <w:rsid w:val="0081508B"/>
    <w:rsid w:val="008267D9"/>
    <w:rsid w:val="00833745"/>
    <w:rsid w:val="008359DA"/>
    <w:rsid w:val="008362CA"/>
    <w:rsid w:val="00836D5D"/>
    <w:rsid w:val="00842934"/>
    <w:rsid w:val="00843AA9"/>
    <w:rsid w:val="008443D4"/>
    <w:rsid w:val="00847D38"/>
    <w:rsid w:val="00850661"/>
    <w:rsid w:val="008514CE"/>
    <w:rsid w:val="008550BE"/>
    <w:rsid w:val="0085529B"/>
    <w:rsid w:val="00856D53"/>
    <w:rsid w:val="008624F3"/>
    <w:rsid w:val="00863E01"/>
    <w:rsid w:val="008738DE"/>
    <w:rsid w:val="00891F06"/>
    <w:rsid w:val="0089575C"/>
    <w:rsid w:val="00897C0E"/>
    <w:rsid w:val="008A1741"/>
    <w:rsid w:val="008A68B4"/>
    <w:rsid w:val="008B3D57"/>
    <w:rsid w:val="008B5DA7"/>
    <w:rsid w:val="008C0AAF"/>
    <w:rsid w:val="008C4559"/>
    <w:rsid w:val="008C6D3B"/>
    <w:rsid w:val="008C747B"/>
    <w:rsid w:val="008D0EE2"/>
    <w:rsid w:val="008D67FD"/>
    <w:rsid w:val="008D7C96"/>
    <w:rsid w:val="008E6217"/>
    <w:rsid w:val="008F0C25"/>
    <w:rsid w:val="008F4193"/>
    <w:rsid w:val="009010B6"/>
    <w:rsid w:val="00905C52"/>
    <w:rsid w:val="00913C23"/>
    <w:rsid w:val="00914D60"/>
    <w:rsid w:val="00915BBE"/>
    <w:rsid w:val="00916BE7"/>
    <w:rsid w:val="00922557"/>
    <w:rsid w:val="00923BDA"/>
    <w:rsid w:val="00924683"/>
    <w:rsid w:val="00924BD0"/>
    <w:rsid w:val="00936D08"/>
    <w:rsid w:val="00942E9B"/>
    <w:rsid w:val="009439A3"/>
    <w:rsid w:val="00952C1E"/>
    <w:rsid w:val="00962BEB"/>
    <w:rsid w:val="00963416"/>
    <w:rsid w:val="0096437D"/>
    <w:rsid w:val="00973358"/>
    <w:rsid w:val="00987A72"/>
    <w:rsid w:val="00992A9B"/>
    <w:rsid w:val="00992F56"/>
    <w:rsid w:val="00994205"/>
    <w:rsid w:val="00997F06"/>
    <w:rsid w:val="009A0B48"/>
    <w:rsid w:val="009B1982"/>
    <w:rsid w:val="009B311D"/>
    <w:rsid w:val="009B4A2D"/>
    <w:rsid w:val="009B510E"/>
    <w:rsid w:val="009B5DDE"/>
    <w:rsid w:val="009C55D1"/>
    <w:rsid w:val="009C5A57"/>
    <w:rsid w:val="009D2265"/>
    <w:rsid w:val="009D6299"/>
    <w:rsid w:val="009E0026"/>
    <w:rsid w:val="009E04E8"/>
    <w:rsid w:val="009E069A"/>
    <w:rsid w:val="009E4ADD"/>
    <w:rsid w:val="009E5387"/>
    <w:rsid w:val="009F1538"/>
    <w:rsid w:val="009F5F23"/>
    <w:rsid w:val="009F7DE8"/>
    <w:rsid w:val="009F7F95"/>
    <w:rsid w:val="00A04A21"/>
    <w:rsid w:val="00A07D0A"/>
    <w:rsid w:val="00A1277A"/>
    <w:rsid w:val="00A13767"/>
    <w:rsid w:val="00A13E17"/>
    <w:rsid w:val="00A20E0F"/>
    <w:rsid w:val="00A22254"/>
    <w:rsid w:val="00A223C0"/>
    <w:rsid w:val="00A27C8A"/>
    <w:rsid w:val="00A31152"/>
    <w:rsid w:val="00A32204"/>
    <w:rsid w:val="00A349EF"/>
    <w:rsid w:val="00A3641A"/>
    <w:rsid w:val="00A37290"/>
    <w:rsid w:val="00A4220C"/>
    <w:rsid w:val="00A5338C"/>
    <w:rsid w:val="00A5392D"/>
    <w:rsid w:val="00A54231"/>
    <w:rsid w:val="00A60FC9"/>
    <w:rsid w:val="00A615E6"/>
    <w:rsid w:val="00A6207D"/>
    <w:rsid w:val="00A63290"/>
    <w:rsid w:val="00A65003"/>
    <w:rsid w:val="00A6514E"/>
    <w:rsid w:val="00A66EB6"/>
    <w:rsid w:val="00A672B5"/>
    <w:rsid w:val="00A7600A"/>
    <w:rsid w:val="00A83602"/>
    <w:rsid w:val="00A83ADF"/>
    <w:rsid w:val="00A85915"/>
    <w:rsid w:val="00A8764B"/>
    <w:rsid w:val="00A9224A"/>
    <w:rsid w:val="00A953D3"/>
    <w:rsid w:val="00A959E4"/>
    <w:rsid w:val="00AA2285"/>
    <w:rsid w:val="00AA244A"/>
    <w:rsid w:val="00AA4321"/>
    <w:rsid w:val="00AA7EEA"/>
    <w:rsid w:val="00AC33AC"/>
    <w:rsid w:val="00AC70EC"/>
    <w:rsid w:val="00AD0CC1"/>
    <w:rsid w:val="00AD0E59"/>
    <w:rsid w:val="00AE13A8"/>
    <w:rsid w:val="00AE20C3"/>
    <w:rsid w:val="00AE3D4B"/>
    <w:rsid w:val="00AE4064"/>
    <w:rsid w:val="00AE6C43"/>
    <w:rsid w:val="00AF4112"/>
    <w:rsid w:val="00AF5B2B"/>
    <w:rsid w:val="00B044E0"/>
    <w:rsid w:val="00B05872"/>
    <w:rsid w:val="00B20B9D"/>
    <w:rsid w:val="00B21160"/>
    <w:rsid w:val="00B2153D"/>
    <w:rsid w:val="00B2290E"/>
    <w:rsid w:val="00B2404D"/>
    <w:rsid w:val="00B2684E"/>
    <w:rsid w:val="00B30E46"/>
    <w:rsid w:val="00B324DB"/>
    <w:rsid w:val="00B4131B"/>
    <w:rsid w:val="00B43AD6"/>
    <w:rsid w:val="00B50112"/>
    <w:rsid w:val="00B51238"/>
    <w:rsid w:val="00B51D08"/>
    <w:rsid w:val="00B5313E"/>
    <w:rsid w:val="00B611CF"/>
    <w:rsid w:val="00B625ED"/>
    <w:rsid w:val="00B64831"/>
    <w:rsid w:val="00B64CAF"/>
    <w:rsid w:val="00B66CC4"/>
    <w:rsid w:val="00B74B52"/>
    <w:rsid w:val="00B85FC8"/>
    <w:rsid w:val="00B9340A"/>
    <w:rsid w:val="00B9628D"/>
    <w:rsid w:val="00B96DFA"/>
    <w:rsid w:val="00BA2EA1"/>
    <w:rsid w:val="00BA3C01"/>
    <w:rsid w:val="00BA56E1"/>
    <w:rsid w:val="00BB0C1A"/>
    <w:rsid w:val="00BB12F9"/>
    <w:rsid w:val="00BC0743"/>
    <w:rsid w:val="00BC317B"/>
    <w:rsid w:val="00BC639C"/>
    <w:rsid w:val="00BC700E"/>
    <w:rsid w:val="00BD066B"/>
    <w:rsid w:val="00BD0D18"/>
    <w:rsid w:val="00BD130E"/>
    <w:rsid w:val="00BD3EB1"/>
    <w:rsid w:val="00BE045B"/>
    <w:rsid w:val="00BE2ED0"/>
    <w:rsid w:val="00BF4230"/>
    <w:rsid w:val="00C00949"/>
    <w:rsid w:val="00C00E9E"/>
    <w:rsid w:val="00C045DC"/>
    <w:rsid w:val="00C12EFA"/>
    <w:rsid w:val="00C17248"/>
    <w:rsid w:val="00C176FC"/>
    <w:rsid w:val="00C20BA9"/>
    <w:rsid w:val="00C24A35"/>
    <w:rsid w:val="00C27BFC"/>
    <w:rsid w:val="00C32082"/>
    <w:rsid w:val="00C36C24"/>
    <w:rsid w:val="00C479C0"/>
    <w:rsid w:val="00C56C1C"/>
    <w:rsid w:val="00C57F40"/>
    <w:rsid w:val="00C60618"/>
    <w:rsid w:val="00C65FFC"/>
    <w:rsid w:val="00C66581"/>
    <w:rsid w:val="00C75D35"/>
    <w:rsid w:val="00C77360"/>
    <w:rsid w:val="00C77735"/>
    <w:rsid w:val="00C80C8D"/>
    <w:rsid w:val="00C81443"/>
    <w:rsid w:val="00C83EA8"/>
    <w:rsid w:val="00C91F2F"/>
    <w:rsid w:val="00C94E0C"/>
    <w:rsid w:val="00CA214D"/>
    <w:rsid w:val="00CA550D"/>
    <w:rsid w:val="00CA7916"/>
    <w:rsid w:val="00CB290A"/>
    <w:rsid w:val="00CC0892"/>
    <w:rsid w:val="00CC17F0"/>
    <w:rsid w:val="00CC32E7"/>
    <w:rsid w:val="00CC457D"/>
    <w:rsid w:val="00CC4AEE"/>
    <w:rsid w:val="00CC62FE"/>
    <w:rsid w:val="00CD00A5"/>
    <w:rsid w:val="00CD2E16"/>
    <w:rsid w:val="00CD72C2"/>
    <w:rsid w:val="00CD7BE5"/>
    <w:rsid w:val="00CE2A9C"/>
    <w:rsid w:val="00CE4A9F"/>
    <w:rsid w:val="00CF582F"/>
    <w:rsid w:val="00CF6B77"/>
    <w:rsid w:val="00CF714F"/>
    <w:rsid w:val="00D02B71"/>
    <w:rsid w:val="00D05583"/>
    <w:rsid w:val="00D1152D"/>
    <w:rsid w:val="00D16708"/>
    <w:rsid w:val="00D214DF"/>
    <w:rsid w:val="00D21A2C"/>
    <w:rsid w:val="00D21C1D"/>
    <w:rsid w:val="00D237D1"/>
    <w:rsid w:val="00D2444A"/>
    <w:rsid w:val="00D24939"/>
    <w:rsid w:val="00D259FC"/>
    <w:rsid w:val="00D27E7B"/>
    <w:rsid w:val="00D31F79"/>
    <w:rsid w:val="00D337EA"/>
    <w:rsid w:val="00D35AF8"/>
    <w:rsid w:val="00D42379"/>
    <w:rsid w:val="00D441E5"/>
    <w:rsid w:val="00D45681"/>
    <w:rsid w:val="00D51CFA"/>
    <w:rsid w:val="00D53B16"/>
    <w:rsid w:val="00D54D08"/>
    <w:rsid w:val="00D57851"/>
    <w:rsid w:val="00D60D07"/>
    <w:rsid w:val="00D627F7"/>
    <w:rsid w:val="00D628FD"/>
    <w:rsid w:val="00D6379C"/>
    <w:rsid w:val="00D65A69"/>
    <w:rsid w:val="00D7221C"/>
    <w:rsid w:val="00D75301"/>
    <w:rsid w:val="00D84284"/>
    <w:rsid w:val="00D906D7"/>
    <w:rsid w:val="00D93552"/>
    <w:rsid w:val="00D939C8"/>
    <w:rsid w:val="00D9524B"/>
    <w:rsid w:val="00DB1904"/>
    <w:rsid w:val="00DB3D1B"/>
    <w:rsid w:val="00DB4ADC"/>
    <w:rsid w:val="00DC0B61"/>
    <w:rsid w:val="00DC18CD"/>
    <w:rsid w:val="00DC1CE3"/>
    <w:rsid w:val="00DC5746"/>
    <w:rsid w:val="00DC7528"/>
    <w:rsid w:val="00DC78F2"/>
    <w:rsid w:val="00DD0503"/>
    <w:rsid w:val="00DD20EA"/>
    <w:rsid w:val="00DD7156"/>
    <w:rsid w:val="00DD777B"/>
    <w:rsid w:val="00DD7D11"/>
    <w:rsid w:val="00DE0419"/>
    <w:rsid w:val="00DE1E09"/>
    <w:rsid w:val="00DE3690"/>
    <w:rsid w:val="00DE51A2"/>
    <w:rsid w:val="00DE5332"/>
    <w:rsid w:val="00DF07A2"/>
    <w:rsid w:val="00DF30F5"/>
    <w:rsid w:val="00E10387"/>
    <w:rsid w:val="00E10549"/>
    <w:rsid w:val="00E12CED"/>
    <w:rsid w:val="00E12D86"/>
    <w:rsid w:val="00E14800"/>
    <w:rsid w:val="00E2411C"/>
    <w:rsid w:val="00E27ECD"/>
    <w:rsid w:val="00E31194"/>
    <w:rsid w:val="00E31387"/>
    <w:rsid w:val="00E3559D"/>
    <w:rsid w:val="00E50EE6"/>
    <w:rsid w:val="00E62CAD"/>
    <w:rsid w:val="00E64B5E"/>
    <w:rsid w:val="00E652AA"/>
    <w:rsid w:val="00E66328"/>
    <w:rsid w:val="00E67737"/>
    <w:rsid w:val="00E803FC"/>
    <w:rsid w:val="00E83404"/>
    <w:rsid w:val="00E8663C"/>
    <w:rsid w:val="00E95C84"/>
    <w:rsid w:val="00E9699B"/>
    <w:rsid w:val="00EA0A20"/>
    <w:rsid w:val="00EB02B1"/>
    <w:rsid w:val="00EB39AD"/>
    <w:rsid w:val="00EB44D3"/>
    <w:rsid w:val="00EB701E"/>
    <w:rsid w:val="00EB7B5F"/>
    <w:rsid w:val="00EC0BB5"/>
    <w:rsid w:val="00EC18D7"/>
    <w:rsid w:val="00EC70D3"/>
    <w:rsid w:val="00ED4A2F"/>
    <w:rsid w:val="00ED6D40"/>
    <w:rsid w:val="00ED77C8"/>
    <w:rsid w:val="00EE601B"/>
    <w:rsid w:val="00EF12BF"/>
    <w:rsid w:val="00EF6068"/>
    <w:rsid w:val="00EF667B"/>
    <w:rsid w:val="00EF6E18"/>
    <w:rsid w:val="00EF77DD"/>
    <w:rsid w:val="00F006F2"/>
    <w:rsid w:val="00F04D33"/>
    <w:rsid w:val="00F05FC2"/>
    <w:rsid w:val="00F13560"/>
    <w:rsid w:val="00F13817"/>
    <w:rsid w:val="00F15443"/>
    <w:rsid w:val="00F16153"/>
    <w:rsid w:val="00F162EE"/>
    <w:rsid w:val="00F179E5"/>
    <w:rsid w:val="00F200EB"/>
    <w:rsid w:val="00F203B7"/>
    <w:rsid w:val="00F276F5"/>
    <w:rsid w:val="00F30404"/>
    <w:rsid w:val="00F31DF1"/>
    <w:rsid w:val="00F36D30"/>
    <w:rsid w:val="00F43F8B"/>
    <w:rsid w:val="00F4602F"/>
    <w:rsid w:val="00F47E0B"/>
    <w:rsid w:val="00F515A1"/>
    <w:rsid w:val="00F534E9"/>
    <w:rsid w:val="00F53C72"/>
    <w:rsid w:val="00F5408F"/>
    <w:rsid w:val="00F56DAA"/>
    <w:rsid w:val="00F6498A"/>
    <w:rsid w:val="00F65642"/>
    <w:rsid w:val="00F65D5A"/>
    <w:rsid w:val="00F70DE7"/>
    <w:rsid w:val="00F7266C"/>
    <w:rsid w:val="00F7524A"/>
    <w:rsid w:val="00F7527B"/>
    <w:rsid w:val="00F80034"/>
    <w:rsid w:val="00F81FA0"/>
    <w:rsid w:val="00F87667"/>
    <w:rsid w:val="00F90C55"/>
    <w:rsid w:val="00F90E2A"/>
    <w:rsid w:val="00F91B18"/>
    <w:rsid w:val="00F92BD9"/>
    <w:rsid w:val="00F966A9"/>
    <w:rsid w:val="00F9736C"/>
    <w:rsid w:val="00FA4883"/>
    <w:rsid w:val="00FA4A2F"/>
    <w:rsid w:val="00FB684C"/>
    <w:rsid w:val="00FB74E7"/>
    <w:rsid w:val="00FB7A05"/>
    <w:rsid w:val="00FC05DC"/>
    <w:rsid w:val="00FC7ECC"/>
    <w:rsid w:val="00FE7683"/>
    <w:rsid w:val="00FE7BA2"/>
    <w:rsid w:val="00FF0A0E"/>
    <w:rsid w:val="00FF1D6D"/>
    <w:rsid w:val="00FF26F4"/>
    <w:rsid w:val="00FF43B3"/>
    <w:rsid w:val="00FF7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9E4ADD"/>
    <w:pPr>
      <w:keepNext/>
      <w:numPr>
        <w:numId w:val="1"/>
      </w:numPr>
      <w:tabs>
        <w:tab w:val="clear" w:pos="2070"/>
        <w:tab w:val="left" w:pos="1440"/>
        <w:tab w:val="num" w:pos="1800"/>
      </w:tabs>
      <w:spacing w:before="240" w:after="240" w:line="240" w:lineRule="auto"/>
      <w:ind w:left="1152"/>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rsid w:val="009E4ADD"/>
    <w:pPr>
      <w:numPr>
        <w:ilvl w:val="1"/>
        <w:numId w:val="1"/>
      </w:numPr>
      <w:tabs>
        <w:tab w:val="clear" w:pos="2448"/>
        <w:tab w:val="num" w:pos="720"/>
      </w:tabs>
      <w:spacing w:before="120" w:line="240" w:lineRule="auto"/>
      <w:ind w:left="720" w:hanging="720"/>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9E4ADD"/>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E4ADD"/>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9E4ADD"/>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9E4ADD"/>
    <w:pPr>
      <w:spacing w:after="120"/>
      <w:ind w:left="283"/>
    </w:pPr>
  </w:style>
  <w:style w:type="character" w:customStyle="1" w:styleId="BodyTextIndentChar">
    <w:name w:val="Body Text Indent Char"/>
    <w:basedOn w:val="DefaultParagraphFont"/>
    <w:link w:val="BodyTextIndent"/>
    <w:uiPriority w:val="99"/>
    <w:semiHidden/>
    <w:rsid w:val="009E4ADD"/>
  </w:style>
  <w:style w:type="paragraph" w:styleId="BodyTextIndent3">
    <w:name w:val="Body Text Indent 3"/>
    <w:basedOn w:val="Normal"/>
    <w:link w:val="BodyTextIndent3Char"/>
    <w:uiPriority w:val="99"/>
    <w:semiHidden/>
    <w:unhideWhenUsed/>
    <w:rsid w:val="009E4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4ADD"/>
    <w:rPr>
      <w:sz w:val="16"/>
      <w:szCs w:val="16"/>
    </w:rPr>
  </w:style>
  <w:style w:type="paragraph" w:styleId="ListParagraph">
    <w:name w:val="List Paragraph"/>
    <w:basedOn w:val="Normal"/>
    <w:uiPriority w:val="34"/>
    <w:qFormat/>
    <w:rsid w:val="009E4ADD"/>
    <w:pPr>
      <w:ind w:left="720"/>
      <w:contextualSpacing/>
    </w:pPr>
  </w:style>
  <w:style w:type="table" w:styleId="TableGrid">
    <w:name w:val="Table Grid"/>
    <w:basedOn w:val="TableNormal"/>
    <w:uiPriority w:val="39"/>
    <w:rsid w:val="00F6564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642"/>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FootnoteText">
    <w:name w:val="footnote text"/>
    <w:aliases w:val="fn"/>
    <w:basedOn w:val="Normal"/>
    <w:link w:val="FootnoteTextChar"/>
    <w:uiPriority w:val="99"/>
    <w:unhideWhenUsed/>
    <w:rsid w:val="002251FE"/>
    <w:pPr>
      <w:spacing w:after="0" w:line="240" w:lineRule="auto"/>
    </w:pPr>
    <w:rPr>
      <w:sz w:val="20"/>
      <w:szCs w:val="20"/>
    </w:rPr>
  </w:style>
  <w:style w:type="character" w:customStyle="1" w:styleId="FootnoteTextChar">
    <w:name w:val="Footnote Text Char"/>
    <w:aliases w:val="fn Char"/>
    <w:basedOn w:val="DefaultParagraphFont"/>
    <w:link w:val="FootnoteText"/>
    <w:uiPriority w:val="99"/>
    <w:rsid w:val="002251FE"/>
    <w:rPr>
      <w:sz w:val="20"/>
      <w:szCs w:val="20"/>
    </w:rPr>
  </w:style>
  <w:style w:type="character" w:styleId="FootnoteReference">
    <w:name w:val="footnote reference"/>
    <w:basedOn w:val="DefaultParagraphFont"/>
    <w:uiPriority w:val="99"/>
    <w:unhideWhenUsed/>
    <w:rsid w:val="002251FE"/>
    <w:rPr>
      <w:vertAlign w:val="superscript"/>
    </w:rPr>
  </w:style>
  <w:style w:type="paragraph" w:styleId="NoSpacing">
    <w:name w:val="No Spacing"/>
    <w:uiPriority w:val="1"/>
    <w:qFormat/>
    <w:rsid w:val="002251FE"/>
    <w:pPr>
      <w:spacing w:after="0" w:line="240" w:lineRule="auto"/>
    </w:pPr>
    <w:rPr>
      <w:rFonts w:ascii="Calibri" w:eastAsia="Times New Roman" w:hAnsi="Calibri" w:cs="Times New Roman"/>
      <w:lang w:val="es-AR"/>
    </w:rPr>
  </w:style>
  <w:style w:type="character" w:styleId="CommentReference">
    <w:name w:val="annotation reference"/>
    <w:basedOn w:val="DefaultParagraphFont"/>
    <w:uiPriority w:val="99"/>
    <w:semiHidden/>
    <w:unhideWhenUsed/>
    <w:rsid w:val="00191FFD"/>
    <w:rPr>
      <w:sz w:val="16"/>
      <w:szCs w:val="16"/>
    </w:rPr>
  </w:style>
  <w:style w:type="paragraph" w:styleId="CommentText">
    <w:name w:val="annotation text"/>
    <w:basedOn w:val="Normal"/>
    <w:link w:val="CommentTextChar"/>
    <w:uiPriority w:val="99"/>
    <w:semiHidden/>
    <w:unhideWhenUsed/>
    <w:rsid w:val="00191FFD"/>
    <w:pPr>
      <w:spacing w:line="240" w:lineRule="auto"/>
    </w:pPr>
    <w:rPr>
      <w:sz w:val="20"/>
      <w:szCs w:val="20"/>
    </w:rPr>
  </w:style>
  <w:style w:type="character" w:customStyle="1" w:styleId="CommentTextChar">
    <w:name w:val="Comment Text Char"/>
    <w:basedOn w:val="DefaultParagraphFont"/>
    <w:link w:val="CommentText"/>
    <w:uiPriority w:val="99"/>
    <w:semiHidden/>
    <w:rsid w:val="00191FFD"/>
    <w:rPr>
      <w:sz w:val="20"/>
      <w:szCs w:val="20"/>
    </w:rPr>
  </w:style>
  <w:style w:type="paragraph" w:styleId="CommentSubject">
    <w:name w:val="annotation subject"/>
    <w:basedOn w:val="CommentText"/>
    <w:next w:val="CommentText"/>
    <w:link w:val="CommentSubjectChar"/>
    <w:uiPriority w:val="99"/>
    <w:semiHidden/>
    <w:unhideWhenUsed/>
    <w:rsid w:val="00191FFD"/>
    <w:rPr>
      <w:b/>
      <w:bCs/>
    </w:rPr>
  </w:style>
  <w:style w:type="character" w:customStyle="1" w:styleId="CommentSubjectChar">
    <w:name w:val="Comment Subject Char"/>
    <w:basedOn w:val="CommentTextChar"/>
    <w:link w:val="CommentSubject"/>
    <w:uiPriority w:val="99"/>
    <w:semiHidden/>
    <w:rsid w:val="00191FFD"/>
    <w:rPr>
      <w:b/>
      <w:bCs/>
      <w:sz w:val="20"/>
      <w:szCs w:val="20"/>
    </w:rPr>
  </w:style>
  <w:style w:type="paragraph" w:styleId="BalloonText">
    <w:name w:val="Balloon Text"/>
    <w:basedOn w:val="Normal"/>
    <w:link w:val="BalloonTextChar"/>
    <w:uiPriority w:val="99"/>
    <w:semiHidden/>
    <w:unhideWhenUsed/>
    <w:rsid w:val="0019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FFD"/>
    <w:rPr>
      <w:rFonts w:ascii="Segoe UI" w:hAnsi="Segoe UI" w:cs="Segoe UI"/>
      <w:sz w:val="18"/>
      <w:szCs w:val="18"/>
    </w:rPr>
  </w:style>
  <w:style w:type="paragraph" w:styleId="NormalWeb">
    <w:name w:val="Normal (Web)"/>
    <w:basedOn w:val="Normal"/>
    <w:uiPriority w:val="99"/>
    <w:unhideWhenUsed/>
    <w:rsid w:val="00340086"/>
    <w:pPr>
      <w:spacing w:after="0" w:line="240" w:lineRule="auto"/>
    </w:pPr>
    <w:rPr>
      <w:rFonts w:ascii="Times New Roman" w:hAnsi="Times New Roman" w:cs="Times New Roman"/>
      <w:sz w:val="24"/>
      <w:szCs w:val="24"/>
      <w:lang w:eastAsia="es-MX"/>
    </w:rPr>
  </w:style>
  <w:style w:type="character" w:styleId="Strong">
    <w:name w:val="Strong"/>
    <w:basedOn w:val="DefaultParagraphFont"/>
    <w:uiPriority w:val="22"/>
    <w:qFormat/>
    <w:rsid w:val="00340086"/>
    <w:rPr>
      <w:b/>
      <w:bCs/>
    </w:rPr>
  </w:style>
  <w:style w:type="character" w:styleId="Hyperlink">
    <w:name w:val="Hyperlink"/>
    <w:basedOn w:val="DefaultParagraphFont"/>
    <w:uiPriority w:val="99"/>
    <w:unhideWhenUsed/>
    <w:rsid w:val="008D0EE2"/>
    <w:rPr>
      <w:color w:val="0563C1" w:themeColor="hyperlink"/>
      <w:u w:val="single"/>
    </w:rPr>
  </w:style>
  <w:style w:type="paragraph" w:styleId="Header">
    <w:name w:val="header"/>
    <w:basedOn w:val="Normal"/>
    <w:link w:val="HeaderChar"/>
    <w:uiPriority w:val="99"/>
    <w:unhideWhenUsed/>
    <w:rsid w:val="00F3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30"/>
  </w:style>
  <w:style w:type="paragraph" w:styleId="Footer">
    <w:name w:val="footer"/>
    <w:basedOn w:val="Normal"/>
    <w:link w:val="FooterChar"/>
    <w:uiPriority w:val="99"/>
    <w:unhideWhenUsed/>
    <w:rsid w:val="00F3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30"/>
  </w:style>
  <w:style w:type="numbering" w:customStyle="1" w:styleId="Style1">
    <w:name w:val="Style1"/>
    <w:uiPriority w:val="99"/>
    <w:rsid w:val="001832B4"/>
    <w:pPr>
      <w:numPr>
        <w:numId w:val="12"/>
      </w:numPr>
    </w:pPr>
  </w:style>
  <w:style w:type="character" w:customStyle="1" w:styleId="apple-converted-space">
    <w:name w:val="apple-converted-space"/>
    <w:basedOn w:val="DefaultParagraphFont"/>
    <w:rsid w:val="00F91B18"/>
  </w:style>
  <w:style w:type="paragraph" w:styleId="Revision">
    <w:name w:val="Revision"/>
    <w:hidden/>
    <w:uiPriority w:val="99"/>
    <w:semiHidden/>
    <w:rsid w:val="005266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9E4ADD"/>
    <w:pPr>
      <w:keepNext/>
      <w:numPr>
        <w:numId w:val="1"/>
      </w:numPr>
      <w:tabs>
        <w:tab w:val="clear" w:pos="2070"/>
        <w:tab w:val="left" w:pos="1440"/>
        <w:tab w:val="num" w:pos="1800"/>
      </w:tabs>
      <w:spacing w:before="240" w:after="240" w:line="240" w:lineRule="auto"/>
      <w:ind w:left="1152"/>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rsid w:val="009E4ADD"/>
    <w:pPr>
      <w:numPr>
        <w:ilvl w:val="1"/>
        <w:numId w:val="1"/>
      </w:numPr>
      <w:tabs>
        <w:tab w:val="clear" w:pos="2448"/>
        <w:tab w:val="num" w:pos="720"/>
      </w:tabs>
      <w:spacing w:before="120" w:line="240" w:lineRule="auto"/>
      <w:ind w:left="720" w:hanging="720"/>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9E4ADD"/>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9E4ADD"/>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9E4ADD"/>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9E4ADD"/>
    <w:pPr>
      <w:spacing w:after="120"/>
      <w:ind w:left="283"/>
    </w:pPr>
  </w:style>
  <w:style w:type="character" w:customStyle="1" w:styleId="BodyTextIndentChar">
    <w:name w:val="Body Text Indent Char"/>
    <w:basedOn w:val="DefaultParagraphFont"/>
    <w:link w:val="BodyTextIndent"/>
    <w:uiPriority w:val="99"/>
    <w:semiHidden/>
    <w:rsid w:val="009E4ADD"/>
  </w:style>
  <w:style w:type="paragraph" w:styleId="BodyTextIndent3">
    <w:name w:val="Body Text Indent 3"/>
    <w:basedOn w:val="Normal"/>
    <w:link w:val="BodyTextIndent3Char"/>
    <w:uiPriority w:val="99"/>
    <w:semiHidden/>
    <w:unhideWhenUsed/>
    <w:rsid w:val="009E4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4ADD"/>
    <w:rPr>
      <w:sz w:val="16"/>
      <w:szCs w:val="16"/>
    </w:rPr>
  </w:style>
  <w:style w:type="paragraph" w:styleId="ListParagraph">
    <w:name w:val="List Paragraph"/>
    <w:basedOn w:val="Normal"/>
    <w:uiPriority w:val="34"/>
    <w:qFormat/>
    <w:rsid w:val="009E4ADD"/>
    <w:pPr>
      <w:ind w:left="720"/>
      <w:contextualSpacing/>
    </w:pPr>
  </w:style>
  <w:style w:type="table" w:styleId="TableGrid">
    <w:name w:val="Table Grid"/>
    <w:basedOn w:val="TableNormal"/>
    <w:uiPriority w:val="39"/>
    <w:rsid w:val="00F6564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642"/>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FootnoteText">
    <w:name w:val="footnote text"/>
    <w:aliases w:val="fn"/>
    <w:basedOn w:val="Normal"/>
    <w:link w:val="FootnoteTextChar"/>
    <w:uiPriority w:val="99"/>
    <w:unhideWhenUsed/>
    <w:rsid w:val="002251FE"/>
    <w:pPr>
      <w:spacing w:after="0" w:line="240" w:lineRule="auto"/>
    </w:pPr>
    <w:rPr>
      <w:sz w:val="20"/>
      <w:szCs w:val="20"/>
    </w:rPr>
  </w:style>
  <w:style w:type="character" w:customStyle="1" w:styleId="FootnoteTextChar">
    <w:name w:val="Footnote Text Char"/>
    <w:aliases w:val="fn Char"/>
    <w:basedOn w:val="DefaultParagraphFont"/>
    <w:link w:val="FootnoteText"/>
    <w:uiPriority w:val="99"/>
    <w:rsid w:val="002251FE"/>
    <w:rPr>
      <w:sz w:val="20"/>
      <w:szCs w:val="20"/>
    </w:rPr>
  </w:style>
  <w:style w:type="character" w:styleId="FootnoteReference">
    <w:name w:val="footnote reference"/>
    <w:basedOn w:val="DefaultParagraphFont"/>
    <w:uiPriority w:val="99"/>
    <w:unhideWhenUsed/>
    <w:rsid w:val="002251FE"/>
    <w:rPr>
      <w:vertAlign w:val="superscript"/>
    </w:rPr>
  </w:style>
  <w:style w:type="paragraph" w:styleId="NoSpacing">
    <w:name w:val="No Spacing"/>
    <w:uiPriority w:val="1"/>
    <w:qFormat/>
    <w:rsid w:val="002251FE"/>
    <w:pPr>
      <w:spacing w:after="0" w:line="240" w:lineRule="auto"/>
    </w:pPr>
    <w:rPr>
      <w:rFonts w:ascii="Calibri" w:eastAsia="Times New Roman" w:hAnsi="Calibri" w:cs="Times New Roman"/>
      <w:lang w:val="es-AR"/>
    </w:rPr>
  </w:style>
  <w:style w:type="character" w:styleId="CommentReference">
    <w:name w:val="annotation reference"/>
    <w:basedOn w:val="DefaultParagraphFont"/>
    <w:uiPriority w:val="99"/>
    <w:semiHidden/>
    <w:unhideWhenUsed/>
    <w:rsid w:val="00191FFD"/>
    <w:rPr>
      <w:sz w:val="16"/>
      <w:szCs w:val="16"/>
    </w:rPr>
  </w:style>
  <w:style w:type="paragraph" w:styleId="CommentText">
    <w:name w:val="annotation text"/>
    <w:basedOn w:val="Normal"/>
    <w:link w:val="CommentTextChar"/>
    <w:uiPriority w:val="99"/>
    <w:semiHidden/>
    <w:unhideWhenUsed/>
    <w:rsid w:val="00191FFD"/>
    <w:pPr>
      <w:spacing w:line="240" w:lineRule="auto"/>
    </w:pPr>
    <w:rPr>
      <w:sz w:val="20"/>
      <w:szCs w:val="20"/>
    </w:rPr>
  </w:style>
  <w:style w:type="character" w:customStyle="1" w:styleId="CommentTextChar">
    <w:name w:val="Comment Text Char"/>
    <w:basedOn w:val="DefaultParagraphFont"/>
    <w:link w:val="CommentText"/>
    <w:uiPriority w:val="99"/>
    <w:semiHidden/>
    <w:rsid w:val="00191FFD"/>
    <w:rPr>
      <w:sz w:val="20"/>
      <w:szCs w:val="20"/>
    </w:rPr>
  </w:style>
  <w:style w:type="paragraph" w:styleId="CommentSubject">
    <w:name w:val="annotation subject"/>
    <w:basedOn w:val="CommentText"/>
    <w:next w:val="CommentText"/>
    <w:link w:val="CommentSubjectChar"/>
    <w:uiPriority w:val="99"/>
    <w:semiHidden/>
    <w:unhideWhenUsed/>
    <w:rsid w:val="00191FFD"/>
    <w:rPr>
      <w:b/>
      <w:bCs/>
    </w:rPr>
  </w:style>
  <w:style w:type="character" w:customStyle="1" w:styleId="CommentSubjectChar">
    <w:name w:val="Comment Subject Char"/>
    <w:basedOn w:val="CommentTextChar"/>
    <w:link w:val="CommentSubject"/>
    <w:uiPriority w:val="99"/>
    <w:semiHidden/>
    <w:rsid w:val="00191FFD"/>
    <w:rPr>
      <w:b/>
      <w:bCs/>
      <w:sz w:val="20"/>
      <w:szCs w:val="20"/>
    </w:rPr>
  </w:style>
  <w:style w:type="paragraph" w:styleId="BalloonText">
    <w:name w:val="Balloon Text"/>
    <w:basedOn w:val="Normal"/>
    <w:link w:val="BalloonTextChar"/>
    <w:uiPriority w:val="99"/>
    <w:semiHidden/>
    <w:unhideWhenUsed/>
    <w:rsid w:val="0019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FFD"/>
    <w:rPr>
      <w:rFonts w:ascii="Segoe UI" w:hAnsi="Segoe UI" w:cs="Segoe UI"/>
      <w:sz w:val="18"/>
      <w:szCs w:val="18"/>
    </w:rPr>
  </w:style>
  <w:style w:type="paragraph" w:styleId="NormalWeb">
    <w:name w:val="Normal (Web)"/>
    <w:basedOn w:val="Normal"/>
    <w:uiPriority w:val="99"/>
    <w:unhideWhenUsed/>
    <w:rsid w:val="00340086"/>
    <w:pPr>
      <w:spacing w:after="0" w:line="240" w:lineRule="auto"/>
    </w:pPr>
    <w:rPr>
      <w:rFonts w:ascii="Times New Roman" w:hAnsi="Times New Roman" w:cs="Times New Roman"/>
      <w:sz w:val="24"/>
      <w:szCs w:val="24"/>
      <w:lang w:eastAsia="es-MX"/>
    </w:rPr>
  </w:style>
  <w:style w:type="character" w:styleId="Strong">
    <w:name w:val="Strong"/>
    <w:basedOn w:val="DefaultParagraphFont"/>
    <w:uiPriority w:val="22"/>
    <w:qFormat/>
    <w:rsid w:val="00340086"/>
    <w:rPr>
      <w:b/>
      <w:bCs/>
    </w:rPr>
  </w:style>
  <w:style w:type="character" w:styleId="Hyperlink">
    <w:name w:val="Hyperlink"/>
    <w:basedOn w:val="DefaultParagraphFont"/>
    <w:uiPriority w:val="99"/>
    <w:unhideWhenUsed/>
    <w:rsid w:val="008D0EE2"/>
    <w:rPr>
      <w:color w:val="0563C1" w:themeColor="hyperlink"/>
      <w:u w:val="single"/>
    </w:rPr>
  </w:style>
  <w:style w:type="paragraph" w:styleId="Header">
    <w:name w:val="header"/>
    <w:basedOn w:val="Normal"/>
    <w:link w:val="HeaderChar"/>
    <w:uiPriority w:val="99"/>
    <w:unhideWhenUsed/>
    <w:rsid w:val="00F3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30"/>
  </w:style>
  <w:style w:type="paragraph" w:styleId="Footer">
    <w:name w:val="footer"/>
    <w:basedOn w:val="Normal"/>
    <w:link w:val="FooterChar"/>
    <w:uiPriority w:val="99"/>
    <w:unhideWhenUsed/>
    <w:rsid w:val="00F3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30"/>
  </w:style>
  <w:style w:type="numbering" w:customStyle="1" w:styleId="Style1">
    <w:name w:val="Style1"/>
    <w:uiPriority w:val="99"/>
    <w:rsid w:val="001832B4"/>
    <w:pPr>
      <w:numPr>
        <w:numId w:val="12"/>
      </w:numPr>
    </w:pPr>
  </w:style>
  <w:style w:type="character" w:customStyle="1" w:styleId="apple-converted-space">
    <w:name w:val="apple-converted-space"/>
    <w:basedOn w:val="DefaultParagraphFont"/>
    <w:rsid w:val="00F91B18"/>
  </w:style>
  <w:style w:type="paragraph" w:styleId="Revision">
    <w:name w:val="Revision"/>
    <w:hidden/>
    <w:uiPriority w:val="99"/>
    <w:semiHidden/>
    <w:rsid w:val="00526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149">
      <w:bodyDiv w:val="1"/>
      <w:marLeft w:val="0"/>
      <w:marRight w:val="0"/>
      <w:marTop w:val="0"/>
      <w:marBottom w:val="0"/>
      <w:divBdr>
        <w:top w:val="none" w:sz="0" w:space="0" w:color="auto"/>
        <w:left w:val="none" w:sz="0" w:space="0" w:color="auto"/>
        <w:bottom w:val="none" w:sz="0" w:space="0" w:color="auto"/>
        <w:right w:val="none" w:sz="0" w:space="0" w:color="auto"/>
      </w:divBdr>
    </w:div>
    <w:div w:id="216553548">
      <w:bodyDiv w:val="1"/>
      <w:marLeft w:val="0"/>
      <w:marRight w:val="0"/>
      <w:marTop w:val="0"/>
      <w:marBottom w:val="0"/>
      <w:divBdr>
        <w:top w:val="none" w:sz="0" w:space="0" w:color="auto"/>
        <w:left w:val="none" w:sz="0" w:space="0" w:color="auto"/>
        <w:bottom w:val="none" w:sz="0" w:space="0" w:color="auto"/>
        <w:right w:val="none" w:sz="0" w:space="0" w:color="auto"/>
      </w:divBdr>
    </w:div>
    <w:div w:id="319620712">
      <w:bodyDiv w:val="1"/>
      <w:marLeft w:val="0"/>
      <w:marRight w:val="0"/>
      <w:marTop w:val="0"/>
      <w:marBottom w:val="0"/>
      <w:divBdr>
        <w:top w:val="none" w:sz="0" w:space="0" w:color="auto"/>
        <w:left w:val="none" w:sz="0" w:space="0" w:color="auto"/>
        <w:bottom w:val="none" w:sz="0" w:space="0" w:color="auto"/>
        <w:right w:val="none" w:sz="0" w:space="0" w:color="auto"/>
      </w:divBdr>
    </w:div>
    <w:div w:id="1062287047">
      <w:bodyDiv w:val="1"/>
      <w:marLeft w:val="0"/>
      <w:marRight w:val="0"/>
      <w:marTop w:val="0"/>
      <w:marBottom w:val="0"/>
      <w:divBdr>
        <w:top w:val="none" w:sz="0" w:space="0" w:color="auto"/>
        <w:left w:val="none" w:sz="0" w:space="0" w:color="auto"/>
        <w:bottom w:val="none" w:sz="0" w:space="0" w:color="auto"/>
        <w:right w:val="none" w:sz="0" w:space="0" w:color="auto"/>
      </w:divBdr>
    </w:div>
    <w:div w:id="1197812565">
      <w:bodyDiv w:val="1"/>
      <w:marLeft w:val="0"/>
      <w:marRight w:val="0"/>
      <w:marTop w:val="0"/>
      <w:marBottom w:val="0"/>
      <w:divBdr>
        <w:top w:val="none" w:sz="0" w:space="0" w:color="auto"/>
        <w:left w:val="none" w:sz="0" w:space="0" w:color="auto"/>
        <w:bottom w:val="none" w:sz="0" w:space="0" w:color="auto"/>
        <w:right w:val="none" w:sz="0" w:space="0" w:color="auto"/>
      </w:divBdr>
    </w:div>
    <w:div w:id="13848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hyperlink" Target="https://www.wfp.org/content/impact-feeding-children-school-evidence-bangladesh-1" TargetMode="Externa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hyperlink" Target="http://onlinelibrary.wiley.com/doi/10.1002/app5.21/abstract" TargetMode="External"/><Relationship Id="rId47" Type="http://schemas.openxmlformats.org/officeDocument/2006/relationships/hyperlink" Target="http://www.sciencedirect.com/science/article/pii/S0272775712001124" TargetMode="External"/><Relationship Id="rId50" Type="http://schemas.openxmlformats.org/officeDocument/2006/relationships/hyperlink" Target="http://web.worldbank.org/WBSITE/EXTERNAL/TOPICS/EXTCY/EXTECD/0,,contentMDK:20207804~menuPK:528430~pagePK:148956~piPK:216618~theSitePK:344939,00.html"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5.emf"/><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hyperlink" Target="http://epaa.asu.edu/ojs/article/view/1162" TargetMode="External"/><Relationship Id="rId40" Type="http://schemas.openxmlformats.org/officeDocument/2006/relationships/hyperlink" Target="http://www.jstor.org/discover/1829103?sid=21104982618981&amp;uid=4&amp;uid=2129&amp;uid=3737512&amp;uid=2&amp;uid=70" TargetMode="External"/><Relationship Id="rId45" Type="http://schemas.openxmlformats.org/officeDocument/2006/relationships/hyperlink" Target="http://web.worldbank.org/WBSITE/EXTERNAL/TOPICS/EXTCY/EXTECD/0,,contentMDK:20207804~menuPK:528430~pagePK:148956~piPK:216618~theSitePK:344939,00.html" TargetMode="External"/><Relationship Id="rId53" Type="http://schemas.openxmlformats.org/officeDocument/2006/relationships/hyperlink" Target="http://www.unep.org/training/programmes/Instructor%20Version/Part_2/Activities/Dimensions_of_Human_Well-Being/Education/Strategies/School_Feeding_Program.pdf" TargetMode="External"/><Relationship Id="rId58"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customXml" Target="../customXml/item6.xml"/><Relationship Id="rId19" Type="http://schemas.openxmlformats.org/officeDocument/2006/relationships/image" Target="media/image5.emf"/><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yperlink" Target="http://hanushek.stanford.edu/sites/default/files/publications/Hanushek%2BWoessmann%202012%20JEconGrowth%2017(4).pdf" TargetMode="External"/><Relationship Id="rId48" Type="http://schemas.openxmlformats.org/officeDocument/2006/relationships/hyperlink" Target="http://www.jstor.org/discover/10.2307/1827422?sid=21104984176341&amp;uid=2&amp;uid=3737512&amp;uid=4"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g.worldbankgroup.org/Data/reports/ImpactsofInterventions_EarlyChildhoodonLaterOutcomes.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hyperlink" Target="http://ageconsearch.umn.edu/bitstream/16436/1/fc040168.pdf" TargetMode="External"/><Relationship Id="rId46" Type="http://schemas.openxmlformats.org/officeDocument/2006/relationships/hyperlink" Target="http://fnb.sagepub.com/content/20/3/288.full.pdf" TargetMode="External"/><Relationship Id="rId59" Type="http://schemas.openxmlformats.org/officeDocument/2006/relationships/customXml" Target="../customXml/item4.xml"/><Relationship Id="rId20" Type="http://schemas.openxmlformats.org/officeDocument/2006/relationships/image" Target="media/image6.emf"/><Relationship Id="rId41" Type="http://schemas.openxmlformats.org/officeDocument/2006/relationships/hyperlink" Target="http://books.google.co.uk/books/about/Human_Capital.html?id=9t69iICmrZ0C" TargetMode="External"/><Relationship Id="rId54" Type="http://schemas.openxmlformats.org/officeDocument/2006/relationships/hyperlink" Target="http://documents.wfp.org/stellent/groups/public/documents/newsroom/wfp204664.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hyperlink" Target="http://ebrary.ifpri.org/cdm/ref/collection/p15738coll2/id/13310" TargetMode="External"/><Relationship Id="rId49" Type="http://schemas.openxmlformats.org/officeDocument/2006/relationships/hyperlink" Target="http://alihme.wikispaces.com/file/view/Psacharopoulos-comparative+education-1981.pdf" TargetMode="External"/><Relationship Id="rId57" Type="http://schemas.openxmlformats.org/officeDocument/2006/relationships/customXml" Target="../customXml/item2.xml"/><Relationship Id="rId10" Type="http://schemas.openxmlformats.org/officeDocument/2006/relationships/image" Target="media/image2.emf"/><Relationship Id="rId31" Type="http://schemas.openxmlformats.org/officeDocument/2006/relationships/image" Target="media/image17.emf"/><Relationship Id="rId44" Type="http://schemas.openxmlformats.org/officeDocument/2006/relationships/hyperlink" Target="http://elibrary.worldbank.org/doi/abs/10.1596/1813-9450-4976" TargetMode="External"/><Relationship Id="rId52" Type="http://schemas.openxmlformats.org/officeDocument/2006/relationships/hyperlink" Target="https://www.povertyactionlab.org/sites/default/files/publications/100_Kremer_School_Competition.pdf" TargetMode="External"/><Relationship Id="rId60"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C19B30204A59F42BC053FD238CDF872" ma:contentTypeVersion="0" ma:contentTypeDescription="A content type to manage public (operations) IDB documents" ma:contentTypeScope="" ma:versionID="a7dfb78721d3ed2ee59a5d9c4382e677">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Proposal for Operation Development</Disclosure_x0020_Activity>
    <Key_x0020_Document xmlns="9c571b2f-e523-4ab2-ba2e-09e151a03ef4">false</Key_x0020_Document>
    <Division_x0020_or_x0020_Unit xmlns="9c571b2f-e523-4ab2-ba2e-09e151a03ef4">SCL/EDU</Division_x0020_or_x0020_Unit>
    <Other_x0020_Author xmlns="9c571b2f-e523-4ab2-ba2e-09e151a03ef4" xsi:nil="true"/>
    <Region xmlns="9c571b2f-e523-4ab2-ba2e-09e151a03ef4" xsi:nil="true"/>
    <IDBDocs_x0020_Number xmlns="9c571b2f-e523-4ab2-ba2e-09e151a03ef4">40217127</IDBDocs_x0020_Number>
    <Document_x0020_Author xmlns="9c571b2f-e523-4ab2-ba2e-09e151a03ef4">Hautier, Julien</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EC-L1155</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WORD&lt;/APPLICATION&gt;&lt;USER_STAGE&gt;Proposal for Operation Development&lt;/USER_STAGE&gt;&lt;PD_OBJ_TYPE&gt;0&lt;/PD_OBJ_TYPE&gt;&lt;MAKERECORD&gt;N&lt;/MAKERECORD&gt;&lt;/Data&gt;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ED-DOC</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9EA6E0A2-8B5B-4069-8E94-27303756DD47}"/>
</file>

<file path=customXml/itemProps2.xml><?xml version="1.0" encoding="utf-8"?>
<ds:datastoreItem xmlns:ds="http://schemas.openxmlformats.org/officeDocument/2006/customXml" ds:itemID="{3912B0FB-9CE2-468F-9FB6-F74FE1F0F8A0}"/>
</file>

<file path=customXml/itemProps3.xml><?xml version="1.0" encoding="utf-8"?>
<ds:datastoreItem xmlns:ds="http://schemas.openxmlformats.org/officeDocument/2006/customXml" ds:itemID="{7F008382-4895-4ADE-942D-4C170F0CCC85}"/>
</file>

<file path=customXml/itemProps4.xml><?xml version="1.0" encoding="utf-8"?>
<ds:datastoreItem xmlns:ds="http://schemas.openxmlformats.org/officeDocument/2006/customXml" ds:itemID="{66FC8A76-B199-4C39-A33D-9AE1A59E0676}"/>
</file>

<file path=customXml/itemProps5.xml><?xml version="1.0" encoding="utf-8"?>
<ds:datastoreItem xmlns:ds="http://schemas.openxmlformats.org/officeDocument/2006/customXml" ds:itemID="{D379996A-170E-42E9-B856-C09484B1FF58}"/>
</file>

<file path=customXml/itemProps6.xml><?xml version="1.0" encoding="utf-8"?>
<ds:datastoreItem xmlns:ds="http://schemas.openxmlformats.org/officeDocument/2006/customXml" ds:itemID="{72A38F1B-299C-42E7-962B-43104431C062}"/>
</file>

<file path=docProps/app.xml><?xml version="1.0" encoding="utf-8"?>
<Properties xmlns="http://schemas.openxmlformats.org/officeDocument/2006/extended-properties" xmlns:vt="http://schemas.openxmlformats.org/officeDocument/2006/docPropsVTypes">
  <Template>Normal.dotm</Template>
  <TotalTime>2</TotalTime>
  <Pages>35</Pages>
  <Words>13302</Words>
  <Characters>75825</Characters>
  <Application>Microsoft Office Word</Application>
  <DocSecurity>0</DocSecurity>
  <Lines>631</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EEO1 Analisis Economico</dc:title>
  <dc:creator>TNK_4</dc:creator>
  <cp:lastModifiedBy>IADB</cp:lastModifiedBy>
  <cp:revision>3</cp:revision>
  <dcterms:created xsi:type="dcterms:W3CDTF">2016-06-14T14:31:00Z</dcterms:created>
  <dcterms:modified xsi:type="dcterms:W3CDTF">2016-08-05T19:01:00Z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0x01010046CF21643EE8D14686A648AA6DAD0892007C19B30204A59F42BC053FD238CDF872</vt:lpwstr>
  </property>
  <property fmtid="{D5CDD505-2E9C-101B-9397-08002B2CF9AE}" pid="5" name="TaxKeywordTaxHTField">
    <vt:lpwstr/>
  </property>
  <property fmtid="{D5CDD505-2E9C-101B-9397-08002B2CF9AE}" pid="6" name="Series Operations IDB">
    <vt:lpwstr>6;#Unclassified|a6dff32e-d477-44cd-a56b-85efe9e0a56c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6;#Unclassified|a6dff32e-d477-44cd-a56b-85efe9e0a56c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7;#IDBDocs|cca77002-e150-4b2d-ab1f-1d7a7cdcae16</vt:lpwstr>
  </property>
</Properties>
</file>