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764F" w14:textId="77777777" w:rsidR="00D201F4" w:rsidRPr="00B17613" w:rsidRDefault="00D201F4" w:rsidP="003376DE">
      <w:pPr>
        <w:spacing w:before="120" w:after="120" w:line="240" w:lineRule="auto"/>
        <w:jc w:val="both"/>
        <w:rPr>
          <w:rFonts w:ascii="Arial" w:hAnsi="Arial" w:cs="Arial"/>
          <w:b/>
          <w:szCs w:val="24"/>
        </w:rPr>
      </w:pPr>
      <w:r w:rsidRPr="00B17613">
        <w:rPr>
          <w:rFonts w:ascii="Arial" w:hAnsi="Arial" w:cs="Arial"/>
          <w:noProof/>
          <w:szCs w:val="24"/>
          <w:lang w:val="en-US"/>
        </w:rPr>
        <mc:AlternateContent>
          <mc:Choice Requires="wps">
            <w:drawing>
              <wp:anchor distT="36576" distB="36576" distL="36576" distR="36576" simplePos="0" relativeHeight="251656704" behindDoc="0" locked="0" layoutInCell="1" allowOverlap="1" wp14:anchorId="3348774E" wp14:editId="3348774F">
                <wp:simplePos x="0" y="0"/>
                <wp:positionH relativeFrom="column">
                  <wp:posOffset>3538855</wp:posOffset>
                </wp:positionH>
                <wp:positionV relativeFrom="page">
                  <wp:posOffset>0</wp:posOffset>
                </wp:positionV>
                <wp:extent cx="3319145" cy="10125075"/>
                <wp:effectExtent l="0" t="0" r="0" b="9525"/>
                <wp:wrapTight wrapText="bothSides">
                  <wp:wrapPolygon edited="0">
                    <wp:start x="0" y="0"/>
                    <wp:lineTo x="0" y="21580"/>
                    <wp:lineTo x="21447" y="21580"/>
                    <wp:lineTo x="21447"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10125075"/>
                        </a:xfrm>
                        <a:prstGeom prst="rect">
                          <a:avLst/>
                        </a:prstGeom>
                        <a:solidFill>
                          <a:srgbClr val="0078B4"/>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906E" id="Rectangle 6" o:spid="_x0000_s1026" style="position:absolute;margin-left:278.65pt;margin-top:0;width:261.35pt;height:797.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" fillcolor="#0078b4" stroked="f" strokecolor="#212120">
                <v:shadow color="#dcd6d4"/>
                <v:textbox inset="2.88pt,2.88pt,2.88pt,2.88pt"/>
                <w10:wrap type="tight" anchory="page"/>
              </v:rect>
            </w:pict>
          </mc:Fallback>
        </mc:AlternateContent>
      </w:r>
      <w:r w:rsidRPr="00B17613">
        <w:rPr>
          <w:rFonts w:ascii="Arial" w:hAnsi="Arial" w:cs="Arial"/>
          <w:noProof/>
          <w:szCs w:val="24"/>
          <w:lang w:val="en-US"/>
        </w:rPr>
        <w:drawing>
          <wp:anchor distT="0" distB="0" distL="114300" distR="114300" simplePos="0" relativeHeight="251658752" behindDoc="1" locked="0" layoutInCell="1" allowOverlap="1" wp14:anchorId="33487750" wp14:editId="33487751">
            <wp:simplePos x="0" y="0"/>
            <wp:positionH relativeFrom="column">
              <wp:posOffset>0</wp:posOffset>
            </wp:positionH>
            <wp:positionV relativeFrom="paragraph">
              <wp:posOffset>0</wp:posOffset>
            </wp:positionV>
            <wp:extent cx="2838450" cy="914400"/>
            <wp:effectExtent l="0" t="0" r="0" b="0"/>
            <wp:wrapTight wrapText="bothSides">
              <wp:wrapPolygon edited="0">
                <wp:start x="7973" y="0"/>
                <wp:lineTo x="7248" y="450"/>
                <wp:lineTo x="7103" y="9000"/>
                <wp:lineTo x="7683" y="14400"/>
                <wp:lineTo x="0" y="16200"/>
                <wp:lineTo x="0" y="21150"/>
                <wp:lineTo x="21455" y="21150"/>
                <wp:lineTo x="21455" y="1350"/>
                <wp:lineTo x="20440" y="0"/>
                <wp:lineTo x="7973" y="0"/>
              </wp:wrapPolygon>
            </wp:wrapTight>
            <wp:docPr id="5" name="Picture 5" descr="primary_logo_blueBar_es-pt-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y_logo_blueBar_es-pt-f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87650" w14:textId="77777777" w:rsidR="00D201F4" w:rsidRPr="00B17613" w:rsidRDefault="00D201F4" w:rsidP="003376DE">
      <w:pPr>
        <w:spacing w:before="120" w:after="120" w:line="240" w:lineRule="auto"/>
        <w:jc w:val="both"/>
        <w:rPr>
          <w:rFonts w:ascii="Arial" w:hAnsi="Arial" w:cs="Arial"/>
          <w:szCs w:val="24"/>
        </w:rPr>
      </w:pPr>
    </w:p>
    <w:p w14:paraId="33487651" w14:textId="77777777" w:rsidR="00D201F4" w:rsidRPr="00B17613" w:rsidRDefault="00D201F4" w:rsidP="003376DE">
      <w:pPr>
        <w:spacing w:before="120" w:after="120" w:line="240" w:lineRule="auto"/>
        <w:jc w:val="both"/>
        <w:rPr>
          <w:rFonts w:ascii="Arial" w:hAnsi="Arial" w:cs="Arial"/>
          <w:szCs w:val="24"/>
        </w:rPr>
      </w:pPr>
    </w:p>
    <w:p w14:paraId="33487652" w14:textId="77777777" w:rsidR="00D201F4" w:rsidRPr="00B17613" w:rsidRDefault="00D201F4" w:rsidP="003376DE">
      <w:pPr>
        <w:spacing w:before="120" w:after="120" w:line="240" w:lineRule="auto"/>
        <w:jc w:val="both"/>
        <w:rPr>
          <w:rFonts w:ascii="Arial" w:hAnsi="Arial" w:cs="Arial"/>
          <w:szCs w:val="24"/>
        </w:rPr>
      </w:pPr>
    </w:p>
    <w:p w14:paraId="33487653" w14:textId="77777777" w:rsidR="00D201F4" w:rsidRPr="00B17613" w:rsidRDefault="00D201F4" w:rsidP="003376DE">
      <w:pPr>
        <w:spacing w:before="120" w:after="120" w:line="240" w:lineRule="auto"/>
        <w:jc w:val="both"/>
        <w:rPr>
          <w:rFonts w:ascii="Arial" w:hAnsi="Arial" w:cs="Arial"/>
          <w:szCs w:val="24"/>
        </w:rPr>
      </w:pPr>
    </w:p>
    <w:p w14:paraId="33487654" w14:textId="77777777" w:rsidR="00D201F4" w:rsidRPr="00B17613" w:rsidRDefault="00D201F4" w:rsidP="003376DE">
      <w:pPr>
        <w:spacing w:before="120" w:after="120" w:line="240" w:lineRule="auto"/>
        <w:jc w:val="both"/>
        <w:rPr>
          <w:rFonts w:ascii="Arial" w:hAnsi="Arial" w:cs="Arial"/>
          <w:szCs w:val="24"/>
        </w:rPr>
      </w:pPr>
    </w:p>
    <w:p w14:paraId="33487655" w14:textId="77777777" w:rsidR="00D201F4" w:rsidRPr="00B17613" w:rsidRDefault="00D201F4" w:rsidP="003376DE">
      <w:pPr>
        <w:spacing w:before="120" w:after="120" w:line="240" w:lineRule="auto"/>
        <w:jc w:val="both"/>
        <w:rPr>
          <w:rFonts w:ascii="Arial" w:hAnsi="Arial" w:cs="Arial"/>
          <w:szCs w:val="24"/>
        </w:rPr>
      </w:pPr>
    </w:p>
    <w:p w14:paraId="33487656" w14:textId="77777777" w:rsidR="00D201F4" w:rsidRPr="00B17613" w:rsidRDefault="00B17613" w:rsidP="003376DE">
      <w:pPr>
        <w:spacing w:before="120" w:after="120" w:line="240" w:lineRule="auto"/>
        <w:jc w:val="both"/>
        <w:rPr>
          <w:rFonts w:ascii="Arial" w:hAnsi="Arial" w:cs="Arial"/>
          <w:szCs w:val="24"/>
        </w:rPr>
      </w:pPr>
      <w:r w:rsidRPr="00B17613">
        <w:rPr>
          <w:rFonts w:ascii="Arial" w:hAnsi="Arial" w:cs="Arial"/>
          <w:noProof/>
          <w:szCs w:val="24"/>
          <w:lang w:val="en-US"/>
        </w:rPr>
        <mc:AlternateContent>
          <mc:Choice Requires="wps">
            <w:drawing>
              <wp:anchor distT="0" distB="0" distL="114300" distR="114300" simplePos="0" relativeHeight="251657728" behindDoc="0" locked="0" layoutInCell="1" allowOverlap="1" wp14:anchorId="33487752" wp14:editId="33487753">
                <wp:simplePos x="0" y="0"/>
                <wp:positionH relativeFrom="column">
                  <wp:posOffset>-203835</wp:posOffset>
                </wp:positionH>
                <wp:positionV relativeFrom="paragraph">
                  <wp:posOffset>433070</wp:posOffset>
                </wp:positionV>
                <wp:extent cx="3352800" cy="313372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3372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776A" w14:textId="01DFFF62" w:rsidR="00886551" w:rsidRPr="00D276A1" w:rsidRDefault="00886551" w:rsidP="00D201F4">
                            <w:pPr>
                              <w:spacing w:before="120" w:after="120"/>
                              <w:rPr>
                                <w:rFonts w:ascii="Arial" w:hAnsi="Arial" w:cs="Arial"/>
                                <w:bCs/>
                                <w:sz w:val="36"/>
                                <w:lang w:val="es-ES_tradnl"/>
                              </w:rPr>
                            </w:pPr>
                            <w:r w:rsidRPr="00FD3C1C">
                              <w:rPr>
                                <w:rFonts w:ascii="Arial" w:hAnsi="Arial" w:cs="Arial"/>
                                <w:bCs/>
                                <w:sz w:val="36"/>
                                <w:lang w:val="es-ES_tradnl"/>
                              </w:rPr>
                              <w:t xml:space="preserve">PROGRAMA DE TRANSPARENCIA Y EQUIDAD DEL GASTO EN PROTECCIÓN </w:t>
                            </w:r>
                            <w:bookmarkStart w:id="0" w:name="_GoBack"/>
                            <w:r w:rsidRPr="00D276A1">
                              <w:rPr>
                                <w:rFonts w:ascii="Arial" w:hAnsi="Arial" w:cs="Arial"/>
                                <w:bCs/>
                                <w:sz w:val="36"/>
                                <w:lang w:val="es-ES_tradnl"/>
                              </w:rPr>
                              <w:t xml:space="preserve">SOCIAL </w:t>
                            </w:r>
                            <w:r w:rsidR="00B17613" w:rsidRPr="00D276A1">
                              <w:rPr>
                                <w:rFonts w:ascii="Arial" w:hAnsi="Arial" w:cs="Arial"/>
                                <w:bCs/>
                                <w:sz w:val="36"/>
                                <w:lang w:val="es-ES_tradnl"/>
                              </w:rPr>
                              <w:t>I</w:t>
                            </w:r>
                            <w:r w:rsidRPr="00D276A1">
                              <w:rPr>
                                <w:rFonts w:ascii="Arial" w:hAnsi="Arial" w:cs="Arial"/>
                                <w:bCs/>
                                <w:sz w:val="36"/>
                                <w:lang w:val="es-ES_tradnl"/>
                              </w:rPr>
                              <w:t xml:space="preserve">I </w:t>
                            </w:r>
                          </w:p>
                          <w:p w14:paraId="3348776B" w14:textId="77777777" w:rsidR="00886551" w:rsidRPr="00D276A1" w:rsidRDefault="00886551" w:rsidP="00D201F4">
                            <w:pPr>
                              <w:spacing w:before="120" w:after="120"/>
                              <w:rPr>
                                <w:rFonts w:ascii="Arial" w:hAnsi="Arial" w:cs="Arial"/>
                                <w:bCs/>
                                <w:sz w:val="36"/>
                                <w:lang w:val="es-ES_tradnl"/>
                              </w:rPr>
                            </w:pPr>
                            <w:r w:rsidRPr="00D276A1">
                              <w:rPr>
                                <w:rFonts w:ascii="Arial" w:hAnsi="Arial" w:cs="Arial"/>
                                <w:bCs/>
                                <w:sz w:val="36"/>
                                <w:lang w:val="es-ES_tradnl"/>
                              </w:rPr>
                              <w:t>(PN-L11</w:t>
                            </w:r>
                            <w:r w:rsidR="00B17613" w:rsidRPr="00D276A1">
                              <w:rPr>
                                <w:rFonts w:ascii="Arial" w:hAnsi="Arial" w:cs="Arial"/>
                                <w:bCs/>
                                <w:sz w:val="36"/>
                                <w:lang w:val="es-ES_tradnl"/>
                              </w:rPr>
                              <w:t>18</w:t>
                            </w:r>
                            <w:r w:rsidRPr="00D276A1">
                              <w:rPr>
                                <w:rFonts w:ascii="Arial" w:hAnsi="Arial" w:cs="Arial"/>
                                <w:bCs/>
                                <w:sz w:val="36"/>
                                <w:lang w:val="es-ES_tradnl"/>
                              </w:rPr>
                              <w:t>)</w:t>
                            </w:r>
                          </w:p>
                          <w:bookmarkEnd w:id="0"/>
                          <w:p w14:paraId="3348776C" w14:textId="77777777" w:rsidR="00886551" w:rsidRPr="00B17613" w:rsidRDefault="00886551" w:rsidP="00D201F4">
                            <w:pPr>
                              <w:spacing w:before="120" w:after="120"/>
                              <w:rPr>
                                <w:rFonts w:ascii="Arial" w:hAnsi="Arial" w:cs="Arial"/>
                                <w:bCs/>
                                <w:sz w:val="36"/>
                                <w:lang w:val="es-ES_tradnl"/>
                              </w:rPr>
                            </w:pPr>
                          </w:p>
                          <w:p w14:paraId="3348776D" w14:textId="77777777" w:rsidR="00886551" w:rsidRPr="00B17613" w:rsidRDefault="00886551" w:rsidP="00D201F4">
                            <w:pPr>
                              <w:spacing w:before="120" w:after="120"/>
                              <w:rPr>
                                <w:rFonts w:ascii="Arial" w:hAnsi="Arial" w:cs="Arial"/>
                                <w:b/>
                                <w:bCs/>
                                <w:sz w:val="40"/>
                                <w:lang w:val="es-ES_tradnl"/>
                              </w:rPr>
                            </w:pPr>
                            <w:r w:rsidRPr="00B17613">
                              <w:rPr>
                                <w:rFonts w:ascii="Arial" w:hAnsi="Arial" w:cs="Arial"/>
                                <w:b/>
                                <w:bCs/>
                                <w:sz w:val="36"/>
                                <w:lang w:val="es-ES_tradnl"/>
                              </w:rPr>
                              <w:t>Análisis económico ex-ante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87752" id="_x0000_t202" coordsize="21600,21600" o:spt="202" path="m,l,21600r21600,l21600,xe">
                <v:stroke joinstyle="miter"/>
                <v:path gradientshapeok="t" o:connecttype="rect"/>
              </v:shapetype>
              <v:shape id="Text Box 7" o:spid="_x0000_s1026" type="#_x0000_t202" style="position:absolute;left:0;text-align:left;margin-left:-16.05pt;margin-top:34.1pt;width:264pt;height:2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" filled="f" fillcolor="navy" stroked="f">
                <v:textbox>
                  <w:txbxContent>
                    <w:p w14:paraId="3348776A" w14:textId="01DFFF62" w:rsidR="00886551" w:rsidRPr="00D276A1" w:rsidRDefault="00886551" w:rsidP="00D201F4">
                      <w:pPr>
                        <w:spacing w:before="120" w:after="120"/>
                        <w:rPr>
                          <w:rFonts w:ascii="Arial" w:hAnsi="Arial" w:cs="Arial"/>
                          <w:bCs/>
                          <w:sz w:val="36"/>
                          <w:lang w:val="es-ES_tradnl"/>
                        </w:rPr>
                      </w:pPr>
                      <w:r w:rsidRPr="00FD3C1C">
                        <w:rPr>
                          <w:rFonts w:ascii="Arial" w:hAnsi="Arial" w:cs="Arial"/>
                          <w:bCs/>
                          <w:sz w:val="36"/>
                          <w:lang w:val="es-ES_tradnl"/>
                        </w:rPr>
                        <w:t xml:space="preserve">PROGRAMA DE TRANSPARENCIA Y EQUIDAD DEL GASTO EN PROTECCIÓN </w:t>
                      </w:r>
                      <w:bookmarkStart w:id="1" w:name="_GoBack"/>
                      <w:r w:rsidRPr="00D276A1">
                        <w:rPr>
                          <w:rFonts w:ascii="Arial" w:hAnsi="Arial" w:cs="Arial"/>
                          <w:bCs/>
                          <w:sz w:val="36"/>
                          <w:lang w:val="es-ES_tradnl"/>
                        </w:rPr>
                        <w:t xml:space="preserve">SOCIAL </w:t>
                      </w:r>
                      <w:r w:rsidR="00B17613" w:rsidRPr="00D276A1">
                        <w:rPr>
                          <w:rFonts w:ascii="Arial" w:hAnsi="Arial" w:cs="Arial"/>
                          <w:bCs/>
                          <w:sz w:val="36"/>
                          <w:lang w:val="es-ES_tradnl"/>
                        </w:rPr>
                        <w:t>I</w:t>
                      </w:r>
                      <w:r w:rsidRPr="00D276A1">
                        <w:rPr>
                          <w:rFonts w:ascii="Arial" w:hAnsi="Arial" w:cs="Arial"/>
                          <w:bCs/>
                          <w:sz w:val="36"/>
                          <w:lang w:val="es-ES_tradnl"/>
                        </w:rPr>
                        <w:t xml:space="preserve">I </w:t>
                      </w:r>
                    </w:p>
                    <w:p w14:paraId="3348776B" w14:textId="77777777" w:rsidR="00886551" w:rsidRPr="00D276A1" w:rsidRDefault="00886551" w:rsidP="00D201F4">
                      <w:pPr>
                        <w:spacing w:before="120" w:after="120"/>
                        <w:rPr>
                          <w:rFonts w:ascii="Arial" w:hAnsi="Arial" w:cs="Arial"/>
                          <w:bCs/>
                          <w:sz w:val="36"/>
                          <w:lang w:val="es-ES_tradnl"/>
                        </w:rPr>
                      </w:pPr>
                      <w:r w:rsidRPr="00D276A1">
                        <w:rPr>
                          <w:rFonts w:ascii="Arial" w:hAnsi="Arial" w:cs="Arial"/>
                          <w:bCs/>
                          <w:sz w:val="36"/>
                          <w:lang w:val="es-ES_tradnl"/>
                        </w:rPr>
                        <w:t>(PN-L11</w:t>
                      </w:r>
                      <w:r w:rsidR="00B17613" w:rsidRPr="00D276A1">
                        <w:rPr>
                          <w:rFonts w:ascii="Arial" w:hAnsi="Arial" w:cs="Arial"/>
                          <w:bCs/>
                          <w:sz w:val="36"/>
                          <w:lang w:val="es-ES_tradnl"/>
                        </w:rPr>
                        <w:t>18</w:t>
                      </w:r>
                      <w:r w:rsidRPr="00D276A1">
                        <w:rPr>
                          <w:rFonts w:ascii="Arial" w:hAnsi="Arial" w:cs="Arial"/>
                          <w:bCs/>
                          <w:sz w:val="36"/>
                          <w:lang w:val="es-ES_tradnl"/>
                        </w:rPr>
                        <w:t>)</w:t>
                      </w:r>
                    </w:p>
                    <w:bookmarkEnd w:id="1"/>
                    <w:p w14:paraId="3348776C" w14:textId="77777777" w:rsidR="00886551" w:rsidRPr="00B17613" w:rsidRDefault="00886551" w:rsidP="00D201F4">
                      <w:pPr>
                        <w:spacing w:before="120" w:after="120"/>
                        <w:rPr>
                          <w:rFonts w:ascii="Arial" w:hAnsi="Arial" w:cs="Arial"/>
                          <w:bCs/>
                          <w:sz w:val="36"/>
                          <w:lang w:val="es-ES_tradnl"/>
                        </w:rPr>
                      </w:pPr>
                    </w:p>
                    <w:p w14:paraId="3348776D" w14:textId="77777777" w:rsidR="00886551" w:rsidRPr="00B17613" w:rsidRDefault="00886551" w:rsidP="00D201F4">
                      <w:pPr>
                        <w:spacing w:before="120" w:after="120"/>
                        <w:rPr>
                          <w:rFonts w:ascii="Arial" w:hAnsi="Arial" w:cs="Arial"/>
                          <w:b/>
                          <w:bCs/>
                          <w:sz w:val="40"/>
                          <w:lang w:val="es-ES_tradnl"/>
                        </w:rPr>
                      </w:pPr>
                      <w:r w:rsidRPr="00B17613">
                        <w:rPr>
                          <w:rFonts w:ascii="Arial" w:hAnsi="Arial" w:cs="Arial"/>
                          <w:b/>
                          <w:bCs/>
                          <w:sz w:val="36"/>
                          <w:lang w:val="es-ES_tradnl"/>
                        </w:rPr>
                        <w:t>Análisis económico ex-ante</w:t>
                      </w:r>
                    </w:p>
                  </w:txbxContent>
                </v:textbox>
                <w10:wrap type="square"/>
              </v:shape>
            </w:pict>
          </mc:Fallback>
        </mc:AlternateContent>
      </w:r>
    </w:p>
    <w:p w14:paraId="33487657" w14:textId="77777777" w:rsidR="00D201F4" w:rsidRPr="00B17613" w:rsidRDefault="00D201F4" w:rsidP="003376DE">
      <w:pPr>
        <w:pStyle w:val="ColorfulList-Accent11"/>
        <w:spacing w:before="120" w:after="120"/>
        <w:ind w:left="1080"/>
        <w:jc w:val="both"/>
        <w:rPr>
          <w:rFonts w:ascii="Arial" w:hAnsi="Arial" w:cs="Arial"/>
          <w:b/>
          <w:szCs w:val="24"/>
          <w:lang w:val="es-ES"/>
        </w:rPr>
      </w:pPr>
    </w:p>
    <w:p w14:paraId="33487658" w14:textId="77777777" w:rsidR="00D201F4" w:rsidRPr="00B17613" w:rsidRDefault="00D201F4" w:rsidP="003376DE">
      <w:pPr>
        <w:tabs>
          <w:tab w:val="left" w:pos="1440"/>
          <w:tab w:val="left" w:pos="3060"/>
        </w:tabs>
        <w:spacing w:before="120" w:after="120" w:line="240" w:lineRule="auto"/>
        <w:jc w:val="both"/>
        <w:rPr>
          <w:rFonts w:ascii="Arial" w:hAnsi="Arial" w:cs="Arial"/>
          <w:b/>
          <w:smallCaps/>
          <w:szCs w:val="24"/>
        </w:rPr>
      </w:pPr>
    </w:p>
    <w:p w14:paraId="33487659" w14:textId="77777777" w:rsidR="00D201F4" w:rsidRPr="00B17613" w:rsidRDefault="00D201F4" w:rsidP="003376DE">
      <w:pPr>
        <w:tabs>
          <w:tab w:val="left" w:pos="1440"/>
          <w:tab w:val="left" w:pos="3060"/>
        </w:tabs>
        <w:spacing w:before="120" w:after="120" w:line="240" w:lineRule="auto"/>
        <w:jc w:val="both"/>
        <w:rPr>
          <w:rFonts w:ascii="Arial" w:hAnsi="Arial" w:cs="Arial"/>
          <w:b/>
          <w:smallCaps/>
          <w:szCs w:val="24"/>
        </w:rPr>
      </w:pPr>
    </w:p>
    <w:p w14:paraId="3348765A" w14:textId="77777777" w:rsidR="00196A8C" w:rsidRPr="00B17613" w:rsidRDefault="00196A8C" w:rsidP="003376DE">
      <w:pPr>
        <w:tabs>
          <w:tab w:val="left" w:pos="1440"/>
          <w:tab w:val="left" w:pos="3060"/>
        </w:tabs>
        <w:spacing w:before="120" w:after="120" w:line="240" w:lineRule="auto"/>
        <w:jc w:val="both"/>
        <w:rPr>
          <w:rFonts w:ascii="Arial" w:hAnsi="Arial" w:cs="Arial"/>
          <w:b/>
          <w:smallCaps/>
          <w:szCs w:val="24"/>
        </w:rPr>
      </w:pPr>
    </w:p>
    <w:p w14:paraId="3348765B" w14:textId="77777777" w:rsidR="00196A8C" w:rsidRPr="00B17613" w:rsidRDefault="00196A8C" w:rsidP="003376DE">
      <w:pPr>
        <w:tabs>
          <w:tab w:val="left" w:pos="1440"/>
          <w:tab w:val="left" w:pos="3060"/>
        </w:tabs>
        <w:spacing w:before="120" w:after="120" w:line="240" w:lineRule="auto"/>
        <w:jc w:val="both"/>
        <w:rPr>
          <w:rFonts w:ascii="Arial" w:hAnsi="Arial" w:cs="Arial"/>
          <w:b/>
          <w:smallCaps/>
          <w:szCs w:val="24"/>
        </w:rPr>
      </w:pPr>
    </w:p>
    <w:p w14:paraId="3348765C" w14:textId="77777777" w:rsidR="00196A8C" w:rsidRPr="00B17613" w:rsidRDefault="00196A8C" w:rsidP="003376DE">
      <w:pPr>
        <w:tabs>
          <w:tab w:val="left" w:pos="1440"/>
          <w:tab w:val="left" w:pos="3060"/>
        </w:tabs>
        <w:spacing w:before="120" w:after="120" w:line="240" w:lineRule="auto"/>
        <w:jc w:val="both"/>
        <w:rPr>
          <w:rFonts w:ascii="Arial" w:hAnsi="Arial" w:cs="Arial"/>
          <w:b/>
          <w:smallCaps/>
          <w:szCs w:val="24"/>
        </w:rPr>
      </w:pPr>
    </w:p>
    <w:p w14:paraId="3348765D" w14:textId="77777777" w:rsidR="00196A8C" w:rsidRPr="00B17613" w:rsidRDefault="00196A8C" w:rsidP="003376DE">
      <w:pPr>
        <w:tabs>
          <w:tab w:val="left" w:pos="1440"/>
          <w:tab w:val="left" w:pos="3060"/>
        </w:tabs>
        <w:spacing w:before="120" w:after="120" w:line="240" w:lineRule="auto"/>
        <w:jc w:val="both"/>
        <w:rPr>
          <w:rFonts w:ascii="Arial" w:hAnsi="Arial" w:cs="Arial"/>
          <w:b/>
          <w:smallCaps/>
          <w:szCs w:val="24"/>
        </w:rPr>
      </w:pPr>
    </w:p>
    <w:p w14:paraId="3348765E" w14:textId="77777777" w:rsidR="00196A8C" w:rsidRPr="00B17613" w:rsidRDefault="00196A8C" w:rsidP="003376DE">
      <w:pPr>
        <w:tabs>
          <w:tab w:val="left" w:pos="1440"/>
          <w:tab w:val="left" w:pos="3060"/>
        </w:tabs>
        <w:spacing w:before="120" w:after="120" w:line="240" w:lineRule="auto"/>
        <w:jc w:val="both"/>
        <w:rPr>
          <w:rFonts w:ascii="Arial" w:hAnsi="Arial" w:cs="Arial"/>
          <w:b/>
          <w:smallCaps/>
          <w:szCs w:val="24"/>
        </w:rPr>
      </w:pPr>
    </w:p>
    <w:p w14:paraId="3348765F" w14:textId="77777777" w:rsidR="00196A8C" w:rsidRPr="00B17613" w:rsidRDefault="00196A8C" w:rsidP="003376DE">
      <w:pPr>
        <w:tabs>
          <w:tab w:val="left" w:pos="1440"/>
          <w:tab w:val="left" w:pos="3060"/>
        </w:tabs>
        <w:spacing w:before="120" w:after="120" w:line="240" w:lineRule="auto"/>
        <w:jc w:val="both"/>
        <w:rPr>
          <w:rFonts w:ascii="Arial" w:hAnsi="Arial" w:cs="Arial"/>
          <w:b/>
          <w:smallCaps/>
          <w:szCs w:val="24"/>
        </w:rPr>
      </w:pPr>
    </w:p>
    <w:p w14:paraId="33487660" w14:textId="77777777" w:rsidR="00196A8C" w:rsidRPr="00B17613" w:rsidRDefault="00196A8C" w:rsidP="003376DE">
      <w:pPr>
        <w:tabs>
          <w:tab w:val="left" w:pos="1440"/>
          <w:tab w:val="left" w:pos="3060"/>
        </w:tabs>
        <w:spacing w:before="120" w:after="120" w:line="240" w:lineRule="auto"/>
        <w:jc w:val="both"/>
        <w:rPr>
          <w:rFonts w:ascii="Arial" w:hAnsi="Arial" w:cs="Arial"/>
          <w:b/>
          <w:smallCaps/>
          <w:szCs w:val="24"/>
        </w:rPr>
      </w:pPr>
    </w:p>
    <w:p w14:paraId="33487661" w14:textId="77777777" w:rsidR="00196A8C" w:rsidRPr="00B17613" w:rsidRDefault="00B17613" w:rsidP="003376DE">
      <w:pPr>
        <w:tabs>
          <w:tab w:val="left" w:pos="1440"/>
          <w:tab w:val="left" w:pos="3060"/>
        </w:tabs>
        <w:spacing w:before="120" w:after="120" w:line="240" w:lineRule="auto"/>
        <w:jc w:val="both"/>
        <w:rPr>
          <w:rFonts w:ascii="Arial" w:hAnsi="Arial" w:cs="Arial"/>
          <w:b/>
          <w:smallCaps/>
          <w:szCs w:val="24"/>
        </w:rPr>
      </w:pPr>
      <w:r w:rsidRPr="00B17613">
        <w:rPr>
          <w:rFonts w:ascii="Arial" w:hAnsi="Arial" w:cs="Arial"/>
          <w:b/>
          <w:smallCaps/>
          <w:szCs w:val="24"/>
        </w:rPr>
        <w:t>Febrero</w:t>
      </w:r>
      <w:r w:rsidR="00DD57A5" w:rsidRPr="00B17613">
        <w:rPr>
          <w:rFonts w:ascii="Arial" w:hAnsi="Arial" w:cs="Arial"/>
          <w:b/>
          <w:smallCaps/>
          <w:szCs w:val="24"/>
        </w:rPr>
        <w:t xml:space="preserve"> de</w:t>
      </w:r>
      <w:r w:rsidR="00D201F4" w:rsidRPr="00B17613">
        <w:rPr>
          <w:rFonts w:ascii="Arial" w:hAnsi="Arial" w:cs="Arial"/>
          <w:b/>
          <w:smallCaps/>
          <w:szCs w:val="24"/>
        </w:rPr>
        <w:t xml:space="preserve"> 201</w:t>
      </w:r>
      <w:r w:rsidRPr="00B17613">
        <w:rPr>
          <w:rFonts w:ascii="Arial" w:hAnsi="Arial" w:cs="Arial"/>
          <w:b/>
          <w:smallCaps/>
          <w:szCs w:val="24"/>
        </w:rPr>
        <w:t>6</w:t>
      </w:r>
    </w:p>
    <w:p w14:paraId="33487662" w14:textId="77777777" w:rsidR="00F9189E" w:rsidRPr="00B17613" w:rsidRDefault="00F9189E" w:rsidP="003376DE">
      <w:pPr>
        <w:tabs>
          <w:tab w:val="left" w:pos="1440"/>
          <w:tab w:val="left" w:pos="3060"/>
        </w:tabs>
        <w:spacing w:before="120" w:after="120" w:line="240" w:lineRule="auto"/>
        <w:jc w:val="both"/>
        <w:rPr>
          <w:rFonts w:ascii="Arial" w:hAnsi="Arial" w:cs="Arial"/>
          <w:b/>
          <w:smallCaps/>
          <w:szCs w:val="24"/>
        </w:rPr>
      </w:pPr>
    </w:p>
    <w:p w14:paraId="33487663" w14:textId="77777777" w:rsidR="001A075F" w:rsidRPr="00B17613" w:rsidRDefault="001A075F">
      <w:pPr>
        <w:rPr>
          <w:rFonts w:ascii="Arial" w:eastAsia="Times New Roman" w:hAnsi="Arial" w:cs="Arial"/>
          <w:b/>
          <w:szCs w:val="24"/>
          <w:u w:val="single"/>
        </w:rPr>
      </w:pPr>
      <w:r w:rsidRPr="00B17613">
        <w:rPr>
          <w:rFonts w:ascii="Arial" w:eastAsia="Times New Roman" w:hAnsi="Arial" w:cs="Arial"/>
          <w:b/>
          <w:szCs w:val="24"/>
          <w:u w:val="single"/>
        </w:rPr>
        <w:br w:type="page"/>
      </w:r>
    </w:p>
    <w:p w14:paraId="33487664" w14:textId="77777777" w:rsidR="00C975E2" w:rsidRPr="00B17613" w:rsidRDefault="00C975E2" w:rsidP="003376DE">
      <w:pPr>
        <w:pStyle w:val="ListParagraph"/>
        <w:numPr>
          <w:ilvl w:val="0"/>
          <w:numId w:val="13"/>
        </w:numPr>
        <w:spacing w:before="120" w:after="120" w:line="240" w:lineRule="auto"/>
        <w:jc w:val="both"/>
        <w:rPr>
          <w:rFonts w:ascii="Arial" w:eastAsia="Times New Roman" w:hAnsi="Arial" w:cs="Arial"/>
          <w:b/>
          <w:szCs w:val="24"/>
          <w:u w:val="single"/>
        </w:rPr>
      </w:pPr>
      <w:r w:rsidRPr="00B17613">
        <w:rPr>
          <w:rFonts w:ascii="Arial" w:eastAsia="Times New Roman" w:hAnsi="Arial" w:cs="Arial"/>
          <w:b/>
          <w:szCs w:val="24"/>
          <w:u w:val="single"/>
        </w:rPr>
        <w:lastRenderedPageBreak/>
        <w:t>Introducción</w:t>
      </w:r>
    </w:p>
    <w:p w14:paraId="33487665" w14:textId="77777777" w:rsidR="00EC6CCF" w:rsidRPr="00B17613" w:rsidRDefault="00EC6CCF" w:rsidP="003376DE">
      <w:pPr>
        <w:spacing w:before="120" w:after="120" w:line="240" w:lineRule="auto"/>
        <w:jc w:val="both"/>
        <w:rPr>
          <w:rFonts w:ascii="Arial" w:eastAsia="Times New Roman" w:hAnsi="Arial" w:cs="Arial"/>
          <w:szCs w:val="24"/>
        </w:rPr>
      </w:pPr>
      <w:r w:rsidRPr="00B17613">
        <w:rPr>
          <w:rFonts w:ascii="Arial" w:eastAsia="Times New Roman" w:hAnsi="Arial" w:cs="Arial"/>
          <w:szCs w:val="24"/>
        </w:rPr>
        <w:t xml:space="preserve">Este documento presenta el análisis económico de las principales medidas de política que son parte de la serie de </w:t>
      </w:r>
      <w:r w:rsidR="00DD57A5" w:rsidRPr="00B17613">
        <w:rPr>
          <w:rFonts w:ascii="Arial" w:eastAsia="Times New Roman" w:hAnsi="Arial" w:cs="Arial"/>
          <w:szCs w:val="24"/>
        </w:rPr>
        <w:t>tres</w:t>
      </w:r>
      <w:r w:rsidRPr="00B17613">
        <w:rPr>
          <w:rFonts w:ascii="Arial" w:eastAsia="Times New Roman" w:hAnsi="Arial" w:cs="Arial"/>
          <w:szCs w:val="24"/>
        </w:rPr>
        <w:t xml:space="preserve"> operaciones bajo la modalidad programática </w:t>
      </w:r>
      <w:r w:rsidR="00DD57A5" w:rsidRPr="00B17613">
        <w:rPr>
          <w:rFonts w:ascii="Arial" w:eastAsia="Times New Roman" w:hAnsi="Arial" w:cs="Arial"/>
          <w:szCs w:val="24"/>
        </w:rPr>
        <w:t>del Programa de Transparencia y Equidad del Gasto en Protección Social de Panamá</w:t>
      </w:r>
      <w:r w:rsidRPr="00B17613">
        <w:rPr>
          <w:rFonts w:ascii="Arial" w:eastAsia="Times New Roman" w:hAnsi="Arial" w:cs="Arial"/>
          <w:szCs w:val="24"/>
        </w:rPr>
        <w:t>.</w:t>
      </w:r>
      <w:r w:rsidR="00F12F92">
        <w:rPr>
          <w:rFonts w:ascii="Arial" w:eastAsia="Times New Roman" w:hAnsi="Arial" w:cs="Arial"/>
          <w:szCs w:val="24"/>
        </w:rPr>
        <w:t xml:space="preserve"> </w:t>
      </w:r>
      <w:r w:rsidR="006516AE">
        <w:rPr>
          <w:rFonts w:ascii="Arial" w:eastAsia="Times New Roman" w:hAnsi="Arial" w:cs="Arial"/>
          <w:szCs w:val="24"/>
        </w:rPr>
        <w:t xml:space="preserve">Presenta con mínimas adaptaciones (en las referencias bibliográficas) </w:t>
      </w:r>
      <w:r w:rsidR="00F12F92">
        <w:rPr>
          <w:rFonts w:ascii="Arial" w:eastAsia="Times New Roman" w:hAnsi="Arial" w:cs="Arial"/>
          <w:szCs w:val="24"/>
        </w:rPr>
        <w:t xml:space="preserve">el análisis económico </w:t>
      </w:r>
      <w:r w:rsidR="006516AE">
        <w:rPr>
          <w:rFonts w:ascii="Arial" w:eastAsia="Times New Roman" w:hAnsi="Arial" w:cs="Arial"/>
          <w:szCs w:val="24"/>
        </w:rPr>
        <w:t>elaborado</w:t>
      </w:r>
      <w:r w:rsidR="00F12F92">
        <w:rPr>
          <w:rFonts w:ascii="Arial" w:eastAsia="Times New Roman" w:hAnsi="Arial" w:cs="Arial"/>
          <w:szCs w:val="24"/>
        </w:rPr>
        <w:t xml:space="preserve"> en ocasión de la preparación de la primera operación de la serie (</w:t>
      </w:r>
      <w:hyperlink r:id="rId15" w:history="1">
        <w:r w:rsidR="00F12F92" w:rsidRPr="00F93945">
          <w:rPr>
            <w:rStyle w:val="Hyperlink"/>
            <w:rFonts w:ascii="Arial" w:eastAsia="Times New Roman" w:hAnsi="Arial" w:cs="Arial"/>
            <w:szCs w:val="24"/>
          </w:rPr>
          <w:t xml:space="preserve">PN-L1103, </w:t>
        </w:r>
        <w:r w:rsidR="00F93945" w:rsidRPr="00F93945">
          <w:rPr>
            <w:rStyle w:val="Hyperlink"/>
            <w:rFonts w:ascii="Arial" w:eastAsia="Times New Roman" w:hAnsi="Arial" w:cs="Arial"/>
            <w:szCs w:val="24"/>
          </w:rPr>
          <w:t>A</w:t>
        </w:r>
        <w:r w:rsidR="006516AE" w:rsidRPr="00F93945">
          <w:rPr>
            <w:rStyle w:val="Hyperlink"/>
            <w:rFonts w:ascii="Arial" w:eastAsia="Times New Roman" w:hAnsi="Arial" w:cs="Arial"/>
            <w:szCs w:val="24"/>
          </w:rPr>
          <w:t xml:space="preserve">nálisis </w:t>
        </w:r>
        <w:r w:rsidR="00F93945" w:rsidRPr="00F93945">
          <w:rPr>
            <w:rStyle w:val="Hyperlink"/>
            <w:rFonts w:ascii="Arial" w:eastAsia="Times New Roman" w:hAnsi="Arial" w:cs="Arial"/>
            <w:szCs w:val="24"/>
          </w:rPr>
          <w:t>E</w:t>
        </w:r>
        <w:r w:rsidR="006516AE" w:rsidRPr="00F93945">
          <w:rPr>
            <w:rStyle w:val="Hyperlink"/>
            <w:rFonts w:ascii="Arial" w:eastAsia="Times New Roman" w:hAnsi="Arial" w:cs="Arial"/>
            <w:szCs w:val="24"/>
          </w:rPr>
          <w:t>conómico</w:t>
        </w:r>
      </w:hyperlink>
      <w:r w:rsidR="00F12F92">
        <w:rPr>
          <w:rFonts w:ascii="Arial" w:eastAsia="Times New Roman" w:hAnsi="Arial" w:cs="Arial"/>
          <w:szCs w:val="24"/>
        </w:rPr>
        <w:t>).</w:t>
      </w:r>
    </w:p>
    <w:p w14:paraId="33487666" w14:textId="77777777" w:rsidR="00F9375D" w:rsidRPr="00B17613" w:rsidRDefault="00C975E2" w:rsidP="00DD57A5">
      <w:pPr>
        <w:spacing w:before="120" w:after="120" w:line="240" w:lineRule="auto"/>
        <w:jc w:val="both"/>
        <w:rPr>
          <w:rFonts w:ascii="Arial" w:hAnsi="Arial" w:cs="Arial"/>
          <w:szCs w:val="24"/>
        </w:rPr>
      </w:pPr>
      <w:r w:rsidRPr="00B17613">
        <w:rPr>
          <w:rFonts w:ascii="Arial" w:hAnsi="Arial" w:cs="Arial"/>
          <w:szCs w:val="24"/>
        </w:rPr>
        <w:t>Por las características de las operaciones programáticas</w:t>
      </w:r>
      <w:r w:rsidR="00E1397A" w:rsidRPr="00B17613">
        <w:rPr>
          <w:rFonts w:ascii="Arial" w:hAnsi="Arial" w:cs="Arial"/>
          <w:szCs w:val="24"/>
        </w:rPr>
        <w:t xml:space="preserve"> de política</w:t>
      </w:r>
      <w:r w:rsidRPr="00B17613">
        <w:rPr>
          <w:rFonts w:ascii="Arial" w:hAnsi="Arial" w:cs="Arial"/>
          <w:szCs w:val="24"/>
        </w:rPr>
        <w:t>, no existen intervenciones concretas financiadas con el préstamo</w:t>
      </w:r>
      <w:r w:rsidR="00F9189E" w:rsidRPr="00B17613">
        <w:rPr>
          <w:rFonts w:ascii="Arial" w:hAnsi="Arial" w:cs="Arial"/>
          <w:szCs w:val="24"/>
        </w:rPr>
        <w:t xml:space="preserve">. </w:t>
      </w:r>
      <w:r w:rsidRPr="00B17613">
        <w:rPr>
          <w:rFonts w:ascii="Arial" w:hAnsi="Arial" w:cs="Arial"/>
          <w:szCs w:val="24"/>
        </w:rPr>
        <w:t xml:space="preserve">Por lo tanto, </w:t>
      </w:r>
      <w:r w:rsidR="00DD57A5" w:rsidRPr="00B17613">
        <w:rPr>
          <w:rFonts w:ascii="Arial" w:hAnsi="Arial" w:cs="Arial"/>
          <w:szCs w:val="24"/>
        </w:rPr>
        <w:t>es importante resaltar que e</w:t>
      </w:r>
      <w:r w:rsidRPr="00B17613">
        <w:rPr>
          <w:rFonts w:ascii="Arial" w:hAnsi="Arial" w:cs="Arial"/>
          <w:szCs w:val="24"/>
        </w:rPr>
        <w:t>l costo del préstamo no está necesaria ni directamente asociado al costo de implementar las medidas de políticas acordadas</w:t>
      </w:r>
      <w:r w:rsidR="00DD57A5" w:rsidRPr="00B17613">
        <w:rPr>
          <w:rFonts w:ascii="Arial" w:hAnsi="Arial" w:cs="Arial"/>
          <w:szCs w:val="24"/>
        </w:rPr>
        <w:t>.</w:t>
      </w:r>
    </w:p>
    <w:p w14:paraId="33487667" w14:textId="77777777" w:rsidR="00DF03C1" w:rsidRPr="00B17613" w:rsidRDefault="001E260F" w:rsidP="003376DE">
      <w:pPr>
        <w:spacing w:before="120" w:after="120" w:line="240" w:lineRule="auto"/>
        <w:jc w:val="both"/>
        <w:rPr>
          <w:rFonts w:ascii="Arial" w:hAnsi="Arial" w:cs="Arial"/>
          <w:szCs w:val="24"/>
        </w:rPr>
      </w:pPr>
      <w:r w:rsidRPr="00B17613">
        <w:rPr>
          <w:rFonts w:ascii="Arial" w:hAnsi="Arial" w:cs="Arial"/>
          <w:szCs w:val="24"/>
        </w:rPr>
        <w:t xml:space="preserve">En este documento se presenta el análisis de los costos y beneficios esperables de </w:t>
      </w:r>
      <w:r w:rsidR="00DF03C1" w:rsidRPr="00B17613">
        <w:rPr>
          <w:rFonts w:ascii="Arial" w:hAnsi="Arial" w:cs="Arial"/>
          <w:szCs w:val="24"/>
        </w:rPr>
        <w:t xml:space="preserve">las dos </w:t>
      </w:r>
      <w:r w:rsidR="00DF03C1" w:rsidRPr="00B17613">
        <w:rPr>
          <w:rFonts w:ascii="Arial" w:eastAsia="Times New Roman" w:hAnsi="Arial" w:cs="Arial"/>
          <w:szCs w:val="24"/>
        </w:rPr>
        <w:t>medidas de política más emblemáticas e innovadoras acompañadas por el Banco por medio de la serie programática, o sea:</w:t>
      </w:r>
    </w:p>
    <w:p w14:paraId="33487668" w14:textId="77777777" w:rsidR="001E260F" w:rsidRPr="00B17613" w:rsidRDefault="0054459B" w:rsidP="001E260F">
      <w:pPr>
        <w:pStyle w:val="ListParagraph"/>
        <w:numPr>
          <w:ilvl w:val="0"/>
          <w:numId w:val="21"/>
        </w:numPr>
        <w:spacing w:before="120" w:after="120" w:line="240" w:lineRule="auto"/>
        <w:jc w:val="both"/>
        <w:rPr>
          <w:rFonts w:ascii="Arial" w:hAnsi="Arial" w:cs="Arial"/>
          <w:szCs w:val="24"/>
        </w:rPr>
      </w:pPr>
      <w:r w:rsidRPr="00B17613">
        <w:rPr>
          <w:rFonts w:ascii="Arial" w:hAnsi="Arial" w:cs="Arial"/>
          <w:szCs w:val="24"/>
        </w:rPr>
        <w:t>Desarrollo infantil temprano (DIT): i</w:t>
      </w:r>
      <w:r w:rsidR="001E260F" w:rsidRPr="00B17613">
        <w:rPr>
          <w:rFonts w:ascii="Arial" w:hAnsi="Arial" w:cs="Arial"/>
          <w:szCs w:val="24"/>
        </w:rPr>
        <w:t>mplementación de estándares de calidad de la atención integral para niños atendidos en la modalidad de Centros de Cuidado Infantil y Familiar (COIF);</w:t>
      </w:r>
    </w:p>
    <w:p w14:paraId="33487669" w14:textId="77777777" w:rsidR="001E260F" w:rsidRPr="00B17613" w:rsidRDefault="0054459B" w:rsidP="001E260F">
      <w:pPr>
        <w:pStyle w:val="ListParagraph"/>
        <w:numPr>
          <w:ilvl w:val="0"/>
          <w:numId w:val="21"/>
        </w:numPr>
        <w:spacing w:before="120" w:after="120" w:line="240" w:lineRule="auto"/>
        <w:jc w:val="both"/>
        <w:rPr>
          <w:rFonts w:ascii="Arial" w:hAnsi="Arial" w:cs="Arial"/>
          <w:szCs w:val="24"/>
        </w:rPr>
      </w:pPr>
      <w:r w:rsidRPr="00B17613">
        <w:rPr>
          <w:rFonts w:ascii="Arial" w:hAnsi="Arial" w:cs="Arial"/>
          <w:szCs w:val="24"/>
        </w:rPr>
        <w:t>Red de Oportunidades (</w:t>
      </w:r>
      <w:proofErr w:type="spellStart"/>
      <w:r w:rsidRPr="00B17613">
        <w:rPr>
          <w:rFonts w:ascii="Arial" w:hAnsi="Arial" w:cs="Arial"/>
          <w:szCs w:val="24"/>
        </w:rPr>
        <w:t>RdO</w:t>
      </w:r>
      <w:proofErr w:type="spellEnd"/>
      <w:r w:rsidRPr="00B17613">
        <w:rPr>
          <w:rFonts w:ascii="Arial" w:hAnsi="Arial" w:cs="Arial"/>
          <w:szCs w:val="24"/>
        </w:rPr>
        <w:t>): f</w:t>
      </w:r>
      <w:r w:rsidR="001E260F" w:rsidRPr="00B17613">
        <w:rPr>
          <w:rFonts w:ascii="Arial" w:hAnsi="Arial" w:cs="Arial"/>
          <w:szCs w:val="24"/>
        </w:rPr>
        <w:t>ocalización</w:t>
      </w:r>
      <w:r w:rsidR="00DF03C1" w:rsidRPr="00B17613">
        <w:rPr>
          <w:rFonts w:ascii="Arial" w:hAnsi="Arial" w:cs="Arial"/>
          <w:szCs w:val="24"/>
        </w:rPr>
        <w:t>, por medio de la implementación del Registro Único de Beneficiarios (RUB),</w:t>
      </w:r>
      <w:r w:rsidR="001E260F" w:rsidRPr="00B17613">
        <w:rPr>
          <w:rFonts w:ascii="Arial" w:hAnsi="Arial" w:cs="Arial"/>
          <w:szCs w:val="24"/>
        </w:rPr>
        <w:t xml:space="preserve"> del programa de transferencias monetarias condicionadas (PTMC) </w:t>
      </w:r>
      <w:proofErr w:type="spellStart"/>
      <w:r w:rsidR="001E260F" w:rsidRPr="00B17613">
        <w:rPr>
          <w:rFonts w:ascii="Arial" w:hAnsi="Arial" w:cs="Arial"/>
          <w:szCs w:val="24"/>
        </w:rPr>
        <w:t>RdO</w:t>
      </w:r>
      <w:proofErr w:type="spellEnd"/>
      <w:r w:rsidR="001E260F" w:rsidRPr="00B17613">
        <w:rPr>
          <w:rFonts w:ascii="Arial" w:hAnsi="Arial" w:cs="Arial"/>
          <w:szCs w:val="24"/>
        </w:rPr>
        <w:t xml:space="preserve"> hacía los pobres extremos, y la consecuente mayor acumulación de capital humano.</w:t>
      </w:r>
    </w:p>
    <w:p w14:paraId="3348766A" w14:textId="77777777" w:rsidR="00DF03C1" w:rsidRPr="00B17613" w:rsidRDefault="00DF03C1" w:rsidP="00DF03C1">
      <w:pPr>
        <w:spacing w:before="120" w:after="120" w:line="240" w:lineRule="auto"/>
        <w:jc w:val="both"/>
        <w:rPr>
          <w:rFonts w:ascii="Arial" w:eastAsia="Times New Roman" w:hAnsi="Arial" w:cs="Arial"/>
          <w:szCs w:val="24"/>
        </w:rPr>
      </w:pPr>
      <w:r w:rsidRPr="00B17613">
        <w:rPr>
          <w:rFonts w:ascii="Arial" w:eastAsia="Times New Roman" w:hAnsi="Arial" w:cs="Arial"/>
          <w:szCs w:val="24"/>
        </w:rPr>
        <w:t>La descripción completa de la operación es contenida en el documento de propuesta para el desarrollo de la operación (POD, por su sigla en inglés), del cual este documento es un anexo.</w:t>
      </w:r>
    </w:p>
    <w:p w14:paraId="3348766B" w14:textId="77777777" w:rsidR="00DF03C1" w:rsidRPr="00B17613" w:rsidRDefault="00DF03C1" w:rsidP="0020108A">
      <w:pPr>
        <w:spacing w:before="120" w:after="120" w:line="240" w:lineRule="auto"/>
        <w:jc w:val="both"/>
        <w:rPr>
          <w:rFonts w:ascii="Arial" w:eastAsia="Times New Roman" w:hAnsi="Arial" w:cs="Arial"/>
          <w:szCs w:val="24"/>
        </w:rPr>
      </w:pPr>
      <w:r w:rsidRPr="00B17613">
        <w:rPr>
          <w:rFonts w:ascii="Arial" w:eastAsia="Times New Roman" w:hAnsi="Arial" w:cs="Arial"/>
          <w:szCs w:val="24"/>
        </w:rPr>
        <w:t>En</w:t>
      </w:r>
      <w:r w:rsidR="0020108A" w:rsidRPr="00B17613">
        <w:rPr>
          <w:rFonts w:ascii="Arial" w:eastAsia="Times New Roman" w:hAnsi="Arial" w:cs="Arial"/>
          <w:szCs w:val="24"/>
        </w:rPr>
        <w:t xml:space="preserve"> este análisis económico, utilizamos una tasa de descuento de 5%.</w:t>
      </w:r>
      <w:r w:rsidRPr="00B17613">
        <w:rPr>
          <w:rFonts w:ascii="Arial" w:eastAsia="Times New Roman" w:hAnsi="Arial" w:cs="Arial"/>
          <w:szCs w:val="24"/>
        </w:rPr>
        <w:t xml:space="preserve"> </w:t>
      </w:r>
      <w:r w:rsidR="001228CC" w:rsidRPr="00B17613">
        <w:rPr>
          <w:rFonts w:ascii="Arial" w:eastAsia="Times New Roman" w:hAnsi="Arial" w:cs="Arial"/>
          <w:szCs w:val="24"/>
        </w:rPr>
        <w:t xml:space="preserve">Tasas de descuento más elevadas penalizarían las intervenciones de </w:t>
      </w:r>
      <w:r w:rsidR="00166CC3" w:rsidRPr="00B17613">
        <w:rPr>
          <w:rFonts w:ascii="Arial" w:eastAsia="Times New Roman" w:hAnsi="Arial" w:cs="Arial"/>
          <w:szCs w:val="24"/>
        </w:rPr>
        <w:t>DIT,</w:t>
      </w:r>
      <w:r w:rsidR="001228CC" w:rsidRPr="00B17613">
        <w:rPr>
          <w:rFonts w:ascii="Arial" w:eastAsia="Times New Roman" w:hAnsi="Arial" w:cs="Arial"/>
          <w:szCs w:val="24"/>
        </w:rPr>
        <w:t xml:space="preserve"> que tienen beneficios intergeneracionales.</w:t>
      </w:r>
      <w:r w:rsidR="001228CC" w:rsidRPr="00B17613">
        <w:rPr>
          <w:rStyle w:val="FootnoteReference"/>
          <w:rFonts w:ascii="Arial" w:eastAsia="Times New Roman" w:hAnsi="Arial" w:cs="Arial"/>
          <w:szCs w:val="24"/>
        </w:rPr>
        <w:footnoteReference w:id="1"/>
      </w:r>
    </w:p>
    <w:p w14:paraId="3348766C" w14:textId="77777777" w:rsidR="00DF03C1" w:rsidRPr="00B17613" w:rsidRDefault="00630329" w:rsidP="00D0734F">
      <w:pPr>
        <w:widowControl w:val="0"/>
        <w:spacing w:before="120" w:after="120" w:line="240" w:lineRule="auto"/>
        <w:jc w:val="both"/>
        <w:rPr>
          <w:rFonts w:ascii="Arial" w:eastAsia="Times New Roman" w:hAnsi="Arial" w:cs="Arial"/>
          <w:szCs w:val="24"/>
        </w:rPr>
      </w:pPr>
      <w:r w:rsidRPr="00B17613">
        <w:rPr>
          <w:rFonts w:ascii="Arial" w:eastAsia="Times New Roman" w:hAnsi="Arial" w:cs="Arial"/>
          <w:szCs w:val="24"/>
        </w:rPr>
        <w:lastRenderedPageBreak/>
        <w:t xml:space="preserve">El análisis de las nuevas medidas incluidas en la presente operación arroja los siguientes resultados. </w:t>
      </w:r>
      <w:r w:rsidR="007B38B9" w:rsidRPr="00B17613">
        <w:rPr>
          <w:rFonts w:ascii="Arial" w:eastAsia="Times New Roman" w:hAnsi="Arial" w:cs="Arial"/>
          <w:szCs w:val="24"/>
        </w:rPr>
        <w:t xml:space="preserve">El valor presente neto (VPN) de la operación es de </w:t>
      </w:r>
      <w:r w:rsidR="00CB7195" w:rsidRPr="00B17613">
        <w:rPr>
          <w:rFonts w:ascii="Arial" w:eastAsia="Times New Roman" w:hAnsi="Arial" w:cs="Arial"/>
          <w:szCs w:val="24"/>
        </w:rPr>
        <w:t>US$ 1</w:t>
      </w:r>
      <w:r w:rsidR="008B5037" w:rsidRPr="00B17613">
        <w:rPr>
          <w:rFonts w:ascii="Arial" w:eastAsia="Times New Roman" w:hAnsi="Arial" w:cs="Arial"/>
          <w:szCs w:val="24"/>
        </w:rPr>
        <w:t>55</w:t>
      </w:r>
      <w:r w:rsidR="00CB7195" w:rsidRPr="00B17613">
        <w:rPr>
          <w:rFonts w:ascii="Arial" w:eastAsia="Times New Roman" w:hAnsi="Arial" w:cs="Arial"/>
          <w:szCs w:val="24"/>
        </w:rPr>
        <w:t>,</w:t>
      </w:r>
      <w:r w:rsidR="008B5037" w:rsidRPr="00B17613">
        <w:rPr>
          <w:rFonts w:ascii="Arial" w:eastAsia="Times New Roman" w:hAnsi="Arial" w:cs="Arial"/>
          <w:szCs w:val="24"/>
        </w:rPr>
        <w:t>6</w:t>
      </w:r>
      <w:r w:rsidR="00CB7195" w:rsidRPr="00B17613">
        <w:rPr>
          <w:rFonts w:ascii="Arial" w:eastAsia="Times New Roman" w:hAnsi="Arial" w:cs="Arial"/>
          <w:szCs w:val="24"/>
        </w:rPr>
        <w:t xml:space="preserve"> millones. La mayor parte del valor agregado es explicada por el componente de focalización de la </w:t>
      </w:r>
      <w:proofErr w:type="spellStart"/>
      <w:r w:rsidR="00CB7195" w:rsidRPr="00B17613">
        <w:rPr>
          <w:rFonts w:ascii="Arial" w:eastAsia="Times New Roman" w:hAnsi="Arial" w:cs="Arial"/>
          <w:szCs w:val="24"/>
        </w:rPr>
        <w:t>RdO</w:t>
      </w:r>
      <w:proofErr w:type="spellEnd"/>
      <w:r w:rsidR="00CB7195" w:rsidRPr="00B17613">
        <w:rPr>
          <w:rFonts w:ascii="Arial" w:eastAsia="Times New Roman" w:hAnsi="Arial" w:cs="Arial"/>
          <w:szCs w:val="24"/>
        </w:rPr>
        <w:t>, que tiene un VPN de US$</w:t>
      </w:r>
      <w:r w:rsidR="00FB686C" w:rsidRPr="00B17613">
        <w:rPr>
          <w:rFonts w:ascii="Arial" w:eastAsia="Times New Roman" w:hAnsi="Arial" w:cs="Arial"/>
          <w:szCs w:val="24"/>
        </w:rPr>
        <w:t> </w:t>
      </w:r>
      <w:r w:rsidR="008B5037" w:rsidRPr="00B17613">
        <w:rPr>
          <w:rFonts w:ascii="Arial" w:eastAsia="Times New Roman" w:hAnsi="Arial" w:cs="Arial"/>
          <w:szCs w:val="24"/>
        </w:rPr>
        <w:t>141</w:t>
      </w:r>
      <w:r w:rsidR="00CB7195" w:rsidRPr="00B17613">
        <w:rPr>
          <w:rFonts w:ascii="Arial" w:eastAsia="Times New Roman" w:hAnsi="Arial" w:cs="Arial"/>
          <w:szCs w:val="24"/>
        </w:rPr>
        <w:t>,</w:t>
      </w:r>
      <w:r w:rsidR="008B5037" w:rsidRPr="00B17613">
        <w:rPr>
          <w:rFonts w:ascii="Arial" w:eastAsia="Times New Roman" w:hAnsi="Arial" w:cs="Arial"/>
          <w:szCs w:val="24"/>
        </w:rPr>
        <w:t>4</w:t>
      </w:r>
      <w:r w:rsidR="00CB7195" w:rsidRPr="00B17613">
        <w:rPr>
          <w:rFonts w:ascii="Arial" w:eastAsia="Times New Roman" w:hAnsi="Arial" w:cs="Arial"/>
          <w:szCs w:val="24"/>
        </w:rPr>
        <w:t xml:space="preserve"> millones. La contribución del componente de </w:t>
      </w:r>
      <w:r w:rsidR="00FB686C" w:rsidRPr="00B17613">
        <w:rPr>
          <w:rFonts w:ascii="Arial" w:eastAsia="Times New Roman" w:hAnsi="Arial" w:cs="Arial"/>
          <w:szCs w:val="24"/>
        </w:rPr>
        <w:t>DIT</w:t>
      </w:r>
      <w:r w:rsidR="00CB7195" w:rsidRPr="00B17613">
        <w:rPr>
          <w:rFonts w:ascii="Arial" w:eastAsia="Times New Roman" w:hAnsi="Arial" w:cs="Arial"/>
          <w:szCs w:val="24"/>
        </w:rPr>
        <w:t xml:space="preserve"> al VPN agregado es de US$ 14,</w:t>
      </w:r>
      <w:r w:rsidR="001B1992" w:rsidRPr="00B17613">
        <w:rPr>
          <w:rFonts w:ascii="Arial" w:eastAsia="Times New Roman" w:hAnsi="Arial" w:cs="Arial"/>
          <w:szCs w:val="24"/>
        </w:rPr>
        <w:t>2</w:t>
      </w:r>
      <w:r w:rsidR="00CB7195" w:rsidRPr="00B17613">
        <w:rPr>
          <w:rFonts w:ascii="Arial" w:eastAsia="Times New Roman" w:hAnsi="Arial" w:cs="Arial"/>
          <w:szCs w:val="24"/>
        </w:rPr>
        <w:t xml:space="preserve"> millones. Este menor valor es explicado por el hecho que solo 4,000 niños asisten actualmente a los COIF, y en el análisis económico no se han hecho previsiones de expansión de la cobertura.</w:t>
      </w:r>
    </w:p>
    <w:p w14:paraId="3348766D" w14:textId="77777777" w:rsidR="00BB728A" w:rsidRPr="00B17613" w:rsidRDefault="00BB728A" w:rsidP="00D0734F">
      <w:pPr>
        <w:widowControl w:val="0"/>
        <w:spacing w:before="120" w:after="120" w:line="240" w:lineRule="auto"/>
        <w:jc w:val="both"/>
        <w:rPr>
          <w:rFonts w:ascii="Arial" w:eastAsia="Times New Roman" w:hAnsi="Arial" w:cs="Arial"/>
          <w:szCs w:val="24"/>
        </w:rPr>
      </w:pPr>
      <w:r w:rsidRPr="00B17613">
        <w:rPr>
          <w:rFonts w:ascii="Arial" w:eastAsia="Times New Roman" w:hAnsi="Arial" w:cs="Arial"/>
          <w:szCs w:val="24"/>
        </w:rPr>
        <w:t>El análisis de sensibilidad muestra que el VPN varía entre un valor de US$18,3 millones en el escenario más pesimista sobre el valor de los parámetros claves, y US$</w:t>
      </w:r>
      <w:r w:rsidR="004E4D77">
        <w:rPr>
          <w:rFonts w:ascii="Arial" w:eastAsia="Times New Roman" w:hAnsi="Arial" w:cs="Arial"/>
          <w:szCs w:val="24"/>
        </w:rPr>
        <w:t> </w:t>
      </w:r>
      <w:r w:rsidRPr="00B17613">
        <w:rPr>
          <w:rFonts w:ascii="Arial" w:eastAsia="Times New Roman" w:hAnsi="Arial" w:cs="Arial"/>
          <w:szCs w:val="24"/>
        </w:rPr>
        <w:t>411,4 millones en el escenario más optimista.</w:t>
      </w:r>
    </w:p>
    <w:p w14:paraId="3348766E" w14:textId="77777777" w:rsidR="00DF03C1" w:rsidRPr="00B17613" w:rsidRDefault="002668C6" w:rsidP="00D0734F">
      <w:pPr>
        <w:widowControl w:val="0"/>
        <w:spacing w:before="120" w:after="120" w:line="240" w:lineRule="auto"/>
        <w:jc w:val="both"/>
        <w:rPr>
          <w:rFonts w:ascii="Arial" w:eastAsia="Times New Roman" w:hAnsi="Arial" w:cs="Arial"/>
          <w:szCs w:val="24"/>
        </w:rPr>
      </w:pPr>
      <w:r w:rsidRPr="00B17613">
        <w:rPr>
          <w:rFonts w:ascii="Arial" w:eastAsia="Times New Roman" w:hAnsi="Arial" w:cs="Arial"/>
          <w:szCs w:val="24"/>
        </w:rPr>
        <w:t>El resto de este documento se organiza como sigue. En la sección 2,</w:t>
      </w:r>
      <w:r w:rsidR="00E85EAB" w:rsidRPr="00B17613">
        <w:rPr>
          <w:rFonts w:ascii="Arial" w:eastAsia="Times New Roman" w:hAnsi="Arial" w:cs="Arial"/>
          <w:szCs w:val="24"/>
        </w:rPr>
        <w:t xml:space="preserve"> se presenta la lógica vertical que relaciona los indicadores de producto y de resultado incluidos en la matriz de resultados con los beneficios cuantificados en este análisis económico. En la sección 3,</w:t>
      </w:r>
      <w:r w:rsidRPr="00B17613">
        <w:rPr>
          <w:rFonts w:ascii="Arial" w:eastAsia="Times New Roman" w:hAnsi="Arial" w:cs="Arial"/>
          <w:szCs w:val="24"/>
        </w:rPr>
        <w:t xml:space="preserve"> se presenta el análisis económico del componente de DIT. En la sección </w:t>
      </w:r>
      <w:r w:rsidR="00E85EAB" w:rsidRPr="00B17613">
        <w:rPr>
          <w:rFonts w:ascii="Arial" w:eastAsia="Times New Roman" w:hAnsi="Arial" w:cs="Arial"/>
          <w:szCs w:val="24"/>
        </w:rPr>
        <w:t>4</w:t>
      </w:r>
      <w:r w:rsidRPr="00B17613">
        <w:rPr>
          <w:rFonts w:ascii="Arial" w:eastAsia="Times New Roman" w:hAnsi="Arial" w:cs="Arial"/>
          <w:szCs w:val="24"/>
        </w:rPr>
        <w:t xml:space="preserve">, se analiza el componente de </w:t>
      </w:r>
      <w:proofErr w:type="spellStart"/>
      <w:r w:rsidRPr="00B17613">
        <w:rPr>
          <w:rFonts w:ascii="Arial" w:eastAsia="Times New Roman" w:hAnsi="Arial" w:cs="Arial"/>
          <w:szCs w:val="24"/>
        </w:rPr>
        <w:t>refocalización</w:t>
      </w:r>
      <w:proofErr w:type="spellEnd"/>
      <w:r w:rsidRPr="00B17613">
        <w:rPr>
          <w:rFonts w:ascii="Arial" w:eastAsia="Times New Roman" w:hAnsi="Arial" w:cs="Arial"/>
          <w:szCs w:val="24"/>
        </w:rPr>
        <w:t xml:space="preserve"> de la </w:t>
      </w:r>
      <w:proofErr w:type="spellStart"/>
      <w:r w:rsidRPr="00B17613">
        <w:rPr>
          <w:rFonts w:ascii="Arial" w:eastAsia="Times New Roman" w:hAnsi="Arial" w:cs="Arial"/>
          <w:szCs w:val="24"/>
        </w:rPr>
        <w:t>RdO.</w:t>
      </w:r>
      <w:proofErr w:type="spellEnd"/>
      <w:r w:rsidRPr="00B17613">
        <w:rPr>
          <w:rFonts w:ascii="Arial" w:eastAsia="Times New Roman" w:hAnsi="Arial" w:cs="Arial"/>
          <w:szCs w:val="24"/>
        </w:rPr>
        <w:t xml:space="preserve"> En la sección </w:t>
      </w:r>
      <w:r w:rsidR="00E85EAB" w:rsidRPr="00B17613">
        <w:rPr>
          <w:rFonts w:ascii="Arial" w:eastAsia="Times New Roman" w:hAnsi="Arial" w:cs="Arial"/>
          <w:szCs w:val="24"/>
        </w:rPr>
        <w:t>5</w:t>
      </w:r>
      <w:r w:rsidRPr="00B17613">
        <w:rPr>
          <w:rFonts w:ascii="Arial" w:eastAsia="Times New Roman" w:hAnsi="Arial" w:cs="Arial"/>
          <w:szCs w:val="24"/>
        </w:rPr>
        <w:t xml:space="preserve">, se concluye con un análisis de </w:t>
      </w:r>
      <w:r w:rsidR="00BB728A" w:rsidRPr="00B17613">
        <w:rPr>
          <w:rFonts w:ascii="Arial" w:eastAsia="Times New Roman" w:hAnsi="Arial" w:cs="Arial"/>
          <w:szCs w:val="24"/>
        </w:rPr>
        <w:t xml:space="preserve">sensibilidad </w:t>
      </w:r>
      <w:r w:rsidRPr="00B17613">
        <w:rPr>
          <w:rFonts w:ascii="Arial" w:eastAsia="Times New Roman" w:hAnsi="Arial" w:cs="Arial"/>
          <w:szCs w:val="24"/>
        </w:rPr>
        <w:t xml:space="preserve">de los resultados. </w:t>
      </w:r>
      <w:r w:rsidR="00464442" w:rsidRPr="00B17613">
        <w:rPr>
          <w:rFonts w:ascii="Arial" w:eastAsia="Times New Roman" w:hAnsi="Arial" w:cs="Arial"/>
          <w:szCs w:val="24"/>
        </w:rPr>
        <w:t>La sección 6 concluye.</w:t>
      </w:r>
    </w:p>
    <w:p w14:paraId="3348766F" w14:textId="77777777" w:rsidR="00481387" w:rsidRPr="00B17613" w:rsidRDefault="00E85EAB" w:rsidP="00E85EAB">
      <w:pPr>
        <w:pStyle w:val="ListParagraph"/>
        <w:numPr>
          <w:ilvl w:val="0"/>
          <w:numId w:val="13"/>
        </w:numPr>
        <w:spacing w:before="120" w:after="120" w:line="240" w:lineRule="auto"/>
        <w:jc w:val="both"/>
        <w:rPr>
          <w:rFonts w:ascii="Arial" w:eastAsiaTheme="majorEastAsia" w:hAnsi="Arial" w:cs="Arial"/>
          <w:b/>
          <w:bCs/>
          <w:szCs w:val="24"/>
          <w:u w:val="single"/>
          <w:lang w:eastAsia="es-ES"/>
        </w:rPr>
      </w:pPr>
      <w:r w:rsidRPr="00B17613">
        <w:rPr>
          <w:rFonts w:ascii="Arial" w:eastAsiaTheme="majorEastAsia" w:hAnsi="Arial" w:cs="Arial"/>
          <w:b/>
          <w:bCs/>
          <w:szCs w:val="24"/>
          <w:u w:val="single"/>
          <w:lang w:eastAsia="es-ES"/>
        </w:rPr>
        <w:t>Lógica vertical</w:t>
      </w:r>
    </w:p>
    <w:p w14:paraId="33487670" w14:textId="77777777" w:rsidR="00875B7C" w:rsidRPr="00B17613" w:rsidRDefault="00875B7C" w:rsidP="00875B7C">
      <w:pPr>
        <w:widowControl w:val="0"/>
        <w:spacing w:before="120" w:after="120" w:line="240" w:lineRule="auto"/>
        <w:jc w:val="both"/>
        <w:rPr>
          <w:rFonts w:ascii="Arial" w:eastAsia="Times New Roman" w:hAnsi="Arial" w:cs="Arial"/>
          <w:szCs w:val="24"/>
        </w:rPr>
      </w:pPr>
      <w:r w:rsidRPr="00B17613">
        <w:rPr>
          <w:rFonts w:ascii="Arial" w:eastAsia="Times New Roman" w:hAnsi="Arial" w:cs="Arial"/>
          <w:szCs w:val="24"/>
        </w:rPr>
        <w:t>La operación apoyará, entre otro, la aprobación e implementación de estándares de calidad para los servicios de DIT ofrecido en los COIF. Se espera que este proceso lleve a la aplicación de los estándares de calidad en 80% de los COIF en 2019. Este indicador es incluido cómo resultado en la matriz de resultados de la operación. El análisis económico considera los impactos que derivan de este resultado. Más específicamente, se espera que los niños que reciben atención integral en los COIF obtengan beneficios en términos de desarrollo físico, cognitivo y socioemocional que se traducirán en mayores ingresos laborales durante su adultez. El análisis económico presentado en la sección 3 compara el valor actualizado de estos beneficios con el costo de implementación de los estándares de calidad.</w:t>
      </w:r>
    </w:p>
    <w:p w14:paraId="33487671" w14:textId="77777777" w:rsidR="002D1A41" w:rsidRPr="00B17613" w:rsidRDefault="002D1A41" w:rsidP="00BB06F8">
      <w:pPr>
        <w:widowControl w:val="0"/>
        <w:spacing w:before="120" w:after="120" w:line="240" w:lineRule="auto"/>
        <w:jc w:val="both"/>
        <w:rPr>
          <w:rFonts w:ascii="Arial" w:eastAsia="Times New Roman" w:hAnsi="Arial" w:cs="Arial"/>
          <w:szCs w:val="24"/>
        </w:rPr>
      </w:pPr>
      <w:r w:rsidRPr="00B17613">
        <w:rPr>
          <w:rFonts w:ascii="Arial" w:eastAsia="Times New Roman" w:hAnsi="Arial" w:cs="Arial"/>
          <w:szCs w:val="24"/>
        </w:rPr>
        <w:t>La</w:t>
      </w:r>
      <w:r w:rsidR="00BB06F8" w:rsidRPr="00B17613">
        <w:rPr>
          <w:rFonts w:ascii="Arial" w:eastAsia="Times New Roman" w:hAnsi="Arial" w:cs="Arial"/>
          <w:szCs w:val="24"/>
        </w:rPr>
        <w:t xml:space="preserve"> operación apoyará</w:t>
      </w:r>
      <w:r w:rsidR="00875B7C" w:rsidRPr="00B17613">
        <w:rPr>
          <w:rFonts w:ascii="Arial" w:eastAsia="Times New Roman" w:hAnsi="Arial" w:cs="Arial"/>
          <w:szCs w:val="24"/>
        </w:rPr>
        <w:t xml:space="preserve"> también</w:t>
      </w:r>
      <w:r w:rsidR="00BB06F8" w:rsidRPr="00B17613">
        <w:rPr>
          <w:rFonts w:ascii="Arial" w:eastAsia="Times New Roman" w:hAnsi="Arial" w:cs="Arial"/>
          <w:szCs w:val="24"/>
        </w:rPr>
        <w:t xml:space="preserve"> </w:t>
      </w:r>
      <w:r w:rsidRPr="00B17613">
        <w:rPr>
          <w:rFonts w:ascii="Arial" w:eastAsia="Times New Roman" w:hAnsi="Arial" w:cs="Arial"/>
          <w:szCs w:val="24"/>
        </w:rPr>
        <w:t xml:space="preserve">la revisión de los mecanismos de focalización de la </w:t>
      </w:r>
      <w:proofErr w:type="spellStart"/>
      <w:r w:rsidRPr="00B17613">
        <w:rPr>
          <w:rFonts w:ascii="Arial" w:eastAsia="Times New Roman" w:hAnsi="Arial" w:cs="Arial"/>
          <w:szCs w:val="24"/>
        </w:rPr>
        <w:t>RdO</w:t>
      </w:r>
      <w:proofErr w:type="spellEnd"/>
      <w:r w:rsidRPr="00B17613">
        <w:rPr>
          <w:rFonts w:ascii="Arial" w:eastAsia="Times New Roman" w:hAnsi="Arial" w:cs="Arial"/>
          <w:szCs w:val="24"/>
        </w:rPr>
        <w:t xml:space="preserve">, en el contexto de la institución de un registro único de beneficiarios (RUB), y la recertificación de sus beneficiarios. Se espera que la revisión progresiva del padrón aumentará la tasa de cobertura de los pobres extremos de 48% (valor base en 2013) a 80% en 2019. El indicador de cobertura es incluido cómo resultado en la matriz de resultados de la operación. El análisis económico considera los impactos que derivan de este resultado. Más específicamente, se espera que los pobres extremos beneficiarios de la </w:t>
      </w:r>
      <w:proofErr w:type="spellStart"/>
      <w:r w:rsidRPr="00B17613">
        <w:rPr>
          <w:rFonts w:ascii="Arial" w:eastAsia="Times New Roman" w:hAnsi="Arial" w:cs="Arial"/>
          <w:szCs w:val="24"/>
        </w:rPr>
        <w:t>RdO</w:t>
      </w:r>
      <w:proofErr w:type="spellEnd"/>
      <w:r w:rsidRPr="00B17613">
        <w:rPr>
          <w:rFonts w:ascii="Arial" w:eastAsia="Times New Roman" w:hAnsi="Arial" w:cs="Arial"/>
          <w:szCs w:val="24"/>
        </w:rPr>
        <w:t xml:space="preserve"> aumenten el número de años de escolarización (o sea, se queden más tiempo y progresen más en la escuela) y consecuentemente logren mayores ingresos laborales durante su adultez. El análisis económico presentado en la sección 4 compara el valor actualizado de estos beneficios con el costo de</w:t>
      </w:r>
      <w:r w:rsidR="00875B7C" w:rsidRPr="00B17613">
        <w:rPr>
          <w:rFonts w:ascii="Arial" w:eastAsia="Times New Roman" w:hAnsi="Arial" w:cs="Arial"/>
          <w:szCs w:val="24"/>
        </w:rPr>
        <w:t xml:space="preserve"> establecer un RUB y</w:t>
      </w:r>
      <w:r w:rsidRPr="00B17613">
        <w:rPr>
          <w:rFonts w:ascii="Arial" w:eastAsia="Times New Roman" w:hAnsi="Arial" w:cs="Arial"/>
          <w:szCs w:val="24"/>
        </w:rPr>
        <w:t xml:space="preserve"> modificar la focalizaci</w:t>
      </w:r>
      <w:r w:rsidR="00875B7C" w:rsidRPr="00B17613">
        <w:rPr>
          <w:rFonts w:ascii="Arial" w:eastAsia="Times New Roman" w:hAnsi="Arial" w:cs="Arial"/>
          <w:szCs w:val="24"/>
        </w:rPr>
        <w:t>ón por medio de un proceso de recertificación.</w:t>
      </w:r>
    </w:p>
    <w:p w14:paraId="33487672" w14:textId="77777777" w:rsidR="002668C6" w:rsidRPr="00B17613" w:rsidRDefault="002668C6" w:rsidP="002668C6">
      <w:pPr>
        <w:pStyle w:val="Heading1"/>
        <w:numPr>
          <w:ilvl w:val="0"/>
          <w:numId w:val="13"/>
        </w:numPr>
        <w:spacing w:before="120" w:after="120" w:line="240" w:lineRule="auto"/>
        <w:jc w:val="both"/>
        <w:rPr>
          <w:rFonts w:ascii="Arial" w:hAnsi="Arial" w:cs="Arial"/>
          <w:color w:val="auto"/>
          <w:sz w:val="22"/>
          <w:szCs w:val="24"/>
          <w:u w:val="single"/>
        </w:rPr>
      </w:pPr>
      <w:r w:rsidRPr="00B17613">
        <w:rPr>
          <w:rFonts w:ascii="Arial" w:hAnsi="Arial" w:cs="Arial"/>
          <w:color w:val="auto"/>
          <w:sz w:val="22"/>
          <w:szCs w:val="24"/>
          <w:u w:val="single"/>
        </w:rPr>
        <w:t>Análisis económico de la implementación de estándares de calidad de la atención integral para niños atendidos en los COIF</w:t>
      </w:r>
    </w:p>
    <w:p w14:paraId="33487673" w14:textId="77777777" w:rsidR="00BF233E" w:rsidRPr="00B17613" w:rsidRDefault="00D24569" w:rsidP="003376DE">
      <w:pPr>
        <w:spacing w:before="120" w:after="120" w:line="240" w:lineRule="auto"/>
        <w:jc w:val="both"/>
        <w:rPr>
          <w:rFonts w:ascii="Arial" w:eastAsia="Times New Roman" w:hAnsi="Arial" w:cs="Arial"/>
          <w:szCs w:val="24"/>
        </w:rPr>
      </w:pPr>
      <w:r w:rsidRPr="00B17613">
        <w:rPr>
          <w:rFonts w:ascii="Arial" w:eastAsia="Times New Roman" w:hAnsi="Arial" w:cs="Arial"/>
          <w:szCs w:val="24"/>
        </w:rPr>
        <w:t xml:space="preserve">“La evidencia muestra que el desarrollo en la primera infancia es maleable y que las inversiones en esta etapa afectan positivamente la trayectoria de largo plazo de los niños (para Estados Unidos, ver </w:t>
      </w:r>
      <w:proofErr w:type="spellStart"/>
      <w:r w:rsidRPr="00B17613">
        <w:rPr>
          <w:rFonts w:ascii="Arial" w:eastAsia="Times New Roman" w:hAnsi="Arial" w:cs="Arial"/>
          <w:szCs w:val="24"/>
        </w:rPr>
        <w:t>Almond</w:t>
      </w:r>
      <w:proofErr w:type="spellEnd"/>
      <w:r w:rsidRPr="00B17613">
        <w:rPr>
          <w:rFonts w:ascii="Arial" w:eastAsia="Times New Roman" w:hAnsi="Arial" w:cs="Arial"/>
          <w:szCs w:val="24"/>
        </w:rPr>
        <w:t xml:space="preserve"> y </w:t>
      </w:r>
      <w:proofErr w:type="spellStart"/>
      <w:r w:rsidRPr="00B17613">
        <w:rPr>
          <w:rFonts w:ascii="Arial" w:eastAsia="Times New Roman" w:hAnsi="Arial" w:cs="Arial"/>
          <w:szCs w:val="24"/>
        </w:rPr>
        <w:t>Currie</w:t>
      </w:r>
      <w:proofErr w:type="spellEnd"/>
      <w:r w:rsidRPr="00B17613">
        <w:rPr>
          <w:rFonts w:ascii="Arial" w:eastAsia="Times New Roman" w:hAnsi="Arial" w:cs="Arial"/>
          <w:szCs w:val="24"/>
        </w:rPr>
        <w:t xml:space="preserve">, 2011 y Cunha et al., 2006; para países en desarrollo, </w:t>
      </w:r>
      <w:proofErr w:type="spellStart"/>
      <w:r w:rsidRPr="00B17613">
        <w:rPr>
          <w:rFonts w:ascii="Arial" w:eastAsia="Times New Roman" w:hAnsi="Arial" w:cs="Arial"/>
          <w:szCs w:val="24"/>
        </w:rPr>
        <w:t>Engle</w:t>
      </w:r>
      <w:proofErr w:type="spellEnd"/>
      <w:r w:rsidRPr="00B17613">
        <w:rPr>
          <w:rFonts w:ascii="Arial" w:eastAsia="Times New Roman" w:hAnsi="Arial" w:cs="Arial"/>
          <w:szCs w:val="24"/>
        </w:rPr>
        <w:t xml:space="preserve"> et al., 2007 y 2011; </w:t>
      </w:r>
      <w:proofErr w:type="spellStart"/>
      <w:r w:rsidRPr="00B17613">
        <w:rPr>
          <w:rFonts w:ascii="Arial" w:eastAsia="Times New Roman" w:hAnsi="Arial" w:cs="Arial"/>
          <w:szCs w:val="24"/>
        </w:rPr>
        <w:t>Behrman</w:t>
      </w:r>
      <w:proofErr w:type="spellEnd"/>
      <w:r w:rsidRPr="00B17613">
        <w:rPr>
          <w:rFonts w:ascii="Arial" w:eastAsia="Times New Roman" w:hAnsi="Arial" w:cs="Arial"/>
          <w:szCs w:val="24"/>
        </w:rPr>
        <w:t xml:space="preserve"> et al., 2013).</w:t>
      </w:r>
      <w:r w:rsidR="00BF233E" w:rsidRPr="00B17613">
        <w:rPr>
          <w:rFonts w:ascii="Arial" w:eastAsia="Times New Roman" w:hAnsi="Arial" w:cs="Arial"/>
          <w:szCs w:val="24"/>
        </w:rPr>
        <w:t>”</w:t>
      </w:r>
      <w:r w:rsidR="00BF233E" w:rsidRPr="00B17613">
        <w:rPr>
          <w:rStyle w:val="FootnoteReference"/>
          <w:rFonts w:ascii="Arial" w:eastAsia="Times New Roman" w:hAnsi="Arial" w:cs="Arial"/>
          <w:szCs w:val="24"/>
        </w:rPr>
        <w:footnoteReference w:id="2"/>
      </w:r>
      <w:r w:rsidRPr="00B17613">
        <w:rPr>
          <w:rFonts w:ascii="Arial" w:eastAsia="Times New Roman" w:hAnsi="Arial" w:cs="Arial"/>
          <w:szCs w:val="24"/>
        </w:rPr>
        <w:t xml:space="preserve"> </w:t>
      </w:r>
      <w:r w:rsidR="00BF233E" w:rsidRPr="00B17613">
        <w:rPr>
          <w:rFonts w:ascii="Arial" w:eastAsia="Times New Roman" w:hAnsi="Arial" w:cs="Arial"/>
          <w:szCs w:val="24"/>
        </w:rPr>
        <w:t xml:space="preserve">“Estudios longitudinales de Estados Unidos, Nueva Zelanda, Jamaica y Guatemala muestran que niños con </w:t>
      </w:r>
      <w:r w:rsidR="00BF233E" w:rsidRPr="00B17613">
        <w:rPr>
          <w:rFonts w:ascii="Arial" w:eastAsia="Times New Roman" w:hAnsi="Arial" w:cs="Arial"/>
          <w:szCs w:val="24"/>
        </w:rPr>
        <w:lastRenderedPageBreak/>
        <w:t xml:space="preserve">mejor estatus nutricional y niveles apropiados de desarrollo cognitivo y socioemocionales en edad temprana completan más años de escolaridad, logran mejores resultados en pruebas de lenguaje y matemática, tienen más baja probabilidad de participar en actividades criminales en la adultez y gañan mejores ingresos laborales. Por esto, el premio nobel de la economía James </w:t>
      </w:r>
      <w:proofErr w:type="spellStart"/>
      <w:r w:rsidR="00BF233E" w:rsidRPr="00B17613">
        <w:rPr>
          <w:rFonts w:ascii="Arial" w:eastAsia="Times New Roman" w:hAnsi="Arial" w:cs="Arial"/>
          <w:szCs w:val="24"/>
        </w:rPr>
        <w:t>Heckman</w:t>
      </w:r>
      <w:proofErr w:type="spellEnd"/>
      <w:r w:rsidR="00BF233E" w:rsidRPr="00B17613">
        <w:rPr>
          <w:rFonts w:ascii="Arial" w:eastAsia="Times New Roman" w:hAnsi="Arial" w:cs="Arial"/>
          <w:szCs w:val="24"/>
        </w:rPr>
        <w:t xml:space="preserve"> concluye que las inversiones en la infancia temprana logran retornos muchos más altos de las intervenciones en etapas más tardías del ciclo de vida.”</w:t>
      </w:r>
      <w:r w:rsidR="00FF63D8" w:rsidRPr="00B17613">
        <w:rPr>
          <w:rStyle w:val="FootnoteReference"/>
          <w:rFonts w:ascii="Arial" w:eastAsia="Times New Roman" w:hAnsi="Arial" w:cs="Arial"/>
          <w:szCs w:val="24"/>
        </w:rPr>
        <w:footnoteReference w:id="3"/>
      </w:r>
    </w:p>
    <w:p w14:paraId="33487674" w14:textId="77777777" w:rsidR="00E81833" w:rsidRPr="00B17613" w:rsidRDefault="00E81833" w:rsidP="00EB65BD">
      <w:pPr>
        <w:spacing w:before="120" w:after="120" w:line="240" w:lineRule="auto"/>
        <w:jc w:val="both"/>
        <w:rPr>
          <w:rFonts w:ascii="Arial" w:eastAsia="Times New Roman" w:hAnsi="Arial" w:cs="Arial"/>
          <w:szCs w:val="24"/>
        </w:rPr>
      </w:pPr>
      <w:r w:rsidRPr="00B17613">
        <w:rPr>
          <w:rFonts w:ascii="Arial" w:eastAsia="Times New Roman" w:hAnsi="Arial" w:cs="Arial"/>
          <w:i/>
          <w:szCs w:val="24"/>
        </w:rPr>
        <w:t xml:space="preserve">Costos. </w:t>
      </w:r>
      <w:r w:rsidR="002E3EE4" w:rsidRPr="00B17613">
        <w:rPr>
          <w:rFonts w:ascii="Arial" w:eastAsia="Times New Roman" w:hAnsi="Arial" w:cs="Arial"/>
          <w:szCs w:val="24"/>
        </w:rPr>
        <w:t xml:space="preserve">Lamentablemente no existen datos en ningún país de la región ni siquiera </w:t>
      </w:r>
      <w:proofErr w:type="gramStart"/>
      <w:r w:rsidR="002E3EE4" w:rsidRPr="00B17613">
        <w:rPr>
          <w:rFonts w:ascii="Arial" w:eastAsia="Times New Roman" w:hAnsi="Arial" w:cs="Arial"/>
          <w:szCs w:val="24"/>
        </w:rPr>
        <w:t>en relación al</w:t>
      </w:r>
      <w:proofErr w:type="gramEnd"/>
      <w:r w:rsidR="002E3EE4" w:rsidRPr="00B17613">
        <w:rPr>
          <w:rFonts w:ascii="Arial" w:eastAsia="Times New Roman" w:hAnsi="Arial" w:cs="Arial"/>
          <w:szCs w:val="24"/>
        </w:rPr>
        <w:t xml:space="preserve"> costo de proveer servicios de cuidado infantil en centros, y mucho menos en cuanto a cuánto cuesta implementar los estándares de calidad. Es por esto </w:t>
      </w:r>
      <w:proofErr w:type="gramStart"/>
      <w:r w:rsidR="002E3EE4" w:rsidRPr="00B17613">
        <w:rPr>
          <w:rFonts w:ascii="Arial" w:eastAsia="Times New Roman" w:hAnsi="Arial" w:cs="Arial"/>
          <w:szCs w:val="24"/>
        </w:rPr>
        <w:t>que</w:t>
      </w:r>
      <w:proofErr w:type="gramEnd"/>
      <w:r w:rsidR="002E3EE4" w:rsidRPr="00B17613">
        <w:rPr>
          <w:rFonts w:ascii="Arial" w:eastAsia="Times New Roman" w:hAnsi="Arial" w:cs="Arial"/>
          <w:szCs w:val="24"/>
        </w:rPr>
        <w:t xml:space="preserve"> los datos con los que cuenta el equipo del BID (para Colombia, Guatemala y Chile solamente) provienen de un esfuerzo de realizar simulaciones en el contexto de la publicación del informe </w:t>
      </w:r>
      <w:r w:rsidR="002E3EE4" w:rsidRPr="00277B82">
        <w:rPr>
          <w:rFonts w:ascii="Arial" w:eastAsia="Times New Roman" w:hAnsi="Arial" w:cs="Arial"/>
          <w:i/>
          <w:szCs w:val="24"/>
        </w:rPr>
        <w:t xml:space="preserve">Development in the </w:t>
      </w:r>
      <w:proofErr w:type="spellStart"/>
      <w:r w:rsidR="002E3EE4" w:rsidRPr="00277B82">
        <w:rPr>
          <w:rFonts w:ascii="Arial" w:eastAsia="Times New Roman" w:hAnsi="Arial" w:cs="Arial"/>
          <w:i/>
          <w:szCs w:val="24"/>
        </w:rPr>
        <w:t>Americas</w:t>
      </w:r>
      <w:proofErr w:type="spellEnd"/>
      <w:r w:rsidR="002E3EE4" w:rsidRPr="00B17613">
        <w:rPr>
          <w:rFonts w:ascii="Arial" w:eastAsia="Times New Roman" w:hAnsi="Arial" w:cs="Arial"/>
          <w:szCs w:val="24"/>
        </w:rPr>
        <w:t xml:space="preserve"> 2015 </w:t>
      </w:r>
      <w:r w:rsidR="00D71E81">
        <w:rPr>
          <w:rFonts w:ascii="Arial" w:eastAsia="Times New Roman" w:hAnsi="Arial" w:cs="Arial"/>
          <w:szCs w:val="24"/>
        </w:rPr>
        <w:t xml:space="preserve">(Araujo </w:t>
      </w:r>
      <w:r w:rsidR="00D71E81" w:rsidRPr="00D71E81">
        <w:rPr>
          <w:rFonts w:ascii="Arial" w:eastAsia="Times New Roman" w:hAnsi="Arial" w:cs="Arial"/>
          <w:i/>
          <w:szCs w:val="24"/>
        </w:rPr>
        <w:t>et al.</w:t>
      </w:r>
      <w:r w:rsidR="00D71E81">
        <w:rPr>
          <w:rFonts w:ascii="Arial" w:eastAsia="Times New Roman" w:hAnsi="Arial" w:cs="Arial"/>
          <w:szCs w:val="24"/>
        </w:rPr>
        <w:t xml:space="preserve"> 2015)</w:t>
      </w:r>
      <w:r w:rsidR="002E3EE4" w:rsidRPr="00B17613">
        <w:rPr>
          <w:rFonts w:ascii="Arial" w:eastAsia="Times New Roman" w:hAnsi="Arial" w:cs="Arial"/>
          <w:szCs w:val="24"/>
        </w:rPr>
        <w:t>. En este contexto, se calculan parámetros de un programa de cuidado infantil de alta y baja calidad (con el de alta calidad que asume que se cumplen con todos los estándares</w:t>
      </w:r>
      <w:r w:rsidRPr="00B17613">
        <w:rPr>
          <w:rFonts w:ascii="Arial" w:eastAsia="Times New Roman" w:hAnsi="Arial" w:cs="Arial"/>
          <w:szCs w:val="24"/>
        </w:rPr>
        <w:t xml:space="preserve"> infraestructurales y de proceso</w:t>
      </w:r>
      <w:r w:rsidR="002E3EE4" w:rsidRPr="00B17613">
        <w:rPr>
          <w:rFonts w:ascii="Arial" w:eastAsia="Times New Roman" w:hAnsi="Arial" w:cs="Arial"/>
          <w:szCs w:val="24"/>
        </w:rPr>
        <w:t xml:space="preserve">) siguiendo una metodología en </w:t>
      </w:r>
      <w:r w:rsidRPr="00B17613">
        <w:rPr>
          <w:rFonts w:ascii="Arial" w:eastAsia="Times New Roman" w:hAnsi="Arial" w:cs="Arial"/>
          <w:szCs w:val="24"/>
        </w:rPr>
        <w:t>dos</w:t>
      </w:r>
      <w:r w:rsidR="002E3EE4" w:rsidRPr="00B17613">
        <w:rPr>
          <w:rFonts w:ascii="Arial" w:eastAsia="Times New Roman" w:hAnsi="Arial" w:cs="Arial"/>
          <w:szCs w:val="24"/>
        </w:rPr>
        <w:t xml:space="preserve"> pasos: primero, se revisan características y costos de programas DIT (Bernal 2013, </w:t>
      </w:r>
      <w:proofErr w:type="spellStart"/>
      <w:r w:rsidR="002E3EE4" w:rsidRPr="00B17613">
        <w:rPr>
          <w:rFonts w:ascii="Arial" w:eastAsia="Times New Roman" w:hAnsi="Arial" w:cs="Arial"/>
          <w:szCs w:val="24"/>
        </w:rPr>
        <w:t>Faverio</w:t>
      </w:r>
      <w:proofErr w:type="spellEnd"/>
      <w:r w:rsidR="002E3EE4" w:rsidRPr="00B17613">
        <w:rPr>
          <w:rFonts w:ascii="Arial" w:eastAsia="Times New Roman" w:hAnsi="Arial" w:cs="Arial"/>
          <w:szCs w:val="24"/>
        </w:rPr>
        <w:t xml:space="preserve"> </w:t>
      </w:r>
      <w:r w:rsidR="002E3EE4" w:rsidRPr="00D71E81">
        <w:rPr>
          <w:rFonts w:ascii="Arial" w:eastAsia="Times New Roman" w:hAnsi="Arial" w:cs="Arial"/>
          <w:i/>
          <w:szCs w:val="24"/>
        </w:rPr>
        <w:t>et al.</w:t>
      </w:r>
      <w:r w:rsidR="002E3EE4" w:rsidRPr="00B17613">
        <w:rPr>
          <w:rFonts w:ascii="Arial" w:eastAsia="Times New Roman" w:hAnsi="Arial" w:cs="Arial"/>
          <w:szCs w:val="24"/>
        </w:rPr>
        <w:t xml:space="preserve"> 2013). Segundo, se revisan datos sobre la variabilidad de los parámetros de calidad de programas de DIT (Araujo and Lopez Boo, 2013), tales como cantidad de niños por cuidador, infraestructura, para modelar las características de alta y baja calidad. </w:t>
      </w:r>
      <w:r w:rsidRPr="00B17613">
        <w:rPr>
          <w:rFonts w:ascii="Arial" w:eastAsia="Times New Roman" w:hAnsi="Arial" w:cs="Arial"/>
          <w:szCs w:val="24"/>
        </w:rPr>
        <w:t>En este análisis económico, utilizamos el valor estimado para Colombia ya que es el país que en términos de ingreso y otras característica</w:t>
      </w:r>
      <w:r w:rsidR="009D43FB" w:rsidRPr="00B17613">
        <w:rPr>
          <w:rFonts w:ascii="Arial" w:eastAsia="Times New Roman" w:hAnsi="Arial" w:cs="Arial"/>
          <w:szCs w:val="24"/>
        </w:rPr>
        <w:t>s</w:t>
      </w:r>
      <w:r w:rsidRPr="00B17613">
        <w:rPr>
          <w:rFonts w:ascii="Arial" w:eastAsia="Times New Roman" w:hAnsi="Arial" w:cs="Arial"/>
          <w:szCs w:val="24"/>
        </w:rPr>
        <w:t xml:space="preserve"> se asemeja más a Panamá. Se estima que en este país </w:t>
      </w:r>
      <w:r w:rsidR="00EB65BD" w:rsidRPr="00B17613">
        <w:rPr>
          <w:rFonts w:ascii="Arial" w:eastAsia="Times New Roman" w:hAnsi="Arial" w:cs="Arial"/>
          <w:szCs w:val="24"/>
        </w:rPr>
        <w:t>el costo de pasar de una baja a una alta calidad de oferta de servicios de educación temprana en centros es de US$ 860 por niño por año.</w:t>
      </w:r>
      <w:r w:rsidR="00EB65BD" w:rsidRPr="00B17613">
        <w:rPr>
          <w:rStyle w:val="FootnoteReference"/>
          <w:rFonts w:ascii="Arial" w:eastAsia="Times New Roman" w:hAnsi="Arial" w:cs="Arial"/>
          <w:szCs w:val="24"/>
        </w:rPr>
        <w:footnoteReference w:id="4"/>
      </w:r>
      <w:r w:rsidR="00EB65BD" w:rsidRPr="00B17613">
        <w:rPr>
          <w:rFonts w:ascii="Arial" w:eastAsia="Times New Roman" w:hAnsi="Arial" w:cs="Arial"/>
          <w:szCs w:val="24"/>
        </w:rPr>
        <w:t xml:space="preserve"> </w:t>
      </w:r>
    </w:p>
    <w:p w14:paraId="33487675" w14:textId="77777777" w:rsidR="00BF233E" w:rsidRPr="00B17613" w:rsidRDefault="00E81833" w:rsidP="00EB65BD">
      <w:pPr>
        <w:spacing w:before="120" w:after="120" w:line="240" w:lineRule="auto"/>
        <w:jc w:val="both"/>
        <w:rPr>
          <w:rFonts w:ascii="Arial" w:eastAsia="Times New Roman" w:hAnsi="Arial" w:cs="Arial"/>
          <w:szCs w:val="24"/>
        </w:rPr>
      </w:pPr>
      <w:r w:rsidRPr="00B17613">
        <w:rPr>
          <w:rFonts w:ascii="Arial" w:eastAsia="Times New Roman" w:hAnsi="Arial" w:cs="Arial"/>
          <w:i/>
          <w:szCs w:val="24"/>
        </w:rPr>
        <w:t xml:space="preserve">Beneficios. </w:t>
      </w:r>
      <w:r w:rsidR="00EB65BD" w:rsidRPr="00B17613">
        <w:rPr>
          <w:rFonts w:ascii="Arial" w:eastAsia="Times New Roman" w:hAnsi="Arial" w:cs="Arial"/>
          <w:szCs w:val="24"/>
        </w:rPr>
        <w:t>Siguiendo las estimaciones de</w:t>
      </w:r>
      <w:r w:rsidR="00250E01" w:rsidRPr="00B17613">
        <w:rPr>
          <w:rFonts w:ascii="Arial" w:hAnsi="Arial" w:cs="Arial"/>
          <w:sz w:val="20"/>
        </w:rPr>
        <w:t xml:space="preserve"> </w:t>
      </w:r>
      <w:proofErr w:type="spellStart"/>
      <w:r w:rsidR="00250E01" w:rsidRPr="00B17613">
        <w:rPr>
          <w:rFonts w:ascii="Arial" w:eastAsia="Times New Roman" w:hAnsi="Arial" w:cs="Arial"/>
          <w:szCs w:val="24"/>
        </w:rPr>
        <w:t>Belfield</w:t>
      </w:r>
      <w:proofErr w:type="spellEnd"/>
      <w:r w:rsidR="00250E01" w:rsidRPr="00B17613">
        <w:rPr>
          <w:rFonts w:ascii="Arial" w:eastAsia="Times New Roman" w:hAnsi="Arial" w:cs="Arial"/>
          <w:szCs w:val="24"/>
        </w:rPr>
        <w:t xml:space="preserve"> </w:t>
      </w:r>
      <w:r w:rsidR="00250E01" w:rsidRPr="00B17613">
        <w:rPr>
          <w:rFonts w:ascii="Arial" w:eastAsia="Times New Roman" w:hAnsi="Arial" w:cs="Arial"/>
          <w:i/>
          <w:szCs w:val="24"/>
        </w:rPr>
        <w:t>et al.</w:t>
      </w:r>
      <w:r w:rsidR="00250E01" w:rsidRPr="00B17613">
        <w:rPr>
          <w:rFonts w:ascii="Arial" w:eastAsia="Times New Roman" w:hAnsi="Arial" w:cs="Arial"/>
          <w:szCs w:val="24"/>
        </w:rPr>
        <w:t xml:space="preserve"> (2006)</w:t>
      </w:r>
      <w:r w:rsidR="00EB65BD" w:rsidRPr="00B17613">
        <w:rPr>
          <w:rFonts w:ascii="Arial" w:eastAsia="Times New Roman" w:hAnsi="Arial" w:cs="Arial"/>
          <w:szCs w:val="24"/>
        </w:rPr>
        <w:t xml:space="preserve">, asumimos que el recibir educación temprana de calidad aumenta en 28% los </w:t>
      </w:r>
      <w:proofErr w:type="gramStart"/>
      <w:r w:rsidR="00EB65BD" w:rsidRPr="00B17613">
        <w:rPr>
          <w:rFonts w:ascii="Arial" w:eastAsia="Times New Roman" w:hAnsi="Arial" w:cs="Arial"/>
          <w:szCs w:val="24"/>
        </w:rPr>
        <w:t>ingreso laborales</w:t>
      </w:r>
      <w:proofErr w:type="gramEnd"/>
      <w:r w:rsidR="00EB65BD" w:rsidRPr="00B17613">
        <w:rPr>
          <w:rFonts w:ascii="Arial" w:eastAsia="Times New Roman" w:hAnsi="Arial" w:cs="Arial"/>
          <w:szCs w:val="24"/>
        </w:rPr>
        <w:t xml:space="preserve"> en edad adulta</w:t>
      </w:r>
      <w:r w:rsidR="00D0734F" w:rsidRPr="00B17613">
        <w:rPr>
          <w:rStyle w:val="FootnoteReference"/>
          <w:rFonts w:ascii="Arial" w:eastAsia="Times New Roman" w:hAnsi="Arial" w:cs="Arial"/>
          <w:szCs w:val="24"/>
        </w:rPr>
        <w:footnoteReference w:id="5"/>
      </w:r>
      <w:r w:rsidR="00545471" w:rsidRPr="00B17613">
        <w:rPr>
          <w:rFonts w:ascii="Arial" w:eastAsia="Times New Roman" w:hAnsi="Arial" w:cs="Arial"/>
          <w:szCs w:val="24"/>
        </w:rPr>
        <w:t>.</w:t>
      </w:r>
      <w:r w:rsidR="00EB65BD" w:rsidRPr="00B17613">
        <w:rPr>
          <w:rFonts w:ascii="Arial" w:eastAsia="Times New Roman" w:hAnsi="Arial" w:cs="Arial"/>
          <w:szCs w:val="24"/>
        </w:rPr>
        <w:t xml:space="preserve"> Aplicamos este retorno a un ingreso laboral promedio de US$250 por mes, que es el ingreso promedio de jóvenes adultos (entre 25 y 30 </w:t>
      </w:r>
      <w:proofErr w:type="gramStart"/>
      <w:r w:rsidR="00EB65BD" w:rsidRPr="00B17613">
        <w:rPr>
          <w:rFonts w:ascii="Arial" w:eastAsia="Times New Roman" w:hAnsi="Arial" w:cs="Arial"/>
          <w:szCs w:val="24"/>
        </w:rPr>
        <w:t>años de edad</w:t>
      </w:r>
      <w:proofErr w:type="gramEnd"/>
      <w:r w:rsidR="00EB65BD" w:rsidRPr="00B17613">
        <w:rPr>
          <w:rFonts w:ascii="Arial" w:eastAsia="Times New Roman" w:hAnsi="Arial" w:cs="Arial"/>
          <w:szCs w:val="24"/>
        </w:rPr>
        <w:t xml:space="preserve">) con </w:t>
      </w:r>
      <w:r w:rsidR="00545471" w:rsidRPr="00B17613">
        <w:rPr>
          <w:rFonts w:ascii="Arial" w:eastAsia="Times New Roman" w:hAnsi="Arial" w:cs="Arial"/>
          <w:szCs w:val="24"/>
        </w:rPr>
        <w:t>nueve</w:t>
      </w:r>
      <w:r w:rsidR="00EB65BD" w:rsidRPr="00B17613">
        <w:rPr>
          <w:rFonts w:ascii="Arial" w:eastAsia="Times New Roman" w:hAnsi="Arial" w:cs="Arial"/>
          <w:szCs w:val="24"/>
        </w:rPr>
        <w:t xml:space="preserve"> años de escolaridad. Este es el nivel de escolaridad promedia entre los pobres en este grupo de edad. El valor de US$250 es un promedio </w:t>
      </w:r>
      <w:r w:rsidR="000D7978" w:rsidRPr="00B17613">
        <w:rPr>
          <w:rFonts w:ascii="Arial" w:eastAsia="Times New Roman" w:hAnsi="Arial" w:cs="Arial"/>
          <w:szCs w:val="24"/>
        </w:rPr>
        <w:t xml:space="preserve">que </w:t>
      </w:r>
      <w:r w:rsidR="00D0734F" w:rsidRPr="00B17613">
        <w:rPr>
          <w:rFonts w:ascii="Arial" w:eastAsia="Times New Roman" w:hAnsi="Arial" w:cs="Arial"/>
          <w:szCs w:val="24"/>
        </w:rPr>
        <w:t>incorpora la probabilidad de ser empleado, o sea calculado con base en</w:t>
      </w:r>
      <w:r w:rsidR="00EB65BD" w:rsidRPr="00B17613">
        <w:rPr>
          <w:rFonts w:ascii="Arial" w:eastAsia="Times New Roman" w:hAnsi="Arial" w:cs="Arial"/>
          <w:szCs w:val="24"/>
        </w:rPr>
        <w:t xml:space="preserve"> todos los individuos</w:t>
      </w:r>
      <w:r w:rsidR="00D0734F" w:rsidRPr="00B17613">
        <w:rPr>
          <w:rFonts w:ascii="Arial" w:eastAsia="Times New Roman" w:hAnsi="Arial" w:cs="Arial"/>
          <w:szCs w:val="24"/>
        </w:rPr>
        <w:t xml:space="preserve"> (los que trabajan y los que no trabajan)</w:t>
      </w:r>
      <w:r w:rsidR="00EB65BD" w:rsidRPr="00B17613">
        <w:rPr>
          <w:rFonts w:ascii="Arial" w:eastAsia="Times New Roman" w:hAnsi="Arial" w:cs="Arial"/>
          <w:szCs w:val="24"/>
        </w:rPr>
        <w:t>.</w:t>
      </w:r>
    </w:p>
    <w:p w14:paraId="33487676" w14:textId="77777777" w:rsidR="005D3D59" w:rsidRPr="00B17613" w:rsidRDefault="005D3D59" w:rsidP="00EB65BD">
      <w:pPr>
        <w:spacing w:before="120" w:after="120" w:line="240" w:lineRule="auto"/>
        <w:jc w:val="both"/>
        <w:rPr>
          <w:rFonts w:ascii="Arial" w:eastAsia="Times New Roman" w:hAnsi="Arial" w:cs="Arial"/>
          <w:szCs w:val="24"/>
        </w:rPr>
      </w:pPr>
      <w:r w:rsidRPr="00B17613">
        <w:rPr>
          <w:rFonts w:ascii="Arial" w:eastAsia="Times New Roman" w:hAnsi="Arial" w:cs="Arial"/>
          <w:szCs w:val="24"/>
        </w:rPr>
        <w:t xml:space="preserve">Asumimos que cada niño beneficiario de los servicios de COIF reciba servicios de educación temprana en los primeros 4 años de vida, y trabaje entre los 18 y 64 </w:t>
      </w:r>
      <w:proofErr w:type="gramStart"/>
      <w:r w:rsidRPr="00B17613">
        <w:rPr>
          <w:rFonts w:ascii="Arial" w:eastAsia="Times New Roman" w:hAnsi="Arial" w:cs="Arial"/>
          <w:szCs w:val="24"/>
        </w:rPr>
        <w:t>años de edad</w:t>
      </w:r>
      <w:proofErr w:type="gramEnd"/>
      <w:r w:rsidRPr="00B17613">
        <w:rPr>
          <w:rFonts w:ascii="Arial" w:eastAsia="Times New Roman" w:hAnsi="Arial" w:cs="Arial"/>
          <w:szCs w:val="24"/>
        </w:rPr>
        <w:t>. Actualmente, hay 4.000 niños que atienden los COIF.</w:t>
      </w:r>
      <w:r w:rsidR="001B1992" w:rsidRPr="00B17613">
        <w:rPr>
          <w:rFonts w:ascii="Arial" w:eastAsia="Times New Roman" w:hAnsi="Arial" w:cs="Arial"/>
          <w:szCs w:val="24"/>
        </w:rPr>
        <w:t xml:space="preserve"> El </w:t>
      </w:r>
      <w:r w:rsidR="0054459B" w:rsidRPr="00B17613">
        <w:rPr>
          <w:rFonts w:ascii="Arial" w:eastAsia="Times New Roman" w:hAnsi="Arial" w:cs="Arial"/>
          <w:szCs w:val="24"/>
        </w:rPr>
        <w:t>VPN</w:t>
      </w:r>
      <w:r w:rsidR="001B1992" w:rsidRPr="00B17613">
        <w:rPr>
          <w:rFonts w:ascii="Arial" w:eastAsia="Times New Roman" w:hAnsi="Arial" w:cs="Arial"/>
          <w:szCs w:val="24"/>
        </w:rPr>
        <w:t xml:space="preserve"> de este componente del proyecto se calcula cómo sigue:</w:t>
      </w:r>
    </w:p>
    <w:p w14:paraId="33487677" w14:textId="77777777" w:rsidR="000D7978" w:rsidRPr="00B17613" w:rsidRDefault="00A44365" w:rsidP="00EB65BD">
      <w:pPr>
        <w:pStyle w:val="ListParagraph"/>
        <w:numPr>
          <w:ilvl w:val="0"/>
          <w:numId w:val="24"/>
        </w:numPr>
        <w:spacing w:before="120" w:after="120" w:line="240" w:lineRule="auto"/>
        <w:jc w:val="both"/>
        <w:rPr>
          <w:rFonts w:ascii="Arial" w:eastAsia="Times New Roman" w:hAnsi="Arial" w:cs="Arial"/>
          <w:sz w:val="20"/>
        </w:rPr>
      </w:pPr>
      <w:r w:rsidRPr="00B17613">
        <w:rPr>
          <w:rFonts w:ascii="Arial" w:eastAsia="Times New Roman" w:hAnsi="Arial" w:cs="Arial"/>
          <w:szCs w:val="24"/>
        </w:rPr>
        <w:t xml:space="preserve">       </w:t>
      </w:r>
      <m:oMath>
        <m:sSup>
          <m:sSupPr>
            <m:ctrlPr>
              <w:rPr>
                <w:rFonts w:ascii="Cambria Math" w:hAnsi="Cambria Math" w:cs="Arial"/>
                <w:i/>
                <w:sz w:val="20"/>
              </w:rPr>
            </m:ctrlPr>
          </m:sSupPr>
          <m:e>
            <m:r>
              <w:rPr>
                <w:rFonts w:ascii="Cambria Math" w:hAnsi="Cambria Math" w:cs="Arial"/>
                <w:sz w:val="20"/>
              </w:rPr>
              <m:t>VPN</m:t>
            </m:r>
          </m:e>
          <m:sup>
            <m:r>
              <w:rPr>
                <w:rFonts w:ascii="Cambria Math" w:hAnsi="Cambria Math" w:cs="Arial"/>
                <w:sz w:val="20"/>
              </w:rPr>
              <m:t>DIT</m:t>
            </m:r>
          </m:sup>
        </m:sSup>
        <m:r>
          <w:rPr>
            <w:rFonts w:ascii="Cambria Math" w:hAnsi="Cambria Math" w:cs="Arial"/>
            <w:sz w:val="20"/>
          </w:rPr>
          <m:t>=N*</m:t>
        </m:r>
        <m:d>
          <m:dPr>
            <m:ctrlPr>
              <w:rPr>
                <w:rFonts w:ascii="Cambria Math" w:hAnsi="Cambria Math" w:cs="Arial"/>
                <w:i/>
                <w:sz w:val="20"/>
              </w:rPr>
            </m:ctrlPr>
          </m:dPr>
          <m:e>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t=1</m:t>
                </m:r>
              </m:sub>
              <m:sup>
                <m:r>
                  <w:rPr>
                    <w:rFonts w:ascii="Cambria Math" w:hAnsi="Cambria Math" w:cs="Arial"/>
                    <w:sz w:val="20"/>
                  </w:rPr>
                  <m:t>4</m:t>
                </m:r>
              </m:sup>
              <m:e>
                <m:f>
                  <m:fPr>
                    <m:ctrlPr>
                      <w:rPr>
                        <w:rFonts w:ascii="Cambria Math" w:hAnsi="Cambria Math" w:cs="Arial"/>
                        <w:i/>
                        <w:sz w:val="20"/>
                      </w:rPr>
                    </m:ctrlPr>
                  </m:fPr>
                  <m:num>
                    <m:r>
                      <w:rPr>
                        <w:rFonts w:ascii="Cambria Math" w:hAnsi="Cambria Math" w:cs="Arial"/>
                        <w:sz w:val="20"/>
                      </w:rPr>
                      <m:t>C</m:t>
                    </m:r>
                  </m:num>
                  <m:den>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Arial"/>
                                <w:sz w:val="20"/>
                              </w:rPr>
                              <m:t>1+r</m:t>
                            </m:r>
                          </m:e>
                        </m:d>
                      </m:e>
                      <m:sup>
                        <m:r>
                          <w:rPr>
                            <w:rFonts w:ascii="Cambria Math" w:hAnsi="Cambria Math" w:cs="Arial"/>
                            <w:sz w:val="20"/>
                          </w:rPr>
                          <m:t>t</m:t>
                        </m:r>
                      </m:sup>
                    </m:sSup>
                  </m:den>
                </m:f>
              </m:e>
            </m:nary>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t=18</m:t>
                </m:r>
              </m:sub>
              <m:sup>
                <m:r>
                  <w:rPr>
                    <w:rFonts w:ascii="Cambria Math" w:hAnsi="Cambria Math" w:cs="Arial"/>
                    <w:sz w:val="20"/>
                  </w:rPr>
                  <m:t>64</m:t>
                </m:r>
              </m:sup>
              <m:e>
                <m:f>
                  <m:fPr>
                    <m:ctrlPr>
                      <w:rPr>
                        <w:rFonts w:ascii="Cambria Math" w:hAnsi="Cambria Math" w:cs="Arial"/>
                        <w:i/>
                        <w:sz w:val="20"/>
                      </w:rPr>
                    </m:ctrlPr>
                  </m:fPr>
                  <m:num>
                    <m:r>
                      <w:rPr>
                        <w:rFonts w:ascii="Cambria Math" w:hAnsi="Cambria Math" w:cs="Arial"/>
                        <w:sz w:val="20"/>
                      </w:rPr>
                      <m:t>w*R1</m:t>
                    </m:r>
                  </m:num>
                  <m:den>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Arial"/>
                                <w:sz w:val="20"/>
                              </w:rPr>
                              <m:t>1+r</m:t>
                            </m:r>
                          </m:e>
                        </m:d>
                      </m:e>
                      <m:sup>
                        <m:r>
                          <w:rPr>
                            <w:rFonts w:ascii="Cambria Math" w:hAnsi="Cambria Math" w:cs="Arial"/>
                            <w:sz w:val="20"/>
                          </w:rPr>
                          <m:t>t</m:t>
                        </m:r>
                      </m:sup>
                    </m:sSup>
                  </m:den>
                </m:f>
              </m:e>
            </m:nary>
          </m:e>
        </m:d>
      </m:oMath>
    </w:p>
    <w:p w14:paraId="33487678" w14:textId="77777777" w:rsidR="001B1992" w:rsidRPr="00B17613" w:rsidRDefault="001B1992" w:rsidP="00EB65BD">
      <w:pPr>
        <w:spacing w:before="120" w:after="120" w:line="240" w:lineRule="auto"/>
        <w:jc w:val="both"/>
        <w:rPr>
          <w:rFonts w:ascii="Arial" w:eastAsia="Times New Roman" w:hAnsi="Arial" w:cs="Arial"/>
          <w:szCs w:val="24"/>
        </w:rPr>
      </w:pPr>
      <m:oMathPara>
        <m:oMath>
          <m:r>
            <w:rPr>
              <w:rFonts w:ascii="Cambria Math" w:hAnsi="Cambria Math" w:cs="Arial"/>
              <w:sz w:val="20"/>
            </w:rPr>
            <m:t>=4000*</m:t>
          </m:r>
          <m:d>
            <m:dPr>
              <m:ctrlPr>
                <w:rPr>
                  <w:rFonts w:ascii="Cambria Math" w:hAnsi="Cambria Math" w:cs="Arial"/>
                  <w:i/>
                  <w:sz w:val="20"/>
                </w:rPr>
              </m:ctrlPr>
            </m:dPr>
            <m:e>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t=1</m:t>
                  </m:r>
                </m:sub>
                <m:sup>
                  <m:r>
                    <w:rPr>
                      <w:rFonts w:ascii="Cambria Math" w:hAnsi="Cambria Math" w:cs="Arial"/>
                      <w:sz w:val="20"/>
                    </w:rPr>
                    <m:t>4</m:t>
                  </m:r>
                </m:sup>
                <m:e>
                  <m:f>
                    <m:fPr>
                      <m:ctrlPr>
                        <w:rPr>
                          <w:rFonts w:ascii="Cambria Math" w:hAnsi="Cambria Math" w:cs="Arial"/>
                          <w:i/>
                          <w:sz w:val="20"/>
                        </w:rPr>
                      </m:ctrlPr>
                    </m:fPr>
                    <m:num>
                      <m:r>
                        <w:rPr>
                          <w:rFonts w:ascii="Cambria Math" w:hAnsi="Cambria Math" w:cs="Arial"/>
                          <w:sz w:val="20"/>
                        </w:rPr>
                        <m:t>860</m:t>
                      </m:r>
                    </m:num>
                    <m:den>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Arial"/>
                                  <w:sz w:val="20"/>
                                </w:rPr>
                                <m:t>1+0.05</m:t>
                              </m:r>
                            </m:e>
                          </m:d>
                        </m:e>
                        <m:sup>
                          <m:r>
                            <w:rPr>
                              <w:rFonts w:ascii="Cambria Math" w:hAnsi="Cambria Math" w:cs="Arial"/>
                              <w:sz w:val="20"/>
                            </w:rPr>
                            <m:t>t</m:t>
                          </m:r>
                        </m:sup>
                      </m:sSup>
                    </m:den>
                  </m:f>
                </m:e>
              </m:nary>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t=18</m:t>
                  </m:r>
                </m:sub>
                <m:sup>
                  <m:r>
                    <w:rPr>
                      <w:rFonts w:ascii="Cambria Math" w:hAnsi="Cambria Math" w:cs="Arial"/>
                      <w:sz w:val="20"/>
                    </w:rPr>
                    <m:t>64</m:t>
                  </m:r>
                </m:sup>
                <m:e>
                  <m:f>
                    <m:fPr>
                      <m:ctrlPr>
                        <w:rPr>
                          <w:rFonts w:ascii="Cambria Math" w:hAnsi="Cambria Math" w:cs="Arial"/>
                          <w:i/>
                          <w:sz w:val="20"/>
                        </w:rPr>
                      </m:ctrlPr>
                    </m:fPr>
                    <m:num>
                      <m:r>
                        <w:rPr>
                          <w:rFonts w:ascii="Cambria Math" w:hAnsi="Cambria Math" w:cs="Arial"/>
                          <w:sz w:val="20"/>
                        </w:rPr>
                        <m:t>3000*0.28</m:t>
                      </m:r>
                    </m:num>
                    <m:den>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Arial"/>
                                  <w:sz w:val="20"/>
                                </w:rPr>
                                <m:t>1+0.05</m:t>
                              </m:r>
                            </m:e>
                          </m:d>
                        </m:e>
                        <m:sup>
                          <m:r>
                            <w:rPr>
                              <w:rFonts w:ascii="Cambria Math" w:hAnsi="Cambria Math" w:cs="Arial"/>
                              <w:sz w:val="20"/>
                            </w:rPr>
                            <m:t>t</m:t>
                          </m:r>
                        </m:sup>
                      </m:sSup>
                    </m:den>
                  </m:f>
                </m:e>
              </m:nary>
            </m:e>
          </m:d>
          <m:r>
            <w:rPr>
              <w:rFonts w:ascii="Cambria Math" w:hAnsi="Cambria Math" w:cs="Arial"/>
              <w:sz w:val="20"/>
            </w:rPr>
            <m:t>=US$ 14,2 millones</m:t>
          </m:r>
        </m:oMath>
      </m:oMathPara>
    </w:p>
    <w:p w14:paraId="33487679" w14:textId="77777777" w:rsidR="00EB65BD" w:rsidRPr="00B17613" w:rsidRDefault="000D7978" w:rsidP="00EB65BD">
      <w:pPr>
        <w:spacing w:before="120" w:after="120" w:line="240" w:lineRule="auto"/>
        <w:jc w:val="both"/>
        <w:rPr>
          <w:rFonts w:ascii="Arial" w:eastAsia="Times New Roman" w:hAnsi="Arial" w:cs="Arial"/>
          <w:szCs w:val="24"/>
        </w:rPr>
      </w:pPr>
      <w:r w:rsidRPr="00B17613">
        <w:rPr>
          <w:rFonts w:ascii="Arial" w:eastAsia="Times New Roman" w:hAnsi="Arial" w:cs="Arial"/>
          <w:szCs w:val="24"/>
        </w:rPr>
        <w:t xml:space="preserve">En que N es el número de niños beneficiarios (4000), C es el costo anual de la implementación de los nuevos estándares de calidad (US$ 860), </w:t>
      </w:r>
      <w:r w:rsidRPr="00B17613">
        <w:rPr>
          <w:rFonts w:ascii="Arial" w:eastAsia="Times New Roman" w:hAnsi="Arial" w:cs="Arial"/>
          <w:i/>
          <w:szCs w:val="24"/>
        </w:rPr>
        <w:t>w</w:t>
      </w:r>
      <w:r w:rsidRPr="00B17613">
        <w:rPr>
          <w:rFonts w:ascii="Arial" w:eastAsia="Times New Roman" w:hAnsi="Arial" w:cs="Arial"/>
          <w:szCs w:val="24"/>
        </w:rPr>
        <w:t xml:space="preserve"> es el ingreso laboral</w:t>
      </w:r>
      <w:r w:rsidR="00906446" w:rsidRPr="00B17613">
        <w:rPr>
          <w:rFonts w:ascii="Arial" w:eastAsia="Times New Roman" w:hAnsi="Arial" w:cs="Arial"/>
          <w:szCs w:val="24"/>
        </w:rPr>
        <w:t xml:space="preserve"> anual</w:t>
      </w:r>
      <w:r w:rsidRPr="00B17613">
        <w:rPr>
          <w:rFonts w:ascii="Arial" w:eastAsia="Times New Roman" w:hAnsi="Arial" w:cs="Arial"/>
          <w:szCs w:val="24"/>
        </w:rPr>
        <w:t xml:space="preserve"> promedio de individuos con 9 años de escolaridad (US$ </w:t>
      </w:r>
      <w:r w:rsidR="00906446" w:rsidRPr="00B17613">
        <w:rPr>
          <w:rFonts w:ascii="Arial" w:eastAsia="Times New Roman" w:hAnsi="Arial" w:cs="Arial"/>
          <w:szCs w:val="24"/>
        </w:rPr>
        <w:t>3000</w:t>
      </w:r>
      <w:r w:rsidRPr="00B17613">
        <w:rPr>
          <w:rFonts w:ascii="Arial" w:eastAsia="Times New Roman" w:hAnsi="Arial" w:cs="Arial"/>
          <w:szCs w:val="24"/>
        </w:rPr>
        <w:t xml:space="preserve">), </w:t>
      </w:r>
      <w:r w:rsidRPr="00B17613">
        <w:rPr>
          <w:rFonts w:ascii="Arial" w:eastAsia="Times New Roman" w:hAnsi="Arial" w:cs="Arial"/>
          <w:i/>
          <w:szCs w:val="24"/>
        </w:rPr>
        <w:t>R</w:t>
      </w:r>
      <w:r w:rsidR="00E12285" w:rsidRPr="00B17613">
        <w:rPr>
          <w:rFonts w:ascii="Arial" w:eastAsia="Times New Roman" w:hAnsi="Arial" w:cs="Arial"/>
          <w:i/>
          <w:szCs w:val="24"/>
        </w:rPr>
        <w:t>1</w:t>
      </w:r>
      <w:r w:rsidRPr="00B17613">
        <w:rPr>
          <w:rFonts w:ascii="Arial" w:eastAsia="Times New Roman" w:hAnsi="Arial" w:cs="Arial"/>
          <w:szCs w:val="24"/>
        </w:rPr>
        <w:t xml:space="preserve"> es el retorno </w:t>
      </w:r>
      <w:r w:rsidRPr="00B17613">
        <w:rPr>
          <w:rFonts w:ascii="Arial" w:eastAsia="Times New Roman" w:hAnsi="Arial" w:cs="Arial"/>
          <w:szCs w:val="24"/>
        </w:rPr>
        <w:lastRenderedPageBreak/>
        <w:t xml:space="preserve">de la inversión en términos de mayores ingresos laborales en la adultez (28%) y </w:t>
      </w:r>
      <w:r w:rsidRPr="00B17613">
        <w:rPr>
          <w:rFonts w:ascii="Arial" w:eastAsia="Times New Roman" w:hAnsi="Arial" w:cs="Arial"/>
          <w:i/>
          <w:szCs w:val="24"/>
        </w:rPr>
        <w:t>r</w:t>
      </w:r>
      <w:r w:rsidRPr="00B17613">
        <w:rPr>
          <w:rFonts w:ascii="Arial" w:eastAsia="Times New Roman" w:hAnsi="Arial" w:cs="Arial"/>
          <w:szCs w:val="24"/>
        </w:rPr>
        <w:t xml:space="preserve"> es la tasa de descuento. </w:t>
      </w:r>
    </w:p>
    <w:p w14:paraId="3348767A" w14:textId="77777777" w:rsidR="00BB728A" w:rsidRPr="00B17613" w:rsidRDefault="00BB728A" w:rsidP="00EB65BD">
      <w:pPr>
        <w:spacing w:before="120" w:after="120" w:line="240" w:lineRule="auto"/>
        <w:jc w:val="both"/>
        <w:rPr>
          <w:rFonts w:ascii="Arial" w:eastAsia="Times New Roman" w:hAnsi="Arial" w:cs="Arial"/>
          <w:szCs w:val="24"/>
        </w:rPr>
      </w:pPr>
      <w:r w:rsidRPr="00A37756">
        <w:rPr>
          <w:rFonts w:ascii="Arial" w:eastAsia="Times New Roman" w:hAnsi="Arial" w:cs="Arial"/>
          <w:szCs w:val="24"/>
        </w:rPr>
        <w:t>El valor presente neto (VPN) de este componente de la operación es de US$14,2 millones.</w:t>
      </w:r>
    </w:p>
    <w:p w14:paraId="3348767B" w14:textId="77777777" w:rsidR="000D7978" w:rsidRPr="00B17613" w:rsidRDefault="000D7978" w:rsidP="000D7978">
      <w:pPr>
        <w:pStyle w:val="Heading1"/>
        <w:numPr>
          <w:ilvl w:val="0"/>
          <w:numId w:val="13"/>
        </w:numPr>
        <w:spacing w:before="120" w:after="120" w:line="240" w:lineRule="auto"/>
        <w:jc w:val="both"/>
        <w:rPr>
          <w:rFonts w:ascii="Arial" w:hAnsi="Arial" w:cs="Arial"/>
          <w:color w:val="auto"/>
          <w:sz w:val="22"/>
          <w:szCs w:val="24"/>
          <w:u w:val="single"/>
        </w:rPr>
      </w:pPr>
      <w:r w:rsidRPr="00B17613">
        <w:rPr>
          <w:rFonts w:ascii="Arial" w:hAnsi="Arial" w:cs="Arial"/>
          <w:color w:val="auto"/>
          <w:sz w:val="22"/>
          <w:szCs w:val="24"/>
          <w:u w:val="single"/>
        </w:rPr>
        <w:t xml:space="preserve">Análisis económico de la focalización de la </w:t>
      </w:r>
      <w:proofErr w:type="spellStart"/>
      <w:r w:rsidRPr="00B17613">
        <w:rPr>
          <w:rFonts w:ascii="Arial" w:hAnsi="Arial" w:cs="Arial"/>
          <w:color w:val="auto"/>
          <w:sz w:val="22"/>
          <w:szCs w:val="24"/>
          <w:u w:val="single"/>
        </w:rPr>
        <w:t>RdO</w:t>
      </w:r>
      <w:proofErr w:type="spellEnd"/>
      <w:r w:rsidRPr="00B17613">
        <w:rPr>
          <w:rFonts w:ascii="Arial" w:hAnsi="Arial" w:cs="Arial"/>
          <w:color w:val="auto"/>
          <w:sz w:val="22"/>
          <w:szCs w:val="24"/>
          <w:u w:val="single"/>
        </w:rPr>
        <w:t xml:space="preserve"> hacía los pobres extremos</w:t>
      </w:r>
    </w:p>
    <w:p w14:paraId="3348767C" w14:textId="77777777" w:rsidR="00DF03C1" w:rsidRPr="00B17613" w:rsidRDefault="00906446" w:rsidP="003376DE">
      <w:pPr>
        <w:spacing w:before="120" w:after="120" w:line="240" w:lineRule="auto"/>
        <w:jc w:val="both"/>
        <w:rPr>
          <w:rFonts w:ascii="Arial" w:eastAsia="Times New Roman" w:hAnsi="Arial" w:cs="Arial"/>
          <w:szCs w:val="24"/>
        </w:rPr>
      </w:pPr>
      <w:r w:rsidRPr="00B17613">
        <w:rPr>
          <w:rFonts w:ascii="Arial" w:eastAsia="Times New Roman" w:hAnsi="Arial" w:cs="Arial"/>
          <w:szCs w:val="24"/>
        </w:rPr>
        <w:t xml:space="preserve">“Los PTMC han reducido el trabajo infantil y aumentado la inscripción y la asistencia escolar en muchos países, entre ellos Chile, Colombia, Ecuador, Honduras, Jamaica, México y Nicaragua (Levy, 2006; </w:t>
      </w:r>
      <w:proofErr w:type="spellStart"/>
      <w:r w:rsidRPr="00B17613">
        <w:rPr>
          <w:rFonts w:ascii="Arial" w:eastAsia="Times New Roman" w:hAnsi="Arial" w:cs="Arial"/>
          <w:szCs w:val="24"/>
        </w:rPr>
        <w:t>Fiszbein</w:t>
      </w:r>
      <w:proofErr w:type="spellEnd"/>
      <w:r w:rsidRPr="00B17613">
        <w:rPr>
          <w:rFonts w:ascii="Arial" w:eastAsia="Times New Roman" w:hAnsi="Arial" w:cs="Arial"/>
          <w:szCs w:val="24"/>
        </w:rPr>
        <w:t xml:space="preserve"> et al., 2009; Saavedra y García, 2012). También han contribuido a la progresión escolar: en México, luego de tres a cinco años de exposición al programa, aumentó la escolaridad entre seis meses y un año; y en Nicaragua, tras dos años de exposición al programa, los niños beneficiarios progresaron casi medio grado más que los no beneficiarios (</w:t>
      </w:r>
      <w:proofErr w:type="spellStart"/>
      <w:r w:rsidRPr="00B17613">
        <w:rPr>
          <w:rFonts w:ascii="Arial" w:eastAsia="Times New Roman" w:hAnsi="Arial" w:cs="Arial"/>
          <w:szCs w:val="24"/>
        </w:rPr>
        <w:t>Maluccio</w:t>
      </w:r>
      <w:proofErr w:type="spellEnd"/>
      <w:r w:rsidRPr="00B17613">
        <w:rPr>
          <w:rFonts w:ascii="Arial" w:eastAsia="Times New Roman" w:hAnsi="Arial" w:cs="Arial"/>
          <w:szCs w:val="24"/>
        </w:rPr>
        <w:t xml:space="preserve"> et al., 2009).”</w:t>
      </w:r>
      <w:r w:rsidRPr="00B17613">
        <w:rPr>
          <w:rStyle w:val="FootnoteReference"/>
          <w:rFonts w:ascii="Arial" w:eastAsia="Times New Roman" w:hAnsi="Arial" w:cs="Arial"/>
          <w:szCs w:val="24"/>
        </w:rPr>
        <w:footnoteReference w:id="6"/>
      </w:r>
    </w:p>
    <w:p w14:paraId="3348767D" w14:textId="77777777" w:rsidR="00906446" w:rsidRPr="00B17613" w:rsidRDefault="00D0734F" w:rsidP="003E471E">
      <w:pPr>
        <w:spacing w:before="120" w:after="120" w:line="240" w:lineRule="auto"/>
        <w:jc w:val="both"/>
        <w:rPr>
          <w:rFonts w:ascii="Arial" w:eastAsia="Times New Roman" w:hAnsi="Arial" w:cs="Arial"/>
          <w:szCs w:val="24"/>
        </w:rPr>
      </w:pPr>
      <w:r w:rsidRPr="00B17613">
        <w:rPr>
          <w:rFonts w:ascii="Arial" w:eastAsia="Times New Roman" w:hAnsi="Arial" w:cs="Arial"/>
          <w:szCs w:val="24"/>
        </w:rPr>
        <w:t>A</w:t>
      </w:r>
      <w:r w:rsidR="006516AE">
        <w:rPr>
          <w:rFonts w:ascii="Arial" w:eastAsia="Times New Roman" w:hAnsi="Arial" w:cs="Arial"/>
          <w:szCs w:val="24"/>
        </w:rPr>
        <w:t>l inicio de la serie programática</w:t>
      </w:r>
      <w:r w:rsidR="00FA4481" w:rsidRPr="00B17613">
        <w:rPr>
          <w:rFonts w:ascii="Arial" w:eastAsia="Times New Roman" w:hAnsi="Arial" w:cs="Arial"/>
          <w:szCs w:val="24"/>
        </w:rPr>
        <w:t>, en Panamá ha</w:t>
      </w:r>
      <w:r w:rsidR="006516AE">
        <w:rPr>
          <w:rFonts w:ascii="Arial" w:eastAsia="Times New Roman" w:hAnsi="Arial" w:cs="Arial"/>
          <w:szCs w:val="24"/>
        </w:rPr>
        <w:t>bía</w:t>
      </w:r>
      <w:r w:rsidR="00FA4481" w:rsidRPr="00B17613">
        <w:rPr>
          <w:rFonts w:ascii="Arial" w:eastAsia="Times New Roman" w:hAnsi="Arial" w:cs="Arial"/>
          <w:szCs w:val="24"/>
        </w:rPr>
        <w:t xml:space="preserve"> alrededor de 1</w:t>
      </w:r>
      <w:r w:rsidR="00DB7FAD" w:rsidRPr="00B17613">
        <w:rPr>
          <w:rFonts w:ascii="Arial" w:eastAsia="Times New Roman" w:hAnsi="Arial" w:cs="Arial"/>
          <w:szCs w:val="24"/>
        </w:rPr>
        <w:t>46.</w:t>
      </w:r>
      <w:r w:rsidR="00FA4481" w:rsidRPr="00B17613">
        <w:rPr>
          <w:rFonts w:ascii="Arial" w:eastAsia="Times New Roman" w:hAnsi="Arial" w:cs="Arial"/>
          <w:szCs w:val="24"/>
        </w:rPr>
        <w:t xml:space="preserve">000 niños en edad escolar en condición de extrema pobreza. </w:t>
      </w:r>
      <w:r w:rsidR="003E471E" w:rsidRPr="00B17613">
        <w:rPr>
          <w:rFonts w:ascii="Arial" w:eastAsia="Times New Roman" w:hAnsi="Arial" w:cs="Arial"/>
          <w:szCs w:val="24"/>
        </w:rPr>
        <w:t>El objetivo de la operación</w:t>
      </w:r>
      <w:r w:rsidR="006516AE">
        <w:rPr>
          <w:rFonts w:ascii="Arial" w:eastAsia="Times New Roman" w:hAnsi="Arial" w:cs="Arial"/>
          <w:szCs w:val="24"/>
        </w:rPr>
        <w:t xml:space="preserve"> es de incrementar</w:t>
      </w:r>
      <w:r w:rsidR="003E471E" w:rsidRPr="00B17613">
        <w:rPr>
          <w:rFonts w:ascii="Arial" w:eastAsia="Times New Roman" w:hAnsi="Arial" w:cs="Arial"/>
          <w:szCs w:val="24"/>
        </w:rPr>
        <w:t xml:space="preserve"> la cobertura de la </w:t>
      </w:r>
      <w:proofErr w:type="spellStart"/>
      <w:r w:rsidR="003E471E" w:rsidRPr="00B17613">
        <w:rPr>
          <w:rFonts w:ascii="Arial" w:eastAsia="Times New Roman" w:hAnsi="Arial" w:cs="Arial"/>
          <w:szCs w:val="24"/>
        </w:rPr>
        <w:t>RdO</w:t>
      </w:r>
      <w:proofErr w:type="spellEnd"/>
      <w:r w:rsidR="003E471E" w:rsidRPr="00B17613">
        <w:rPr>
          <w:rFonts w:ascii="Arial" w:eastAsia="Times New Roman" w:hAnsi="Arial" w:cs="Arial"/>
          <w:szCs w:val="24"/>
        </w:rPr>
        <w:t xml:space="preserve"> de </w:t>
      </w:r>
      <w:r w:rsidR="008B5037" w:rsidRPr="00B17613">
        <w:rPr>
          <w:rFonts w:ascii="Arial" w:eastAsia="Times New Roman" w:hAnsi="Arial" w:cs="Arial"/>
          <w:szCs w:val="24"/>
        </w:rPr>
        <w:t>48</w:t>
      </w:r>
      <w:r w:rsidR="003E471E" w:rsidRPr="00B17613">
        <w:rPr>
          <w:rFonts w:ascii="Arial" w:eastAsia="Times New Roman" w:hAnsi="Arial" w:cs="Arial"/>
          <w:szCs w:val="24"/>
        </w:rPr>
        <w:t xml:space="preserve">% a 80%, por medio de: </w:t>
      </w:r>
      <w:r w:rsidR="00FA4481" w:rsidRPr="00B17613">
        <w:rPr>
          <w:rFonts w:ascii="Arial" w:eastAsia="Times New Roman" w:hAnsi="Arial" w:cs="Arial"/>
          <w:szCs w:val="24"/>
        </w:rPr>
        <w:t>(i) mejoras en los mecanismos de focalización; (ii)</w:t>
      </w:r>
      <w:r w:rsidR="003E471E" w:rsidRPr="00B17613">
        <w:rPr>
          <w:rFonts w:ascii="Arial" w:eastAsia="Times New Roman" w:hAnsi="Arial" w:cs="Arial"/>
          <w:szCs w:val="24"/>
        </w:rPr>
        <w:t> </w:t>
      </w:r>
      <w:r w:rsidR="00FA4481" w:rsidRPr="00B17613">
        <w:rPr>
          <w:rFonts w:ascii="Arial" w:eastAsia="Times New Roman" w:hAnsi="Arial" w:cs="Arial"/>
          <w:szCs w:val="24"/>
        </w:rPr>
        <w:t>procesos de recertificación que aseguren la salida del programa de familias no pobres; (iii) procesos de inclusión de nuevos beneficiarios en pobreza extrema.</w:t>
      </w:r>
      <w:r w:rsidR="00DB7FAD" w:rsidRPr="00B17613">
        <w:rPr>
          <w:rFonts w:ascii="Arial" w:eastAsia="Times New Roman" w:hAnsi="Arial" w:cs="Arial"/>
          <w:szCs w:val="24"/>
        </w:rPr>
        <w:t xml:space="preserve"> E</w:t>
      </w:r>
      <w:r w:rsidR="003E471E" w:rsidRPr="00B17613">
        <w:rPr>
          <w:rFonts w:ascii="Arial" w:eastAsia="Times New Roman" w:hAnsi="Arial" w:cs="Arial"/>
          <w:szCs w:val="24"/>
        </w:rPr>
        <w:t>l aumento de la cobertura</w:t>
      </w:r>
      <w:r w:rsidR="00DB7FAD" w:rsidRPr="00B17613">
        <w:rPr>
          <w:rFonts w:ascii="Arial" w:eastAsia="Times New Roman" w:hAnsi="Arial" w:cs="Arial"/>
          <w:szCs w:val="24"/>
        </w:rPr>
        <w:t xml:space="preserve"> </w:t>
      </w:r>
      <w:r w:rsidR="003E471E" w:rsidRPr="00B17613">
        <w:rPr>
          <w:rFonts w:ascii="Arial" w:eastAsia="Times New Roman" w:hAnsi="Arial" w:cs="Arial"/>
          <w:szCs w:val="24"/>
        </w:rPr>
        <w:t>implicará e</w:t>
      </w:r>
      <w:r w:rsidR="00DB7FAD" w:rsidRPr="00B17613">
        <w:rPr>
          <w:rFonts w:ascii="Arial" w:eastAsia="Times New Roman" w:hAnsi="Arial" w:cs="Arial"/>
          <w:szCs w:val="24"/>
        </w:rPr>
        <w:t>l ingreso en el programa de alrededor de 4</w:t>
      </w:r>
      <w:r w:rsidR="008B5037" w:rsidRPr="00B17613">
        <w:rPr>
          <w:rFonts w:ascii="Arial" w:eastAsia="Times New Roman" w:hAnsi="Arial" w:cs="Arial"/>
          <w:szCs w:val="24"/>
        </w:rPr>
        <w:t>7</w:t>
      </w:r>
      <w:r w:rsidR="00DB7FAD" w:rsidRPr="00B17613">
        <w:rPr>
          <w:rFonts w:ascii="Arial" w:eastAsia="Times New Roman" w:hAnsi="Arial" w:cs="Arial"/>
          <w:szCs w:val="24"/>
        </w:rPr>
        <w:t>.000 niños en pobreza extrema.</w:t>
      </w:r>
      <w:r w:rsidR="00A44365" w:rsidRPr="00B17613">
        <w:rPr>
          <w:rFonts w:ascii="Arial" w:eastAsia="Times New Roman" w:hAnsi="Arial" w:cs="Arial"/>
          <w:szCs w:val="24"/>
        </w:rPr>
        <w:t xml:space="preserve"> La edad media de estos niños es de 11 años.</w:t>
      </w:r>
    </w:p>
    <w:p w14:paraId="3348767E" w14:textId="77777777" w:rsidR="00FA4481" w:rsidRPr="00B17613" w:rsidRDefault="00E81833" w:rsidP="003376DE">
      <w:pPr>
        <w:spacing w:before="120" w:after="120" w:line="240" w:lineRule="auto"/>
        <w:jc w:val="both"/>
        <w:rPr>
          <w:rFonts w:ascii="Arial" w:eastAsia="Times New Roman" w:hAnsi="Arial" w:cs="Arial"/>
          <w:szCs w:val="24"/>
        </w:rPr>
      </w:pPr>
      <w:r w:rsidRPr="00B17613">
        <w:rPr>
          <w:rFonts w:ascii="Arial" w:eastAsia="Times New Roman" w:hAnsi="Arial" w:cs="Arial"/>
          <w:i/>
          <w:szCs w:val="24"/>
        </w:rPr>
        <w:t xml:space="preserve">Costos. </w:t>
      </w:r>
      <w:r w:rsidR="00FA4481" w:rsidRPr="00B17613">
        <w:rPr>
          <w:rFonts w:ascii="Arial" w:eastAsia="Times New Roman" w:hAnsi="Arial" w:cs="Arial"/>
          <w:szCs w:val="24"/>
        </w:rPr>
        <w:t>El costo del proceso</w:t>
      </w:r>
      <w:r w:rsidR="003E471E" w:rsidRPr="00B17613">
        <w:rPr>
          <w:rFonts w:ascii="Arial" w:eastAsia="Times New Roman" w:hAnsi="Arial" w:cs="Arial"/>
          <w:szCs w:val="24"/>
        </w:rPr>
        <w:t xml:space="preserve"> de focalización</w:t>
      </w:r>
      <w:r w:rsidR="00FA4481" w:rsidRPr="00B17613">
        <w:rPr>
          <w:rFonts w:ascii="Arial" w:eastAsia="Times New Roman" w:hAnsi="Arial" w:cs="Arial"/>
          <w:szCs w:val="24"/>
        </w:rPr>
        <w:t xml:space="preserve"> es estimado en US$ 10 millones igualmente repartidos entre los primeros cinco años</w:t>
      </w:r>
      <w:r w:rsidR="003E471E" w:rsidRPr="00B17613">
        <w:rPr>
          <w:rFonts w:ascii="Arial" w:eastAsia="Times New Roman" w:hAnsi="Arial" w:cs="Arial"/>
          <w:szCs w:val="24"/>
        </w:rPr>
        <w:t xml:space="preserve"> de ejecución de la operación</w:t>
      </w:r>
      <w:r w:rsidR="00FA4481" w:rsidRPr="00B17613">
        <w:rPr>
          <w:rFonts w:ascii="Arial" w:eastAsia="Times New Roman" w:hAnsi="Arial" w:cs="Arial"/>
          <w:szCs w:val="24"/>
        </w:rPr>
        <w:t>. Este costo cubrirá la creación de un registro único de beneficiarios, la implementación de los procesos de recertificación y la incorporación de los nuevos beneficiarios en pobreza extrema. No habrá costos operativos adicionales, en cuanto el número total de beneficiarios del programa no aumentará.</w:t>
      </w:r>
    </w:p>
    <w:p w14:paraId="3348767F" w14:textId="77777777" w:rsidR="00FA4481" w:rsidRPr="00B17613" w:rsidRDefault="00FA4481" w:rsidP="003376DE">
      <w:pPr>
        <w:spacing w:before="120" w:after="120" w:line="240" w:lineRule="auto"/>
        <w:jc w:val="both"/>
        <w:rPr>
          <w:rFonts w:ascii="Arial" w:eastAsia="Times New Roman" w:hAnsi="Arial" w:cs="Arial"/>
          <w:szCs w:val="24"/>
        </w:rPr>
      </w:pPr>
      <w:r w:rsidRPr="00B17613">
        <w:rPr>
          <w:rFonts w:ascii="Arial" w:eastAsia="Times New Roman" w:hAnsi="Arial" w:cs="Arial"/>
          <w:szCs w:val="24"/>
        </w:rPr>
        <w:t xml:space="preserve">Es importante recordar que el pago de transferencias monetarias no representa un costo del punto de vista social. Los costos sociales asociados a los PTMC incluyen los costos administrativos de implementación, los costos de oportunidad incurridos por los beneficiarios para cumplir con las corresponsabilidades y para recibir los pagos, etc. Cómo </w:t>
      </w:r>
      <w:r w:rsidR="003E471E" w:rsidRPr="00B17613">
        <w:rPr>
          <w:rFonts w:ascii="Arial" w:eastAsia="Times New Roman" w:hAnsi="Arial" w:cs="Arial"/>
          <w:szCs w:val="24"/>
        </w:rPr>
        <w:t>la operación comporta</w:t>
      </w:r>
      <w:r w:rsidRPr="00B17613">
        <w:rPr>
          <w:rFonts w:ascii="Arial" w:eastAsia="Times New Roman" w:hAnsi="Arial" w:cs="Arial"/>
          <w:szCs w:val="24"/>
        </w:rPr>
        <w:t xml:space="preserve"> una </w:t>
      </w:r>
      <w:r w:rsidR="003E471E" w:rsidRPr="00B17613">
        <w:rPr>
          <w:rFonts w:ascii="Arial" w:eastAsia="Times New Roman" w:hAnsi="Arial" w:cs="Arial"/>
          <w:szCs w:val="24"/>
        </w:rPr>
        <w:t xml:space="preserve">simple </w:t>
      </w:r>
      <w:r w:rsidRPr="00B17613">
        <w:rPr>
          <w:rFonts w:ascii="Arial" w:eastAsia="Times New Roman" w:hAnsi="Arial" w:cs="Arial"/>
          <w:szCs w:val="24"/>
        </w:rPr>
        <w:t>substitución de beneficiarios, todos estos costos no cambiarán en términos agregados.</w:t>
      </w:r>
    </w:p>
    <w:p w14:paraId="33487680" w14:textId="77777777" w:rsidR="00FA4481" w:rsidRPr="00B17613" w:rsidRDefault="00E81833" w:rsidP="003376DE">
      <w:pPr>
        <w:spacing w:before="120" w:after="120" w:line="240" w:lineRule="auto"/>
        <w:jc w:val="both"/>
        <w:rPr>
          <w:rFonts w:ascii="Arial" w:eastAsia="Times New Roman" w:hAnsi="Arial" w:cs="Arial"/>
          <w:szCs w:val="24"/>
        </w:rPr>
      </w:pPr>
      <w:r w:rsidRPr="00B17613">
        <w:rPr>
          <w:rFonts w:ascii="Arial" w:eastAsia="Times New Roman" w:hAnsi="Arial" w:cs="Arial"/>
          <w:i/>
          <w:szCs w:val="24"/>
        </w:rPr>
        <w:t xml:space="preserve">Beneficios. </w:t>
      </w:r>
      <w:proofErr w:type="gramStart"/>
      <w:r w:rsidR="00AC4701" w:rsidRPr="00B17613">
        <w:rPr>
          <w:rFonts w:ascii="Arial" w:eastAsia="Times New Roman" w:hAnsi="Arial" w:cs="Arial"/>
          <w:szCs w:val="24"/>
        </w:rPr>
        <w:t>El hipótesis</w:t>
      </w:r>
      <w:proofErr w:type="gramEnd"/>
      <w:r w:rsidR="00AC4701" w:rsidRPr="00B17613">
        <w:rPr>
          <w:rFonts w:ascii="Arial" w:eastAsia="Times New Roman" w:hAnsi="Arial" w:cs="Arial"/>
          <w:szCs w:val="24"/>
        </w:rPr>
        <w:t xml:space="preserve"> clave para el análisis costos beneficios de este componente </w:t>
      </w:r>
      <w:r w:rsidR="003E471E" w:rsidRPr="00B17613">
        <w:rPr>
          <w:rFonts w:ascii="Arial" w:eastAsia="Times New Roman" w:hAnsi="Arial" w:cs="Arial"/>
          <w:szCs w:val="24"/>
        </w:rPr>
        <w:t xml:space="preserve">de la operación </w:t>
      </w:r>
      <w:r w:rsidR="00AC4701" w:rsidRPr="00B17613">
        <w:rPr>
          <w:rFonts w:ascii="Arial" w:eastAsia="Times New Roman" w:hAnsi="Arial" w:cs="Arial"/>
          <w:szCs w:val="24"/>
        </w:rPr>
        <w:t>es que la substitución de los no-pobres con pobres extremos aumente el efecto de la transferencia en términos de acumulación de capital humano. Más precisamente, asumimos que: (i) los actuales beneficiarios no-pobres no aument</w:t>
      </w:r>
      <w:r w:rsidR="003E471E" w:rsidRPr="00B17613">
        <w:rPr>
          <w:rFonts w:ascii="Arial" w:eastAsia="Times New Roman" w:hAnsi="Arial" w:cs="Arial"/>
          <w:szCs w:val="24"/>
        </w:rPr>
        <w:t>a</w:t>
      </w:r>
      <w:r w:rsidR="00AC4701" w:rsidRPr="00B17613">
        <w:rPr>
          <w:rFonts w:ascii="Arial" w:eastAsia="Times New Roman" w:hAnsi="Arial" w:cs="Arial"/>
          <w:szCs w:val="24"/>
        </w:rPr>
        <w:t>n su nivel de escolaridad por efecto de la transferencia (irían igualmente a la escuela</w:t>
      </w:r>
      <w:r w:rsidR="003E471E" w:rsidRPr="00B17613">
        <w:rPr>
          <w:rFonts w:ascii="Arial" w:eastAsia="Times New Roman" w:hAnsi="Arial" w:cs="Arial"/>
          <w:szCs w:val="24"/>
        </w:rPr>
        <w:t xml:space="preserve"> aún si no estuvieran en la </w:t>
      </w:r>
      <w:proofErr w:type="spellStart"/>
      <w:r w:rsidR="003E471E" w:rsidRPr="00B17613">
        <w:rPr>
          <w:rFonts w:ascii="Arial" w:eastAsia="Times New Roman" w:hAnsi="Arial" w:cs="Arial"/>
          <w:szCs w:val="24"/>
        </w:rPr>
        <w:t>RdO</w:t>
      </w:r>
      <w:proofErr w:type="spellEnd"/>
      <w:r w:rsidR="00AC4701" w:rsidRPr="00B17613">
        <w:rPr>
          <w:rFonts w:ascii="Arial" w:eastAsia="Times New Roman" w:hAnsi="Arial" w:cs="Arial"/>
          <w:szCs w:val="24"/>
        </w:rPr>
        <w:t xml:space="preserve">); (ii) los nuevos beneficiarios de la transferencia, que serán pobres extremos, aumentarán sus años de escolaridad en 0.5 años. Este parámetro es coherente con la literatura precedentemente citada. </w:t>
      </w:r>
      <w:r w:rsidR="003E471E" w:rsidRPr="00B17613">
        <w:rPr>
          <w:rFonts w:ascii="Arial" w:eastAsia="Times New Roman" w:hAnsi="Arial" w:cs="Arial"/>
          <w:szCs w:val="24"/>
        </w:rPr>
        <w:t>El parámetro clave</w:t>
      </w:r>
      <w:r w:rsidR="00AC4701" w:rsidRPr="00B17613">
        <w:rPr>
          <w:rFonts w:ascii="Arial" w:eastAsia="Times New Roman" w:hAnsi="Arial" w:cs="Arial"/>
          <w:szCs w:val="24"/>
        </w:rPr>
        <w:t xml:space="preserve"> es el diferencial entre </w:t>
      </w:r>
      <w:r w:rsidR="003E471E" w:rsidRPr="00B17613">
        <w:rPr>
          <w:rFonts w:ascii="Arial" w:eastAsia="Times New Roman" w:hAnsi="Arial" w:cs="Arial"/>
          <w:szCs w:val="24"/>
        </w:rPr>
        <w:t xml:space="preserve">el </w:t>
      </w:r>
      <w:r w:rsidR="00AC4701" w:rsidRPr="00B17613">
        <w:rPr>
          <w:rFonts w:ascii="Arial" w:eastAsia="Times New Roman" w:hAnsi="Arial" w:cs="Arial"/>
          <w:szCs w:val="24"/>
        </w:rPr>
        <w:t>efecto de la tran</w:t>
      </w:r>
      <w:r w:rsidR="003E471E" w:rsidRPr="00B17613">
        <w:rPr>
          <w:rFonts w:ascii="Arial" w:eastAsia="Times New Roman" w:hAnsi="Arial" w:cs="Arial"/>
          <w:szCs w:val="24"/>
        </w:rPr>
        <w:t>sferencia</w:t>
      </w:r>
      <w:r w:rsidR="00AC4701" w:rsidRPr="00B17613">
        <w:rPr>
          <w:rFonts w:ascii="Arial" w:eastAsia="Times New Roman" w:hAnsi="Arial" w:cs="Arial"/>
          <w:szCs w:val="24"/>
        </w:rPr>
        <w:t xml:space="preserve"> entre los pobres extremos y los no-pobres (o sea, el </w:t>
      </w:r>
      <w:r w:rsidR="0054459B" w:rsidRPr="00B17613">
        <w:rPr>
          <w:rFonts w:ascii="Arial" w:eastAsia="Times New Roman" w:hAnsi="Arial" w:cs="Arial"/>
          <w:szCs w:val="24"/>
        </w:rPr>
        <w:t>VPN</w:t>
      </w:r>
      <w:r w:rsidR="00AC4701" w:rsidRPr="00B17613">
        <w:rPr>
          <w:rFonts w:ascii="Arial" w:eastAsia="Times New Roman" w:hAnsi="Arial" w:cs="Arial"/>
          <w:szCs w:val="24"/>
        </w:rPr>
        <w:t xml:space="preserve"> del componente sería el mismo si los no-pobres estuvieran aumentando su escolaridad </w:t>
      </w:r>
      <w:r w:rsidR="003E471E" w:rsidRPr="00B17613">
        <w:rPr>
          <w:rFonts w:ascii="Arial" w:eastAsia="Times New Roman" w:hAnsi="Arial" w:cs="Arial"/>
          <w:szCs w:val="24"/>
        </w:rPr>
        <w:t>en</w:t>
      </w:r>
      <w:r w:rsidR="00AC4701" w:rsidRPr="00B17613">
        <w:rPr>
          <w:rFonts w:ascii="Arial" w:eastAsia="Times New Roman" w:hAnsi="Arial" w:cs="Arial"/>
          <w:szCs w:val="24"/>
        </w:rPr>
        <w:t xml:space="preserve"> X años y los pobres extremos la aumentarán de X+0.5 años, </w:t>
      </w:r>
      <w:r w:rsidR="003E471E" w:rsidRPr="00B17613">
        <w:rPr>
          <w:rFonts w:ascii="Arial" w:eastAsia="Times New Roman" w:hAnsi="Arial" w:cs="Arial"/>
          <w:szCs w:val="24"/>
        </w:rPr>
        <w:t>donde</w:t>
      </w:r>
      <w:r w:rsidR="00AC4701" w:rsidRPr="00B17613">
        <w:rPr>
          <w:rFonts w:ascii="Arial" w:eastAsia="Times New Roman" w:hAnsi="Arial" w:cs="Arial"/>
          <w:szCs w:val="24"/>
        </w:rPr>
        <w:t xml:space="preserve"> X es cualquier número positivo).</w:t>
      </w:r>
    </w:p>
    <w:p w14:paraId="33487681" w14:textId="77777777" w:rsidR="00AC4701" w:rsidRPr="00B17613" w:rsidRDefault="00AC4701" w:rsidP="00AC4701">
      <w:pPr>
        <w:spacing w:before="120" w:after="120" w:line="240" w:lineRule="auto"/>
        <w:jc w:val="both"/>
        <w:rPr>
          <w:rFonts w:ascii="Arial" w:hAnsi="Arial" w:cs="Arial"/>
          <w:szCs w:val="24"/>
          <w:lang w:eastAsia="es-ES"/>
        </w:rPr>
      </w:pPr>
      <w:r w:rsidRPr="00B17613">
        <w:rPr>
          <w:rFonts w:ascii="Arial" w:eastAsia="Times New Roman" w:hAnsi="Arial" w:cs="Arial"/>
          <w:szCs w:val="24"/>
        </w:rPr>
        <w:t xml:space="preserve">Para </w:t>
      </w:r>
      <w:r w:rsidR="003E471E" w:rsidRPr="00B17613">
        <w:rPr>
          <w:rFonts w:ascii="Arial" w:eastAsia="Times New Roman" w:hAnsi="Arial" w:cs="Arial"/>
          <w:szCs w:val="24"/>
        </w:rPr>
        <w:t>cuantificar</w:t>
      </w:r>
      <w:r w:rsidRPr="00B17613">
        <w:rPr>
          <w:rFonts w:ascii="Arial" w:eastAsia="Times New Roman" w:hAnsi="Arial" w:cs="Arial"/>
          <w:szCs w:val="24"/>
        </w:rPr>
        <w:t xml:space="preserve"> el rendimiento de la escolaridad en términos de aumento del ingreso laboral, estimamos una </w:t>
      </w:r>
      <w:r w:rsidRPr="00B17613">
        <w:rPr>
          <w:rFonts w:ascii="Arial" w:hAnsi="Arial" w:cs="Arial"/>
          <w:szCs w:val="24"/>
          <w:lang w:eastAsia="es-ES"/>
        </w:rPr>
        <w:t xml:space="preserve">ecuación de ingreso </w:t>
      </w:r>
      <w:proofErr w:type="spellStart"/>
      <w:r w:rsidRPr="00B17613">
        <w:rPr>
          <w:rFonts w:ascii="Arial" w:hAnsi="Arial" w:cs="Arial"/>
          <w:szCs w:val="24"/>
          <w:lang w:eastAsia="es-ES"/>
        </w:rPr>
        <w:t>minceriana</w:t>
      </w:r>
      <w:proofErr w:type="spellEnd"/>
      <w:r w:rsidRPr="00B17613">
        <w:rPr>
          <w:rFonts w:ascii="Arial" w:hAnsi="Arial" w:cs="Arial"/>
          <w:szCs w:val="24"/>
          <w:lang w:eastAsia="es-ES"/>
        </w:rPr>
        <w:t xml:space="preserve"> calculada con datos de la Encuesta de Mercados Laborales de agosto de 2013. La variable dependiente es el logaritmo del ingreso laboral total (+1, para </w:t>
      </w:r>
      <w:r w:rsidR="003E471E" w:rsidRPr="00B17613">
        <w:rPr>
          <w:rFonts w:ascii="Arial" w:hAnsi="Arial" w:cs="Arial"/>
          <w:szCs w:val="24"/>
          <w:lang w:eastAsia="es-ES"/>
        </w:rPr>
        <w:t>evitar de perder los</w:t>
      </w:r>
      <w:r w:rsidRPr="00B17613">
        <w:rPr>
          <w:rFonts w:ascii="Arial" w:hAnsi="Arial" w:cs="Arial"/>
          <w:szCs w:val="24"/>
          <w:lang w:eastAsia="es-ES"/>
        </w:rPr>
        <w:t xml:space="preserve"> valores nulos). Las variables independientes incluyen </w:t>
      </w:r>
      <w:r w:rsidR="00195DAD" w:rsidRPr="00B17613">
        <w:rPr>
          <w:rFonts w:ascii="Arial" w:hAnsi="Arial" w:cs="Arial"/>
          <w:szCs w:val="24"/>
          <w:lang w:eastAsia="es-ES"/>
        </w:rPr>
        <w:t xml:space="preserve">número de años de escolaridad, </w:t>
      </w:r>
      <w:r w:rsidRPr="00B17613">
        <w:rPr>
          <w:rFonts w:ascii="Arial" w:hAnsi="Arial" w:cs="Arial"/>
          <w:szCs w:val="24"/>
          <w:lang w:eastAsia="es-ES"/>
        </w:rPr>
        <w:t>edad, edad al cuadrado</w:t>
      </w:r>
      <w:r w:rsidR="00195DAD" w:rsidRPr="00B17613">
        <w:rPr>
          <w:rFonts w:ascii="Arial" w:hAnsi="Arial" w:cs="Arial"/>
          <w:szCs w:val="24"/>
          <w:lang w:eastAsia="es-ES"/>
        </w:rPr>
        <w:t>, una variable dicotómica para género femenino</w:t>
      </w:r>
      <w:r w:rsidRPr="00B17613">
        <w:rPr>
          <w:rFonts w:ascii="Arial" w:hAnsi="Arial" w:cs="Arial"/>
          <w:szCs w:val="24"/>
          <w:lang w:eastAsia="es-ES"/>
        </w:rPr>
        <w:t xml:space="preserve"> y </w:t>
      </w:r>
      <w:r w:rsidR="00195DAD" w:rsidRPr="00B17613">
        <w:rPr>
          <w:rFonts w:ascii="Arial" w:hAnsi="Arial" w:cs="Arial"/>
          <w:szCs w:val="24"/>
          <w:lang w:eastAsia="es-ES"/>
        </w:rPr>
        <w:t xml:space="preserve">una serie de variables </w:t>
      </w:r>
      <w:r w:rsidR="00195DAD" w:rsidRPr="00B17613">
        <w:rPr>
          <w:rFonts w:ascii="Arial" w:hAnsi="Arial" w:cs="Arial"/>
          <w:szCs w:val="24"/>
          <w:lang w:eastAsia="es-ES"/>
        </w:rPr>
        <w:lastRenderedPageBreak/>
        <w:t>dicotómicas para los distritos del país.</w:t>
      </w:r>
      <w:r w:rsidR="00DB7FAD" w:rsidRPr="00B17613">
        <w:rPr>
          <w:rFonts w:ascii="Arial" w:hAnsi="Arial" w:cs="Arial"/>
          <w:szCs w:val="24"/>
          <w:lang w:eastAsia="es-ES"/>
        </w:rPr>
        <w:t xml:space="preserve"> La muestra incluye todos los adultos entre 18 y 64 </w:t>
      </w:r>
      <w:proofErr w:type="gramStart"/>
      <w:r w:rsidR="00DB7FAD" w:rsidRPr="00B17613">
        <w:rPr>
          <w:rFonts w:ascii="Arial" w:hAnsi="Arial" w:cs="Arial"/>
          <w:szCs w:val="24"/>
          <w:lang w:eastAsia="es-ES"/>
        </w:rPr>
        <w:t>años de edad</w:t>
      </w:r>
      <w:proofErr w:type="gramEnd"/>
      <w:r w:rsidR="00DB7FAD" w:rsidRPr="00B17613">
        <w:rPr>
          <w:rFonts w:ascii="Arial" w:hAnsi="Arial" w:cs="Arial"/>
          <w:szCs w:val="24"/>
          <w:lang w:eastAsia="es-ES"/>
        </w:rPr>
        <w:t>.</w:t>
      </w:r>
      <w:r w:rsidR="00195DAD" w:rsidRPr="00B17613">
        <w:rPr>
          <w:rFonts w:ascii="Arial" w:hAnsi="Arial" w:cs="Arial"/>
          <w:szCs w:val="24"/>
          <w:lang w:eastAsia="es-ES"/>
        </w:rPr>
        <w:t xml:space="preserve"> La Tabla 1 reporta los resultados de la estimación</w:t>
      </w:r>
      <w:r w:rsidR="00DB7FAD" w:rsidRPr="00B17613">
        <w:rPr>
          <w:rFonts w:ascii="Arial" w:hAnsi="Arial" w:cs="Arial"/>
          <w:szCs w:val="24"/>
          <w:lang w:eastAsia="es-ES"/>
        </w:rPr>
        <w:t>, y muestra que un año adicional de escolaridad es asociado con un incremento de 16.7% en el ingreso laboral</w:t>
      </w:r>
      <w:r w:rsidR="00195DAD" w:rsidRPr="00B17613">
        <w:rPr>
          <w:rFonts w:ascii="Arial" w:hAnsi="Arial" w:cs="Arial"/>
          <w:szCs w:val="24"/>
          <w:lang w:eastAsia="es-ES"/>
        </w:rPr>
        <w:t>.</w:t>
      </w:r>
      <w:r w:rsidR="003E471E" w:rsidRPr="00B17613">
        <w:rPr>
          <w:rFonts w:ascii="Arial" w:hAnsi="Arial" w:cs="Arial"/>
          <w:szCs w:val="24"/>
          <w:lang w:eastAsia="es-ES"/>
        </w:rPr>
        <w:t xml:space="preserve"> Asumiendo che la </w:t>
      </w:r>
      <w:proofErr w:type="spellStart"/>
      <w:r w:rsidR="003E471E" w:rsidRPr="00B17613">
        <w:rPr>
          <w:rFonts w:ascii="Arial" w:hAnsi="Arial" w:cs="Arial"/>
          <w:szCs w:val="24"/>
          <w:lang w:eastAsia="es-ES"/>
        </w:rPr>
        <w:t>RdO</w:t>
      </w:r>
      <w:proofErr w:type="spellEnd"/>
      <w:r w:rsidR="003E471E" w:rsidRPr="00B17613">
        <w:rPr>
          <w:rFonts w:ascii="Arial" w:hAnsi="Arial" w:cs="Arial"/>
          <w:szCs w:val="24"/>
          <w:lang w:eastAsia="es-ES"/>
        </w:rPr>
        <w:t xml:space="preserve"> aumente la escolaridad en 0,5 años, calculamos que los ingresos laborales aumentarán en 8.35%.</w:t>
      </w:r>
    </w:p>
    <w:p w14:paraId="33487682" w14:textId="77777777" w:rsidR="00A44365" w:rsidRPr="00B17613" w:rsidRDefault="00A44365" w:rsidP="00AC4701">
      <w:pPr>
        <w:spacing w:before="120" w:after="120" w:line="240" w:lineRule="auto"/>
        <w:jc w:val="both"/>
        <w:rPr>
          <w:rFonts w:ascii="Arial" w:hAnsi="Arial" w:cs="Arial"/>
          <w:szCs w:val="24"/>
          <w:lang w:eastAsia="es-ES"/>
        </w:rPr>
      </w:pPr>
      <w:r w:rsidRPr="00B17613">
        <w:rPr>
          <w:rFonts w:ascii="Arial" w:hAnsi="Arial" w:cs="Arial"/>
          <w:szCs w:val="24"/>
          <w:lang w:eastAsia="es-ES"/>
        </w:rPr>
        <w:t xml:space="preserve">Cómo la edad media de los nuevos beneficiarios es de 11 años, asumimos que </w:t>
      </w:r>
      <w:r w:rsidR="003E471E" w:rsidRPr="00B17613">
        <w:rPr>
          <w:rFonts w:ascii="Arial" w:hAnsi="Arial" w:cs="Arial"/>
          <w:szCs w:val="24"/>
          <w:lang w:eastAsia="es-ES"/>
        </w:rPr>
        <w:t xml:space="preserve">el aumento en los ingresos laborales se </w:t>
      </w:r>
      <w:r w:rsidR="00080B33" w:rsidRPr="00B17613">
        <w:rPr>
          <w:rFonts w:ascii="Arial" w:hAnsi="Arial" w:cs="Arial"/>
          <w:szCs w:val="24"/>
          <w:lang w:eastAsia="es-ES"/>
        </w:rPr>
        <w:t>manifieste</w:t>
      </w:r>
      <w:r w:rsidR="003E471E" w:rsidRPr="00B17613">
        <w:rPr>
          <w:rFonts w:ascii="Arial" w:hAnsi="Arial" w:cs="Arial"/>
          <w:szCs w:val="24"/>
          <w:lang w:eastAsia="es-ES"/>
        </w:rPr>
        <w:t xml:space="preserve"> </w:t>
      </w:r>
      <w:r w:rsidR="001745BF" w:rsidRPr="00B17613">
        <w:rPr>
          <w:rFonts w:ascii="Arial" w:hAnsi="Arial" w:cs="Arial"/>
          <w:szCs w:val="24"/>
          <w:lang w:eastAsia="es-ES"/>
        </w:rPr>
        <w:t xml:space="preserve">a empezar del octavo año de implementación, </w:t>
      </w:r>
      <w:r w:rsidRPr="00B17613">
        <w:rPr>
          <w:rFonts w:ascii="Arial" w:hAnsi="Arial" w:cs="Arial"/>
          <w:szCs w:val="24"/>
          <w:lang w:eastAsia="es-ES"/>
        </w:rPr>
        <w:t xml:space="preserve">o sea </w:t>
      </w:r>
      <w:r w:rsidR="001745BF" w:rsidRPr="00B17613">
        <w:rPr>
          <w:rFonts w:ascii="Arial" w:hAnsi="Arial" w:cs="Arial"/>
          <w:szCs w:val="24"/>
          <w:lang w:eastAsia="es-ES"/>
        </w:rPr>
        <w:t>cuándo los nuevos beneficiarios llegan a la</w:t>
      </w:r>
      <w:r w:rsidRPr="00B17613">
        <w:rPr>
          <w:rFonts w:ascii="Arial" w:hAnsi="Arial" w:cs="Arial"/>
          <w:szCs w:val="24"/>
          <w:lang w:eastAsia="es-ES"/>
        </w:rPr>
        <w:t xml:space="preserve"> edad de 18 años</w:t>
      </w:r>
      <w:r w:rsidR="00080B33" w:rsidRPr="00B17613">
        <w:rPr>
          <w:rFonts w:ascii="Arial" w:hAnsi="Arial" w:cs="Arial"/>
          <w:szCs w:val="24"/>
          <w:lang w:eastAsia="es-ES"/>
        </w:rPr>
        <w:t>, y duren hasta al año 54, cuándo los niños llegan a la edad de jubilación</w:t>
      </w:r>
      <w:r w:rsidRPr="00B17613">
        <w:rPr>
          <w:rFonts w:ascii="Arial" w:hAnsi="Arial" w:cs="Arial"/>
          <w:szCs w:val="24"/>
          <w:lang w:eastAsia="es-ES"/>
        </w:rPr>
        <w:t>.</w:t>
      </w:r>
      <w:r w:rsidR="004A2D0F" w:rsidRPr="00B17613">
        <w:rPr>
          <w:rFonts w:ascii="Arial" w:hAnsi="Arial" w:cs="Arial"/>
          <w:szCs w:val="24"/>
          <w:lang w:eastAsia="es-ES"/>
        </w:rPr>
        <w:t xml:space="preserve"> Coherentemente con el análisis desarrollado para el componente de DIT, asumimos que el ingreso laboral anual en ausencia de programa sea de US$ 3.000.</w:t>
      </w:r>
    </w:p>
    <w:p w14:paraId="33487683" w14:textId="77777777" w:rsidR="001615CE" w:rsidRPr="00B17613" w:rsidRDefault="001615CE" w:rsidP="001615CE">
      <w:pPr>
        <w:spacing w:before="120" w:after="120" w:line="240" w:lineRule="auto"/>
        <w:jc w:val="both"/>
        <w:rPr>
          <w:rFonts w:ascii="Arial" w:eastAsia="Times New Roman" w:hAnsi="Arial" w:cs="Arial"/>
          <w:szCs w:val="24"/>
        </w:rPr>
      </w:pPr>
      <w:r w:rsidRPr="00B17613">
        <w:rPr>
          <w:rFonts w:ascii="Arial" w:eastAsia="Times New Roman" w:hAnsi="Arial" w:cs="Arial"/>
          <w:szCs w:val="24"/>
        </w:rPr>
        <w:t>El VPN de este componente del proyecto se calcula cómo sigue:</w:t>
      </w:r>
    </w:p>
    <w:p w14:paraId="33487684" w14:textId="77777777" w:rsidR="001615CE" w:rsidRPr="00B17613" w:rsidRDefault="001615CE" w:rsidP="001615CE">
      <w:pPr>
        <w:pStyle w:val="ListParagraph"/>
        <w:numPr>
          <w:ilvl w:val="0"/>
          <w:numId w:val="25"/>
        </w:numPr>
        <w:spacing w:before="120" w:after="120" w:line="240" w:lineRule="auto"/>
        <w:jc w:val="both"/>
        <w:rPr>
          <w:rFonts w:ascii="Arial" w:eastAsia="Times New Roman" w:hAnsi="Arial" w:cs="Arial"/>
          <w:sz w:val="20"/>
        </w:rPr>
      </w:pPr>
      <w:r w:rsidRPr="00B17613">
        <w:rPr>
          <w:rFonts w:ascii="Arial" w:eastAsia="Times New Roman" w:hAnsi="Arial" w:cs="Arial"/>
          <w:szCs w:val="24"/>
        </w:rPr>
        <w:t xml:space="preserve">    </w:t>
      </w:r>
      <m:oMath>
        <m:sSup>
          <m:sSupPr>
            <m:ctrlPr>
              <w:rPr>
                <w:rFonts w:ascii="Cambria Math" w:hAnsi="Cambria Math" w:cs="Arial"/>
                <w:i/>
                <w:sz w:val="20"/>
              </w:rPr>
            </m:ctrlPr>
          </m:sSupPr>
          <m:e>
            <m:r>
              <w:rPr>
                <w:rFonts w:ascii="Cambria Math" w:hAnsi="Cambria Math" w:cs="Arial"/>
                <w:sz w:val="20"/>
              </w:rPr>
              <m:t>VPN</m:t>
            </m:r>
          </m:e>
          <m:sup>
            <m:r>
              <w:rPr>
                <w:rFonts w:ascii="Cambria Math" w:hAnsi="Cambria Math" w:cs="Arial"/>
                <w:sz w:val="20"/>
              </w:rPr>
              <m:t>RdO</m:t>
            </m:r>
          </m:sup>
        </m:sSup>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t=1</m:t>
            </m:r>
          </m:sub>
          <m:sup>
            <m:r>
              <w:rPr>
                <w:rFonts w:ascii="Cambria Math" w:hAnsi="Cambria Math" w:cs="Arial"/>
                <w:sz w:val="20"/>
              </w:rPr>
              <m:t>5</m:t>
            </m:r>
          </m:sup>
          <m:e>
            <m:f>
              <m:fPr>
                <m:ctrlPr>
                  <w:rPr>
                    <w:rFonts w:ascii="Cambria Math" w:hAnsi="Cambria Math" w:cs="Arial"/>
                    <w:i/>
                    <w:sz w:val="20"/>
                  </w:rPr>
                </m:ctrlPr>
              </m:fPr>
              <m:num>
                <m:r>
                  <w:rPr>
                    <w:rFonts w:ascii="Cambria Math" w:hAnsi="Cambria Math" w:cs="Arial"/>
                    <w:sz w:val="20"/>
                  </w:rPr>
                  <m:t>C</m:t>
                </m:r>
              </m:num>
              <m:den>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Arial"/>
                            <w:sz w:val="20"/>
                          </w:rPr>
                          <m:t>1+r</m:t>
                        </m:r>
                      </m:e>
                    </m:d>
                  </m:e>
                  <m:sup>
                    <m:r>
                      <w:rPr>
                        <w:rFonts w:ascii="Cambria Math" w:hAnsi="Cambria Math" w:cs="Arial"/>
                        <w:sz w:val="20"/>
                      </w:rPr>
                      <m:t>t</m:t>
                    </m:r>
                  </m:sup>
                </m:sSup>
              </m:den>
            </m:f>
          </m:e>
        </m:nary>
        <m:r>
          <w:rPr>
            <w:rFonts w:ascii="Cambria Math" w:hAnsi="Cambria Math" w:cs="Arial"/>
            <w:sz w:val="20"/>
          </w:rPr>
          <m:t>+N*</m:t>
        </m:r>
        <m:nary>
          <m:naryPr>
            <m:chr m:val="∑"/>
            <m:limLoc m:val="undOvr"/>
            <m:ctrlPr>
              <w:rPr>
                <w:rFonts w:ascii="Cambria Math" w:hAnsi="Cambria Math" w:cs="Arial"/>
                <w:i/>
                <w:sz w:val="20"/>
              </w:rPr>
            </m:ctrlPr>
          </m:naryPr>
          <m:sub>
            <m:r>
              <w:rPr>
                <w:rFonts w:ascii="Cambria Math" w:hAnsi="Cambria Math" w:cs="Arial"/>
                <w:sz w:val="20"/>
              </w:rPr>
              <m:t>t=8</m:t>
            </m:r>
          </m:sub>
          <m:sup>
            <m:r>
              <w:rPr>
                <w:rFonts w:ascii="Cambria Math" w:hAnsi="Cambria Math" w:cs="Arial"/>
                <w:sz w:val="20"/>
              </w:rPr>
              <m:t>54</m:t>
            </m:r>
          </m:sup>
          <m:e>
            <m:f>
              <m:fPr>
                <m:ctrlPr>
                  <w:rPr>
                    <w:rFonts w:ascii="Cambria Math" w:hAnsi="Cambria Math" w:cs="Arial"/>
                    <w:i/>
                    <w:sz w:val="20"/>
                  </w:rPr>
                </m:ctrlPr>
              </m:fPr>
              <m:num>
                <m:r>
                  <w:rPr>
                    <w:rFonts w:ascii="Cambria Math" w:hAnsi="Cambria Math" w:cs="Arial"/>
                    <w:sz w:val="20"/>
                  </w:rPr>
                  <m:t>w*R2</m:t>
                </m:r>
              </m:num>
              <m:den>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Arial"/>
                            <w:sz w:val="20"/>
                          </w:rPr>
                          <m:t>1+r</m:t>
                        </m:r>
                      </m:e>
                    </m:d>
                  </m:e>
                  <m:sup>
                    <m:r>
                      <w:rPr>
                        <w:rFonts w:ascii="Cambria Math" w:hAnsi="Cambria Math" w:cs="Arial"/>
                        <w:sz w:val="20"/>
                      </w:rPr>
                      <m:t>t</m:t>
                    </m:r>
                  </m:sup>
                </m:sSup>
              </m:den>
            </m:f>
          </m:e>
        </m:nary>
      </m:oMath>
    </w:p>
    <w:p w14:paraId="33487685" w14:textId="77777777" w:rsidR="001615CE" w:rsidRPr="00B17613" w:rsidRDefault="001615CE" w:rsidP="001615CE">
      <w:pPr>
        <w:spacing w:before="120" w:after="120" w:line="240" w:lineRule="auto"/>
        <w:jc w:val="both"/>
        <w:rPr>
          <w:rFonts w:ascii="Arial" w:eastAsia="Times New Roman" w:hAnsi="Arial" w:cs="Arial"/>
          <w:szCs w:val="24"/>
        </w:rPr>
      </w:pPr>
      <m:oMathPara>
        <m:oMath>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t=1</m:t>
              </m:r>
            </m:sub>
            <m:sup>
              <m:r>
                <w:rPr>
                  <w:rFonts w:ascii="Cambria Math" w:hAnsi="Cambria Math" w:cs="Arial"/>
                  <w:sz w:val="20"/>
                </w:rPr>
                <m:t>5</m:t>
              </m:r>
            </m:sup>
            <m:e>
              <m:f>
                <m:fPr>
                  <m:ctrlPr>
                    <w:rPr>
                      <w:rFonts w:ascii="Cambria Math" w:hAnsi="Cambria Math" w:cs="Arial"/>
                      <w:i/>
                      <w:sz w:val="20"/>
                    </w:rPr>
                  </m:ctrlPr>
                </m:fPr>
                <m:num>
                  <m:r>
                    <w:rPr>
                      <w:rFonts w:ascii="Cambria Math" w:hAnsi="Cambria Math" w:cs="Arial"/>
                      <w:sz w:val="20"/>
                    </w:rPr>
                    <m:t>2.000.000</m:t>
                  </m:r>
                </m:num>
                <m:den>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Arial"/>
                              <w:sz w:val="20"/>
                            </w:rPr>
                            <m:t>1+0.05</m:t>
                          </m:r>
                        </m:e>
                      </m:d>
                    </m:e>
                    <m:sup>
                      <m:r>
                        <w:rPr>
                          <w:rFonts w:ascii="Cambria Math" w:hAnsi="Cambria Math" w:cs="Arial"/>
                          <w:sz w:val="20"/>
                        </w:rPr>
                        <m:t>t</m:t>
                      </m:r>
                    </m:sup>
                  </m:sSup>
                </m:den>
              </m:f>
            </m:e>
          </m:nary>
          <m:r>
            <w:rPr>
              <w:rFonts w:ascii="Cambria Math" w:hAnsi="Cambria Math" w:cs="Arial"/>
              <w:sz w:val="20"/>
            </w:rPr>
            <m:t>+47000*</m:t>
          </m:r>
          <m:nary>
            <m:naryPr>
              <m:chr m:val="∑"/>
              <m:limLoc m:val="undOvr"/>
              <m:ctrlPr>
                <w:rPr>
                  <w:rFonts w:ascii="Cambria Math" w:hAnsi="Cambria Math" w:cs="Arial"/>
                  <w:i/>
                  <w:sz w:val="20"/>
                </w:rPr>
              </m:ctrlPr>
            </m:naryPr>
            <m:sub>
              <m:r>
                <w:rPr>
                  <w:rFonts w:ascii="Cambria Math" w:hAnsi="Cambria Math" w:cs="Arial"/>
                  <w:sz w:val="20"/>
                </w:rPr>
                <m:t>t=8</m:t>
              </m:r>
            </m:sub>
            <m:sup>
              <m:r>
                <w:rPr>
                  <w:rFonts w:ascii="Cambria Math" w:hAnsi="Cambria Math" w:cs="Arial"/>
                  <w:sz w:val="20"/>
                </w:rPr>
                <m:t>54</m:t>
              </m:r>
            </m:sup>
            <m:e>
              <m:f>
                <m:fPr>
                  <m:ctrlPr>
                    <w:rPr>
                      <w:rFonts w:ascii="Cambria Math" w:hAnsi="Cambria Math" w:cs="Arial"/>
                      <w:i/>
                      <w:sz w:val="20"/>
                    </w:rPr>
                  </m:ctrlPr>
                </m:fPr>
                <m:num>
                  <m:r>
                    <w:rPr>
                      <w:rFonts w:ascii="Cambria Math" w:hAnsi="Cambria Math" w:cs="Arial"/>
                      <w:sz w:val="20"/>
                    </w:rPr>
                    <m:t>3000*0.0835</m:t>
                  </m:r>
                </m:num>
                <m:den>
                  <m:sSup>
                    <m:sSupPr>
                      <m:ctrlPr>
                        <w:rPr>
                          <w:rFonts w:ascii="Cambria Math" w:hAnsi="Cambria Math" w:cs="Arial"/>
                          <w:i/>
                          <w:sz w:val="20"/>
                        </w:rPr>
                      </m:ctrlPr>
                    </m:sSupPr>
                    <m:e>
                      <m:d>
                        <m:dPr>
                          <m:ctrlPr>
                            <w:rPr>
                              <w:rFonts w:ascii="Cambria Math" w:hAnsi="Cambria Math" w:cs="Arial"/>
                              <w:i/>
                              <w:sz w:val="20"/>
                            </w:rPr>
                          </m:ctrlPr>
                        </m:dPr>
                        <m:e>
                          <m:r>
                            <w:rPr>
                              <w:rFonts w:ascii="Cambria Math" w:hAnsi="Cambria Math" w:cs="Arial"/>
                              <w:sz w:val="20"/>
                            </w:rPr>
                            <m:t>1+0.05</m:t>
                          </m:r>
                        </m:e>
                      </m:d>
                    </m:e>
                    <m:sup>
                      <m:r>
                        <w:rPr>
                          <w:rFonts w:ascii="Cambria Math" w:hAnsi="Cambria Math" w:cs="Arial"/>
                          <w:sz w:val="20"/>
                        </w:rPr>
                        <m:t>t</m:t>
                      </m:r>
                    </m:sup>
                  </m:sSup>
                </m:den>
              </m:f>
            </m:e>
          </m:nary>
          <m:r>
            <w:rPr>
              <w:rFonts w:ascii="Cambria Math" w:hAnsi="Cambria Math" w:cs="Arial"/>
              <w:sz w:val="20"/>
            </w:rPr>
            <m:t>=US$ 122,7 millones</m:t>
          </m:r>
        </m:oMath>
      </m:oMathPara>
    </w:p>
    <w:p w14:paraId="33487686" w14:textId="77777777" w:rsidR="001615CE" w:rsidRPr="00B17613" w:rsidRDefault="001615CE" w:rsidP="00AC4701">
      <w:pPr>
        <w:spacing w:before="120" w:after="120" w:line="240" w:lineRule="auto"/>
        <w:jc w:val="both"/>
        <w:rPr>
          <w:rFonts w:ascii="Arial" w:eastAsia="Times New Roman" w:hAnsi="Arial" w:cs="Arial"/>
          <w:szCs w:val="24"/>
        </w:rPr>
      </w:pPr>
      <w:r w:rsidRPr="00B17613">
        <w:rPr>
          <w:rFonts w:ascii="Arial" w:eastAsia="Times New Roman" w:hAnsi="Arial" w:cs="Arial"/>
          <w:szCs w:val="24"/>
        </w:rPr>
        <w:t xml:space="preserve">En que C es el costo anual de la implementación del RUB y </w:t>
      </w:r>
      <w:proofErr w:type="spellStart"/>
      <w:r w:rsidRPr="00B17613">
        <w:rPr>
          <w:rFonts w:ascii="Arial" w:eastAsia="Times New Roman" w:hAnsi="Arial" w:cs="Arial"/>
          <w:szCs w:val="24"/>
        </w:rPr>
        <w:t>refocalización</w:t>
      </w:r>
      <w:proofErr w:type="spellEnd"/>
      <w:r w:rsidRPr="00B17613">
        <w:rPr>
          <w:rFonts w:ascii="Arial" w:eastAsia="Times New Roman" w:hAnsi="Arial" w:cs="Arial"/>
          <w:szCs w:val="24"/>
        </w:rPr>
        <w:t xml:space="preserve"> de la </w:t>
      </w:r>
      <w:proofErr w:type="spellStart"/>
      <w:r w:rsidRPr="00B17613">
        <w:rPr>
          <w:rFonts w:ascii="Arial" w:eastAsia="Times New Roman" w:hAnsi="Arial" w:cs="Arial"/>
          <w:szCs w:val="24"/>
        </w:rPr>
        <w:t>RdO</w:t>
      </w:r>
      <w:proofErr w:type="spellEnd"/>
      <w:r w:rsidRPr="00B17613">
        <w:rPr>
          <w:rFonts w:ascii="Arial" w:eastAsia="Times New Roman" w:hAnsi="Arial" w:cs="Arial"/>
          <w:szCs w:val="24"/>
        </w:rPr>
        <w:t xml:space="preserve"> (US$ 2 millones, entre los años 1 y 5), N es el número de nuevos niños en pobreza extrema beneficiarios de la </w:t>
      </w:r>
      <w:proofErr w:type="spellStart"/>
      <w:r w:rsidRPr="00B17613">
        <w:rPr>
          <w:rFonts w:ascii="Arial" w:eastAsia="Times New Roman" w:hAnsi="Arial" w:cs="Arial"/>
          <w:szCs w:val="24"/>
        </w:rPr>
        <w:t>RdO</w:t>
      </w:r>
      <w:proofErr w:type="spellEnd"/>
      <w:r w:rsidRPr="00B17613">
        <w:rPr>
          <w:rFonts w:ascii="Arial" w:eastAsia="Times New Roman" w:hAnsi="Arial" w:cs="Arial"/>
          <w:szCs w:val="24"/>
        </w:rPr>
        <w:t xml:space="preserve"> (4</w:t>
      </w:r>
      <w:r w:rsidR="008B5037" w:rsidRPr="00B17613">
        <w:rPr>
          <w:rFonts w:ascii="Arial" w:eastAsia="Times New Roman" w:hAnsi="Arial" w:cs="Arial"/>
          <w:szCs w:val="24"/>
        </w:rPr>
        <w:t>7</w:t>
      </w:r>
      <w:r w:rsidRPr="00B17613">
        <w:rPr>
          <w:rFonts w:ascii="Arial" w:eastAsia="Times New Roman" w:hAnsi="Arial" w:cs="Arial"/>
          <w:szCs w:val="24"/>
        </w:rPr>
        <w:t xml:space="preserve">.000), </w:t>
      </w:r>
      <w:r w:rsidRPr="00B17613">
        <w:rPr>
          <w:rFonts w:ascii="Arial" w:eastAsia="Times New Roman" w:hAnsi="Arial" w:cs="Arial"/>
          <w:i/>
          <w:szCs w:val="24"/>
        </w:rPr>
        <w:t>w</w:t>
      </w:r>
      <w:r w:rsidRPr="00B17613">
        <w:rPr>
          <w:rFonts w:ascii="Arial" w:eastAsia="Times New Roman" w:hAnsi="Arial" w:cs="Arial"/>
          <w:szCs w:val="24"/>
        </w:rPr>
        <w:t xml:space="preserve"> es el ingreso laboral anual promedio de individuos con 9 años de escolaridad (US$ 3.000), </w:t>
      </w:r>
      <w:r w:rsidRPr="00B17613">
        <w:rPr>
          <w:rFonts w:ascii="Arial" w:eastAsia="Times New Roman" w:hAnsi="Arial" w:cs="Arial"/>
          <w:i/>
          <w:szCs w:val="24"/>
        </w:rPr>
        <w:t>R</w:t>
      </w:r>
      <w:r w:rsidR="00E12285" w:rsidRPr="00B17613">
        <w:rPr>
          <w:rFonts w:ascii="Arial" w:eastAsia="Times New Roman" w:hAnsi="Arial" w:cs="Arial"/>
          <w:i/>
          <w:szCs w:val="24"/>
        </w:rPr>
        <w:t>2</w:t>
      </w:r>
      <w:r w:rsidRPr="00B17613">
        <w:rPr>
          <w:rFonts w:ascii="Arial" w:eastAsia="Times New Roman" w:hAnsi="Arial" w:cs="Arial"/>
          <w:szCs w:val="24"/>
        </w:rPr>
        <w:t xml:space="preserve"> es el retorno del aumento en 0,5 años de los beneficiarios de la </w:t>
      </w:r>
      <w:proofErr w:type="spellStart"/>
      <w:r w:rsidRPr="00B17613">
        <w:rPr>
          <w:rFonts w:ascii="Arial" w:eastAsia="Times New Roman" w:hAnsi="Arial" w:cs="Arial"/>
          <w:szCs w:val="24"/>
        </w:rPr>
        <w:t>RdO</w:t>
      </w:r>
      <w:proofErr w:type="spellEnd"/>
      <w:r w:rsidRPr="00B17613">
        <w:rPr>
          <w:rFonts w:ascii="Arial" w:eastAsia="Times New Roman" w:hAnsi="Arial" w:cs="Arial"/>
          <w:szCs w:val="24"/>
        </w:rPr>
        <w:t xml:space="preserve"> (8,35%) y </w:t>
      </w:r>
      <w:r w:rsidRPr="00B17613">
        <w:rPr>
          <w:rFonts w:ascii="Arial" w:eastAsia="Times New Roman" w:hAnsi="Arial" w:cs="Arial"/>
          <w:i/>
          <w:szCs w:val="24"/>
        </w:rPr>
        <w:t>r</w:t>
      </w:r>
      <w:r w:rsidRPr="00B17613">
        <w:rPr>
          <w:rFonts w:ascii="Arial" w:eastAsia="Times New Roman" w:hAnsi="Arial" w:cs="Arial"/>
          <w:szCs w:val="24"/>
        </w:rPr>
        <w:t xml:space="preserve"> es la tasa de descuento. </w:t>
      </w:r>
    </w:p>
    <w:p w14:paraId="33487687" w14:textId="77777777" w:rsidR="00BB728A" w:rsidRPr="00B17613" w:rsidRDefault="00BB728A" w:rsidP="00AC4701">
      <w:pPr>
        <w:spacing w:before="120" w:after="120" w:line="240" w:lineRule="auto"/>
        <w:jc w:val="both"/>
        <w:rPr>
          <w:rFonts w:ascii="Arial" w:eastAsia="Times New Roman" w:hAnsi="Arial" w:cs="Arial"/>
          <w:szCs w:val="24"/>
        </w:rPr>
      </w:pPr>
      <w:r w:rsidRPr="00B17613">
        <w:rPr>
          <w:rFonts w:ascii="Arial" w:eastAsia="Times New Roman" w:hAnsi="Arial" w:cs="Arial"/>
          <w:szCs w:val="24"/>
        </w:rPr>
        <w:t>El valor presente neto (VPN) de este componente de la operación es de US$141,4 millones.</w:t>
      </w:r>
    </w:p>
    <w:p w14:paraId="33487688" w14:textId="77777777" w:rsidR="00A44365" w:rsidRPr="00B17613" w:rsidRDefault="001745BF" w:rsidP="00545471">
      <w:pPr>
        <w:keepNext/>
        <w:spacing w:before="120" w:after="120" w:line="240" w:lineRule="auto"/>
        <w:jc w:val="center"/>
        <w:rPr>
          <w:rFonts w:ascii="Arial" w:hAnsi="Arial" w:cs="Arial"/>
          <w:b/>
          <w:szCs w:val="24"/>
          <w:lang w:eastAsia="es-ES"/>
        </w:rPr>
      </w:pPr>
      <w:r w:rsidRPr="00B17613">
        <w:rPr>
          <w:rFonts w:ascii="Arial" w:hAnsi="Arial" w:cs="Arial"/>
          <w:b/>
          <w:szCs w:val="24"/>
          <w:lang w:eastAsia="es-ES"/>
        </w:rPr>
        <w:t>Tabl</w:t>
      </w:r>
      <w:r w:rsidR="004A2D0F" w:rsidRPr="00B17613">
        <w:rPr>
          <w:rFonts w:ascii="Arial" w:hAnsi="Arial" w:cs="Arial"/>
          <w:b/>
          <w:szCs w:val="24"/>
          <w:lang w:eastAsia="es-ES"/>
        </w:rPr>
        <w:t>a</w:t>
      </w:r>
      <w:r w:rsidRPr="00B17613">
        <w:rPr>
          <w:rFonts w:ascii="Arial" w:hAnsi="Arial" w:cs="Arial"/>
          <w:b/>
          <w:szCs w:val="24"/>
          <w:lang w:eastAsia="es-ES"/>
        </w:rPr>
        <w:t xml:space="preserve"> 1 – Ecuación </w:t>
      </w:r>
      <w:proofErr w:type="spellStart"/>
      <w:r w:rsidRPr="00B17613">
        <w:rPr>
          <w:rFonts w:ascii="Arial" w:hAnsi="Arial" w:cs="Arial"/>
          <w:b/>
          <w:szCs w:val="24"/>
          <w:lang w:eastAsia="es-ES"/>
        </w:rPr>
        <w:t>minceriana</w:t>
      </w:r>
      <w:proofErr w:type="spellEnd"/>
      <w:r w:rsidRPr="00B17613">
        <w:rPr>
          <w:rFonts w:ascii="Arial" w:hAnsi="Arial" w:cs="Arial"/>
          <w:b/>
          <w:szCs w:val="24"/>
          <w:lang w:eastAsia="es-ES"/>
        </w:rPr>
        <w:t xml:space="preserve"> de ingreso laboral</w:t>
      </w:r>
    </w:p>
    <w:tbl>
      <w:tblPr>
        <w:tblW w:w="7100" w:type="dxa"/>
        <w:jc w:val="center"/>
        <w:tblLook w:val="04A0" w:firstRow="1" w:lastRow="0" w:firstColumn="1" w:lastColumn="0" w:noHBand="0" w:noVBand="1"/>
      </w:tblPr>
      <w:tblGrid>
        <w:gridCol w:w="2700"/>
        <w:gridCol w:w="2200"/>
        <w:gridCol w:w="2200"/>
      </w:tblGrid>
      <w:tr w:rsidR="00195DAD" w:rsidRPr="00B17613" w14:paraId="3348768C" w14:textId="77777777" w:rsidTr="00545471">
        <w:trPr>
          <w:trHeight w:val="300"/>
          <w:jc w:val="center"/>
        </w:trPr>
        <w:tc>
          <w:tcPr>
            <w:tcW w:w="2700" w:type="dxa"/>
            <w:tcBorders>
              <w:top w:val="single" w:sz="4" w:space="0" w:color="auto"/>
              <w:left w:val="nil"/>
              <w:bottom w:val="single" w:sz="4" w:space="0" w:color="auto"/>
              <w:right w:val="nil"/>
            </w:tcBorders>
            <w:shd w:val="clear" w:color="auto" w:fill="auto"/>
            <w:noWrap/>
            <w:vAlign w:val="bottom"/>
            <w:hideMark/>
          </w:tcPr>
          <w:p w14:paraId="33487689"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 xml:space="preserve">y = </w:t>
            </w:r>
            <w:proofErr w:type="spellStart"/>
            <w:proofErr w:type="gramStart"/>
            <w:r w:rsidRPr="00B17613">
              <w:rPr>
                <w:rFonts w:ascii="Arial" w:eastAsia="Times New Roman" w:hAnsi="Arial" w:cs="Arial"/>
                <w:color w:val="000000"/>
                <w:sz w:val="18"/>
                <w:szCs w:val="20"/>
              </w:rPr>
              <w:t>ln</w:t>
            </w:r>
            <w:proofErr w:type="spellEnd"/>
            <w:r w:rsidRPr="00B17613">
              <w:rPr>
                <w:rFonts w:ascii="Arial" w:eastAsia="Times New Roman" w:hAnsi="Arial" w:cs="Arial"/>
                <w:color w:val="000000"/>
                <w:sz w:val="18"/>
                <w:szCs w:val="20"/>
              </w:rPr>
              <w:t>(</w:t>
            </w:r>
            <w:proofErr w:type="gramEnd"/>
            <w:r w:rsidRPr="00B17613">
              <w:rPr>
                <w:rFonts w:ascii="Arial" w:eastAsia="Times New Roman" w:hAnsi="Arial" w:cs="Arial"/>
                <w:color w:val="000000"/>
                <w:sz w:val="18"/>
                <w:szCs w:val="20"/>
              </w:rPr>
              <w:t>1+ingreso laboral)</w:t>
            </w:r>
          </w:p>
        </w:tc>
        <w:tc>
          <w:tcPr>
            <w:tcW w:w="2200" w:type="dxa"/>
            <w:tcBorders>
              <w:top w:val="single" w:sz="4" w:space="0" w:color="auto"/>
              <w:left w:val="nil"/>
              <w:bottom w:val="single" w:sz="4" w:space="0" w:color="auto"/>
              <w:right w:val="nil"/>
            </w:tcBorders>
            <w:shd w:val="clear" w:color="auto" w:fill="auto"/>
            <w:noWrap/>
            <w:vAlign w:val="bottom"/>
            <w:hideMark/>
          </w:tcPr>
          <w:p w14:paraId="3348768A"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proofErr w:type="spellStart"/>
            <w:r w:rsidRPr="00B17613">
              <w:rPr>
                <w:rFonts w:ascii="Arial" w:eastAsia="Times New Roman" w:hAnsi="Arial" w:cs="Arial"/>
                <w:color w:val="000000"/>
                <w:sz w:val="18"/>
                <w:szCs w:val="20"/>
              </w:rPr>
              <w:t>Coef</w:t>
            </w:r>
            <w:proofErr w:type="spellEnd"/>
            <w:r w:rsidRPr="00B17613">
              <w:rPr>
                <w:rFonts w:ascii="Arial" w:eastAsia="Times New Roman" w:hAnsi="Arial" w:cs="Arial"/>
                <w:color w:val="000000"/>
                <w:sz w:val="18"/>
                <w:szCs w:val="20"/>
              </w:rPr>
              <w:t>.</w:t>
            </w:r>
          </w:p>
        </w:tc>
        <w:tc>
          <w:tcPr>
            <w:tcW w:w="2200" w:type="dxa"/>
            <w:tcBorders>
              <w:top w:val="single" w:sz="4" w:space="0" w:color="auto"/>
              <w:left w:val="nil"/>
              <w:bottom w:val="single" w:sz="4" w:space="0" w:color="auto"/>
              <w:right w:val="nil"/>
            </w:tcBorders>
            <w:shd w:val="clear" w:color="auto" w:fill="auto"/>
            <w:noWrap/>
            <w:vAlign w:val="bottom"/>
            <w:hideMark/>
          </w:tcPr>
          <w:p w14:paraId="3348768B"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 xml:space="preserve">Error </w:t>
            </w:r>
            <w:r w:rsidR="004A2D0F" w:rsidRPr="00B17613">
              <w:rPr>
                <w:rFonts w:ascii="Arial" w:eastAsia="Times New Roman" w:hAnsi="Arial" w:cs="Arial"/>
                <w:color w:val="000000"/>
                <w:sz w:val="18"/>
                <w:szCs w:val="20"/>
              </w:rPr>
              <w:t>estándar</w:t>
            </w:r>
          </w:p>
        </w:tc>
      </w:tr>
      <w:tr w:rsidR="00195DAD" w:rsidRPr="00B17613" w14:paraId="33487690"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8D"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Años de escolaridad</w:t>
            </w:r>
          </w:p>
        </w:tc>
        <w:tc>
          <w:tcPr>
            <w:tcW w:w="2200" w:type="dxa"/>
            <w:tcBorders>
              <w:top w:val="nil"/>
              <w:left w:val="nil"/>
              <w:bottom w:val="nil"/>
              <w:right w:val="nil"/>
            </w:tcBorders>
            <w:shd w:val="clear" w:color="auto" w:fill="auto"/>
            <w:noWrap/>
            <w:vAlign w:val="bottom"/>
            <w:hideMark/>
          </w:tcPr>
          <w:p w14:paraId="3348768E"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0.1674815</w:t>
            </w:r>
          </w:p>
        </w:tc>
        <w:tc>
          <w:tcPr>
            <w:tcW w:w="2200" w:type="dxa"/>
            <w:tcBorders>
              <w:top w:val="nil"/>
              <w:left w:val="nil"/>
              <w:bottom w:val="nil"/>
              <w:right w:val="nil"/>
            </w:tcBorders>
            <w:shd w:val="clear" w:color="auto" w:fill="auto"/>
            <w:noWrap/>
            <w:vAlign w:val="bottom"/>
            <w:hideMark/>
          </w:tcPr>
          <w:p w14:paraId="3348768F"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0.0032264</w:t>
            </w:r>
          </w:p>
        </w:tc>
      </w:tr>
      <w:tr w:rsidR="00195DAD" w:rsidRPr="00B17613" w14:paraId="33487694"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91"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Edad</w:t>
            </w:r>
          </w:p>
        </w:tc>
        <w:tc>
          <w:tcPr>
            <w:tcW w:w="2200" w:type="dxa"/>
            <w:tcBorders>
              <w:top w:val="nil"/>
              <w:left w:val="nil"/>
              <w:bottom w:val="nil"/>
              <w:right w:val="nil"/>
            </w:tcBorders>
            <w:shd w:val="clear" w:color="auto" w:fill="auto"/>
            <w:noWrap/>
            <w:vAlign w:val="bottom"/>
            <w:hideMark/>
          </w:tcPr>
          <w:p w14:paraId="33487692"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0.3516287</w:t>
            </w:r>
          </w:p>
        </w:tc>
        <w:tc>
          <w:tcPr>
            <w:tcW w:w="2200" w:type="dxa"/>
            <w:tcBorders>
              <w:top w:val="nil"/>
              <w:left w:val="nil"/>
              <w:bottom w:val="nil"/>
              <w:right w:val="nil"/>
            </w:tcBorders>
            <w:shd w:val="clear" w:color="auto" w:fill="auto"/>
            <w:noWrap/>
            <w:vAlign w:val="bottom"/>
            <w:hideMark/>
          </w:tcPr>
          <w:p w14:paraId="33487693"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0.0075236</w:t>
            </w:r>
          </w:p>
        </w:tc>
      </w:tr>
      <w:tr w:rsidR="00195DAD" w:rsidRPr="00B17613" w14:paraId="33487698"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95"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Edad al cuadrado</w:t>
            </w:r>
          </w:p>
        </w:tc>
        <w:tc>
          <w:tcPr>
            <w:tcW w:w="2200" w:type="dxa"/>
            <w:tcBorders>
              <w:top w:val="nil"/>
              <w:left w:val="nil"/>
              <w:bottom w:val="nil"/>
              <w:right w:val="nil"/>
            </w:tcBorders>
            <w:shd w:val="clear" w:color="auto" w:fill="auto"/>
            <w:noWrap/>
            <w:vAlign w:val="bottom"/>
            <w:hideMark/>
          </w:tcPr>
          <w:p w14:paraId="33487696"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-0.0040895</w:t>
            </w:r>
          </w:p>
        </w:tc>
        <w:tc>
          <w:tcPr>
            <w:tcW w:w="2200" w:type="dxa"/>
            <w:tcBorders>
              <w:top w:val="nil"/>
              <w:left w:val="nil"/>
              <w:bottom w:val="nil"/>
              <w:right w:val="nil"/>
            </w:tcBorders>
            <w:shd w:val="clear" w:color="auto" w:fill="auto"/>
            <w:noWrap/>
            <w:vAlign w:val="bottom"/>
            <w:hideMark/>
          </w:tcPr>
          <w:p w14:paraId="33487697"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0.0000942</w:t>
            </w:r>
          </w:p>
        </w:tc>
      </w:tr>
      <w:tr w:rsidR="00195DAD" w:rsidRPr="00B17613" w14:paraId="3348769C"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99"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Mujer</w:t>
            </w:r>
          </w:p>
        </w:tc>
        <w:tc>
          <w:tcPr>
            <w:tcW w:w="2200" w:type="dxa"/>
            <w:tcBorders>
              <w:top w:val="nil"/>
              <w:left w:val="nil"/>
              <w:bottom w:val="nil"/>
              <w:right w:val="nil"/>
            </w:tcBorders>
            <w:shd w:val="clear" w:color="auto" w:fill="auto"/>
            <w:noWrap/>
            <w:vAlign w:val="bottom"/>
            <w:hideMark/>
          </w:tcPr>
          <w:p w14:paraId="3348769A"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-2.471087</w:t>
            </w:r>
          </w:p>
        </w:tc>
        <w:tc>
          <w:tcPr>
            <w:tcW w:w="2200" w:type="dxa"/>
            <w:tcBorders>
              <w:top w:val="nil"/>
              <w:left w:val="nil"/>
              <w:bottom w:val="nil"/>
              <w:right w:val="nil"/>
            </w:tcBorders>
            <w:shd w:val="clear" w:color="auto" w:fill="auto"/>
            <w:noWrap/>
            <w:vAlign w:val="bottom"/>
            <w:hideMark/>
          </w:tcPr>
          <w:p w14:paraId="3348769B"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0.0302117</w:t>
            </w:r>
          </w:p>
        </w:tc>
      </w:tr>
      <w:tr w:rsidR="00195DAD" w:rsidRPr="00B17613" w14:paraId="334876A0"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9D"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2</w:t>
            </w:r>
          </w:p>
        </w:tc>
        <w:tc>
          <w:tcPr>
            <w:tcW w:w="2200" w:type="dxa"/>
            <w:tcBorders>
              <w:top w:val="nil"/>
              <w:left w:val="nil"/>
              <w:bottom w:val="nil"/>
              <w:right w:val="nil"/>
            </w:tcBorders>
            <w:shd w:val="clear" w:color="auto" w:fill="auto"/>
            <w:noWrap/>
            <w:vAlign w:val="bottom"/>
            <w:hideMark/>
          </w:tcPr>
          <w:p w14:paraId="3348769E"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-0.2929352</w:t>
            </w:r>
          </w:p>
        </w:tc>
        <w:tc>
          <w:tcPr>
            <w:tcW w:w="2200" w:type="dxa"/>
            <w:tcBorders>
              <w:top w:val="nil"/>
              <w:left w:val="nil"/>
              <w:bottom w:val="nil"/>
              <w:right w:val="nil"/>
            </w:tcBorders>
            <w:shd w:val="clear" w:color="auto" w:fill="auto"/>
            <w:noWrap/>
            <w:vAlign w:val="bottom"/>
            <w:hideMark/>
          </w:tcPr>
          <w:p w14:paraId="3348769F"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0.0501016</w:t>
            </w:r>
          </w:p>
        </w:tc>
      </w:tr>
      <w:tr w:rsidR="00195DAD" w:rsidRPr="00B17613" w14:paraId="334876A4"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A1"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3</w:t>
            </w:r>
          </w:p>
        </w:tc>
        <w:tc>
          <w:tcPr>
            <w:tcW w:w="2200" w:type="dxa"/>
            <w:tcBorders>
              <w:top w:val="nil"/>
              <w:left w:val="nil"/>
              <w:bottom w:val="nil"/>
              <w:right w:val="nil"/>
            </w:tcBorders>
            <w:shd w:val="clear" w:color="auto" w:fill="auto"/>
            <w:noWrap/>
            <w:vAlign w:val="bottom"/>
            <w:hideMark/>
          </w:tcPr>
          <w:p w14:paraId="334876A2"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-0.3616271</w:t>
            </w:r>
          </w:p>
        </w:tc>
        <w:tc>
          <w:tcPr>
            <w:tcW w:w="2200" w:type="dxa"/>
            <w:tcBorders>
              <w:top w:val="nil"/>
              <w:left w:val="nil"/>
              <w:bottom w:val="nil"/>
              <w:right w:val="nil"/>
            </w:tcBorders>
            <w:shd w:val="clear" w:color="auto" w:fill="auto"/>
            <w:noWrap/>
            <w:vAlign w:val="bottom"/>
            <w:hideMark/>
          </w:tcPr>
          <w:p w14:paraId="334876A3"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0.0712875</w:t>
            </w:r>
          </w:p>
        </w:tc>
      </w:tr>
      <w:tr w:rsidR="00195DAD" w:rsidRPr="00B17613" w14:paraId="334876A8"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A5"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4</w:t>
            </w:r>
          </w:p>
        </w:tc>
        <w:tc>
          <w:tcPr>
            <w:tcW w:w="2200" w:type="dxa"/>
            <w:tcBorders>
              <w:top w:val="nil"/>
              <w:left w:val="nil"/>
              <w:bottom w:val="nil"/>
              <w:right w:val="nil"/>
            </w:tcBorders>
            <w:shd w:val="clear" w:color="auto" w:fill="auto"/>
            <w:noWrap/>
            <w:vAlign w:val="bottom"/>
            <w:hideMark/>
          </w:tcPr>
          <w:p w14:paraId="334876A6"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-0.3560806</w:t>
            </w:r>
          </w:p>
        </w:tc>
        <w:tc>
          <w:tcPr>
            <w:tcW w:w="2200" w:type="dxa"/>
            <w:tcBorders>
              <w:top w:val="nil"/>
              <w:left w:val="nil"/>
              <w:bottom w:val="nil"/>
              <w:right w:val="nil"/>
            </w:tcBorders>
            <w:shd w:val="clear" w:color="auto" w:fill="auto"/>
            <w:noWrap/>
            <w:vAlign w:val="bottom"/>
            <w:hideMark/>
          </w:tcPr>
          <w:p w14:paraId="334876A7"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0.0851002</w:t>
            </w:r>
          </w:p>
        </w:tc>
      </w:tr>
      <w:tr w:rsidR="00195DAD" w:rsidRPr="00B17613" w14:paraId="334876AC"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A9"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5</w:t>
            </w:r>
          </w:p>
        </w:tc>
        <w:tc>
          <w:tcPr>
            <w:tcW w:w="2200" w:type="dxa"/>
            <w:tcBorders>
              <w:top w:val="nil"/>
              <w:left w:val="nil"/>
              <w:bottom w:val="nil"/>
              <w:right w:val="nil"/>
            </w:tcBorders>
            <w:shd w:val="clear" w:color="auto" w:fill="auto"/>
            <w:noWrap/>
            <w:vAlign w:val="bottom"/>
            <w:hideMark/>
          </w:tcPr>
          <w:p w14:paraId="334876AA"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-0.1541221</w:t>
            </w:r>
          </w:p>
        </w:tc>
        <w:tc>
          <w:tcPr>
            <w:tcW w:w="2200" w:type="dxa"/>
            <w:tcBorders>
              <w:top w:val="nil"/>
              <w:left w:val="nil"/>
              <w:bottom w:val="nil"/>
              <w:right w:val="nil"/>
            </w:tcBorders>
            <w:shd w:val="clear" w:color="auto" w:fill="auto"/>
            <w:noWrap/>
            <w:vAlign w:val="bottom"/>
            <w:hideMark/>
          </w:tcPr>
          <w:p w14:paraId="334876AB"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0.0596036</w:t>
            </w:r>
          </w:p>
        </w:tc>
      </w:tr>
      <w:tr w:rsidR="00195DAD" w:rsidRPr="00B17613" w14:paraId="334876B0"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AD"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6</w:t>
            </w:r>
          </w:p>
        </w:tc>
        <w:tc>
          <w:tcPr>
            <w:tcW w:w="2200" w:type="dxa"/>
            <w:tcBorders>
              <w:top w:val="nil"/>
              <w:left w:val="nil"/>
              <w:bottom w:val="nil"/>
              <w:right w:val="nil"/>
            </w:tcBorders>
            <w:shd w:val="clear" w:color="auto" w:fill="auto"/>
            <w:noWrap/>
            <w:vAlign w:val="bottom"/>
            <w:hideMark/>
          </w:tcPr>
          <w:p w14:paraId="334876AE"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-0.4104849</w:t>
            </w:r>
          </w:p>
        </w:tc>
        <w:tc>
          <w:tcPr>
            <w:tcW w:w="2200" w:type="dxa"/>
            <w:tcBorders>
              <w:top w:val="nil"/>
              <w:left w:val="nil"/>
              <w:bottom w:val="nil"/>
              <w:right w:val="nil"/>
            </w:tcBorders>
            <w:shd w:val="clear" w:color="auto" w:fill="auto"/>
            <w:noWrap/>
            <w:vAlign w:val="bottom"/>
            <w:hideMark/>
          </w:tcPr>
          <w:p w14:paraId="334876AF"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0.0636823</w:t>
            </w:r>
          </w:p>
        </w:tc>
      </w:tr>
      <w:tr w:rsidR="00195DAD" w:rsidRPr="00B17613" w14:paraId="334876B4"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B1"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7</w:t>
            </w:r>
          </w:p>
        </w:tc>
        <w:tc>
          <w:tcPr>
            <w:tcW w:w="2200" w:type="dxa"/>
            <w:tcBorders>
              <w:top w:val="nil"/>
              <w:left w:val="nil"/>
              <w:bottom w:val="nil"/>
              <w:right w:val="nil"/>
            </w:tcBorders>
            <w:shd w:val="clear" w:color="auto" w:fill="auto"/>
            <w:noWrap/>
            <w:vAlign w:val="bottom"/>
            <w:hideMark/>
          </w:tcPr>
          <w:p w14:paraId="334876B2"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-0.1204078</w:t>
            </w:r>
          </w:p>
        </w:tc>
        <w:tc>
          <w:tcPr>
            <w:tcW w:w="2200" w:type="dxa"/>
            <w:tcBorders>
              <w:top w:val="nil"/>
              <w:left w:val="nil"/>
              <w:bottom w:val="nil"/>
              <w:right w:val="nil"/>
            </w:tcBorders>
            <w:shd w:val="clear" w:color="auto" w:fill="auto"/>
            <w:noWrap/>
            <w:vAlign w:val="bottom"/>
            <w:hideMark/>
          </w:tcPr>
          <w:p w14:paraId="334876B3"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0.0721587</w:t>
            </w:r>
          </w:p>
        </w:tc>
      </w:tr>
      <w:tr w:rsidR="00195DAD" w:rsidRPr="00B17613" w14:paraId="334876B8"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B5"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8</w:t>
            </w:r>
          </w:p>
        </w:tc>
        <w:tc>
          <w:tcPr>
            <w:tcW w:w="2200" w:type="dxa"/>
            <w:tcBorders>
              <w:top w:val="nil"/>
              <w:left w:val="nil"/>
              <w:bottom w:val="nil"/>
              <w:right w:val="nil"/>
            </w:tcBorders>
            <w:shd w:val="clear" w:color="auto" w:fill="auto"/>
            <w:noWrap/>
            <w:vAlign w:val="bottom"/>
            <w:hideMark/>
          </w:tcPr>
          <w:p w14:paraId="334876B6"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0.2374041</w:t>
            </w:r>
          </w:p>
        </w:tc>
        <w:tc>
          <w:tcPr>
            <w:tcW w:w="2200" w:type="dxa"/>
            <w:tcBorders>
              <w:top w:val="nil"/>
              <w:left w:val="nil"/>
              <w:bottom w:val="nil"/>
              <w:right w:val="nil"/>
            </w:tcBorders>
            <w:shd w:val="clear" w:color="auto" w:fill="auto"/>
            <w:noWrap/>
            <w:vAlign w:val="bottom"/>
            <w:hideMark/>
          </w:tcPr>
          <w:p w14:paraId="334876B7"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0.0487334</w:t>
            </w:r>
          </w:p>
        </w:tc>
      </w:tr>
      <w:tr w:rsidR="00195DAD" w:rsidRPr="00B17613" w14:paraId="334876BC"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B9"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9</w:t>
            </w:r>
          </w:p>
        </w:tc>
        <w:tc>
          <w:tcPr>
            <w:tcW w:w="2200" w:type="dxa"/>
            <w:tcBorders>
              <w:top w:val="nil"/>
              <w:left w:val="nil"/>
              <w:bottom w:val="nil"/>
              <w:right w:val="nil"/>
            </w:tcBorders>
            <w:shd w:val="clear" w:color="auto" w:fill="auto"/>
            <w:noWrap/>
            <w:vAlign w:val="bottom"/>
            <w:hideMark/>
          </w:tcPr>
          <w:p w14:paraId="334876BA"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-0.4294922</w:t>
            </w:r>
          </w:p>
        </w:tc>
        <w:tc>
          <w:tcPr>
            <w:tcW w:w="2200" w:type="dxa"/>
            <w:tcBorders>
              <w:top w:val="nil"/>
              <w:left w:val="nil"/>
              <w:bottom w:val="nil"/>
              <w:right w:val="nil"/>
            </w:tcBorders>
            <w:shd w:val="clear" w:color="auto" w:fill="auto"/>
            <w:noWrap/>
            <w:vAlign w:val="bottom"/>
            <w:hideMark/>
          </w:tcPr>
          <w:p w14:paraId="334876BB"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0.1569441</w:t>
            </w:r>
          </w:p>
        </w:tc>
      </w:tr>
      <w:tr w:rsidR="00195DAD" w:rsidRPr="00B17613" w14:paraId="334876C0"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BD"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10</w:t>
            </w:r>
          </w:p>
        </w:tc>
        <w:tc>
          <w:tcPr>
            <w:tcW w:w="2200" w:type="dxa"/>
            <w:tcBorders>
              <w:top w:val="nil"/>
              <w:left w:val="nil"/>
              <w:bottom w:val="nil"/>
              <w:right w:val="nil"/>
            </w:tcBorders>
            <w:shd w:val="clear" w:color="auto" w:fill="auto"/>
            <w:noWrap/>
            <w:vAlign w:val="bottom"/>
            <w:hideMark/>
          </w:tcPr>
          <w:p w14:paraId="334876BE"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0.0835904</w:t>
            </w:r>
          </w:p>
        </w:tc>
        <w:tc>
          <w:tcPr>
            <w:tcW w:w="2200" w:type="dxa"/>
            <w:tcBorders>
              <w:top w:val="nil"/>
              <w:left w:val="nil"/>
              <w:bottom w:val="nil"/>
              <w:right w:val="nil"/>
            </w:tcBorders>
            <w:shd w:val="clear" w:color="auto" w:fill="auto"/>
            <w:noWrap/>
            <w:vAlign w:val="bottom"/>
            <w:hideMark/>
          </w:tcPr>
          <w:p w14:paraId="334876BF"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0.0547984</w:t>
            </w:r>
          </w:p>
        </w:tc>
      </w:tr>
      <w:tr w:rsidR="00195DAD" w:rsidRPr="00B17613" w14:paraId="334876C4"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C1"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11</w:t>
            </w:r>
          </w:p>
        </w:tc>
        <w:tc>
          <w:tcPr>
            <w:tcW w:w="2200" w:type="dxa"/>
            <w:tcBorders>
              <w:top w:val="nil"/>
              <w:left w:val="nil"/>
              <w:bottom w:val="nil"/>
              <w:right w:val="nil"/>
            </w:tcBorders>
            <w:shd w:val="clear" w:color="auto" w:fill="auto"/>
            <w:noWrap/>
            <w:vAlign w:val="bottom"/>
            <w:hideMark/>
          </w:tcPr>
          <w:p w14:paraId="334876C2"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-0.5486034</w:t>
            </w:r>
          </w:p>
        </w:tc>
        <w:tc>
          <w:tcPr>
            <w:tcW w:w="2200" w:type="dxa"/>
            <w:tcBorders>
              <w:top w:val="nil"/>
              <w:left w:val="nil"/>
              <w:bottom w:val="nil"/>
              <w:right w:val="nil"/>
            </w:tcBorders>
            <w:shd w:val="clear" w:color="auto" w:fill="auto"/>
            <w:noWrap/>
            <w:vAlign w:val="bottom"/>
            <w:hideMark/>
          </w:tcPr>
          <w:p w14:paraId="334876C3"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0.132365</w:t>
            </w:r>
          </w:p>
        </w:tc>
      </w:tr>
      <w:tr w:rsidR="00195DAD" w:rsidRPr="00B17613" w14:paraId="334876C8" w14:textId="77777777" w:rsidTr="00545471">
        <w:trPr>
          <w:trHeight w:val="300"/>
          <w:jc w:val="center"/>
        </w:trPr>
        <w:tc>
          <w:tcPr>
            <w:tcW w:w="2700" w:type="dxa"/>
            <w:tcBorders>
              <w:top w:val="nil"/>
              <w:left w:val="nil"/>
              <w:bottom w:val="nil"/>
              <w:right w:val="nil"/>
            </w:tcBorders>
            <w:shd w:val="clear" w:color="auto" w:fill="auto"/>
            <w:noWrap/>
            <w:vAlign w:val="bottom"/>
            <w:hideMark/>
          </w:tcPr>
          <w:p w14:paraId="334876C5"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12</w:t>
            </w:r>
          </w:p>
        </w:tc>
        <w:tc>
          <w:tcPr>
            <w:tcW w:w="2200" w:type="dxa"/>
            <w:tcBorders>
              <w:top w:val="nil"/>
              <w:left w:val="nil"/>
              <w:bottom w:val="nil"/>
              <w:right w:val="nil"/>
            </w:tcBorders>
            <w:shd w:val="clear" w:color="auto" w:fill="auto"/>
            <w:noWrap/>
            <w:vAlign w:val="bottom"/>
            <w:hideMark/>
          </w:tcPr>
          <w:p w14:paraId="334876C6"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-0.269604</w:t>
            </w:r>
          </w:p>
        </w:tc>
        <w:tc>
          <w:tcPr>
            <w:tcW w:w="2200" w:type="dxa"/>
            <w:tcBorders>
              <w:top w:val="nil"/>
              <w:left w:val="nil"/>
              <w:bottom w:val="nil"/>
              <w:right w:val="nil"/>
            </w:tcBorders>
            <w:shd w:val="clear" w:color="auto" w:fill="auto"/>
            <w:noWrap/>
            <w:vAlign w:val="bottom"/>
            <w:hideMark/>
          </w:tcPr>
          <w:p w14:paraId="334876C7"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0.2580494</w:t>
            </w:r>
          </w:p>
        </w:tc>
      </w:tr>
      <w:tr w:rsidR="00195DAD" w:rsidRPr="00B17613" w14:paraId="334876CC" w14:textId="77777777" w:rsidTr="00545471">
        <w:trPr>
          <w:trHeight w:val="300"/>
          <w:jc w:val="center"/>
        </w:trPr>
        <w:tc>
          <w:tcPr>
            <w:tcW w:w="2700" w:type="dxa"/>
            <w:tcBorders>
              <w:top w:val="nil"/>
              <w:left w:val="nil"/>
              <w:right w:val="nil"/>
            </w:tcBorders>
            <w:shd w:val="clear" w:color="auto" w:fill="auto"/>
            <w:noWrap/>
            <w:vAlign w:val="bottom"/>
            <w:hideMark/>
          </w:tcPr>
          <w:p w14:paraId="334876C9"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Distrito 13</w:t>
            </w:r>
          </w:p>
        </w:tc>
        <w:tc>
          <w:tcPr>
            <w:tcW w:w="2200" w:type="dxa"/>
            <w:tcBorders>
              <w:top w:val="nil"/>
              <w:left w:val="nil"/>
              <w:right w:val="nil"/>
            </w:tcBorders>
            <w:shd w:val="clear" w:color="auto" w:fill="auto"/>
            <w:noWrap/>
            <w:vAlign w:val="bottom"/>
            <w:hideMark/>
          </w:tcPr>
          <w:p w14:paraId="334876CA"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-0.7324959</w:t>
            </w:r>
          </w:p>
        </w:tc>
        <w:tc>
          <w:tcPr>
            <w:tcW w:w="2200" w:type="dxa"/>
            <w:tcBorders>
              <w:top w:val="nil"/>
              <w:left w:val="nil"/>
              <w:right w:val="nil"/>
            </w:tcBorders>
            <w:shd w:val="clear" w:color="auto" w:fill="auto"/>
            <w:noWrap/>
            <w:vAlign w:val="bottom"/>
            <w:hideMark/>
          </w:tcPr>
          <w:p w14:paraId="334876CB"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0.347584</w:t>
            </w:r>
          </w:p>
        </w:tc>
      </w:tr>
      <w:tr w:rsidR="00195DAD" w:rsidRPr="00B17613" w14:paraId="334876D0" w14:textId="77777777" w:rsidTr="00545471">
        <w:trPr>
          <w:trHeight w:val="300"/>
          <w:jc w:val="center"/>
        </w:trPr>
        <w:tc>
          <w:tcPr>
            <w:tcW w:w="2700" w:type="dxa"/>
            <w:tcBorders>
              <w:top w:val="nil"/>
              <w:left w:val="nil"/>
              <w:bottom w:val="single" w:sz="4" w:space="0" w:color="auto"/>
              <w:right w:val="nil"/>
            </w:tcBorders>
            <w:shd w:val="clear" w:color="auto" w:fill="auto"/>
            <w:noWrap/>
            <w:vAlign w:val="bottom"/>
            <w:hideMark/>
          </w:tcPr>
          <w:p w14:paraId="334876CD" w14:textId="77777777" w:rsidR="00195DAD" w:rsidRPr="00B17613" w:rsidRDefault="00195DAD" w:rsidP="00DB7FAD">
            <w:pPr>
              <w:keepNext/>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Constante</w:t>
            </w:r>
          </w:p>
        </w:tc>
        <w:tc>
          <w:tcPr>
            <w:tcW w:w="2200" w:type="dxa"/>
            <w:tcBorders>
              <w:top w:val="nil"/>
              <w:left w:val="nil"/>
              <w:bottom w:val="single" w:sz="4" w:space="0" w:color="auto"/>
              <w:right w:val="nil"/>
            </w:tcBorders>
            <w:shd w:val="clear" w:color="auto" w:fill="auto"/>
            <w:noWrap/>
            <w:vAlign w:val="bottom"/>
            <w:hideMark/>
          </w:tcPr>
          <w:p w14:paraId="334876CE"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-3.384948</w:t>
            </w:r>
          </w:p>
        </w:tc>
        <w:tc>
          <w:tcPr>
            <w:tcW w:w="2200" w:type="dxa"/>
            <w:tcBorders>
              <w:top w:val="nil"/>
              <w:left w:val="nil"/>
              <w:bottom w:val="single" w:sz="4" w:space="0" w:color="auto"/>
              <w:right w:val="nil"/>
            </w:tcBorders>
            <w:shd w:val="clear" w:color="auto" w:fill="auto"/>
            <w:noWrap/>
            <w:vAlign w:val="bottom"/>
            <w:hideMark/>
          </w:tcPr>
          <w:p w14:paraId="334876CF" w14:textId="77777777" w:rsidR="00195DAD" w:rsidRPr="00B17613" w:rsidRDefault="00195DAD" w:rsidP="00DB7FAD">
            <w:pPr>
              <w:keepNext/>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0.1460229</w:t>
            </w:r>
          </w:p>
        </w:tc>
      </w:tr>
    </w:tbl>
    <w:p w14:paraId="334876D1" w14:textId="77777777" w:rsidR="00246905" w:rsidRPr="00B17613" w:rsidRDefault="00246905" w:rsidP="003376DE">
      <w:pPr>
        <w:spacing w:before="120" w:after="120" w:line="240" w:lineRule="auto"/>
        <w:jc w:val="both"/>
        <w:rPr>
          <w:rFonts w:ascii="Arial" w:eastAsiaTheme="majorEastAsia" w:hAnsi="Arial" w:cs="Arial"/>
          <w:b/>
          <w:bCs/>
          <w:szCs w:val="24"/>
          <w:u w:val="single"/>
          <w:lang w:eastAsia="es-ES"/>
        </w:rPr>
      </w:pPr>
      <w:bookmarkStart w:id="2" w:name="_Toc342549398"/>
    </w:p>
    <w:p w14:paraId="334876D2" w14:textId="77777777" w:rsidR="00E81859" w:rsidRPr="00B17613" w:rsidRDefault="00E81859" w:rsidP="00E81859">
      <w:pPr>
        <w:pStyle w:val="Heading1"/>
        <w:numPr>
          <w:ilvl w:val="0"/>
          <w:numId w:val="13"/>
        </w:numPr>
        <w:spacing w:before="120" w:after="120" w:line="240" w:lineRule="auto"/>
        <w:jc w:val="both"/>
        <w:rPr>
          <w:rFonts w:ascii="Arial" w:hAnsi="Arial" w:cs="Arial"/>
          <w:color w:val="auto"/>
          <w:sz w:val="22"/>
          <w:szCs w:val="24"/>
          <w:u w:val="single"/>
        </w:rPr>
      </w:pPr>
      <w:r w:rsidRPr="00B17613">
        <w:rPr>
          <w:rFonts w:ascii="Arial" w:hAnsi="Arial" w:cs="Arial"/>
          <w:color w:val="auto"/>
          <w:sz w:val="22"/>
          <w:szCs w:val="24"/>
          <w:u w:val="single"/>
        </w:rPr>
        <w:t>Análisis</w:t>
      </w:r>
      <w:r w:rsidR="00E85EAB" w:rsidRPr="00B17613">
        <w:rPr>
          <w:rFonts w:ascii="Arial" w:hAnsi="Arial" w:cs="Arial"/>
          <w:color w:val="auto"/>
          <w:sz w:val="22"/>
          <w:szCs w:val="24"/>
          <w:u w:val="single"/>
        </w:rPr>
        <w:t xml:space="preserve"> de sensibilidad</w:t>
      </w:r>
      <w:r w:rsidRPr="00B17613">
        <w:rPr>
          <w:rFonts w:ascii="Arial" w:hAnsi="Arial" w:cs="Arial"/>
          <w:color w:val="auto"/>
          <w:sz w:val="22"/>
          <w:szCs w:val="24"/>
          <w:u w:val="single"/>
        </w:rPr>
        <w:t xml:space="preserve"> de los resultados</w:t>
      </w:r>
    </w:p>
    <w:p w14:paraId="334876D3" w14:textId="77777777" w:rsidR="00EF4B7D" w:rsidRPr="00B17613" w:rsidRDefault="00EF4B7D" w:rsidP="00DF675A">
      <w:pPr>
        <w:spacing w:before="120" w:after="120" w:line="240" w:lineRule="auto"/>
        <w:jc w:val="both"/>
        <w:rPr>
          <w:rFonts w:ascii="Arial" w:hAnsi="Arial" w:cs="Arial"/>
          <w:szCs w:val="24"/>
          <w:lang w:eastAsia="es-ES"/>
        </w:rPr>
      </w:pPr>
      <w:r w:rsidRPr="00B17613">
        <w:rPr>
          <w:rFonts w:ascii="Arial" w:hAnsi="Arial" w:cs="Arial"/>
          <w:szCs w:val="24"/>
          <w:lang w:eastAsia="es-ES"/>
        </w:rPr>
        <w:t xml:space="preserve">En la Tabla 2, presentamos el análisis de </w:t>
      </w:r>
      <w:r w:rsidR="00BB728A" w:rsidRPr="00B17613">
        <w:rPr>
          <w:rFonts w:ascii="Arial" w:eastAsia="Times New Roman" w:hAnsi="Arial" w:cs="Arial"/>
          <w:szCs w:val="24"/>
        </w:rPr>
        <w:t>sensibilidad</w:t>
      </w:r>
      <w:r w:rsidR="00BB728A" w:rsidRPr="00B17613" w:rsidDel="00BB728A">
        <w:rPr>
          <w:rFonts w:ascii="Arial" w:hAnsi="Arial" w:cs="Arial"/>
          <w:szCs w:val="24"/>
          <w:lang w:eastAsia="es-ES"/>
        </w:rPr>
        <w:t xml:space="preserve"> </w:t>
      </w:r>
      <w:r w:rsidRPr="00B17613">
        <w:rPr>
          <w:rFonts w:ascii="Arial" w:hAnsi="Arial" w:cs="Arial"/>
          <w:szCs w:val="24"/>
          <w:lang w:eastAsia="es-ES"/>
        </w:rPr>
        <w:t xml:space="preserve">del análisis económico a variaciones en parámetros críticos. Consideramos diferentes valores en los siguientes </w:t>
      </w:r>
      <w:r w:rsidRPr="00B17613">
        <w:rPr>
          <w:rFonts w:ascii="Arial" w:hAnsi="Arial" w:cs="Arial"/>
          <w:szCs w:val="24"/>
          <w:lang w:eastAsia="es-ES"/>
        </w:rPr>
        <w:lastRenderedPageBreak/>
        <w:t>parámetros: (i) la tasa de descuento; (</w:t>
      </w:r>
      <w:r w:rsidR="00545471" w:rsidRPr="00B17613">
        <w:rPr>
          <w:rFonts w:ascii="Arial" w:hAnsi="Arial" w:cs="Arial"/>
          <w:szCs w:val="24"/>
          <w:lang w:eastAsia="es-ES"/>
        </w:rPr>
        <w:t>ii</w:t>
      </w:r>
      <w:r w:rsidRPr="00B17613">
        <w:rPr>
          <w:rFonts w:ascii="Arial" w:hAnsi="Arial" w:cs="Arial"/>
          <w:szCs w:val="24"/>
          <w:lang w:eastAsia="es-ES"/>
        </w:rPr>
        <w:t>) el rendimiento de la aplicación de estándares de calidad en términos de futuros mayores ingresos laborales; (</w:t>
      </w:r>
      <w:r w:rsidR="00545471" w:rsidRPr="00B17613">
        <w:rPr>
          <w:rFonts w:ascii="Arial" w:hAnsi="Arial" w:cs="Arial"/>
          <w:szCs w:val="24"/>
          <w:lang w:eastAsia="es-ES"/>
        </w:rPr>
        <w:t>iii</w:t>
      </w:r>
      <w:r w:rsidRPr="00B17613">
        <w:rPr>
          <w:rFonts w:ascii="Arial" w:hAnsi="Arial" w:cs="Arial"/>
          <w:szCs w:val="24"/>
          <w:lang w:eastAsia="es-ES"/>
        </w:rPr>
        <w:t xml:space="preserve">) el rendimiento de la participación en la </w:t>
      </w:r>
      <w:proofErr w:type="spellStart"/>
      <w:r w:rsidRPr="00B17613">
        <w:rPr>
          <w:rFonts w:ascii="Arial" w:hAnsi="Arial" w:cs="Arial"/>
          <w:szCs w:val="24"/>
          <w:lang w:eastAsia="es-ES"/>
        </w:rPr>
        <w:t>RdO</w:t>
      </w:r>
      <w:proofErr w:type="spellEnd"/>
      <w:r w:rsidRPr="00B17613">
        <w:rPr>
          <w:rFonts w:ascii="Arial" w:hAnsi="Arial" w:cs="Arial"/>
          <w:szCs w:val="24"/>
          <w:lang w:eastAsia="es-ES"/>
        </w:rPr>
        <w:t>, para los pobres extremos, en términos de futuros mayores ingresos laborales; (</w:t>
      </w:r>
      <w:r w:rsidR="00545471" w:rsidRPr="00B17613">
        <w:rPr>
          <w:rFonts w:ascii="Arial" w:hAnsi="Arial" w:cs="Arial"/>
          <w:szCs w:val="24"/>
          <w:lang w:eastAsia="es-ES"/>
        </w:rPr>
        <w:t>iv</w:t>
      </w:r>
      <w:r w:rsidRPr="00B17613">
        <w:rPr>
          <w:rFonts w:ascii="Arial" w:hAnsi="Arial" w:cs="Arial"/>
          <w:szCs w:val="24"/>
          <w:lang w:eastAsia="es-ES"/>
        </w:rPr>
        <w:t>) el ingreso laboral en ausencia de proyecto</w:t>
      </w:r>
      <w:r w:rsidR="009120DB" w:rsidRPr="00B17613">
        <w:rPr>
          <w:rFonts w:ascii="Arial" w:hAnsi="Arial" w:cs="Arial"/>
          <w:szCs w:val="24"/>
          <w:lang w:eastAsia="es-ES"/>
        </w:rPr>
        <w:t>, que es un parámetro fundamental para determinar el beneficio futuro de mayores educación temprana y escolaridad.</w:t>
      </w:r>
    </w:p>
    <w:p w14:paraId="334876D4" w14:textId="77777777" w:rsidR="00610A8A" w:rsidRPr="00B17613" w:rsidRDefault="00487AC7" w:rsidP="00610A8A">
      <w:pPr>
        <w:spacing w:before="120" w:after="120" w:line="240" w:lineRule="auto"/>
        <w:jc w:val="both"/>
        <w:rPr>
          <w:rFonts w:ascii="Arial" w:hAnsi="Arial" w:cs="Arial"/>
          <w:szCs w:val="24"/>
          <w:lang w:eastAsia="es-ES"/>
        </w:rPr>
      </w:pPr>
      <w:r w:rsidRPr="00B17613">
        <w:rPr>
          <w:rFonts w:ascii="Arial" w:hAnsi="Arial" w:cs="Arial"/>
          <w:szCs w:val="24"/>
          <w:lang w:eastAsia="es-ES"/>
        </w:rPr>
        <w:t xml:space="preserve">Se evidencia que la </w:t>
      </w:r>
      <w:r w:rsidR="00CC54B4" w:rsidRPr="00B17613">
        <w:rPr>
          <w:rFonts w:ascii="Arial" w:hAnsi="Arial" w:cs="Arial"/>
          <w:szCs w:val="24"/>
          <w:lang w:eastAsia="es-ES"/>
        </w:rPr>
        <w:t>conveniencia económica de la operación</w:t>
      </w:r>
      <w:r w:rsidR="00610A8A" w:rsidRPr="00B17613">
        <w:rPr>
          <w:rFonts w:ascii="Arial" w:hAnsi="Arial" w:cs="Arial"/>
          <w:szCs w:val="24"/>
          <w:lang w:eastAsia="es-ES"/>
        </w:rPr>
        <w:t>, en su agregado y para componentes individuales,</w:t>
      </w:r>
      <w:r w:rsidR="00CC54B4" w:rsidRPr="00B17613">
        <w:rPr>
          <w:rFonts w:ascii="Arial" w:hAnsi="Arial" w:cs="Arial"/>
          <w:szCs w:val="24"/>
          <w:lang w:eastAsia="es-ES"/>
        </w:rPr>
        <w:t xml:space="preserve"> es robusta a las hipótesis más pesimistas sobre los parámetros del análisis, con dos excepciones. La primera es </w:t>
      </w:r>
      <w:r w:rsidR="00610A8A" w:rsidRPr="00B17613">
        <w:rPr>
          <w:rFonts w:ascii="Arial" w:hAnsi="Arial" w:cs="Arial"/>
          <w:szCs w:val="24"/>
          <w:lang w:eastAsia="es-ES"/>
        </w:rPr>
        <w:t xml:space="preserve">relativa a la adopción de </w:t>
      </w:r>
      <w:r w:rsidR="006B40D0" w:rsidRPr="00B17613">
        <w:rPr>
          <w:rFonts w:ascii="Arial" w:hAnsi="Arial" w:cs="Arial"/>
          <w:szCs w:val="24"/>
          <w:lang w:eastAsia="es-ES"/>
        </w:rPr>
        <w:t>una</w:t>
      </w:r>
      <w:r w:rsidR="00610A8A" w:rsidRPr="00B17613">
        <w:rPr>
          <w:rFonts w:ascii="Arial" w:hAnsi="Arial" w:cs="Arial"/>
          <w:szCs w:val="24"/>
          <w:lang w:eastAsia="es-ES"/>
        </w:rPr>
        <w:t xml:space="preserve"> alta tasa de descuento (10%), </w:t>
      </w:r>
      <w:proofErr w:type="gramStart"/>
      <w:r w:rsidR="00610A8A" w:rsidRPr="00B17613">
        <w:rPr>
          <w:rFonts w:ascii="Arial" w:hAnsi="Arial" w:cs="Arial"/>
          <w:szCs w:val="24"/>
          <w:lang w:eastAsia="es-ES"/>
        </w:rPr>
        <w:t>que</w:t>
      </w:r>
      <w:proofErr w:type="gramEnd"/>
      <w:r w:rsidR="00610A8A" w:rsidRPr="00B17613">
        <w:rPr>
          <w:rFonts w:ascii="Arial" w:hAnsi="Arial" w:cs="Arial"/>
          <w:szCs w:val="24"/>
          <w:lang w:eastAsia="es-ES"/>
        </w:rPr>
        <w:t xml:space="preserve"> </w:t>
      </w:r>
      <w:r w:rsidR="00801010" w:rsidRPr="00B17613">
        <w:rPr>
          <w:rFonts w:ascii="Arial" w:hAnsi="Arial" w:cs="Arial"/>
          <w:szCs w:val="24"/>
          <w:lang w:eastAsia="es-ES"/>
        </w:rPr>
        <w:t>aun</w:t>
      </w:r>
      <w:r w:rsidR="006B40D0" w:rsidRPr="00B17613">
        <w:rPr>
          <w:rFonts w:ascii="Arial" w:hAnsi="Arial" w:cs="Arial"/>
          <w:szCs w:val="24"/>
          <w:lang w:eastAsia="es-ES"/>
        </w:rPr>
        <w:t xml:space="preserve"> manteniendo</w:t>
      </w:r>
      <w:r w:rsidR="00610A8A" w:rsidRPr="00B17613">
        <w:rPr>
          <w:rFonts w:ascii="Arial" w:hAnsi="Arial" w:cs="Arial"/>
          <w:szCs w:val="24"/>
          <w:lang w:eastAsia="es-ES"/>
        </w:rPr>
        <w:t xml:space="preserve"> la conveniencia de la operación en agregado, implicaría un </w:t>
      </w:r>
      <w:r w:rsidR="0054459B" w:rsidRPr="00B17613">
        <w:rPr>
          <w:rFonts w:ascii="Arial" w:hAnsi="Arial" w:cs="Arial"/>
          <w:szCs w:val="24"/>
          <w:lang w:eastAsia="es-ES"/>
        </w:rPr>
        <w:t>VPN</w:t>
      </w:r>
      <w:r w:rsidR="00610A8A" w:rsidRPr="00B17613">
        <w:rPr>
          <w:rFonts w:ascii="Arial" w:hAnsi="Arial" w:cs="Arial"/>
          <w:szCs w:val="24"/>
          <w:lang w:eastAsia="es-ES"/>
        </w:rPr>
        <w:t xml:space="preserve"> negativo para la intervención </w:t>
      </w:r>
      <w:r w:rsidR="006B40D0" w:rsidRPr="00B17613">
        <w:rPr>
          <w:rFonts w:ascii="Arial" w:hAnsi="Arial" w:cs="Arial"/>
          <w:szCs w:val="24"/>
          <w:lang w:eastAsia="es-ES"/>
        </w:rPr>
        <w:t>en</w:t>
      </w:r>
      <w:r w:rsidR="00610A8A" w:rsidRPr="00B17613">
        <w:rPr>
          <w:rFonts w:ascii="Arial" w:hAnsi="Arial" w:cs="Arial"/>
          <w:szCs w:val="24"/>
          <w:lang w:eastAsia="es-ES"/>
        </w:rPr>
        <w:t xml:space="preserve"> DIT. El valor </w:t>
      </w:r>
      <w:r w:rsidR="006B40D0" w:rsidRPr="00B17613">
        <w:rPr>
          <w:rFonts w:ascii="Arial" w:hAnsi="Arial" w:cs="Arial"/>
          <w:szCs w:val="24"/>
          <w:lang w:eastAsia="es-ES"/>
        </w:rPr>
        <w:t>de la tasa arriba del cuál</w:t>
      </w:r>
      <w:r w:rsidR="00610A8A" w:rsidRPr="00B17613">
        <w:rPr>
          <w:rFonts w:ascii="Arial" w:hAnsi="Arial" w:cs="Arial"/>
          <w:szCs w:val="24"/>
          <w:lang w:eastAsia="es-ES"/>
        </w:rPr>
        <w:t xml:space="preserve"> </w:t>
      </w:r>
      <w:r w:rsidR="006B40D0" w:rsidRPr="00B17613">
        <w:rPr>
          <w:rFonts w:ascii="Arial" w:hAnsi="Arial" w:cs="Arial"/>
          <w:szCs w:val="24"/>
          <w:lang w:eastAsia="es-ES"/>
        </w:rPr>
        <w:t>el VPN pasa a ser negativo</w:t>
      </w:r>
      <w:r w:rsidR="00610A8A" w:rsidRPr="00B17613">
        <w:rPr>
          <w:rFonts w:ascii="Arial" w:hAnsi="Arial" w:cs="Arial"/>
          <w:szCs w:val="24"/>
          <w:lang w:eastAsia="es-ES"/>
        </w:rPr>
        <w:t xml:space="preserve"> (</w:t>
      </w:r>
      <w:r w:rsidR="006B40D0" w:rsidRPr="00B17613">
        <w:rPr>
          <w:rFonts w:ascii="Arial" w:hAnsi="Arial" w:cs="Arial"/>
          <w:szCs w:val="24"/>
          <w:lang w:eastAsia="es-ES"/>
        </w:rPr>
        <w:t xml:space="preserve">equivalente a </w:t>
      </w:r>
      <w:r w:rsidR="00610A8A" w:rsidRPr="00B17613">
        <w:rPr>
          <w:rFonts w:ascii="Arial" w:hAnsi="Arial" w:cs="Arial"/>
          <w:szCs w:val="24"/>
          <w:lang w:eastAsia="es-ES"/>
        </w:rPr>
        <w:t xml:space="preserve">la tasa interna de rendimiento) es </w:t>
      </w:r>
      <w:r w:rsidR="00EF4B7D" w:rsidRPr="00B17613">
        <w:rPr>
          <w:rFonts w:ascii="Arial" w:hAnsi="Arial" w:cs="Arial"/>
          <w:szCs w:val="24"/>
          <w:lang w:eastAsia="es-ES"/>
        </w:rPr>
        <w:t>entre 7 y 8%</w:t>
      </w:r>
      <w:r w:rsidR="00610A8A" w:rsidRPr="00B17613">
        <w:rPr>
          <w:rFonts w:ascii="Arial" w:hAnsi="Arial" w:cs="Arial"/>
          <w:szCs w:val="24"/>
          <w:lang w:eastAsia="es-ES"/>
        </w:rPr>
        <w:t xml:space="preserve">. En otras palabras, el componente de DIT es conveniente hasta que se aplica una tasa de descuento de 7%, y pasa a un </w:t>
      </w:r>
      <w:r w:rsidR="0054459B" w:rsidRPr="00B17613">
        <w:rPr>
          <w:rFonts w:ascii="Arial" w:hAnsi="Arial" w:cs="Arial"/>
          <w:szCs w:val="24"/>
          <w:lang w:eastAsia="es-ES"/>
        </w:rPr>
        <w:t>VPN</w:t>
      </w:r>
      <w:r w:rsidR="00610A8A" w:rsidRPr="00B17613">
        <w:rPr>
          <w:rFonts w:ascii="Arial" w:hAnsi="Arial" w:cs="Arial"/>
          <w:szCs w:val="24"/>
          <w:lang w:eastAsia="es-ES"/>
        </w:rPr>
        <w:t xml:space="preserve"> negativo con una tasa de descuento de 8%. Cómo explicamos en la introducción, tasas de descuento elevadas penalizan todos tipos de proyectos en los cuales los costos son inmediatos y los beneficios son logrados por la próxima generación. Con tasas de descuento elevadas, no se justifica </w:t>
      </w:r>
      <w:r w:rsidR="006B40D0" w:rsidRPr="00B17613">
        <w:rPr>
          <w:rFonts w:ascii="Arial" w:hAnsi="Arial" w:cs="Arial"/>
          <w:szCs w:val="24"/>
          <w:lang w:eastAsia="es-ES"/>
        </w:rPr>
        <w:t>la mayoría de</w:t>
      </w:r>
      <w:r w:rsidR="00610A8A" w:rsidRPr="00B17613">
        <w:rPr>
          <w:rFonts w:ascii="Arial" w:hAnsi="Arial" w:cs="Arial"/>
          <w:szCs w:val="24"/>
          <w:lang w:eastAsia="es-ES"/>
        </w:rPr>
        <w:t xml:space="preserve"> </w:t>
      </w:r>
      <w:proofErr w:type="gramStart"/>
      <w:r w:rsidR="00610A8A" w:rsidRPr="00B17613">
        <w:rPr>
          <w:rFonts w:ascii="Arial" w:hAnsi="Arial" w:cs="Arial"/>
          <w:szCs w:val="24"/>
          <w:lang w:eastAsia="es-ES"/>
        </w:rPr>
        <w:t>proyecto</w:t>
      </w:r>
      <w:r w:rsidR="006B40D0" w:rsidRPr="00B17613">
        <w:rPr>
          <w:rFonts w:ascii="Arial" w:hAnsi="Arial" w:cs="Arial"/>
          <w:szCs w:val="24"/>
          <w:lang w:eastAsia="es-ES"/>
        </w:rPr>
        <w:t>s</w:t>
      </w:r>
      <w:proofErr w:type="gramEnd"/>
      <w:r w:rsidR="00610A8A" w:rsidRPr="00B17613">
        <w:rPr>
          <w:rFonts w:ascii="Arial" w:hAnsi="Arial" w:cs="Arial"/>
          <w:szCs w:val="24"/>
          <w:lang w:eastAsia="es-ES"/>
        </w:rPr>
        <w:t xml:space="preserve"> de desarrollo infantil temprano, así como de adaptación al cambio climático, para hacer solo unos ejemplos.</w:t>
      </w:r>
    </w:p>
    <w:p w14:paraId="334876D5" w14:textId="77777777" w:rsidR="00EF4B7D" w:rsidRPr="00B17613" w:rsidRDefault="00610A8A" w:rsidP="00DF675A">
      <w:pPr>
        <w:spacing w:before="120" w:after="120" w:line="240" w:lineRule="auto"/>
        <w:jc w:val="both"/>
        <w:rPr>
          <w:rFonts w:ascii="Arial" w:hAnsi="Arial" w:cs="Arial"/>
          <w:szCs w:val="24"/>
          <w:lang w:eastAsia="es-ES"/>
        </w:rPr>
      </w:pPr>
      <w:r w:rsidRPr="00B17613">
        <w:rPr>
          <w:rFonts w:ascii="Arial" w:hAnsi="Arial" w:cs="Arial"/>
          <w:szCs w:val="24"/>
          <w:lang w:eastAsia="es-ES"/>
        </w:rPr>
        <w:t>El otro parámetro crítico es el rendimiento de la implementación de altos estándares de calidad en los COIF</w:t>
      </w:r>
      <w:r w:rsidR="00E12285" w:rsidRPr="00B17613">
        <w:rPr>
          <w:rFonts w:ascii="Arial" w:hAnsi="Arial" w:cs="Arial"/>
          <w:szCs w:val="24"/>
          <w:lang w:eastAsia="es-ES"/>
        </w:rPr>
        <w:t xml:space="preserve"> (</w:t>
      </w:r>
      <w:r w:rsidR="00E12285" w:rsidRPr="00B17613">
        <w:rPr>
          <w:rFonts w:ascii="Arial" w:hAnsi="Arial" w:cs="Arial"/>
          <w:i/>
          <w:szCs w:val="24"/>
          <w:lang w:eastAsia="es-ES"/>
        </w:rPr>
        <w:t>R1</w:t>
      </w:r>
      <w:r w:rsidR="00E12285" w:rsidRPr="00B17613">
        <w:rPr>
          <w:rFonts w:ascii="Arial" w:hAnsi="Arial" w:cs="Arial"/>
          <w:szCs w:val="24"/>
          <w:lang w:eastAsia="es-ES"/>
        </w:rPr>
        <w:t>)</w:t>
      </w:r>
      <w:r w:rsidRPr="00B17613">
        <w:rPr>
          <w:rFonts w:ascii="Arial" w:hAnsi="Arial" w:cs="Arial"/>
          <w:szCs w:val="24"/>
          <w:lang w:eastAsia="es-ES"/>
        </w:rPr>
        <w:t xml:space="preserve">. El valor por </w:t>
      </w:r>
      <w:r w:rsidR="006B40D0" w:rsidRPr="00B17613">
        <w:rPr>
          <w:rFonts w:ascii="Arial" w:hAnsi="Arial" w:cs="Arial"/>
          <w:szCs w:val="24"/>
          <w:lang w:eastAsia="es-ES"/>
        </w:rPr>
        <w:t>de</w:t>
      </w:r>
      <w:r w:rsidRPr="00B17613">
        <w:rPr>
          <w:rFonts w:ascii="Arial" w:hAnsi="Arial" w:cs="Arial"/>
          <w:szCs w:val="24"/>
          <w:lang w:eastAsia="es-ES"/>
        </w:rPr>
        <w:t xml:space="preserve">bajo del cual el </w:t>
      </w:r>
      <w:r w:rsidR="0054459B" w:rsidRPr="00B17613">
        <w:rPr>
          <w:rFonts w:ascii="Arial" w:hAnsi="Arial" w:cs="Arial"/>
          <w:szCs w:val="24"/>
          <w:lang w:eastAsia="es-ES"/>
        </w:rPr>
        <w:t>VPN</w:t>
      </w:r>
      <w:r w:rsidRPr="00B17613">
        <w:rPr>
          <w:rFonts w:ascii="Arial" w:hAnsi="Arial" w:cs="Arial"/>
          <w:szCs w:val="24"/>
          <w:lang w:eastAsia="es-ES"/>
        </w:rPr>
        <w:t xml:space="preserve"> del componente de DIT se vuelve negativo es 13%. Con base en la literatura que evalúa programas de DIT en centros de alta calidad, somos confidentes que la aplicación de los nuevos estándares en los COIF pueda lograr rendimientos superiores a este umbral crítico. En todo caso, también con valores extremadamente bajos de este parámetro, se mantiene un </w:t>
      </w:r>
      <w:r w:rsidR="0054459B" w:rsidRPr="00B17613">
        <w:rPr>
          <w:rFonts w:ascii="Arial" w:hAnsi="Arial" w:cs="Arial"/>
          <w:szCs w:val="24"/>
          <w:lang w:eastAsia="es-ES"/>
        </w:rPr>
        <w:t>VPN</w:t>
      </w:r>
      <w:r w:rsidRPr="00B17613">
        <w:rPr>
          <w:rFonts w:ascii="Arial" w:hAnsi="Arial" w:cs="Arial"/>
          <w:szCs w:val="24"/>
          <w:lang w:eastAsia="es-ES"/>
        </w:rPr>
        <w:t xml:space="preserve"> positivo para la operación en su agregado. </w:t>
      </w:r>
    </w:p>
    <w:p w14:paraId="334876D6" w14:textId="77777777" w:rsidR="00E81833" w:rsidRPr="00B17613" w:rsidRDefault="00E81833" w:rsidP="00DF675A">
      <w:pPr>
        <w:spacing w:before="120" w:after="120" w:line="240" w:lineRule="auto"/>
        <w:jc w:val="both"/>
        <w:rPr>
          <w:rFonts w:ascii="Arial" w:hAnsi="Arial" w:cs="Arial"/>
          <w:szCs w:val="24"/>
          <w:lang w:eastAsia="es-ES"/>
        </w:rPr>
      </w:pPr>
      <w:r w:rsidRPr="00B17613">
        <w:rPr>
          <w:rFonts w:ascii="Arial" w:hAnsi="Arial" w:cs="Arial"/>
          <w:szCs w:val="24"/>
          <w:lang w:eastAsia="es-ES"/>
        </w:rPr>
        <w:t xml:space="preserve">El VPN no es sensible a variaciones en los costos iniciales (de implementar los estándares de calidad en los COIF en tema de DIT, y de instituir el RUB e implementar el proceso de recertificación para la </w:t>
      </w:r>
      <w:proofErr w:type="spellStart"/>
      <w:r w:rsidRPr="00B17613">
        <w:rPr>
          <w:rFonts w:ascii="Arial" w:hAnsi="Arial" w:cs="Arial"/>
          <w:szCs w:val="24"/>
          <w:lang w:eastAsia="es-ES"/>
        </w:rPr>
        <w:t>RdO</w:t>
      </w:r>
      <w:proofErr w:type="spellEnd"/>
      <w:r w:rsidRPr="00B17613">
        <w:rPr>
          <w:rFonts w:ascii="Arial" w:hAnsi="Arial" w:cs="Arial"/>
          <w:szCs w:val="24"/>
          <w:lang w:eastAsia="es-ES"/>
        </w:rPr>
        <w:t>). Su valor se mantiene positivo aun asumiendo un valor doble de esos costos.</w:t>
      </w:r>
    </w:p>
    <w:p w14:paraId="334876D7" w14:textId="77777777" w:rsidR="00E12285" w:rsidRPr="00B17613" w:rsidRDefault="00E12285" w:rsidP="00DF675A">
      <w:pPr>
        <w:spacing w:before="120" w:after="120" w:line="240" w:lineRule="auto"/>
        <w:jc w:val="both"/>
        <w:rPr>
          <w:rFonts w:ascii="Arial" w:hAnsi="Arial" w:cs="Arial"/>
          <w:szCs w:val="24"/>
          <w:lang w:eastAsia="es-ES"/>
        </w:rPr>
      </w:pPr>
      <w:r w:rsidRPr="00B17613">
        <w:rPr>
          <w:rFonts w:ascii="Arial" w:eastAsia="Times New Roman" w:hAnsi="Arial" w:cs="Arial"/>
          <w:szCs w:val="24"/>
        </w:rPr>
        <w:t>En resumen, el análisis de sensibilidad muestra que el VPN de la operación varía entre un valor de US$18,3 millones en el escenario más pesimista sobre el valor de los parámetros claves, y US$411,4 millones en el escenario más optimista.</w:t>
      </w:r>
    </w:p>
    <w:p w14:paraId="334876D8" w14:textId="77777777" w:rsidR="00EF4B7D" w:rsidRPr="00B17613" w:rsidRDefault="00EF4B7D" w:rsidP="00DF675A">
      <w:pPr>
        <w:spacing w:before="120" w:after="120" w:line="240" w:lineRule="auto"/>
        <w:jc w:val="both"/>
        <w:rPr>
          <w:rFonts w:ascii="Arial" w:hAnsi="Arial" w:cs="Arial"/>
          <w:szCs w:val="24"/>
          <w:lang w:eastAsia="es-ES"/>
        </w:rPr>
      </w:pPr>
    </w:p>
    <w:p w14:paraId="334876D9" w14:textId="77777777" w:rsidR="00740DCA" w:rsidRPr="00B17613" w:rsidRDefault="00740DCA" w:rsidP="00545471">
      <w:pPr>
        <w:keepNext/>
        <w:spacing w:before="120" w:after="120" w:line="240" w:lineRule="auto"/>
        <w:jc w:val="center"/>
        <w:rPr>
          <w:rFonts w:ascii="Arial" w:hAnsi="Arial" w:cs="Arial"/>
          <w:b/>
          <w:szCs w:val="24"/>
          <w:lang w:eastAsia="es-ES"/>
        </w:rPr>
      </w:pPr>
      <w:r w:rsidRPr="00B17613">
        <w:rPr>
          <w:rFonts w:ascii="Arial" w:hAnsi="Arial" w:cs="Arial"/>
          <w:b/>
          <w:szCs w:val="24"/>
          <w:lang w:eastAsia="es-ES"/>
        </w:rPr>
        <w:t xml:space="preserve">Tabla 2 – </w:t>
      </w:r>
      <w:r w:rsidR="00BB728A" w:rsidRPr="00B17613">
        <w:rPr>
          <w:rFonts w:ascii="Arial" w:hAnsi="Arial" w:cs="Arial"/>
          <w:b/>
          <w:szCs w:val="24"/>
          <w:lang w:eastAsia="es-ES"/>
        </w:rPr>
        <w:t>Sensibilidad</w:t>
      </w:r>
      <w:r w:rsidRPr="00B17613">
        <w:rPr>
          <w:rFonts w:ascii="Arial" w:hAnsi="Arial" w:cs="Arial"/>
          <w:b/>
          <w:szCs w:val="24"/>
          <w:lang w:eastAsia="es-ES"/>
        </w:rPr>
        <w:t xml:space="preserve"> de los resultados a cambios en parámetros críticos</w:t>
      </w:r>
    </w:p>
    <w:tbl>
      <w:tblPr>
        <w:tblW w:w="8445" w:type="dxa"/>
        <w:tblInd w:w="93" w:type="dxa"/>
        <w:tblLook w:val="04A0" w:firstRow="1" w:lastRow="0" w:firstColumn="1" w:lastColumn="0" w:noHBand="0" w:noVBand="1"/>
      </w:tblPr>
      <w:tblGrid>
        <w:gridCol w:w="4245"/>
        <w:gridCol w:w="1400"/>
        <w:gridCol w:w="1400"/>
        <w:gridCol w:w="1400"/>
      </w:tblGrid>
      <w:tr w:rsidR="00E161EF" w:rsidRPr="00B17613" w14:paraId="334876DE" w14:textId="77777777" w:rsidTr="00FD61A0">
        <w:trPr>
          <w:trHeight w:val="300"/>
        </w:trPr>
        <w:tc>
          <w:tcPr>
            <w:tcW w:w="4245" w:type="dxa"/>
            <w:tcBorders>
              <w:top w:val="single" w:sz="4" w:space="0" w:color="auto"/>
              <w:left w:val="nil"/>
              <w:bottom w:val="single" w:sz="4" w:space="0" w:color="auto"/>
              <w:right w:val="nil"/>
            </w:tcBorders>
            <w:shd w:val="clear" w:color="auto" w:fill="auto"/>
            <w:noWrap/>
            <w:vAlign w:val="bottom"/>
            <w:hideMark/>
          </w:tcPr>
          <w:bookmarkEnd w:id="2"/>
          <w:p w14:paraId="334876DA" w14:textId="77777777" w:rsidR="00E161EF" w:rsidRPr="00B17613" w:rsidRDefault="00E161EF" w:rsidP="00E161EF">
            <w:pPr>
              <w:spacing w:after="0" w:line="240" w:lineRule="auto"/>
              <w:rPr>
                <w:rFonts w:ascii="Arial" w:eastAsia="Times New Roman" w:hAnsi="Arial" w:cs="Arial"/>
                <w:b/>
                <w:bCs/>
                <w:color w:val="000000"/>
                <w:sz w:val="18"/>
                <w:szCs w:val="20"/>
              </w:rPr>
            </w:pPr>
            <w:r w:rsidRPr="00B17613">
              <w:rPr>
                <w:rFonts w:ascii="Arial" w:eastAsia="Times New Roman" w:hAnsi="Arial" w:cs="Arial"/>
                <w:b/>
                <w:bCs/>
                <w:color w:val="000000"/>
                <w:sz w:val="18"/>
                <w:szCs w:val="20"/>
              </w:rPr>
              <w:t>VNP (US$ millones)</w:t>
            </w:r>
          </w:p>
        </w:tc>
        <w:tc>
          <w:tcPr>
            <w:tcW w:w="1400" w:type="dxa"/>
            <w:tcBorders>
              <w:top w:val="single" w:sz="4" w:space="0" w:color="auto"/>
              <w:left w:val="nil"/>
              <w:bottom w:val="single" w:sz="4" w:space="0" w:color="auto"/>
              <w:right w:val="nil"/>
            </w:tcBorders>
            <w:shd w:val="clear" w:color="auto" w:fill="auto"/>
            <w:noWrap/>
            <w:vAlign w:val="bottom"/>
            <w:hideMark/>
          </w:tcPr>
          <w:p w14:paraId="334876DB" w14:textId="77777777" w:rsidR="00E161EF" w:rsidRPr="00B17613" w:rsidRDefault="00E161EF" w:rsidP="00E161EF">
            <w:pPr>
              <w:spacing w:after="0" w:line="240" w:lineRule="auto"/>
              <w:jc w:val="center"/>
              <w:rPr>
                <w:rFonts w:ascii="Arial" w:eastAsia="Times New Roman" w:hAnsi="Arial" w:cs="Arial"/>
                <w:b/>
                <w:bCs/>
                <w:color w:val="000000"/>
                <w:sz w:val="18"/>
                <w:szCs w:val="20"/>
              </w:rPr>
            </w:pPr>
            <w:r w:rsidRPr="00B17613">
              <w:rPr>
                <w:rFonts w:ascii="Arial" w:eastAsia="Times New Roman" w:hAnsi="Arial" w:cs="Arial"/>
                <w:b/>
                <w:bCs/>
                <w:color w:val="000000"/>
                <w:sz w:val="18"/>
                <w:szCs w:val="20"/>
              </w:rPr>
              <w:t>DIT</w:t>
            </w:r>
          </w:p>
        </w:tc>
        <w:tc>
          <w:tcPr>
            <w:tcW w:w="1400" w:type="dxa"/>
            <w:tcBorders>
              <w:top w:val="single" w:sz="4" w:space="0" w:color="auto"/>
              <w:left w:val="nil"/>
              <w:bottom w:val="single" w:sz="4" w:space="0" w:color="auto"/>
              <w:right w:val="nil"/>
            </w:tcBorders>
            <w:shd w:val="clear" w:color="auto" w:fill="auto"/>
            <w:noWrap/>
            <w:vAlign w:val="bottom"/>
            <w:hideMark/>
          </w:tcPr>
          <w:p w14:paraId="334876DC" w14:textId="77777777" w:rsidR="00E161EF" w:rsidRPr="00B17613" w:rsidRDefault="00E161EF" w:rsidP="00E161EF">
            <w:pPr>
              <w:spacing w:after="0" w:line="240" w:lineRule="auto"/>
              <w:jc w:val="center"/>
              <w:rPr>
                <w:rFonts w:ascii="Arial" w:eastAsia="Times New Roman" w:hAnsi="Arial" w:cs="Arial"/>
                <w:b/>
                <w:bCs/>
                <w:color w:val="000000"/>
                <w:sz w:val="18"/>
                <w:szCs w:val="20"/>
              </w:rPr>
            </w:pPr>
            <w:proofErr w:type="spellStart"/>
            <w:r w:rsidRPr="00B17613">
              <w:rPr>
                <w:rFonts w:ascii="Arial" w:eastAsia="Times New Roman" w:hAnsi="Arial" w:cs="Arial"/>
                <w:b/>
                <w:bCs/>
                <w:color w:val="000000"/>
                <w:sz w:val="18"/>
                <w:szCs w:val="20"/>
              </w:rPr>
              <w:t>RdO</w:t>
            </w:r>
            <w:proofErr w:type="spellEnd"/>
          </w:p>
        </w:tc>
        <w:tc>
          <w:tcPr>
            <w:tcW w:w="1400" w:type="dxa"/>
            <w:tcBorders>
              <w:top w:val="single" w:sz="4" w:space="0" w:color="auto"/>
              <w:left w:val="nil"/>
              <w:bottom w:val="single" w:sz="4" w:space="0" w:color="auto"/>
              <w:right w:val="nil"/>
            </w:tcBorders>
            <w:shd w:val="clear" w:color="auto" w:fill="auto"/>
            <w:noWrap/>
            <w:vAlign w:val="bottom"/>
            <w:hideMark/>
          </w:tcPr>
          <w:p w14:paraId="334876DD" w14:textId="77777777" w:rsidR="00E161EF" w:rsidRPr="00B17613" w:rsidRDefault="00E161EF" w:rsidP="00E161EF">
            <w:pPr>
              <w:spacing w:after="0" w:line="240" w:lineRule="auto"/>
              <w:jc w:val="center"/>
              <w:rPr>
                <w:rFonts w:ascii="Arial" w:eastAsia="Times New Roman" w:hAnsi="Arial" w:cs="Arial"/>
                <w:b/>
                <w:bCs/>
                <w:color w:val="000000"/>
                <w:sz w:val="18"/>
                <w:szCs w:val="20"/>
              </w:rPr>
            </w:pPr>
            <w:r w:rsidRPr="00B17613">
              <w:rPr>
                <w:rFonts w:ascii="Arial" w:eastAsia="Times New Roman" w:hAnsi="Arial" w:cs="Arial"/>
                <w:b/>
                <w:bCs/>
                <w:color w:val="000000"/>
                <w:sz w:val="18"/>
                <w:szCs w:val="20"/>
              </w:rPr>
              <w:t>Agregado</w:t>
            </w:r>
          </w:p>
        </w:tc>
      </w:tr>
      <w:tr w:rsidR="00E161EF" w:rsidRPr="00B17613" w14:paraId="334876E3" w14:textId="77777777" w:rsidTr="00FD61A0">
        <w:trPr>
          <w:trHeight w:val="300"/>
        </w:trPr>
        <w:tc>
          <w:tcPr>
            <w:tcW w:w="4245" w:type="dxa"/>
            <w:tcBorders>
              <w:top w:val="single" w:sz="4" w:space="0" w:color="auto"/>
              <w:left w:val="nil"/>
              <w:right w:val="nil"/>
            </w:tcBorders>
            <w:shd w:val="clear" w:color="auto" w:fill="auto"/>
            <w:noWrap/>
            <w:vAlign w:val="bottom"/>
            <w:hideMark/>
          </w:tcPr>
          <w:p w14:paraId="334876DF"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Caso base</w:t>
            </w:r>
          </w:p>
        </w:tc>
        <w:tc>
          <w:tcPr>
            <w:tcW w:w="1400" w:type="dxa"/>
            <w:tcBorders>
              <w:top w:val="single" w:sz="4" w:space="0" w:color="auto"/>
              <w:left w:val="nil"/>
              <w:right w:val="nil"/>
            </w:tcBorders>
            <w:shd w:val="clear" w:color="auto" w:fill="auto"/>
            <w:noWrap/>
            <w:vAlign w:val="bottom"/>
            <w:hideMark/>
          </w:tcPr>
          <w:p w14:paraId="334876E0"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14.2</w:t>
            </w:r>
          </w:p>
        </w:tc>
        <w:tc>
          <w:tcPr>
            <w:tcW w:w="1400" w:type="dxa"/>
            <w:tcBorders>
              <w:top w:val="single" w:sz="4" w:space="0" w:color="auto"/>
              <w:left w:val="nil"/>
              <w:right w:val="nil"/>
            </w:tcBorders>
            <w:shd w:val="clear" w:color="auto" w:fill="auto"/>
            <w:noWrap/>
            <w:vAlign w:val="bottom"/>
            <w:hideMark/>
          </w:tcPr>
          <w:p w14:paraId="334876E1"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141.4</w:t>
            </w:r>
          </w:p>
        </w:tc>
        <w:tc>
          <w:tcPr>
            <w:tcW w:w="1400" w:type="dxa"/>
            <w:tcBorders>
              <w:top w:val="single" w:sz="4" w:space="0" w:color="auto"/>
              <w:left w:val="nil"/>
              <w:right w:val="nil"/>
            </w:tcBorders>
            <w:shd w:val="clear" w:color="auto" w:fill="auto"/>
            <w:noWrap/>
            <w:vAlign w:val="bottom"/>
            <w:hideMark/>
          </w:tcPr>
          <w:p w14:paraId="334876E2"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155.6</w:t>
            </w:r>
          </w:p>
        </w:tc>
      </w:tr>
      <w:tr w:rsidR="00E161EF" w:rsidRPr="00B17613" w14:paraId="334876E8" w14:textId="77777777" w:rsidTr="00FD61A0">
        <w:trPr>
          <w:trHeight w:val="300"/>
        </w:trPr>
        <w:tc>
          <w:tcPr>
            <w:tcW w:w="4245" w:type="dxa"/>
            <w:tcBorders>
              <w:left w:val="nil"/>
              <w:right w:val="nil"/>
            </w:tcBorders>
            <w:shd w:val="clear" w:color="auto" w:fill="auto"/>
            <w:noWrap/>
            <w:vAlign w:val="bottom"/>
            <w:hideMark/>
          </w:tcPr>
          <w:p w14:paraId="334876E4" w14:textId="77777777" w:rsidR="00E161EF" w:rsidRPr="00B94C13" w:rsidRDefault="00E161EF" w:rsidP="00E161EF">
            <w:pPr>
              <w:spacing w:after="0" w:line="240" w:lineRule="auto"/>
              <w:rPr>
                <w:rFonts w:ascii="Arial" w:eastAsia="Times New Roman" w:hAnsi="Arial" w:cs="Arial"/>
                <w:color w:val="000000"/>
                <w:sz w:val="18"/>
                <w:szCs w:val="20"/>
                <w:lang w:val="pt-BR"/>
              </w:rPr>
            </w:pPr>
            <w:proofErr w:type="spellStart"/>
            <w:r w:rsidRPr="00B94C13">
              <w:rPr>
                <w:rFonts w:ascii="Arial" w:eastAsia="Times New Roman" w:hAnsi="Arial" w:cs="Arial"/>
                <w:color w:val="000000"/>
                <w:sz w:val="18"/>
                <w:szCs w:val="20"/>
                <w:lang w:val="pt-BR"/>
              </w:rPr>
              <w:t>Escenario</w:t>
            </w:r>
            <w:proofErr w:type="spellEnd"/>
            <w:r w:rsidRPr="00B94C13">
              <w:rPr>
                <w:rFonts w:ascii="Arial" w:eastAsia="Times New Roman" w:hAnsi="Arial" w:cs="Arial"/>
                <w:color w:val="000000"/>
                <w:sz w:val="18"/>
                <w:szCs w:val="20"/>
                <w:lang w:val="pt-BR"/>
              </w:rPr>
              <w:t xml:space="preserve"> </w:t>
            </w:r>
            <w:proofErr w:type="spellStart"/>
            <w:r w:rsidRPr="00B94C13">
              <w:rPr>
                <w:rFonts w:ascii="Arial" w:eastAsia="Times New Roman" w:hAnsi="Arial" w:cs="Arial"/>
                <w:color w:val="000000"/>
                <w:sz w:val="18"/>
                <w:szCs w:val="20"/>
                <w:lang w:val="pt-BR"/>
              </w:rPr>
              <w:t>pesimista</w:t>
            </w:r>
            <w:proofErr w:type="spellEnd"/>
            <w:r w:rsidRPr="00B94C13">
              <w:rPr>
                <w:rFonts w:ascii="Arial" w:eastAsia="Times New Roman" w:hAnsi="Arial" w:cs="Arial"/>
                <w:color w:val="000000"/>
                <w:sz w:val="18"/>
                <w:szCs w:val="20"/>
                <w:lang w:val="pt-BR"/>
              </w:rPr>
              <w:t xml:space="preserve"> (</w:t>
            </w:r>
            <w:r w:rsidRPr="00B94C13">
              <w:rPr>
                <w:rFonts w:ascii="Arial" w:eastAsia="Times New Roman" w:hAnsi="Arial" w:cs="Arial"/>
                <w:i/>
                <w:color w:val="000000"/>
                <w:sz w:val="18"/>
                <w:szCs w:val="20"/>
                <w:lang w:val="pt-BR"/>
              </w:rPr>
              <w:t>r</w:t>
            </w:r>
            <w:r w:rsidRPr="00B94C13">
              <w:rPr>
                <w:rFonts w:ascii="Arial" w:eastAsia="Times New Roman" w:hAnsi="Arial" w:cs="Arial"/>
                <w:color w:val="000000"/>
                <w:sz w:val="18"/>
                <w:szCs w:val="20"/>
                <w:lang w:val="pt-BR"/>
              </w:rPr>
              <w:t xml:space="preserve">=10%, </w:t>
            </w:r>
            <w:r w:rsidRPr="00B94C13">
              <w:rPr>
                <w:rFonts w:ascii="Arial" w:eastAsia="Times New Roman" w:hAnsi="Arial" w:cs="Arial"/>
                <w:i/>
                <w:color w:val="000000"/>
                <w:sz w:val="18"/>
                <w:szCs w:val="20"/>
                <w:lang w:val="pt-BR"/>
              </w:rPr>
              <w:t>R1</w:t>
            </w:r>
            <w:r w:rsidRPr="00B94C13">
              <w:rPr>
                <w:rFonts w:ascii="Arial" w:eastAsia="Times New Roman" w:hAnsi="Arial" w:cs="Arial"/>
                <w:color w:val="000000"/>
                <w:sz w:val="18"/>
                <w:szCs w:val="20"/>
                <w:lang w:val="pt-BR"/>
              </w:rPr>
              <w:t>=</w:t>
            </w:r>
            <w:r w:rsidRPr="00B94C13">
              <w:rPr>
                <w:rFonts w:ascii="Arial" w:eastAsia="Times New Roman" w:hAnsi="Arial" w:cs="Arial"/>
                <w:i/>
                <w:color w:val="000000"/>
                <w:sz w:val="18"/>
                <w:szCs w:val="20"/>
                <w:lang w:val="pt-BR"/>
              </w:rPr>
              <w:t>R2</w:t>
            </w:r>
            <w:r w:rsidRPr="00B94C13">
              <w:rPr>
                <w:rFonts w:ascii="Arial" w:eastAsia="Times New Roman" w:hAnsi="Arial" w:cs="Arial"/>
                <w:color w:val="000000"/>
                <w:sz w:val="18"/>
                <w:szCs w:val="20"/>
                <w:lang w:val="pt-BR"/>
              </w:rPr>
              <w:t>=5%)</w:t>
            </w:r>
          </w:p>
        </w:tc>
        <w:tc>
          <w:tcPr>
            <w:tcW w:w="1400" w:type="dxa"/>
            <w:tcBorders>
              <w:left w:val="nil"/>
              <w:right w:val="nil"/>
            </w:tcBorders>
            <w:shd w:val="clear" w:color="auto" w:fill="auto"/>
            <w:noWrap/>
            <w:vAlign w:val="bottom"/>
            <w:hideMark/>
          </w:tcPr>
          <w:p w14:paraId="334876E5"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-9.7</w:t>
            </w:r>
          </w:p>
        </w:tc>
        <w:tc>
          <w:tcPr>
            <w:tcW w:w="1400" w:type="dxa"/>
            <w:tcBorders>
              <w:left w:val="nil"/>
              <w:right w:val="nil"/>
            </w:tcBorders>
            <w:shd w:val="clear" w:color="auto" w:fill="auto"/>
            <w:noWrap/>
            <w:vAlign w:val="bottom"/>
            <w:hideMark/>
          </w:tcPr>
          <w:p w14:paraId="334876E6"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28.0</w:t>
            </w:r>
          </w:p>
        </w:tc>
        <w:tc>
          <w:tcPr>
            <w:tcW w:w="1400" w:type="dxa"/>
            <w:tcBorders>
              <w:left w:val="nil"/>
              <w:right w:val="nil"/>
            </w:tcBorders>
            <w:shd w:val="clear" w:color="auto" w:fill="auto"/>
            <w:noWrap/>
            <w:vAlign w:val="bottom"/>
            <w:hideMark/>
          </w:tcPr>
          <w:p w14:paraId="334876E7"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18.3</w:t>
            </w:r>
          </w:p>
        </w:tc>
      </w:tr>
      <w:tr w:rsidR="00E161EF" w:rsidRPr="00B17613" w14:paraId="334876ED" w14:textId="77777777" w:rsidTr="00FD61A0">
        <w:trPr>
          <w:trHeight w:val="300"/>
        </w:trPr>
        <w:tc>
          <w:tcPr>
            <w:tcW w:w="4245" w:type="dxa"/>
            <w:tcBorders>
              <w:left w:val="nil"/>
              <w:bottom w:val="single" w:sz="4" w:space="0" w:color="auto"/>
              <w:right w:val="nil"/>
            </w:tcBorders>
            <w:shd w:val="clear" w:color="auto" w:fill="auto"/>
            <w:noWrap/>
            <w:vAlign w:val="bottom"/>
            <w:hideMark/>
          </w:tcPr>
          <w:p w14:paraId="334876E9" w14:textId="77777777" w:rsidR="00E161EF" w:rsidRPr="00B94C13" w:rsidRDefault="00E161EF" w:rsidP="00E161EF">
            <w:pPr>
              <w:spacing w:after="0" w:line="240" w:lineRule="auto"/>
              <w:rPr>
                <w:rFonts w:ascii="Arial" w:eastAsia="Times New Roman" w:hAnsi="Arial" w:cs="Arial"/>
                <w:color w:val="000000"/>
                <w:sz w:val="18"/>
                <w:szCs w:val="20"/>
                <w:lang w:val="pt-BR"/>
              </w:rPr>
            </w:pPr>
            <w:proofErr w:type="spellStart"/>
            <w:r w:rsidRPr="00B94C13">
              <w:rPr>
                <w:rFonts w:ascii="Arial" w:eastAsia="Times New Roman" w:hAnsi="Arial" w:cs="Arial"/>
                <w:color w:val="000000"/>
                <w:sz w:val="18"/>
                <w:szCs w:val="20"/>
                <w:lang w:val="pt-BR"/>
              </w:rPr>
              <w:t>Escenario</w:t>
            </w:r>
            <w:proofErr w:type="spellEnd"/>
            <w:r w:rsidRPr="00B94C13">
              <w:rPr>
                <w:rFonts w:ascii="Arial" w:eastAsia="Times New Roman" w:hAnsi="Arial" w:cs="Arial"/>
                <w:color w:val="000000"/>
                <w:sz w:val="18"/>
                <w:szCs w:val="20"/>
                <w:lang w:val="pt-BR"/>
              </w:rPr>
              <w:t xml:space="preserve"> optimista (</w:t>
            </w:r>
            <w:r w:rsidRPr="00B94C13">
              <w:rPr>
                <w:rFonts w:ascii="Arial" w:eastAsia="Times New Roman" w:hAnsi="Arial" w:cs="Arial"/>
                <w:i/>
                <w:color w:val="000000"/>
                <w:sz w:val="18"/>
                <w:szCs w:val="20"/>
                <w:lang w:val="pt-BR"/>
              </w:rPr>
              <w:t>r</w:t>
            </w:r>
            <w:r w:rsidRPr="00B94C13">
              <w:rPr>
                <w:rFonts w:ascii="Arial" w:eastAsia="Times New Roman" w:hAnsi="Arial" w:cs="Arial"/>
                <w:color w:val="000000"/>
                <w:sz w:val="18"/>
                <w:szCs w:val="20"/>
                <w:lang w:val="pt-BR"/>
              </w:rPr>
              <w:t xml:space="preserve">=3%, </w:t>
            </w:r>
            <w:r w:rsidRPr="00B94C13">
              <w:rPr>
                <w:rFonts w:ascii="Arial" w:eastAsia="Times New Roman" w:hAnsi="Arial" w:cs="Arial"/>
                <w:i/>
                <w:color w:val="000000"/>
                <w:sz w:val="18"/>
                <w:szCs w:val="20"/>
                <w:lang w:val="pt-BR"/>
              </w:rPr>
              <w:t>R1</w:t>
            </w:r>
            <w:r w:rsidRPr="00B94C13">
              <w:rPr>
                <w:rFonts w:ascii="Arial" w:eastAsia="Times New Roman" w:hAnsi="Arial" w:cs="Arial"/>
                <w:color w:val="000000"/>
                <w:sz w:val="18"/>
                <w:szCs w:val="20"/>
                <w:lang w:val="pt-BR"/>
              </w:rPr>
              <w:t xml:space="preserve">=50%, </w:t>
            </w:r>
            <w:r w:rsidRPr="00B94C13">
              <w:rPr>
                <w:rFonts w:ascii="Arial" w:eastAsia="Times New Roman" w:hAnsi="Arial" w:cs="Arial"/>
                <w:i/>
                <w:color w:val="000000"/>
                <w:sz w:val="18"/>
                <w:szCs w:val="20"/>
                <w:lang w:val="pt-BR"/>
              </w:rPr>
              <w:t>R2</w:t>
            </w:r>
            <w:r w:rsidRPr="00B94C13">
              <w:rPr>
                <w:rFonts w:ascii="Arial" w:eastAsia="Times New Roman" w:hAnsi="Arial" w:cs="Arial"/>
                <w:color w:val="000000"/>
                <w:sz w:val="18"/>
                <w:szCs w:val="20"/>
                <w:lang w:val="pt-BR"/>
              </w:rPr>
              <w:t>=12%)</w:t>
            </w:r>
          </w:p>
        </w:tc>
        <w:tc>
          <w:tcPr>
            <w:tcW w:w="1400" w:type="dxa"/>
            <w:tcBorders>
              <w:left w:val="nil"/>
              <w:bottom w:val="single" w:sz="4" w:space="0" w:color="auto"/>
              <w:right w:val="nil"/>
            </w:tcBorders>
            <w:shd w:val="clear" w:color="auto" w:fill="auto"/>
            <w:noWrap/>
            <w:vAlign w:val="bottom"/>
            <w:hideMark/>
          </w:tcPr>
          <w:p w14:paraId="334876EA"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78.1</w:t>
            </w:r>
          </w:p>
        </w:tc>
        <w:tc>
          <w:tcPr>
            <w:tcW w:w="1400" w:type="dxa"/>
            <w:tcBorders>
              <w:left w:val="nil"/>
              <w:bottom w:val="single" w:sz="4" w:space="0" w:color="auto"/>
              <w:right w:val="nil"/>
            </w:tcBorders>
            <w:shd w:val="clear" w:color="auto" w:fill="auto"/>
            <w:noWrap/>
            <w:vAlign w:val="bottom"/>
            <w:hideMark/>
          </w:tcPr>
          <w:p w14:paraId="334876EB"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333.3</w:t>
            </w:r>
          </w:p>
        </w:tc>
        <w:tc>
          <w:tcPr>
            <w:tcW w:w="1400" w:type="dxa"/>
            <w:tcBorders>
              <w:left w:val="nil"/>
              <w:bottom w:val="single" w:sz="4" w:space="0" w:color="auto"/>
              <w:right w:val="nil"/>
            </w:tcBorders>
            <w:shd w:val="clear" w:color="auto" w:fill="auto"/>
            <w:noWrap/>
            <w:vAlign w:val="bottom"/>
            <w:hideMark/>
          </w:tcPr>
          <w:p w14:paraId="334876EC"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411.4</w:t>
            </w:r>
          </w:p>
        </w:tc>
      </w:tr>
      <w:tr w:rsidR="00E161EF" w:rsidRPr="00B17613" w14:paraId="334876F2" w14:textId="77777777" w:rsidTr="00FD61A0">
        <w:trPr>
          <w:trHeight w:val="300"/>
        </w:trPr>
        <w:tc>
          <w:tcPr>
            <w:tcW w:w="4245" w:type="dxa"/>
            <w:tcBorders>
              <w:top w:val="nil"/>
              <w:left w:val="nil"/>
              <w:bottom w:val="nil"/>
              <w:right w:val="nil"/>
            </w:tcBorders>
            <w:shd w:val="clear" w:color="auto" w:fill="auto"/>
            <w:noWrap/>
            <w:vAlign w:val="bottom"/>
            <w:hideMark/>
          </w:tcPr>
          <w:p w14:paraId="334876EE"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Tasa de descuento (</w:t>
            </w:r>
            <w:r w:rsidRPr="00B17613">
              <w:rPr>
                <w:rFonts w:ascii="Arial" w:eastAsia="Times New Roman" w:hAnsi="Arial" w:cs="Arial"/>
                <w:i/>
                <w:color w:val="000000"/>
                <w:sz w:val="18"/>
                <w:szCs w:val="20"/>
              </w:rPr>
              <w:t>r</w:t>
            </w:r>
            <w:r w:rsidRPr="00B17613">
              <w:rPr>
                <w:rFonts w:ascii="Arial" w:eastAsia="Times New Roman" w:hAnsi="Arial" w:cs="Arial"/>
                <w:color w:val="000000"/>
                <w:sz w:val="18"/>
                <w:szCs w:val="20"/>
              </w:rPr>
              <w:t>, base = 5%)</w:t>
            </w:r>
          </w:p>
        </w:tc>
        <w:tc>
          <w:tcPr>
            <w:tcW w:w="1400" w:type="dxa"/>
            <w:tcBorders>
              <w:top w:val="nil"/>
              <w:left w:val="nil"/>
              <w:bottom w:val="nil"/>
              <w:right w:val="nil"/>
            </w:tcBorders>
            <w:shd w:val="clear" w:color="auto" w:fill="auto"/>
            <w:noWrap/>
            <w:vAlign w:val="bottom"/>
            <w:hideMark/>
          </w:tcPr>
          <w:p w14:paraId="334876EF"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c>
          <w:tcPr>
            <w:tcW w:w="1400" w:type="dxa"/>
            <w:tcBorders>
              <w:top w:val="nil"/>
              <w:left w:val="nil"/>
              <w:bottom w:val="nil"/>
              <w:right w:val="nil"/>
            </w:tcBorders>
            <w:shd w:val="clear" w:color="auto" w:fill="auto"/>
            <w:noWrap/>
            <w:vAlign w:val="bottom"/>
            <w:hideMark/>
          </w:tcPr>
          <w:p w14:paraId="334876F0"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c>
          <w:tcPr>
            <w:tcW w:w="1400" w:type="dxa"/>
            <w:tcBorders>
              <w:top w:val="nil"/>
              <w:left w:val="nil"/>
              <w:bottom w:val="nil"/>
              <w:right w:val="nil"/>
            </w:tcBorders>
            <w:shd w:val="clear" w:color="auto" w:fill="auto"/>
            <w:noWrap/>
            <w:vAlign w:val="bottom"/>
            <w:hideMark/>
          </w:tcPr>
          <w:p w14:paraId="334876F1"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r>
      <w:tr w:rsidR="00E161EF" w:rsidRPr="00B17613" w14:paraId="334876F7" w14:textId="77777777" w:rsidTr="00FD61A0">
        <w:trPr>
          <w:trHeight w:val="300"/>
        </w:trPr>
        <w:tc>
          <w:tcPr>
            <w:tcW w:w="4245" w:type="dxa"/>
            <w:tcBorders>
              <w:top w:val="nil"/>
              <w:left w:val="nil"/>
              <w:bottom w:val="nil"/>
              <w:right w:val="nil"/>
            </w:tcBorders>
            <w:shd w:val="clear" w:color="auto" w:fill="auto"/>
            <w:noWrap/>
            <w:vAlign w:val="bottom"/>
            <w:hideMark/>
          </w:tcPr>
          <w:p w14:paraId="334876F3"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Baja = 3%</w:t>
            </w:r>
          </w:p>
        </w:tc>
        <w:tc>
          <w:tcPr>
            <w:tcW w:w="1400" w:type="dxa"/>
            <w:tcBorders>
              <w:top w:val="nil"/>
              <w:left w:val="nil"/>
              <w:bottom w:val="nil"/>
              <w:right w:val="nil"/>
            </w:tcBorders>
            <w:shd w:val="clear" w:color="auto" w:fill="auto"/>
            <w:noWrap/>
            <w:vAlign w:val="bottom"/>
            <w:hideMark/>
          </w:tcPr>
          <w:p w14:paraId="334876F4"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38.1</w:t>
            </w:r>
          </w:p>
        </w:tc>
        <w:tc>
          <w:tcPr>
            <w:tcW w:w="1400" w:type="dxa"/>
            <w:tcBorders>
              <w:top w:val="nil"/>
              <w:left w:val="nil"/>
              <w:bottom w:val="nil"/>
              <w:right w:val="nil"/>
            </w:tcBorders>
            <w:shd w:val="clear" w:color="auto" w:fill="auto"/>
            <w:noWrap/>
            <w:vAlign w:val="bottom"/>
            <w:hideMark/>
          </w:tcPr>
          <w:p w14:paraId="334876F5"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229.9</w:t>
            </w:r>
          </w:p>
        </w:tc>
        <w:tc>
          <w:tcPr>
            <w:tcW w:w="1400" w:type="dxa"/>
            <w:tcBorders>
              <w:top w:val="nil"/>
              <w:left w:val="nil"/>
              <w:bottom w:val="nil"/>
              <w:right w:val="nil"/>
            </w:tcBorders>
            <w:shd w:val="clear" w:color="auto" w:fill="auto"/>
            <w:noWrap/>
            <w:vAlign w:val="bottom"/>
            <w:hideMark/>
          </w:tcPr>
          <w:p w14:paraId="334876F6"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267.9</w:t>
            </w:r>
          </w:p>
        </w:tc>
      </w:tr>
      <w:tr w:rsidR="00E161EF" w:rsidRPr="00B17613" w14:paraId="334876FC" w14:textId="77777777" w:rsidTr="00FD61A0">
        <w:trPr>
          <w:trHeight w:val="300"/>
        </w:trPr>
        <w:tc>
          <w:tcPr>
            <w:tcW w:w="4245" w:type="dxa"/>
            <w:tcBorders>
              <w:top w:val="nil"/>
              <w:left w:val="nil"/>
              <w:bottom w:val="single" w:sz="4" w:space="0" w:color="auto"/>
              <w:right w:val="nil"/>
            </w:tcBorders>
            <w:shd w:val="clear" w:color="auto" w:fill="auto"/>
            <w:noWrap/>
            <w:vAlign w:val="bottom"/>
            <w:hideMark/>
          </w:tcPr>
          <w:p w14:paraId="334876F8"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Alta = 10%</w:t>
            </w:r>
          </w:p>
        </w:tc>
        <w:tc>
          <w:tcPr>
            <w:tcW w:w="1400" w:type="dxa"/>
            <w:tcBorders>
              <w:top w:val="nil"/>
              <w:left w:val="nil"/>
              <w:bottom w:val="single" w:sz="4" w:space="0" w:color="auto"/>
              <w:right w:val="nil"/>
            </w:tcBorders>
            <w:shd w:val="clear" w:color="auto" w:fill="auto"/>
            <w:noWrap/>
            <w:vAlign w:val="bottom"/>
            <w:hideMark/>
          </w:tcPr>
          <w:p w14:paraId="334876F9"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-4.3</w:t>
            </w:r>
          </w:p>
        </w:tc>
        <w:tc>
          <w:tcPr>
            <w:tcW w:w="1400" w:type="dxa"/>
            <w:tcBorders>
              <w:top w:val="nil"/>
              <w:left w:val="nil"/>
              <w:bottom w:val="single" w:sz="4" w:space="0" w:color="auto"/>
              <w:right w:val="nil"/>
            </w:tcBorders>
            <w:shd w:val="clear" w:color="auto" w:fill="auto"/>
            <w:noWrap/>
            <w:vAlign w:val="bottom"/>
            <w:hideMark/>
          </w:tcPr>
          <w:p w14:paraId="334876FA"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52.0</w:t>
            </w:r>
          </w:p>
        </w:tc>
        <w:tc>
          <w:tcPr>
            <w:tcW w:w="1400" w:type="dxa"/>
            <w:tcBorders>
              <w:top w:val="nil"/>
              <w:left w:val="nil"/>
              <w:bottom w:val="single" w:sz="4" w:space="0" w:color="auto"/>
              <w:right w:val="nil"/>
            </w:tcBorders>
            <w:shd w:val="clear" w:color="auto" w:fill="auto"/>
            <w:noWrap/>
            <w:vAlign w:val="bottom"/>
            <w:hideMark/>
          </w:tcPr>
          <w:p w14:paraId="334876FB"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47.7</w:t>
            </w:r>
          </w:p>
        </w:tc>
      </w:tr>
      <w:tr w:rsidR="00E161EF" w:rsidRPr="00B17613" w14:paraId="33487701" w14:textId="77777777" w:rsidTr="00FD61A0">
        <w:trPr>
          <w:trHeight w:val="300"/>
        </w:trPr>
        <w:tc>
          <w:tcPr>
            <w:tcW w:w="4245" w:type="dxa"/>
            <w:tcBorders>
              <w:top w:val="nil"/>
              <w:left w:val="nil"/>
              <w:bottom w:val="nil"/>
              <w:right w:val="nil"/>
            </w:tcBorders>
            <w:shd w:val="clear" w:color="auto" w:fill="auto"/>
            <w:noWrap/>
            <w:vAlign w:val="bottom"/>
            <w:hideMark/>
          </w:tcPr>
          <w:p w14:paraId="334876FD"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Rendimiento DIT (</w:t>
            </w:r>
            <w:r w:rsidRPr="00B17613">
              <w:rPr>
                <w:rFonts w:ascii="Arial" w:eastAsia="Times New Roman" w:hAnsi="Arial" w:cs="Arial"/>
                <w:i/>
                <w:color w:val="000000"/>
                <w:sz w:val="18"/>
                <w:szCs w:val="20"/>
              </w:rPr>
              <w:t>R1</w:t>
            </w:r>
            <w:r w:rsidRPr="00B17613">
              <w:rPr>
                <w:rFonts w:ascii="Arial" w:eastAsia="Times New Roman" w:hAnsi="Arial" w:cs="Arial"/>
                <w:color w:val="000000"/>
                <w:sz w:val="18"/>
                <w:szCs w:val="20"/>
              </w:rPr>
              <w:t>, base = 28%)</w:t>
            </w:r>
          </w:p>
        </w:tc>
        <w:tc>
          <w:tcPr>
            <w:tcW w:w="1400" w:type="dxa"/>
            <w:tcBorders>
              <w:top w:val="nil"/>
              <w:left w:val="nil"/>
              <w:bottom w:val="nil"/>
              <w:right w:val="nil"/>
            </w:tcBorders>
            <w:shd w:val="clear" w:color="auto" w:fill="auto"/>
            <w:noWrap/>
            <w:vAlign w:val="bottom"/>
            <w:hideMark/>
          </w:tcPr>
          <w:p w14:paraId="334876FE"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c>
          <w:tcPr>
            <w:tcW w:w="1400" w:type="dxa"/>
            <w:tcBorders>
              <w:top w:val="nil"/>
              <w:left w:val="nil"/>
              <w:bottom w:val="nil"/>
              <w:right w:val="nil"/>
            </w:tcBorders>
            <w:shd w:val="clear" w:color="auto" w:fill="auto"/>
            <w:noWrap/>
            <w:vAlign w:val="bottom"/>
            <w:hideMark/>
          </w:tcPr>
          <w:p w14:paraId="334876FF"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c>
          <w:tcPr>
            <w:tcW w:w="1400" w:type="dxa"/>
            <w:tcBorders>
              <w:top w:val="nil"/>
              <w:left w:val="nil"/>
              <w:bottom w:val="nil"/>
              <w:right w:val="nil"/>
            </w:tcBorders>
            <w:shd w:val="clear" w:color="auto" w:fill="auto"/>
            <w:noWrap/>
            <w:vAlign w:val="bottom"/>
            <w:hideMark/>
          </w:tcPr>
          <w:p w14:paraId="33487700"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r>
      <w:tr w:rsidR="00E161EF" w:rsidRPr="00B17613" w14:paraId="33487706" w14:textId="77777777" w:rsidTr="00FD61A0">
        <w:trPr>
          <w:trHeight w:val="300"/>
        </w:trPr>
        <w:tc>
          <w:tcPr>
            <w:tcW w:w="4245" w:type="dxa"/>
            <w:tcBorders>
              <w:top w:val="nil"/>
              <w:left w:val="nil"/>
              <w:bottom w:val="nil"/>
              <w:right w:val="nil"/>
            </w:tcBorders>
            <w:shd w:val="clear" w:color="auto" w:fill="auto"/>
            <w:noWrap/>
            <w:vAlign w:val="bottom"/>
            <w:hideMark/>
          </w:tcPr>
          <w:p w14:paraId="33487702"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Bajo = 5%</w:t>
            </w:r>
          </w:p>
        </w:tc>
        <w:tc>
          <w:tcPr>
            <w:tcW w:w="1400" w:type="dxa"/>
            <w:tcBorders>
              <w:top w:val="nil"/>
              <w:left w:val="nil"/>
              <w:bottom w:val="nil"/>
              <w:right w:val="nil"/>
            </w:tcBorders>
            <w:shd w:val="clear" w:color="auto" w:fill="auto"/>
            <w:noWrap/>
            <w:vAlign w:val="bottom"/>
            <w:hideMark/>
          </w:tcPr>
          <w:p w14:paraId="33487703"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-7.5</w:t>
            </w:r>
          </w:p>
        </w:tc>
        <w:tc>
          <w:tcPr>
            <w:tcW w:w="1400" w:type="dxa"/>
            <w:tcBorders>
              <w:top w:val="nil"/>
              <w:left w:val="nil"/>
              <w:bottom w:val="nil"/>
              <w:right w:val="nil"/>
            </w:tcBorders>
            <w:shd w:val="clear" w:color="auto" w:fill="auto"/>
            <w:noWrap/>
            <w:vAlign w:val="bottom"/>
            <w:hideMark/>
          </w:tcPr>
          <w:p w14:paraId="33487704"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141.4</w:t>
            </w:r>
          </w:p>
        </w:tc>
        <w:tc>
          <w:tcPr>
            <w:tcW w:w="1400" w:type="dxa"/>
            <w:tcBorders>
              <w:top w:val="nil"/>
              <w:left w:val="nil"/>
              <w:bottom w:val="nil"/>
              <w:right w:val="nil"/>
            </w:tcBorders>
            <w:shd w:val="clear" w:color="auto" w:fill="auto"/>
            <w:noWrap/>
            <w:vAlign w:val="bottom"/>
            <w:hideMark/>
          </w:tcPr>
          <w:p w14:paraId="33487705"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134.0</w:t>
            </w:r>
          </w:p>
        </w:tc>
      </w:tr>
      <w:tr w:rsidR="00E161EF" w:rsidRPr="00B17613" w14:paraId="3348770B" w14:textId="77777777" w:rsidTr="00FD61A0">
        <w:trPr>
          <w:trHeight w:val="300"/>
        </w:trPr>
        <w:tc>
          <w:tcPr>
            <w:tcW w:w="4245" w:type="dxa"/>
            <w:tcBorders>
              <w:top w:val="nil"/>
              <w:left w:val="nil"/>
              <w:bottom w:val="single" w:sz="4" w:space="0" w:color="auto"/>
              <w:right w:val="nil"/>
            </w:tcBorders>
            <w:shd w:val="clear" w:color="auto" w:fill="auto"/>
            <w:noWrap/>
            <w:vAlign w:val="bottom"/>
            <w:hideMark/>
          </w:tcPr>
          <w:p w14:paraId="33487707"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Alto = 50%</w:t>
            </w:r>
          </w:p>
        </w:tc>
        <w:tc>
          <w:tcPr>
            <w:tcW w:w="1400" w:type="dxa"/>
            <w:tcBorders>
              <w:top w:val="nil"/>
              <w:left w:val="nil"/>
              <w:bottom w:val="single" w:sz="4" w:space="0" w:color="auto"/>
              <w:right w:val="nil"/>
            </w:tcBorders>
            <w:shd w:val="clear" w:color="auto" w:fill="auto"/>
            <w:noWrap/>
            <w:vAlign w:val="bottom"/>
            <w:hideMark/>
          </w:tcPr>
          <w:p w14:paraId="33487708"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34.9</w:t>
            </w:r>
          </w:p>
        </w:tc>
        <w:tc>
          <w:tcPr>
            <w:tcW w:w="1400" w:type="dxa"/>
            <w:tcBorders>
              <w:top w:val="nil"/>
              <w:left w:val="nil"/>
              <w:bottom w:val="single" w:sz="4" w:space="0" w:color="auto"/>
              <w:right w:val="nil"/>
            </w:tcBorders>
            <w:shd w:val="clear" w:color="auto" w:fill="auto"/>
            <w:noWrap/>
            <w:vAlign w:val="bottom"/>
            <w:hideMark/>
          </w:tcPr>
          <w:p w14:paraId="33487709"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141.4</w:t>
            </w:r>
          </w:p>
        </w:tc>
        <w:tc>
          <w:tcPr>
            <w:tcW w:w="1400" w:type="dxa"/>
            <w:tcBorders>
              <w:top w:val="nil"/>
              <w:left w:val="nil"/>
              <w:bottom w:val="single" w:sz="4" w:space="0" w:color="auto"/>
              <w:right w:val="nil"/>
            </w:tcBorders>
            <w:shd w:val="clear" w:color="auto" w:fill="auto"/>
            <w:noWrap/>
            <w:vAlign w:val="bottom"/>
            <w:hideMark/>
          </w:tcPr>
          <w:p w14:paraId="3348770A"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176.3</w:t>
            </w:r>
          </w:p>
        </w:tc>
      </w:tr>
      <w:tr w:rsidR="00E161EF" w:rsidRPr="00B17613" w14:paraId="33487710" w14:textId="77777777" w:rsidTr="00FD61A0">
        <w:trPr>
          <w:trHeight w:val="300"/>
        </w:trPr>
        <w:tc>
          <w:tcPr>
            <w:tcW w:w="4245" w:type="dxa"/>
            <w:tcBorders>
              <w:top w:val="nil"/>
              <w:left w:val="nil"/>
              <w:bottom w:val="nil"/>
              <w:right w:val="nil"/>
            </w:tcBorders>
            <w:shd w:val="clear" w:color="auto" w:fill="auto"/>
            <w:noWrap/>
            <w:vAlign w:val="bottom"/>
            <w:hideMark/>
          </w:tcPr>
          <w:p w14:paraId="3348770C"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 xml:space="preserve">Rendimiento </w:t>
            </w:r>
            <w:proofErr w:type="spellStart"/>
            <w:r w:rsidRPr="00B17613">
              <w:rPr>
                <w:rFonts w:ascii="Arial" w:eastAsia="Times New Roman" w:hAnsi="Arial" w:cs="Arial"/>
                <w:color w:val="000000"/>
                <w:sz w:val="18"/>
                <w:szCs w:val="20"/>
              </w:rPr>
              <w:t>RdO</w:t>
            </w:r>
            <w:proofErr w:type="spellEnd"/>
            <w:r w:rsidRPr="00B17613">
              <w:rPr>
                <w:rFonts w:ascii="Arial" w:eastAsia="Times New Roman" w:hAnsi="Arial" w:cs="Arial"/>
                <w:color w:val="000000"/>
                <w:sz w:val="18"/>
                <w:szCs w:val="20"/>
              </w:rPr>
              <w:t xml:space="preserve"> (</w:t>
            </w:r>
            <w:r w:rsidRPr="00B17613">
              <w:rPr>
                <w:rFonts w:ascii="Arial" w:eastAsia="Times New Roman" w:hAnsi="Arial" w:cs="Arial"/>
                <w:i/>
                <w:color w:val="000000"/>
                <w:sz w:val="18"/>
                <w:szCs w:val="20"/>
              </w:rPr>
              <w:t>R2</w:t>
            </w:r>
            <w:r w:rsidRPr="00B17613">
              <w:rPr>
                <w:rFonts w:ascii="Arial" w:eastAsia="Times New Roman" w:hAnsi="Arial" w:cs="Arial"/>
                <w:color w:val="000000"/>
                <w:sz w:val="18"/>
                <w:szCs w:val="20"/>
              </w:rPr>
              <w:t>, base = 8.35%)</w:t>
            </w:r>
          </w:p>
        </w:tc>
        <w:tc>
          <w:tcPr>
            <w:tcW w:w="1400" w:type="dxa"/>
            <w:tcBorders>
              <w:top w:val="nil"/>
              <w:left w:val="nil"/>
              <w:bottom w:val="nil"/>
              <w:right w:val="nil"/>
            </w:tcBorders>
            <w:shd w:val="clear" w:color="auto" w:fill="auto"/>
            <w:noWrap/>
            <w:vAlign w:val="bottom"/>
            <w:hideMark/>
          </w:tcPr>
          <w:p w14:paraId="3348770D"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c>
          <w:tcPr>
            <w:tcW w:w="1400" w:type="dxa"/>
            <w:tcBorders>
              <w:top w:val="nil"/>
              <w:left w:val="nil"/>
              <w:bottom w:val="nil"/>
              <w:right w:val="nil"/>
            </w:tcBorders>
            <w:shd w:val="clear" w:color="auto" w:fill="auto"/>
            <w:noWrap/>
            <w:vAlign w:val="bottom"/>
            <w:hideMark/>
          </w:tcPr>
          <w:p w14:paraId="3348770E"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c>
          <w:tcPr>
            <w:tcW w:w="1400" w:type="dxa"/>
            <w:tcBorders>
              <w:top w:val="nil"/>
              <w:left w:val="nil"/>
              <w:bottom w:val="nil"/>
              <w:right w:val="nil"/>
            </w:tcBorders>
            <w:shd w:val="clear" w:color="auto" w:fill="auto"/>
            <w:noWrap/>
            <w:vAlign w:val="bottom"/>
            <w:hideMark/>
          </w:tcPr>
          <w:p w14:paraId="3348770F" w14:textId="77777777" w:rsidR="00E161EF" w:rsidRPr="00B17613" w:rsidRDefault="00E161EF" w:rsidP="00E161EF">
            <w:pPr>
              <w:spacing w:after="0" w:line="240" w:lineRule="auto"/>
              <w:jc w:val="center"/>
              <w:rPr>
                <w:rFonts w:ascii="Arial" w:eastAsia="Times New Roman" w:hAnsi="Arial" w:cs="Arial"/>
                <w:color w:val="000000"/>
                <w:sz w:val="18"/>
                <w:szCs w:val="20"/>
              </w:rPr>
            </w:pPr>
          </w:p>
        </w:tc>
      </w:tr>
      <w:tr w:rsidR="00E161EF" w:rsidRPr="00B17613" w14:paraId="33487715" w14:textId="77777777" w:rsidTr="00FD61A0">
        <w:trPr>
          <w:trHeight w:val="300"/>
        </w:trPr>
        <w:tc>
          <w:tcPr>
            <w:tcW w:w="4245" w:type="dxa"/>
            <w:tcBorders>
              <w:top w:val="nil"/>
              <w:left w:val="nil"/>
              <w:bottom w:val="nil"/>
              <w:right w:val="nil"/>
            </w:tcBorders>
            <w:shd w:val="clear" w:color="auto" w:fill="auto"/>
            <w:noWrap/>
            <w:vAlign w:val="bottom"/>
            <w:hideMark/>
          </w:tcPr>
          <w:p w14:paraId="33487711"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Bajo = 5%</w:t>
            </w:r>
          </w:p>
        </w:tc>
        <w:tc>
          <w:tcPr>
            <w:tcW w:w="1400" w:type="dxa"/>
            <w:tcBorders>
              <w:top w:val="nil"/>
              <w:left w:val="nil"/>
              <w:bottom w:val="nil"/>
              <w:right w:val="nil"/>
            </w:tcBorders>
            <w:shd w:val="clear" w:color="auto" w:fill="auto"/>
            <w:noWrap/>
            <w:vAlign w:val="bottom"/>
            <w:hideMark/>
          </w:tcPr>
          <w:p w14:paraId="33487712"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14.2</w:t>
            </w:r>
          </w:p>
        </w:tc>
        <w:tc>
          <w:tcPr>
            <w:tcW w:w="1400" w:type="dxa"/>
            <w:tcBorders>
              <w:top w:val="nil"/>
              <w:left w:val="nil"/>
              <w:bottom w:val="nil"/>
              <w:right w:val="nil"/>
            </w:tcBorders>
            <w:shd w:val="clear" w:color="auto" w:fill="auto"/>
            <w:noWrap/>
            <w:vAlign w:val="bottom"/>
            <w:hideMark/>
          </w:tcPr>
          <w:p w14:paraId="33487713"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81.0</w:t>
            </w:r>
          </w:p>
        </w:tc>
        <w:tc>
          <w:tcPr>
            <w:tcW w:w="1400" w:type="dxa"/>
            <w:tcBorders>
              <w:top w:val="nil"/>
              <w:left w:val="nil"/>
              <w:bottom w:val="nil"/>
              <w:right w:val="nil"/>
            </w:tcBorders>
            <w:shd w:val="clear" w:color="auto" w:fill="auto"/>
            <w:noWrap/>
            <w:vAlign w:val="bottom"/>
            <w:hideMark/>
          </w:tcPr>
          <w:p w14:paraId="33487714"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95.1</w:t>
            </w:r>
          </w:p>
        </w:tc>
      </w:tr>
      <w:tr w:rsidR="00E161EF" w:rsidRPr="00B17613" w14:paraId="3348771A" w14:textId="77777777" w:rsidTr="00FD61A0">
        <w:trPr>
          <w:trHeight w:val="300"/>
        </w:trPr>
        <w:tc>
          <w:tcPr>
            <w:tcW w:w="4245" w:type="dxa"/>
            <w:tcBorders>
              <w:top w:val="nil"/>
              <w:left w:val="nil"/>
              <w:bottom w:val="single" w:sz="4" w:space="0" w:color="auto"/>
              <w:right w:val="nil"/>
            </w:tcBorders>
            <w:shd w:val="clear" w:color="auto" w:fill="auto"/>
            <w:noWrap/>
            <w:vAlign w:val="bottom"/>
            <w:hideMark/>
          </w:tcPr>
          <w:p w14:paraId="33487716"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Alto = 12%</w:t>
            </w:r>
          </w:p>
        </w:tc>
        <w:tc>
          <w:tcPr>
            <w:tcW w:w="1400" w:type="dxa"/>
            <w:tcBorders>
              <w:top w:val="nil"/>
              <w:left w:val="nil"/>
              <w:bottom w:val="single" w:sz="4" w:space="0" w:color="auto"/>
              <w:right w:val="nil"/>
            </w:tcBorders>
            <w:shd w:val="clear" w:color="auto" w:fill="auto"/>
            <w:noWrap/>
            <w:vAlign w:val="bottom"/>
            <w:hideMark/>
          </w:tcPr>
          <w:p w14:paraId="33487717"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14.2</w:t>
            </w:r>
          </w:p>
        </w:tc>
        <w:tc>
          <w:tcPr>
            <w:tcW w:w="1400" w:type="dxa"/>
            <w:tcBorders>
              <w:top w:val="nil"/>
              <w:left w:val="nil"/>
              <w:bottom w:val="single" w:sz="4" w:space="0" w:color="auto"/>
              <w:right w:val="nil"/>
            </w:tcBorders>
            <w:shd w:val="clear" w:color="auto" w:fill="auto"/>
            <w:noWrap/>
            <w:vAlign w:val="bottom"/>
            <w:hideMark/>
          </w:tcPr>
          <w:p w14:paraId="33487718"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206.4</w:t>
            </w:r>
          </w:p>
        </w:tc>
        <w:tc>
          <w:tcPr>
            <w:tcW w:w="1400" w:type="dxa"/>
            <w:tcBorders>
              <w:top w:val="nil"/>
              <w:left w:val="nil"/>
              <w:bottom w:val="single" w:sz="4" w:space="0" w:color="auto"/>
              <w:right w:val="nil"/>
            </w:tcBorders>
            <w:shd w:val="clear" w:color="auto" w:fill="auto"/>
            <w:noWrap/>
            <w:vAlign w:val="bottom"/>
            <w:hideMark/>
          </w:tcPr>
          <w:p w14:paraId="33487719"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220.6</w:t>
            </w:r>
          </w:p>
        </w:tc>
      </w:tr>
      <w:tr w:rsidR="00E161EF" w:rsidRPr="00D276A1" w14:paraId="3348771F" w14:textId="77777777" w:rsidTr="00FD61A0">
        <w:trPr>
          <w:trHeight w:val="300"/>
        </w:trPr>
        <w:tc>
          <w:tcPr>
            <w:tcW w:w="4245" w:type="dxa"/>
            <w:tcBorders>
              <w:top w:val="nil"/>
              <w:left w:val="nil"/>
              <w:bottom w:val="nil"/>
              <w:right w:val="nil"/>
            </w:tcBorders>
            <w:shd w:val="clear" w:color="auto" w:fill="auto"/>
            <w:noWrap/>
            <w:vAlign w:val="bottom"/>
            <w:hideMark/>
          </w:tcPr>
          <w:p w14:paraId="3348771B" w14:textId="77777777" w:rsidR="00E161EF" w:rsidRPr="00B94C13" w:rsidRDefault="00E161EF" w:rsidP="00E161EF">
            <w:pPr>
              <w:spacing w:after="0" w:line="240" w:lineRule="auto"/>
              <w:rPr>
                <w:rFonts w:ascii="Arial" w:eastAsia="Times New Roman" w:hAnsi="Arial" w:cs="Arial"/>
                <w:color w:val="000000"/>
                <w:sz w:val="18"/>
                <w:szCs w:val="20"/>
                <w:lang w:val="pt-BR"/>
              </w:rPr>
            </w:pPr>
            <w:proofErr w:type="spellStart"/>
            <w:r w:rsidRPr="00B94C13">
              <w:rPr>
                <w:rFonts w:ascii="Arial" w:eastAsia="Times New Roman" w:hAnsi="Arial" w:cs="Arial"/>
                <w:color w:val="000000"/>
                <w:sz w:val="18"/>
                <w:szCs w:val="20"/>
                <w:lang w:val="pt-BR"/>
              </w:rPr>
              <w:t>Ingreso</w:t>
            </w:r>
            <w:proofErr w:type="spellEnd"/>
            <w:r w:rsidRPr="00B94C13">
              <w:rPr>
                <w:rFonts w:ascii="Arial" w:eastAsia="Times New Roman" w:hAnsi="Arial" w:cs="Arial"/>
                <w:color w:val="000000"/>
                <w:sz w:val="18"/>
                <w:szCs w:val="20"/>
                <w:lang w:val="pt-BR"/>
              </w:rPr>
              <w:t xml:space="preserve"> laboral anual (</w:t>
            </w:r>
            <w:r w:rsidR="00E12285" w:rsidRPr="00B94C13">
              <w:rPr>
                <w:rFonts w:ascii="Arial" w:eastAsia="Times New Roman" w:hAnsi="Arial" w:cs="Arial"/>
                <w:i/>
                <w:color w:val="000000"/>
                <w:sz w:val="18"/>
                <w:szCs w:val="20"/>
                <w:lang w:val="pt-BR"/>
              </w:rPr>
              <w:t>w</w:t>
            </w:r>
            <w:r w:rsidR="00E12285" w:rsidRPr="00B94C13">
              <w:rPr>
                <w:rFonts w:ascii="Arial" w:eastAsia="Times New Roman" w:hAnsi="Arial" w:cs="Arial"/>
                <w:color w:val="000000"/>
                <w:sz w:val="18"/>
                <w:szCs w:val="20"/>
                <w:lang w:val="pt-BR"/>
              </w:rPr>
              <w:t xml:space="preserve">, </w:t>
            </w:r>
            <w:r w:rsidRPr="00B94C13">
              <w:rPr>
                <w:rFonts w:ascii="Arial" w:eastAsia="Times New Roman" w:hAnsi="Arial" w:cs="Arial"/>
                <w:color w:val="000000"/>
                <w:sz w:val="18"/>
                <w:szCs w:val="20"/>
                <w:lang w:val="pt-BR"/>
              </w:rPr>
              <w:t>base = US$ 3000)</w:t>
            </w:r>
          </w:p>
        </w:tc>
        <w:tc>
          <w:tcPr>
            <w:tcW w:w="1400" w:type="dxa"/>
            <w:tcBorders>
              <w:top w:val="nil"/>
              <w:left w:val="nil"/>
              <w:bottom w:val="nil"/>
              <w:right w:val="nil"/>
            </w:tcBorders>
            <w:shd w:val="clear" w:color="auto" w:fill="auto"/>
            <w:noWrap/>
            <w:vAlign w:val="bottom"/>
            <w:hideMark/>
          </w:tcPr>
          <w:p w14:paraId="3348771C" w14:textId="77777777" w:rsidR="00E161EF" w:rsidRPr="00B94C13" w:rsidRDefault="00E161EF" w:rsidP="00E161EF">
            <w:pPr>
              <w:spacing w:after="0" w:line="240" w:lineRule="auto"/>
              <w:jc w:val="center"/>
              <w:rPr>
                <w:rFonts w:ascii="Arial" w:eastAsia="Times New Roman" w:hAnsi="Arial" w:cs="Arial"/>
                <w:color w:val="000000"/>
                <w:sz w:val="18"/>
                <w:szCs w:val="20"/>
                <w:lang w:val="pt-BR"/>
              </w:rPr>
            </w:pPr>
          </w:p>
        </w:tc>
        <w:tc>
          <w:tcPr>
            <w:tcW w:w="1400" w:type="dxa"/>
            <w:tcBorders>
              <w:top w:val="nil"/>
              <w:left w:val="nil"/>
              <w:bottom w:val="nil"/>
              <w:right w:val="nil"/>
            </w:tcBorders>
            <w:shd w:val="clear" w:color="auto" w:fill="auto"/>
            <w:noWrap/>
            <w:vAlign w:val="bottom"/>
            <w:hideMark/>
          </w:tcPr>
          <w:p w14:paraId="3348771D" w14:textId="77777777" w:rsidR="00E161EF" w:rsidRPr="00B94C13" w:rsidRDefault="00E161EF" w:rsidP="00E161EF">
            <w:pPr>
              <w:spacing w:after="0" w:line="240" w:lineRule="auto"/>
              <w:jc w:val="center"/>
              <w:rPr>
                <w:rFonts w:ascii="Arial" w:eastAsia="Times New Roman" w:hAnsi="Arial" w:cs="Arial"/>
                <w:color w:val="000000"/>
                <w:sz w:val="18"/>
                <w:szCs w:val="20"/>
                <w:lang w:val="pt-BR"/>
              </w:rPr>
            </w:pPr>
          </w:p>
        </w:tc>
        <w:tc>
          <w:tcPr>
            <w:tcW w:w="1400" w:type="dxa"/>
            <w:tcBorders>
              <w:top w:val="nil"/>
              <w:left w:val="nil"/>
              <w:bottom w:val="nil"/>
              <w:right w:val="nil"/>
            </w:tcBorders>
            <w:shd w:val="clear" w:color="auto" w:fill="auto"/>
            <w:noWrap/>
            <w:vAlign w:val="bottom"/>
            <w:hideMark/>
          </w:tcPr>
          <w:p w14:paraId="3348771E" w14:textId="77777777" w:rsidR="00E161EF" w:rsidRPr="00B94C13" w:rsidRDefault="00E161EF" w:rsidP="00E161EF">
            <w:pPr>
              <w:spacing w:after="0" w:line="240" w:lineRule="auto"/>
              <w:jc w:val="center"/>
              <w:rPr>
                <w:rFonts w:ascii="Arial" w:eastAsia="Times New Roman" w:hAnsi="Arial" w:cs="Arial"/>
                <w:color w:val="000000"/>
                <w:sz w:val="18"/>
                <w:szCs w:val="20"/>
                <w:lang w:val="pt-BR"/>
              </w:rPr>
            </w:pPr>
          </w:p>
        </w:tc>
      </w:tr>
      <w:tr w:rsidR="00E161EF" w:rsidRPr="00B17613" w14:paraId="33487724" w14:textId="77777777" w:rsidTr="00FD61A0">
        <w:trPr>
          <w:trHeight w:val="300"/>
        </w:trPr>
        <w:tc>
          <w:tcPr>
            <w:tcW w:w="4245" w:type="dxa"/>
            <w:tcBorders>
              <w:top w:val="nil"/>
              <w:left w:val="nil"/>
              <w:bottom w:val="nil"/>
              <w:right w:val="nil"/>
            </w:tcBorders>
            <w:shd w:val="clear" w:color="auto" w:fill="auto"/>
            <w:noWrap/>
            <w:vAlign w:val="bottom"/>
            <w:hideMark/>
          </w:tcPr>
          <w:p w14:paraId="33487720"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lastRenderedPageBreak/>
              <w:t>Bajo = 1500</w:t>
            </w:r>
          </w:p>
        </w:tc>
        <w:tc>
          <w:tcPr>
            <w:tcW w:w="1400" w:type="dxa"/>
            <w:tcBorders>
              <w:top w:val="nil"/>
              <w:left w:val="nil"/>
              <w:bottom w:val="nil"/>
              <w:right w:val="nil"/>
            </w:tcBorders>
            <w:shd w:val="clear" w:color="auto" w:fill="auto"/>
            <w:noWrap/>
            <w:vAlign w:val="bottom"/>
            <w:hideMark/>
          </w:tcPr>
          <w:p w14:paraId="33487721"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1.0</w:t>
            </w:r>
          </w:p>
        </w:tc>
        <w:tc>
          <w:tcPr>
            <w:tcW w:w="1400" w:type="dxa"/>
            <w:tcBorders>
              <w:top w:val="nil"/>
              <w:left w:val="nil"/>
              <w:bottom w:val="nil"/>
              <w:right w:val="nil"/>
            </w:tcBorders>
            <w:shd w:val="clear" w:color="auto" w:fill="auto"/>
            <w:noWrap/>
            <w:vAlign w:val="bottom"/>
            <w:hideMark/>
          </w:tcPr>
          <w:p w14:paraId="33487722"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66.4</w:t>
            </w:r>
          </w:p>
        </w:tc>
        <w:tc>
          <w:tcPr>
            <w:tcW w:w="1400" w:type="dxa"/>
            <w:tcBorders>
              <w:top w:val="nil"/>
              <w:left w:val="nil"/>
              <w:bottom w:val="nil"/>
              <w:right w:val="nil"/>
            </w:tcBorders>
            <w:shd w:val="clear" w:color="auto" w:fill="auto"/>
            <w:noWrap/>
            <w:vAlign w:val="bottom"/>
            <w:hideMark/>
          </w:tcPr>
          <w:p w14:paraId="33487723"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67.4</w:t>
            </w:r>
          </w:p>
        </w:tc>
      </w:tr>
      <w:tr w:rsidR="00E161EF" w:rsidRPr="00B17613" w14:paraId="33487729" w14:textId="77777777" w:rsidTr="00FD61A0">
        <w:trPr>
          <w:trHeight w:val="300"/>
        </w:trPr>
        <w:tc>
          <w:tcPr>
            <w:tcW w:w="4245" w:type="dxa"/>
            <w:tcBorders>
              <w:top w:val="nil"/>
              <w:left w:val="nil"/>
              <w:bottom w:val="single" w:sz="4" w:space="0" w:color="auto"/>
              <w:right w:val="nil"/>
            </w:tcBorders>
            <w:shd w:val="clear" w:color="auto" w:fill="auto"/>
            <w:noWrap/>
            <w:vAlign w:val="bottom"/>
            <w:hideMark/>
          </w:tcPr>
          <w:p w14:paraId="33487725" w14:textId="77777777" w:rsidR="00E161EF" w:rsidRPr="00B17613" w:rsidRDefault="00E161EF" w:rsidP="00E161EF">
            <w:pPr>
              <w:spacing w:after="0" w:line="240" w:lineRule="auto"/>
              <w:rPr>
                <w:rFonts w:ascii="Arial" w:eastAsia="Times New Roman" w:hAnsi="Arial" w:cs="Arial"/>
                <w:color w:val="000000"/>
                <w:sz w:val="18"/>
                <w:szCs w:val="20"/>
              </w:rPr>
            </w:pPr>
            <w:r w:rsidRPr="00B17613">
              <w:rPr>
                <w:rFonts w:ascii="Arial" w:eastAsia="Times New Roman" w:hAnsi="Arial" w:cs="Arial"/>
                <w:color w:val="000000"/>
                <w:sz w:val="18"/>
                <w:szCs w:val="20"/>
              </w:rPr>
              <w:t>Alto = 4500</w:t>
            </w:r>
          </w:p>
        </w:tc>
        <w:tc>
          <w:tcPr>
            <w:tcW w:w="1400" w:type="dxa"/>
            <w:tcBorders>
              <w:top w:val="nil"/>
              <w:left w:val="nil"/>
              <w:bottom w:val="single" w:sz="4" w:space="0" w:color="auto"/>
              <w:right w:val="nil"/>
            </w:tcBorders>
            <w:shd w:val="clear" w:color="auto" w:fill="auto"/>
            <w:noWrap/>
            <w:vAlign w:val="bottom"/>
            <w:hideMark/>
          </w:tcPr>
          <w:p w14:paraId="33487726"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27.3</w:t>
            </w:r>
          </w:p>
        </w:tc>
        <w:tc>
          <w:tcPr>
            <w:tcW w:w="1400" w:type="dxa"/>
            <w:tcBorders>
              <w:top w:val="nil"/>
              <w:left w:val="nil"/>
              <w:bottom w:val="single" w:sz="4" w:space="0" w:color="auto"/>
              <w:right w:val="nil"/>
            </w:tcBorders>
            <w:shd w:val="clear" w:color="auto" w:fill="auto"/>
            <w:noWrap/>
            <w:vAlign w:val="bottom"/>
            <w:hideMark/>
          </w:tcPr>
          <w:p w14:paraId="33487727"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216.5</w:t>
            </w:r>
          </w:p>
        </w:tc>
        <w:tc>
          <w:tcPr>
            <w:tcW w:w="1400" w:type="dxa"/>
            <w:tcBorders>
              <w:top w:val="nil"/>
              <w:left w:val="nil"/>
              <w:bottom w:val="single" w:sz="4" w:space="0" w:color="auto"/>
              <w:right w:val="nil"/>
            </w:tcBorders>
            <w:shd w:val="clear" w:color="auto" w:fill="auto"/>
            <w:noWrap/>
            <w:vAlign w:val="bottom"/>
            <w:hideMark/>
          </w:tcPr>
          <w:p w14:paraId="33487728" w14:textId="77777777" w:rsidR="00E161EF" w:rsidRPr="00B17613" w:rsidRDefault="00E161EF" w:rsidP="00E161EF">
            <w:pPr>
              <w:spacing w:after="0" w:line="240" w:lineRule="auto"/>
              <w:jc w:val="center"/>
              <w:rPr>
                <w:rFonts w:ascii="Arial" w:eastAsia="Times New Roman" w:hAnsi="Arial" w:cs="Arial"/>
                <w:color w:val="000000"/>
                <w:sz w:val="18"/>
                <w:szCs w:val="20"/>
              </w:rPr>
            </w:pPr>
            <w:r w:rsidRPr="00B17613">
              <w:rPr>
                <w:rFonts w:ascii="Arial" w:eastAsia="Times New Roman" w:hAnsi="Arial" w:cs="Arial"/>
                <w:color w:val="000000"/>
                <w:sz w:val="18"/>
                <w:szCs w:val="20"/>
              </w:rPr>
              <w:t>243.8</w:t>
            </w:r>
          </w:p>
        </w:tc>
      </w:tr>
    </w:tbl>
    <w:p w14:paraId="3348772A" w14:textId="77777777" w:rsidR="00E161EF" w:rsidRPr="00B17613" w:rsidRDefault="00E161EF" w:rsidP="003376DE">
      <w:pPr>
        <w:spacing w:before="120" w:after="120" w:line="240" w:lineRule="auto"/>
        <w:jc w:val="both"/>
        <w:rPr>
          <w:rFonts w:ascii="Arial" w:hAnsi="Arial" w:cs="Arial"/>
          <w:b/>
          <w:szCs w:val="24"/>
          <w:lang w:eastAsia="es-ES"/>
        </w:rPr>
      </w:pPr>
    </w:p>
    <w:p w14:paraId="3348772B" w14:textId="77777777" w:rsidR="00EA56C3" w:rsidRPr="00B17613" w:rsidRDefault="00EA56C3" w:rsidP="00EA56C3">
      <w:pPr>
        <w:pStyle w:val="ListParagraph"/>
        <w:numPr>
          <w:ilvl w:val="0"/>
          <w:numId w:val="13"/>
        </w:numPr>
        <w:spacing w:before="120" w:after="120" w:line="240" w:lineRule="auto"/>
        <w:jc w:val="both"/>
        <w:rPr>
          <w:rFonts w:ascii="Arial" w:hAnsi="Arial" w:cs="Arial"/>
          <w:b/>
          <w:szCs w:val="24"/>
          <w:u w:val="single"/>
          <w:lang w:eastAsia="es-ES"/>
        </w:rPr>
      </w:pPr>
      <w:r w:rsidRPr="00B17613">
        <w:rPr>
          <w:rFonts w:ascii="Arial" w:hAnsi="Arial" w:cs="Arial"/>
          <w:b/>
          <w:szCs w:val="24"/>
          <w:u w:val="single"/>
          <w:lang w:eastAsia="es-ES"/>
        </w:rPr>
        <w:t>Conclusiones</w:t>
      </w:r>
    </w:p>
    <w:p w14:paraId="3348772C" w14:textId="77777777" w:rsidR="00EA56C3" w:rsidRPr="00B17613" w:rsidRDefault="00EA56C3" w:rsidP="003376DE">
      <w:pPr>
        <w:spacing w:before="120" w:after="120" w:line="240" w:lineRule="auto"/>
        <w:jc w:val="both"/>
        <w:rPr>
          <w:rFonts w:ascii="Arial" w:hAnsi="Arial" w:cs="Arial"/>
          <w:szCs w:val="24"/>
          <w:lang w:eastAsia="es-ES"/>
        </w:rPr>
      </w:pPr>
      <w:r w:rsidRPr="00B17613">
        <w:rPr>
          <w:rFonts w:ascii="Arial" w:hAnsi="Arial" w:cs="Arial"/>
          <w:szCs w:val="24"/>
          <w:lang w:eastAsia="es-ES"/>
        </w:rPr>
        <w:t>El análisis económico presentado en este documento muestra que los beneficios de las reformas prevista</w:t>
      </w:r>
      <w:r w:rsidR="00801010">
        <w:rPr>
          <w:rFonts w:ascii="Arial" w:hAnsi="Arial" w:cs="Arial"/>
          <w:szCs w:val="24"/>
          <w:lang w:eastAsia="es-ES"/>
        </w:rPr>
        <w:t>s</w:t>
      </w:r>
      <w:r w:rsidRPr="00B17613">
        <w:rPr>
          <w:rFonts w:ascii="Arial" w:hAnsi="Arial" w:cs="Arial"/>
          <w:szCs w:val="24"/>
          <w:lang w:eastAsia="es-ES"/>
        </w:rPr>
        <w:t xml:space="preserve"> en el contexto del </w:t>
      </w:r>
      <w:r w:rsidRPr="00B17613">
        <w:rPr>
          <w:rFonts w:ascii="Arial" w:eastAsia="Times New Roman" w:hAnsi="Arial" w:cs="Arial"/>
          <w:szCs w:val="24"/>
        </w:rPr>
        <w:t xml:space="preserve">Programa de Transparencia y Equidad del Gasto en Protección Social de Panamá </w:t>
      </w:r>
      <w:r w:rsidRPr="00B17613">
        <w:rPr>
          <w:rFonts w:ascii="Arial" w:hAnsi="Arial" w:cs="Arial"/>
          <w:szCs w:val="24"/>
          <w:lang w:eastAsia="es-ES"/>
        </w:rPr>
        <w:t>superan ampliamente los costos. El VPN de la operación es de USD 1</w:t>
      </w:r>
      <w:r w:rsidR="008B5037" w:rsidRPr="00B17613">
        <w:rPr>
          <w:rFonts w:ascii="Arial" w:hAnsi="Arial" w:cs="Arial"/>
          <w:szCs w:val="24"/>
          <w:lang w:eastAsia="es-ES"/>
        </w:rPr>
        <w:t>55</w:t>
      </w:r>
      <w:r w:rsidRPr="00B17613">
        <w:rPr>
          <w:rFonts w:ascii="Arial" w:hAnsi="Arial" w:cs="Arial"/>
          <w:szCs w:val="24"/>
          <w:lang w:eastAsia="es-ES"/>
        </w:rPr>
        <w:t>,</w:t>
      </w:r>
      <w:r w:rsidR="008B5037" w:rsidRPr="00B17613">
        <w:rPr>
          <w:rFonts w:ascii="Arial" w:hAnsi="Arial" w:cs="Arial"/>
          <w:szCs w:val="24"/>
          <w:lang w:eastAsia="es-ES"/>
        </w:rPr>
        <w:t>6</w:t>
      </w:r>
      <w:r w:rsidRPr="00B17613">
        <w:rPr>
          <w:rFonts w:ascii="Arial" w:hAnsi="Arial" w:cs="Arial"/>
          <w:szCs w:val="24"/>
          <w:lang w:eastAsia="es-ES"/>
        </w:rPr>
        <w:t xml:space="preserve"> millones en el caso base, y se mantiene positivo </w:t>
      </w:r>
      <w:r w:rsidR="00743565" w:rsidRPr="00B17613">
        <w:rPr>
          <w:rFonts w:ascii="Arial" w:hAnsi="Arial" w:cs="Arial"/>
          <w:szCs w:val="24"/>
          <w:lang w:eastAsia="es-ES"/>
        </w:rPr>
        <w:t>en los escenarios más pesimistas sobre la realización de los parámetros clave</w:t>
      </w:r>
      <w:r w:rsidRPr="00B17613">
        <w:rPr>
          <w:rFonts w:ascii="Arial" w:hAnsi="Arial" w:cs="Arial"/>
          <w:szCs w:val="24"/>
          <w:lang w:eastAsia="es-ES"/>
        </w:rPr>
        <w:t>.</w:t>
      </w:r>
    </w:p>
    <w:p w14:paraId="3348772D" w14:textId="77777777" w:rsidR="001615CE" w:rsidRPr="00B17613" w:rsidRDefault="001615CE" w:rsidP="003376DE">
      <w:pPr>
        <w:spacing w:before="120" w:after="120" w:line="240" w:lineRule="auto"/>
        <w:jc w:val="both"/>
        <w:rPr>
          <w:rFonts w:ascii="Arial" w:hAnsi="Arial" w:cs="Arial"/>
          <w:b/>
          <w:szCs w:val="24"/>
          <w:lang w:eastAsia="es-ES"/>
        </w:rPr>
      </w:pPr>
    </w:p>
    <w:p w14:paraId="3348772E" w14:textId="77777777" w:rsidR="00B6057A" w:rsidRPr="00B17613" w:rsidRDefault="002A467D" w:rsidP="00771A36">
      <w:pPr>
        <w:keepNext/>
        <w:spacing w:before="120" w:after="120" w:line="240" w:lineRule="auto"/>
        <w:jc w:val="both"/>
        <w:rPr>
          <w:rFonts w:ascii="Arial" w:hAnsi="Arial" w:cs="Arial"/>
          <w:b/>
          <w:szCs w:val="24"/>
          <w:lang w:eastAsia="es-ES"/>
        </w:rPr>
      </w:pPr>
      <w:r w:rsidRPr="00B17613">
        <w:rPr>
          <w:rFonts w:ascii="Arial" w:hAnsi="Arial" w:cs="Arial"/>
          <w:b/>
          <w:szCs w:val="24"/>
          <w:lang w:eastAsia="es-ES"/>
        </w:rPr>
        <w:t>Referencias</w:t>
      </w:r>
    </w:p>
    <w:p w14:paraId="3348772F" w14:textId="77777777" w:rsidR="00886551" w:rsidRPr="00B17613" w:rsidRDefault="00886551" w:rsidP="001615CE">
      <w:pPr>
        <w:pStyle w:val="NormalWeb"/>
        <w:spacing w:before="0" w:beforeAutospacing="0" w:after="120" w:afterAutospacing="0"/>
        <w:ind w:left="480" w:hanging="480"/>
        <w:rPr>
          <w:rFonts w:ascii="Arial" w:hAnsi="Arial" w:cs="Arial"/>
          <w:szCs w:val="22"/>
        </w:rPr>
      </w:pPr>
      <w:proofErr w:type="spellStart"/>
      <w:r w:rsidRPr="00B94C13">
        <w:rPr>
          <w:rFonts w:ascii="Arial" w:hAnsi="Arial" w:cs="Arial"/>
          <w:szCs w:val="22"/>
          <w:lang w:val="es-ES_tradnl"/>
        </w:rPr>
        <w:t>Almond</w:t>
      </w:r>
      <w:proofErr w:type="spellEnd"/>
      <w:r w:rsidRPr="00B94C13">
        <w:rPr>
          <w:rFonts w:ascii="Arial" w:hAnsi="Arial" w:cs="Arial"/>
          <w:szCs w:val="22"/>
          <w:lang w:val="es-ES_tradnl"/>
        </w:rPr>
        <w:t xml:space="preserve">, D., y </w:t>
      </w:r>
      <w:proofErr w:type="spellStart"/>
      <w:r w:rsidRPr="00B94C13">
        <w:rPr>
          <w:rFonts w:ascii="Arial" w:hAnsi="Arial" w:cs="Arial"/>
          <w:szCs w:val="22"/>
          <w:lang w:val="es-ES_tradnl"/>
        </w:rPr>
        <w:t>Currie</w:t>
      </w:r>
      <w:proofErr w:type="spellEnd"/>
      <w:r w:rsidRPr="00B94C13">
        <w:rPr>
          <w:rFonts w:ascii="Arial" w:hAnsi="Arial" w:cs="Arial"/>
          <w:szCs w:val="22"/>
          <w:lang w:val="es-ES_tradnl"/>
        </w:rPr>
        <w:t xml:space="preserve">, Ja. </w:t>
      </w:r>
      <w:r w:rsidRPr="00B17613">
        <w:rPr>
          <w:rFonts w:ascii="Arial" w:hAnsi="Arial" w:cs="Arial"/>
          <w:szCs w:val="22"/>
        </w:rPr>
        <w:t xml:space="preserve">(2011). </w:t>
      </w:r>
      <w:r w:rsidRPr="00B17613">
        <w:rPr>
          <w:rFonts w:ascii="Arial" w:hAnsi="Arial" w:cs="Arial"/>
          <w:i/>
          <w:szCs w:val="22"/>
        </w:rPr>
        <w:t>Human Capital Development before Age Five.</w:t>
      </w:r>
      <w:r w:rsidRPr="00B17613">
        <w:rPr>
          <w:rFonts w:ascii="Arial" w:hAnsi="Arial" w:cs="Arial"/>
          <w:szCs w:val="22"/>
        </w:rPr>
        <w:t xml:space="preserve"> In O. </w:t>
      </w:r>
      <w:proofErr w:type="spellStart"/>
      <w:r w:rsidRPr="00B17613">
        <w:rPr>
          <w:rFonts w:ascii="Arial" w:hAnsi="Arial" w:cs="Arial"/>
          <w:szCs w:val="22"/>
        </w:rPr>
        <w:t>Ashenfelter</w:t>
      </w:r>
      <w:proofErr w:type="spellEnd"/>
      <w:r w:rsidRPr="00B17613">
        <w:rPr>
          <w:rFonts w:ascii="Arial" w:hAnsi="Arial" w:cs="Arial"/>
          <w:szCs w:val="22"/>
        </w:rPr>
        <w:t xml:space="preserve"> y D. Card (Eds.), </w:t>
      </w:r>
      <w:r w:rsidRPr="00B17613">
        <w:rPr>
          <w:rFonts w:ascii="Arial" w:hAnsi="Arial" w:cs="Arial"/>
          <w:i/>
          <w:iCs/>
          <w:szCs w:val="22"/>
        </w:rPr>
        <w:t>Handbook of Labor Economics</w:t>
      </w:r>
      <w:r w:rsidRPr="00B17613">
        <w:rPr>
          <w:rFonts w:ascii="Arial" w:hAnsi="Arial" w:cs="Arial"/>
          <w:szCs w:val="22"/>
        </w:rPr>
        <w:t xml:space="preserve"> (pp. 1315–486). Amsterdam, </w:t>
      </w:r>
      <w:proofErr w:type="spellStart"/>
      <w:r w:rsidRPr="00B17613">
        <w:rPr>
          <w:rFonts w:ascii="Arial" w:hAnsi="Arial" w:cs="Arial"/>
          <w:szCs w:val="22"/>
        </w:rPr>
        <w:t>Holanda</w:t>
      </w:r>
      <w:proofErr w:type="spellEnd"/>
      <w:r w:rsidRPr="00B17613">
        <w:rPr>
          <w:rFonts w:ascii="Arial" w:hAnsi="Arial" w:cs="Arial"/>
          <w:szCs w:val="22"/>
        </w:rPr>
        <w:t>: North Holland.</w:t>
      </w:r>
    </w:p>
    <w:p w14:paraId="33487730" w14:textId="77777777" w:rsidR="00F12F92" w:rsidRPr="00B94C13" w:rsidRDefault="00F12F92" w:rsidP="001615CE">
      <w:pPr>
        <w:pStyle w:val="NormalWeb"/>
        <w:spacing w:before="0" w:beforeAutospacing="0" w:after="120" w:afterAutospacing="0"/>
        <w:ind w:left="480" w:hanging="480"/>
        <w:rPr>
          <w:rFonts w:ascii="Arial" w:hAnsi="Arial" w:cs="Arial"/>
          <w:szCs w:val="22"/>
          <w:lang w:val="es-ES_tradnl"/>
        </w:rPr>
      </w:pPr>
      <w:r w:rsidRPr="00F12F92">
        <w:rPr>
          <w:rFonts w:ascii="Arial" w:hAnsi="Arial" w:cs="Arial"/>
          <w:szCs w:val="22"/>
        </w:rPr>
        <w:t>Araujo, M</w:t>
      </w:r>
      <w:r>
        <w:rPr>
          <w:rFonts w:ascii="Arial" w:hAnsi="Arial" w:cs="Arial"/>
          <w:szCs w:val="22"/>
        </w:rPr>
        <w:t>.C.,</w:t>
      </w:r>
      <w:r w:rsidRPr="00F12F92">
        <w:rPr>
          <w:rFonts w:ascii="Arial" w:hAnsi="Arial" w:cs="Arial"/>
          <w:szCs w:val="22"/>
        </w:rPr>
        <w:t xml:space="preserve"> </w:t>
      </w:r>
      <w:proofErr w:type="spellStart"/>
      <w:r w:rsidRPr="00F12F92">
        <w:rPr>
          <w:rFonts w:ascii="Arial" w:hAnsi="Arial" w:cs="Arial"/>
          <w:szCs w:val="22"/>
        </w:rPr>
        <w:t>Ardanaz</w:t>
      </w:r>
      <w:proofErr w:type="spellEnd"/>
      <w:r w:rsidRPr="00F12F92">
        <w:rPr>
          <w:rFonts w:ascii="Arial" w:hAnsi="Arial" w:cs="Arial"/>
          <w:szCs w:val="22"/>
        </w:rPr>
        <w:t xml:space="preserve">, </w:t>
      </w:r>
      <w:r>
        <w:rPr>
          <w:rFonts w:ascii="Arial" w:hAnsi="Arial" w:cs="Arial"/>
          <w:szCs w:val="22"/>
        </w:rPr>
        <w:t>M.,</w:t>
      </w:r>
      <w:r w:rsidRPr="00F12F92">
        <w:rPr>
          <w:rFonts w:ascii="Arial" w:hAnsi="Arial" w:cs="Arial"/>
          <w:szCs w:val="22"/>
        </w:rPr>
        <w:t xml:space="preserve"> </w:t>
      </w:r>
      <w:proofErr w:type="spellStart"/>
      <w:r w:rsidRPr="00F12F92">
        <w:rPr>
          <w:rFonts w:ascii="Arial" w:hAnsi="Arial" w:cs="Arial"/>
          <w:szCs w:val="22"/>
        </w:rPr>
        <w:t>Armendáriz</w:t>
      </w:r>
      <w:proofErr w:type="spellEnd"/>
      <w:r w:rsidRPr="00F12F92">
        <w:rPr>
          <w:rFonts w:ascii="Arial" w:hAnsi="Arial" w:cs="Arial"/>
          <w:szCs w:val="22"/>
        </w:rPr>
        <w:t>, E</w:t>
      </w:r>
      <w:r>
        <w:rPr>
          <w:rFonts w:ascii="Arial" w:hAnsi="Arial" w:cs="Arial"/>
          <w:szCs w:val="22"/>
        </w:rPr>
        <w:t>.,</w:t>
      </w:r>
      <w:r w:rsidRPr="00F12F92">
        <w:rPr>
          <w:rFonts w:ascii="Arial" w:hAnsi="Arial" w:cs="Arial"/>
          <w:szCs w:val="22"/>
        </w:rPr>
        <w:t xml:space="preserve"> Behrman, J</w:t>
      </w:r>
      <w:r>
        <w:rPr>
          <w:rFonts w:ascii="Arial" w:hAnsi="Arial" w:cs="Arial"/>
          <w:szCs w:val="22"/>
        </w:rPr>
        <w:t>.</w:t>
      </w:r>
      <w:r w:rsidRPr="00F12F92">
        <w:rPr>
          <w:rFonts w:ascii="Arial" w:hAnsi="Arial" w:cs="Arial"/>
          <w:szCs w:val="22"/>
        </w:rPr>
        <w:t>R.</w:t>
      </w:r>
      <w:r>
        <w:rPr>
          <w:rFonts w:ascii="Arial" w:hAnsi="Arial" w:cs="Arial"/>
          <w:szCs w:val="22"/>
        </w:rPr>
        <w:t>,</w:t>
      </w:r>
      <w:r w:rsidRPr="00F12F92">
        <w:rPr>
          <w:rFonts w:ascii="Arial" w:hAnsi="Arial" w:cs="Arial"/>
          <w:szCs w:val="22"/>
        </w:rPr>
        <w:t xml:space="preserve"> </w:t>
      </w:r>
      <w:proofErr w:type="spellStart"/>
      <w:r w:rsidRPr="00F12F92">
        <w:rPr>
          <w:rFonts w:ascii="Arial" w:hAnsi="Arial" w:cs="Arial"/>
          <w:szCs w:val="22"/>
        </w:rPr>
        <w:t>Berlinski</w:t>
      </w:r>
      <w:proofErr w:type="spellEnd"/>
      <w:r w:rsidRPr="00F12F92">
        <w:rPr>
          <w:rFonts w:ascii="Arial" w:hAnsi="Arial" w:cs="Arial"/>
          <w:szCs w:val="22"/>
        </w:rPr>
        <w:t>, S</w:t>
      </w:r>
      <w:r>
        <w:rPr>
          <w:rFonts w:ascii="Arial" w:hAnsi="Arial" w:cs="Arial"/>
          <w:szCs w:val="22"/>
        </w:rPr>
        <w:t>.,</w:t>
      </w:r>
      <w:r w:rsidRPr="00F12F92">
        <w:rPr>
          <w:rFonts w:ascii="Arial" w:hAnsi="Arial" w:cs="Arial"/>
          <w:szCs w:val="22"/>
        </w:rPr>
        <w:t xml:space="preserve"> </w:t>
      </w:r>
      <w:proofErr w:type="spellStart"/>
      <w:r w:rsidRPr="00F12F92">
        <w:rPr>
          <w:rFonts w:ascii="Arial" w:hAnsi="Arial" w:cs="Arial"/>
          <w:szCs w:val="22"/>
        </w:rPr>
        <w:t>Cristia</w:t>
      </w:r>
      <w:proofErr w:type="spellEnd"/>
      <w:r w:rsidRPr="00F12F92">
        <w:rPr>
          <w:rFonts w:ascii="Arial" w:hAnsi="Arial" w:cs="Arial"/>
          <w:szCs w:val="22"/>
        </w:rPr>
        <w:t>, J</w:t>
      </w:r>
      <w:r>
        <w:rPr>
          <w:rFonts w:ascii="Arial" w:hAnsi="Arial" w:cs="Arial"/>
          <w:szCs w:val="22"/>
        </w:rPr>
        <w:t>.</w:t>
      </w:r>
      <w:r w:rsidRPr="00F12F92">
        <w:rPr>
          <w:rFonts w:ascii="Arial" w:hAnsi="Arial" w:cs="Arial"/>
          <w:szCs w:val="22"/>
        </w:rPr>
        <w:t>P.</w:t>
      </w:r>
      <w:r>
        <w:rPr>
          <w:rFonts w:ascii="Arial" w:hAnsi="Arial" w:cs="Arial"/>
          <w:szCs w:val="22"/>
        </w:rPr>
        <w:t>,</w:t>
      </w:r>
      <w:r w:rsidRPr="00F12F92">
        <w:rPr>
          <w:rFonts w:ascii="Arial" w:hAnsi="Arial" w:cs="Arial"/>
          <w:szCs w:val="22"/>
        </w:rPr>
        <w:t xml:space="preserve"> Cruz-Aguayo, Y</w:t>
      </w:r>
      <w:r>
        <w:rPr>
          <w:rFonts w:ascii="Arial" w:hAnsi="Arial" w:cs="Arial"/>
          <w:szCs w:val="22"/>
        </w:rPr>
        <w:t>.,</w:t>
      </w:r>
      <w:r w:rsidRPr="00F12F92">
        <w:rPr>
          <w:rFonts w:ascii="Arial" w:hAnsi="Arial" w:cs="Arial"/>
          <w:szCs w:val="22"/>
        </w:rPr>
        <w:t xml:space="preserve"> </w:t>
      </w:r>
      <w:proofErr w:type="spellStart"/>
      <w:r w:rsidRPr="00F12F92">
        <w:rPr>
          <w:rFonts w:ascii="Arial" w:hAnsi="Arial" w:cs="Arial"/>
          <w:szCs w:val="22"/>
        </w:rPr>
        <w:t>Flabbi</w:t>
      </w:r>
      <w:proofErr w:type="spellEnd"/>
      <w:r w:rsidRPr="00F12F92">
        <w:rPr>
          <w:rFonts w:ascii="Arial" w:hAnsi="Arial" w:cs="Arial"/>
          <w:szCs w:val="22"/>
        </w:rPr>
        <w:t>, L</w:t>
      </w:r>
      <w:r>
        <w:rPr>
          <w:rFonts w:ascii="Arial" w:hAnsi="Arial" w:cs="Arial"/>
          <w:szCs w:val="22"/>
        </w:rPr>
        <w:t>.,</w:t>
      </w:r>
      <w:r w:rsidRPr="00F12F92">
        <w:rPr>
          <w:rFonts w:ascii="Arial" w:hAnsi="Arial" w:cs="Arial"/>
          <w:szCs w:val="22"/>
        </w:rPr>
        <w:t xml:space="preserve"> </w:t>
      </w:r>
      <w:proofErr w:type="spellStart"/>
      <w:r w:rsidRPr="00F12F92">
        <w:rPr>
          <w:rFonts w:ascii="Arial" w:hAnsi="Arial" w:cs="Arial"/>
          <w:szCs w:val="22"/>
        </w:rPr>
        <w:t>Hincapie</w:t>
      </w:r>
      <w:proofErr w:type="spellEnd"/>
      <w:r w:rsidRPr="00F12F92">
        <w:rPr>
          <w:rFonts w:ascii="Arial" w:hAnsi="Arial" w:cs="Arial"/>
          <w:szCs w:val="22"/>
        </w:rPr>
        <w:t>, D</w:t>
      </w:r>
      <w:r>
        <w:rPr>
          <w:rFonts w:ascii="Arial" w:hAnsi="Arial" w:cs="Arial"/>
          <w:szCs w:val="22"/>
        </w:rPr>
        <w:t>.,</w:t>
      </w:r>
      <w:r w:rsidRPr="00F12F92">
        <w:rPr>
          <w:rFonts w:ascii="Arial" w:hAnsi="Arial" w:cs="Arial"/>
          <w:szCs w:val="22"/>
        </w:rPr>
        <w:t xml:space="preserve"> </w:t>
      </w:r>
      <w:proofErr w:type="spellStart"/>
      <w:r w:rsidRPr="00F12F92">
        <w:rPr>
          <w:rFonts w:ascii="Arial" w:hAnsi="Arial" w:cs="Arial"/>
          <w:szCs w:val="22"/>
        </w:rPr>
        <w:t>Jalmovich</w:t>
      </w:r>
      <w:proofErr w:type="spellEnd"/>
      <w:r w:rsidRPr="00F12F92">
        <w:rPr>
          <w:rFonts w:ascii="Arial" w:hAnsi="Arial" w:cs="Arial"/>
          <w:szCs w:val="22"/>
        </w:rPr>
        <w:t>, A</w:t>
      </w:r>
      <w:r>
        <w:rPr>
          <w:rFonts w:ascii="Arial" w:hAnsi="Arial" w:cs="Arial"/>
          <w:szCs w:val="22"/>
        </w:rPr>
        <w:t>.,</w:t>
      </w:r>
      <w:r w:rsidRPr="00F12F92">
        <w:rPr>
          <w:rFonts w:ascii="Arial" w:hAnsi="Arial" w:cs="Arial"/>
          <w:szCs w:val="22"/>
        </w:rPr>
        <w:t xml:space="preserve"> Kagan, S</w:t>
      </w:r>
      <w:r>
        <w:rPr>
          <w:rFonts w:ascii="Arial" w:hAnsi="Arial" w:cs="Arial"/>
          <w:szCs w:val="22"/>
        </w:rPr>
        <w:t>.</w:t>
      </w:r>
      <w:r w:rsidRPr="00F12F92">
        <w:rPr>
          <w:rFonts w:ascii="Arial" w:hAnsi="Arial" w:cs="Arial"/>
          <w:szCs w:val="22"/>
        </w:rPr>
        <w:t>L</w:t>
      </w:r>
      <w:r>
        <w:rPr>
          <w:rFonts w:ascii="Arial" w:hAnsi="Arial" w:cs="Arial"/>
          <w:szCs w:val="22"/>
        </w:rPr>
        <w:t>.,</w:t>
      </w:r>
      <w:r w:rsidRPr="00F12F92">
        <w:rPr>
          <w:rFonts w:ascii="Arial" w:hAnsi="Arial" w:cs="Arial"/>
          <w:szCs w:val="22"/>
        </w:rPr>
        <w:t xml:space="preserve"> López </w:t>
      </w:r>
      <w:proofErr w:type="spellStart"/>
      <w:r w:rsidRPr="00F12F92">
        <w:rPr>
          <w:rFonts w:ascii="Arial" w:hAnsi="Arial" w:cs="Arial"/>
          <w:szCs w:val="22"/>
        </w:rPr>
        <w:t>Bóo</w:t>
      </w:r>
      <w:proofErr w:type="spellEnd"/>
      <w:r w:rsidRPr="00F12F92">
        <w:rPr>
          <w:rFonts w:ascii="Arial" w:hAnsi="Arial" w:cs="Arial"/>
          <w:szCs w:val="22"/>
        </w:rPr>
        <w:t>, F</w:t>
      </w:r>
      <w:r>
        <w:rPr>
          <w:rFonts w:ascii="Arial" w:hAnsi="Arial" w:cs="Arial"/>
          <w:szCs w:val="22"/>
        </w:rPr>
        <w:t>.,</w:t>
      </w:r>
      <w:r w:rsidRPr="00F12F92">
        <w:rPr>
          <w:rFonts w:ascii="Arial" w:hAnsi="Arial" w:cs="Arial"/>
          <w:szCs w:val="22"/>
        </w:rPr>
        <w:t xml:space="preserve"> Pérez </w:t>
      </w:r>
      <w:proofErr w:type="spellStart"/>
      <w:r w:rsidRPr="00F12F92">
        <w:rPr>
          <w:rFonts w:ascii="Arial" w:hAnsi="Arial" w:cs="Arial"/>
          <w:szCs w:val="22"/>
        </w:rPr>
        <w:t>Expósito</w:t>
      </w:r>
      <w:proofErr w:type="spellEnd"/>
      <w:r w:rsidRPr="00F12F92">
        <w:rPr>
          <w:rFonts w:ascii="Arial" w:hAnsi="Arial" w:cs="Arial"/>
          <w:szCs w:val="22"/>
        </w:rPr>
        <w:t>, A</w:t>
      </w:r>
      <w:r>
        <w:rPr>
          <w:rFonts w:ascii="Arial" w:hAnsi="Arial" w:cs="Arial"/>
          <w:szCs w:val="22"/>
        </w:rPr>
        <w:t>.,</w:t>
      </w:r>
      <w:r w:rsidRPr="00F12F92">
        <w:rPr>
          <w:rFonts w:ascii="Arial" w:hAnsi="Arial" w:cs="Arial"/>
          <w:szCs w:val="22"/>
        </w:rPr>
        <w:t xml:space="preserve"> Schady, N</w:t>
      </w:r>
      <w:r>
        <w:rPr>
          <w:rFonts w:ascii="Arial" w:hAnsi="Arial" w:cs="Arial"/>
          <w:szCs w:val="22"/>
        </w:rPr>
        <w:t xml:space="preserve">. (2015). </w:t>
      </w:r>
      <w:r w:rsidRPr="00F12F92">
        <w:rPr>
          <w:rFonts w:ascii="Arial" w:hAnsi="Arial" w:cs="Arial"/>
          <w:i/>
          <w:szCs w:val="22"/>
        </w:rPr>
        <w:t>The Early Years: Child Well-being and the Role of Public Policy</w:t>
      </w:r>
      <w:r>
        <w:rPr>
          <w:rFonts w:ascii="Arial" w:hAnsi="Arial" w:cs="Arial"/>
          <w:i/>
          <w:szCs w:val="22"/>
        </w:rPr>
        <w:t xml:space="preserve">. </w:t>
      </w:r>
      <w:r w:rsidRPr="00B94C13">
        <w:rPr>
          <w:rFonts w:ascii="Arial" w:hAnsi="Arial" w:cs="Arial"/>
          <w:szCs w:val="22"/>
          <w:lang w:val="es-ES_tradnl"/>
        </w:rPr>
        <w:t xml:space="preserve">Washington, DC, Estados Unidos: Banco Interamericano de Desarrollo.  </w:t>
      </w:r>
      <w:hyperlink r:id="rId16" w:anchor="sthash.xp3I9FyC.dpuf" w:history="1">
        <w:r w:rsidRPr="00B94C13">
          <w:rPr>
            <w:rStyle w:val="Hyperlink"/>
            <w:rFonts w:ascii="Arial" w:hAnsi="Arial" w:cs="Arial"/>
            <w:szCs w:val="22"/>
            <w:lang w:val="es-ES_tradnl"/>
          </w:rPr>
          <w:t>https://publications.iadb.org/handle/11319/7259#sthash.xp3I9FyC.dpuf</w:t>
        </w:r>
      </w:hyperlink>
      <w:r w:rsidRPr="00B94C13">
        <w:rPr>
          <w:rFonts w:ascii="Arial" w:hAnsi="Arial" w:cs="Arial"/>
          <w:szCs w:val="22"/>
          <w:lang w:val="es-ES_tradnl"/>
        </w:rPr>
        <w:t xml:space="preserve"> </w:t>
      </w:r>
    </w:p>
    <w:p w14:paraId="33487731" w14:textId="77777777" w:rsidR="00EF2CB4" w:rsidRPr="00B94C13" w:rsidRDefault="00EF2CB4" w:rsidP="001615CE">
      <w:pPr>
        <w:pStyle w:val="NormalWeb"/>
        <w:spacing w:before="0" w:beforeAutospacing="0" w:after="120" w:afterAutospacing="0"/>
        <w:ind w:left="480" w:hanging="480"/>
        <w:rPr>
          <w:rFonts w:ascii="Arial" w:hAnsi="Arial" w:cs="Arial"/>
          <w:szCs w:val="22"/>
          <w:lang w:val="es-ES_tradnl"/>
        </w:rPr>
      </w:pPr>
      <w:r w:rsidRPr="00B17613">
        <w:rPr>
          <w:rFonts w:ascii="Arial" w:hAnsi="Arial" w:cs="Arial"/>
          <w:szCs w:val="22"/>
        </w:rPr>
        <w:t xml:space="preserve">Baker, M., Gruber, J., y Milligan, K. (2005). </w:t>
      </w:r>
      <w:r w:rsidRPr="00B17613">
        <w:rPr>
          <w:rFonts w:ascii="Arial" w:hAnsi="Arial" w:cs="Arial"/>
          <w:i/>
          <w:szCs w:val="22"/>
        </w:rPr>
        <w:t>Universal Childcare, Maternal Labor Supply, and Family Well-Being.</w:t>
      </w:r>
      <w:r w:rsidRPr="00B17613">
        <w:rPr>
          <w:rFonts w:ascii="Arial" w:hAnsi="Arial" w:cs="Arial"/>
          <w:szCs w:val="22"/>
        </w:rPr>
        <w:t xml:space="preserve"> </w:t>
      </w:r>
      <w:r w:rsidRPr="00B94C13">
        <w:rPr>
          <w:rFonts w:ascii="Arial" w:hAnsi="Arial" w:cs="Arial"/>
          <w:i/>
          <w:iCs/>
          <w:szCs w:val="22"/>
          <w:lang w:val="es-ES_tradnl"/>
        </w:rPr>
        <w:t xml:space="preserve">NBER </w:t>
      </w:r>
      <w:proofErr w:type="spellStart"/>
      <w:r w:rsidRPr="00B94C13">
        <w:rPr>
          <w:rFonts w:ascii="Arial" w:hAnsi="Arial" w:cs="Arial"/>
          <w:i/>
          <w:iCs/>
          <w:szCs w:val="22"/>
          <w:lang w:val="es-ES_tradnl"/>
        </w:rPr>
        <w:t>Working</w:t>
      </w:r>
      <w:proofErr w:type="spellEnd"/>
      <w:r w:rsidRPr="00B94C13">
        <w:rPr>
          <w:rFonts w:ascii="Arial" w:hAnsi="Arial" w:cs="Arial"/>
          <w:i/>
          <w:iCs/>
          <w:szCs w:val="22"/>
          <w:lang w:val="es-ES_tradnl"/>
        </w:rPr>
        <w:t xml:space="preserve"> </w:t>
      </w:r>
      <w:proofErr w:type="spellStart"/>
      <w:r w:rsidRPr="00B94C13">
        <w:rPr>
          <w:rFonts w:ascii="Arial" w:hAnsi="Arial" w:cs="Arial"/>
          <w:i/>
          <w:iCs/>
          <w:szCs w:val="22"/>
          <w:lang w:val="es-ES_tradnl"/>
        </w:rPr>
        <w:t>Paper</w:t>
      </w:r>
      <w:proofErr w:type="spellEnd"/>
      <w:r w:rsidRPr="00B94C13">
        <w:rPr>
          <w:rFonts w:ascii="Arial" w:hAnsi="Arial" w:cs="Arial"/>
          <w:i/>
          <w:iCs/>
          <w:szCs w:val="22"/>
          <w:lang w:val="es-ES_tradnl"/>
        </w:rPr>
        <w:t xml:space="preserve"> Series</w:t>
      </w:r>
      <w:r w:rsidRPr="00B94C13">
        <w:rPr>
          <w:rFonts w:ascii="Arial" w:hAnsi="Arial" w:cs="Arial"/>
          <w:szCs w:val="22"/>
          <w:lang w:val="es-ES_tradnl"/>
        </w:rPr>
        <w:t>, (No. 11832). Obtenido en http://www.nber.org/papers/w11832</w:t>
      </w:r>
    </w:p>
    <w:p w14:paraId="33487732" w14:textId="77777777" w:rsidR="00EF2CB4" w:rsidRPr="00B94C13" w:rsidRDefault="00EF2CB4" w:rsidP="001615CE">
      <w:pPr>
        <w:pStyle w:val="NormalWeb"/>
        <w:spacing w:before="0" w:beforeAutospacing="0" w:after="120" w:afterAutospacing="0"/>
        <w:ind w:left="480" w:hanging="480"/>
        <w:rPr>
          <w:rFonts w:ascii="Arial" w:hAnsi="Arial" w:cs="Arial"/>
          <w:szCs w:val="22"/>
          <w:lang w:val="es-ES_tradnl"/>
        </w:rPr>
      </w:pPr>
      <w:r w:rsidRPr="00B94C13">
        <w:rPr>
          <w:rFonts w:ascii="Arial" w:hAnsi="Arial" w:cs="Arial"/>
          <w:szCs w:val="22"/>
          <w:lang w:val="es-ES_tradnl"/>
        </w:rPr>
        <w:t xml:space="preserve">Banco Interamericano de Desarrollo (BID) (2014). </w:t>
      </w:r>
      <w:hyperlink r:id="rId17" w:history="1">
        <w:r w:rsidRPr="00B94C13">
          <w:rPr>
            <w:rStyle w:val="Hyperlink"/>
            <w:rFonts w:ascii="Arial" w:hAnsi="Arial" w:cs="Arial"/>
            <w:szCs w:val="22"/>
            <w:lang w:val="es-ES_tradnl"/>
          </w:rPr>
          <w:t>Marco estratégico sectorial de protección social y pobreza</w:t>
        </w:r>
      </w:hyperlink>
      <w:r w:rsidRPr="00B94C13">
        <w:rPr>
          <w:rFonts w:ascii="Arial" w:hAnsi="Arial" w:cs="Arial"/>
          <w:szCs w:val="22"/>
          <w:lang w:val="es-ES_tradnl"/>
        </w:rPr>
        <w:t>.</w:t>
      </w:r>
    </w:p>
    <w:p w14:paraId="33487733" w14:textId="77777777" w:rsidR="001562CE" w:rsidRPr="00B94C13" w:rsidRDefault="001562CE" w:rsidP="001615CE">
      <w:pPr>
        <w:pStyle w:val="NormalWeb"/>
        <w:spacing w:before="0" w:beforeAutospacing="0" w:after="120" w:afterAutospacing="0"/>
        <w:ind w:left="480" w:hanging="480"/>
        <w:rPr>
          <w:rFonts w:ascii="Arial" w:hAnsi="Arial" w:cs="Arial"/>
          <w:szCs w:val="22"/>
          <w:lang w:val="es-ES_tradnl"/>
        </w:rPr>
      </w:pPr>
      <w:proofErr w:type="spellStart"/>
      <w:r w:rsidRPr="00B94C13">
        <w:rPr>
          <w:rFonts w:ascii="Arial" w:hAnsi="Arial" w:cs="Arial"/>
          <w:szCs w:val="22"/>
          <w:lang w:val="es-ES_tradnl"/>
        </w:rPr>
        <w:t>Behrman</w:t>
      </w:r>
      <w:proofErr w:type="spellEnd"/>
      <w:r w:rsidRPr="00B94C13">
        <w:rPr>
          <w:rFonts w:ascii="Arial" w:hAnsi="Arial" w:cs="Arial"/>
          <w:szCs w:val="22"/>
          <w:lang w:val="es-ES_tradnl"/>
        </w:rPr>
        <w:t xml:space="preserve">, J., </w:t>
      </w:r>
      <w:proofErr w:type="spellStart"/>
      <w:r w:rsidRPr="00B94C13">
        <w:rPr>
          <w:rFonts w:ascii="Arial" w:hAnsi="Arial" w:cs="Arial"/>
          <w:szCs w:val="22"/>
          <w:lang w:val="es-ES_tradnl"/>
        </w:rPr>
        <w:t>Cristia</w:t>
      </w:r>
      <w:proofErr w:type="spellEnd"/>
      <w:r w:rsidRPr="00B94C13">
        <w:rPr>
          <w:rFonts w:ascii="Arial" w:hAnsi="Arial" w:cs="Arial"/>
          <w:szCs w:val="22"/>
          <w:lang w:val="es-ES_tradnl"/>
        </w:rPr>
        <w:t xml:space="preserve">, J. y </w:t>
      </w:r>
      <w:proofErr w:type="spellStart"/>
      <w:r w:rsidRPr="00B94C13">
        <w:rPr>
          <w:rFonts w:ascii="Arial" w:hAnsi="Arial" w:cs="Arial"/>
          <w:szCs w:val="22"/>
          <w:lang w:val="es-ES_tradnl"/>
        </w:rPr>
        <w:t>Hincapie</w:t>
      </w:r>
      <w:proofErr w:type="spellEnd"/>
      <w:r w:rsidRPr="00B94C13">
        <w:rPr>
          <w:rFonts w:ascii="Arial" w:hAnsi="Arial" w:cs="Arial"/>
          <w:szCs w:val="22"/>
          <w:lang w:val="es-ES_tradnl"/>
        </w:rPr>
        <w:t xml:space="preserve"> D. </w:t>
      </w:r>
      <w:proofErr w:type="spellStart"/>
      <w:r w:rsidRPr="00B94C13">
        <w:rPr>
          <w:rFonts w:ascii="Arial" w:hAnsi="Arial" w:cs="Arial"/>
          <w:szCs w:val="22"/>
          <w:lang w:val="es-ES_tradnl"/>
        </w:rPr>
        <w:t>Forthcoming</w:t>
      </w:r>
      <w:proofErr w:type="spellEnd"/>
      <w:r w:rsidRPr="00B94C13">
        <w:rPr>
          <w:rFonts w:ascii="Arial" w:hAnsi="Arial" w:cs="Arial"/>
          <w:szCs w:val="22"/>
          <w:lang w:val="es-ES_tradnl"/>
        </w:rPr>
        <w:t xml:space="preserve">. </w:t>
      </w:r>
      <w:r w:rsidRPr="00B17613">
        <w:rPr>
          <w:rFonts w:ascii="Arial" w:hAnsi="Arial" w:cs="Arial"/>
          <w:szCs w:val="22"/>
        </w:rPr>
        <w:t xml:space="preserve">“More Bang for the Buck?”. </w:t>
      </w:r>
      <w:r w:rsidRPr="00B94C13">
        <w:rPr>
          <w:rFonts w:ascii="Arial" w:hAnsi="Arial" w:cs="Arial"/>
          <w:szCs w:val="22"/>
          <w:lang w:val="es-ES_tradnl"/>
        </w:rPr>
        <w:t xml:space="preserve">Capitulo para el DIA “The </w:t>
      </w:r>
      <w:proofErr w:type="spellStart"/>
      <w:r w:rsidRPr="00B94C13">
        <w:rPr>
          <w:rFonts w:ascii="Arial" w:hAnsi="Arial" w:cs="Arial"/>
          <w:szCs w:val="22"/>
          <w:lang w:val="es-ES_tradnl"/>
        </w:rPr>
        <w:t>early</w:t>
      </w:r>
      <w:proofErr w:type="spellEnd"/>
      <w:r w:rsidRPr="00B94C13">
        <w:rPr>
          <w:rFonts w:ascii="Arial" w:hAnsi="Arial" w:cs="Arial"/>
          <w:szCs w:val="22"/>
          <w:lang w:val="es-ES_tradnl"/>
        </w:rPr>
        <w:t xml:space="preserve"> </w:t>
      </w:r>
      <w:proofErr w:type="spellStart"/>
      <w:r w:rsidRPr="00B94C13">
        <w:rPr>
          <w:rFonts w:ascii="Arial" w:hAnsi="Arial" w:cs="Arial"/>
          <w:szCs w:val="22"/>
          <w:lang w:val="es-ES_tradnl"/>
        </w:rPr>
        <w:t>years</w:t>
      </w:r>
      <w:proofErr w:type="spellEnd"/>
      <w:r w:rsidRPr="00B94C13">
        <w:rPr>
          <w:rFonts w:ascii="Arial" w:hAnsi="Arial" w:cs="Arial"/>
          <w:szCs w:val="22"/>
          <w:lang w:val="es-ES_tradnl"/>
        </w:rPr>
        <w:t>”, Banco Interamericano de Desarrollo.</w:t>
      </w:r>
    </w:p>
    <w:p w14:paraId="33487734" w14:textId="77777777" w:rsidR="00886551" w:rsidRPr="00B17613" w:rsidRDefault="00886551"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t xml:space="preserve">Behrman, J., Fernald, L., y Engle, P. (2013). </w:t>
      </w:r>
      <w:r w:rsidRPr="00B17613">
        <w:rPr>
          <w:rFonts w:ascii="Arial" w:hAnsi="Arial" w:cs="Arial"/>
          <w:i/>
          <w:szCs w:val="22"/>
        </w:rPr>
        <w:t>Preschool Programs in Developing Countries.</w:t>
      </w:r>
      <w:r w:rsidRPr="00B17613">
        <w:rPr>
          <w:rFonts w:ascii="Arial" w:hAnsi="Arial" w:cs="Arial"/>
          <w:szCs w:val="22"/>
        </w:rPr>
        <w:t xml:space="preserve"> In P. </w:t>
      </w:r>
      <w:proofErr w:type="spellStart"/>
      <w:r w:rsidRPr="00B17613">
        <w:rPr>
          <w:rFonts w:ascii="Arial" w:hAnsi="Arial" w:cs="Arial"/>
          <w:szCs w:val="22"/>
        </w:rPr>
        <w:t>Glewwe</w:t>
      </w:r>
      <w:proofErr w:type="spellEnd"/>
      <w:r w:rsidRPr="00B17613">
        <w:rPr>
          <w:rFonts w:ascii="Arial" w:hAnsi="Arial" w:cs="Arial"/>
          <w:szCs w:val="22"/>
        </w:rPr>
        <w:t xml:space="preserve"> (Ed.), </w:t>
      </w:r>
      <w:r w:rsidRPr="00B17613">
        <w:rPr>
          <w:rFonts w:ascii="Arial" w:hAnsi="Arial" w:cs="Arial"/>
          <w:i/>
          <w:iCs/>
          <w:szCs w:val="22"/>
        </w:rPr>
        <w:t>Education Policy in Developing Countries</w:t>
      </w:r>
      <w:r w:rsidRPr="00B17613">
        <w:rPr>
          <w:rFonts w:ascii="Arial" w:hAnsi="Arial" w:cs="Arial"/>
          <w:szCs w:val="22"/>
        </w:rPr>
        <w:t xml:space="preserve">. Chicago, </w:t>
      </w:r>
      <w:proofErr w:type="spellStart"/>
      <w:r w:rsidRPr="00B17613">
        <w:rPr>
          <w:rFonts w:ascii="Arial" w:hAnsi="Arial" w:cs="Arial"/>
          <w:szCs w:val="22"/>
        </w:rPr>
        <w:t>Estados</w:t>
      </w:r>
      <w:proofErr w:type="spellEnd"/>
      <w:r w:rsidRPr="00B17613">
        <w:rPr>
          <w:rFonts w:ascii="Arial" w:hAnsi="Arial" w:cs="Arial"/>
          <w:szCs w:val="22"/>
        </w:rPr>
        <w:t xml:space="preserve"> </w:t>
      </w:r>
      <w:proofErr w:type="spellStart"/>
      <w:r w:rsidRPr="00B17613">
        <w:rPr>
          <w:rFonts w:ascii="Arial" w:hAnsi="Arial" w:cs="Arial"/>
          <w:szCs w:val="22"/>
        </w:rPr>
        <w:t>Unidos</w:t>
      </w:r>
      <w:proofErr w:type="spellEnd"/>
      <w:r w:rsidRPr="00B17613">
        <w:rPr>
          <w:rFonts w:ascii="Arial" w:hAnsi="Arial" w:cs="Arial"/>
          <w:szCs w:val="22"/>
        </w:rPr>
        <w:t>: The University of Chicago Press.</w:t>
      </w:r>
    </w:p>
    <w:p w14:paraId="33487735" w14:textId="77777777" w:rsidR="00250E01" w:rsidRPr="00B17613" w:rsidRDefault="00250E01"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t xml:space="preserve">Belfield, C., M. </w:t>
      </w:r>
      <w:proofErr w:type="spellStart"/>
      <w:r w:rsidRPr="00B17613">
        <w:rPr>
          <w:rFonts w:ascii="Arial" w:hAnsi="Arial" w:cs="Arial"/>
          <w:szCs w:val="22"/>
        </w:rPr>
        <w:t>Nores</w:t>
      </w:r>
      <w:proofErr w:type="spellEnd"/>
      <w:r w:rsidRPr="00B17613">
        <w:rPr>
          <w:rFonts w:ascii="Arial" w:hAnsi="Arial" w:cs="Arial"/>
          <w:szCs w:val="22"/>
        </w:rPr>
        <w:t xml:space="preserve">, S. Barnett, and L. </w:t>
      </w:r>
      <w:proofErr w:type="spellStart"/>
      <w:r w:rsidRPr="00B17613">
        <w:rPr>
          <w:rFonts w:ascii="Arial" w:hAnsi="Arial" w:cs="Arial"/>
          <w:szCs w:val="22"/>
        </w:rPr>
        <w:t>Schweinhart</w:t>
      </w:r>
      <w:proofErr w:type="spellEnd"/>
      <w:r w:rsidRPr="00B17613">
        <w:rPr>
          <w:rFonts w:ascii="Arial" w:hAnsi="Arial" w:cs="Arial"/>
          <w:szCs w:val="22"/>
        </w:rPr>
        <w:t xml:space="preserve">. 2006. “The High/Scope Perry Preschool Program: Cost-benefit analysis using data from the age-40 follow-up”. </w:t>
      </w:r>
      <w:r w:rsidRPr="00B17613">
        <w:rPr>
          <w:rFonts w:ascii="Arial" w:hAnsi="Arial" w:cs="Arial"/>
          <w:i/>
          <w:szCs w:val="22"/>
        </w:rPr>
        <w:t>The Journal of Human Resources</w:t>
      </w:r>
      <w:r w:rsidRPr="00B17613">
        <w:rPr>
          <w:rFonts w:ascii="Arial" w:hAnsi="Arial" w:cs="Arial"/>
          <w:szCs w:val="22"/>
        </w:rPr>
        <w:t xml:space="preserve"> 41(1): 162-90.</w:t>
      </w:r>
    </w:p>
    <w:p w14:paraId="33487736" w14:textId="77777777" w:rsidR="00EF2CB4" w:rsidRPr="00B17613" w:rsidRDefault="00EF2CB4"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t xml:space="preserve">Belsky, J. (1988). </w:t>
      </w:r>
      <w:r w:rsidRPr="00B17613">
        <w:rPr>
          <w:rFonts w:ascii="Arial" w:hAnsi="Arial" w:cs="Arial"/>
          <w:i/>
          <w:szCs w:val="22"/>
        </w:rPr>
        <w:t>The “Effects” of infant day care reconsidered.</w:t>
      </w:r>
      <w:r w:rsidRPr="00B17613">
        <w:rPr>
          <w:rFonts w:ascii="Arial" w:hAnsi="Arial" w:cs="Arial"/>
          <w:szCs w:val="22"/>
        </w:rPr>
        <w:t xml:space="preserve"> </w:t>
      </w:r>
      <w:r w:rsidRPr="00B17613">
        <w:rPr>
          <w:rFonts w:ascii="Arial" w:hAnsi="Arial" w:cs="Arial"/>
          <w:i/>
          <w:iCs/>
          <w:szCs w:val="22"/>
        </w:rPr>
        <w:t>Early Childhood Research Quarterly</w:t>
      </w:r>
      <w:r w:rsidRPr="00B17613">
        <w:rPr>
          <w:rFonts w:ascii="Arial" w:hAnsi="Arial" w:cs="Arial"/>
          <w:szCs w:val="22"/>
        </w:rPr>
        <w:t xml:space="preserve">, </w:t>
      </w:r>
      <w:r w:rsidRPr="00B17613">
        <w:rPr>
          <w:rFonts w:ascii="Arial" w:hAnsi="Arial" w:cs="Arial"/>
          <w:i/>
          <w:iCs/>
          <w:szCs w:val="22"/>
        </w:rPr>
        <w:t>3</w:t>
      </w:r>
      <w:r w:rsidRPr="00B17613">
        <w:rPr>
          <w:rFonts w:ascii="Arial" w:hAnsi="Arial" w:cs="Arial"/>
          <w:szCs w:val="22"/>
        </w:rPr>
        <w:t>(3), 235–272. doi:10.1016/0885-2006(88)90003-8</w:t>
      </w:r>
    </w:p>
    <w:p w14:paraId="33487737" w14:textId="77777777" w:rsidR="00EF2CB4" w:rsidRPr="00B17613" w:rsidRDefault="00EF2CB4"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t xml:space="preserve">Bernal, R., y Keane, M. P. (2010). </w:t>
      </w:r>
      <w:r w:rsidRPr="00B17613">
        <w:rPr>
          <w:rFonts w:ascii="Arial" w:hAnsi="Arial" w:cs="Arial"/>
          <w:i/>
          <w:szCs w:val="22"/>
        </w:rPr>
        <w:t xml:space="preserve">Quasi-structural estimation of a model of childcare choices and child cognitive ability production. </w:t>
      </w:r>
      <w:r w:rsidRPr="00B17613">
        <w:rPr>
          <w:rFonts w:ascii="Arial" w:hAnsi="Arial" w:cs="Arial"/>
          <w:i/>
          <w:iCs/>
          <w:szCs w:val="22"/>
        </w:rPr>
        <w:t>Journal of Econometrics</w:t>
      </w:r>
      <w:r w:rsidRPr="00B17613">
        <w:rPr>
          <w:rFonts w:ascii="Arial" w:hAnsi="Arial" w:cs="Arial"/>
          <w:szCs w:val="22"/>
        </w:rPr>
        <w:t xml:space="preserve">, </w:t>
      </w:r>
      <w:r w:rsidRPr="00B17613">
        <w:rPr>
          <w:rFonts w:ascii="Arial" w:hAnsi="Arial" w:cs="Arial"/>
          <w:i/>
          <w:iCs/>
          <w:szCs w:val="22"/>
        </w:rPr>
        <w:t>156</w:t>
      </w:r>
      <w:r w:rsidRPr="00B17613">
        <w:rPr>
          <w:rFonts w:ascii="Arial" w:hAnsi="Arial" w:cs="Arial"/>
          <w:szCs w:val="22"/>
        </w:rPr>
        <w:t xml:space="preserve">(1), 164–189. </w:t>
      </w:r>
      <w:proofErr w:type="gramStart"/>
      <w:r w:rsidRPr="00B17613">
        <w:rPr>
          <w:rFonts w:ascii="Arial" w:hAnsi="Arial" w:cs="Arial"/>
          <w:szCs w:val="22"/>
        </w:rPr>
        <w:t>doi:10.1016/j.jeconom</w:t>
      </w:r>
      <w:proofErr w:type="gramEnd"/>
      <w:r w:rsidRPr="00B17613">
        <w:rPr>
          <w:rFonts w:ascii="Arial" w:hAnsi="Arial" w:cs="Arial"/>
          <w:szCs w:val="22"/>
        </w:rPr>
        <w:t>.2009.09.015</w:t>
      </w:r>
    </w:p>
    <w:p w14:paraId="33487738" w14:textId="77777777" w:rsidR="00886551" w:rsidRPr="00B17613" w:rsidRDefault="00886551"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t xml:space="preserve">Cunha, F., Heckman, J., y Lochner, L. (2006). </w:t>
      </w:r>
      <w:r w:rsidRPr="00B17613">
        <w:rPr>
          <w:rFonts w:ascii="Arial" w:hAnsi="Arial" w:cs="Arial"/>
          <w:i/>
          <w:szCs w:val="22"/>
        </w:rPr>
        <w:t>Interpreting the Evidence on Life Cycle Skill Formation.</w:t>
      </w:r>
      <w:r w:rsidRPr="00B17613">
        <w:rPr>
          <w:rFonts w:ascii="Arial" w:hAnsi="Arial" w:cs="Arial"/>
          <w:szCs w:val="22"/>
        </w:rPr>
        <w:t xml:space="preserve"> In E. Hanushek y F. Welch (Eds.), </w:t>
      </w:r>
      <w:r w:rsidRPr="00B17613">
        <w:rPr>
          <w:rFonts w:ascii="Arial" w:hAnsi="Arial" w:cs="Arial"/>
          <w:i/>
          <w:iCs/>
          <w:szCs w:val="22"/>
        </w:rPr>
        <w:t>Handbook of the Economics of Education</w:t>
      </w:r>
      <w:r w:rsidRPr="00B17613">
        <w:rPr>
          <w:rFonts w:ascii="Arial" w:hAnsi="Arial" w:cs="Arial"/>
          <w:szCs w:val="22"/>
        </w:rPr>
        <w:t xml:space="preserve"> (pp. 697–812). Amsterdam, </w:t>
      </w:r>
      <w:proofErr w:type="spellStart"/>
      <w:r w:rsidRPr="00B17613">
        <w:rPr>
          <w:rFonts w:ascii="Arial" w:hAnsi="Arial" w:cs="Arial"/>
          <w:szCs w:val="22"/>
        </w:rPr>
        <w:t>Holanda</w:t>
      </w:r>
      <w:proofErr w:type="spellEnd"/>
      <w:r w:rsidRPr="00B17613">
        <w:rPr>
          <w:rFonts w:ascii="Arial" w:hAnsi="Arial" w:cs="Arial"/>
          <w:szCs w:val="22"/>
        </w:rPr>
        <w:t>: North Holland.</w:t>
      </w:r>
    </w:p>
    <w:p w14:paraId="33487739"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t>De Castillo, C</w:t>
      </w:r>
      <w:r w:rsidR="008324EE" w:rsidRPr="00B94C13">
        <w:rPr>
          <w:rFonts w:ascii="Arial" w:eastAsia="Times New Roman" w:hAnsi="Arial" w:cs="Arial"/>
          <w:szCs w:val="22"/>
        </w:rPr>
        <w:t>.</w:t>
      </w:r>
      <w:r w:rsidRPr="00B94C13">
        <w:rPr>
          <w:rFonts w:ascii="Arial" w:eastAsia="Times New Roman" w:hAnsi="Arial" w:cs="Arial"/>
          <w:szCs w:val="22"/>
        </w:rPr>
        <w:t xml:space="preserve">, </w:t>
      </w:r>
      <w:proofErr w:type="spellStart"/>
      <w:r w:rsidRPr="00B94C13">
        <w:rPr>
          <w:rFonts w:ascii="Arial" w:eastAsia="Times New Roman" w:hAnsi="Arial" w:cs="Arial"/>
          <w:szCs w:val="22"/>
        </w:rPr>
        <w:t>Lema</w:t>
      </w:r>
      <w:proofErr w:type="spellEnd"/>
      <w:r w:rsidR="008324EE" w:rsidRPr="00B94C13">
        <w:rPr>
          <w:rFonts w:ascii="Arial" w:eastAsia="Times New Roman" w:hAnsi="Arial" w:cs="Arial"/>
          <w:szCs w:val="22"/>
        </w:rPr>
        <w:t>, R.</w:t>
      </w:r>
      <w:r w:rsidRPr="00B94C13">
        <w:rPr>
          <w:rFonts w:ascii="Arial" w:eastAsia="Times New Roman" w:hAnsi="Arial" w:cs="Arial"/>
          <w:szCs w:val="22"/>
        </w:rPr>
        <w:t xml:space="preserve"> (1998). Economic Analysis of Social Investment Fund Projects: Case Studies and Minimum Requirements Proposal.  World Bank. http://siteresources.worldbank.org/INTSF/Resources/395669-1124228448379/1563169-1126037528964/Castillo_Lema_EconAnalysisSIF_Cases.pdf</w:t>
      </w:r>
    </w:p>
    <w:p w14:paraId="3348773A"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t xml:space="preserve">Dhaliwal, I., </w:t>
      </w:r>
      <w:proofErr w:type="spellStart"/>
      <w:r w:rsidRPr="00B94C13">
        <w:rPr>
          <w:rFonts w:ascii="Arial" w:eastAsia="Times New Roman" w:hAnsi="Arial" w:cs="Arial"/>
          <w:szCs w:val="22"/>
        </w:rPr>
        <w:t>Duflo</w:t>
      </w:r>
      <w:proofErr w:type="spellEnd"/>
      <w:r w:rsidRPr="00B94C13">
        <w:rPr>
          <w:rFonts w:ascii="Arial" w:eastAsia="Times New Roman" w:hAnsi="Arial" w:cs="Arial"/>
          <w:szCs w:val="22"/>
        </w:rPr>
        <w:t xml:space="preserve">, E., </w:t>
      </w:r>
      <w:proofErr w:type="spellStart"/>
      <w:r w:rsidRPr="00B94C13">
        <w:rPr>
          <w:rFonts w:ascii="Arial" w:eastAsia="Times New Roman" w:hAnsi="Arial" w:cs="Arial"/>
          <w:szCs w:val="22"/>
        </w:rPr>
        <w:t>Glennerster</w:t>
      </w:r>
      <w:proofErr w:type="spellEnd"/>
      <w:r w:rsidRPr="00B94C13">
        <w:rPr>
          <w:rFonts w:ascii="Arial" w:eastAsia="Times New Roman" w:hAnsi="Arial" w:cs="Arial"/>
          <w:szCs w:val="22"/>
        </w:rPr>
        <w:t>, R., &amp; Tulloch, C. August 2011</w:t>
      </w:r>
      <w:proofErr w:type="gramStart"/>
      <w:r w:rsidRPr="00B94C13">
        <w:rPr>
          <w:rFonts w:ascii="Arial" w:eastAsia="Times New Roman" w:hAnsi="Arial" w:cs="Arial"/>
          <w:szCs w:val="22"/>
        </w:rPr>
        <w:t>.“</w:t>
      </w:r>
      <w:proofErr w:type="gramEnd"/>
      <w:r w:rsidRPr="00B94C13">
        <w:rPr>
          <w:rFonts w:ascii="Arial" w:eastAsia="Times New Roman" w:hAnsi="Arial" w:cs="Arial"/>
          <w:szCs w:val="22"/>
        </w:rPr>
        <w:t xml:space="preserve">. Comparative Cost-Effectiveness Analysis to Inform Policy in Developing Countries: A General Framework with Applications for Education.” Abdul Jameel Poverty Action Lab. </w:t>
      </w:r>
      <w:hyperlink r:id="rId18" w:history="1">
        <w:r w:rsidR="00886551" w:rsidRPr="00B94C13">
          <w:rPr>
            <w:rStyle w:val="Hyperlink"/>
            <w:rFonts w:ascii="Arial" w:eastAsia="Times New Roman" w:hAnsi="Arial" w:cs="Arial"/>
            <w:szCs w:val="22"/>
          </w:rPr>
          <w:t>http://economics.mit.edu/files/6959</w:t>
        </w:r>
      </w:hyperlink>
    </w:p>
    <w:p w14:paraId="3348773B" w14:textId="77777777" w:rsidR="00886551" w:rsidRPr="00B17613" w:rsidRDefault="00886551"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lastRenderedPageBreak/>
        <w:t xml:space="preserve">Engle, P. L., Black, M. M., Behrman, J. R., Cabral de Mello, M., Gertler, P. J., </w:t>
      </w:r>
      <w:proofErr w:type="spellStart"/>
      <w:r w:rsidRPr="00B17613">
        <w:rPr>
          <w:rFonts w:ascii="Arial" w:hAnsi="Arial" w:cs="Arial"/>
          <w:szCs w:val="22"/>
        </w:rPr>
        <w:t>Kapiriri</w:t>
      </w:r>
      <w:proofErr w:type="spellEnd"/>
      <w:r w:rsidRPr="00B17613">
        <w:rPr>
          <w:rFonts w:ascii="Arial" w:hAnsi="Arial" w:cs="Arial"/>
          <w:szCs w:val="22"/>
        </w:rPr>
        <w:t xml:space="preserve">, L., Young, M. E. (2007). </w:t>
      </w:r>
      <w:r w:rsidRPr="00B17613">
        <w:rPr>
          <w:rFonts w:ascii="Arial" w:hAnsi="Arial" w:cs="Arial"/>
          <w:i/>
          <w:szCs w:val="22"/>
        </w:rPr>
        <w:t xml:space="preserve">Strategies to avoid the loss of developmental potential in more than 200 million children in the developing world. </w:t>
      </w:r>
      <w:r w:rsidRPr="00B17613">
        <w:rPr>
          <w:rFonts w:ascii="Arial" w:hAnsi="Arial" w:cs="Arial"/>
          <w:i/>
          <w:iCs/>
          <w:szCs w:val="22"/>
        </w:rPr>
        <w:t>Lancet</w:t>
      </w:r>
      <w:r w:rsidRPr="00B17613">
        <w:rPr>
          <w:rFonts w:ascii="Arial" w:hAnsi="Arial" w:cs="Arial"/>
          <w:szCs w:val="22"/>
        </w:rPr>
        <w:t xml:space="preserve">, </w:t>
      </w:r>
      <w:r w:rsidRPr="00B17613">
        <w:rPr>
          <w:rFonts w:ascii="Arial" w:hAnsi="Arial" w:cs="Arial"/>
          <w:iCs/>
          <w:szCs w:val="22"/>
        </w:rPr>
        <w:t>369</w:t>
      </w:r>
      <w:r w:rsidRPr="00B17613">
        <w:rPr>
          <w:rFonts w:ascii="Arial" w:hAnsi="Arial" w:cs="Arial"/>
          <w:szCs w:val="22"/>
        </w:rPr>
        <w:t>(9557), 229–42. doi:10.1016/S0140-6736(07)60112-3</w:t>
      </w:r>
    </w:p>
    <w:p w14:paraId="3348773C" w14:textId="77777777" w:rsidR="00886551" w:rsidRPr="00B17613" w:rsidRDefault="00886551"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t xml:space="preserve">Engle, P. L., Fernald, L. C. H., Alderman, H., Behrman, J., O’Gara, C., Yousafzai, A., … </w:t>
      </w:r>
      <w:proofErr w:type="spellStart"/>
      <w:r w:rsidRPr="00B17613">
        <w:rPr>
          <w:rFonts w:ascii="Arial" w:hAnsi="Arial" w:cs="Arial"/>
          <w:szCs w:val="22"/>
        </w:rPr>
        <w:t>Iltus</w:t>
      </w:r>
      <w:proofErr w:type="spellEnd"/>
      <w:r w:rsidRPr="00B17613">
        <w:rPr>
          <w:rFonts w:ascii="Arial" w:hAnsi="Arial" w:cs="Arial"/>
          <w:szCs w:val="22"/>
        </w:rPr>
        <w:t xml:space="preserve">, S. (2011). </w:t>
      </w:r>
      <w:r w:rsidRPr="00B17613">
        <w:rPr>
          <w:rFonts w:ascii="Arial" w:hAnsi="Arial" w:cs="Arial"/>
          <w:i/>
          <w:szCs w:val="22"/>
        </w:rPr>
        <w:t xml:space="preserve">Strategies for reducing inequalities and improving developmental outcomes for young children in low-income and middle-income countries. </w:t>
      </w:r>
      <w:r w:rsidRPr="00B17613">
        <w:rPr>
          <w:rFonts w:ascii="Arial" w:hAnsi="Arial" w:cs="Arial"/>
          <w:i/>
          <w:iCs/>
          <w:szCs w:val="22"/>
        </w:rPr>
        <w:t>Lancet</w:t>
      </w:r>
      <w:r w:rsidRPr="00B17613">
        <w:rPr>
          <w:rFonts w:ascii="Arial" w:hAnsi="Arial" w:cs="Arial"/>
          <w:i/>
          <w:szCs w:val="22"/>
        </w:rPr>
        <w:t xml:space="preserve">, </w:t>
      </w:r>
      <w:r w:rsidRPr="00B17613">
        <w:rPr>
          <w:rFonts w:ascii="Arial" w:hAnsi="Arial" w:cs="Arial"/>
          <w:iCs/>
          <w:szCs w:val="22"/>
        </w:rPr>
        <w:t>378</w:t>
      </w:r>
      <w:r w:rsidRPr="00B17613">
        <w:rPr>
          <w:rFonts w:ascii="Arial" w:hAnsi="Arial" w:cs="Arial"/>
          <w:szCs w:val="22"/>
        </w:rPr>
        <w:t>(9799), 1339–53. doi:10.1016/S0140-6736(11)60889-1</w:t>
      </w:r>
    </w:p>
    <w:p w14:paraId="3348773D"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t xml:space="preserve">Evans, D. (2008). Social project appraisal and discounting for the very long term. Economic Issues, 13(Part I), 61-70. </w:t>
      </w:r>
      <w:hyperlink r:id="rId19" w:history="1">
        <w:r w:rsidR="00886551" w:rsidRPr="00B94C13">
          <w:rPr>
            <w:rStyle w:val="Hyperlink"/>
            <w:rFonts w:ascii="Arial" w:eastAsia="Times New Roman" w:hAnsi="Arial" w:cs="Arial"/>
            <w:szCs w:val="22"/>
          </w:rPr>
          <w:t>http://www.economicissues.org.uk/Files/108Evans.pdf</w:t>
        </w:r>
      </w:hyperlink>
    </w:p>
    <w:p w14:paraId="3348773E" w14:textId="77777777" w:rsidR="00886551" w:rsidRPr="00B17613" w:rsidRDefault="00886551" w:rsidP="001615CE">
      <w:pPr>
        <w:pStyle w:val="NormalWeb"/>
        <w:spacing w:before="0" w:beforeAutospacing="0" w:after="120" w:afterAutospacing="0"/>
        <w:ind w:left="480" w:hanging="480"/>
        <w:rPr>
          <w:rFonts w:ascii="Arial" w:eastAsia="Times New Roman" w:hAnsi="Arial" w:cs="Arial"/>
          <w:szCs w:val="22"/>
          <w:lang w:val="es-ES"/>
        </w:rPr>
      </w:pPr>
      <w:proofErr w:type="spellStart"/>
      <w:r w:rsidRPr="00B17613">
        <w:rPr>
          <w:rFonts w:ascii="Arial" w:hAnsi="Arial" w:cs="Arial"/>
          <w:szCs w:val="22"/>
        </w:rPr>
        <w:t>Fiszbein</w:t>
      </w:r>
      <w:proofErr w:type="spellEnd"/>
      <w:r w:rsidRPr="00B17613">
        <w:rPr>
          <w:rFonts w:ascii="Arial" w:hAnsi="Arial" w:cs="Arial"/>
          <w:szCs w:val="22"/>
        </w:rPr>
        <w:t xml:space="preserve">, A., Schady, N., Ferreira, F. H. G., </w:t>
      </w:r>
      <w:proofErr w:type="spellStart"/>
      <w:r w:rsidRPr="00B17613">
        <w:rPr>
          <w:rFonts w:ascii="Arial" w:hAnsi="Arial" w:cs="Arial"/>
          <w:szCs w:val="22"/>
        </w:rPr>
        <w:t>Grosh</w:t>
      </w:r>
      <w:proofErr w:type="spellEnd"/>
      <w:r w:rsidRPr="00B17613">
        <w:rPr>
          <w:rFonts w:ascii="Arial" w:hAnsi="Arial" w:cs="Arial"/>
          <w:szCs w:val="22"/>
        </w:rPr>
        <w:t xml:space="preserve">, M., </w:t>
      </w:r>
      <w:proofErr w:type="spellStart"/>
      <w:r w:rsidRPr="00B17613">
        <w:rPr>
          <w:rFonts w:ascii="Arial" w:hAnsi="Arial" w:cs="Arial"/>
          <w:szCs w:val="22"/>
        </w:rPr>
        <w:t>Keleher</w:t>
      </w:r>
      <w:proofErr w:type="spellEnd"/>
      <w:r w:rsidRPr="00B17613">
        <w:rPr>
          <w:rFonts w:ascii="Arial" w:hAnsi="Arial" w:cs="Arial"/>
          <w:szCs w:val="22"/>
        </w:rPr>
        <w:t xml:space="preserve">, N., </w:t>
      </w:r>
      <w:proofErr w:type="spellStart"/>
      <w:r w:rsidRPr="00B17613">
        <w:rPr>
          <w:rFonts w:ascii="Arial" w:hAnsi="Arial" w:cs="Arial"/>
          <w:szCs w:val="22"/>
        </w:rPr>
        <w:t>Olinto</w:t>
      </w:r>
      <w:proofErr w:type="spellEnd"/>
      <w:r w:rsidRPr="00B17613">
        <w:rPr>
          <w:rFonts w:ascii="Arial" w:hAnsi="Arial" w:cs="Arial"/>
          <w:szCs w:val="22"/>
        </w:rPr>
        <w:t xml:space="preserve">, P., y </w:t>
      </w:r>
      <w:proofErr w:type="spellStart"/>
      <w:r w:rsidRPr="00B17613">
        <w:rPr>
          <w:rFonts w:ascii="Arial" w:hAnsi="Arial" w:cs="Arial"/>
          <w:szCs w:val="22"/>
        </w:rPr>
        <w:t>Skoufias</w:t>
      </w:r>
      <w:proofErr w:type="spellEnd"/>
      <w:r w:rsidRPr="00B17613">
        <w:rPr>
          <w:rFonts w:ascii="Arial" w:hAnsi="Arial" w:cs="Arial"/>
          <w:szCs w:val="22"/>
        </w:rPr>
        <w:t xml:space="preserve">, E. (2009). </w:t>
      </w:r>
      <w:r w:rsidRPr="00B17613">
        <w:rPr>
          <w:rFonts w:ascii="Arial" w:hAnsi="Arial" w:cs="Arial"/>
          <w:i/>
          <w:iCs/>
          <w:szCs w:val="22"/>
        </w:rPr>
        <w:t>Conditional Cash Transfers: Reducing Present and Future Poverty</w:t>
      </w:r>
      <w:r w:rsidRPr="00B17613">
        <w:rPr>
          <w:rFonts w:ascii="Arial" w:hAnsi="Arial" w:cs="Arial"/>
          <w:szCs w:val="22"/>
        </w:rPr>
        <w:t xml:space="preserve">. </w:t>
      </w:r>
      <w:r w:rsidRPr="00B94C13">
        <w:rPr>
          <w:rFonts w:ascii="Arial" w:hAnsi="Arial" w:cs="Arial"/>
          <w:szCs w:val="22"/>
          <w:lang w:val="es-ES_tradnl"/>
        </w:rPr>
        <w:t>Washington DC, Estados Unidos: Banco Mundial. Obtenido en https://openknowledge.worldbank.org/handle/10986/2597</w:t>
      </w:r>
    </w:p>
    <w:p w14:paraId="3348773F"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t xml:space="preserve">Heckman, J. J., Moon, S. H., Pinto, R., </w:t>
      </w:r>
      <w:proofErr w:type="spellStart"/>
      <w:r w:rsidRPr="00B94C13">
        <w:rPr>
          <w:rFonts w:ascii="Arial" w:eastAsia="Times New Roman" w:hAnsi="Arial" w:cs="Arial"/>
          <w:szCs w:val="22"/>
        </w:rPr>
        <w:t>Savelyev</w:t>
      </w:r>
      <w:proofErr w:type="spellEnd"/>
      <w:r w:rsidRPr="00B94C13">
        <w:rPr>
          <w:rFonts w:ascii="Arial" w:eastAsia="Times New Roman" w:hAnsi="Arial" w:cs="Arial"/>
          <w:szCs w:val="22"/>
        </w:rPr>
        <w:t xml:space="preserve">, P., &amp; </w:t>
      </w:r>
      <w:proofErr w:type="spellStart"/>
      <w:r w:rsidRPr="00B94C13">
        <w:rPr>
          <w:rFonts w:ascii="Arial" w:eastAsia="Times New Roman" w:hAnsi="Arial" w:cs="Arial"/>
          <w:szCs w:val="22"/>
        </w:rPr>
        <w:t>Yavitz</w:t>
      </w:r>
      <w:proofErr w:type="spellEnd"/>
      <w:r w:rsidRPr="00B94C13">
        <w:rPr>
          <w:rFonts w:ascii="Arial" w:eastAsia="Times New Roman" w:hAnsi="Arial" w:cs="Arial"/>
          <w:szCs w:val="22"/>
        </w:rPr>
        <w:t>, A. (2010). A new cost-benefit and rate of return analysis for the Perry Preschool Program: A summary (No. w16180). National Bureau of Economic Research. http://www.nber.org/papers/w16180.pdf</w:t>
      </w:r>
    </w:p>
    <w:p w14:paraId="33487740" w14:textId="77777777" w:rsidR="00EF2CB4" w:rsidRPr="00B17613" w:rsidRDefault="00EF2CB4"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t xml:space="preserve">Howes, C., Phillips, D. A., y </w:t>
      </w:r>
      <w:proofErr w:type="spellStart"/>
      <w:r w:rsidRPr="00B17613">
        <w:rPr>
          <w:rFonts w:ascii="Arial" w:hAnsi="Arial" w:cs="Arial"/>
          <w:szCs w:val="22"/>
        </w:rPr>
        <w:t>Whitebook</w:t>
      </w:r>
      <w:proofErr w:type="spellEnd"/>
      <w:r w:rsidRPr="00B17613">
        <w:rPr>
          <w:rFonts w:ascii="Arial" w:hAnsi="Arial" w:cs="Arial"/>
          <w:szCs w:val="22"/>
        </w:rPr>
        <w:t xml:space="preserve">, M. (1992). </w:t>
      </w:r>
      <w:r w:rsidRPr="00B17613">
        <w:rPr>
          <w:rFonts w:ascii="Arial" w:hAnsi="Arial" w:cs="Arial"/>
          <w:i/>
          <w:szCs w:val="22"/>
        </w:rPr>
        <w:t xml:space="preserve">Thresholds of quality: implications for the social development of children in center-based child care. </w:t>
      </w:r>
      <w:r w:rsidRPr="00B17613">
        <w:rPr>
          <w:rFonts w:ascii="Arial" w:hAnsi="Arial" w:cs="Arial"/>
          <w:i/>
          <w:iCs/>
          <w:szCs w:val="22"/>
        </w:rPr>
        <w:t>Child Development</w:t>
      </w:r>
      <w:r w:rsidRPr="00B17613">
        <w:rPr>
          <w:rFonts w:ascii="Arial" w:hAnsi="Arial" w:cs="Arial"/>
          <w:i/>
          <w:szCs w:val="22"/>
        </w:rPr>
        <w:t>,</w:t>
      </w:r>
      <w:r w:rsidRPr="00B17613">
        <w:rPr>
          <w:rFonts w:ascii="Arial" w:hAnsi="Arial" w:cs="Arial"/>
          <w:szCs w:val="22"/>
        </w:rPr>
        <w:t xml:space="preserve"> </w:t>
      </w:r>
      <w:r w:rsidRPr="00B17613">
        <w:rPr>
          <w:rFonts w:ascii="Arial" w:hAnsi="Arial" w:cs="Arial"/>
          <w:iCs/>
          <w:szCs w:val="22"/>
        </w:rPr>
        <w:t>63</w:t>
      </w:r>
      <w:r w:rsidRPr="00B17613">
        <w:rPr>
          <w:rFonts w:ascii="Arial" w:hAnsi="Arial" w:cs="Arial"/>
          <w:szCs w:val="22"/>
        </w:rPr>
        <w:t xml:space="preserve">(2), 449–60. </w:t>
      </w:r>
      <w:proofErr w:type="spellStart"/>
      <w:r w:rsidRPr="00B17613">
        <w:rPr>
          <w:rFonts w:ascii="Arial" w:hAnsi="Arial" w:cs="Arial"/>
          <w:szCs w:val="22"/>
        </w:rPr>
        <w:t>Obtenido</w:t>
      </w:r>
      <w:proofErr w:type="spellEnd"/>
      <w:r w:rsidRPr="00B17613">
        <w:rPr>
          <w:rFonts w:ascii="Arial" w:hAnsi="Arial" w:cs="Arial"/>
          <w:szCs w:val="22"/>
        </w:rPr>
        <w:t xml:space="preserve"> </w:t>
      </w:r>
      <w:proofErr w:type="spellStart"/>
      <w:r w:rsidRPr="00B17613">
        <w:rPr>
          <w:rFonts w:ascii="Arial" w:hAnsi="Arial" w:cs="Arial"/>
          <w:szCs w:val="22"/>
        </w:rPr>
        <w:t>en</w:t>
      </w:r>
      <w:proofErr w:type="spellEnd"/>
      <w:r w:rsidRPr="00B17613">
        <w:rPr>
          <w:rFonts w:ascii="Arial" w:hAnsi="Arial" w:cs="Arial"/>
          <w:szCs w:val="22"/>
        </w:rPr>
        <w:t xml:space="preserve"> </w:t>
      </w:r>
      <w:hyperlink r:id="rId20" w:history="1">
        <w:r w:rsidRPr="00B17613">
          <w:rPr>
            <w:rStyle w:val="Hyperlink"/>
            <w:rFonts w:ascii="Arial" w:hAnsi="Arial" w:cs="Arial"/>
            <w:szCs w:val="22"/>
          </w:rPr>
          <w:t>http://www.ncbi.nlm.nih.gov/pubmed/1611946</w:t>
        </w:r>
      </w:hyperlink>
    </w:p>
    <w:p w14:paraId="33487741" w14:textId="77777777" w:rsidR="00886551" w:rsidRPr="00B94C13" w:rsidRDefault="00886551" w:rsidP="001615CE">
      <w:pPr>
        <w:pStyle w:val="NormalWeb"/>
        <w:spacing w:before="0" w:beforeAutospacing="0" w:after="120" w:afterAutospacing="0"/>
        <w:ind w:left="480" w:hanging="480"/>
        <w:rPr>
          <w:rFonts w:ascii="Arial" w:eastAsia="Times New Roman" w:hAnsi="Arial" w:cs="Arial"/>
          <w:szCs w:val="22"/>
        </w:rPr>
      </w:pPr>
      <w:r w:rsidRPr="00B17613">
        <w:rPr>
          <w:rFonts w:ascii="Arial" w:hAnsi="Arial" w:cs="Arial"/>
          <w:szCs w:val="22"/>
        </w:rPr>
        <w:t xml:space="preserve">Levy, S. (2006). </w:t>
      </w:r>
      <w:r w:rsidRPr="00B17613">
        <w:rPr>
          <w:rFonts w:ascii="Arial" w:hAnsi="Arial" w:cs="Arial"/>
          <w:i/>
          <w:iCs/>
          <w:szCs w:val="22"/>
        </w:rPr>
        <w:t xml:space="preserve">Progress Against Poverty: Sustaining Mexico’s </w:t>
      </w:r>
      <w:proofErr w:type="spellStart"/>
      <w:r w:rsidRPr="00B17613">
        <w:rPr>
          <w:rFonts w:ascii="Arial" w:hAnsi="Arial" w:cs="Arial"/>
          <w:i/>
          <w:iCs/>
          <w:szCs w:val="22"/>
        </w:rPr>
        <w:t>Progresa-Oportunidades</w:t>
      </w:r>
      <w:proofErr w:type="spellEnd"/>
      <w:r w:rsidRPr="00B17613">
        <w:rPr>
          <w:rFonts w:ascii="Arial" w:hAnsi="Arial" w:cs="Arial"/>
          <w:i/>
          <w:iCs/>
          <w:szCs w:val="22"/>
        </w:rPr>
        <w:t xml:space="preserve"> Program</w:t>
      </w:r>
      <w:r w:rsidRPr="00B17613">
        <w:rPr>
          <w:rFonts w:ascii="Arial" w:hAnsi="Arial" w:cs="Arial"/>
          <w:szCs w:val="22"/>
        </w:rPr>
        <w:t xml:space="preserve">. </w:t>
      </w:r>
      <w:r w:rsidRPr="00B94C13">
        <w:rPr>
          <w:rFonts w:ascii="Arial" w:hAnsi="Arial" w:cs="Arial"/>
          <w:szCs w:val="22"/>
        </w:rPr>
        <w:t xml:space="preserve">Washington DC, </w:t>
      </w:r>
      <w:proofErr w:type="spellStart"/>
      <w:r w:rsidRPr="00B94C13">
        <w:rPr>
          <w:rFonts w:ascii="Arial" w:hAnsi="Arial" w:cs="Arial"/>
          <w:szCs w:val="22"/>
        </w:rPr>
        <w:t>Estados</w:t>
      </w:r>
      <w:proofErr w:type="spellEnd"/>
      <w:r w:rsidRPr="00B94C13">
        <w:rPr>
          <w:rFonts w:ascii="Arial" w:hAnsi="Arial" w:cs="Arial"/>
          <w:szCs w:val="22"/>
        </w:rPr>
        <w:t xml:space="preserve"> </w:t>
      </w:r>
      <w:proofErr w:type="spellStart"/>
      <w:r w:rsidRPr="00B94C13">
        <w:rPr>
          <w:rFonts w:ascii="Arial" w:hAnsi="Arial" w:cs="Arial"/>
          <w:szCs w:val="22"/>
        </w:rPr>
        <w:t>Unidos</w:t>
      </w:r>
      <w:proofErr w:type="spellEnd"/>
      <w:r w:rsidRPr="00B94C13">
        <w:rPr>
          <w:rFonts w:ascii="Arial" w:hAnsi="Arial" w:cs="Arial"/>
          <w:szCs w:val="22"/>
        </w:rPr>
        <w:t>: Brookings Institution Press.</w:t>
      </w:r>
    </w:p>
    <w:p w14:paraId="33487742" w14:textId="77777777" w:rsidR="00EF2CB4" w:rsidRPr="00B94C13" w:rsidRDefault="00EF2CB4" w:rsidP="001615CE">
      <w:pPr>
        <w:pStyle w:val="NormalWeb"/>
        <w:spacing w:before="0" w:beforeAutospacing="0" w:after="120" w:afterAutospacing="0"/>
        <w:ind w:left="480" w:hanging="480"/>
        <w:rPr>
          <w:rFonts w:ascii="Arial" w:hAnsi="Arial" w:cs="Arial"/>
          <w:szCs w:val="22"/>
          <w:lang w:val="es-ES_tradnl"/>
        </w:rPr>
      </w:pPr>
      <w:r w:rsidRPr="00B17613">
        <w:rPr>
          <w:rFonts w:ascii="Arial" w:hAnsi="Arial" w:cs="Arial"/>
          <w:szCs w:val="22"/>
        </w:rPr>
        <w:t xml:space="preserve">Loeb, S., Bridges, M., Fuller, B., </w:t>
      </w:r>
      <w:proofErr w:type="spellStart"/>
      <w:r w:rsidRPr="00B17613">
        <w:rPr>
          <w:rFonts w:ascii="Arial" w:hAnsi="Arial" w:cs="Arial"/>
          <w:szCs w:val="22"/>
        </w:rPr>
        <w:t>Rumberger</w:t>
      </w:r>
      <w:proofErr w:type="spellEnd"/>
      <w:r w:rsidRPr="00B17613">
        <w:rPr>
          <w:rFonts w:ascii="Arial" w:hAnsi="Arial" w:cs="Arial"/>
          <w:szCs w:val="22"/>
        </w:rPr>
        <w:t xml:space="preserve">, R., y </w:t>
      </w:r>
      <w:proofErr w:type="spellStart"/>
      <w:r w:rsidRPr="00B17613">
        <w:rPr>
          <w:rFonts w:ascii="Arial" w:hAnsi="Arial" w:cs="Arial"/>
          <w:szCs w:val="22"/>
        </w:rPr>
        <w:t>Bassok</w:t>
      </w:r>
      <w:proofErr w:type="spellEnd"/>
      <w:r w:rsidRPr="00B17613">
        <w:rPr>
          <w:rFonts w:ascii="Arial" w:hAnsi="Arial" w:cs="Arial"/>
          <w:szCs w:val="22"/>
        </w:rPr>
        <w:t xml:space="preserve">, D. (2005). </w:t>
      </w:r>
      <w:r w:rsidRPr="00B17613">
        <w:rPr>
          <w:rFonts w:ascii="Arial" w:hAnsi="Arial" w:cs="Arial"/>
          <w:i/>
          <w:szCs w:val="22"/>
        </w:rPr>
        <w:t>How Much is Too Much? The Influence of Preschool Centers on Children’s Social and Cognitive Development.</w:t>
      </w:r>
      <w:r w:rsidRPr="00B17613">
        <w:rPr>
          <w:rFonts w:ascii="Arial" w:hAnsi="Arial" w:cs="Arial"/>
          <w:szCs w:val="22"/>
        </w:rPr>
        <w:t xml:space="preserve"> </w:t>
      </w:r>
      <w:r w:rsidRPr="00B94C13">
        <w:rPr>
          <w:rFonts w:ascii="Arial" w:hAnsi="Arial" w:cs="Arial"/>
          <w:szCs w:val="22"/>
          <w:lang w:val="es-ES_tradnl"/>
        </w:rPr>
        <w:t>Obtenido en http://www.nber.org/papers/w11812</w:t>
      </w:r>
    </w:p>
    <w:p w14:paraId="33487743"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proofErr w:type="spellStart"/>
      <w:r w:rsidRPr="00B17613">
        <w:rPr>
          <w:rFonts w:ascii="Arial" w:eastAsia="Times New Roman" w:hAnsi="Arial" w:cs="Arial"/>
          <w:szCs w:val="22"/>
          <w:lang w:val="es-ES"/>
        </w:rPr>
        <w:t>Lomborg</w:t>
      </w:r>
      <w:proofErr w:type="spellEnd"/>
      <w:r w:rsidRPr="00B17613">
        <w:rPr>
          <w:rFonts w:ascii="Arial" w:eastAsia="Times New Roman" w:hAnsi="Arial" w:cs="Arial"/>
          <w:szCs w:val="22"/>
          <w:lang w:val="es-ES"/>
        </w:rPr>
        <w:t xml:space="preserve">, B. (Ed.). </w:t>
      </w:r>
      <w:r w:rsidRPr="00B94C13">
        <w:rPr>
          <w:rFonts w:ascii="Arial" w:eastAsia="Times New Roman" w:hAnsi="Arial" w:cs="Arial"/>
          <w:szCs w:val="22"/>
        </w:rPr>
        <w:t>(2010). Latin American Development Priorities: Costs and Benefits. Cambridge University Press. http://books.google.com/books?id=O5V7K2n-ZJoC&amp;lpg=PR5&amp;ots=vnE-mBVe9n&amp;dq=Latin%20American%20Development%20Priorities%3A%20Costs%20and%20Benefits&amp;lr&amp;pg=PR5#v=snippet&amp;q=Latin%20American%20Development%20Priorities:%20Costs%20and%20Benefits&amp;f=false</w:t>
      </w:r>
    </w:p>
    <w:p w14:paraId="33487744"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t xml:space="preserve">Lopez, H. (2008). The social discount rate: Estimates for nine Latin American countries. </w:t>
      </w:r>
      <w:hyperlink r:id="rId21" w:history="1">
        <w:r w:rsidR="00886551" w:rsidRPr="00B94C13">
          <w:rPr>
            <w:rStyle w:val="Hyperlink"/>
            <w:rFonts w:ascii="Arial" w:eastAsia="Times New Roman" w:hAnsi="Arial" w:cs="Arial"/>
            <w:szCs w:val="22"/>
          </w:rPr>
          <w:t>https://openknowledge.worldbank.org/handle/10986/6659</w:t>
        </w:r>
      </w:hyperlink>
    </w:p>
    <w:p w14:paraId="33487745" w14:textId="77777777" w:rsidR="00EF2CB4" w:rsidRPr="00B17613" w:rsidRDefault="00EF2CB4" w:rsidP="001615CE">
      <w:pPr>
        <w:pStyle w:val="NormalWeb"/>
        <w:spacing w:before="0" w:beforeAutospacing="0" w:after="120" w:afterAutospacing="0"/>
        <w:ind w:left="480" w:hanging="480"/>
        <w:rPr>
          <w:rFonts w:ascii="Arial" w:hAnsi="Arial" w:cs="Arial"/>
          <w:szCs w:val="22"/>
        </w:rPr>
      </w:pPr>
      <w:r w:rsidRPr="00B17613">
        <w:rPr>
          <w:rFonts w:ascii="Arial" w:hAnsi="Arial" w:cs="Arial"/>
          <w:szCs w:val="22"/>
        </w:rPr>
        <w:t xml:space="preserve">Love, J. M., Harrison, L., </w:t>
      </w:r>
      <w:proofErr w:type="spellStart"/>
      <w:r w:rsidRPr="00B17613">
        <w:rPr>
          <w:rFonts w:ascii="Arial" w:hAnsi="Arial" w:cs="Arial"/>
          <w:szCs w:val="22"/>
        </w:rPr>
        <w:t>Sagi</w:t>
      </w:r>
      <w:proofErr w:type="spellEnd"/>
      <w:r w:rsidRPr="00B17613">
        <w:rPr>
          <w:rFonts w:ascii="Arial" w:hAnsi="Arial" w:cs="Arial"/>
          <w:szCs w:val="22"/>
        </w:rPr>
        <w:t xml:space="preserve">-Schwartz, A., van </w:t>
      </w:r>
      <w:proofErr w:type="spellStart"/>
      <w:r w:rsidRPr="00B17613">
        <w:rPr>
          <w:rFonts w:ascii="Arial" w:hAnsi="Arial" w:cs="Arial"/>
          <w:szCs w:val="22"/>
        </w:rPr>
        <w:t>IJzendoorn</w:t>
      </w:r>
      <w:proofErr w:type="spellEnd"/>
      <w:r w:rsidRPr="00B17613">
        <w:rPr>
          <w:rFonts w:ascii="Arial" w:hAnsi="Arial" w:cs="Arial"/>
          <w:szCs w:val="22"/>
        </w:rPr>
        <w:t xml:space="preserve">, M. H., Ross, C., </w:t>
      </w:r>
      <w:proofErr w:type="spellStart"/>
      <w:r w:rsidRPr="00B17613">
        <w:rPr>
          <w:rFonts w:ascii="Arial" w:hAnsi="Arial" w:cs="Arial"/>
          <w:szCs w:val="22"/>
        </w:rPr>
        <w:t>Ungerer</w:t>
      </w:r>
      <w:proofErr w:type="spellEnd"/>
      <w:r w:rsidRPr="00B17613">
        <w:rPr>
          <w:rFonts w:ascii="Arial" w:hAnsi="Arial" w:cs="Arial"/>
          <w:szCs w:val="22"/>
        </w:rPr>
        <w:t xml:space="preserve">, J. A., Chazan-Cohen, R. (2003). </w:t>
      </w:r>
      <w:r w:rsidRPr="00B17613">
        <w:rPr>
          <w:rFonts w:ascii="Arial" w:hAnsi="Arial" w:cs="Arial"/>
          <w:i/>
          <w:szCs w:val="22"/>
        </w:rPr>
        <w:t xml:space="preserve">Child care quality matters: how conclusions may vary with context. </w:t>
      </w:r>
      <w:r w:rsidRPr="00B17613">
        <w:rPr>
          <w:rFonts w:ascii="Arial" w:hAnsi="Arial" w:cs="Arial"/>
          <w:i/>
          <w:iCs/>
          <w:szCs w:val="22"/>
        </w:rPr>
        <w:t>Child Development</w:t>
      </w:r>
      <w:r w:rsidRPr="00B17613">
        <w:rPr>
          <w:rFonts w:ascii="Arial" w:hAnsi="Arial" w:cs="Arial"/>
          <w:szCs w:val="22"/>
        </w:rPr>
        <w:t xml:space="preserve">, </w:t>
      </w:r>
      <w:r w:rsidRPr="00B17613">
        <w:rPr>
          <w:rFonts w:ascii="Arial" w:hAnsi="Arial" w:cs="Arial"/>
          <w:i/>
          <w:iCs/>
          <w:szCs w:val="22"/>
        </w:rPr>
        <w:t>74</w:t>
      </w:r>
      <w:r w:rsidRPr="00B17613">
        <w:rPr>
          <w:rFonts w:ascii="Arial" w:hAnsi="Arial" w:cs="Arial"/>
          <w:szCs w:val="22"/>
        </w:rPr>
        <w:t xml:space="preserve">(4), 1021–33. </w:t>
      </w:r>
      <w:proofErr w:type="spellStart"/>
      <w:r w:rsidRPr="00B17613">
        <w:rPr>
          <w:rFonts w:ascii="Arial" w:hAnsi="Arial" w:cs="Arial"/>
          <w:szCs w:val="22"/>
        </w:rPr>
        <w:t>Obtenido</w:t>
      </w:r>
      <w:proofErr w:type="spellEnd"/>
      <w:r w:rsidRPr="00B17613">
        <w:rPr>
          <w:rFonts w:ascii="Arial" w:hAnsi="Arial" w:cs="Arial"/>
          <w:szCs w:val="22"/>
        </w:rPr>
        <w:t xml:space="preserve"> </w:t>
      </w:r>
      <w:proofErr w:type="spellStart"/>
      <w:r w:rsidRPr="00B17613">
        <w:rPr>
          <w:rFonts w:ascii="Arial" w:hAnsi="Arial" w:cs="Arial"/>
          <w:szCs w:val="22"/>
        </w:rPr>
        <w:t>en</w:t>
      </w:r>
      <w:proofErr w:type="spellEnd"/>
      <w:r w:rsidRPr="00B17613">
        <w:rPr>
          <w:rFonts w:ascii="Arial" w:hAnsi="Arial" w:cs="Arial"/>
          <w:szCs w:val="22"/>
        </w:rPr>
        <w:t xml:space="preserve"> </w:t>
      </w:r>
      <w:hyperlink r:id="rId22" w:history="1">
        <w:r w:rsidRPr="00B17613">
          <w:rPr>
            <w:rStyle w:val="Hyperlink"/>
            <w:rFonts w:ascii="Arial" w:hAnsi="Arial" w:cs="Arial"/>
            <w:szCs w:val="22"/>
          </w:rPr>
          <w:t>http://www.ncbi.nlm.nih.gov/pubmed/12938696</w:t>
        </w:r>
      </w:hyperlink>
    </w:p>
    <w:p w14:paraId="33487746" w14:textId="77777777" w:rsidR="00886551" w:rsidRPr="00B94C13" w:rsidRDefault="00886551" w:rsidP="001615CE">
      <w:pPr>
        <w:pStyle w:val="NormalWeb"/>
        <w:spacing w:before="0" w:beforeAutospacing="0" w:after="120" w:afterAutospacing="0"/>
        <w:ind w:left="480" w:hanging="480"/>
        <w:rPr>
          <w:rFonts w:ascii="Arial" w:eastAsia="Times New Roman" w:hAnsi="Arial" w:cs="Arial"/>
          <w:szCs w:val="22"/>
        </w:rPr>
      </w:pPr>
      <w:proofErr w:type="spellStart"/>
      <w:r w:rsidRPr="00B17613">
        <w:rPr>
          <w:rFonts w:ascii="Arial" w:hAnsi="Arial" w:cs="Arial"/>
          <w:szCs w:val="22"/>
        </w:rPr>
        <w:t>Maluccio</w:t>
      </w:r>
      <w:proofErr w:type="spellEnd"/>
      <w:r w:rsidRPr="00B17613">
        <w:rPr>
          <w:rFonts w:ascii="Arial" w:hAnsi="Arial" w:cs="Arial"/>
          <w:szCs w:val="22"/>
        </w:rPr>
        <w:t xml:space="preserve">, J. A., </w:t>
      </w:r>
      <w:proofErr w:type="spellStart"/>
      <w:r w:rsidRPr="00B17613">
        <w:rPr>
          <w:rFonts w:ascii="Arial" w:hAnsi="Arial" w:cs="Arial"/>
          <w:szCs w:val="22"/>
        </w:rPr>
        <w:t>Hoddinott</w:t>
      </w:r>
      <w:proofErr w:type="spellEnd"/>
      <w:r w:rsidRPr="00B17613">
        <w:rPr>
          <w:rFonts w:ascii="Arial" w:hAnsi="Arial" w:cs="Arial"/>
          <w:szCs w:val="22"/>
        </w:rPr>
        <w:t xml:space="preserve">, J., Behrman, J. R., Martorell, R., </w:t>
      </w:r>
      <w:proofErr w:type="spellStart"/>
      <w:r w:rsidRPr="00B17613">
        <w:rPr>
          <w:rFonts w:ascii="Arial" w:hAnsi="Arial" w:cs="Arial"/>
          <w:szCs w:val="22"/>
        </w:rPr>
        <w:t>Quisumbing</w:t>
      </w:r>
      <w:proofErr w:type="spellEnd"/>
      <w:r w:rsidRPr="00B17613">
        <w:rPr>
          <w:rFonts w:ascii="Arial" w:hAnsi="Arial" w:cs="Arial"/>
          <w:szCs w:val="22"/>
        </w:rPr>
        <w:t xml:space="preserve">, A. R., y Stein, A. D. (2009). </w:t>
      </w:r>
      <w:r w:rsidRPr="00B17613">
        <w:rPr>
          <w:rFonts w:ascii="Arial" w:hAnsi="Arial" w:cs="Arial"/>
          <w:i/>
          <w:szCs w:val="22"/>
        </w:rPr>
        <w:t>The Impact of Improving Nutrition During Early Childhood on Education among Guatemalan Adults.</w:t>
      </w:r>
      <w:r w:rsidRPr="00B17613">
        <w:rPr>
          <w:rFonts w:ascii="Arial" w:hAnsi="Arial" w:cs="Arial"/>
          <w:szCs w:val="22"/>
        </w:rPr>
        <w:t xml:space="preserve"> </w:t>
      </w:r>
      <w:r w:rsidRPr="00B17613">
        <w:rPr>
          <w:rFonts w:ascii="Arial" w:hAnsi="Arial" w:cs="Arial"/>
          <w:i/>
          <w:iCs/>
          <w:szCs w:val="22"/>
        </w:rPr>
        <w:t>The Economic Journal</w:t>
      </w:r>
      <w:r w:rsidRPr="00B17613">
        <w:rPr>
          <w:rFonts w:ascii="Arial" w:hAnsi="Arial" w:cs="Arial"/>
          <w:szCs w:val="22"/>
        </w:rPr>
        <w:t xml:space="preserve">, </w:t>
      </w:r>
      <w:r w:rsidRPr="00B17613">
        <w:rPr>
          <w:rFonts w:ascii="Arial" w:hAnsi="Arial" w:cs="Arial"/>
          <w:i/>
          <w:iCs/>
          <w:szCs w:val="22"/>
        </w:rPr>
        <w:t>119</w:t>
      </w:r>
      <w:r w:rsidRPr="00B17613">
        <w:rPr>
          <w:rFonts w:ascii="Arial" w:hAnsi="Arial" w:cs="Arial"/>
          <w:szCs w:val="22"/>
        </w:rPr>
        <w:t>(537), 734–763. doi:10.1111/j.1468-0297.</w:t>
      </w:r>
      <w:proofErr w:type="gramStart"/>
      <w:r w:rsidRPr="00B17613">
        <w:rPr>
          <w:rFonts w:ascii="Arial" w:hAnsi="Arial" w:cs="Arial"/>
          <w:szCs w:val="22"/>
        </w:rPr>
        <w:t>2009.02220.x</w:t>
      </w:r>
      <w:proofErr w:type="gramEnd"/>
    </w:p>
    <w:p w14:paraId="33487747"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t xml:space="preserve">Martinez, R., </w:t>
      </w:r>
      <w:r w:rsidR="008324EE" w:rsidRPr="00B94C13">
        <w:rPr>
          <w:rFonts w:ascii="Arial" w:eastAsia="Times New Roman" w:hAnsi="Arial" w:cs="Arial"/>
          <w:szCs w:val="22"/>
        </w:rPr>
        <w:t>y</w:t>
      </w:r>
      <w:r w:rsidRPr="00B94C13">
        <w:rPr>
          <w:rFonts w:ascii="Arial" w:eastAsia="Times New Roman" w:hAnsi="Arial" w:cs="Arial"/>
          <w:szCs w:val="22"/>
        </w:rPr>
        <w:t xml:space="preserve"> Fernández, A. (2008). The cost of hunger: social and economic impact of child undernutrition in Central America and the Dominican Republic. ECLAC.</w:t>
      </w:r>
    </w:p>
    <w:p w14:paraId="33487748"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t xml:space="preserve">McEwan, </w:t>
      </w:r>
      <w:r w:rsidR="008324EE" w:rsidRPr="00B94C13">
        <w:rPr>
          <w:rFonts w:ascii="Arial" w:eastAsia="Times New Roman" w:hAnsi="Arial" w:cs="Arial"/>
          <w:szCs w:val="22"/>
        </w:rPr>
        <w:t>P</w:t>
      </w:r>
      <w:r w:rsidRPr="00B94C13">
        <w:rPr>
          <w:rFonts w:ascii="Arial" w:eastAsia="Times New Roman" w:hAnsi="Arial" w:cs="Arial"/>
          <w:szCs w:val="22"/>
        </w:rPr>
        <w:t xml:space="preserve">. </w:t>
      </w:r>
      <w:r w:rsidR="008324EE" w:rsidRPr="00B94C13">
        <w:rPr>
          <w:rFonts w:ascii="Arial" w:eastAsia="Times New Roman" w:hAnsi="Arial" w:cs="Arial"/>
          <w:szCs w:val="22"/>
        </w:rPr>
        <w:t>(</w:t>
      </w:r>
      <w:r w:rsidRPr="00B94C13">
        <w:rPr>
          <w:rFonts w:ascii="Arial" w:eastAsia="Times New Roman" w:hAnsi="Arial" w:cs="Arial"/>
          <w:szCs w:val="22"/>
        </w:rPr>
        <w:t>2011</w:t>
      </w:r>
      <w:r w:rsidR="008324EE" w:rsidRPr="00B94C13">
        <w:rPr>
          <w:rFonts w:ascii="Arial" w:eastAsia="Times New Roman" w:hAnsi="Arial" w:cs="Arial"/>
          <w:szCs w:val="22"/>
        </w:rPr>
        <w:t>)</w:t>
      </w:r>
      <w:r w:rsidRPr="00B94C13">
        <w:rPr>
          <w:rFonts w:ascii="Arial" w:eastAsia="Times New Roman" w:hAnsi="Arial" w:cs="Arial"/>
          <w:szCs w:val="22"/>
        </w:rPr>
        <w:t>. Cost-Effectiveness Analysis of Education and Health Interventions in Developing Countries. IDB. Impact-Evaluation Guidelines Technical Notes No. IDB-TN-332</w:t>
      </w:r>
    </w:p>
    <w:p w14:paraId="33487749" w14:textId="77777777" w:rsidR="00886551" w:rsidRPr="00B94C13" w:rsidRDefault="00886551" w:rsidP="001615CE">
      <w:pPr>
        <w:pStyle w:val="NormalWeb"/>
        <w:spacing w:before="0" w:beforeAutospacing="0" w:after="120" w:afterAutospacing="0"/>
        <w:ind w:left="480" w:hanging="480"/>
        <w:rPr>
          <w:rFonts w:ascii="Arial" w:eastAsia="Times New Roman" w:hAnsi="Arial" w:cs="Arial"/>
          <w:szCs w:val="22"/>
        </w:rPr>
      </w:pPr>
      <w:r w:rsidRPr="00D276A1">
        <w:rPr>
          <w:rFonts w:ascii="Arial" w:hAnsi="Arial" w:cs="Arial"/>
          <w:szCs w:val="22"/>
          <w:lang w:val="es-ES_tradnl"/>
        </w:rPr>
        <w:t xml:space="preserve">Saavedra, J., y Garcia, S. (2012). </w:t>
      </w:r>
      <w:r w:rsidRPr="00B17613">
        <w:rPr>
          <w:rFonts w:ascii="Arial" w:hAnsi="Arial" w:cs="Arial"/>
          <w:i/>
          <w:szCs w:val="22"/>
        </w:rPr>
        <w:t xml:space="preserve">Impacts of Conditional Cash Transfer Programs on Educational Outcomes in Developing Countries. </w:t>
      </w:r>
      <w:r w:rsidRPr="00B17613">
        <w:rPr>
          <w:rFonts w:ascii="Arial" w:hAnsi="Arial" w:cs="Arial"/>
          <w:i/>
          <w:iCs/>
          <w:szCs w:val="22"/>
        </w:rPr>
        <w:t>RAND Corporation. Working Papers</w:t>
      </w:r>
      <w:r w:rsidRPr="00B17613">
        <w:rPr>
          <w:rFonts w:ascii="Arial" w:hAnsi="Arial" w:cs="Arial"/>
          <w:szCs w:val="22"/>
        </w:rPr>
        <w:t xml:space="preserve">, (WR-921-1). </w:t>
      </w:r>
      <w:proofErr w:type="spellStart"/>
      <w:r w:rsidRPr="00B17613">
        <w:rPr>
          <w:rFonts w:ascii="Arial" w:hAnsi="Arial" w:cs="Arial"/>
          <w:szCs w:val="22"/>
        </w:rPr>
        <w:t>Obtenido</w:t>
      </w:r>
      <w:proofErr w:type="spellEnd"/>
      <w:r w:rsidRPr="00B17613">
        <w:rPr>
          <w:rFonts w:ascii="Arial" w:hAnsi="Arial" w:cs="Arial"/>
          <w:szCs w:val="22"/>
        </w:rPr>
        <w:t xml:space="preserve"> </w:t>
      </w:r>
      <w:proofErr w:type="spellStart"/>
      <w:r w:rsidRPr="00B17613">
        <w:rPr>
          <w:rFonts w:ascii="Arial" w:hAnsi="Arial" w:cs="Arial"/>
          <w:szCs w:val="22"/>
        </w:rPr>
        <w:t>en</w:t>
      </w:r>
      <w:proofErr w:type="spellEnd"/>
      <w:r w:rsidRPr="00B17613">
        <w:rPr>
          <w:rFonts w:ascii="Arial" w:hAnsi="Arial" w:cs="Arial"/>
          <w:szCs w:val="22"/>
        </w:rPr>
        <w:t xml:space="preserve"> http://www.rand.org/pubs/working_papers/WR921-1.html</w:t>
      </w:r>
    </w:p>
    <w:p w14:paraId="3348774A"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t>Siegel, J. E., Weinstein, M. C., Russell, L. B., &amp; Gold, M. R. (1996). Recommendations for reporting cost-effectiveness analyses. Jama, 276(16), 1339-1341.</w:t>
      </w:r>
    </w:p>
    <w:p w14:paraId="3348774B"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rPr>
        <w:lastRenderedPageBreak/>
        <w:t>WHO (2003). Making choices in health: WHO guide to cost-effectiveness analysis (Vol. 1). World Health Organization. http://faculty.haas.berkeley.edu/brchen/weinstein.pdf</w:t>
      </w:r>
    </w:p>
    <w:p w14:paraId="3348774C" w14:textId="77777777" w:rsidR="009B1150" w:rsidRPr="00B94C13" w:rsidRDefault="009B1150" w:rsidP="001615CE">
      <w:pPr>
        <w:pStyle w:val="NormalWeb"/>
        <w:spacing w:before="0" w:beforeAutospacing="0" w:after="120" w:afterAutospacing="0"/>
        <w:ind w:left="480" w:hanging="480"/>
        <w:rPr>
          <w:rFonts w:ascii="Arial" w:eastAsia="Times New Roman" w:hAnsi="Arial" w:cs="Arial"/>
          <w:szCs w:val="22"/>
        </w:rPr>
      </w:pPr>
      <w:r w:rsidRPr="00B94C13">
        <w:rPr>
          <w:rFonts w:ascii="Arial" w:eastAsia="Times New Roman" w:hAnsi="Arial" w:cs="Arial"/>
          <w:szCs w:val="22"/>
          <w:lang w:val="fr-FR"/>
        </w:rPr>
        <w:t xml:space="preserve">Zhuang, J., Liang, Z., Lin, T., &amp; De Guzman, F. (2007). </w:t>
      </w:r>
      <w:r w:rsidRPr="00B94C13">
        <w:rPr>
          <w:rFonts w:ascii="Arial" w:eastAsia="Times New Roman" w:hAnsi="Arial" w:cs="Arial"/>
          <w:szCs w:val="22"/>
        </w:rPr>
        <w:t xml:space="preserve">Theory and Practice in the Choice of Social Discount Rate for Cost-Benefit Analysis: A Survey (ERD Working Paper No. 94). Asian Development Bank, Manila, Philippines. Retrieved </w:t>
      </w:r>
      <w:proofErr w:type="gramStart"/>
      <w:r w:rsidRPr="00B94C13">
        <w:rPr>
          <w:rFonts w:ascii="Arial" w:eastAsia="Times New Roman" w:hAnsi="Arial" w:cs="Arial"/>
          <w:szCs w:val="22"/>
        </w:rPr>
        <w:t>December,</w:t>
      </w:r>
      <w:proofErr w:type="gramEnd"/>
      <w:r w:rsidRPr="00B94C13">
        <w:rPr>
          <w:rFonts w:ascii="Arial" w:eastAsia="Times New Roman" w:hAnsi="Arial" w:cs="Arial"/>
          <w:szCs w:val="22"/>
        </w:rPr>
        <w:t xml:space="preserve"> 7, 2009. </w:t>
      </w:r>
      <w:hyperlink r:id="rId23" w:history="1">
        <w:r w:rsidR="00EF2CB4" w:rsidRPr="00B94C13">
          <w:rPr>
            <w:rStyle w:val="Hyperlink"/>
            <w:rFonts w:ascii="Arial" w:eastAsia="Times New Roman" w:hAnsi="Arial" w:cs="Arial"/>
            <w:szCs w:val="22"/>
          </w:rPr>
          <w:t>http://facweb.knowlton.ohio-state.edu/pviton/courses/crp6600/zhuang_etal.pdf</w:t>
        </w:r>
      </w:hyperlink>
    </w:p>
    <w:p w14:paraId="3348774D" w14:textId="77777777" w:rsidR="00EF2CB4" w:rsidRPr="00B17613" w:rsidRDefault="00EF2CB4" w:rsidP="001615CE">
      <w:pPr>
        <w:pStyle w:val="NormalWeb"/>
        <w:spacing w:before="0" w:beforeAutospacing="0" w:after="120" w:afterAutospacing="0"/>
        <w:ind w:left="480" w:hanging="480"/>
        <w:rPr>
          <w:rFonts w:ascii="Arial" w:eastAsia="Times New Roman" w:hAnsi="Arial" w:cs="Arial"/>
          <w:szCs w:val="22"/>
          <w:lang w:val="es-ES"/>
        </w:rPr>
      </w:pPr>
      <w:r w:rsidRPr="00B94C13">
        <w:rPr>
          <w:rFonts w:ascii="Arial" w:hAnsi="Arial" w:cs="Arial"/>
          <w:szCs w:val="22"/>
          <w:lang w:val="es-ES_tradnl"/>
        </w:rPr>
        <w:t xml:space="preserve">Yamauchi, C., y Leigh, A. (2011). </w:t>
      </w:r>
      <w:r w:rsidRPr="00B17613">
        <w:rPr>
          <w:rFonts w:ascii="Arial" w:hAnsi="Arial" w:cs="Arial"/>
          <w:i/>
          <w:szCs w:val="22"/>
        </w:rPr>
        <w:t xml:space="preserve">Which children benefit from non-parental care? </w:t>
      </w:r>
      <w:r w:rsidRPr="00B17613">
        <w:rPr>
          <w:rFonts w:ascii="Arial" w:hAnsi="Arial" w:cs="Arial"/>
          <w:i/>
          <w:iCs/>
          <w:szCs w:val="22"/>
        </w:rPr>
        <w:t>Economics of Education Review</w:t>
      </w:r>
      <w:r w:rsidRPr="00B17613">
        <w:rPr>
          <w:rFonts w:ascii="Arial" w:hAnsi="Arial" w:cs="Arial"/>
          <w:szCs w:val="22"/>
        </w:rPr>
        <w:t xml:space="preserve">, </w:t>
      </w:r>
      <w:r w:rsidRPr="00B17613">
        <w:rPr>
          <w:rFonts w:ascii="Arial" w:hAnsi="Arial" w:cs="Arial"/>
          <w:i/>
          <w:iCs/>
          <w:szCs w:val="22"/>
        </w:rPr>
        <w:t>30</w:t>
      </w:r>
      <w:r w:rsidRPr="00B17613">
        <w:rPr>
          <w:rFonts w:ascii="Arial" w:hAnsi="Arial" w:cs="Arial"/>
          <w:szCs w:val="22"/>
        </w:rPr>
        <w:t xml:space="preserve">(6), 1468–1490. </w:t>
      </w:r>
      <w:proofErr w:type="gramStart"/>
      <w:r w:rsidRPr="00B17613">
        <w:rPr>
          <w:rFonts w:ascii="Arial" w:hAnsi="Arial" w:cs="Arial"/>
          <w:szCs w:val="22"/>
        </w:rPr>
        <w:t>doi:10.1016/j.econedurev</w:t>
      </w:r>
      <w:proofErr w:type="gramEnd"/>
      <w:r w:rsidRPr="00B17613">
        <w:rPr>
          <w:rFonts w:ascii="Arial" w:hAnsi="Arial" w:cs="Arial"/>
          <w:szCs w:val="22"/>
        </w:rPr>
        <w:t>.2011.07.012</w:t>
      </w:r>
    </w:p>
    <w:sectPr w:rsidR="00EF2CB4" w:rsidRPr="00B17613" w:rsidSect="00B94C13">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7756" w14:textId="77777777" w:rsidR="00940DBD" w:rsidRDefault="00940DBD" w:rsidP="008C24DF">
      <w:pPr>
        <w:spacing w:after="0" w:line="240" w:lineRule="auto"/>
      </w:pPr>
      <w:r>
        <w:separator/>
      </w:r>
    </w:p>
  </w:endnote>
  <w:endnote w:type="continuationSeparator" w:id="0">
    <w:p w14:paraId="33487757" w14:textId="77777777" w:rsidR="00940DBD" w:rsidRDefault="00940DBD" w:rsidP="008C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775E" w14:textId="77777777" w:rsidR="00103252" w:rsidRDefault="00103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775F" w14:textId="77777777" w:rsidR="00886551" w:rsidRDefault="00886551">
    <w:pPr>
      <w:pStyle w:val="Footer"/>
      <w:jc w:val="center"/>
    </w:pPr>
  </w:p>
  <w:p w14:paraId="33487760" w14:textId="77777777" w:rsidR="00886551" w:rsidRDefault="00886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7762" w14:textId="77777777" w:rsidR="00103252" w:rsidRDefault="00103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87754" w14:textId="77777777" w:rsidR="00940DBD" w:rsidRDefault="00940DBD" w:rsidP="008C24DF">
      <w:pPr>
        <w:spacing w:after="0" w:line="240" w:lineRule="auto"/>
      </w:pPr>
      <w:r>
        <w:separator/>
      </w:r>
    </w:p>
  </w:footnote>
  <w:footnote w:type="continuationSeparator" w:id="0">
    <w:p w14:paraId="33487755" w14:textId="77777777" w:rsidR="00940DBD" w:rsidRDefault="00940DBD" w:rsidP="008C24DF">
      <w:pPr>
        <w:spacing w:after="0" w:line="240" w:lineRule="auto"/>
      </w:pPr>
      <w:r>
        <w:continuationSeparator/>
      </w:r>
    </w:p>
  </w:footnote>
  <w:footnote w:id="1">
    <w:p w14:paraId="33487763" w14:textId="77777777" w:rsidR="00886551" w:rsidRPr="00B17613" w:rsidRDefault="00886551" w:rsidP="00D0734F">
      <w:pPr>
        <w:pStyle w:val="FootnoteText"/>
        <w:rPr>
          <w:rFonts w:ascii="Arial" w:hAnsi="Arial" w:cs="Arial"/>
          <w:sz w:val="18"/>
        </w:rPr>
      </w:pPr>
      <w:r w:rsidRPr="00B17613">
        <w:rPr>
          <w:rStyle w:val="FootnoteReference"/>
          <w:rFonts w:ascii="Arial" w:hAnsi="Arial" w:cs="Arial"/>
          <w:sz w:val="18"/>
        </w:rPr>
        <w:footnoteRef/>
      </w:r>
      <w:r w:rsidRPr="00B17613">
        <w:rPr>
          <w:rFonts w:ascii="Arial" w:hAnsi="Arial" w:cs="Arial"/>
          <w:sz w:val="18"/>
        </w:rPr>
        <w:t xml:space="preserve"> En proyectos de infraestructura (transporte y energía), es común que se utilice una tasa de 10%. Sin embargo, existe amplia literatura teórica y empírica que justifica utilizar valores distintos para el análisis de proyectos sociales, en que los beneficios tienen importantes externalidades, se realizan en el mediano y largo plazo, y donde la monetización de los beneficios no es tan directa. Como muestra el trabajo de </w:t>
      </w:r>
      <w:proofErr w:type="spellStart"/>
      <w:r w:rsidRPr="00B17613">
        <w:rPr>
          <w:rFonts w:ascii="Arial" w:hAnsi="Arial" w:cs="Arial"/>
          <w:sz w:val="18"/>
        </w:rPr>
        <w:t>Zhuang</w:t>
      </w:r>
      <w:proofErr w:type="spellEnd"/>
      <w:r w:rsidRPr="00B17613">
        <w:rPr>
          <w:rFonts w:ascii="Arial" w:hAnsi="Arial" w:cs="Arial"/>
          <w:sz w:val="18"/>
        </w:rPr>
        <w:t xml:space="preserve"> et al. (2007), la elección de una tasa de descuento apropiada para el análisis de costo-beneficio de distintos proyectos es un tema extremadamente debatido entre los economistas y concluyen que no hay una respuesta correcta para dicha elección. En este trabajo se acumulan distintos resultados para encontrar una tasa de descuento óptima para proyectos sociales, que luego será importante a la hora de hacer un análisis de costo beneficio. Encuentran que existe una diferencia entre los distintos países con respecto a las tasas de descuento elegidas. Los países desarrollados (como por ejemplo Francia, Alemania, Italia y España) eligen tasas de descuento de entre 3 y 7% y los países en desarrollo eligen tasas de entre 8 y 15%. Existe un trabajo del Banco Mundial (López, 2008) en el que estiman las tasas de descuento para nueve países latinoamericanos. Dependiendo de las expectativas de crecimiento del planificador social estas tasas de descuento varían enormemente, desde un 3 o 4% si se espera un bajo crecimiento a un 5 a 7% en un escenario de alto crecimiento futuro. </w:t>
      </w:r>
    </w:p>
    <w:p w14:paraId="33487764" w14:textId="77777777" w:rsidR="00886551" w:rsidRPr="00B17613" w:rsidRDefault="00886551" w:rsidP="00487AC7">
      <w:pPr>
        <w:pStyle w:val="FootnoteText"/>
        <w:keepLines w:val="0"/>
        <w:rPr>
          <w:rFonts w:ascii="Arial" w:hAnsi="Arial" w:cs="Arial"/>
          <w:sz w:val="18"/>
        </w:rPr>
      </w:pPr>
      <w:r w:rsidRPr="00B17613">
        <w:rPr>
          <w:rFonts w:ascii="Arial" w:hAnsi="Arial" w:cs="Arial"/>
          <w:sz w:val="18"/>
        </w:rPr>
        <w:t>En un documento sobre Costo-Efectividad de J-</w:t>
      </w:r>
      <w:proofErr w:type="gramStart"/>
      <w:r w:rsidRPr="00B17613">
        <w:rPr>
          <w:rFonts w:ascii="Arial" w:hAnsi="Arial" w:cs="Arial"/>
          <w:sz w:val="18"/>
        </w:rPr>
        <w:t xml:space="preserve">Pal,  </w:t>
      </w:r>
      <w:proofErr w:type="spellStart"/>
      <w:r w:rsidRPr="00B17613">
        <w:rPr>
          <w:rFonts w:ascii="Arial" w:hAnsi="Arial" w:cs="Arial"/>
          <w:sz w:val="18"/>
        </w:rPr>
        <w:t>Dhaliwal</w:t>
      </w:r>
      <w:proofErr w:type="spellEnd"/>
      <w:proofErr w:type="gramEnd"/>
      <w:r w:rsidRPr="00B17613">
        <w:rPr>
          <w:rFonts w:ascii="Arial" w:hAnsi="Arial" w:cs="Arial"/>
          <w:sz w:val="18"/>
        </w:rPr>
        <w:t xml:space="preserve"> et al. (2011) discuten que no existe una tasa de descuento única y  la correcta tasa de descuento va a depender de quién esté realizando la inversión. Toman sus resultados del primer trabajo citado, y proponen usar un rango entre 5% y 15%. Asimismo, en el estudio de </w:t>
      </w:r>
      <w:proofErr w:type="spellStart"/>
      <w:r w:rsidRPr="00B17613">
        <w:rPr>
          <w:rFonts w:ascii="Arial" w:hAnsi="Arial" w:cs="Arial"/>
          <w:sz w:val="18"/>
        </w:rPr>
        <w:t>De</w:t>
      </w:r>
      <w:proofErr w:type="spellEnd"/>
      <w:r w:rsidRPr="00B17613">
        <w:rPr>
          <w:rFonts w:ascii="Arial" w:hAnsi="Arial" w:cs="Arial"/>
          <w:sz w:val="18"/>
        </w:rPr>
        <w:t xml:space="preserve"> Castillo y Lema (1998) se usa una tasa de descuento del 8% para analizar económicamente unos fondos sociales de inversión en Bolivia. También, un panel de expertos recomienda el empleo de una tasa de descuento del 3% para realizar un análisis de costo beneficio de un proyecto de salud en Estados Unidos (Weinstein et al</w:t>
      </w:r>
      <w:r w:rsidR="00040A52" w:rsidRPr="00B17613">
        <w:rPr>
          <w:rFonts w:ascii="Arial" w:hAnsi="Arial" w:cs="Arial"/>
          <w:sz w:val="18"/>
        </w:rPr>
        <w:t>.</w:t>
      </w:r>
      <w:r w:rsidRPr="00B17613">
        <w:rPr>
          <w:rFonts w:ascii="Arial" w:hAnsi="Arial" w:cs="Arial"/>
          <w:sz w:val="18"/>
        </w:rPr>
        <w:t xml:space="preserve">, 1996). Para proyectos de Salud, la WHO (2003) recomienda usar 3% como tasa de descuento y sugieren que para los análisis de sensibilidad se descuenten los efectos de salud con una tasa del 0% y los costos con una del 6%. Otras evaluaciones económicas del impacto de proyectos de nutrición en salud y educación usan tasas de 8% (Martínez et al., 2008). Para proyectos de educación, por ejemplo, </w:t>
      </w:r>
      <w:proofErr w:type="spellStart"/>
      <w:r w:rsidRPr="00B17613">
        <w:rPr>
          <w:rFonts w:ascii="Arial" w:hAnsi="Arial" w:cs="Arial"/>
          <w:sz w:val="18"/>
        </w:rPr>
        <w:t>Heckman</w:t>
      </w:r>
      <w:proofErr w:type="spellEnd"/>
      <w:r w:rsidRPr="00B17613">
        <w:rPr>
          <w:rFonts w:ascii="Arial" w:hAnsi="Arial" w:cs="Arial"/>
          <w:sz w:val="18"/>
        </w:rPr>
        <w:t xml:space="preserve"> et al. (2010) utiliza una tasa de descuento de entre 3 y 5%. Además, </w:t>
      </w:r>
      <w:proofErr w:type="spellStart"/>
      <w:r w:rsidRPr="00B17613">
        <w:rPr>
          <w:rFonts w:ascii="Arial" w:hAnsi="Arial" w:cs="Arial"/>
          <w:sz w:val="18"/>
        </w:rPr>
        <w:t>Lomborg</w:t>
      </w:r>
      <w:proofErr w:type="spellEnd"/>
      <w:r w:rsidRPr="00B17613">
        <w:rPr>
          <w:rFonts w:ascii="Arial" w:hAnsi="Arial" w:cs="Arial"/>
          <w:sz w:val="18"/>
        </w:rPr>
        <w:t xml:space="preserve"> (2010) usa una tasa de descuento del 3 y del 6% para analizar el costo beneficio en términos de educación de una CCT para el caso de tres países latinoamericanos. Finalmente, el trabajo de Evans (2008) discute sobre la elección de una tasa de descuento apropiada en el caso de proyectos sociales de largo plazo. Concluye que en muchos proyectos los beneficios netos más importantes se relacionan con impactos ambientales y de seguridad social que deben ser descontados a una tasa baja de entre 0 y 2%. Para descontar la utilidad, de nuevo sugiere el empleo de las mismas tasas. De hecho, varios países desarrollados usan tasa de 0% para descontar beneficios intergeneracionales.</w:t>
      </w:r>
    </w:p>
  </w:footnote>
  <w:footnote w:id="2">
    <w:p w14:paraId="33487765" w14:textId="77777777" w:rsidR="00886551" w:rsidRPr="00B17613" w:rsidRDefault="00886551" w:rsidP="00D0734F">
      <w:pPr>
        <w:pStyle w:val="FootnoteText"/>
        <w:rPr>
          <w:rFonts w:ascii="Arial" w:hAnsi="Arial" w:cs="Arial"/>
          <w:sz w:val="18"/>
        </w:rPr>
      </w:pPr>
      <w:r w:rsidRPr="00B17613">
        <w:rPr>
          <w:rStyle w:val="FootnoteReference"/>
          <w:rFonts w:ascii="Arial" w:hAnsi="Arial" w:cs="Arial"/>
          <w:sz w:val="18"/>
        </w:rPr>
        <w:footnoteRef/>
      </w:r>
      <w:r w:rsidRPr="00B17613">
        <w:rPr>
          <w:rFonts w:ascii="Arial" w:hAnsi="Arial" w:cs="Arial"/>
          <w:sz w:val="18"/>
        </w:rPr>
        <w:t xml:space="preserve"> Banco Interamericano de Desarrollo (2014)</w:t>
      </w:r>
      <w:r w:rsidR="001615CE" w:rsidRPr="00B17613">
        <w:rPr>
          <w:rFonts w:ascii="Arial" w:hAnsi="Arial" w:cs="Arial"/>
          <w:sz w:val="18"/>
        </w:rPr>
        <w:t xml:space="preserve">, </w:t>
      </w:r>
      <w:r w:rsidRPr="00B17613">
        <w:rPr>
          <w:rFonts w:ascii="Arial" w:hAnsi="Arial" w:cs="Arial"/>
          <w:sz w:val="18"/>
        </w:rPr>
        <w:t>p. 13.</w:t>
      </w:r>
    </w:p>
  </w:footnote>
  <w:footnote w:id="3">
    <w:p w14:paraId="33487766" w14:textId="77777777" w:rsidR="00886551" w:rsidRPr="00B17613" w:rsidRDefault="00886551" w:rsidP="00D0734F">
      <w:pPr>
        <w:pStyle w:val="FootnoteText"/>
        <w:rPr>
          <w:rFonts w:ascii="Arial" w:hAnsi="Arial" w:cs="Arial"/>
          <w:sz w:val="18"/>
        </w:rPr>
      </w:pPr>
      <w:r w:rsidRPr="00B17613">
        <w:rPr>
          <w:rStyle w:val="FootnoteReference"/>
          <w:rFonts w:ascii="Arial" w:hAnsi="Arial" w:cs="Arial"/>
          <w:sz w:val="18"/>
        </w:rPr>
        <w:footnoteRef/>
      </w:r>
      <w:r w:rsidRPr="00B17613">
        <w:rPr>
          <w:rFonts w:ascii="Arial" w:hAnsi="Arial" w:cs="Arial"/>
          <w:sz w:val="18"/>
        </w:rPr>
        <w:t xml:space="preserve"> Banco Interamericano de Desarrollo (2014)</w:t>
      </w:r>
      <w:r w:rsidR="001615CE" w:rsidRPr="00B17613">
        <w:rPr>
          <w:rFonts w:ascii="Arial" w:hAnsi="Arial" w:cs="Arial"/>
          <w:sz w:val="18"/>
        </w:rPr>
        <w:t>, p</w:t>
      </w:r>
      <w:r w:rsidRPr="00B17613">
        <w:rPr>
          <w:rFonts w:ascii="Arial" w:hAnsi="Arial" w:cs="Arial"/>
          <w:sz w:val="18"/>
        </w:rPr>
        <w:t>. 1.</w:t>
      </w:r>
      <w:r w:rsidR="00F12F92">
        <w:rPr>
          <w:rFonts w:ascii="Arial" w:hAnsi="Arial" w:cs="Arial"/>
          <w:sz w:val="18"/>
        </w:rPr>
        <w:t xml:space="preserve"> Para una presentación exhaustiva de los beneficios de la atención integral a la primera infancia, ver también Araujo et al. (2015).</w:t>
      </w:r>
    </w:p>
  </w:footnote>
  <w:footnote w:id="4">
    <w:p w14:paraId="33487767" w14:textId="77777777" w:rsidR="00886551" w:rsidRPr="00B94C13" w:rsidRDefault="00886551" w:rsidP="00D0734F">
      <w:pPr>
        <w:pStyle w:val="FootnoteText"/>
        <w:rPr>
          <w:rFonts w:ascii="Arial" w:hAnsi="Arial" w:cs="Arial"/>
          <w:sz w:val="18"/>
          <w:lang w:val="es-ES_tradnl"/>
        </w:rPr>
      </w:pPr>
      <w:r w:rsidRPr="00B17613">
        <w:rPr>
          <w:rStyle w:val="FootnoteReference"/>
          <w:rFonts w:ascii="Arial" w:hAnsi="Arial" w:cs="Arial"/>
          <w:sz w:val="18"/>
        </w:rPr>
        <w:footnoteRef/>
      </w:r>
      <w:r w:rsidRPr="00B17613">
        <w:rPr>
          <w:rFonts w:ascii="Arial" w:hAnsi="Arial" w:cs="Arial"/>
          <w:sz w:val="18"/>
        </w:rPr>
        <w:t xml:space="preserve"> </w:t>
      </w:r>
      <w:proofErr w:type="spellStart"/>
      <w:r w:rsidR="001562CE" w:rsidRPr="00B17613">
        <w:rPr>
          <w:rFonts w:ascii="Arial" w:hAnsi="Arial" w:cs="Arial"/>
          <w:sz w:val="18"/>
        </w:rPr>
        <w:t>Behrman</w:t>
      </w:r>
      <w:proofErr w:type="spellEnd"/>
      <w:r w:rsidR="001562CE" w:rsidRPr="00B17613">
        <w:rPr>
          <w:rFonts w:ascii="Arial" w:hAnsi="Arial" w:cs="Arial"/>
          <w:sz w:val="18"/>
        </w:rPr>
        <w:t xml:space="preserve">, </w:t>
      </w:r>
      <w:proofErr w:type="spellStart"/>
      <w:r w:rsidR="001562CE" w:rsidRPr="00B17613">
        <w:rPr>
          <w:rFonts w:ascii="Arial" w:hAnsi="Arial" w:cs="Arial"/>
          <w:sz w:val="18"/>
        </w:rPr>
        <w:t>Cristia</w:t>
      </w:r>
      <w:proofErr w:type="spellEnd"/>
      <w:r w:rsidR="001562CE" w:rsidRPr="00B17613">
        <w:rPr>
          <w:rFonts w:ascii="Arial" w:hAnsi="Arial" w:cs="Arial"/>
          <w:sz w:val="18"/>
        </w:rPr>
        <w:t xml:space="preserve">, y </w:t>
      </w:r>
      <w:proofErr w:type="spellStart"/>
      <w:r w:rsidR="001562CE" w:rsidRPr="00B17613">
        <w:rPr>
          <w:rFonts w:ascii="Arial" w:hAnsi="Arial" w:cs="Arial"/>
          <w:sz w:val="18"/>
        </w:rPr>
        <w:t>Hincapie</w:t>
      </w:r>
      <w:proofErr w:type="spellEnd"/>
      <w:r w:rsidR="001562CE" w:rsidRPr="00B17613">
        <w:rPr>
          <w:rFonts w:ascii="Arial" w:hAnsi="Arial" w:cs="Arial"/>
          <w:sz w:val="18"/>
        </w:rPr>
        <w:t xml:space="preserve"> (2015).</w:t>
      </w:r>
    </w:p>
  </w:footnote>
  <w:footnote w:id="5">
    <w:p w14:paraId="33487768" w14:textId="77777777" w:rsidR="00886551" w:rsidRPr="00B17613" w:rsidRDefault="00886551" w:rsidP="00D0734F">
      <w:pPr>
        <w:pStyle w:val="FootnoteText"/>
        <w:rPr>
          <w:rFonts w:ascii="Arial" w:hAnsi="Arial" w:cs="Arial"/>
          <w:sz w:val="18"/>
        </w:rPr>
      </w:pPr>
      <w:r w:rsidRPr="00B17613">
        <w:rPr>
          <w:rStyle w:val="FootnoteReference"/>
          <w:rFonts w:ascii="Arial" w:hAnsi="Arial" w:cs="Arial"/>
          <w:sz w:val="18"/>
        </w:rPr>
        <w:footnoteRef/>
      </w:r>
      <w:r w:rsidRPr="00B17613">
        <w:rPr>
          <w:rFonts w:ascii="Arial" w:hAnsi="Arial" w:cs="Arial"/>
          <w:sz w:val="18"/>
        </w:rPr>
        <w:t xml:space="preserve"> Esto es el rendimiento de participar en un centro de buena calidad, relativamente a un contrafactual de no participar en ningún centro. Sin embargo, la literatura sugiere que servicios de cuidado de baja calidad pueden tener impactos negativos en algunas dimensiones del desarrollo, en particular en los niños menores de dos </w:t>
      </w:r>
      <w:proofErr w:type="gramStart"/>
      <w:r w:rsidRPr="00B17613">
        <w:rPr>
          <w:rFonts w:ascii="Arial" w:hAnsi="Arial" w:cs="Arial"/>
          <w:sz w:val="18"/>
        </w:rPr>
        <w:t>años de edad</w:t>
      </w:r>
      <w:proofErr w:type="gramEnd"/>
      <w:r w:rsidRPr="00B17613">
        <w:rPr>
          <w:rFonts w:ascii="Arial" w:hAnsi="Arial" w:cs="Arial"/>
          <w:sz w:val="18"/>
        </w:rPr>
        <w:t xml:space="preserve"> (Baker et al., 2005; </w:t>
      </w:r>
      <w:proofErr w:type="spellStart"/>
      <w:r w:rsidRPr="00B17613">
        <w:rPr>
          <w:rFonts w:ascii="Arial" w:hAnsi="Arial" w:cs="Arial"/>
          <w:sz w:val="18"/>
        </w:rPr>
        <w:t>Belsky</w:t>
      </w:r>
      <w:proofErr w:type="spellEnd"/>
      <w:r w:rsidRPr="00B17613">
        <w:rPr>
          <w:rFonts w:ascii="Arial" w:hAnsi="Arial" w:cs="Arial"/>
          <w:sz w:val="18"/>
        </w:rPr>
        <w:t xml:space="preserve">, 1988; Bernal y </w:t>
      </w:r>
      <w:proofErr w:type="spellStart"/>
      <w:r w:rsidRPr="00B17613">
        <w:rPr>
          <w:rFonts w:ascii="Arial" w:hAnsi="Arial" w:cs="Arial"/>
          <w:sz w:val="18"/>
        </w:rPr>
        <w:t>Keane</w:t>
      </w:r>
      <w:proofErr w:type="spellEnd"/>
      <w:r w:rsidRPr="00B17613">
        <w:rPr>
          <w:rFonts w:ascii="Arial" w:hAnsi="Arial" w:cs="Arial"/>
          <w:sz w:val="18"/>
        </w:rPr>
        <w:t xml:space="preserve">, 2010; </w:t>
      </w:r>
      <w:proofErr w:type="spellStart"/>
      <w:r w:rsidRPr="00B17613">
        <w:rPr>
          <w:rFonts w:ascii="Arial" w:hAnsi="Arial" w:cs="Arial"/>
          <w:sz w:val="18"/>
        </w:rPr>
        <w:t>Howes</w:t>
      </w:r>
      <w:proofErr w:type="spellEnd"/>
      <w:r w:rsidRPr="00B17613">
        <w:rPr>
          <w:rFonts w:ascii="Arial" w:hAnsi="Arial" w:cs="Arial"/>
          <w:sz w:val="18"/>
        </w:rPr>
        <w:t xml:space="preserve"> et al., 1992; Loeb et al., 2005; Love et al., 2003; Yamauchi y Leigh, 2011). Por esta razón, asumimos que </w:t>
      </w:r>
      <w:proofErr w:type="gramStart"/>
      <w:r w:rsidRPr="00B17613">
        <w:rPr>
          <w:rFonts w:ascii="Arial" w:hAnsi="Arial" w:cs="Arial"/>
          <w:sz w:val="18"/>
        </w:rPr>
        <w:t>los impactos de los servicios brindados actualmente por los COIF sea</w:t>
      </w:r>
      <w:proofErr w:type="gramEnd"/>
      <w:r w:rsidRPr="00B17613">
        <w:rPr>
          <w:rFonts w:ascii="Arial" w:hAnsi="Arial" w:cs="Arial"/>
          <w:sz w:val="18"/>
        </w:rPr>
        <w:t xml:space="preserve"> nulo y que 28% represente el rendimiento incremental.</w:t>
      </w:r>
    </w:p>
  </w:footnote>
  <w:footnote w:id="6">
    <w:p w14:paraId="33487769" w14:textId="77777777" w:rsidR="00886551" w:rsidRPr="00DC2275" w:rsidRDefault="00886551" w:rsidP="00D0734F">
      <w:pPr>
        <w:pStyle w:val="FootnoteText"/>
        <w:rPr>
          <w:rFonts w:ascii="Arial" w:hAnsi="Arial" w:cs="Arial"/>
          <w:sz w:val="18"/>
          <w:szCs w:val="18"/>
          <w:lang w:val="es-ES_tradnl"/>
        </w:rPr>
      </w:pPr>
      <w:r w:rsidRPr="00DC2275">
        <w:rPr>
          <w:rStyle w:val="FootnoteReference"/>
          <w:rFonts w:ascii="Arial" w:hAnsi="Arial" w:cs="Arial"/>
          <w:sz w:val="18"/>
          <w:szCs w:val="18"/>
        </w:rPr>
        <w:footnoteRef/>
      </w:r>
      <w:r w:rsidRPr="00DC2275">
        <w:rPr>
          <w:rFonts w:ascii="Arial" w:hAnsi="Arial" w:cs="Arial"/>
          <w:sz w:val="18"/>
          <w:szCs w:val="18"/>
        </w:rPr>
        <w:t xml:space="preserve"> Banco Interamericano de Desarrollo (2014)</w:t>
      </w:r>
      <w:r w:rsidR="001615CE" w:rsidRPr="00DC2275">
        <w:rPr>
          <w:rFonts w:ascii="Arial" w:hAnsi="Arial" w:cs="Arial"/>
          <w:sz w:val="18"/>
          <w:szCs w:val="18"/>
        </w:rPr>
        <w:t xml:space="preserve">, </w:t>
      </w:r>
      <w:r w:rsidRPr="00DC2275">
        <w:rPr>
          <w:rFonts w:ascii="Arial" w:hAnsi="Arial" w:cs="Arial"/>
          <w:sz w:val="18"/>
          <w:szCs w:val="18"/>
        </w:rPr>
        <w:t>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7758" w14:textId="77777777" w:rsidR="00B94C13" w:rsidRPr="00B17613" w:rsidRDefault="00B94C13" w:rsidP="00103252">
    <w:pPr>
      <w:pStyle w:val="Header"/>
      <w:jc w:val="right"/>
      <w:rPr>
        <w:rFonts w:ascii="Arial" w:hAnsi="Arial" w:cs="Arial"/>
        <w:sz w:val="18"/>
        <w:szCs w:val="20"/>
      </w:rPr>
    </w:pPr>
    <w:r>
      <w:rPr>
        <w:rFonts w:ascii="Arial" w:hAnsi="Arial" w:cs="Arial"/>
        <w:sz w:val="18"/>
        <w:szCs w:val="20"/>
      </w:rPr>
      <w:t>EEO #1-</w:t>
    </w:r>
    <w:r w:rsidRPr="00B17613">
      <w:rPr>
        <w:rFonts w:ascii="Arial" w:hAnsi="Arial" w:cs="Arial"/>
        <w:sz w:val="18"/>
        <w:szCs w:val="20"/>
      </w:rPr>
      <w:t>PN-L1118</w:t>
    </w:r>
  </w:p>
  <w:p w14:paraId="33487759" w14:textId="77777777" w:rsidR="00B94C13" w:rsidRPr="00B17613" w:rsidRDefault="00D276A1" w:rsidP="00103252">
    <w:pPr>
      <w:pStyle w:val="Header"/>
      <w:jc w:val="right"/>
      <w:rPr>
        <w:rFonts w:ascii="Arial" w:hAnsi="Arial" w:cs="Arial"/>
        <w:sz w:val="18"/>
        <w:szCs w:val="20"/>
      </w:rPr>
    </w:pPr>
    <w:sdt>
      <w:sdtPr>
        <w:rPr>
          <w:rFonts w:ascii="Arial" w:hAnsi="Arial" w:cs="Arial"/>
          <w:sz w:val="18"/>
          <w:szCs w:val="20"/>
        </w:rPr>
        <w:id w:val="-691451186"/>
        <w:docPartObj>
          <w:docPartGallery w:val="Page Numbers (Top of Page)"/>
          <w:docPartUnique/>
        </w:docPartObj>
      </w:sdtPr>
      <w:sdtEndPr/>
      <w:sdtContent>
        <w:r w:rsidR="00B94C13" w:rsidRPr="00B17613">
          <w:rPr>
            <w:rFonts w:ascii="Arial" w:hAnsi="Arial" w:cs="Arial"/>
            <w:sz w:val="18"/>
            <w:szCs w:val="20"/>
          </w:rPr>
          <w:t xml:space="preserve">Página </w:t>
        </w:r>
        <w:r w:rsidR="00B94C13" w:rsidRPr="00B17613">
          <w:rPr>
            <w:rFonts w:ascii="Arial" w:hAnsi="Arial" w:cs="Arial"/>
            <w:bCs/>
            <w:sz w:val="18"/>
            <w:szCs w:val="20"/>
          </w:rPr>
          <w:fldChar w:fldCharType="begin"/>
        </w:r>
        <w:r w:rsidR="00B94C13" w:rsidRPr="00B17613">
          <w:rPr>
            <w:rFonts w:ascii="Arial" w:hAnsi="Arial" w:cs="Arial"/>
            <w:bCs/>
            <w:sz w:val="18"/>
            <w:szCs w:val="20"/>
          </w:rPr>
          <w:instrText xml:space="preserve"> PAGE </w:instrText>
        </w:r>
        <w:r w:rsidR="00B94C13" w:rsidRPr="00B17613">
          <w:rPr>
            <w:rFonts w:ascii="Arial" w:hAnsi="Arial" w:cs="Arial"/>
            <w:bCs/>
            <w:sz w:val="18"/>
            <w:szCs w:val="20"/>
          </w:rPr>
          <w:fldChar w:fldCharType="separate"/>
        </w:r>
        <w:r w:rsidR="00764573">
          <w:rPr>
            <w:rFonts w:ascii="Arial" w:hAnsi="Arial" w:cs="Arial"/>
            <w:bCs/>
            <w:noProof/>
            <w:sz w:val="18"/>
            <w:szCs w:val="20"/>
          </w:rPr>
          <w:t>8</w:t>
        </w:r>
        <w:r w:rsidR="00B94C13" w:rsidRPr="00B17613">
          <w:rPr>
            <w:rFonts w:ascii="Arial" w:hAnsi="Arial" w:cs="Arial"/>
            <w:bCs/>
            <w:sz w:val="18"/>
            <w:szCs w:val="20"/>
          </w:rPr>
          <w:fldChar w:fldCharType="end"/>
        </w:r>
        <w:r w:rsidR="00B94C13" w:rsidRPr="00B17613">
          <w:rPr>
            <w:rFonts w:ascii="Arial" w:hAnsi="Arial" w:cs="Arial"/>
            <w:sz w:val="18"/>
            <w:szCs w:val="20"/>
          </w:rPr>
          <w:t xml:space="preserve"> de </w:t>
        </w:r>
        <w:r w:rsidR="00B94C13" w:rsidRPr="00B17613">
          <w:rPr>
            <w:rFonts w:ascii="Arial" w:hAnsi="Arial" w:cs="Arial"/>
            <w:bCs/>
            <w:sz w:val="18"/>
            <w:szCs w:val="20"/>
          </w:rPr>
          <w:fldChar w:fldCharType="begin"/>
        </w:r>
        <w:r w:rsidR="00B94C13" w:rsidRPr="00B17613">
          <w:rPr>
            <w:rFonts w:ascii="Arial" w:hAnsi="Arial" w:cs="Arial"/>
            <w:bCs/>
            <w:sz w:val="18"/>
            <w:szCs w:val="20"/>
          </w:rPr>
          <w:instrText xml:space="preserve"> NUMPAGES  </w:instrText>
        </w:r>
        <w:r w:rsidR="00B94C13" w:rsidRPr="00B17613">
          <w:rPr>
            <w:rFonts w:ascii="Arial" w:hAnsi="Arial" w:cs="Arial"/>
            <w:bCs/>
            <w:sz w:val="18"/>
            <w:szCs w:val="20"/>
          </w:rPr>
          <w:fldChar w:fldCharType="separate"/>
        </w:r>
        <w:r w:rsidR="00764573">
          <w:rPr>
            <w:rFonts w:ascii="Arial" w:hAnsi="Arial" w:cs="Arial"/>
            <w:bCs/>
            <w:noProof/>
            <w:sz w:val="18"/>
            <w:szCs w:val="20"/>
          </w:rPr>
          <w:t>10</w:t>
        </w:r>
        <w:r w:rsidR="00B94C13" w:rsidRPr="00B17613">
          <w:rPr>
            <w:rFonts w:ascii="Arial" w:hAnsi="Arial" w:cs="Arial"/>
            <w:bCs/>
            <w:sz w:val="18"/>
            <w:szCs w:val="20"/>
          </w:rPr>
          <w:fldChar w:fldCharType="end"/>
        </w:r>
      </w:sdtContent>
    </w:sdt>
  </w:p>
  <w:p w14:paraId="3348775A" w14:textId="77777777" w:rsidR="00B94C13" w:rsidRDefault="00B94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775B" w14:textId="77777777" w:rsidR="00545471" w:rsidRPr="00B17613" w:rsidRDefault="00B94C13" w:rsidP="00103252">
    <w:pPr>
      <w:pStyle w:val="Header"/>
      <w:rPr>
        <w:rFonts w:ascii="Arial" w:hAnsi="Arial" w:cs="Arial"/>
        <w:sz w:val="18"/>
        <w:szCs w:val="20"/>
      </w:rPr>
    </w:pPr>
    <w:r>
      <w:rPr>
        <w:rFonts w:ascii="Arial" w:hAnsi="Arial" w:cs="Arial"/>
        <w:sz w:val="18"/>
        <w:szCs w:val="20"/>
      </w:rPr>
      <w:t>EEO #1-</w:t>
    </w:r>
    <w:r w:rsidR="00545471" w:rsidRPr="00B17613">
      <w:rPr>
        <w:rFonts w:ascii="Arial" w:hAnsi="Arial" w:cs="Arial"/>
        <w:sz w:val="18"/>
        <w:szCs w:val="20"/>
      </w:rPr>
      <w:t>PN-L11</w:t>
    </w:r>
    <w:r w:rsidR="00B17613" w:rsidRPr="00B17613">
      <w:rPr>
        <w:rFonts w:ascii="Arial" w:hAnsi="Arial" w:cs="Arial"/>
        <w:sz w:val="18"/>
        <w:szCs w:val="20"/>
      </w:rPr>
      <w:t>18</w:t>
    </w:r>
  </w:p>
  <w:p w14:paraId="3348775C" w14:textId="77777777" w:rsidR="00545471" w:rsidRPr="00B17613" w:rsidRDefault="00D276A1" w:rsidP="00103252">
    <w:pPr>
      <w:pStyle w:val="Header"/>
      <w:rPr>
        <w:rFonts w:ascii="Arial" w:hAnsi="Arial" w:cs="Arial"/>
        <w:sz w:val="18"/>
        <w:szCs w:val="20"/>
      </w:rPr>
    </w:pPr>
    <w:sdt>
      <w:sdtPr>
        <w:rPr>
          <w:rFonts w:ascii="Arial" w:hAnsi="Arial" w:cs="Arial"/>
          <w:sz w:val="18"/>
          <w:szCs w:val="20"/>
        </w:rPr>
        <w:id w:val="1477648756"/>
        <w:docPartObj>
          <w:docPartGallery w:val="Page Numbers (Top of Page)"/>
          <w:docPartUnique/>
        </w:docPartObj>
      </w:sdtPr>
      <w:sdtEndPr/>
      <w:sdtContent>
        <w:r w:rsidR="00545471" w:rsidRPr="00B17613">
          <w:rPr>
            <w:rFonts w:ascii="Arial" w:hAnsi="Arial" w:cs="Arial"/>
            <w:sz w:val="18"/>
            <w:szCs w:val="20"/>
          </w:rPr>
          <w:t xml:space="preserve">Página </w:t>
        </w:r>
        <w:r w:rsidR="00545471" w:rsidRPr="00B17613">
          <w:rPr>
            <w:rFonts w:ascii="Arial" w:hAnsi="Arial" w:cs="Arial"/>
            <w:bCs/>
            <w:sz w:val="18"/>
            <w:szCs w:val="20"/>
          </w:rPr>
          <w:fldChar w:fldCharType="begin"/>
        </w:r>
        <w:r w:rsidR="00545471" w:rsidRPr="00B17613">
          <w:rPr>
            <w:rFonts w:ascii="Arial" w:hAnsi="Arial" w:cs="Arial"/>
            <w:bCs/>
            <w:sz w:val="18"/>
            <w:szCs w:val="20"/>
          </w:rPr>
          <w:instrText xml:space="preserve"> PAGE </w:instrText>
        </w:r>
        <w:r w:rsidR="00545471" w:rsidRPr="00B17613">
          <w:rPr>
            <w:rFonts w:ascii="Arial" w:hAnsi="Arial" w:cs="Arial"/>
            <w:bCs/>
            <w:sz w:val="18"/>
            <w:szCs w:val="20"/>
          </w:rPr>
          <w:fldChar w:fldCharType="separate"/>
        </w:r>
        <w:r w:rsidR="00764573">
          <w:rPr>
            <w:rFonts w:ascii="Arial" w:hAnsi="Arial" w:cs="Arial"/>
            <w:bCs/>
            <w:noProof/>
            <w:sz w:val="18"/>
            <w:szCs w:val="20"/>
          </w:rPr>
          <w:t>9</w:t>
        </w:r>
        <w:r w:rsidR="00545471" w:rsidRPr="00B17613">
          <w:rPr>
            <w:rFonts w:ascii="Arial" w:hAnsi="Arial" w:cs="Arial"/>
            <w:bCs/>
            <w:sz w:val="18"/>
            <w:szCs w:val="20"/>
          </w:rPr>
          <w:fldChar w:fldCharType="end"/>
        </w:r>
        <w:r w:rsidR="00545471" w:rsidRPr="00B17613">
          <w:rPr>
            <w:rFonts w:ascii="Arial" w:hAnsi="Arial" w:cs="Arial"/>
            <w:sz w:val="18"/>
            <w:szCs w:val="20"/>
          </w:rPr>
          <w:t xml:space="preserve"> de </w:t>
        </w:r>
        <w:r w:rsidR="00545471" w:rsidRPr="00B17613">
          <w:rPr>
            <w:rFonts w:ascii="Arial" w:hAnsi="Arial" w:cs="Arial"/>
            <w:bCs/>
            <w:sz w:val="18"/>
            <w:szCs w:val="20"/>
          </w:rPr>
          <w:fldChar w:fldCharType="begin"/>
        </w:r>
        <w:r w:rsidR="00545471" w:rsidRPr="00B17613">
          <w:rPr>
            <w:rFonts w:ascii="Arial" w:hAnsi="Arial" w:cs="Arial"/>
            <w:bCs/>
            <w:sz w:val="18"/>
            <w:szCs w:val="20"/>
          </w:rPr>
          <w:instrText xml:space="preserve"> NUMPAGES  </w:instrText>
        </w:r>
        <w:r w:rsidR="00545471" w:rsidRPr="00B17613">
          <w:rPr>
            <w:rFonts w:ascii="Arial" w:hAnsi="Arial" w:cs="Arial"/>
            <w:bCs/>
            <w:sz w:val="18"/>
            <w:szCs w:val="20"/>
          </w:rPr>
          <w:fldChar w:fldCharType="separate"/>
        </w:r>
        <w:r w:rsidR="00764573">
          <w:rPr>
            <w:rFonts w:ascii="Arial" w:hAnsi="Arial" w:cs="Arial"/>
            <w:bCs/>
            <w:noProof/>
            <w:sz w:val="18"/>
            <w:szCs w:val="20"/>
          </w:rPr>
          <w:t>10</w:t>
        </w:r>
        <w:r w:rsidR="00545471" w:rsidRPr="00B17613">
          <w:rPr>
            <w:rFonts w:ascii="Arial" w:hAnsi="Arial" w:cs="Arial"/>
            <w:bCs/>
            <w:sz w:val="18"/>
            <w:szCs w:val="20"/>
          </w:rPr>
          <w:fldChar w:fldCharType="end"/>
        </w:r>
      </w:sdtContent>
    </w:sdt>
  </w:p>
  <w:p w14:paraId="3348775D" w14:textId="77777777" w:rsidR="00886551" w:rsidRDefault="00886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7761" w14:textId="77777777" w:rsidR="00103252" w:rsidRDefault="0010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434"/>
    <w:multiLevelType w:val="hybridMultilevel"/>
    <w:tmpl w:val="EC80B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7396E"/>
    <w:multiLevelType w:val="hybridMultilevel"/>
    <w:tmpl w:val="06DA1F54"/>
    <w:lvl w:ilvl="0" w:tplc="0409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DAB7FC9"/>
    <w:multiLevelType w:val="multilevel"/>
    <w:tmpl w:val="E1B2F9AA"/>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3" w15:restartNumberingAfterBreak="0">
    <w:nsid w:val="0E1A3279"/>
    <w:multiLevelType w:val="hybridMultilevel"/>
    <w:tmpl w:val="6FD6C13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0EF4545F"/>
    <w:multiLevelType w:val="hybridMultilevel"/>
    <w:tmpl w:val="FECA4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63324"/>
    <w:multiLevelType w:val="hybridMultilevel"/>
    <w:tmpl w:val="26A0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E774F"/>
    <w:multiLevelType w:val="hybridMultilevel"/>
    <w:tmpl w:val="E6C46D70"/>
    <w:lvl w:ilvl="0" w:tplc="15E0B7F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C9"/>
    <w:multiLevelType w:val="hybridMultilevel"/>
    <w:tmpl w:val="2F5AEE9C"/>
    <w:lvl w:ilvl="0" w:tplc="7A1C1A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B15DC6"/>
    <w:multiLevelType w:val="hybridMultilevel"/>
    <w:tmpl w:val="9D6E2096"/>
    <w:lvl w:ilvl="0" w:tplc="180A79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C20A4D"/>
    <w:multiLevelType w:val="hybridMultilevel"/>
    <w:tmpl w:val="9B105448"/>
    <w:lvl w:ilvl="0" w:tplc="3A0A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34B59"/>
    <w:multiLevelType w:val="hybridMultilevel"/>
    <w:tmpl w:val="B8A0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BE29B7"/>
    <w:multiLevelType w:val="hybridMultilevel"/>
    <w:tmpl w:val="0F36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CB62ED"/>
    <w:multiLevelType w:val="hybridMultilevel"/>
    <w:tmpl w:val="E17AA10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764C6B"/>
    <w:multiLevelType w:val="hybridMultilevel"/>
    <w:tmpl w:val="D40E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61F6A"/>
    <w:multiLevelType w:val="hybridMultilevel"/>
    <w:tmpl w:val="3020A9DA"/>
    <w:lvl w:ilvl="0" w:tplc="95EAC9A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B00EF"/>
    <w:multiLevelType w:val="hybridMultilevel"/>
    <w:tmpl w:val="78908F00"/>
    <w:lvl w:ilvl="0" w:tplc="C6880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511D5"/>
    <w:multiLevelType w:val="hybridMultilevel"/>
    <w:tmpl w:val="9B105448"/>
    <w:lvl w:ilvl="0" w:tplc="3A0AF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C702A"/>
    <w:multiLevelType w:val="hybridMultilevel"/>
    <w:tmpl w:val="2F5AEE9C"/>
    <w:lvl w:ilvl="0" w:tplc="7A1C1A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BA5603"/>
    <w:multiLevelType w:val="hybridMultilevel"/>
    <w:tmpl w:val="E5EAF956"/>
    <w:lvl w:ilvl="0" w:tplc="04090019">
      <w:start w:val="1"/>
      <w:numFmt w:val="lowerLetter"/>
      <w:lvlText w:val="%1."/>
      <w:lvlJc w:val="left"/>
      <w:pPr>
        <w:ind w:left="144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B9A7602"/>
    <w:multiLevelType w:val="hybridMultilevel"/>
    <w:tmpl w:val="9A380202"/>
    <w:lvl w:ilvl="0" w:tplc="76541A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457"/>
    <w:multiLevelType w:val="hybridMultilevel"/>
    <w:tmpl w:val="D236DEE2"/>
    <w:lvl w:ilvl="0" w:tplc="16C261AE">
      <w:start w:val="1"/>
      <w:numFmt w:val="upperRoman"/>
      <w:lvlText w:val="%1."/>
      <w:lvlJc w:val="left"/>
      <w:pPr>
        <w:ind w:left="2138"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C610E73"/>
    <w:multiLevelType w:val="hybridMultilevel"/>
    <w:tmpl w:val="13A064C4"/>
    <w:lvl w:ilvl="0" w:tplc="7AD49CB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C6315"/>
    <w:multiLevelType w:val="hybridMultilevel"/>
    <w:tmpl w:val="A176B2E6"/>
    <w:lvl w:ilvl="0" w:tplc="B08A16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2"/>
  </w:num>
  <w:num w:numId="13">
    <w:abstractNumId w:val="6"/>
  </w:num>
  <w:num w:numId="14">
    <w:abstractNumId w:val="18"/>
  </w:num>
  <w:num w:numId="15">
    <w:abstractNumId w:val="5"/>
  </w:num>
  <w:num w:numId="16">
    <w:abstractNumId w:val="19"/>
  </w:num>
  <w:num w:numId="17">
    <w:abstractNumId w:val="13"/>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14"/>
  </w:num>
  <w:num w:numId="23">
    <w:abstractNumId w:val="21"/>
  </w:num>
  <w:num w:numId="24">
    <w:abstractNumId w:val="16"/>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3C"/>
    <w:rsid w:val="00024607"/>
    <w:rsid w:val="0002537A"/>
    <w:rsid w:val="00025F64"/>
    <w:rsid w:val="00031F5A"/>
    <w:rsid w:val="000343F5"/>
    <w:rsid w:val="000353B3"/>
    <w:rsid w:val="00035CC9"/>
    <w:rsid w:val="00040A50"/>
    <w:rsid w:val="00040A52"/>
    <w:rsid w:val="00050C5B"/>
    <w:rsid w:val="00054501"/>
    <w:rsid w:val="00056707"/>
    <w:rsid w:val="000662A5"/>
    <w:rsid w:val="000708F2"/>
    <w:rsid w:val="000742E2"/>
    <w:rsid w:val="000769C5"/>
    <w:rsid w:val="00080088"/>
    <w:rsid w:val="000806D3"/>
    <w:rsid w:val="00080B33"/>
    <w:rsid w:val="00090B5F"/>
    <w:rsid w:val="00093840"/>
    <w:rsid w:val="0009480A"/>
    <w:rsid w:val="00096D2E"/>
    <w:rsid w:val="0009759B"/>
    <w:rsid w:val="000A1E10"/>
    <w:rsid w:val="000B2F03"/>
    <w:rsid w:val="000B5546"/>
    <w:rsid w:val="000C12D4"/>
    <w:rsid w:val="000D3025"/>
    <w:rsid w:val="000D6F71"/>
    <w:rsid w:val="000D7978"/>
    <w:rsid w:val="000D7C24"/>
    <w:rsid w:val="000D7EA8"/>
    <w:rsid w:val="000E24C0"/>
    <w:rsid w:val="000E3DC6"/>
    <w:rsid w:val="000E51A4"/>
    <w:rsid w:val="000F2B89"/>
    <w:rsid w:val="000F653D"/>
    <w:rsid w:val="00103252"/>
    <w:rsid w:val="001038A9"/>
    <w:rsid w:val="00106E67"/>
    <w:rsid w:val="00115A50"/>
    <w:rsid w:val="00117106"/>
    <w:rsid w:val="00122254"/>
    <w:rsid w:val="001228CC"/>
    <w:rsid w:val="0013264D"/>
    <w:rsid w:val="00137D17"/>
    <w:rsid w:val="001405B8"/>
    <w:rsid w:val="001420E3"/>
    <w:rsid w:val="00143A72"/>
    <w:rsid w:val="00151D7E"/>
    <w:rsid w:val="001562CE"/>
    <w:rsid w:val="001604BD"/>
    <w:rsid w:val="00161576"/>
    <w:rsid w:val="001615CE"/>
    <w:rsid w:val="00165D97"/>
    <w:rsid w:val="00166CC3"/>
    <w:rsid w:val="001745BF"/>
    <w:rsid w:val="00177D3C"/>
    <w:rsid w:val="00187105"/>
    <w:rsid w:val="00191550"/>
    <w:rsid w:val="00193047"/>
    <w:rsid w:val="00193166"/>
    <w:rsid w:val="0019375E"/>
    <w:rsid w:val="00194B1B"/>
    <w:rsid w:val="00195DAD"/>
    <w:rsid w:val="00196A8C"/>
    <w:rsid w:val="001A075F"/>
    <w:rsid w:val="001A2AFD"/>
    <w:rsid w:val="001A3806"/>
    <w:rsid w:val="001B0AF9"/>
    <w:rsid w:val="001B1992"/>
    <w:rsid w:val="001B1C27"/>
    <w:rsid w:val="001B1F65"/>
    <w:rsid w:val="001B78BE"/>
    <w:rsid w:val="001C1BF4"/>
    <w:rsid w:val="001C1C80"/>
    <w:rsid w:val="001C1E00"/>
    <w:rsid w:val="001D117B"/>
    <w:rsid w:val="001D5789"/>
    <w:rsid w:val="001E260F"/>
    <w:rsid w:val="001E36FC"/>
    <w:rsid w:val="001E4AC8"/>
    <w:rsid w:val="001E549B"/>
    <w:rsid w:val="001F05CF"/>
    <w:rsid w:val="001F122D"/>
    <w:rsid w:val="001F2D12"/>
    <w:rsid w:val="0020108A"/>
    <w:rsid w:val="00214597"/>
    <w:rsid w:val="00217285"/>
    <w:rsid w:val="002348FF"/>
    <w:rsid w:val="00243B5E"/>
    <w:rsid w:val="00246905"/>
    <w:rsid w:val="00250E01"/>
    <w:rsid w:val="00251CC9"/>
    <w:rsid w:val="00262C83"/>
    <w:rsid w:val="00263B78"/>
    <w:rsid w:val="002668C6"/>
    <w:rsid w:val="00267A1C"/>
    <w:rsid w:val="00271722"/>
    <w:rsid w:val="00271789"/>
    <w:rsid w:val="00276FBA"/>
    <w:rsid w:val="00277B82"/>
    <w:rsid w:val="00280736"/>
    <w:rsid w:val="002817F8"/>
    <w:rsid w:val="00281A8D"/>
    <w:rsid w:val="002966FF"/>
    <w:rsid w:val="002A467D"/>
    <w:rsid w:val="002A6E3D"/>
    <w:rsid w:val="002B4174"/>
    <w:rsid w:val="002C04F2"/>
    <w:rsid w:val="002D1A41"/>
    <w:rsid w:val="002E3AFA"/>
    <w:rsid w:val="002E3EE4"/>
    <w:rsid w:val="002F5EA1"/>
    <w:rsid w:val="00301383"/>
    <w:rsid w:val="0030553C"/>
    <w:rsid w:val="00306E95"/>
    <w:rsid w:val="0031434D"/>
    <w:rsid w:val="0031670B"/>
    <w:rsid w:val="003209A3"/>
    <w:rsid w:val="00323CE7"/>
    <w:rsid w:val="00325F3E"/>
    <w:rsid w:val="003376DE"/>
    <w:rsid w:val="00341ED8"/>
    <w:rsid w:val="00344181"/>
    <w:rsid w:val="00344A65"/>
    <w:rsid w:val="00344DD3"/>
    <w:rsid w:val="00350CED"/>
    <w:rsid w:val="0037175E"/>
    <w:rsid w:val="00384F29"/>
    <w:rsid w:val="00386CBF"/>
    <w:rsid w:val="0039518E"/>
    <w:rsid w:val="003A0255"/>
    <w:rsid w:val="003A1EEC"/>
    <w:rsid w:val="003A73C4"/>
    <w:rsid w:val="003A7CC9"/>
    <w:rsid w:val="003A7FC3"/>
    <w:rsid w:val="003B2390"/>
    <w:rsid w:val="003B633C"/>
    <w:rsid w:val="003C0C83"/>
    <w:rsid w:val="003C45AC"/>
    <w:rsid w:val="003C47E0"/>
    <w:rsid w:val="003C6D67"/>
    <w:rsid w:val="003D5495"/>
    <w:rsid w:val="003E323A"/>
    <w:rsid w:val="003E471E"/>
    <w:rsid w:val="003E6F8A"/>
    <w:rsid w:val="003F0306"/>
    <w:rsid w:val="00410146"/>
    <w:rsid w:val="00421B9F"/>
    <w:rsid w:val="004273E5"/>
    <w:rsid w:val="00430A91"/>
    <w:rsid w:val="004355E6"/>
    <w:rsid w:val="00442E3A"/>
    <w:rsid w:val="00453D86"/>
    <w:rsid w:val="00462BA7"/>
    <w:rsid w:val="00464442"/>
    <w:rsid w:val="00471172"/>
    <w:rsid w:val="00481387"/>
    <w:rsid w:val="00487AC7"/>
    <w:rsid w:val="004963FE"/>
    <w:rsid w:val="004A2D0F"/>
    <w:rsid w:val="004A5F88"/>
    <w:rsid w:val="004B45A2"/>
    <w:rsid w:val="004C0B6D"/>
    <w:rsid w:val="004E2F46"/>
    <w:rsid w:val="004E4D77"/>
    <w:rsid w:val="00500497"/>
    <w:rsid w:val="0050090E"/>
    <w:rsid w:val="0050396C"/>
    <w:rsid w:val="00510D0B"/>
    <w:rsid w:val="005130EA"/>
    <w:rsid w:val="0051377E"/>
    <w:rsid w:val="00514DA4"/>
    <w:rsid w:val="00516179"/>
    <w:rsid w:val="00525E51"/>
    <w:rsid w:val="00526CB4"/>
    <w:rsid w:val="00533EE3"/>
    <w:rsid w:val="00534E0C"/>
    <w:rsid w:val="0054459B"/>
    <w:rsid w:val="00545471"/>
    <w:rsid w:val="00556947"/>
    <w:rsid w:val="00562252"/>
    <w:rsid w:val="00574E96"/>
    <w:rsid w:val="00593BE4"/>
    <w:rsid w:val="00595B43"/>
    <w:rsid w:val="005B39CC"/>
    <w:rsid w:val="005B7C29"/>
    <w:rsid w:val="005D31F3"/>
    <w:rsid w:val="005D3D59"/>
    <w:rsid w:val="005D6901"/>
    <w:rsid w:val="005E0717"/>
    <w:rsid w:val="005E3D67"/>
    <w:rsid w:val="00601D2A"/>
    <w:rsid w:val="00602BE2"/>
    <w:rsid w:val="00610A8A"/>
    <w:rsid w:val="0061339C"/>
    <w:rsid w:val="006139A2"/>
    <w:rsid w:val="00613BBD"/>
    <w:rsid w:val="00621B75"/>
    <w:rsid w:val="00621B9D"/>
    <w:rsid w:val="006236BC"/>
    <w:rsid w:val="00630329"/>
    <w:rsid w:val="00632443"/>
    <w:rsid w:val="006324D6"/>
    <w:rsid w:val="0063272A"/>
    <w:rsid w:val="00640458"/>
    <w:rsid w:val="00645E6F"/>
    <w:rsid w:val="0064795C"/>
    <w:rsid w:val="006516AE"/>
    <w:rsid w:val="006534A7"/>
    <w:rsid w:val="0065412C"/>
    <w:rsid w:val="00657069"/>
    <w:rsid w:val="006572C8"/>
    <w:rsid w:val="006702BF"/>
    <w:rsid w:val="006741BF"/>
    <w:rsid w:val="00675606"/>
    <w:rsid w:val="006851CC"/>
    <w:rsid w:val="006920D3"/>
    <w:rsid w:val="00694836"/>
    <w:rsid w:val="00697ECB"/>
    <w:rsid w:val="006A1144"/>
    <w:rsid w:val="006B30BC"/>
    <w:rsid w:val="006B40D0"/>
    <w:rsid w:val="006C08D5"/>
    <w:rsid w:val="006C095A"/>
    <w:rsid w:val="006C4B0B"/>
    <w:rsid w:val="006D133F"/>
    <w:rsid w:val="006D63AF"/>
    <w:rsid w:val="006E18A1"/>
    <w:rsid w:val="00701AF9"/>
    <w:rsid w:val="007048F6"/>
    <w:rsid w:val="0070507E"/>
    <w:rsid w:val="00713E3F"/>
    <w:rsid w:val="007318AA"/>
    <w:rsid w:val="00731E47"/>
    <w:rsid w:val="00733540"/>
    <w:rsid w:val="00740DCA"/>
    <w:rsid w:val="00743102"/>
    <w:rsid w:val="00743565"/>
    <w:rsid w:val="00746183"/>
    <w:rsid w:val="00752493"/>
    <w:rsid w:val="00757EA9"/>
    <w:rsid w:val="007603D2"/>
    <w:rsid w:val="00762F8C"/>
    <w:rsid w:val="00764573"/>
    <w:rsid w:val="00764C99"/>
    <w:rsid w:val="00771A36"/>
    <w:rsid w:val="0077536F"/>
    <w:rsid w:val="00784C02"/>
    <w:rsid w:val="00786C3A"/>
    <w:rsid w:val="007B38B9"/>
    <w:rsid w:val="007C0F89"/>
    <w:rsid w:val="007C3B09"/>
    <w:rsid w:val="007C6CAA"/>
    <w:rsid w:val="007D0E73"/>
    <w:rsid w:val="007E18A1"/>
    <w:rsid w:val="00801010"/>
    <w:rsid w:val="00807CEE"/>
    <w:rsid w:val="0081191E"/>
    <w:rsid w:val="00822433"/>
    <w:rsid w:val="00826941"/>
    <w:rsid w:val="00826BEE"/>
    <w:rsid w:val="008324EE"/>
    <w:rsid w:val="0083646A"/>
    <w:rsid w:val="008369CC"/>
    <w:rsid w:val="00843AFD"/>
    <w:rsid w:val="00862AD3"/>
    <w:rsid w:val="00867244"/>
    <w:rsid w:val="00871BC3"/>
    <w:rsid w:val="008729DD"/>
    <w:rsid w:val="00875B7C"/>
    <w:rsid w:val="00886551"/>
    <w:rsid w:val="00886F35"/>
    <w:rsid w:val="00890F73"/>
    <w:rsid w:val="008A37CC"/>
    <w:rsid w:val="008A57D6"/>
    <w:rsid w:val="008B3719"/>
    <w:rsid w:val="008B5037"/>
    <w:rsid w:val="008B6DC1"/>
    <w:rsid w:val="008C1012"/>
    <w:rsid w:val="008C24DF"/>
    <w:rsid w:val="008C565D"/>
    <w:rsid w:val="008D22BD"/>
    <w:rsid w:val="008D5882"/>
    <w:rsid w:val="008E07A7"/>
    <w:rsid w:val="008F014F"/>
    <w:rsid w:val="00901784"/>
    <w:rsid w:val="00906446"/>
    <w:rsid w:val="009120DB"/>
    <w:rsid w:val="0091482D"/>
    <w:rsid w:val="00914A6D"/>
    <w:rsid w:val="00922F38"/>
    <w:rsid w:val="009253C5"/>
    <w:rsid w:val="00926FC4"/>
    <w:rsid w:val="00937684"/>
    <w:rsid w:val="00940DBD"/>
    <w:rsid w:val="00950AC1"/>
    <w:rsid w:val="00960CEF"/>
    <w:rsid w:val="00966025"/>
    <w:rsid w:val="00970E49"/>
    <w:rsid w:val="00975C5F"/>
    <w:rsid w:val="00991187"/>
    <w:rsid w:val="00995117"/>
    <w:rsid w:val="009A1D41"/>
    <w:rsid w:val="009A204E"/>
    <w:rsid w:val="009A7151"/>
    <w:rsid w:val="009B1150"/>
    <w:rsid w:val="009B7A66"/>
    <w:rsid w:val="009C1482"/>
    <w:rsid w:val="009C2CFC"/>
    <w:rsid w:val="009D01AF"/>
    <w:rsid w:val="009D1894"/>
    <w:rsid w:val="009D1908"/>
    <w:rsid w:val="009D43FB"/>
    <w:rsid w:val="009D5D15"/>
    <w:rsid w:val="009E49F8"/>
    <w:rsid w:val="009F24D3"/>
    <w:rsid w:val="00A10E0D"/>
    <w:rsid w:val="00A13978"/>
    <w:rsid w:val="00A17B71"/>
    <w:rsid w:val="00A30622"/>
    <w:rsid w:val="00A34298"/>
    <w:rsid w:val="00A357A3"/>
    <w:rsid w:val="00A37756"/>
    <w:rsid w:val="00A411F4"/>
    <w:rsid w:val="00A4148D"/>
    <w:rsid w:val="00A42C94"/>
    <w:rsid w:val="00A43718"/>
    <w:rsid w:val="00A4375F"/>
    <w:rsid w:val="00A44365"/>
    <w:rsid w:val="00A50896"/>
    <w:rsid w:val="00A5191D"/>
    <w:rsid w:val="00A540C1"/>
    <w:rsid w:val="00A63ADF"/>
    <w:rsid w:val="00A80FE4"/>
    <w:rsid w:val="00A84A29"/>
    <w:rsid w:val="00A95E21"/>
    <w:rsid w:val="00AA316D"/>
    <w:rsid w:val="00AA3228"/>
    <w:rsid w:val="00AA55BD"/>
    <w:rsid w:val="00AB0408"/>
    <w:rsid w:val="00AB75BA"/>
    <w:rsid w:val="00AC0C92"/>
    <w:rsid w:val="00AC4701"/>
    <w:rsid w:val="00AD34AA"/>
    <w:rsid w:val="00AD405A"/>
    <w:rsid w:val="00AD7930"/>
    <w:rsid w:val="00AE03C2"/>
    <w:rsid w:val="00AE0A77"/>
    <w:rsid w:val="00AE60CF"/>
    <w:rsid w:val="00AF3B3F"/>
    <w:rsid w:val="00B005DF"/>
    <w:rsid w:val="00B0572E"/>
    <w:rsid w:val="00B07CE3"/>
    <w:rsid w:val="00B07DBA"/>
    <w:rsid w:val="00B1306A"/>
    <w:rsid w:val="00B17613"/>
    <w:rsid w:val="00B207A3"/>
    <w:rsid w:val="00B33737"/>
    <w:rsid w:val="00B3400A"/>
    <w:rsid w:val="00B372F0"/>
    <w:rsid w:val="00B37554"/>
    <w:rsid w:val="00B40EA5"/>
    <w:rsid w:val="00B45E8A"/>
    <w:rsid w:val="00B5488D"/>
    <w:rsid w:val="00B548B7"/>
    <w:rsid w:val="00B6057A"/>
    <w:rsid w:val="00B60930"/>
    <w:rsid w:val="00B65303"/>
    <w:rsid w:val="00B65C16"/>
    <w:rsid w:val="00B66EAF"/>
    <w:rsid w:val="00B721E0"/>
    <w:rsid w:val="00B94C13"/>
    <w:rsid w:val="00BA0559"/>
    <w:rsid w:val="00BA0F63"/>
    <w:rsid w:val="00BA43EC"/>
    <w:rsid w:val="00BB06F8"/>
    <w:rsid w:val="00BB728A"/>
    <w:rsid w:val="00BC7E46"/>
    <w:rsid w:val="00BD3B9B"/>
    <w:rsid w:val="00BD5301"/>
    <w:rsid w:val="00BD66AA"/>
    <w:rsid w:val="00BD6890"/>
    <w:rsid w:val="00BE27CA"/>
    <w:rsid w:val="00BF233E"/>
    <w:rsid w:val="00BF4CD3"/>
    <w:rsid w:val="00C00B22"/>
    <w:rsid w:val="00C07A29"/>
    <w:rsid w:val="00C07C0B"/>
    <w:rsid w:val="00C1170B"/>
    <w:rsid w:val="00C152F9"/>
    <w:rsid w:val="00C167EA"/>
    <w:rsid w:val="00C16FF3"/>
    <w:rsid w:val="00C224D9"/>
    <w:rsid w:val="00C2289F"/>
    <w:rsid w:val="00C2491B"/>
    <w:rsid w:val="00C25A66"/>
    <w:rsid w:val="00C33DBD"/>
    <w:rsid w:val="00C51A8C"/>
    <w:rsid w:val="00C57AC2"/>
    <w:rsid w:val="00C625BF"/>
    <w:rsid w:val="00C67474"/>
    <w:rsid w:val="00C71693"/>
    <w:rsid w:val="00C71C06"/>
    <w:rsid w:val="00C77103"/>
    <w:rsid w:val="00C828FD"/>
    <w:rsid w:val="00C85A84"/>
    <w:rsid w:val="00C915EA"/>
    <w:rsid w:val="00C975E2"/>
    <w:rsid w:val="00CA1FBF"/>
    <w:rsid w:val="00CA5396"/>
    <w:rsid w:val="00CA7AA2"/>
    <w:rsid w:val="00CB52E1"/>
    <w:rsid w:val="00CB7195"/>
    <w:rsid w:val="00CC0936"/>
    <w:rsid w:val="00CC3AE9"/>
    <w:rsid w:val="00CC54B4"/>
    <w:rsid w:val="00CD32F0"/>
    <w:rsid w:val="00CD4E91"/>
    <w:rsid w:val="00CE1981"/>
    <w:rsid w:val="00CE28E1"/>
    <w:rsid w:val="00CF75E6"/>
    <w:rsid w:val="00D022B4"/>
    <w:rsid w:val="00D0734F"/>
    <w:rsid w:val="00D114FB"/>
    <w:rsid w:val="00D13F97"/>
    <w:rsid w:val="00D201F4"/>
    <w:rsid w:val="00D24569"/>
    <w:rsid w:val="00D27186"/>
    <w:rsid w:val="00D276A1"/>
    <w:rsid w:val="00D31C9F"/>
    <w:rsid w:val="00D37F64"/>
    <w:rsid w:val="00D40B00"/>
    <w:rsid w:val="00D477DD"/>
    <w:rsid w:val="00D51456"/>
    <w:rsid w:val="00D62842"/>
    <w:rsid w:val="00D6569A"/>
    <w:rsid w:val="00D714CD"/>
    <w:rsid w:val="00D71E81"/>
    <w:rsid w:val="00D7284E"/>
    <w:rsid w:val="00D736C9"/>
    <w:rsid w:val="00D836AF"/>
    <w:rsid w:val="00D91F5F"/>
    <w:rsid w:val="00D939C0"/>
    <w:rsid w:val="00D94D34"/>
    <w:rsid w:val="00DA03DC"/>
    <w:rsid w:val="00DA2DC2"/>
    <w:rsid w:val="00DA3FCC"/>
    <w:rsid w:val="00DB2B5C"/>
    <w:rsid w:val="00DB6665"/>
    <w:rsid w:val="00DB7FAD"/>
    <w:rsid w:val="00DC2275"/>
    <w:rsid w:val="00DC3010"/>
    <w:rsid w:val="00DC6641"/>
    <w:rsid w:val="00DD312A"/>
    <w:rsid w:val="00DD3745"/>
    <w:rsid w:val="00DD57A5"/>
    <w:rsid w:val="00DE5AAA"/>
    <w:rsid w:val="00DE7E20"/>
    <w:rsid w:val="00DF03C1"/>
    <w:rsid w:val="00DF556A"/>
    <w:rsid w:val="00DF675A"/>
    <w:rsid w:val="00E04500"/>
    <w:rsid w:val="00E04790"/>
    <w:rsid w:val="00E05F27"/>
    <w:rsid w:val="00E12285"/>
    <w:rsid w:val="00E1397A"/>
    <w:rsid w:val="00E1565A"/>
    <w:rsid w:val="00E156EA"/>
    <w:rsid w:val="00E161EF"/>
    <w:rsid w:val="00E17B58"/>
    <w:rsid w:val="00E2453F"/>
    <w:rsid w:val="00E40564"/>
    <w:rsid w:val="00E407E0"/>
    <w:rsid w:val="00E46B76"/>
    <w:rsid w:val="00E50113"/>
    <w:rsid w:val="00E50610"/>
    <w:rsid w:val="00E51D55"/>
    <w:rsid w:val="00E5747F"/>
    <w:rsid w:val="00E61628"/>
    <w:rsid w:val="00E63A9F"/>
    <w:rsid w:val="00E64AA8"/>
    <w:rsid w:val="00E81833"/>
    <w:rsid w:val="00E81859"/>
    <w:rsid w:val="00E85EAB"/>
    <w:rsid w:val="00E86E2B"/>
    <w:rsid w:val="00E87B4D"/>
    <w:rsid w:val="00E91016"/>
    <w:rsid w:val="00EA548A"/>
    <w:rsid w:val="00EA56C3"/>
    <w:rsid w:val="00EB075E"/>
    <w:rsid w:val="00EB0B5C"/>
    <w:rsid w:val="00EB18BE"/>
    <w:rsid w:val="00EB65BD"/>
    <w:rsid w:val="00EC6CCF"/>
    <w:rsid w:val="00EC75D0"/>
    <w:rsid w:val="00ED02AE"/>
    <w:rsid w:val="00ED2C07"/>
    <w:rsid w:val="00ED428D"/>
    <w:rsid w:val="00ED7B92"/>
    <w:rsid w:val="00EF0C71"/>
    <w:rsid w:val="00EF2CB4"/>
    <w:rsid w:val="00EF3A21"/>
    <w:rsid w:val="00EF4B7D"/>
    <w:rsid w:val="00F04106"/>
    <w:rsid w:val="00F07BD7"/>
    <w:rsid w:val="00F12F92"/>
    <w:rsid w:val="00F15CDE"/>
    <w:rsid w:val="00F2258A"/>
    <w:rsid w:val="00F22C71"/>
    <w:rsid w:val="00F30D33"/>
    <w:rsid w:val="00F34D05"/>
    <w:rsid w:val="00F469E2"/>
    <w:rsid w:val="00F51BDE"/>
    <w:rsid w:val="00F73414"/>
    <w:rsid w:val="00F81634"/>
    <w:rsid w:val="00F84C4B"/>
    <w:rsid w:val="00F9189E"/>
    <w:rsid w:val="00F9375D"/>
    <w:rsid w:val="00F93945"/>
    <w:rsid w:val="00FA2F61"/>
    <w:rsid w:val="00FA3CCD"/>
    <w:rsid w:val="00FA4481"/>
    <w:rsid w:val="00FA4AE7"/>
    <w:rsid w:val="00FA6D85"/>
    <w:rsid w:val="00FB2ADE"/>
    <w:rsid w:val="00FB309C"/>
    <w:rsid w:val="00FB35A8"/>
    <w:rsid w:val="00FB686C"/>
    <w:rsid w:val="00FC08E5"/>
    <w:rsid w:val="00FD0160"/>
    <w:rsid w:val="00FD2CF5"/>
    <w:rsid w:val="00FD3BAE"/>
    <w:rsid w:val="00FD3C1C"/>
    <w:rsid w:val="00FD61A0"/>
    <w:rsid w:val="00FE487F"/>
    <w:rsid w:val="00FF0B49"/>
    <w:rsid w:val="00FF0F05"/>
    <w:rsid w:val="00FF6121"/>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764F"/>
  <w15:docId w15:val="{2E99F593-F993-458E-9253-86FDB1AF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0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Heading3">
    <w:name w:val="heading 3"/>
    <w:basedOn w:val="Normal"/>
    <w:next w:val="Normal"/>
    <w:link w:val="Heading3Char"/>
    <w:uiPriority w:val="9"/>
    <w:semiHidden/>
    <w:unhideWhenUsed/>
    <w:qFormat/>
    <w:rsid w:val="00886F35"/>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69E2"/>
    <w:pPr>
      <w:ind w:left="720"/>
      <w:contextualSpacing/>
    </w:pPr>
  </w:style>
  <w:style w:type="paragraph" w:styleId="BalloonText">
    <w:name w:val="Balloon Text"/>
    <w:basedOn w:val="Normal"/>
    <w:link w:val="BalloonTextChar"/>
    <w:uiPriority w:val="99"/>
    <w:semiHidden/>
    <w:unhideWhenUsed/>
    <w:rsid w:val="00F2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58A"/>
    <w:rPr>
      <w:rFonts w:ascii="Tahoma" w:hAnsi="Tahoma" w:cs="Tahoma"/>
      <w:sz w:val="16"/>
      <w:szCs w:val="16"/>
    </w:rPr>
  </w:style>
  <w:style w:type="paragraph" w:styleId="BodyTextIndent">
    <w:name w:val="Body Text Indent"/>
    <w:basedOn w:val="Normal"/>
    <w:link w:val="BodyTextIndentChar"/>
    <w:uiPriority w:val="99"/>
    <w:semiHidden/>
    <w:unhideWhenUsed/>
    <w:rsid w:val="008C24DF"/>
    <w:pPr>
      <w:spacing w:after="120"/>
      <w:ind w:left="283"/>
    </w:pPr>
  </w:style>
  <w:style w:type="character" w:customStyle="1" w:styleId="BodyTextIndentChar">
    <w:name w:val="Body Text Indent Char"/>
    <w:basedOn w:val="DefaultParagraphFont"/>
    <w:link w:val="BodyTextIndent"/>
    <w:uiPriority w:val="99"/>
    <w:semiHidden/>
    <w:rsid w:val="008C24DF"/>
  </w:style>
  <w:style w:type="paragraph" w:styleId="BodyTextFirstIndent2">
    <w:name w:val="Body Text First Indent 2"/>
    <w:basedOn w:val="BodyTextIndent"/>
    <w:link w:val="BodyTextFirstIndent2Char"/>
    <w:rsid w:val="008C24DF"/>
    <w:pPr>
      <w:spacing w:after="200"/>
      <w:ind w:left="360" w:firstLine="360"/>
    </w:pPr>
    <w:rPr>
      <w:rFonts w:ascii="Calibri" w:eastAsia="Calibri" w:hAnsi="Calibri" w:cs="Times New Roman"/>
    </w:rPr>
  </w:style>
  <w:style w:type="character" w:customStyle="1" w:styleId="BodyTextFirstIndent2Char">
    <w:name w:val="Body Text First Indent 2 Char"/>
    <w:basedOn w:val="BodyTextIndentChar"/>
    <w:link w:val="BodyTextFirstIndent2"/>
    <w:rsid w:val="008C24DF"/>
    <w:rPr>
      <w:rFonts w:ascii="Calibri" w:eastAsia="Calibri" w:hAnsi="Calibri" w:cs="Times New Roman"/>
    </w:rPr>
  </w:style>
  <w:style w:type="paragraph" w:styleId="FootnoteText">
    <w:name w:val="footnote text"/>
    <w:aliases w:val="fn,Footnote Text Char2,Footnote Text Char1 Char1,Footnote Text Char1 Char Char Char,Footnote Text Char Char Char Char Char,Footnote Text Char1 Char Char Char Char Char,Footnote Text Char1 Char,footnote,single space,ADB,F,ft,footnote text"/>
    <w:basedOn w:val="Normal"/>
    <w:link w:val="FootnoteTextChar"/>
    <w:uiPriority w:val="99"/>
    <w:qFormat/>
    <w:rsid w:val="00D0734F"/>
    <w:pPr>
      <w:keepLines/>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fn Char,Footnote Text Char2 Char,Footnote Text Char1 Char1 Char,Footnote Text Char1 Char Char Char Char,Footnote Text Char Char Char Char Char Char,Footnote Text Char1 Char Char Char Char Char Char,Footnote Text Char1 Char Char,F Char"/>
    <w:basedOn w:val="DefaultParagraphFont"/>
    <w:link w:val="FootnoteText"/>
    <w:uiPriority w:val="99"/>
    <w:rsid w:val="00D0734F"/>
    <w:rPr>
      <w:rFonts w:ascii="Times New Roman" w:eastAsia="Calibri" w:hAnsi="Times New Roman" w:cs="Times New Roman"/>
      <w:sz w:val="20"/>
      <w:szCs w:val="20"/>
    </w:rPr>
  </w:style>
  <w:style w:type="character" w:styleId="FootnoteReference">
    <w:name w:val="footnote reference"/>
    <w:aliases w:val="titulo 2,FC,referencia nota al pie,Footnote Reference.SES,Fußnotenzeichen DISS,16 Point,Superscript 6 Point,ftref,BVI fnr,Знак сноски 1,Footnote Referencefra,Style 24,pie pddes,Ref,de nota al pie,Ref. de nota al pie."/>
    <w:uiPriority w:val="99"/>
    <w:qFormat/>
    <w:rsid w:val="008C24DF"/>
    <w:rPr>
      <w:rFonts w:cs="Times New Roman"/>
      <w:vertAlign w:val="superscript"/>
    </w:rPr>
  </w:style>
  <w:style w:type="character" w:customStyle="1" w:styleId="NoSpacingChar">
    <w:name w:val="No Spacing Char"/>
    <w:basedOn w:val="DefaultParagraphFont"/>
    <w:link w:val="NoSpacing"/>
    <w:uiPriority w:val="1"/>
    <w:locked/>
    <w:rsid w:val="00AA3228"/>
    <w:rPr>
      <w:rFonts w:ascii="Times New Roman" w:eastAsia="Times New Roman" w:hAnsi="Times New Roman" w:cs="Times New Roman"/>
      <w:sz w:val="20"/>
      <w:szCs w:val="20"/>
      <w:lang w:eastAsia="es-ES"/>
    </w:rPr>
  </w:style>
  <w:style w:type="paragraph" w:styleId="NoSpacing">
    <w:name w:val="No Spacing"/>
    <w:link w:val="NoSpacingChar"/>
    <w:uiPriority w:val="1"/>
    <w:qFormat/>
    <w:rsid w:val="00AA3228"/>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D736C9"/>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D736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86F35"/>
    <w:rPr>
      <w:rFonts w:asciiTheme="majorHAnsi" w:eastAsiaTheme="majorEastAsia" w:hAnsiTheme="majorHAnsi" w:cstheme="majorBidi"/>
      <w:b/>
      <w:bCs/>
      <w:color w:val="4F81BD" w:themeColor="accent1"/>
      <w:lang w:val="en-US"/>
    </w:rPr>
  </w:style>
  <w:style w:type="character" w:customStyle="1" w:styleId="apple-converted-space">
    <w:name w:val="apple-converted-space"/>
    <w:basedOn w:val="DefaultParagraphFont"/>
    <w:rsid w:val="006236BC"/>
  </w:style>
  <w:style w:type="character" w:styleId="CommentReference">
    <w:name w:val="annotation reference"/>
    <w:basedOn w:val="DefaultParagraphFont"/>
    <w:uiPriority w:val="99"/>
    <w:unhideWhenUsed/>
    <w:rsid w:val="00CD32F0"/>
    <w:rPr>
      <w:sz w:val="16"/>
      <w:szCs w:val="16"/>
    </w:rPr>
  </w:style>
  <w:style w:type="paragraph" w:styleId="CommentText">
    <w:name w:val="annotation text"/>
    <w:basedOn w:val="Normal"/>
    <w:link w:val="CommentTextChar"/>
    <w:uiPriority w:val="99"/>
    <w:semiHidden/>
    <w:unhideWhenUsed/>
    <w:rsid w:val="00CD32F0"/>
    <w:pPr>
      <w:spacing w:line="240" w:lineRule="auto"/>
    </w:pPr>
    <w:rPr>
      <w:sz w:val="20"/>
      <w:szCs w:val="20"/>
    </w:rPr>
  </w:style>
  <w:style w:type="character" w:customStyle="1" w:styleId="CommentTextChar">
    <w:name w:val="Comment Text Char"/>
    <w:basedOn w:val="DefaultParagraphFont"/>
    <w:link w:val="CommentText"/>
    <w:uiPriority w:val="99"/>
    <w:semiHidden/>
    <w:rsid w:val="00CD32F0"/>
    <w:rPr>
      <w:sz w:val="20"/>
      <w:szCs w:val="20"/>
    </w:rPr>
  </w:style>
  <w:style w:type="paragraph" w:styleId="CommentSubject">
    <w:name w:val="annotation subject"/>
    <w:basedOn w:val="CommentText"/>
    <w:next w:val="CommentText"/>
    <w:link w:val="CommentSubjectChar"/>
    <w:uiPriority w:val="99"/>
    <w:semiHidden/>
    <w:unhideWhenUsed/>
    <w:rsid w:val="00CD32F0"/>
    <w:rPr>
      <w:b/>
      <w:bCs/>
    </w:rPr>
  </w:style>
  <w:style w:type="character" w:customStyle="1" w:styleId="CommentSubjectChar">
    <w:name w:val="Comment Subject Char"/>
    <w:basedOn w:val="CommentTextChar"/>
    <w:link w:val="CommentSubject"/>
    <w:uiPriority w:val="99"/>
    <w:semiHidden/>
    <w:rsid w:val="00CD32F0"/>
    <w:rPr>
      <w:b/>
      <w:bCs/>
      <w:sz w:val="20"/>
      <w:szCs w:val="20"/>
    </w:rPr>
  </w:style>
  <w:style w:type="character" w:customStyle="1" w:styleId="Heading1Char">
    <w:name w:val="Heading 1 Char"/>
    <w:basedOn w:val="DefaultParagraphFont"/>
    <w:link w:val="Heading1"/>
    <w:uiPriority w:val="9"/>
    <w:rsid w:val="000D3025"/>
    <w:rPr>
      <w:rFonts w:asciiTheme="majorHAnsi" w:eastAsiaTheme="majorEastAsia" w:hAnsiTheme="majorHAnsi" w:cstheme="majorBidi"/>
      <w:b/>
      <w:bCs/>
      <w:color w:val="365F91" w:themeColor="accent1" w:themeShade="BF"/>
      <w:sz w:val="28"/>
      <w:szCs w:val="28"/>
      <w:lang w:eastAsia="es-ES"/>
    </w:rPr>
  </w:style>
  <w:style w:type="character" w:styleId="Hyperlink">
    <w:name w:val="Hyperlink"/>
    <w:basedOn w:val="DefaultParagraphFont"/>
    <w:uiPriority w:val="99"/>
    <w:unhideWhenUsed/>
    <w:rsid w:val="000D3025"/>
    <w:rPr>
      <w:color w:val="0000FF" w:themeColor="hyperlink"/>
      <w:u w:val="single"/>
    </w:rPr>
  </w:style>
  <w:style w:type="paragraph" w:styleId="TOCHeading">
    <w:name w:val="TOC Heading"/>
    <w:basedOn w:val="Heading1"/>
    <w:next w:val="Normal"/>
    <w:uiPriority w:val="39"/>
    <w:semiHidden/>
    <w:unhideWhenUsed/>
    <w:qFormat/>
    <w:rsid w:val="000D3025"/>
    <w:pPr>
      <w:outlineLvl w:val="9"/>
    </w:pPr>
  </w:style>
  <w:style w:type="paragraph" w:styleId="TOC1">
    <w:name w:val="toc 1"/>
    <w:basedOn w:val="Normal"/>
    <w:next w:val="Normal"/>
    <w:autoRedefine/>
    <w:uiPriority w:val="39"/>
    <w:unhideWhenUsed/>
    <w:rsid w:val="000D3025"/>
    <w:pPr>
      <w:spacing w:after="100"/>
    </w:pPr>
    <w:rPr>
      <w:rFonts w:eastAsiaTheme="minorEastAsia"/>
      <w:lang w:eastAsia="es-ES"/>
    </w:rPr>
  </w:style>
  <w:style w:type="paragraph" w:customStyle="1" w:styleId="Chapter">
    <w:name w:val="Chapter"/>
    <w:basedOn w:val="Normal"/>
    <w:next w:val="Normal"/>
    <w:rsid w:val="00C77103"/>
    <w:pPr>
      <w:numPr>
        <w:numId w:val="12"/>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BodyTextIndent"/>
    <w:link w:val="ParagraphChar"/>
    <w:rsid w:val="00C77103"/>
    <w:pPr>
      <w:numPr>
        <w:ilvl w:val="1"/>
        <w:numId w:val="12"/>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C77103"/>
    <w:pPr>
      <w:numPr>
        <w:ilvl w:val="2"/>
        <w:numId w:val="12"/>
      </w:numPr>
      <w:tabs>
        <w:tab w:val="clear" w:pos="1152"/>
      </w:tabs>
      <w:spacing w:before="120" w:line="240" w:lineRule="auto"/>
      <w:ind w:left="180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C77103"/>
    <w:pPr>
      <w:numPr>
        <w:ilvl w:val="3"/>
      </w:numPr>
      <w:tabs>
        <w:tab w:val="clear" w:pos="1584"/>
        <w:tab w:val="left" w:pos="0"/>
      </w:tabs>
      <w:ind w:left="2520" w:hanging="360"/>
    </w:pPr>
  </w:style>
  <w:style w:type="character" w:customStyle="1" w:styleId="ParagraphChar">
    <w:name w:val="Paragraph Char"/>
    <w:link w:val="Paragraph"/>
    <w:rsid w:val="00C77103"/>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C771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7103"/>
    <w:rPr>
      <w:sz w:val="16"/>
      <w:szCs w:val="16"/>
    </w:rPr>
  </w:style>
  <w:style w:type="character" w:customStyle="1" w:styleId="ListParagraphChar">
    <w:name w:val="List Paragraph Char"/>
    <w:basedOn w:val="DefaultParagraphFont"/>
    <w:link w:val="ListParagraph"/>
    <w:uiPriority w:val="34"/>
    <w:rsid w:val="00D201F4"/>
  </w:style>
  <w:style w:type="paragraph" w:customStyle="1" w:styleId="ColorfulList-Accent11">
    <w:name w:val="Colorful List - Accent 11"/>
    <w:basedOn w:val="Normal"/>
    <w:link w:val="ColorfulList-Accent1Char"/>
    <w:uiPriority w:val="34"/>
    <w:qFormat/>
    <w:rsid w:val="00D201F4"/>
    <w:pPr>
      <w:spacing w:after="0" w:line="240" w:lineRule="auto"/>
      <w:ind w:left="720"/>
      <w:contextualSpacing/>
    </w:pPr>
    <w:rPr>
      <w:rFonts w:ascii="Calibri" w:eastAsia="Calibri" w:hAnsi="Calibri" w:cs="Times New Roman"/>
      <w:lang w:val="es-ES_tradnl"/>
    </w:rPr>
  </w:style>
  <w:style w:type="character" w:customStyle="1" w:styleId="ColorfulList-Accent1Char">
    <w:name w:val="Colorful List - Accent 1 Char"/>
    <w:link w:val="ColorfulList-Accent11"/>
    <w:uiPriority w:val="34"/>
    <w:rsid w:val="00D201F4"/>
    <w:rPr>
      <w:rFonts w:ascii="Calibri" w:eastAsia="Calibri" w:hAnsi="Calibri" w:cs="Times New Roman"/>
      <w:lang w:val="es-ES_tradnl"/>
    </w:rPr>
  </w:style>
  <w:style w:type="paragraph" w:styleId="Header">
    <w:name w:val="header"/>
    <w:basedOn w:val="Normal"/>
    <w:link w:val="HeaderChar"/>
    <w:uiPriority w:val="99"/>
    <w:unhideWhenUsed/>
    <w:rsid w:val="0028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F8"/>
  </w:style>
  <w:style w:type="paragraph" w:styleId="Footer">
    <w:name w:val="footer"/>
    <w:basedOn w:val="Normal"/>
    <w:link w:val="FooterChar"/>
    <w:uiPriority w:val="99"/>
    <w:unhideWhenUsed/>
    <w:rsid w:val="0028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F8"/>
  </w:style>
  <w:style w:type="character" w:styleId="FollowedHyperlink">
    <w:name w:val="FollowedHyperlink"/>
    <w:basedOn w:val="DefaultParagraphFont"/>
    <w:uiPriority w:val="99"/>
    <w:semiHidden/>
    <w:unhideWhenUsed/>
    <w:rsid w:val="00C67474"/>
    <w:rPr>
      <w:color w:val="800080" w:themeColor="followedHyperlink"/>
      <w:u w:val="single"/>
    </w:rPr>
  </w:style>
  <w:style w:type="paragraph" w:styleId="NormalWeb">
    <w:name w:val="Normal (Web)"/>
    <w:basedOn w:val="Normal"/>
    <w:uiPriority w:val="99"/>
    <w:unhideWhenUsed/>
    <w:rsid w:val="002A467D"/>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8511">
      <w:bodyDiv w:val="1"/>
      <w:marLeft w:val="0"/>
      <w:marRight w:val="0"/>
      <w:marTop w:val="0"/>
      <w:marBottom w:val="0"/>
      <w:divBdr>
        <w:top w:val="none" w:sz="0" w:space="0" w:color="auto"/>
        <w:left w:val="none" w:sz="0" w:space="0" w:color="auto"/>
        <w:bottom w:val="none" w:sz="0" w:space="0" w:color="auto"/>
        <w:right w:val="none" w:sz="0" w:space="0" w:color="auto"/>
      </w:divBdr>
    </w:div>
    <w:div w:id="195697477">
      <w:bodyDiv w:val="1"/>
      <w:marLeft w:val="0"/>
      <w:marRight w:val="0"/>
      <w:marTop w:val="0"/>
      <w:marBottom w:val="0"/>
      <w:divBdr>
        <w:top w:val="none" w:sz="0" w:space="0" w:color="auto"/>
        <w:left w:val="none" w:sz="0" w:space="0" w:color="auto"/>
        <w:bottom w:val="none" w:sz="0" w:space="0" w:color="auto"/>
        <w:right w:val="none" w:sz="0" w:space="0" w:color="auto"/>
      </w:divBdr>
    </w:div>
    <w:div w:id="430203240">
      <w:bodyDiv w:val="1"/>
      <w:marLeft w:val="0"/>
      <w:marRight w:val="0"/>
      <w:marTop w:val="0"/>
      <w:marBottom w:val="0"/>
      <w:divBdr>
        <w:top w:val="none" w:sz="0" w:space="0" w:color="auto"/>
        <w:left w:val="none" w:sz="0" w:space="0" w:color="auto"/>
        <w:bottom w:val="none" w:sz="0" w:space="0" w:color="auto"/>
        <w:right w:val="none" w:sz="0" w:space="0" w:color="auto"/>
      </w:divBdr>
    </w:div>
    <w:div w:id="623124664">
      <w:bodyDiv w:val="1"/>
      <w:marLeft w:val="0"/>
      <w:marRight w:val="0"/>
      <w:marTop w:val="0"/>
      <w:marBottom w:val="0"/>
      <w:divBdr>
        <w:top w:val="none" w:sz="0" w:space="0" w:color="auto"/>
        <w:left w:val="none" w:sz="0" w:space="0" w:color="auto"/>
        <w:bottom w:val="none" w:sz="0" w:space="0" w:color="auto"/>
        <w:right w:val="none" w:sz="0" w:space="0" w:color="auto"/>
      </w:divBdr>
    </w:div>
    <w:div w:id="643660597">
      <w:bodyDiv w:val="1"/>
      <w:marLeft w:val="0"/>
      <w:marRight w:val="0"/>
      <w:marTop w:val="0"/>
      <w:marBottom w:val="0"/>
      <w:divBdr>
        <w:top w:val="none" w:sz="0" w:space="0" w:color="auto"/>
        <w:left w:val="none" w:sz="0" w:space="0" w:color="auto"/>
        <w:bottom w:val="none" w:sz="0" w:space="0" w:color="auto"/>
        <w:right w:val="none" w:sz="0" w:space="0" w:color="auto"/>
      </w:divBdr>
    </w:div>
    <w:div w:id="704598120">
      <w:bodyDiv w:val="1"/>
      <w:marLeft w:val="0"/>
      <w:marRight w:val="0"/>
      <w:marTop w:val="0"/>
      <w:marBottom w:val="0"/>
      <w:divBdr>
        <w:top w:val="none" w:sz="0" w:space="0" w:color="auto"/>
        <w:left w:val="none" w:sz="0" w:space="0" w:color="auto"/>
        <w:bottom w:val="none" w:sz="0" w:space="0" w:color="auto"/>
        <w:right w:val="none" w:sz="0" w:space="0" w:color="auto"/>
      </w:divBdr>
    </w:div>
    <w:div w:id="756901322">
      <w:bodyDiv w:val="1"/>
      <w:marLeft w:val="0"/>
      <w:marRight w:val="0"/>
      <w:marTop w:val="0"/>
      <w:marBottom w:val="0"/>
      <w:divBdr>
        <w:top w:val="none" w:sz="0" w:space="0" w:color="auto"/>
        <w:left w:val="none" w:sz="0" w:space="0" w:color="auto"/>
        <w:bottom w:val="none" w:sz="0" w:space="0" w:color="auto"/>
        <w:right w:val="none" w:sz="0" w:space="0" w:color="auto"/>
      </w:divBdr>
    </w:div>
    <w:div w:id="764543521">
      <w:bodyDiv w:val="1"/>
      <w:marLeft w:val="0"/>
      <w:marRight w:val="0"/>
      <w:marTop w:val="0"/>
      <w:marBottom w:val="0"/>
      <w:divBdr>
        <w:top w:val="none" w:sz="0" w:space="0" w:color="auto"/>
        <w:left w:val="none" w:sz="0" w:space="0" w:color="auto"/>
        <w:bottom w:val="none" w:sz="0" w:space="0" w:color="auto"/>
        <w:right w:val="none" w:sz="0" w:space="0" w:color="auto"/>
      </w:divBdr>
    </w:div>
    <w:div w:id="798303973">
      <w:bodyDiv w:val="1"/>
      <w:marLeft w:val="0"/>
      <w:marRight w:val="0"/>
      <w:marTop w:val="0"/>
      <w:marBottom w:val="0"/>
      <w:divBdr>
        <w:top w:val="none" w:sz="0" w:space="0" w:color="auto"/>
        <w:left w:val="none" w:sz="0" w:space="0" w:color="auto"/>
        <w:bottom w:val="none" w:sz="0" w:space="0" w:color="auto"/>
        <w:right w:val="none" w:sz="0" w:space="0" w:color="auto"/>
      </w:divBdr>
    </w:div>
    <w:div w:id="869028807">
      <w:bodyDiv w:val="1"/>
      <w:marLeft w:val="0"/>
      <w:marRight w:val="0"/>
      <w:marTop w:val="0"/>
      <w:marBottom w:val="0"/>
      <w:divBdr>
        <w:top w:val="none" w:sz="0" w:space="0" w:color="auto"/>
        <w:left w:val="none" w:sz="0" w:space="0" w:color="auto"/>
        <w:bottom w:val="none" w:sz="0" w:space="0" w:color="auto"/>
        <w:right w:val="none" w:sz="0" w:space="0" w:color="auto"/>
      </w:divBdr>
    </w:div>
    <w:div w:id="886458060">
      <w:bodyDiv w:val="1"/>
      <w:marLeft w:val="0"/>
      <w:marRight w:val="0"/>
      <w:marTop w:val="0"/>
      <w:marBottom w:val="0"/>
      <w:divBdr>
        <w:top w:val="none" w:sz="0" w:space="0" w:color="auto"/>
        <w:left w:val="none" w:sz="0" w:space="0" w:color="auto"/>
        <w:bottom w:val="none" w:sz="0" w:space="0" w:color="auto"/>
        <w:right w:val="none" w:sz="0" w:space="0" w:color="auto"/>
      </w:divBdr>
    </w:div>
    <w:div w:id="955646467">
      <w:bodyDiv w:val="1"/>
      <w:marLeft w:val="0"/>
      <w:marRight w:val="0"/>
      <w:marTop w:val="0"/>
      <w:marBottom w:val="0"/>
      <w:divBdr>
        <w:top w:val="none" w:sz="0" w:space="0" w:color="auto"/>
        <w:left w:val="none" w:sz="0" w:space="0" w:color="auto"/>
        <w:bottom w:val="none" w:sz="0" w:space="0" w:color="auto"/>
        <w:right w:val="none" w:sz="0" w:space="0" w:color="auto"/>
      </w:divBdr>
    </w:div>
    <w:div w:id="1056323029">
      <w:bodyDiv w:val="1"/>
      <w:marLeft w:val="0"/>
      <w:marRight w:val="0"/>
      <w:marTop w:val="0"/>
      <w:marBottom w:val="0"/>
      <w:divBdr>
        <w:top w:val="none" w:sz="0" w:space="0" w:color="auto"/>
        <w:left w:val="none" w:sz="0" w:space="0" w:color="auto"/>
        <w:bottom w:val="none" w:sz="0" w:space="0" w:color="auto"/>
        <w:right w:val="none" w:sz="0" w:space="0" w:color="auto"/>
      </w:divBdr>
    </w:div>
    <w:div w:id="1090195522">
      <w:bodyDiv w:val="1"/>
      <w:marLeft w:val="0"/>
      <w:marRight w:val="0"/>
      <w:marTop w:val="0"/>
      <w:marBottom w:val="0"/>
      <w:divBdr>
        <w:top w:val="none" w:sz="0" w:space="0" w:color="auto"/>
        <w:left w:val="none" w:sz="0" w:space="0" w:color="auto"/>
        <w:bottom w:val="none" w:sz="0" w:space="0" w:color="auto"/>
        <w:right w:val="none" w:sz="0" w:space="0" w:color="auto"/>
      </w:divBdr>
    </w:div>
    <w:div w:id="1186407691">
      <w:bodyDiv w:val="1"/>
      <w:marLeft w:val="0"/>
      <w:marRight w:val="0"/>
      <w:marTop w:val="0"/>
      <w:marBottom w:val="0"/>
      <w:divBdr>
        <w:top w:val="none" w:sz="0" w:space="0" w:color="auto"/>
        <w:left w:val="none" w:sz="0" w:space="0" w:color="auto"/>
        <w:bottom w:val="none" w:sz="0" w:space="0" w:color="auto"/>
        <w:right w:val="none" w:sz="0" w:space="0" w:color="auto"/>
      </w:divBdr>
    </w:div>
    <w:div w:id="1375304034">
      <w:bodyDiv w:val="1"/>
      <w:marLeft w:val="0"/>
      <w:marRight w:val="0"/>
      <w:marTop w:val="0"/>
      <w:marBottom w:val="0"/>
      <w:divBdr>
        <w:top w:val="none" w:sz="0" w:space="0" w:color="auto"/>
        <w:left w:val="none" w:sz="0" w:space="0" w:color="auto"/>
        <w:bottom w:val="none" w:sz="0" w:space="0" w:color="auto"/>
        <w:right w:val="none" w:sz="0" w:space="0" w:color="auto"/>
      </w:divBdr>
    </w:div>
    <w:div w:id="1477649869">
      <w:bodyDiv w:val="1"/>
      <w:marLeft w:val="0"/>
      <w:marRight w:val="0"/>
      <w:marTop w:val="0"/>
      <w:marBottom w:val="0"/>
      <w:divBdr>
        <w:top w:val="none" w:sz="0" w:space="0" w:color="auto"/>
        <w:left w:val="none" w:sz="0" w:space="0" w:color="auto"/>
        <w:bottom w:val="none" w:sz="0" w:space="0" w:color="auto"/>
        <w:right w:val="none" w:sz="0" w:space="0" w:color="auto"/>
      </w:divBdr>
    </w:div>
    <w:div w:id="1487210995">
      <w:bodyDiv w:val="1"/>
      <w:marLeft w:val="0"/>
      <w:marRight w:val="0"/>
      <w:marTop w:val="0"/>
      <w:marBottom w:val="0"/>
      <w:divBdr>
        <w:top w:val="none" w:sz="0" w:space="0" w:color="auto"/>
        <w:left w:val="none" w:sz="0" w:space="0" w:color="auto"/>
        <w:bottom w:val="none" w:sz="0" w:space="0" w:color="auto"/>
        <w:right w:val="none" w:sz="0" w:space="0" w:color="auto"/>
      </w:divBdr>
    </w:div>
    <w:div w:id="1618104688">
      <w:bodyDiv w:val="1"/>
      <w:marLeft w:val="0"/>
      <w:marRight w:val="0"/>
      <w:marTop w:val="0"/>
      <w:marBottom w:val="0"/>
      <w:divBdr>
        <w:top w:val="none" w:sz="0" w:space="0" w:color="auto"/>
        <w:left w:val="none" w:sz="0" w:space="0" w:color="auto"/>
        <w:bottom w:val="none" w:sz="0" w:space="0" w:color="auto"/>
        <w:right w:val="none" w:sz="0" w:space="0" w:color="auto"/>
      </w:divBdr>
    </w:div>
    <w:div w:id="1682585791">
      <w:bodyDiv w:val="1"/>
      <w:marLeft w:val="0"/>
      <w:marRight w:val="0"/>
      <w:marTop w:val="0"/>
      <w:marBottom w:val="0"/>
      <w:divBdr>
        <w:top w:val="none" w:sz="0" w:space="0" w:color="auto"/>
        <w:left w:val="none" w:sz="0" w:space="0" w:color="auto"/>
        <w:bottom w:val="none" w:sz="0" w:space="0" w:color="auto"/>
        <w:right w:val="none" w:sz="0" w:space="0" w:color="auto"/>
      </w:divBdr>
    </w:div>
    <w:div w:id="1730231304">
      <w:bodyDiv w:val="1"/>
      <w:marLeft w:val="0"/>
      <w:marRight w:val="0"/>
      <w:marTop w:val="0"/>
      <w:marBottom w:val="0"/>
      <w:divBdr>
        <w:top w:val="none" w:sz="0" w:space="0" w:color="auto"/>
        <w:left w:val="none" w:sz="0" w:space="0" w:color="auto"/>
        <w:bottom w:val="none" w:sz="0" w:space="0" w:color="auto"/>
        <w:right w:val="none" w:sz="0" w:space="0" w:color="auto"/>
      </w:divBdr>
    </w:div>
    <w:div w:id="1752435288">
      <w:bodyDiv w:val="1"/>
      <w:marLeft w:val="0"/>
      <w:marRight w:val="0"/>
      <w:marTop w:val="0"/>
      <w:marBottom w:val="0"/>
      <w:divBdr>
        <w:top w:val="none" w:sz="0" w:space="0" w:color="auto"/>
        <w:left w:val="none" w:sz="0" w:space="0" w:color="auto"/>
        <w:bottom w:val="none" w:sz="0" w:space="0" w:color="auto"/>
        <w:right w:val="none" w:sz="0" w:space="0" w:color="auto"/>
      </w:divBdr>
    </w:div>
    <w:div w:id="1989283617">
      <w:bodyDiv w:val="1"/>
      <w:marLeft w:val="0"/>
      <w:marRight w:val="0"/>
      <w:marTop w:val="0"/>
      <w:marBottom w:val="0"/>
      <w:divBdr>
        <w:top w:val="none" w:sz="0" w:space="0" w:color="auto"/>
        <w:left w:val="none" w:sz="0" w:space="0" w:color="auto"/>
        <w:bottom w:val="none" w:sz="0" w:space="0" w:color="auto"/>
        <w:right w:val="none" w:sz="0" w:space="0" w:color="auto"/>
      </w:divBdr>
    </w:div>
    <w:div w:id="2045204213">
      <w:bodyDiv w:val="1"/>
      <w:marLeft w:val="0"/>
      <w:marRight w:val="0"/>
      <w:marTop w:val="0"/>
      <w:marBottom w:val="0"/>
      <w:divBdr>
        <w:top w:val="none" w:sz="0" w:space="0" w:color="auto"/>
        <w:left w:val="none" w:sz="0" w:space="0" w:color="auto"/>
        <w:bottom w:val="none" w:sz="0" w:space="0" w:color="auto"/>
        <w:right w:val="none" w:sz="0" w:space="0" w:color="auto"/>
      </w:divBdr>
    </w:div>
    <w:div w:id="2125344107">
      <w:bodyDiv w:val="1"/>
      <w:marLeft w:val="0"/>
      <w:marRight w:val="0"/>
      <w:marTop w:val="0"/>
      <w:marBottom w:val="0"/>
      <w:divBdr>
        <w:top w:val="none" w:sz="0" w:space="0" w:color="auto"/>
        <w:left w:val="none" w:sz="0" w:space="0" w:color="auto"/>
        <w:bottom w:val="none" w:sz="0" w:space="0" w:color="auto"/>
        <w:right w:val="none" w:sz="0" w:space="0" w:color="auto"/>
      </w:divBdr>
    </w:div>
    <w:div w:id="21345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onomics.mit.edu/files/695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penknowledge.worldbank.org/handle/10986/6659"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publications.iadb.org/bitstream/handle/11319/6703/Documento-de-Marco-Sectorial-de-Protecci%c3%b3n-Social-y-Pobreza.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ublications.iadb.org/handle/11319/7259" TargetMode="External"/><Relationship Id="rId20" Type="http://schemas.openxmlformats.org/officeDocument/2006/relationships/hyperlink" Target="http://www.ncbi.nlm.nih.gov/pubmed/161194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idbdocs.iadb.org/wsdocs/getDocument.aspx?DOCNUM=39537665" TargetMode="External"/><Relationship Id="rId23" Type="http://schemas.openxmlformats.org/officeDocument/2006/relationships/hyperlink" Target="http://facweb.knowlton.ohio-state.edu/pviton/courses/crp6600/zhuang_etal.pdf"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economicissues.org.uk/Files/108Evan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ncbi.nlm.nih.gov/pubmed/1293869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9400B988B75C3540BBB00AD6D7D28BA1" ma:contentTypeVersion="915" ma:contentTypeDescription="The base project type from which other project content types inherit their information." ma:contentTypeScope="" ma:versionID="fd29098cbc98a6eaab8efb822c9b34dd">
  <xsd:schema xmlns:xsd="http://www.w3.org/2001/XMLSchema" xmlns:xs="http://www.w3.org/2001/XMLSchema" xmlns:p="http://schemas.microsoft.com/office/2006/metadata/properties" xmlns:ns2="cdc7663a-08f0-4737-9e8c-148ce897a09c" targetNamespace="http://schemas.microsoft.com/office/2006/metadata/properties" ma:root="true" ma:fieldsID="2d8ce38d8a3abfe4d0dc6cbc21c7e4a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N-L1152"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_catalogs/masterpage/ECMForms/OperationsCT/View.aspx</Display>
  <Edit>_catalogs/masterpage/ECMForms/OperationsCT/Edit.aspx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Key_x0020_Document xmlns="cdc7663a-08f0-4737-9e8c-148ce897a09c">false</Key_x0020_Document>
    <Division_x0020_or_x0020_Unit xmlns="cdc7663a-08f0-4737-9e8c-148ce897a09c">SCL/SPH</Division_x0020_or_x0020_Unit>
    <Other_x0020_Author xmlns="cdc7663a-08f0-4737-9e8c-148ce897a09c" xsi:nil="true"/>
    <IDBDocs_x0020_Number xmlns="cdc7663a-08f0-4737-9e8c-148ce897a09c">40128777</IDBDocs_x0020_Number>
    <Document_x0020_Author xmlns="cdc7663a-08f0-4737-9e8c-148ce897a09c">Stampini, Marco</Document_x0020_Author>
    <Operation_x0020_Type xmlns="cdc7663a-08f0-4737-9e8c-148ce897a09c" xsi:nil="true"/>
    <TaxCatchAll xmlns="cdc7663a-08f0-4737-9e8c-148ce897a09c">
      <Value>25</Value>
      <Value>22</Value>
      <Value>9</Value>
      <Value>29</Value>
      <Value>148</Value>
    </TaxCatchAll>
    <Fiscal_x0020_Year_x0020_IDB xmlns="cdc7663a-08f0-4737-9e8c-148ce897a09c">2018</Fiscal_x0020_Year_x0020_IDB>
    <Project_x0020_Number xmlns="cdc7663a-08f0-4737-9e8c-148ce897a09c">PN-L1118</Project_x0020_Number>
    <Package_x0020_Code xmlns="cdc7663a-08f0-4737-9e8c-148ce897a09c" xsi:nil="true"/>
    <Migration_x0020_Info xmlns="cdc7663a-08f0-4737-9e8c-148ce897a09c">MS WORDLoan ProposalCGCommittee of the Whole0N</Migration_x0020_Info>
    <Approval_x0020_Number xmlns="cdc7663a-08f0-4737-9e8c-148ce897a09c">3724/OC-PN;</Approval_x0020_Number>
    <Business_x0020_Area xmlns="cdc7663a-08f0-4737-9e8c-148ce897a09c" xsi:nil="true"/>
    <SISCOR_x0020_Number xmlns="cdc7663a-08f0-4737-9e8c-148ce897a09c" xsi:nil="true"/>
    <Identifier xmlns="cdc7663a-08f0-4737-9e8c-148ce897a09c"> ANNEX</Identifier>
    <Document_x0020_Language_x0020_IDB xmlns="cdc7663a-08f0-4737-9e8c-148ce897a09c">Spanish</Document_x0020_Language_x0020_IDB>
    <Pha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Panama</TermName>
          <TermId xmlns="http://schemas.microsoft.com/office/infopath/2007/PartnerControls">7af43a84-776d-43d1-b0f2-8a1f2a8ffc7b</TermId>
        </TermInfo>
      </Term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396ec9c3-9632-4cdc-a19a-36df0d2b2979</TermId>
        </TermInfo>
      </Terms>
    </b2ec7cfb18674cb8803df6b262e8b107>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R0002281277</Record_x0020_Number>
    <_dlc_DocId xmlns="cdc7663a-08f0-4737-9e8c-148ce897a09c">EZSHARE-118147578-13</_dlc_DocId>
    <_dlc_DocIdUrl xmlns="cdc7663a-08f0-4737-9e8c-148ce897a09c">
      <Url>https://idbg.sharepoint.com/teams/EZ-PN-LON/PN-L1152/_layouts/15/DocIdRedir.aspx?ID=EZSHARE-118147578-13</Url>
      <Description>EZSHARE-118147578-13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062D-3200-4988-A6E3-466E9F746CB1}"/>
</file>

<file path=customXml/itemProps2.xml><?xml version="1.0" encoding="utf-8"?>
<ds:datastoreItem xmlns:ds="http://schemas.openxmlformats.org/officeDocument/2006/customXml" ds:itemID="{0AEA80E6-FDEE-41C9-95D4-5F80BEF8541D}">
  <ds:schemaRefs>
    <ds:schemaRef ds:uri="Microsoft.SharePoint.Taxonomy.ContentTypeSync"/>
  </ds:schemaRefs>
</ds:datastoreItem>
</file>

<file path=customXml/itemProps3.xml><?xml version="1.0" encoding="utf-8"?>
<ds:datastoreItem xmlns:ds="http://schemas.openxmlformats.org/officeDocument/2006/customXml" ds:itemID="{A8430E62-5BCE-4EFF-B173-2FE54CA761AC}">
  <ds:schemaRefs>
    <ds:schemaRef ds:uri="http://schemas.microsoft.com/sharepoint/v3/contenttype/forms"/>
  </ds:schemaRefs>
</ds:datastoreItem>
</file>

<file path=customXml/itemProps4.xml><?xml version="1.0" encoding="utf-8"?>
<ds:datastoreItem xmlns:ds="http://schemas.openxmlformats.org/officeDocument/2006/customXml" ds:itemID="{032BF5AB-BAA0-40F2-8BCD-D2E32B8EA93E}">
  <ds:schemaRefs>
    <ds:schemaRef ds:uri="http://schemas.microsoft.com/sharepoint/v3/contenttype/forms/url"/>
  </ds:schemaRefs>
</ds:datastoreItem>
</file>

<file path=customXml/itemProps5.xml><?xml version="1.0" encoding="utf-8"?>
<ds:datastoreItem xmlns:ds="http://schemas.openxmlformats.org/officeDocument/2006/customXml" ds:itemID="{A1AD76CA-E709-4F62-91DF-853B09996890}">
  <ds:schemaRefs>
    <ds:schemaRef ds:uri="http://schemas.microsoft.com/sharepoint/events"/>
  </ds:schemaRefs>
</ds:datastoreItem>
</file>

<file path=customXml/itemProps6.xml><?xml version="1.0" encoding="utf-8"?>
<ds:datastoreItem xmlns:ds="http://schemas.openxmlformats.org/officeDocument/2006/customXml" ds:itemID="{BF228BDC-D615-4583-BA77-3ECD46BD5B99}">
  <ds:schemaRefs>
    <ds:schemaRef ds:uri="http://purl.org/dc/dcmitype/"/>
    <ds:schemaRef ds:uri="http://schemas.openxmlformats.org/package/2006/metadata/core-properties"/>
    <ds:schemaRef ds:uri="cdc7663a-08f0-4737-9e8c-148ce897a09c"/>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7.xml><?xml version="1.0" encoding="utf-8"?>
<ds:datastoreItem xmlns:ds="http://schemas.openxmlformats.org/officeDocument/2006/customXml" ds:itemID="{ED246A85-B2C4-4CFA-8CF9-945576FD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3939</Words>
  <Characters>22453</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LP EEO _1 Análisis económico</vt:lpstr>
      <vt:lpstr/>
    </vt:vector>
  </TitlesOfParts>
  <Company>Inter-American Development Bank</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EEO _1 Análisis económico</dc:title>
  <dc:creator>gabriel</dc:creator>
  <cp:keywords/>
  <cp:lastModifiedBy>Silveira, Sheyla</cp:lastModifiedBy>
  <cp:revision>3</cp:revision>
  <dcterms:created xsi:type="dcterms:W3CDTF">2018-05-24T21:35:00Z</dcterms:created>
  <dcterms:modified xsi:type="dcterms:W3CDTF">2018-05-25T13:16:00Z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0x010100ACF722E9F6B0B149B0CD8BE2560A6672009400B988B75C3540BBB00AD6D7D28BA1</vt:lpwstr>
  </property>
  <property fmtid="{D5CDD505-2E9C-101B-9397-08002B2CF9AE}" pid="5" name="TaxKeywordTaxHTField">
    <vt:lpwstr/>
  </property>
  <property fmtid="{D5CDD505-2E9C-101B-9397-08002B2CF9AE}" pid="6" name="Series Operations IDB">
    <vt:lpwstr>7;#Unclassified|a6dff32e-d477-44cd-a56b-85efe9e0a56c</vt:lpwstr>
  </property>
  <property fmtid="{D5CDD505-2E9C-101B-9397-08002B2CF9AE}" pid="7" name="Sub-Sector">
    <vt:lpwstr>148;#SOCIAL INVESTMENT|396ec9c3-9632-4cdc-a19a-36df0d2b2979</vt:lpwstr>
  </property>
  <property fmtid="{D5CDD505-2E9C-101B-9397-08002B2CF9AE}" pid="8" name="Country">
    <vt:lpwstr>22;#Panama|7af43a84-776d-43d1-b0f2-8a1f2a8ffc7b</vt:lpwstr>
  </property>
  <property fmtid="{D5CDD505-2E9C-101B-9397-08002B2CF9AE}" pid="9" name="Fund IDB">
    <vt:lpwstr>25;#ORC|c028a4b2-ad8b-4cf4-9cac-a2ae6a778e23</vt:lpwstr>
  </property>
  <property fmtid="{D5CDD505-2E9C-101B-9397-08002B2CF9AE}" pid="10" name="Series_x0020_Operations_x0020_IDB">
    <vt:lpwstr>7;#Unclassified|a6dff32e-d477-44cd-a56b-85efe9e0a56c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29;#SOCIAL INVESTMENT|3f908695-d5b5-49f6-941f-76876b39564f</vt:lpwstr>
  </property>
  <property fmtid="{D5CDD505-2E9C-101B-9397-08002B2CF9AE}" pid="14" name="Function Operations IDB">
    <vt:lpwstr>9;#IDBDocs|cca77002-e150-4b2d-ab1f-1d7a7cdcae16</vt:lpwstr>
  </property>
  <property fmtid="{D5CDD505-2E9C-101B-9397-08002B2CF9AE}" pid="15" name="_dlc_DocIdItemGuid">
    <vt:lpwstr>5ae55ab9-8e2a-43b4-b7f6-837a40bccf64</vt:lpwstr>
  </property>
  <property fmtid="{D5CDD505-2E9C-101B-9397-08002B2CF9AE}" pid="16" name="Disclosed">
    <vt:bool>true</vt:bool>
  </property>
</Properties>
</file>