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AA55C" w14:textId="77777777" w:rsidR="003A2979" w:rsidRPr="009A3A33" w:rsidRDefault="003A2979" w:rsidP="003A2979">
      <w:pPr>
        <w:spacing w:after="0"/>
        <w:jc w:val="center"/>
        <w:rPr>
          <w:rFonts w:ascii="Arial" w:hAnsi="Arial" w:cs="Arial"/>
          <w:b/>
          <w:smallCaps/>
          <w:sz w:val="24"/>
          <w:szCs w:val="20"/>
          <w:lang w:val="es-ES_tradnl"/>
        </w:rPr>
      </w:pPr>
      <w:r w:rsidRPr="009A3A33">
        <w:rPr>
          <w:rFonts w:ascii="Arial" w:hAnsi="Arial" w:cs="Arial"/>
          <w:b/>
          <w:smallCaps/>
          <w:sz w:val="24"/>
          <w:szCs w:val="20"/>
          <w:lang w:val="es-ES_tradnl"/>
        </w:rPr>
        <w:t xml:space="preserve">Matriz de </w:t>
      </w:r>
      <w:r>
        <w:rPr>
          <w:rFonts w:ascii="Arial" w:hAnsi="Arial" w:cs="Arial"/>
          <w:b/>
          <w:smallCaps/>
          <w:sz w:val="24"/>
          <w:szCs w:val="20"/>
          <w:lang w:val="es-ES_tradnl"/>
        </w:rPr>
        <w:t>Medios de Verificación</w:t>
      </w:r>
    </w:p>
    <w:p w14:paraId="1D967D8F" w14:textId="77777777" w:rsidR="003A2979" w:rsidRPr="003A2979" w:rsidRDefault="003A2979">
      <w:pPr>
        <w:rPr>
          <w:lang w:val="es-ES_tradnl"/>
        </w:rPr>
      </w:pPr>
    </w:p>
    <w:tbl>
      <w:tblPr>
        <w:tblW w:w="119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18"/>
        <w:gridCol w:w="4320"/>
        <w:gridCol w:w="4050"/>
      </w:tblGrid>
      <w:tr w:rsidR="00564E18" w:rsidRPr="00F919C7" w14:paraId="6E253A61" w14:textId="77777777" w:rsidTr="00564E18">
        <w:trPr>
          <w:trHeight w:val="571"/>
          <w:tblHeader/>
        </w:trPr>
        <w:tc>
          <w:tcPr>
            <w:tcW w:w="3618" w:type="dxa"/>
            <w:shd w:val="clear" w:color="auto" w:fill="A6A6A6" w:themeFill="background1" w:themeFillShade="A6"/>
          </w:tcPr>
          <w:p w14:paraId="315BA733" w14:textId="77777777" w:rsidR="00564E18" w:rsidRDefault="00564E18" w:rsidP="00950219">
            <w:pPr>
              <w:suppressAutoHyphens/>
              <w:autoSpaceDN w:val="0"/>
              <w:spacing w:after="0" w:line="240" w:lineRule="auto"/>
              <w:jc w:val="center"/>
              <w:textAlignment w:val="baseline"/>
              <w:rPr>
                <w:rFonts w:ascii="Arial" w:eastAsia="Times New Roman" w:hAnsi="Arial" w:cs="Arial"/>
                <w:b/>
                <w:bCs/>
                <w:color w:val="000000"/>
                <w:sz w:val="18"/>
                <w:szCs w:val="18"/>
                <w:lang w:val="es-ES_tradnl"/>
              </w:rPr>
            </w:pPr>
          </w:p>
          <w:p w14:paraId="242A179C" w14:textId="684F0B87" w:rsidR="00564E18" w:rsidRPr="00F919C7" w:rsidRDefault="00564E18" w:rsidP="0033745D">
            <w:pPr>
              <w:suppressAutoHyphens/>
              <w:autoSpaceDN w:val="0"/>
              <w:spacing w:after="0" w:line="240" w:lineRule="auto"/>
              <w:jc w:val="center"/>
              <w:textAlignment w:val="baseline"/>
              <w:rPr>
                <w:rFonts w:ascii="Arial" w:eastAsia="Times New Roman" w:hAnsi="Arial" w:cs="Arial"/>
                <w:b/>
                <w:bCs/>
                <w:color w:val="000000"/>
                <w:sz w:val="18"/>
                <w:szCs w:val="18"/>
                <w:lang w:val="es-ES_tradnl"/>
              </w:rPr>
            </w:pPr>
            <w:r>
              <w:rPr>
                <w:rFonts w:ascii="Arial" w:eastAsia="Times New Roman" w:hAnsi="Arial" w:cs="Arial"/>
                <w:b/>
                <w:bCs/>
                <w:color w:val="000000"/>
                <w:sz w:val="18"/>
                <w:szCs w:val="18"/>
                <w:lang w:val="es-ES_tradnl"/>
              </w:rPr>
              <w:t>Objetivos de</w:t>
            </w:r>
            <w:r w:rsidR="0033745D">
              <w:rPr>
                <w:rFonts w:ascii="Arial" w:eastAsia="Times New Roman" w:hAnsi="Arial" w:cs="Arial"/>
                <w:b/>
                <w:bCs/>
                <w:color w:val="000000"/>
                <w:sz w:val="18"/>
                <w:szCs w:val="18"/>
                <w:lang w:val="es-ES_tradnl"/>
              </w:rPr>
              <w:t>l Componente</w:t>
            </w:r>
          </w:p>
        </w:tc>
        <w:tc>
          <w:tcPr>
            <w:tcW w:w="4320" w:type="dxa"/>
            <w:shd w:val="clear" w:color="auto" w:fill="A6A6A6" w:themeFill="background1" w:themeFillShade="A6"/>
            <w:tcMar>
              <w:top w:w="0" w:type="dxa"/>
              <w:left w:w="108" w:type="dxa"/>
              <w:bottom w:w="0" w:type="dxa"/>
              <w:right w:w="108" w:type="dxa"/>
            </w:tcMar>
            <w:vAlign w:val="center"/>
          </w:tcPr>
          <w:p w14:paraId="7DD88B78" w14:textId="77777777" w:rsidR="00564E18" w:rsidRPr="00564E18" w:rsidRDefault="00564E18" w:rsidP="00564E18">
            <w:pPr>
              <w:suppressAutoHyphens/>
              <w:autoSpaceDN w:val="0"/>
              <w:spacing w:after="0" w:line="240" w:lineRule="auto"/>
              <w:jc w:val="center"/>
              <w:textAlignment w:val="baseline"/>
              <w:rPr>
                <w:rFonts w:ascii="Arial" w:eastAsia="Times New Roman" w:hAnsi="Arial" w:cs="Arial"/>
                <w:b/>
                <w:bCs/>
                <w:color w:val="000000"/>
                <w:sz w:val="18"/>
                <w:szCs w:val="18"/>
                <w:lang w:val="es-ES_tradnl"/>
              </w:rPr>
            </w:pPr>
            <w:r w:rsidRPr="00F919C7">
              <w:rPr>
                <w:rFonts w:ascii="Arial" w:eastAsia="Times New Roman" w:hAnsi="Arial" w:cs="Arial"/>
                <w:b/>
                <w:bCs/>
                <w:color w:val="000000"/>
                <w:sz w:val="18"/>
                <w:szCs w:val="18"/>
                <w:lang w:val="es-ES_tradnl"/>
              </w:rPr>
              <w:t>A</w:t>
            </w:r>
            <w:r>
              <w:rPr>
                <w:rFonts w:ascii="Arial" w:eastAsia="Times New Roman" w:hAnsi="Arial" w:cs="Arial"/>
                <w:b/>
                <w:bCs/>
                <w:color w:val="000000"/>
                <w:sz w:val="18"/>
                <w:szCs w:val="18"/>
                <w:lang w:val="es-ES_tradnl"/>
              </w:rPr>
              <w:t xml:space="preserve">cuerdos </w:t>
            </w:r>
            <w:r w:rsidRPr="00F919C7">
              <w:rPr>
                <w:rFonts w:ascii="Arial" w:eastAsia="Times New Roman" w:hAnsi="Arial" w:cs="Arial"/>
                <w:b/>
                <w:bCs/>
                <w:color w:val="000000"/>
                <w:sz w:val="18"/>
                <w:szCs w:val="18"/>
                <w:lang w:val="es-ES_tradnl"/>
              </w:rPr>
              <w:t>2do P</w:t>
            </w:r>
            <w:r>
              <w:rPr>
                <w:rFonts w:ascii="Arial" w:eastAsia="Times New Roman" w:hAnsi="Arial" w:cs="Arial"/>
                <w:b/>
                <w:bCs/>
                <w:color w:val="000000"/>
                <w:sz w:val="18"/>
                <w:szCs w:val="18"/>
                <w:lang w:val="es-ES_tradnl"/>
              </w:rPr>
              <w:t>réstamo</w:t>
            </w:r>
          </w:p>
        </w:tc>
        <w:tc>
          <w:tcPr>
            <w:tcW w:w="4050" w:type="dxa"/>
            <w:shd w:val="clear" w:color="auto" w:fill="A6A6A6" w:themeFill="background1" w:themeFillShade="A6"/>
            <w:vAlign w:val="center"/>
          </w:tcPr>
          <w:p w14:paraId="776B6597" w14:textId="77777777" w:rsidR="00564E18" w:rsidRPr="00F919C7" w:rsidRDefault="00564E18" w:rsidP="00564E18">
            <w:pPr>
              <w:suppressAutoHyphens/>
              <w:autoSpaceDN w:val="0"/>
              <w:spacing w:after="0" w:line="240" w:lineRule="auto"/>
              <w:jc w:val="center"/>
              <w:textAlignment w:val="baseline"/>
              <w:rPr>
                <w:rFonts w:ascii="Arial" w:eastAsia="Times New Roman" w:hAnsi="Arial" w:cs="Arial"/>
                <w:b/>
                <w:bCs/>
                <w:color w:val="000000"/>
                <w:sz w:val="18"/>
                <w:szCs w:val="18"/>
                <w:lang w:val="es-ES_tradnl"/>
              </w:rPr>
            </w:pPr>
            <w:r w:rsidRPr="00F919C7">
              <w:rPr>
                <w:rFonts w:ascii="Arial" w:eastAsia="Times New Roman" w:hAnsi="Arial" w:cs="Arial"/>
                <w:b/>
                <w:bCs/>
                <w:color w:val="000000"/>
                <w:sz w:val="18"/>
                <w:szCs w:val="18"/>
                <w:lang w:val="es-ES_tradnl"/>
              </w:rPr>
              <w:t>M</w:t>
            </w:r>
            <w:r>
              <w:rPr>
                <w:rFonts w:ascii="Arial" w:eastAsia="Times New Roman" w:hAnsi="Arial" w:cs="Arial"/>
                <w:b/>
                <w:bCs/>
                <w:color w:val="000000"/>
                <w:sz w:val="18"/>
                <w:szCs w:val="18"/>
                <w:lang w:val="es-ES_tradnl"/>
              </w:rPr>
              <w:t>edios de Verificación</w:t>
            </w:r>
          </w:p>
        </w:tc>
      </w:tr>
      <w:tr w:rsidR="00564E18" w:rsidRPr="0033745D" w14:paraId="44003826" w14:textId="77777777" w:rsidTr="003956E8">
        <w:tc>
          <w:tcPr>
            <w:tcW w:w="11988" w:type="dxa"/>
            <w:gridSpan w:val="3"/>
            <w:tcBorders>
              <w:bottom w:val="single" w:sz="4" w:space="0" w:color="auto"/>
            </w:tcBorders>
            <w:shd w:val="clear" w:color="auto" w:fill="D9D9D9" w:themeFill="background1" w:themeFillShade="D9"/>
          </w:tcPr>
          <w:p w14:paraId="253D8411" w14:textId="3B7A2365" w:rsidR="00564E18" w:rsidRPr="00F919C7" w:rsidRDefault="00564E18" w:rsidP="00B613D3">
            <w:pPr>
              <w:tabs>
                <w:tab w:val="left" w:pos="4030"/>
              </w:tabs>
              <w:suppressAutoHyphens/>
              <w:autoSpaceDN w:val="0"/>
              <w:spacing w:after="0" w:line="240" w:lineRule="auto"/>
              <w:ind w:left="80"/>
              <w:textAlignment w:val="baseline"/>
              <w:rPr>
                <w:rFonts w:ascii="Arial" w:eastAsia="Times New Roman" w:hAnsi="Arial" w:cs="Arial"/>
                <w:b/>
                <w:sz w:val="18"/>
                <w:szCs w:val="18"/>
                <w:lang w:val="es-ES"/>
              </w:rPr>
            </w:pPr>
            <w:r w:rsidRPr="00B613D3">
              <w:rPr>
                <w:rFonts w:ascii="Arial" w:eastAsia="Times New Roman" w:hAnsi="Arial" w:cs="Arial"/>
                <w:b/>
                <w:bCs/>
                <w:sz w:val="18"/>
                <w:szCs w:val="18"/>
                <w:lang w:val="es-ES_tradnl"/>
              </w:rPr>
              <w:t>I. Marco macroeconómico estable</w:t>
            </w:r>
          </w:p>
        </w:tc>
      </w:tr>
      <w:tr w:rsidR="00564E18" w:rsidRPr="00FE2818" w14:paraId="71F41912" w14:textId="77777777" w:rsidTr="00564E18">
        <w:tc>
          <w:tcPr>
            <w:tcW w:w="3618" w:type="dxa"/>
          </w:tcPr>
          <w:p w14:paraId="5776D794" w14:textId="77777777" w:rsidR="00564E18" w:rsidRPr="00F919C7" w:rsidRDefault="009C1791" w:rsidP="00FF2DDE">
            <w:pPr>
              <w:suppressAutoHyphens/>
              <w:autoSpaceDN w:val="0"/>
              <w:spacing w:after="0" w:line="240" w:lineRule="auto"/>
              <w:ind w:left="80" w:right="80"/>
              <w:jc w:val="both"/>
              <w:textAlignment w:val="baseline"/>
              <w:rPr>
                <w:rFonts w:ascii="Arial" w:eastAsia="Times New Roman" w:hAnsi="Arial" w:cs="Arial"/>
                <w:color w:val="000000"/>
                <w:sz w:val="18"/>
                <w:szCs w:val="18"/>
                <w:lang w:val="es-ES"/>
              </w:rPr>
            </w:pPr>
            <w:r w:rsidRPr="0062781C">
              <w:rPr>
                <w:rFonts w:ascii="Arial" w:eastAsia="Times New Roman" w:hAnsi="Arial" w:cs="Arial"/>
                <w:sz w:val="18"/>
                <w:szCs w:val="18"/>
                <w:lang w:val="es-ES"/>
              </w:rPr>
              <w:t>Marco macroeconómico</w:t>
            </w:r>
          </w:p>
        </w:tc>
        <w:tc>
          <w:tcPr>
            <w:tcW w:w="4320" w:type="dxa"/>
            <w:shd w:val="clear" w:color="auto" w:fill="auto"/>
          </w:tcPr>
          <w:p w14:paraId="05393770" w14:textId="77777777" w:rsidR="00564E18" w:rsidRDefault="00564E18" w:rsidP="00FF2DDE">
            <w:pPr>
              <w:suppressAutoHyphens/>
              <w:autoSpaceDN w:val="0"/>
              <w:spacing w:after="0" w:line="240" w:lineRule="auto"/>
              <w:ind w:left="80"/>
              <w:jc w:val="both"/>
              <w:textAlignment w:val="baseline"/>
              <w:rPr>
                <w:rFonts w:ascii="Arial" w:eastAsia="Times New Roman" w:hAnsi="Arial" w:cs="Arial"/>
                <w:color w:val="000000"/>
                <w:sz w:val="18"/>
                <w:szCs w:val="18"/>
                <w:lang w:val="es-ES"/>
              </w:rPr>
            </w:pPr>
            <w:r w:rsidRPr="00F919C7">
              <w:rPr>
                <w:rFonts w:ascii="Arial" w:eastAsia="Times New Roman" w:hAnsi="Arial" w:cs="Arial"/>
                <w:color w:val="000000"/>
                <w:sz w:val="18"/>
                <w:szCs w:val="18"/>
                <w:lang w:val="es-ES"/>
              </w:rPr>
              <w:t xml:space="preserve">Mantener un marco macroeconómico estable </w:t>
            </w:r>
          </w:p>
          <w:p w14:paraId="7F108206" w14:textId="77777777" w:rsidR="00564E18" w:rsidRPr="00F919C7" w:rsidRDefault="00564E18" w:rsidP="00FF2DDE">
            <w:pPr>
              <w:suppressAutoHyphens/>
              <w:autoSpaceDN w:val="0"/>
              <w:spacing w:after="0" w:line="240" w:lineRule="auto"/>
              <w:ind w:left="80"/>
              <w:jc w:val="both"/>
              <w:textAlignment w:val="baseline"/>
              <w:rPr>
                <w:rFonts w:ascii="Arial" w:eastAsia="Times New Roman" w:hAnsi="Arial" w:cs="Arial"/>
                <w:b/>
                <w:sz w:val="18"/>
                <w:szCs w:val="18"/>
                <w:lang w:val="es-ES"/>
              </w:rPr>
            </w:pPr>
            <w:r w:rsidRPr="00F919C7">
              <w:rPr>
                <w:rFonts w:ascii="Arial" w:eastAsia="Times New Roman" w:hAnsi="Arial" w:cs="Arial"/>
                <w:color w:val="000000"/>
                <w:sz w:val="18"/>
                <w:szCs w:val="18"/>
                <w:lang w:val="es-ES"/>
              </w:rPr>
              <w:t>y conducente al logro de los objetivos del programa.</w:t>
            </w:r>
          </w:p>
        </w:tc>
        <w:tc>
          <w:tcPr>
            <w:tcW w:w="4050" w:type="dxa"/>
            <w:shd w:val="clear" w:color="auto" w:fill="auto"/>
          </w:tcPr>
          <w:p w14:paraId="3759252E" w14:textId="43F90CE1" w:rsidR="00564E18" w:rsidRPr="006614FB" w:rsidRDefault="00D274C2"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Evaluación Independiente de Condiciones Macroeconómicas (</w:t>
            </w:r>
            <w:r w:rsidR="00564E18" w:rsidRPr="006614FB">
              <w:rPr>
                <w:rFonts w:ascii="Arial" w:eastAsia="Times New Roman" w:hAnsi="Arial" w:cs="Arial"/>
                <w:color w:val="000000"/>
                <w:sz w:val="18"/>
                <w:szCs w:val="18"/>
                <w:lang w:val="es-ES_tradnl"/>
              </w:rPr>
              <w:t>I</w:t>
            </w:r>
            <w:r w:rsidR="00832F62">
              <w:rPr>
                <w:rFonts w:ascii="Arial" w:eastAsia="Times New Roman" w:hAnsi="Arial" w:cs="Arial"/>
                <w:color w:val="000000"/>
                <w:sz w:val="18"/>
                <w:szCs w:val="18"/>
                <w:lang w:val="es-ES_tradnl"/>
              </w:rPr>
              <w:t>AMC</w:t>
            </w:r>
            <w:r>
              <w:rPr>
                <w:rFonts w:ascii="Arial" w:eastAsia="Times New Roman" w:hAnsi="Arial" w:cs="Arial"/>
                <w:color w:val="000000"/>
                <w:sz w:val="18"/>
                <w:szCs w:val="18"/>
                <w:lang w:val="es-ES_tradnl"/>
              </w:rPr>
              <w:t>, por su sigla en inglés) elaborada por el Banco y vigente al momento del desembolso</w:t>
            </w:r>
          </w:p>
        </w:tc>
      </w:tr>
      <w:tr w:rsidR="00564E18" w:rsidRPr="00FE2818" w14:paraId="1657E463" w14:textId="77777777" w:rsidTr="009745F0">
        <w:tc>
          <w:tcPr>
            <w:tcW w:w="11988" w:type="dxa"/>
            <w:gridSpan w:val="3"/>
            <w:shd w:val="clear" w:color="auto" w:fill="D9D9D9" w:themeFill="background1" w:themeFillShade="D9"/>
          </w:tcPr>
          <w:p w14:paraId="3C72ACB1" w14:textId="57AC9C00" w:rsidR="00564E18" w:rsidRPr="00B613D3" w:rsidRDefault="00564E18" w:rsidP="00B613D3">
            <w:pPr>
              <w:tabs>
                <w:tab w:val="left" w:pos="4030"/>
              </w:tabs>
              <w:suppressAutoHyphens/>
              <w:autoSpaceDN w:val="0"/>
              <w:spacing w:after="0" w:line="240" w:lineRule="auto"/>
              <w:ind w:left="80"/>
              <w:textAlignment w:val="baseline"/>
              <w:rPr>
                <w:rFonts w:ascii="Arial" w:eastAsia="Times New Roman" w:hAnsi="Arial" w:cs="Arial"/>
                <w:b/>
                <w:color w:val="000000"/>
                <w:sz w:val="18"/>
                <w:szCs w:val="18"/>
                <w:lang w:val="es-ES_tradnl"/>
              </w:rPr>
            </w:pPr>
            <w:r w:rsidRPr="00B613D3">
              <w:rPr>
                <w:rFonts w:ascii="Arial" w:eastAsia="Times New Roman" w:hAnsi="Arial" w:cs="Arial"/>
                <w:b/>
                <w:bCs/>
                <w:sz w:val="18"/>
                <w:szCs w:val="18"/>
                <w:lang w:val="es-ES_tradnl"/>
              </w:rPr>
              <w:t>II. Fortalecimiento del Marco Institucional de la Agenda de Productividad</w:t>
            </w:r>
          </w:p>
        </w:tc>
      </w:tr>
      <w:tr w:rsidR="009C1791" w:rsidRPr="00FE2818" w14:paraId="72C5F21D" w14:textId="77777777" w:rsidTr="00564E18">
        <w:tc>
          <w:tcPr>
            <w:tcW w:w="3618" w:type="dxa"/>
            <w:shd w:val="clear" w:color="auto" w:fill="FFFFFF"/>
          </w:tcPr>
          <w:p w14:paraId="44E15486"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Establecer un marco que estructure e informe el diálogo entre el conjunto de actores públicos, privados y sociales involucrados en la Agenda de Productividad</w:t>
            </w:r>
          </w:p>
        </w:tc>
        <w:tc>
          <w:tcPr>
            <w:tcW w:w="4320" w:type="dxa"/>
            <w:shd w:val="clear" w:color="auto" w:fill="FFFFFF"/>
            <w:tcMar>
              <w:top w:w="0" w:type="dxa"/>
              <w:left w:w="108" w:type="dxa"/>
              <w:bottom w:w="0" w:type="dxa"/>
              <w:right w:w="108" w:type="dxa"/>
            </w:tcMar>
          </w:tcPr>
          <w:p w14:paraId="1374791E" w14:textId="5890BAAD" w:rsidR="009C1791" w:rsidRPr="00B613D3" w:rsidRDefault="00FC501C"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Pr>
                <w:rFonts w:ascii="Arial" w:eastAsia="Times New Roman" w:hAnsi="Arial" w:cs="Arial"/>
                <w:color w:val="000000"/>
                <w:sz w:val="18"/>
                <w:szCs w:val="18"/>
                <w:lang w:val="es-ES"/>
              </w:rPr>
              <w:t>Aprobación</w:t>
            </w:r>
            <w:r w:rsidRPr="00B613D3">
              <w:rPr>
                <w:rFonts w:ascii="Arial" w:eastAsia="Times New Roman" w:hAnsi="Arial" w:cs="Arial"/>
                <w:color w:val="000000"/>
                <w:sz w:val="18"/>
                <w:szCs w:val="18"/>
                <w:lang w:val="es-ES"/>
              </w:rPr>
              <w:t xml:space="preserve"> </w:t>
            </w:r>
            <w:r w:rsidR="009C1791" w:rsidRPr="00B613D3">
              <w:rPr>
                <w:rFonts w:ascii="Arial" w:eastAsia="Times New Roman" w:hAnsi="Arial" w:cs="Arial"/>
                <w:color w:val="000000"/>
                <w:sz w:val="18"/>
                <w:szCs w:val="18"/>
                <w:lang w:val="es-ES"/>
              </w:rPr>
              <w:t>de guías para la conformación y buen funcionamiento de los Com</w:t>
            </w:r>
            <w:r w:rsidR="004717A0">
              <w:rPr>
                <w:rFonts w:ascii="Arial" w:eastAsia="Times New Roman" w:hAnsi="Arial" w:cs="Arial"/>
                <w:color w:val="000000"/>
                <w:sz w:val="18"/>
                <w:szCs w:val="18"/>
                <w:lang w:val="es-ES"/>
              </w:rPr>
              <w:t>ités Estatales de Productividad</w:t>
            </w:r>
            <w:r w:rsidR="009C1791" w:rsidRPr="00B613D3">
              <w:rPr>
                <w:rFonts w:ascii="Arial" w:eastAsia="Times New Roman" w:hAnsi="Arial" w:cs="Arial"/>
                <w:color w:val="000000"/>
                <w:sz w:val="18"/>
                <w:szCs w:val="18"/>
                <w:lang w:val="es-ES"/>
              </w:rPr>
              <w:t xml:space="preserve">, de manera consistente con los objetivos del Programa Especial para Democratizar la Productividad. </w:t>
            </w:r>
          </w:p>
          <w:p w14:paraId="76571E9B" w14:textId="77777777" w:rsidR="009C1791" w:rsidRPr="00F919C7"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_tradnl"/>
              </w:rPr>
            </w:pPr>
          </w:p>
        </w:tc>
        <w:tc>
          <w:tcPr>
            <w:tcW w:w="4050" w:type="dxa"/>
            <w:shd w:val="clear" w:color="auto" w:fill="FFFFFF"/>
          </w:tcPr>
          <w:p w14:paraId="073E0EAF" w14:textId="3AEE0A8A" w:rsidR="009C1791" w:rsidRPr="00F919C7" w:rsidRDefault="009C1791" w:rsidP="004717A0">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Comunicación de la U</w:t>
            </w:r>
            <w:r w:rsidRPr="006614FB">
              <w:rPr>
                <w:rFonts w:ascii="Arial" w:eastAsia="Times New Roman" w:hAnsi="Arial" w:cs="Arial"/>
                <w:color w:val="000000"/>
                <w:sz w:val="18"/>
                <w:szCs w:val="18"/>
                <w:lang w:val="es-ES_tradnl"/>
              </w:rPr>
              <w:t>nidad de Productividad económica de SHCP</w:t>
            </w:r>
            <w:r w:rsidR="0033745D">
              <w:rPr>
                <w:rFonts w:ascii="Arial" w:eastAsia="Times New Roman" w:hAnsi="Arial" w:cs="Arial"/>
                <w:color w:val="000000"/>
                <w:sz w:val="18"/>
                <w:szCs w:val="18"/>
                <w:lang w:val="es-ES_tradnl"/>
              </w:rPr>
              <w:t xml:space="preserve"> dirigida al Banco</w:t>
            </w:r>
            <w:r w:rsidRPr="006614FB">
              <w:rPr>
                <w:rFonts w:ascii="Arial" w:eastAsia="Times New Roman" w:hAnsi="Arial" w:cs="Arial"/>
                <w:color w:val="000000"/>
                <w:sz w:val="18"/>
                <w:szCs w:val="18"/>
                <w:lang w:val="es-ES_tradnl"/>
              </w:rPr>
              <w:t>,</w:t>
            </w:r>
            <w:r w:rsidRPr="00F919C7">
              <w:rPr>
                <w:rFonts w:ascii="Arial" w:eastAsia="Times New Roman" w:hAnsi="Arial" w:cs="Arial"/>
                <w:color w:val="000000"/>
                <w:sz w:val="18"/>
                <w:szCs w:val="18"/>
                <w:lang w:val="es-ES_tradnl"/>
              </w:rPr>
              <w:t xml:space="preserve"> adjuntando Guías para Conformación y Funcionamiento de los </w:t>
            </w:r>
            <w:r w:rsidR="004717A0">
              <w:rPr>
                <w:rFonts w:ascii="Arial" w:eastAsia="Times New Roman" w:hAnsi="Arial" w:cs="Arial"/>
                <w:color w:val="000000"/>
                <w:sz w:val="18"/>
                <w:szCs w:val="18"/>
                <w:lang w:val="es-ES_tradnl"/>
              </w:rPr>
              <w:t>Comités Estatales de Productividad</w:t>
            </w:r>
            <w:r w:rsidRPr="00F919C7">
              <w:rPr>
                <w:rFonts w:ascii="Arial" w:eastAsia="Times New Roman" w:hAnsi="Arial" w:cs="Arial"/>
                <w:color w:val="000000"/>
                <w:sz w:val="18"/>
                <w:szCs w:val="18"/>
                <w:lang w:val="es-ES_tradnl"/>
              </w:rPr>
              <w:t>, acordadas con el Banco, para las Comisiones Estatales de Productividad de Chiapas y Jalisco.</w:t>
            </w:r>
          </w:p>
        </w:tc>
      </w:tr>
      <w:tr w:rsidR="009C1791" w:rsidRPr="00FE2818" w14:paraId="65179E92" w14:textId="77777777" w:rsidTr="00564E18">
        <w:tc>
          <w:tcPr>
            <w:tcW w:w="3618" w:type="dxa"/>
            <w:shd w:val="clear" w:color="auto" w:fill="FFFFFF"/>
          </w:tcPr>
          <w:p w14:paraId="2EE638A0"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62781C">
              <w:rPr>
                <w:rFonts w:ascii="Arial" w:eastAsia="Times New Roman" w:hAnsi="Arial" w:cs="Arial"/>
                <w:color w:val="000000"/>
                <w:sz w:val="18"/>
                <w:szCs w:val="18"/>
                <w:lang w:val="es-ES"/>
              </w:rPr>
              <w:t>Establecimiento de principios y guías de actuaci</w:t>
            </w:r>
            <w:r>
              <w:rPr>
                <w:rFonts w:ascii="Arial" w:eastAsia="Times New Roman" w:hAnsi="Arial" w:cs="Arial"/>
                <w:color w:val="000000"/>
                <w:sz w:val="18"/>
                <w:szCs w:val="18"/>
                <w:lang w:val="es-ES"/>
              </w:rPr>
              <w:t>ón en materia de productividad</w:t>
            </w:r>
          </w:p>
        </w:tc>
        <w:tc>
          <w:tcPr>
            <w:tcW w:w="4320" w:type="dxa"/>
            <w:shd w:val="clear" w:color="auto" w:fill="FFFFFF"/>
            <w:tcMar>
              <w:top w:w="0" w:type="dxa"/>
              <w:left w:w="108" w:type="dxa"/>
              <w:bottom w:w="0" w:type="dxa"/>
              <w:right w:w="108" w:type="dxa"/>
            </w:tcMar>
          </w:tcPr>
          <w:p w14:paraId="51170FCA" w14:textId="77777777" w:rsidR="009C1791" w:rsidRPr="00675F1F"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Aprobación de los programas sectoriales previstos en el PND alineados con el </w:t>
            </w:r>
            <w:r w:rsidRPr="00F919C7">
              <w:rPr>
                <w:rFonts w:ascii="Arial" w:eastAsia="Times New Roman" w:hAnsi="Arial" w:cs="Arial"/>
                <w:color w:val="000000"/>
                <w:sz w:val="18"/>
                <w:szCs w:val="18"/>
                <w:lang w:val="es-ES"/>
              </w:rPr>
              <w:t>Programa Especial para Democratizar la Productividad</w:t>
            </w:r>
            <w:r>
              <w:rPr>
                <w:rFonts w:ascii="Arial" w:eastAsia="Times New Roman" w:hAnsi="Arial" w:cs="Arial"/>
                <w:color w:val="000000"/>
                <w:sz w:val="18"/>
                <w:szCs w:val="18"/>
                <w:lang w:val="es-ES"/>
              </w:rPr>
              <w:t>.</w:t>
            </w:r>
          </w:p>
          <w:p w14:paraId="7CC5A507"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4558E5EB"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7E794341"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0D16217B"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250F31BE"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52F4197E" w14:textId="2A5B67EA"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Definición y adopción de métricas de la orientación de los programas presupuestales y de inversión hacia la democratización de la productividad</w:t>
            </w:r>
            <w:r w:rsidR="00FC501C">
              <w:rPr>
                <w:rFonts w:ascii="Arial" w:eastAsia="Times New Roman" w:hAnsi="Arial" w:cs="Arial"/>
                <w:color w:val="000000"/>
                <w:sz w:val="18"/>
                <w:szCs w:val="18"/>
                <w:lang w:val="es-ES_tradnl"/>
              </w:rPr>
              <w:t>, mediante la publicación de las normas correspondientes</w:t>
            </w:r>
            <w:r w:rsidR="00FE2818">
              <w:rPr>
                <w:rFonts w:ascii="Arial" w:eastAsia="Times New Roman" w:hAnsi="Arial" w:cs="Arial"/>
                <w:color w:val="000000"/>
                <w:sz w:val="18"/>
                <w:szCs w:val="18"/>
                <w:lang w:val="es-ES_tradnl"/>
              </w:rPr>
              <w:t>.</w:t>
            </w:r>
          </w:p>
          <w:p w14:paraId="7982DDF2" w14:textId="77777777" w:rsidR="009C1791" w:rsidRPr="00F919C7"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_tradnl"/>
              </w:rPr>
            </w:pPr>
          </w:p>
        </w:tc>
        <w:tc>
          <w:tcPr>
            <w:tcW w:w="4050" w:type="dxa"/>
            <w:shd w:val="clear" w:color="auto" w:fill="FFFFFF"/>
          </w:tcPr>
          <w:p w14:paraId="2C8991B0" w14:textId="04C4D671"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Comunicación de la U</w:t>
            </w:r>
            <w:r w:rsidRPr="006614FB">
              <w:rPr>
                <w:rFonts w:ascii="Arial" w:eastAsia="Times New Roman" w:hAnsi="Arial" w:cs="Arial"/>
                <w:color w:val="000000"/>
                <w:sz w:val="18"/>
                <w:szCs w:val="18"/>
                <w:lang w:val="es-ES_tradnl"/>
              </w:rPr>
              <w:t>nidad de Productividad económica de SHCP</w:t>
            </w:r>
            <w:r w:rsidR="0033745D">
              <w:rPr>
                <w:rFonts w:ascii="Arial" w:eastAsia="Times New Roman" w:hAnsi="Arial" w:cs="Arial"/>
                <w:color w:val="000000"/>
                <w:sz w:val="18"/>
                <w:szCs w:val="18"/>
                <w:lang w:val="es-ES_tradnl"/>
              </w:rPr>
              <w:t xml:space="preserve"> dirigida al Banco</w:t>
            </w:r>
            <w:r w:rsidRPr="006614FB">
              <w:rPr>
                <w:rFonts w:ascii="Arial" w:eastAsia="Times New Roman" w:hAnsi="Arial" w:cs="Arial"/>
                <w:color w:val="000000"/>
                <w:sz w:val="18"/>
                <w:szCs w:val="18"/>
                <w:lang w:val="es-ES_tradnl"/>
              </w:rPr>
              <w:t>,</w:t>
            </w:r>
            <w:r w:rsidRPr="00F919C7">
              <w:rPr>
                <w:rFonts w:ascii="Arial" w:eastAsia="Times New Roman" w:hAnsi="Arial" w:cs="Arial"/>
                <w:color w:val="000000"/>
                <w:sz w:val="18"/>
                <w:szCs w:val="18"/>
                <w:lang w:val="es-ES_tradnl"/>
              </w:rPr>
              <w:t xml:space="preserve"> adjuntando Actas del Comité Nacional de Productividad, donde se acuerdan cinco </w:t>
            </w:r>
            <w:r w:rsidR="00B8206F">
              <w:rPr>
                <w:rFonts w:ascii="Arial" w:eastAsia="Times New Roman" w:hAnsi="Arial" w:cs="Arial"/>
                <w:color w:val="000000"/>
                <w:sz w:val="18"/>
                <w:szCs w:val="18"/>
                <w:lang w:val="es-ES_tradnl"/>
              </w:rPr>
              <w:t>programas</w:t>
            </w:r>
            <w:r w:rsidR="00B8206F" w:rsidRPr="00F919C7">
              <w:rPr>
                <w:rFonts w:ascii="Arial" w:eastAsia="Times New Roman" w:hAnsi="Arial" w:cs="Arial"/>
                <w:color w:val="000000"/>
                <w:sz w:val="18"/>
                <w:szCs w:val="18"/>
                <w:lang w:val="es-ES_tradnl"/>
              </w:rPr>
              <w:t xml:space="preserve"> </w:t>
            </w:r>
            <w:r w:rsidRPr="00F919C7">
              <w:rPr>
                <w:rFonts w:ascii="Arial" w:eastAsia="Times New Roman" w:hAnsi="Arial" w:cs="Arial"/>
                <w:color w:val="000000"/>
                <w:sz w:val="18"/>
                <w:szCs w:val="18"/>
                <w:lang w:val="es-ES_tradnl"/>
              </w:rPr>
              <w:t xml:space="preserve">sectoriales: Comercio al por Menor, Turismo, Gastronomía, Autopartes y Proveeduría Aeroespacial.  </w:t>
            </w:r>
          </w:p>
          <w:p w14:paraId="34A6E1AF" w14:textId="777777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p>
          <w:p w14:paraId="2C05898E" w14:textId="464C9D96"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Publicación en el DOF del Plan de seguimiento y Evaluación incluido en la Ley para impulsar el Incremento sostenido de la productividad y la competitividad de la economía nacional.</w:t>
            </w:r>
          </w:p>
          <w:p w14:paraId="6B7AE7B3" w14:textId="777777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Publicación por la SHCP del Primer seguimiento anual de los indicadores en materia de productividad total de los factores, productividad laboral, informalidad, e incremento del valor agregado nacional en las exportaciones.</w:t>
            </w:r>
          </w:p>
        </w:tc>
      </w:tr>
      <w:tr w:rsidR="009C1791" w:rsidRPr="00FE2818" w14:paraId="52B84575" w14:textId="77777777" w:rsidTr="00C545BE">
        <w:tc>
          <w:tcPr>
            <w:tcW w:w="11988" w:type="dxa"/>
            <w:gridSpan w:val="3"/>
            <w:shd w:val="clear" w:color="auto" w:fill="D9D9D9" w:themeFill="background1" w:themeFillShade="D9"/>
          </w:tcPr>
          <w:p w14:paraId="562B35B5" w14:textId="04466EDE" w:rsidR="009C1791" w:rsidRPr="00B613D3" w:rsidRDefault="009C1791" w:rsidP="00B613D3">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B613D3">
              <w:rPr>
                <w:rFonts w:ascii="Arial" w:eastAsia="Times New Roman" w:hAnsi="Arial" w:cs="Arial"/>
                <w:b/>
                <w:bCs/>
                <w:sz w:val="18"/>
                <w:szCs w:val="18"/>
                <w:lang w:val="es-ES_tradnl"/>
              </w:rPr>
              <w:t>III. Mejora de la asignación de factores de producción a través del acceso al financiamiento de las empresas</w:t>
            </w:r>
          </w:p>
        </w:tc>
      </w:tr>
      <w:tr w:rsidR="009C1791" w:rsidRPr="00FE2818" w14:paraId="7106C05C" w14:textId="77777777" w:rsidTr="0040641E">
        <w:tc>
          <w:tcPr>
            <w:tcW w:w="11988" w:type="dxa"/>
            <w:gridSpan w:val="3"/>
            <w:tcBorders>
              <w:bottom w:val="single" w:sz="4" w:space="0" w:color="auto"/>
            </w:tcBorders>
            <w:shd w:val="clear" w:color="auto" w:fill="D9D9D9" w:themeFill="background1" w:themeFillShade="D9"/>
          </w:tcPr>
          <w:p w14:paraId="024D7824" w14:textId="77777777" w:rsidR="009C1791" w:rsidRPr="00B613D3" w:rsidRDefault="009C1791" w:rsidP="00B613D3">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B613D3">
              <w:rPr>
                <w:rFonts w:ascii="Arial" w:eastAsia="Times New Roman" w:hAnsi="Arial" w:cs="Arial"/>
                <w:b/>
                <w:bCs/>
                <w:sz w:val="18"/>
                <w:szCs w:val="18"/>
                <w:lang w:val="es-ES_tradnl"/>
              </w:rPr>
              <w:t>(i) Reforma de la Banca Pública de Desarrollo (BPD)</w:t>
            </w:r>
          </w:p>
        </w:tc>
      </w:tr>
      <w:tr w:rsidR="009C1791" w:rsidRPr="00FE2818" w14:paraId="6BB04CFC" w14:textId="77777777" w:rsidTr="00564E18">
        <w:tc>
          <w:tcPr>
            <w:tcW w:w="3618" w:type="dxa"/>
          </w:tcPr>
          <w:p w14:paraId="2B0E8DF9"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Fortalecimiento del mandato de la Banca Pública de Desarrollo (BPD) para mejorar su eficacia</w:t>
            </w:r>
          </w:p>
          <w:p w14:paraId="6869604C" w14:textId="77777777" w:rsidR="009C1791" w:rsidRPr="0062781C"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_tradnl"/>
              </w:rPr>
            </w:pPr>
          </w:p>
        </w:tc>
        <w:tc>
          <w:tcPr>
            <w:tcW w:w="4320" w:type="dxa"/>
            <w:shd w:val="clear" w:color="auto" w:fill="auto"/>
            <w:tcMar>
              <w:top w:w="0" w:type="dxa"/>
              <w:left w:w="108" w:type="dxa"/>
              <w:bottom w:w="0" w:type="dxa"/>
              <w:right w:w="108" w:type="dxa"/>
            </w:tcMar>
          </w:tcPr>
          <w:p w14:paraId="2DA03175" w14:textId="34AD8FB5"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Elaboración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del Programa Nacional de Financiamiento del Desarrollo (PRONAFIDE) teniendo en cuenta el nuevo mandato definido en la reforma financiera.</w:t>
            </w:r>
          </w:p>
        </w:tc>
        <w:tc>
          <w:tcPr>
            <w:tcW w:w="4050" w:type="dxa"/>
            <w:shd w:val="clear" w:color="auto" w:fill="auto"/>
          </w:tcPr>
          <w:p w14:paraId="759613EB" w14:textId="0E63644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 xml:space="preserve">Publicación en el DOF del </w:t>
            </w:r>
            <w:r w:rsidRPr="006614FB">
              <w:rPr>
                <w:rFonts w:ascii="Arial" w:eastAsia="Times New Roman" w:hAnsi="Arial" w:cs="Arial"/>
                <w:color w:val="000000"/>
                <w:sz w:val="18"/>
                <w:szCs w:val="18"/>
                <w:lang w:val="es-ES_tradnl"/>
              </w:rPr>
              <w:t>Programa Nacional de Financiamiento del Desarrollo 2013-2018.</w:t>
            </w:r>
          </w:p>
          <w:p w14:paraId="198703FA" w14:textId="77777777" w:rsidR="009C1791" w:rsidRPr="006614FB"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p>
        </w:tc>
      </w:tr>
      <w:tr w:rsidR="009C1791" w:rsidRPr="00FE2818" w14:paraId="4B74FDC5" w14:textId="77777777" w:rsidTr="00FF2DDE">
        <w:trPr>
          <w:trHeight w:val="1673"/>
        </w:trPr>
        <w:tc>
          <w:tcPr>
            <w:tcW w:w="3618" w:type="dxa"/>
          </w:tcPr>
          <w:p w14:paraId="65863E1B"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r w:rsidRPr="00B613D3">
              <w:rPr>
                <w:rFonts w:ascii="Arial" w:eastAsia="Times New Roman" w:hAnsi="Arial" w:cs="Arial"/>
                <w:sz w:val="18"/>
                <w:szCs w:val="18"/>
                <w:lang w:val="es-ES"/>
              </w:rPr>
              <w:lastRenderedPageBreak/>
              <w:t>Flexibilización de la operación de la BPD para incrementar su eficiencia y eficacia</w:t>
            </w:r>
          </w:p>
          <w:p w14:paraId="6A09747D" w14:textId="77777777" w:rsidR="009C1791" w:rsidRPr="00F919C7"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_tradnl"/>
              </w:rPr>
            </w:pPr>
          </w:p>
        </w:tc>
        <w:tc>
          <w:tcPr>
            <w:tcW w:w="4320" w:type="dxa"/>
            <w:shd w:val="clear" w:color="auto" w:fill="auto"/>
            <w:tcMar>
              <w:top w:w="0" w:type="dxa"/>
              <w:left w:w="108" w:type="dxa"/>
              <w:bottom w:w="0" w:type="dxa"/>
              <w:right w:w="108" w:type="dxa"/>
            </w:tcMar>
          </w:tcPr>
          <w:p w14:paraId="07C6C1B8" w14:textId="7EE85719"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Desarrollar en al menos tres BPD una política salarial y de recursos humanos que garantice la atracción y la retención de talento a través de:</w:t>
            </w:r>
            <w:r w:rsidR="0038614F" w:rsidRPr="00B613D3">
              <w:rPr>
                <w:rFonts w:ascii="Arial" w:eastAsia="Times New Roman" w:hAnsi="Arial" w:cs="Arial"/>
                <w:color w:val="000000"/>
                <w:sz w:val="18"/>
                <w:szCs w:val="18"/>
                <w:lang w:val="es-ES"/>
              </w:rPr>
              <w:t xml:space="preserve"> (i) </w:t>
            </w:r>
            <w:r w:rsidR="00F10BEF">
              <w:rPr>
                <w:rFonts w:ascii="Arial" w:eastAsia="Times New Roman" w:hAnsi="Arial" w:cs="Arial"/>
                <w:color w:val="000000"/>
                <w:sz w:val="18"/>
                <w:szCs w:val="18"/>
                <w:lang w:val="es-ES"/>
              </w:rPr>
              <w:t>fortalecimiento</w:t>
            </w:r>
            <w:r w:rsidR="00F10BEF" w:rsidRPr="00B613D3">
              <w:rPr>
                <w:rFonts w:ascii="Arial" w:eastAsia="Times New Roman" w:hAnsi="Arial" w:cs="Arial"/>
                <w:color w:val="000000"/>
                <w:sz w:val="18"/>
                <w:szCs w:val="18"/>
                <w:lang w:val="es-ES"/>
              </w:rPr>
              <w:t xml:space="preserve"> </w:t>
            </w:r>
            <w:r w:rsidRPr="00B613D3">
              <w:rPr>
                <w:rFonts w:ascii="Arial" w:eastAsia="Times New Roman" w:hAnsi="Arial" w:cs="Arial"/>
                <w:color w:val="000000"/>
                <w:sz w:val="18"/>
                <w:szCs w:val="18"/>
                <w:lang w:val="es-ES"/>
              </w:rPr>
              <w:t>de Comités de Recursos Humanos (CCRH) con capacidad de proponer mejoras organizativas y en la</w:t>
            </w:r>
            <w:r w:rsidR="0038614F" w:rsidRPr="00B613D3">
              <w:rPr>
                <w:rFonts w:ascii="Arial" w:eastAsia="Times New Roman" w:hAnsi="Arial" w:cs="Arial"/>
                <w:color w:val="000000"/>
                <w:sz w:val="18"/>
                <w:szCs w:val="18"/>
                <w:lang w:val="es-ES"/>
              </w:rPr>
              <w:t>s políticas de recursos humanos; y (ii) a</w:t>
            </w:r>
            <w:r w:rsidRPr="00B613D3">
              <w:rPr>
                <w:rFonts w:ascii="Arial" w:eastAsia="Times New Roman" w:hAnsi="Arial" w:cs="Arial"/>
                <w:color w:val="000000"/>
                <w:sz w:val="18"/>
                <w:szCs w:val="18"/>
                <w:lang w:val="es-ES"/>
              </w:rPr>
              <w:t>probación de Manuales de Remuneraciones (MR).</w:t>
            </w:r>
          </w:p>
        </w:tc>
        <w:tc>
          <w:tcPr>
            <w:tcW w:w="4050" w:type="dxa"/>
            <w:shd w:val="clear" w:color="auto" w:fill="auto"/>
          </w:tcPr>
          <w:p w14:paraId="6F026F4E" w14:textId="77777777" w:rsidR="009C1791" w:rsidRPr="0038614F" w:rsidRDefault="0038614F" w:rsidP="00FF2DDE">
            <w:pPr>
              <w:pStyle w:val="ListParagraph"/>
              <w:numPr>
                <w:ilvl w:val="0"/>
                <w:numId w:val="24"/>
              </w:numPr>
              <w:tabs>
                <w:tab w:val="left" w:pos="350"/>
              </w:tabs>
              <w:suppressAutoHyphens/>
              <w:autoSpaceDN w:val="0"/>
              <w:spacing w:after="0" w:line="240" w:lineRule="auto"/>
              <w:ind w:left="80" w:right="80" w:firstLine="0"/>
              <w:jc w:val="both"/>
              <w:textAlignment w:val="baseline"/>
              <w:rPr>
                <w:rFonts w:ascii="Arial" w:eastAsia="Times New Roman" w:hAnsi="Arial" w:cs="Arial"/>
                <w:color w:val="000000"/>
                <w:sz w:val="18"/>
                <w:szCs w:val="18"/>
                <w:lang w:val="es-ES_tradnl"/>
              </w:rPr>
            </w:pPr>
            <w:r w:rsidRPr="0038614F">
              <w:rPr>
                <w:rFonts w:ascii="Arial" w:eastAsia="Times New Roman" w:hAnsi="Arial" w:cs="Arial"/>
                <w:color w:val="000000"/>
                <w:sz w:val="18"/>
                <w:szCs w:val="18"/>
                <w:lang w:val="es-ES_tradnl"/>
              </w:rPr>
              <w:t>c</w:t>
            </w:r>
            <w:r w:rsidR="009C1791" w:rsidRPr="0038614F">
              <w:rPr>
                <w:rFonts w:ascii="Arial" w:eastAsia="Times New Roman" w:hAnsi="Arial" w:cs="Arial"/>
                <w:color w:val="000000"/>
                <w:sz w:val="18"/>
                <w:szCs w:val="18"/>
                <w:lang w:val="es-ES_tradnl"/>
              </w:rPr>
              <w:t>opia del Oficio de SHCP aprob</w:t>
            </w:r>
            <w:r w:rsidRPr="0038614F">
              <w:rPr>
                <w:rFonts w:ascii="Arial" w:eastAsia="Times New Roman" w:hAnsi="Arial" w:cs="Arial"/>
                <w:color w:val="000000"/>
                <w:sz w:val="18"/>
                <w:szCs w:val="18"/>
                <w:lang w:val="es-ES_tradnl"/>
              </w:rPr>
              <w:t>ando la nueva política salarial; y (ii) c</w:t>
            </w:r>
            <w:r w:rsidR="009C1791" w:rsidRPr="0038614F">
              <w:rPr>
                <w:rFonts w:ascii="Arial" w:eastAsia="Times New Roman" w:hAnsi="Arial" w:cs="Arial"/>
                <w:color w:val="000000"/>
                <w:sz w:val="18"/>
                <w:szCs w:val="18"/>
                <w:lang w:val="es-ES_tradnl"/>
              </w:rPr>
              <w:t>opia de Actas de los Consejos Directivos de BPD, conteniendo:</w:t>
            </w:r>
            <w:r w:rsidRPr="0038614F">
              <w:rPr>
                <w:rFonts w:ascii="Arial" w:eastAsia="Times New Roman" w:hAnsi="Arial" w:cs="Arial"/>
                <w:color w:val="000000"/>
                <w:sz w:val="18"/>
                <w:szCs w:val="18"/>
                <w:lang w:val="es-ES_tradnl"/>
              </w:rPr>
              <w:t xml:space="preserve"> (i) </w:t>
            </w:r>
            <w:r w:rsidR="009C1791" w:rsidRPr="0038614F">
              <w:rPr>
                <w:rFonts w:ascii="Arial" w:eastAsia="Times New Roman" w:hAnsi="Arial" w:cs="Arial"/>
                <w:color w:val="000000"/>
                <w:sz w:val="18"/>
                <w:szCs w:val="18"/>
                <w:lang w:val="es-ES_tradnl"/>
              </w:rPr>
              <w:t xml:space="preserve">la reestructuración de los 6 Bancos de Desarrollo hasta la fecha; </w:t>
            </w:r>
            <w:r w:rsidRPr="0038614F">
              <w:rPr>
                <w:rFonts w:ascii="Arial" w:eastAsia="Times New Roman" w:hAnsi="Arial" w:cs="Arial"/>
                <w:color w:val="000000"/>
                <w:sz w:val="18"/>
                <w:szCs w:val="18"/>
                <w:lang w:val="es-ES_tradnl"/>
              </w:rPr>
              <w:t xml:space="preserve">(ii) </w:t>
            </w:r>
            <w:r w:rsidR="009C1791" w:rsidRPr="0038614F">
              <w:rPr>
                <w:rFonts w:ascii="Arial" w:eastAsia="Times New Roman" w:hAnsi="Arial" w:cs="Arial"/>
                <w:color w:val="000000"/>
                <w:sz w:val="18"/>
                <w:szCs w:val="18"/>
                <w:lang w:val="es-ES_tradnl"/>
              </w:rPr>
              <w:t>la creación de los ins</w:t>
            </w:r>
            <w:r w:rsidRPr="0038614F">
              <w:rPr>
                <w:rFonts w:ascii="Arial" w:eastAsia="Times New Roman" w:hAnsi="Arial" w:cs="Arial"/>
                <w:color w:val="000000"/>
                <w:sz w:val="18"/>
                <w:szCs w:val="18"/>
                <w:lang w:val="es-ES_tradnl"/>
              </w:rPr>
              <w:t>trumentos de bonos de desempeño; y (iii) l</w:t>
            </w:r>
            <w:r w:rsidR="009C1791" w:rsidRPr="0038614F">
              <w:rPr>
                <w:rFonts w:ascii="Arial" w:eastAsia="Times New Roman" w:hAnsi="Arial" w:cs="Arial"/>
                <w:color w:val="000000"/>
                <w:sz w:val="18"/>
                <w:szCs w:val="18"/>
                <w:lang w:val="es-ES_tradnl"/>
              </w:rPr>
              <w:t>a aprobación de los MR</w:t>
            </w:r>
          </w:p>
        </w:tc>
      </w:tr>
      <w:tr w:rsidR="009C1791" w:rsidRPr="00FE2818" w14:paraId="23195CA5" w14:textId="77777777" w:rsidTr="00921F99">
        <w:tc>
          <w:tcPr>
            <w:tcW w:w="11988" w:type="dxa"/>
            <w:gridSpan w:val="3"/>
            <w:shd w:val="clear" w:color="auto" w:fill="D9D9D9" w:themeFill="background1" w:themeFillShade="D9"/>
          </w:tcPr>
          <w:p w14:paraId="623840C3" w14:textId="77777777" w:rsidR="009C1791" w:rsidRPr="00F919C7" w:rsidRDefault="009C1791" w:rsidP="00B613D3">
            <w:pPr>
              <w:tabs>
                <w:tab w:val="left" w:pos="4030"/>
              </w:tabs>
              <w:suppressAutoHyphens/>
              <w:autoSpaceDN w:val="0"/>
              <w:spacing w:after="0" w:line="240" w:lineRule="auto"/>
              <w:ind w:left="80"/>
              <w:textAlignment w:val="baseline"/>
              <w:rPr>
                <w:rFonts w:ascii="Arial" w:eastAsia="Times New Roman" w:hAnsi="Arial" w:cs="Arial"/>
                <w:b/>
                <w:bCs/>
                <w:color w:val="FF0000"/>
                <w:sz w:val="18"/>
                <w:szCs w:val="18"/>
                <w:lang w:val="es-ES_tradnl"/>
              </w:rPr>
            </w:pPr>
            <w:r w:rsidRPr="00F919C7">
              <w:rPr>
                <w:rFonts w:ascii="Arial" w:eastAsia="Times New Roman" w:hAnsi="Arial" w:cs="Arial"/>
                <w:b/>
                <w:bCs/>
                <w:sz w:val="18"/>
                <w:szCs w:val="18"/>
                <w:lang w:val="es-ES_tradnl"/>
              </w:rPr>
              <w:t>(ii)</w:t>
            </w:r>
            <w:r w:rsidRPr="00B613D3">
              <w:rPr>
                <w:rFonts w:ascii="Arial" w:eastAsia="Times New Roman" w:hAnsi="Arial" w:cs="Arial"/>
                <w:b/>
                <w:bCs/>
                <w:sz w:val="18"/>
                <w:szCs w:val="18"/>
                <w:lang w:val="es-ES_tradnl"/>
              </w:rPr>
              <w:t xml:space="preserve"> Fortalecimiento de los mercados de capitales</w:t>
            </w:r>
          </w:p>
        </w:tc>
      </w:tr>
      <w:tr w:rsidR="009C1791" w:rsidRPr="00FE2818" w14:paraId="3FE4D3FD" w14:textId="77777777" w:rsidTr="00564E18">
        <w:tc>
          <w:tcPr>
            <w:tcW w:w="3618" w:type="dxa"/>
          </w:tcPr>
          <w:p w14:paraId="1F03FDAF"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r w:rsidRPr="00B613D3">
              <w:rPr>
                <w:rFonts w:ascii="Arial" w:eastAsia="Times New Roman" w:hAnsi="Arial" w:cs="Arial"/>
                <w:sz w:val="18"/>
                <w:szCs w:val="18"/>
                <w:lang w:val="es-ES"/>
              </w:rPr>
              <w:t>Incremento de la eficiencia y seguridad jurídica en el funcionamiento del mercado de valores para incrementar el acceso al mercado de capitales</w:t>
            </w:r>
          </w:p>
          <w:p w14:paraId="7727F0F2"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p>
        </w:tc>
        <w:tc>
          <w:tcPr>
            <w:tcW w:w="4320" w:type="dxa"/>
            <w:shd w:val="clear" w:color="auto" w:fill="auto"/>
            <w:tcMar>
              <w:top w:w="0" w:type="dxa"/>
              <w:left w:w="108" w:type="dxa"/>
              <w:bottom w:w="0" w:type="dxa"/>
              <w:right w:w="108" w:type="dxa"/>
            </w:tcMar>
          </w:tcPr>
          <w:p w14:paraId="525373F7" w14:textId="1D17F94A" w:rsidR="009C1791" w:rsidRPr="00F919C7"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_tradnl"/>
              </w:rPr>
            </w:pPr>
            <w:r w:rsidRPr="00B613D3">
              <w:rPr>
                <w:rFonts w:ascii="Arial" w:eastAsia="Times New Roman" w:hAnsi="Arial" w:cs="Arial"/>
                <w:color w:val="000000"/>
                <w:sz w:val="18"/>
                <w:szCs w:val="18"/>
                <w:lang w:val="es-ES"/>
              </w:rPr>
              <w:t>Desarroll</w:t>
            </w:r>
            <w:r w:rsidR="00FC501C">
              <w:rPr>
                <w:rFonts w:ascii="Arial" w:eastAsia="Times New Roman" w:hAnsi="Arial" w:cs="Arial"/>
                <w:color w:val="000000"/>
                <w:sz w:val="18"/>
                <w:szCs w:val="18"/>
                <w:lang w:val="es-ES"/>
              </w:rPr>
              <w:t xml:space="preserve">o y publicación  de </w:t>
            </w:r>
            <w:r w:rsidRPr="00B613D3">
              <w:rPr>
                <w:rFonts w:ascii="Arial" w:eastAsia="Times New Roman" w:hAnsi="Arial" w:cs="Arial"/>
                <w:color w:val="000000"/>
                <w:sz w:val="18"/>
                <w:szCs w:val="18"/>
                <w:lang w:val="es-ES"/>
              </w:rPr>
              <w:t>lineamientos regulatorios y programas de acceso al mercado de capitales para pequeñas y medianas empresas siguiendo mejores prácticas internacionales.</w:t>
            </w:r>
          </w:p>
        </w:tc>
        <w:tc>
          <w:tcPr>
            <w:tcW w:w="4050" w:type="dxa"/>
            <w:shd w:val="clear" w:color="auto" w:fill="auto"/>
          </w:tcPr>
          <w:p w14:paraId="6694B4E7" w14:textId="4E572062" w:rsidR="009C1791" w:rsidRPr="00F919C7" w:rsidRDefault="009C1791" w:rsidP="00FF2DDE">
            <w:pPr>
              <w:autoSpaceDE w:val="0"/>
              <w:autoSpaceDN w:val="0"/>
              <w:adjustRightInd w:val="0"/>
              <w:spacing w:after="0" w:line="240" w:lineRule="auto"/>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Publicación en el DOF de la Reforma de la Ley del Mercado de Valore</w:t>
            </w:r>
            <w:r w:rsidR="0038614F">
              <w:rPr>
                <w:rFonts w:ascii="Arial" w:eastAsia="Times New Roman" w:hAnsi="Arial" w:cs="Arial"/>
                <w:color w:val="000000"/>
                <w:sz w:val="18"/>
                <w:szCs w:val="18"/>
                <w:lang w:val="es-ES_tradnl"/>
              </w:rPr>
              <w:t xml:space="preserve">s, </w:t>
            </w:r>
            <w:r w:rsidRPr="00F919C7">
              <w:rPr>
                <w:rFonts w:ascii="Arial" w:eastAsia="Times New Roman" w:hAnsi="Arial" w:cs="Arial"/>
                <w:color w:val="000000"/>
                <w:sz w:val="18"/>
                <w:szCs w:val="18"/>
                <w:lang w:val="es-ES_tradnl"/>
              </w:rPr>
              <w:t xml:space="preserve">(artículo 19 de la Ley del Mercado de Valores para modificar el plazo de conversión de las sociedades anónimas promotoras de inversión bursátil a sociedades anónimas bursátiles de 3 a 10 años,  Reformado por el Artículo Trigésimo Séptimo del Decreto. </w:t>
            </w:r>
          </w:p>
          <w:p w14:paraId="71ECEA84" w14:textId="777777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p>
          <w:p w14:paraId="28EDB9AC" w14:textId="4E8789A9"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 xml:space="preserve">Publicación en el DOF de la </w:t>
            </w:r>
            <w:r w:rsidR="0033745D" w:rsidRPr="00F919C7">
              <w:rPr>
                <w:rFonts w:ascii="Arial" w:eastAsia="Times New Roman" w:hAnsi="Arial" w:cs="Arial"/>
                <w:color w:val="000000"/>
                <w:sz w:val="18"/>
                <w:szCs w:val="18"/>
                <w:lang w:val="es-ES_tradnl"/>
              </w:rPr>
              <w:t>R</w:t>
            </w:r>
            <w:r w:rsidR="0033745D">
              <w:rPr>
                <w:rFonts w:ascii="Arial" w:eastAsia="Times New Roman" w:hAnsi="Arial" w:cs="Arial"/>
                <w:color w:val="000000"/>
                <w:sz w:val="18"/>
                <w:szCs w:val="18"/>
                <w:lang w:val="es-ES_tradnl"/>
              </w:rPr>
              <w:t>esolución</w:t>
            </w:r>
            <w:r w:rsidR="0033745D" w:rsidRPr="00F919C7">
              <w:rPr>
                <w:rFonts w:ascii="Arial" w:eastAsia="Times New Roman" w:hAnsi="Arial" w:cs="Arial"/>
                <w:color w:val="000000"/>
                <w:sz w:val="18"/>
                <w:szCs w:val="18"/>
                <w:lang w:val="es-ES_tradnl"/>
              </w:rPr>
              <w:t xml:space="preserve"> </w:t>
            </w:r>
            <w:r w:rsidRPr="00F919C7">
              <w:rPr>
                <w:rFonts w:ascii="Arial" w:eastAsia="Times New Roman" w:hAnsi="Arial" w:cs="Arial"/>
                <w:color w:val="000000"/>
                <w:sz w:val="18"/>
                <w:szCs w:val="18"/>
                <w:lang w:val="es-ES_tradnl"/>
              </w:rPr>
              <w:t xml:space="preserve">que modifica las disposiciones de carácter general aplicables a las emisoras de </w:t>
            </w:r>
            <w:r w:rsidRPr="00EA6896">
              <w:rPr>
                <w:rFonts w:ascii="Arial" w:eastAsia="Times New Roman" w:hAnsi="Arial" w:cs="Arial"/>
                <w:color w:val="000000"/>
                <w:sz w:val="18"/>
                <w:szCs w:val="18"/>
                <w:lang w:val="es-ES_tradnl"/>
              </w:rPr>
              <w:t>valores y a otros participantes del mercado de valores</w:t>
            </w:r>
            <w:r w:rsidR="0033745D">
              <w:rPr>
                <w:rFonts w:ascii="Arial" w:eastAsia="Times New Roman" w:hAnsi="Arial" w:cs="Arial"/>
                <w:color w:val="000000"/>
                <w:sz w:val="18"/>
                <w:szCs w:val="18"/>
                <w:lang w:val="es-ES_tradnl"/>
              </w:rPr>
              <w:t>, referente a la</w:t>
            </w:r>
            <w:r w:rsidRPr="00F919C7">
              <w:rPr>
                <w:rFonts w:ascii="Arial" w:eastAsia="Times New Roman" w:hAnsi="Arial" w:cs="Arial"/>
                <w:color w:val="000000"/>
                <w:sz w:val="18"/>
                <w:szCs w:val="18"/>
                <w:lang w:val="es-ES_tradnl"/>
              </w:rPr>
              <w:t xml:space="preserve"> flexibilización de los  requisitos y datos existentes de S</w:t>
            </w:r>
            <w:r w:rsidR="0033745D">
              <w:rPr>
                <w:rFonts w:ascii="Arial" w:eastAsia="Times New Roman" w:hAnsi="Arial" w:cs="Arial"/>
                <w:color w:val="000000"/>
                <w:sz w:val="18"/>
                <w:szCs w:val="18"/>
                <w:lang w:val="es-ES_tradnl"/>
              </w:rPr>
              <w:t xml:space="preserve">ociedad Anónima Promotora de Inversión Bursátil (SAPIB) </w:t>
            </w:r>
            <w:r w:rsidRPr="00F919C7">
              <w:rPr>
                <w:rFonts w:ascii="Arial" w:eastAsia="Times New Roman" w:hAnsi="Arial" w:cs="Arial"/>
                <w:color w:val="000000"/>
                <w:sz w:val="18"/>
                <w:szCs w:val="18"/>
                <w:lang w:val="es-ES_tradnl"/>
              </w:rPr>
              <w:t xml:space="preserve"> y </w:t>
            </w:r>
            <w:r w:rsidR="0033745D">
              <w:rPr>
                <w:rFonts w:ascii="Arial" w:eastAsia="Times New Roman" w:hAnsi="Arial" w:cs="Arial"/>
                <w:color w:val="000000"/>
                <w:sz w:val="18"/>
                <w:szCs w:val="18"/>
                <w:lang w:val="es-ES_tradnl"/>
              </w:rPr>
              <w:t>Sociedad Anónima Bursátil (</w:t>
            </w:r>
            <w:r w:rsidRPr="00F919C7">
              <w:rPr>
                <w:rFonts w:ascii="Arial" w:eastAsia="Times New Roman" w:hAnsi="Arial" w:cs="Arial"/>
                <w:color w:val="000000"/>
                <w:sz w:val="18"/>
                <w:szCs w:val="18"/>
                <w:lang w:val="es-ES_tradnl"/>
              </w:rPr>
              <w:t>SAB</w:t>
            </w:r>
            <w:r w:rsidR="0033745D">
              <w:rPr>
                <w:rFonts w:ascii="Arial" w:eastAsia="Times New Roman" w:hAnsi="Arial" w:cs="Arial"/>
                <w:color w:val="000000"/>
                <w:sz w:val="18"/>
                <w:szCs w:val="18"/>
                <w:lang w:val="es-ES_tradnl"/>
              </w:rPr>
              <w:t>)</w:t>
            </w:r>
            <w:r w:rsidRPr="00F919C7">
              <w:rPr>
                <w:rFonts w:ascii="Arial" w:eastAsia="Times New Roman" w:hAnsi="Arial" w:cs="Arial"/>
                <w:color w:val="000000"/>
                <w:sz w:val="18"/>
                <w:szCs w:val="18"/>
                <w:lang w:val="es-ES_tradnl"/>
              </w:rPr>
              <w:t>.</w:t>
            </w:r>
          </w:p>
          <w:p w14:paraId="42F8CEBB" w14:textId="777777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p>
          <w:p w14:paraId="5E1FAE34" w14:textId="10F86792"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Publicación en el DOF de las Disposiciones de Carácter General Aplicables a las Emisoras de Valores y a otros Participantes del Mercado de Valores (Circular Única de Emisoras - CUE). (Reformadas mediante resoluciones en el mismo)</w:t>
            </w:r>
            <w:r>
              <w:rPr>
                <w:rFonts w:ascii="Arial" w:eastAsia="Times New Roman" w:hAnsi="Arial" w:cs="Arial"/>
                <w:color w:val="000000"/>
                <w:sz w:val="18"/>
                <w:szCs w:val="18"/>
                <w:lang w:val="es-ES_tradnl"/>
              </w:rPr>
              <w:t>.</w:t>
            </w:r>
          </w:p>
          <w:p w14:paraId="006AEBAB" w14:textId="777777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p>
          <w:p w14:paraId="20DFAC61" w14:textId="13CC8277" w:rsidR="009C1791" w:rsidRPr="00F919C7" w:rsidRDefault="009C1791" w:rsidP="00FF2DDE">
            <w:pPr>
              <w:autoSpaceDE w:val="0"/>
              <w:autoSpaceDN w:val="0"/>
              <w:adjustRightInd w:val="0"/>
              <w:spacing w:after="0" w:line="240" w:lineRule="auto"/>
              <w:ind w:left="80"/>
              <w:jc w:val="both"/>
              <w:rPr>
                <w:rFonts w:ascii="Arial" w:eastAsia="Times New Roman" w:hAnsi="Arial" w:cs="Arial"/>
                <w:color w:val="000000"/>
                <w:sz w:val="18"/>
                <w:szCs w:val="18"/>
                <w:lang w:val="es-ES_tradnl"/>
              </w:rPr>
            </w:pPr>
            <w:r w:rsidRPr="00F919C7">
              <w:rPr>
                <w:rFonts w:ascii="Arial" w:eastAsia="Times New Roman" w:hAnsi="Arial" w:cs="Arial"/>
                <w:color w:val="000000"/>
                <w:sz w:val="18"/>
                <w:szCs w:val="18"/>
                <w:lang w:val="es-ES_tradnl"/>
              </w:rPr>
              <w:t xml:space="preserve">Publicación </w:t>
            </w:r>
            <w:r w:rsidR="00F63B1A">
              <w:rPr>
                <w:rFonts w:ascii="Arial" w:eastAsia="Times New Roman" w:hAnsi="Arial" w:cs="Arial"/>
                <w:color w:val="000000"/>
                <w:sz w:val="18"/>
                <w:szCs w:val="18"/>
                <w:lang w:val="es-ES_tradnl"/>
              </w:rPr>
              <w:t xml:space="preserve">del grupo </w:t>
            </w:r>
            <w:r w:rsidRPr="00F919C7">
              <w:rPr>
                <w:rFonts w:ascii="Arial" w:eastAsia="Times New Roman" w:hAnsi="Arial" w:cs="Arial"/>
                <w:color w:val="000000"/>
                <w:sz w:val="18"/>
                <w:szCs w:val="18"/>
                <w:lang w:val="es-ES_tradnl"/>
              </w:rPr>
              <w:t xml:space="preserve">BMV de </w:t>
            </w:r>
            <w:r w:rsidR="00F63B1A">
              <w:rPr>
                <w:rFonts w:ascii="Arial" w:eastAsia="Times New Roman" w:hAnsi="Arial" w:cs="Arial"/>
                <w:color w:val="000000"/>
                <w:sz w:val="18"/>
                <w:szCs w:val="18"/>
                <w:lang w:val="es-ES_tradnl"/>
              </w:rPr>
              <w:t xml:space="preserve">un </w:t>
            </w:r>
            <w:r w:rsidRPr="00F919C7">
              <w:rPr>
                <w:rFonts w:ascii="Arial" w:eastAsia="Times New Roman" w:hAnsi="Arial" w:cs="Arial"/>
                <w:color w:val="000000"/>
                <w:sz w:val="18"/>
                <w:szCs w:val="18"/>
                <w:lang w:val="es-ES_tradnl"/>
              </w:rPr>
              <w:t>Boletín de prensa en donde se detallan las características de la emisión de SAPIB.</w:t>
            </w:r>
          </w:p>
        </w:tc>
      </w:tr>
      <w:tr w:rsidR="009C1791" w:rsidRPr="00FE2818" w14:paraId="64588B82" w14:textId="77777777" w:rsidTr="00564E18">
        <w:tc>
          <w:tcPr>
            <w:tcW w:w="3618" w:type="dxa"/>
          </w:tcPr>
          <w:p w14:paraId="48A57294"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r w:rsidRPr="00B613D3">
              <w:rPr>
                <w:rFonts w:ascii="Arial" w:eastAsia="Times New Roman" w:hAnsi="Arial" w:cs="Arial"/>
                <w:sz w:val="18"/>
                <w:szCs w:val="18"/>
                <w:lang w:val="es-ES"/>
              </w:rPr>
              <w:t>Potenciación de la capacidad de atracción y diversificación de inversiones de las sociedades de inversión</w:t>
            </w:r>
          </w:p>
          <w:p w14:paraId="0E297BF3" w14:textId="77777777" w:rsidR="009C1791" w:rsidRPr="0062781C" w:rsidRDefault="009C1791" w:rsidP="00FF2DDE">
            <w:pPr>
              <w:suppressAutoHyphens/>
              <w:autoSpaceDN w:val="0"/>
              <w:spacing w:after="0" w:line="240" w:lineRule="auto"/>
              <w:jc w:val="both"/>
              <w:textAlignment w:val="baseline"/>
              <w:rPr>
                <w:rFonts w:ascii="Arial" w:eastAsia="Times New Roman" w:hAnsi="Arial" w:cs="Arial"/>
                <w:bCs/>
                <w:color w:val="000000"/>
                <w:sz w:val="18"/>
                <w:szCs w:val="18"/>
                <w:lang w:val="es-ES_tradnl"/>
              </w:rPr>
            </w:pPr>
          </w:p>
        </w:tc>
        <w:tc>
          <w:tcPr>
            <w:tcW w:w="4320" w:type="dxa"/>
            <w:shd w:val="clear" w:color="auto" w:fill="auto"/>
            <w:tcMar>
              <w:top w:w="0" w:type="dxa"/>
              <w:left w:w="108" w:type="dxa"/>
              <w:bottom w:w="0" w:type="dxa"/>
              <w:right w:w="108" w:type="dxa"/>
            </w:tcMar>
          </w:tcPr>
          <w:p w14:paraId="6884C722" w14:textId="1F9D95DA"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de la regulación secundaria relacionada con los fondos de inversión por parte de la Comisión Nacional Bancaria y de Valores (CNBV).</w:t>
            </w:r>
          </w:p>
          <w:p w14:paraId="48D8437C" w14:textId="77777777" w:rsidR="009C1791" w:rsidRPr="00F919C7" w:rsidRDefault="009C1791" w:rsidP="00FF2DDE">
            <w:pPr>
              <w:suppressAutoHyphens/>
              <w:autoSpaceDN w:val="0"/>
              <w:spacing w:after="0" w:line="240" w:lineRule="auto"/>
              <w:ind w:left="342"/>
              <w:jc w:val="both"/>
              <w:textAlignment w:val="baseline"/>
              <w:rPr>
                <w:rFonts w:ascii="Arial" w:eastAsia="Times New Roman" w:hAnsi="Arial" w:cs="Arial"/>
                <w:color w:val="000000"/>
                <w:sz w:val="18"/>
                <w:szCs w:val="18"/>
                <w:lang w:val="es-ES_tradnl"/>
              </w:rPr>
            </w:pPr>
          </w:p>
        </w:tc>
        <w:tc>
          <w:tcPr>
            <w:tcW w:w="4050" w:type="dxa"/>
            <w:shd w:val="clear" w:color="auto" w:fill="auto"/>
          </w:tcPr>
          <w:p w14:paraId="2BA1C79C" w14:textId="27B5C9C0" w:rsidR="009C1791" w:rsidRPr="00F919C7" w:rsidRDefault="009C1791" w:rsidP="00FF2DDE">
            <w:pPr>
              <w:autoSpaceDE w:val="0"/>
              <w:autoSpaceDN w:val="0"/>
              <w:adjustRightInd w:val="0"/>
              <w:spacing w:after="0" w:line="240" w:lineRule="auto"/>
              <w:jc w:val="both"/>
              <w:rPr>
                <w:rFonts w:ascii="Arial" w:eastAsia="Calibri" w:hAnsi="Arial" w:cs="Arial"/>
                <w:sz w:val="18"/>
                <w:szCs w:val="18"/>
                <w:lang w:val="es-ES_tradnl"/>
              </w:rPr>
            </w:pPr>
            <w:r w:rsidRPr="00F919C7">
              <w:rPr>
                <w:rFonts w:ascii="Arial" w:eastAsia="Calibri" w:hAnsi="Arial" w:cs="Arial"/>
                <w:sz w:val="18"/>
                <w:szCs w:val="18"/>
                <w:lang w:val="es-ES_tradnl"/>
              </w:rPr>
              <w:t xml:space="preserve">Publicación en el DOF de la actualización de la Ley de Fondos de Inversión de 2001, con la creación de un nuevo subtipo de sociedades anónimas, modificando la denominación de las sociedades de inversión por la de fondos de </w:t>
            </w:r>
            <w:r w:rsidRPr="00F919C7">
              <w:rPr>
                <w:rFonts w:ascii="Arial" w:eastAsia="Calibri" w:hAnsi="Arial" w:cs="Arial"/>
                <w:sz w:val="18"/>
                <w:szCs w:val="18"/>
                <w:lang w:val="es-ES_tradnl"/>
              </w:rPr>
              <w:lastRenderedPageBreak/>
              <w:t>inversión.</w:t>
            </w:r>
          </w:p>
          <w:p w14:paraId="78738429" w14:textId="77777777" w:rsidR="009C1791" w:rsidRPr="00F919C7" w:rsidRDefault="009C1791" w:rsidP="00FF2DDE">
            <w:pPr>
              <w:pStyle w:val="PlainText"/>
              <w:ind w:left="80"/>
              <w:jc w:val="both"/>
              <w:rPr>
                <w:rFonts w:ascii="Arial" w:hAnsi="Arial" w:cs="Arial"/>
                <w:sz w:val="18"/>
                <w:szCs w:val="18"/>
                <w:lang w:val="es-ES_tradnl"/>
              </w:rPr>
            </w:pPr>
          </w:p>
          <w:p w14:paraId="1CE3A5B3" w14:textId="453E2C28" w:rsidR="009C1791" w:rsidRPr="005E5E0F" w:rsidRDefault="009C1791" w:rsidP="00FF2DDE">
            <w:pPr>
              <w:autoSpaceDE w:val="0"/>
              <w:autoSpaceDN w:val="0"/>
              <w:adjustRightInd w:val="0"/>
              <w:spacing w:after="0" w:line="240" w:lineRule="auto"/>
              <w:jc w:val="both"/>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Disposiciones de Carácter General Aplicables a las Sociedades de Inversión y a las Personas que les Prestan Servicios (Circular Única de Fondos-CUFI).</w:t>
            </w:r>
          </w:p>
        </w:tc>
      </w:tr>
      <w:tr w:rsidR="009C1791" w:rsidRPr="00FE2818" w14:paraId="24A68744" w14:textId="77777777" w:rsidTr="00E34B6B">
        <w:tc>
          <w:tcPr>
            <w:tcW w:w="11988" w:type="dxa"/>
            <w:gridSpan w:val="3"/>
            <w:shd w:val="clear" w:color="auto" w:fill="D9D9D9" w:themeFill="background1" w:themeFillShade="D9"/>
          </w:tcPr>
          <w:p w14:paraId="33ECF602" w14:textId="77777777" w:rsidR="009C1791" w:rsidRPr="00F919C7" w:rsidRDefault="009C1791" w:rsidP="00B613D3">
            <w:pPr>
              <w:tabs>
                <w:tab w:val="left" w:pos="4030"/>
              </w:tabs>
              <w:suppressAutoHyphens/>
              <w:autoSpaceDN w:val="0"/>
              <w:spacing w:after="0" w:line="240" w:lineRule="auto"/>
              <w:ind w:left="80"/>
              <w:textAlignment w:val="baseline"/>
              <w:rPr>
                <w:rFonts w:ascii="Arial" w:eastAsia="Times New Roman" w:hAnsi="Arial" w:cs="Arial"/>
                <w:b/>
                <w:bCs/>
                <w:color w:val="FF0000"/>
                <w:sz w:val="18"/>
                <w:szCs w:val="18"/>
                <w:lang w:val="es-ES_tradnl"/>
              </w:rPr>
            </w:pPr>
            <w:r w:rsidRPr="00F919C7">
              <w:rPr>
                <w:rFonts w:ascii="Arial" w:eastAsia="Times New Roman" w:hAnsi="Arial" w:cs="Arial"/>
                <w:b/>
                <w:bCs/>
                <w:sz w:val="18"/>
                <w:szCs w:val="18"/>
                <w:lang w:val="es-ES_tradnl"/>
              </w:rPr>
              <w:lastRenderedPageBreak/>
              <w:t xml:space="preserve">(iii) </w:t>
            </w:r>
            <w:r w:rsidRPr="00B613D3">
              <w:rPr>
                <w:rFonts w:ascii="Arial" w:eastAsia="Times New Roman" w:hAnsi="Arial" w:cs="Arial"/>
                <w:b/>
                <w:bCs/>
                <w:sz w:val="18"/>
                <w:szCs w:val="18"/>
                <w:lang w:val="es-ES_tradnl"/>
              </w:rPr>
              <w:t>Mejora</w:t>
            </w:r>
            <w:r w:rsidRPr="00F919C7">
              <w:rPr>
                <w:rFonts w:ascii="Arial" w:eastAsia="Times New Roman" w:hAnsi="Arial" w:cs="Arial"/>
                <w:b/>
                <w:bCs/>
                <w:sz w:val="18"/>
                <w:szCs w:val="18"/>
                <w:lang w:val="es-ES_tradnl"/>
              </w:rPr>
              <w:t xml:space="preserve"> de la competencia en el sector financiero</w:t>
            </w:r>
          </w:p>
        </w:tc>
      </w:tr>
      <w:tr w:rsidR="009C1791" w:rsidRPr="00FE2818" w14:paraId="3BEBBAFC" w14:textId="77777777" w:rsidTr="00564E18">
        <w:tc>
          <w:tcPr>
            <w:tcW w:w="3618" w:type="dxa"/>
          </w:tcPr>
          <w:p w14:paraId="239FFBB2"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r w:rsidRPr="00B613D3">
              <w:rPr>
                <w:rFonts w:ascii="Arial" w:eastAsia="Times New Roman" w:hAnsi="Arial" w:cs="Arial"/>
                <w:sz w:val="18"/>
                <w:szCs w:val="18"/>
                <w:lang w:val="es-ES"/>
              </w:rPr>
              <w:t>Incremento de la movilidad de usuarios en el mercado de productos y servicios financieros</w:t>
            </w:r>
          </w:p>
          <w:p w14:paraId="4B8793C9"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p>
        </w:tc>
        <w:tc>
          <w:tcPr>
            <w:tcW w:w="4320" w:type="dxa"/>
            <w:shd w:val="clear" w:color="auto" w:fill="auto"/>
            <w:tcMar>
              <w:top w:w="0" w:type="dxa"/>
              <w:left w:w="108" w:type="dxa"/>
              <w:bottom w:w="0" w:type="dxa"/>
              <w:right w:w="108" w:type="dxa"/>
            </w:tcMar>
          </w:tcPr>
          <w:p w14:paraId="2B3D61BC" w14:textId="1F5B5C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por parte de la Comisión Federal de Competencia </w:t>
            </w:r>
            <w:r w:rsidR="00FC501C">
              <w:rPr>
                <w:rFonts w:ascii="Arial" w:eastAsia="Times New Roman" w:hAnsi="Arial" w:cs="Arial"/>
                <w:color w:val="000000"/>
                <w:sz w:val="18"/>
                <w:szCs w:val="18"/>
                <w:lang w:val="es-ES"/>
              </w:rPr>
              <w:t xml:space="preserve">Económica </w:t>
            </w:r>
            <w:r w:rsidRPr="00B613D3">
              <w:rPr>
                <w:rFonts w:ascii="Arial" w:eastAsia="Times New Roman" w:hAnsi="Arial" w:cs="Arial"/>
                <w:color w:val="000000"/>
                <w:sz w:val="18"/>
                <w:szCs w:val="18"/>
                <w:lang w:val="es-ES"/>
              </w:rPr>
              <w:t>(C</w:t>
            </w:r>
            <w:r w:rsidR="00FC501C">
              <w:rPr>
                <w:rFonts w:ascii="Arial" w:eastAsia="Times New Roman" w:hAnsi="Arial" w:cs="Arial"/>
                <w:color w:val="000000"/>
                <w:sz w:val="18"/>
                <w:szCs w:val="18"/>
                <w:lang w:val="es-ES"/>
              </w:rPr>
              <w:t>O</w:t>
            </w:r>
            <w:r w:rsidRPr="00B613D3">
              <w:rPr>
                <w:rFonts w:ascii="Arial" w:eastAsia="Times New Roman" w:hAnsi="Arial" w:cs="Arial"/>
                <w:color w:val="000000"/>
                <w:sz w:val="18"/>
                <w:szCs w:val="18"/>
                <w:lang w:val="es-ES"/>
              </w:rPr>
              <w:t>F</w:t>
            </w:r>
            <w:r w:rsidR="00FC501C">
              <w:rPr>
                <w:rFonts w:ascii="Arial" w:eastAsia="Times New Roman" w:hAnsi="Arial" w:cs="Arial"/>
                <w:color w:val="000000"/>
                <w:sz w:val="18"/>
                <w:szCs w:val="18"/>
                <w:lang w:val="es-ES"/>
              </w:rPr>
              <w:t>E</w:t>
            </w:r>
            <w:r w:rsidRPr="00B613D3">
              <w:rPr>
                <w:rFonts w:ascii="Arial" w:eastAsia="Times New Roman" w:hAnsi="Arial" w:cs="Arial"/>
                <w:color w:val="000000"/>
                <w:sz w:val="18"/>
                <w:szCs w:val="18"/>
                <w:lang w:val="es-ES"/>
              </w:rPr>
              <w:t>C</w:t>
            </w:r>
            <w:r w:rsidR="00FC501C">
              <w:rPr>
                <w:rFonts w:ascii="Arial" w:eastAsia="Times New Roman" w:hAnsi="Arial" w:cs="Arial"/>
                <w:color w:val="000000"/>
                <w:sz w:val="18"/>
                <w:szCs w:val="18"/>
                <w:lang w:val="es-ES"/>
              </w:rPr>
              <w:t>E</w:t>
            </w:r>
            <w:r w:rsidRPr="00B613D3">
              <w:rPr>
                <w:rFonts w:ascii="Arial" w:eastAsia="Times New Roman" w:hAnsi="Arial" w:cs="Arial"/>
                <w:color w:val="000000"/>
                <w:sz w:val="18"/>
                <w:szCs w:val="18"/>
                <w:lang w:val="es-ES"/>
              </w:rPr>
              <w:t xml:space="preserve">) de un estudio sobre la competencia en el sector financiero que incluya recomendaciones sobre líneas de mejora de la competencia en el sector. </w:t>
            </w:r>
          </w:p>
          <w:p w14:paraId="6CDB295C"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2ECE93E0" w14:textId="1DD57E3B"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por parte de la Secretaría de Hacienda y Crédito Público (SHCP) de un sistema de evaluación del funcionamiento de las entidades bancarias y de su cumplimiento con los preceptos establecidos en la reforma financiera. </w:t>
            </w:r>
          </w:p>
        </w:tc>
        <w:tc>
          <w:tcPr>
            <w:tcW w:w="4050" w:type="dxa"/>
            <w:shd w:val="clear" w:color="auto" w:fill="FFFFFF"/>
          </w:tcPr>
          <w:p w14:paraId="460BCFF7" w14:textId="77777777" w:rsidR="009C1791" w:rsidRPr="00F919C7" w:rsidRDefault="009C1791" w:rsidP="00FF2DDE">
            <w:pPr>
              <w:autoSpaceDE w:val="0"/>
              <w:autoSpaceDN w:val="0"/>
              <w:adjustRightInd w:val="0"/>
              <w:spacing w:after="0" w:line="240" w:lineRule="auto"/>
              <w:ind w:left="80"/>
              <w:jc w:val="both"/>
              <w:rPr>
                <w:rFonts w:ascii="Arial" w:eastAsia="Calibri" w:hAnsi="Arial" w:cs="Arial"/>
                <w:sz w:val="18"/>
                <w:szCs w:val="18"/>
                <w:lang w:val="es-ES_tradnl"/>
              </w:rPr>
            </w:pPr>
            <w:r w:rsidRPr="00F919C7">
              <w:rPr>
                <w:rFonts w:ascii="Arial" w:eastAsia="Calibri" w:hAnsi="Arial" w:cs="Arial"/>
                <w:sz w:val="18"/>
                <w:szCs w:val="18"/>
                <w:lang w:val="es-ES_tradnl"/>
              </w:rPr>
              <w:t>Publicación del Trabajo de investigación de COFECE en su página web con recomendaciones sobre el sector financiero y sus mercados</w:t>
            </w:r>
            <w:r>
              <w:rPr>
                <w:rFonts w:ascii="Arial" w:eastAsia="Calibri" w:hAnsi="Arial" w:cs="Arial"/>
                <w:sz w:val="18"/>
                <w:szCs w:val="18"/>
                <w:lang w:val="es-ES_tradnl"/>
              </w:rPr>
              <w:t>.</w:t>
            </w:r>
          </w:p>
          <w:p w14:paraId="4E361D88" w14:textId="77777777" w:rsidR="009C1791" w:rsidRPr="00F919C7" w:rsidRDefault="009C1791" w:rsidP="00FF2DDE">
            <w:pPr>
              <w:autoSpaceDE w:val="0"/>
              <w:autoSpaceDN w:val="0"/>
              <w:adjustRightInd w:val="0"/>
              <w:spacing w:after="0" w:line="240" w:lineRule="auto"/>
              <w:ind w:left="80"/>
              <w:jc w:val="both"/>
              <w:rPr>
                <w:rFonts w:ascii="Arial" w:eastAsia="Calibri" w:hAnsi="Arial" w:cs="Arial"/>
                <w:sz w:val="18"/>
                <w:szCs w:val="18"/>
                <w:lang w:val="es-ES_tradnl"/>
              </w:rPr>
            </w:pPr>
          </w:p>
          <w:p w14:paraId="0D17CC57" w14:textId="77777777" w:rsidR="009C1791" w:rsidRPr="00F919C7" w:rsidRDefault="009C1791" w:rsidP="00FF2DDE">
            <w:pPr>
              <w:autoSpaceDE w:val="0"/>
              <w:adjustRightInd w:val="0"/>
              <w:spacing w:after="0" w:line="240" w:lineRule="auto"/>
              <w:ind w:left="80"/>
              <w:jc w:val="both"/>
              <w:rPr>
                <w:rFonts w:ascii="Arial" w:eastAsia="Calibri" w:hAnsi="Arial" w:cs="Arial"/>
                <w:sz w:val="18"/>
                <w:szCs w:val="18"/>
                <w:lang w:val="es-ES_tradnl"/>
              </w:rPr>
            </w:pPr>
          </w:p>
          <w:p w14:paraId="6506E897" w14:textId="5295919C" w:rsidR="009C1791" w:rsidRPr="0033745D" w:rsidRDefault="009C1791" w:rsidP="00FF2DDE">
            <w:pPr>
              <w:autoSpaceDE w:val="0"/>
              <w:adjustRightInd w:val="0"/>
              <w:spacing w:after="0" w:line="240" w:lineRule="auto"/>
              <w:ind w:left="80"/>
              <w:jc w:val="both"/>
              <w:rPr>
                <w:rFonts w:ascii="Arial" w:eastAsia="Calibri" w:hAnsi="Arial" w:cs="Arial"/>
                <w:sz w:val="18"/>
                <w:szCs w:val="18"/>
                <w:lang w:val="es-ES_tradnl"/>
              </w:rPr>
            </w:pPr>
            <w:r w:rsidRPr="00F919C7">
              <w:rPr>
                <w:rFonts w:ascii="Arial" w:eastAsia="Calibri" w:hAnsi="Arial" w:cs="Arial"/>
                <w:sz w:val="18"/>
                <w:szCs w:val="18"/>
                <w:lang w:val="es-ES_tradnl"/>
              </w:rPr>
              <w:t xml:space="preserve">Publicación en el DOF de </w:t>
            </w:r>
            <w:r w:rsidR="0033745D">
              <w:rPr>
                <w:rFonts w:ascii="Arial" w:eastAsia="Calibri" w:hAnsi="Arial" w:cs="Arial"/>
                <w:sz w:val="18"/>
                <w:szCs w:val="18"/>
                <w:lang w:val="es-ES_tradnl"/>
              </w:rPr>
              <w:t>lineamientos</w:t>
            </w:r>
            <w:r w:rsidR="0033745D" w:rsidRPr="00F919C7">
              <w:rPr>
                <w:rFonts w:ascii="Arial" w:eastAsia="Calibri" w:hAnsi="Arial" w:cs="Arial"/>
                <w:sz w:val="18"/>
                <w:szCs w:val="18"/>
                <w:lang w:val="es-ES_tradnl"/>
              </w:rPr>
              <w:t xml:space="preserve"> </w:t>
            </w:r>
            <w:r w:rsidRPr="00F919C7">
              <w:rPr>
                <w:rFonts w:ascii="Arial" w:eastAsia="Calibri" w:hAnsi="Arial" w:cs="Arial"/>
                <w:sz w:val="18"/>
                <w:szCs w:val="18"/>
                <w:lang w:val="es-ES_tradnl"/>
              </w:rPr>
              <w:t>para la evaluación de desempeño de las instituciones de banca múltiple</w:t>
            </w:r>
            <w:r w:rsidRPr="0033745D">
              <w:rPr>
                <w:rFonts w:ascii="Arial" w:eastAsia="Calibri" w:hAnsi="Arial" w:cs="Arial"/>
                <w:sz w:val="18"/>
                <w:szCs w:val="18"/>
                <w:lang w:val="es-ES_tradnl"/>
              </w:rPr>
              <w:t>.</w:t>
            </w:r>
          </w:p>
          <w:p w14:paraId="5515D188" w14:textId="77777777" w:rsidR="009C1791" w:rsidRPr="00F919C7" w:rsidRDefault="009C1791" w:rsidP="00FF2DDE">
            <w:pPr>
              <w:autoSpaceDE w:val="0"/>
              <w:autoSpaceDN w:val="0"/>
              <w:adjustRightInd w:val="0"/>
              <w:spacing w:after="0" w:line="240" w:lineRule="auto"/>
              <w:jc w:val="both"/>
              <w:rPr>
                <w:rFonts w:ascii="Arial" w:eastAsia="Calibri" w:hAnsi="Arial" w:cs="Arial"/>
                <w:sz w:val="18"/>
                <w:szCs w:val="18"/>
                <w:lang w:val="es-ES_tradnl"/>
              </w:rPr>
            </w:pPr>
          </w:p>
          <w:p w14:paraId="41141EBB" w14:textId="77777777" w:rsidR="009C1791" w:rsidRPr="00F919C7" w:rsidRDefault="009C1791" w:rsidP="00FF2DDE">
            <w:pPr>
              <w:autoSpaceDE w:val="0"/>
              <w:autoSpaceDN w:val="0"/>
              <w:adjustRightInd w:val="0"/>
              <w:spacing w:after="0" w:line="240" w:lineRule="auto"/>
              <w:jc w:val="both"/>
              <w:rPr>
                <w:rFonts w:ascii="Arial" w:eastAsia="Calibri" w:hAnsi="Arial" w:cs="Arial"/>
                <w:sz w:val="18"/>
                <w:szCs w:val="18"/>
                <w:lang w:val="es-ES_tradnl"/>
              </w:rPr>
            </w:pPr>
          </w:p>
        </w:tc>
      </w:tr>
      <w:tr w:rsidR="009C1791" w:rsidRPr="00FE2818" w14:paraId="4374AECD" w14:textId="77777777" w:rsidTr="00564E18">
        <w:tc>
          <w:tcPr>
            <w:tcW w:w="3618" w:type="dxa"/>
            <w:shd w:val="clear" w:color="auto" w:fill="FFFFFF"/>
          </w:tcPr>
          <w:p w14:paraId="5D712139"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r w:rsidRPr="00B613D3">
              <w:rPr>
                <w:rFonts w:ascii="Arial" w:eastAsia="Times New Roman" w:hAnsi="Arial" w:cs="Arial"/>
                <w:sz w:val="18"/>
                <w:szCs w:val="18"/>
                <w:lang w:val="es-ES"/>
              </w:rPr>
              <w:t>Incremento de la disponibilidad de información crediticia y la protección y defensa del consumidor de servicios financieros</w:t>
            </w:r>
          </w:p>
          <w:p w14:paraId="58147314"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p>
          <w:p w14:paraId="238FAB45" w14:textId="77777777" w:rsidR="009C1791" w:rsidRPr="00B613D3" w:rsidRDefault="009C1791" w:rsidP="00FF2DDE">
            <w:pPr>
              <w:suppressAutoHyphens/>
              <w:autoSpaceDN w:val="0"/>
              <w:spacing w:after="0" w:line="240" w:lineRule="auto"/>
              <w:ind w:left="80" w:right="80"/>
              <w:jc w:val="both"/>
              <w:textAlignment w:val="baseline"/>
              <w:rPr>
                <w:rFonts w:ascii="Arial" w:eastAsia="Times New Roman" w:hAnsi="Arial" w:cs="Arial"/>
                <w:sz w:val="18"/>
                <w:szCs w:val="18"/>
                <w:lang w:val="es-ES"/>
              </w:rPr>
            </w:pPr>
          </w:p>
        </w:tc>
        <w:tc>
          <w:tcPr>
            <w:tcW w:w="4320" w:type="dxa"/>
            <w:shd w:val="clear" w:color="auto" w:fill="FFFFFF"/>
            <w:tcMar>
              <w:top w:w="0" w:type="dxa"/>
              <w:left w:w="108" w:type="dxa"/>
              <w:bottom w:w="0" w:type="dxa"/>
              <w:right w:w="108" w:type="dxa"/>
            </w:tcMar>
          </w:tcPr>
          <w:p w14:paraId="59AA4A36" w14:textId="4EFFEB1B"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Fortalecimiento institucional de la </w:t>
            </w:r>
            <w:r w:rsidR="00FC501C" w:rsidRPr="00816C71">
              <w:rPr>
                <w:rFonts w:ascii="Arial" w:eastAsia="Times New Roman" w:hAnsi="Arial" w:cs="Arial"/>
                <w:color w:val="000000"/>
                <w:sz w:val="18"/>
                <w:szCs w:val="18"/>
                <w:lang w:val="es-ES_tradnl"/>
              </w:rPr>
              <w:t>Comisión Nacional para la Protección y Defensa de los Usuarios de Servicios Financieros</w:t>
            </w:r>
            <w:r w:rsidR="00FC501C" w:rsidRPr="0062781C">
              <w:rPr>
                <w:rFonts w:ascii="Arial" w:eastAsia="Times New Roman" w:hAnsi="Arial" w:cs="Arial"/>
                <w:color w:val="000000"/>
                <w:sz w:val="18"/>
                <w:szCs w:val="18"/>
                <w:lang w:val="es-ES_tradnl"/>
              </w:rPr>
              <w:t xml:space="preserve"> </w:t>
            </w:r>
            <w:r w:rsidR="00FC501C">
              <w:rPr>
                <w:rFonts w:ascii="Arial" w:eastAsia="Times New Roman" w:hAnsi="Arial" w:cs="Arial"/>
                <w:color w:val="000000"/>
                <w:sz w:val="18"/>
                <w:szCs w:val="18"/>
                <w:lang w:val="es-ES_tradnl"/>
              </w:rPr>
              <w:t>(</w:t>
            </w:r>
            <w:r w:rsidRPr="00B613D3">
              <w:rPr>
                <w:rFonts w:ascii="Arial" w:eastAsia="Times New Roman" w:hAnsi="Arial" w:cs="Arial"/>
                <w:color w:val="000000"/>
                <w:sz w:val="18"/>
                <w:szCs w:val="18"/>
                <w:lang w:val="es-ES"/>
              </w:rPr>
              <w:t>CONDUSEF</w:t>
            </w:r>
            <w:r w:rsidR="00FC501C">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 xml:space="preserve"> a través mejoras en sus procedimientos internos, coordinación con actores y dotaciones presupuestarias y de personal</w:t>
            </w:r>
            <w:r w:rsidR="00FC501C">
              <w:rPr>
                <w:rFonts w:ascii="Arial" w:eastAsia="Times New Roman" w:hAnsi="Arial" w:cs="Arial"/>
                <w:color w:val="000000"/>
                <w:sz w:val="18"/>
                <w:szCs w:val="18"/>
                <w:lang w:val="es-ES"/>
              </w:rPr>
              <w:t xml:space="preserve">, </w:t>
            </w:r>
            <w:r w:rsidR="00FC501C" w:rsidRPr="008E60C5">
              <w:rPr>
                <w:rFonts w:ascii="Arial" w:eastAsia="Times New Roman" w:hAnsi="Arial" w:cs="Arial"/>
                <w:color w:val="000000"/>
                <w:sz w:val="18"/>
                <w:szCs w:val="18"/>
                <w:lang w:val="es-ES_tradnl"/>
              </w:rPr>
              <w:t>mediante la publicación de las correspondientes reformas a su estatuto orgánico, Ley de Protección y Defensa de los Usuarios de los Servicios Financieros y disposiciones aplicables a entidades financieras.</w:t>
            </w:r>
          </w:p>
        </w:tc>
        <w:tc>
          <w:tcPr>
            <w:tcW w:w="4050" w:type="dxa"/>
            <w:shd w:val="clear" w:color="auto" w:fill="FFFFFF"/>
          </w:tcPr>
          <w:p w14:paraId="74EDD2C7" w14:textId="4AEB580E"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la Reforma del Estatuto Orgánico de la Comisión Nacional para la Protección y Defensa de los usuarios de servicios financieros,  dotando de facultades y atribuciones a las distintas Unidades Administrativas que la integran.</w:t>
            </w:r>
          </w:p>
          <w:p w14:paraId="62BC2257" w14:textId="77777777" w:rsidR="009C1791" w:rsidRPr="00F919C7" w:rsidRDefault="009C1791" w:rsidP="00FF2DDE">
            <w:pPr>
              <w:suppressAutoHyphens/>
              <w:autoSpaceDN w:val="0"/>
              <w:spacing w:after="0" w:line="240" w:lineRule="auto"/>
              <w:ind w:left="170" w:right="170"/>
              <w:jc w:val="both"/>
              <w:textAlignment w:val="baseline"/>
              <w:rPr>
                <w:rFonts w:ascii="Arial" w:hAnsi="Arial" w:cs="Arial"/>
                <w:sz w:val="18"/>
                <w:szCs w:val="18"/>
                <w:lang w:val="es-ES_tradnl"/>
              </w:rPr>
            </w:pPr>
          </w:p>
          <w:p w14:paraId="667E3BCB" w14:textId="419DE47B" w:rsidR="009C1791" w:rsidRPr="00F919C7" w:rsidRDefault="009C1791" w:rsidP="00FF2DDE">
            <w:pPr>
              <w:suppressAutoHyphens/>
              <w:autoSpaceDN w:val="0"/>
              <w:spacing w:after="0" w:line="240" w:lineRule="auto"/>
              <w:ind w:left="8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la Reforma de la Ley de Protección y Defensa al usuario de Servicios Financieros,  Artículo 8o. Bis, que la Comisión Nacional, establecerá y mantendrá un Buró de Entidades Financieras.</w:t>
            </w:r>
            <w:r>
              <w:rPr>
                <w:rFonts w:ascii="Arial" w:eastAsia="Calibri" w:hAnsi="Arial" w:cs="Arial"/>
                <w:sz w:val="18"/>
                <w:szCs w:val="18"/>
                <w:lang w:val="es-ES_tradnl"/>
              </w:rPr>
              <w:t>.</w:t>
            </w:r>
          </w:p>
          <w:p w14:paraId="13C8D2EF" w14:textId="615322E4"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Disposiciones de carácter general para la organización y funcionamiento del Buró de entidades de crédito.</w:t>
            </w:r>
          </w:p>
          <w:p w14:paraId="1A50DBCA" w14:textId="77777777" w:rsidR="009C1791" w:rsidRPr="00F919C7" w:rsidRDefault="009C1791" w:rsidP="00FF2DDE">
            <w:pPr>
              <w:suppressAutoHyphens/>
              <w:autoSpaceDN w:val="0"/>
              <w:spacing w:after="0" w:line="240" w:lineRule="auto"/>
              <w:ind w:left="170" w:right="170"/>
              <w:jc w:val="both"/>
              <w:textAlignment w:val="baseline"/>
              <w:rPr>
                <w:rFonts w:ascii="Arial" w:eastAsia="Calibri" w:hAnsi="Arial" w:cs="Arial"/>
                <w:sz w:val="18"/>
                <w:szCs w:val="18"/>
                <w:lang w:val="es-ES_tradnl"/>
              </w:rPr>
            </w:pPr>
          </w:p>
          <w:p w14:paraId="2B0C9A5E" w14:textId="4D6E675C"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Disposiciones de carácter general para el registro de prestadores de servicios financieros</w:t>
            </w:r>
            <w:r w:rsidR="004A7B38">
              <w:rPr>
                <w:rFonts w:ascii="Arial" w:eastAsia="Calibri" w:hAnsi="Arial" w:cs="Arial"/>
                <w:sz w:val="18"/>
                <w:szCs w:val="18"/>
                <w:lang w:val="es-ES_tradnl"/>
              </w:rPr>
              <w:t>.</w:t>
            </w:r>
          </w:p>
          <w:p w14:paraId="1D8AD4A7" w14:textId="77777777" w:rsidR="009C1791" w:rsidRPr="00F919C7" w:rsidRDefault="009C1791" w:rsidP="00FF2DDE">
            <w:pPr>
              <w:suppressAutoHyphens/>
              <w:autoSpaceDN w:val="0"/>
              <w:spacing w:after="0" w:line="240" w:lineRule="auto"/>
              <w:ind w:left="170" w:right="170"/>
              <w:jc w:val="both"/>
              <w:textAlignment w:val="baseline"/>
              <w:rPr>
                <w:rFonts w:ascii="Arial" w:eastAsia="Calibri" w:hAnsi="Arial" w:cs="Arial"/>
                <w:sz w:val="18"/>
                <w:szCs w:val="18"/>
                <w:lang w:val="es-ES_tradnl"/>
              </w:rPr>
            </w:pPr>
          </w:p>
          <w:p w14:paraId="720CCF99" w14:textId="0DDE1B75"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 xml:space="preserve">Publicación en el DOF de Disposiciones de carácter general aplicables a las entidades </w:t>
            </w:r>
            <w:r w:rsidRPr="00F919C7">
              <w:rPr>
                <w:rFonts w:ascii="Arial" w:eastAsia="Calibri" w:hAnsi="Arial" w:cs="Arial"/>
                <w:sz w:val="18"/>
                <w:szCs w:val="18"/>
                <w:lang w:val="es-ES_tradnl"/>
              </w:rPr>
              <w:lastRenderedPageBreak/>
              <w:t>financieras en materia de Despachos de cobranza.</w:t>
            </w:r>
          </w:p>
          <w:p w14:paraId="708524FA" w14:textId="77777777" w:rsidR="009C1791" w:rsidRPr="00F919C7" w:rsidRDefault="009C1791" w:rsidP="00FF2DDE">
            <w:pPr>
              <w:suppressAutoHyphens/>
              <w:autoSpaceDN w:val="0"/>
              <w:spacing w:after="0" w:line="240" w:lineRule="auto"/>
              <w:ind w:left="170" w:right="170"/>
              <w:jc w:val="both"/>
              <w:textAlignment w:val="baseline"/>
              <w:rPr>
                <w:rFonts w:ascii="Arial" w:eastAsia="Calibri" w:hAnsi="Arial" w:cs="Arial"/>
                <w:sz w:val="18"/>
                <w:szCs w:val="18"/>
                <w:lang w:val="es-ES_tradnl"/>
              </w:rPr>
            </w:pPr>
          </w:p>
          <w:p w14:paraId="3EE88986" w14:textId="1CD00477"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Disposiciones de carácter general por las que se establece la información que deben rendir las unidades especializadas de las instituciones financieras a la CONDUSEF.</w:t>
            </w:r>
          </w:p>
          <w:p w14:paraId="79F0B982" w14:textId="77777777" w:rsidR="009C1791" w:rsidRPr="00F919C7" w:rsidRDefault="009C1791" w:rsidP="00FF2DDE">
            <w:pPr>
              <w:suppressAutoHyphens/>
              <w:autoSpaceDN w:val="0"/>
              <w:spacing w:after="0" w:line="240" w:lineRule="auto"/>
              <w:ind w:left="170" w:right="170"/>
              <w:jc w:val="both"/>
              <w:textAlignment w:val="baseline"/>
              <w:rPr>
                <w:rFonts w:ascii="Arial" w:eastAsia="Calibri" w:hAnsi="Arial" w:cs="Arial"/>
                <w:sz w:val="18"/>
                <w:szCs w:val="18"/>
                <w:lang w:val="es-ES_tradnl"/>
              </w:rPr>
            </w:pPr>
          </w:p>
          <w:p w14:paraId="2309BCA5" w14:textId="20C348DD" w:rsidR="009C1791" w:rsidRPr="00F919C7"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 xml:space="preserve">Publicación en el DOF de las Disposiciones de carácter general en materia de transparencia aplicables a las instituciones de crédito y sociedades financieras de objeto múltiple, entidades reguladas. </w:t>
            </w:r>
          </w:p>
          <w:p w14:paraId="4796C88D" w14:textId="77777777" w:rsidR="009C1791" w:rsidRPr="00F919C7" w:rsidRDefault="009C1791" w:rsidP="00FF2DDE">
            <w:pPr>
              <w:suppressAutoHyphens/>
              <w:autoSpaceDN w:val="0"/>
              <w:spacing w:after="0" w:line="240" w:lineRule="auto"/>
              <w:ind w:left="170" w:right="170"/>
              <w:jc w:val="both"/>
              <w:textAlignment w:val="baseline"/>
              <w:rPr>
                <w:rFonts w:ascii="Arial" w:eastAsia="Calibri" w:hAnsi="Arial" w:cs="Arial"/>
                <w:sz w:val="18"/>
                <w:szCs w:val="18"/>
                <w:lang w:val="es-ES_tradnl"/>
              </w:rPr>
            </w:pPr>
          </w:p>
          <w:p w14:paraId="7E98B56A" w14:textId="7ECF1182" w:rsidR="009C1791" w:rsidRPr="00675F1F" w:rsidRDefault="009C1791" w:rsidP="00FF2DDE">
            <w:pPr>
              <w:suppressAutoHyphens/>
              <w:autoSpaceDN w:val="0"/>
              <w:spacing w:after="0" w:line="240" w:lineRule="auto"/>
              <w:ind w:left="80" w:right="170"/>
              <w:jc w:val="both"/>
              <w:textAlignment w:val="baseline"/>
              <w:rPr>
                <w:rFonts w:ascii="Arial" w:eastAsia="Calibri" w:hAnsi="Arial" w:cs="Arial"/>
                <w:sz w:val="18"/>
                <w:szCs w:val="18"/>
                <w:lang w:val="es-ES_tradnl"/>
              </w:rPr>
            </w:pPr>
            <w:r w:rsidRPr="00F919C7">
              <w:rPr>
                <w:rFonts w:ascii="Arial" w:eastAsia="Calibri" w:hAnsi="Arial" w:cs="Arial"/>
                <w:sz w:val="18"/>
                <w:szCs w:val="18"/>
                <w:lang w:val="es-ES_tradnl"/>
              </w:rPr>
              <w:t>Publicación en el DOF de Disposiciones de carácter general en materia de cláusulas abusivas contenidas en los contratos de adhesión. Con fundamento en los artículos 56, 56 Bis y 57 de la Ley de Protección y Defensa al Usuario de Servicios Financieros.</w:t>
            </w:r>
          </w:p>
        </w:tc>
      </w:tr>
      <w:tr w:rsidR="009C1791" w:rsidRPr="00FE2818" w14:paraId="5CC88C76" w14:textId="77777777" w:rsidTr="00E814BC">
        <w:tc>
          <w:tcPr>
            <w:tcW w:w="11988" w:type="dxa"/>
            <w:gridSpan w:val="3"/>
            <w:shd w:val="clear" w:color="auto" w:fill="D9D9D9" w:themeFill="background1" w:themeFillShade="D9"/>
          </w:tcPr>
          <w:p w14:paraId="6E62BBB9" w14:textId="77777777" w:rsidR="009C1791" w:rsidRPr="00F919C7" w:rsidRDefault="009C1791" w:rsidP="00B613D3">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F919C7">
              <w:rPr>
                <w:rFonts w:ascii="Arial" w:eastAsia="Times New Roman" w:hAnsi="Arial" w:cs="Arial"/>
                <w:b/>
                <w:bCs/>
                <w:sz w:val="18"/>
                <w:szCs w:val="18"/>
                <w:lang w:val="es-ES_tradnl"/>
              </w:rPr>
              <w:lastRenderedPageBreak/>
              <w:t xml:space="preserve">(iv) </w:t>
            </w:r>
            <w:r w:rsidRPr="00B613D3">
              <w:rPr>
                <w:rFonts w:ascii="Arial" w:eastAsia="Times New Roman" w:hAnsi="Arial" w:cs="Arial"/>
                <w:b/>
                <w:bCs/>
                <w:sz w:val="18"/>
                <w:szCs w:val="18"/>
                <w:lang w:val="es-ES_tradnl"/>
              </w:rPr>
              <w:t>Fortalecimiento</w:t>
            </w:r>
            <w:r w:rsidRPr="00F919C7">
              <w:rPr>
                <w:rFonts w:ascii="Arial" w:eastAsia="Times New Roman" w:hAnsi="Arial" w:cs="Arial"/>
                <w:b/>
                <w:bCs/>
                <w:sz w:val="18"/>
                <w:szCs w:val="18"/>
                <w:lang w:val="es-ES_tradnl"/>
              </w:rPr>
              <w:t xml:space="preserve"> de la regulación prudencial</w:t>
            </w:r>
          </w:p>
        </w:tc>
      </w:tr>
      <w:tr w:rsidR="009C1791" w:rsidRPr="00FE2818" w14:paraId="5253599C" w14:textId="77777777" w:rsidTr="00564E18">
        <w:tc>
          <w:tcPr>
            <w:tcW w:w="3618" w:type="dxa"/>
          </w:tcPr>
          <w:p w14:paraId="14C1660F" w14:textId="32624BC0" w:rsidR="009C1791" w:rsidRPr="0062781C" w:rsidRDefault="009C1791" w:rsidP="00FF2DDE">
            <w:pPr>
              <w:suppressAutoHyphens/>
              <w:autoSpaceDN w:val="0"/>
              <w:spacing w:after="0" w:line="240" w:lineRule="auto"/>
              <w:ind w:left="80" w:right="80"/>
              <w:jc w:val="both"/>
              <w:textAlignment w:val="baseline"/>
              <w:rPr>
                <w:rFonts w:ascii="Arial" w:eastAsia="Times New Roman" w:hAnsi="Arial" w:cs="Arial"/>
                <w:bCs/>
                <w:color w:val="000000"/>
                <w:sz w:val="18"/>
                <w:szCs w:val="18"/>
                <w:lang w:val="es-ES_tradnl"/>
              </w:rPr>
            </w:pPr>
            <w:r w:rsidRPr="00B613D3">
              <w:rPr>
                <w:rFonts w:ascii="Arial" w:eastAsia="Times New Roman" w:hAnsi="Arial" w:cs="Arial"/>
                <w:sz w:val="18"/>
                <w:szCs w:val="18"/>
                <w:lang w:val="es-ES"/>
              </w:rPr>
              <w:t>Fortalecimiento de la autonomía y las capacidades de las instituciones de regulación</w:t>
            </w:r>
            <w:r w:rsidR="00D534EB">
              <w:rPr>
                <w:rFonts w:ascii="Arial" w:eastAsia="Times New Roman" w:hAnsi="Arial" w:cs="Arial"/>
                <w:sz w:val="18"/>
                <w:szCs w:val="18"/>
                <w:lang w:val="es-ES"/>
              </w:rPr>
              <w:t xml:space="preserve"> </w:t>
            </w:r>
            <w:r w:rsidRPr="00B613D3">
              <w:rPr>
                <w:rFonts w:ascii="Arial" w:eastAsia="Times New Roman" w:hAnsi="Arial" w:cs="Arial"/>
                <w:sz w:val="18"/>
                <w:szCs w:val="18"/>
                <w:lang w:val="es-ES"/>
              </w:rPr>
              <w:t>prudencial</w:t>
            </w:r>
          </w:p>
        </w:tc>
        <w:tc>
          <w:tcPr>
            <w:tcW w:w="4320" w:type="dxa"/>
            <w:shd w:val="clear" w:color="auto" w:fill="auto"/>
            <w:tcMar>
              <w:top w:w="0" w:type="dxa"/>
              <w:left w:w="108" w:type="dxa"/>
              <w:bottom w:w="0" w:type="dxa"/>
              <w:right w:w="108" w:type="dxa"/>
            </w:tcMar>
          </w:tcPr>
          <w:p w14:paraId="5A750319" w14:textId="42763F3C" w:rsidR="009C1791" w:rsidRPr="00F919C7" w:rsidRDefault="009C1791" w:rsidP="00FF2DDE">
            <w:pPr>
              <w:suppressAutoHyphens/>
              <w:autoSpaceDN w:val="0"/>
              <w:spacing w:after="0" w:line="240" w:lineRule="auto"/>
              <w:ind w:left="-18"/>
              <w:jc w:val="both"/>
              <w:textAlignment w:val="baseline"/>
              <w:rPr>
                <w:rFonts w:ascii="Arial" w:eastAsia="Times New Roman" w:hAnsi="Arial" w:cs="Arial"/>
                <w:bCs/>
                <w:sz w:val="18"/>
                <w:szCs w:val="18"/>
                <w:lang w:val="es-ES_tradnl"/>
              </w:rPr>
            </w:pPr>
            <w:r w:rsidRPr="00B613D3">
              <w:rPr>
                <w:rFonts w:ascii="Arial" w:eastAsia="Times New Roman" w:hAnsi="Arial" w:cs="Arial"/>
                <w:color w:val="000000"/>
                <w:sz w:val="18"/>
                <w:szCs w:val="18"/>
                <w:lang w:val="es-ES"/>
              </w:rPr>
              <w:t>Desarrollo</w:t>
            </w:r>
            <w:r w:rsidR="00FC501C">
              <w:rPr>
                <w:rFonts w:ascii="Arial" w:eastAsia="Times New Roman" w:hAnsi="Arial" w:cs="Arial"/>
                <w:color w:val="000000"/>
                <w:sz w:val="18"/>
                <w:szCs w:val="18"/>
                <w:lang w:val="es-ES"/>
              </w:rPr>
              <w:t xml:space="preserve"> y publicación </w:t>
            </w:r>
            <w:r w:rsidRPr="00B613D3">
              <w:rPr>
                <w:rFonts w:ascii="Arial" w:eastAsia="Times New Roman" w:hAnsi="Arial" w:cs="Arial"/>
                <w:color w:val="000000"/>
                <w:sz w:val="18"/>
                <w:szCs w:val="18"/>
                <w:lang w:val="es-ES"/>
              </w:rPr>
              <w:t xml:space="preserve"> por parte de la CNBV de la regulación relativa a medidas de autocorrección y requerimientos de liquidez.</w:t>
            </w:r>
          </w:p>
        </w:tc>
        <w:tc>
          <w:tcPr>
            <w:tcW w:w="4050" w:type="dxa"/>
            <w:shd w:val="clear" w:color="auto" w:fill="auto"/>
          </w:tcPr>
          <w:p w14:paraId="5604B205" w14:textId="6969BD64" w:rsidR="009C1791" w:rsidRPr="00F919C7" w:rsidRDefault="009C1791" w:rsidP="00FF2DDE">
            <w:pPr>
              <w:autoSpaceDE w:val="0"/>
              <w:autoSpaceDN w:val="0"/>
              <w:adjustRightInd w:val="0"/>
              <w:spacing w:after="0" w:line="240" w:lineRule="auto"/>
              <w:jc w:val="both"/>
              <w:rPr>
                <w:rFonts w:ascii="Arial" w:eastAsia="Times New Roman" w:hAnsi="Arial" w:cs="Arial"/>
                <w:bCs/>
                <w:sz w:val="18"/>
                <w:szCs w:val="18"/>
                <w:lang w:val="es-ES_tradnl"/>
              </w:rPr>
            </w:pPr>
            <w:r w:rsidRPr="00F919C7">
              <w:rPr>
                <w:rFonts w:ascii="Arial" w:eastAsia="Times New Roman" w:hAnsi="Arial" w:cs="Arial"/>
                <w:bCs/>
                <w:sz w:val="18"/>
                <w:szCs w:val="18"/>
                <w:lang w:val="es-ES_tradnl"/>
              </w:rPr>
              <w:t xml:space="preserve">Publicación en el DOF de Disposiciones de Carácter General sobre los Requerimientos de Liquidez para las instituciones de banca múltiple </w:t>
            </w:r>
          </w:p>
          <w:p w14:paraId="0D2E3ECA" w14:textId="77777777" w:rsidR="009C1791" w:rsidRPr="00F919C7" w:rsidRDefault="009C1791" w:rsidP="00FF2DDE">
            <w:pPr>
              <w:suppressAutoHyphens/>
              <w:autoSpaceDN w:val="0"/>
              <w:spacing w:after="0" w:line="240" w:lineRule="auto"/>
              <w:ind w:left="134" w:right="170"/>
              <w:jc w:val="both"/>
              <w:textAlignment w:val="baseline"/>
              <w:rPr>
                <w:rFonts w:ascii="Arial" w:eastAsia="Times New Roman" w:hAnsi="Arial" w:cs="Arial"/>
                <w:bCs/>
                <w:sz w:val="18"/>
                <w:szCs w:val="18"/>
                <w:lang w:val="es-ES_tradnl"/>
              </w:rPr>
            </w:pPr>
          </w:p>
          <w:p w14:paraId="422B7E1C" w14:textId="1893A48F" w:rsidR="009C1791" w:rsidRPr="00F919C7" w:rsidRDefault="009C1791" w:rsidP="00FF2DDE">
            <w:pPr>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F919C7">
              <w:rPr>
                <w:rFonts w:ascii="Arial" w:eastAsia="Times New Roman" w:hAnsi="Arial" w:cs="Arial"/>
                <w:bCs/>
                <w:sz w:val="18"/>
                <w:szCs w:val="18"/>
                <w:lang w:val="es-ES_tradnl"/>
              </w:rPr>
              <w:t xml:space="preserve">Publicación en el DOF de Disposiciones de Carácter General que regulan los programas de autocorrección. </w:t>
            </w:r>
          </w:p>
          <w:p w14:paraId="1991D0E4" w14:textId="77777777" w:rsidR="009C1791" w:rsidRPr="00F919C7" w:rsidRDefault="009C1791" w:rsidP="00FF2DDE">
            <w:pPr>
              <w:suppressAutoHyphens/>
              <w:autoSpaceDN w:val="0"/>
              <w:spacing w:after="0" w:line="240" w:lineRule="auto"/>
              <w:ind w:left="134" w:right="170"/>
              <w:jc w:val="both"/>
              <w:textAlignment w:val="baseline"/>
              <w:rPr>
                <w:rFonts w:ascii="Arial" w:eastAsia="Times New Roman" w:hAnsi="Arial" w:cs="Arial"/>
                <w:bCs/>
                <w:sz w:val="18"/>
                <w:szCs w:val="18"/>
                <w:lang w:val="es-ES_tradnl"/>
              </w:rPr>
            </w:pPr>
          </w:p>
          <w:p w14:paraId="0A0770B5" w14:textId="48DE67CF" w:rsidR="009C1791" w:rsidRPr="00F919C7"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F919C7">
              <w:rPr>
                <w:rFonts w:ascii="Arial" w:eastAsia="Times New Roman" w:hAnsi="Arial" w:cs="Arial"/>
                <w:bCs/>
                <w:sz w:val="18"/>
                <w:szCs w:val="18"/>
                <w:lang w:val="es-ES_tradnl"/>
              </w:rPr>
              <w:t xml:space="preserve">Publicación del Bank of International Settlements, Comité de Basilea de Supervisión Bancaria de la implementación de Basilea III en México.  </w:t>
            </w:r>
          </w:p>
          <w:p w14:paraId="5A7B73DE" w14:textId="77777777" w:rsidR="009C1791" w:rsidRPr="00F919C7" w:rsidRDefault="009C1791" w:rsidP="00FF2DDE">
            <w:pPr>
              <w:suppressAutoHyphens/>
              <w:autoSpaceDN w:val="0"/>
              <w:spacing w:after="0" w:line="240" w:lineRule="auto"/>
              <w:ind w:left="134" w:right="170"/>
              <w:jc w:val="both"/>
              <w:textAlignment w:val="baseline"/>
              <w:rPr>
                <w:rFonts w:ascii="Arial" w:eastAsia="Times New Roman" w:hAnsi="Arial" w:cs="Arial"/>
                <w:bCs/>
                <w:sz w:val="18"/>
                <w:szCs w:val="18"/>
                <w:lang w:val="es-ES_tradnl"/>
              </w:rPr>
            </w:pPr>
          </w:p>
          <w:p w14:paraId="4D18FA9E" w14:textId="731CC5C2" w:rsidR="009C1791" w:rsidRPr="00F919C7"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F919C7">
              <w:rPr>
                <w:rFonts w:ascii="Arial" w:eastAsia="Times New Roman" w:hAnsi="Arial" w:cs="Arial"/>
                <w:bCs/>
                <w:sz w:val="18"/>
                <w:szCs w:val="18"/>
                <w:lang w:val="es-ES_tradnl"/>
              </w:rPr>
              <w:t xml:space="preserve">Publicación en el DOF de Resolución que modifica las disposiciones de carácter general aplicables a las instituciones de crédito. En materia de actualización de la normatividad en materia de administración integral de riesgos para la adecuada gestión y supervisión de riesgo </w:t>
            </w:r>
            <w:r w:rsidRPr="00F919C7">
              <w:rPr>
                <w:rFonts w:ascii="Arial" w:eastAsia="Times New Roman" w:hAnsi="Arial" w:cs="Arial"/>
                <w:bCs/>
                <w:sz w:val="18"/>
                <w:szCs w:val="18"/>
                <w:lang w:val="es-ES_tradnl"/>
              </w:rPr>
              <w:lastRenderedPageBreak/>
              <w:t xml:space="preserve">de liquidez.   </w:t>
            </w:r>
          </w:p>
        </w:tc>
      </w:tr>
      <w:tr w:rsidR="009C1791" w:rsidRPr="00FE2818" w14:paraId="6F0AB838" w14:textId="77777777" w:rsidTr="0028415E">
        <w:tc>
          <w:tcPr>
            <w:tcW w:w="11988" w:type="dxa"/>
            <w:gridSpan w:val="3"/>
            <w:shd w:val="clear" w:color="auto" w:fill="D9D9D9" w:themeFill="background1" w:themeFillShade="D9"/>
          </w:tcPr>
          <w:p w14:paraId="62A1AA2F" w14:textId="31DB8C14" w:rsidR="009C1791" w:rsidRPr="00B613D3" w:rsidRDefault="009C1791" w:rsidP="00B613D3">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B613D3">
              <w:rPr>
                <w:rFonts w:ascii="Arial" w:eastAsia="Times New Roman" w:hAnsi="Arial" w:cs="Arial"/>
                <w:b/>
                <w:bCs/>
                <w:sz w:val="18"/>
                <w:szCs w:val="18"/>
                <w:lang w:val="es-ES_tradnl"/>
              </w:rPr>
              <w:lastRenderedPageBreak/>
              <w:t>IV. Mejora de la competencia y del clima de negocios</w:t>
            </w:r>
          </w:p>
        </w:tc>
      </w:tr>
      <w:tr w:rsidR="009C1791" w:rsidRPr="00FE2818" w14:paraId="7E8BE96A" w14:textId="77777777" w:rsidTr="001739AA">
        <w:tc>
          <w:tcPr>
            <w:tcW w:w="11988" w:type="dxa"/>
            <w:gridSpan w:val="3"/>
            <w:shd w:val="clear" w:color="auto" w:fill="D9D9D9" w:themeFill="background1" w:themeFillShade="D9"/>
          </w:tcPr>
          <w:p w14:paraId="094A32CF" w14:textId="77777777" w:rsidR="009C1791" w:rsidRPr="00B613D3" w:rsidRDefault="009C1791" w:rsidP="00B613D3">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B613D3">
              <w:rPr>
                <w:rFonts w:ascii="Arial" w:eastAsia="Times New Roman" w:hAnsi="Arial" w:cs="Arial"/>
                <w:b/>
                <w:bCs/>
                <w:sz w:val="18"/>
                <w:szCs w:val="18"/>
                <w:lang w:val="es-ES_tradnl"/>
              </w:rPr>
              <w:t>(i) Mejora de la competencia en sectores estratégicos</w:t>
            </w:r>
          </w:p>
        </w:tc>
      </w:tr>
      <w:tr w:rsidR="009C1791" w:rsidRPr="00FE2818" w14:paraId="5D141507" w14:textId="77777777" w:rsidTr="00564E18">
        <w:tc>
          <w:tcPr>
            <w:tcW w:w="3618" w:type="dxa"/>
            <w:shd w:val="clear" w:color="auto" w:fill="FFFFFF"/>
          </w:tcPr>
          <w:p w14:paraId="58868CE1"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Fortalecimiento del marco regulador de la competencia</w:t>
            </w:r>
          </w:p>
          <w:p w14:paraId="3CD779DE"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p>
          <w:p w14:paraId="316B033B" w14:textId="77777777" w:rsidR="009C1791" w:rsidRPr="00B613D3" w:rsidRDefault="009C1791" w:rsidP="00FF2DDE">
            <w:pPr>
              <w:ind w:left="98"/>
              <w:jc w:val="both"/>
              <w:rPr>
                <w:rFonts w:ascii="Arial" w:eastAsia="Times New Roman" w:hAnsi="Arial" w:cs="Arial"/>
                <w:color w:val="000000"/>
                <w:sz w:val="18"/>
                <w:szCs w:val="18"/>
                <w:lang w:val="es-ES"/>
              </w:rPr>
            </w:pPr>
          </w:p>
        </w:tc>
        <w:tc>
          <w:tcPr>
            <w:tcW w:w="4320" w:type="dxa"/>
            <w:shd w:val="clear" w:color="auto" w:fill="FFFFFF"/>
            <w:tcMar>
              <w:top w:w="0" w:type="dxa"/>
              <w:left w:w="108" w:type="dxa"/>
              <w:bottom w:w="0" w:type="dxa"/>
              <w:right w:w="108" w:type="dxa"/>
            </w:tcMar>
          </w:tcPr>
          <w:p w14:paraId="7167B025" w14:textId="17F525C3" w:rsidR="009C1791" w:rsidRPr="00B613D3" w:rsidRDefault="00FC501C"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Pr>
                <w:rFonts w:ascii="Arial" w:eastAsia="Times New Roman" w:hAnsi="Arial" w:cs="Arial"/>
                <w:color w:val="000000"/>
                <w:sz w:val="18"/>
                <w:szCs w:val="18"/>
                <w:lang w:val="es-ES"/>
              </w:rPr>
              <w:t xml:space="preserve">Publicación de la </w:t>
            </w:r>
            <w:r w:rsidR="009C1791" w:rsidRPr="00B613D3">
              <w:rPr>
                <w:rFonts w:ascii="Arial" w:eastAsia="Times New Roman" w:hAnsi="Arial" w:cs="Arial"/>
                <w:color w:val="000000"/>
                <w:sz w:val="18"/>
                <w:szCs w:val="18"/>
                <w:lang w:val="es-ES"/>
              </w:rPr>
              <w:t>Reforma de la Ley de Competencia, incorporando nuevos mandatos y capacidades de la C</w:t>
            </w:r>
            <w:r>
              <w:rPr>
                <w:rFonts w:ascii="Arial" w:eastAsia="Times New Roman" w:hAnsi="Arial" w:cs="Arial"/>
                <w:color w:val="000000"/>
                <w:sz w:val="18"/>
                <w:szCs w:val="18"/>
                <w:lang w:val="es-ES"/>
              </w:rPr>
              <w:t>O</w:t>
            </w:r>
            <w:r w:rsidR="009C1791" w:rsidRPr="00B613D3">
              <w:rPr>
                <w:rFonts w:ascii="Arial" w:eastAsia="Times New Roman" w:hAnsi="Arial" w:cs="Arial"/>
                <w:color w:val="000000"/>
                <w:sz w:val="18"/>
                <w:szCs w:val="18"/>
                <w:lang w:val="es-ES"/>
              </w:rPr>
              <w:t>F</w:t>
            </w:r>
            <w:r>
              <w:rPr>
                <w:rFonts w:ascii="Arial" w:eastAsia="Times New Roman" w:hAnsi="Arial" w:cs="Arial"/>
                <w:color w:val="000000"/>
                <w:sz w:val="18"/>
                <w:szCs w:val="18"/>
                <w:lang w:val="es-ES"/>
              </w:rPr>
              <w:t>E</w:t>
            </w:r>
            <w:r w:rsidR="009C1791" w:rsidRPr="00B613D3">
              <w:rPr>
                <w:rFonts w:ascii="Arial" w:eastAsia="Times New Roman" w:hAnsi="Arial" w:cs="Arial"/>
                <w:color w:val="000000"/>
                <w:sz w:val="18"/>
                <w:szCs w:val="18"/>
                <w:lang w:val="es-ES"/>
              </w:rPr>
              <w:t xml:space="preserve">CE. </w:t>
            </w:r>
          </w:p>
          <w:p w14:paraId="31DD60BF"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14D5490B" w14:textId="77777777" w:rsidR="009C1791" w:rsidRPr="00F919C7" w:rsidRDefault="009C1791" w:rsidP="00FF2DDE">
            <w:pPr>
              <w:suppressAutoHyphens/>
              <w:autoSpaceDN w:val="0"/>
              <w:spacing w:after="0" w:line="240" w:lineRule="auto"/>
              <w:ind w:left="342"/>
              <w:jc w:val="both"/>
              <w:textAlignment w:val="baseline"/>
              <w:rPr>
                <w:rFonts w:ascii="Arial" w:eastAsia="Times New Roman" w:hAnsi="Arial" w:cs="Arial"/>
                <w:sz w:val="18"/>
                <w:szCs w:val="18"/>
                <w:lang w:val="es-ES"/>
              </w:rPr>
            </w:pPr>
          </w:p>
        </w:tc>
        <w:tc>
          <w:tcPr>
            <w:tcW w:w="4050" w:type="dxa"/>
            <w:shd w:val="clear" w:color="auto" w:fill="FFFFFF"/>
          </w:tcPr>
          <w:p w14:paraId="555FF3AD" w14:textId="2A58D16F"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Publicación en el DOF de la Reforma de la Ley Federal de la competencia Económica y reformas y Estatuto Orgánico de la Comisión Federal de Competencia Económica publicado </w:t>
            </w:r>
          </w:p>
        </w:tc>
      </w:tr>
      <w:tr w:rsidR="009C1791" w:rsidRPr="00FE2818" w14:paraId="6CAE59E9" w14:textId="77777777" w:rsidTr="00564E18">
        <w:tc>
          <w:tcPr>
            <w:tcW w:w="3618" w:type="dxa"/>
            <w:shd w:val="clear" w:color="auto" w:fill="FFFFFF"/>
          </w:tcPr>
          <w:p w14:paraId="66779DEF"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Incremento de la competencia en materia de telecomunicaciones y servicios audiovisuales</w:t>
            </w:r>
          </w:p>
          <w:p w14:paraId="15F2C559"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p>
        </w:tc>
        <w:tc>
          <w:tcPr>
            <w:tcW w:w="4320" w:type="dxa"/>
            <w:shd w:val="clear" w:color="auto" w:fill="FFFFFF"/>
            <w:tcMar>
              <w:top w:w="0" w:type="dxa"/>
              <w:left w:w="108" w:type="dxa"/>
              <w:bottom w:w="0" w:type="dxa"/>
              <w:right w:w="108" w:type="dxa"/>
            </w:tcMar>
          </w:tcPr>
          <w:p w14:paraId="1D89B3E9" w14:textId="2C675D7A" w:rsidR="009C1791" w:rsidRPr="00B613D3" w:rsidRDefault="00FC501C"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Pr>
                <w:rFonts w:ascii="Arial" w:eastAsia="Times New Roman" w:hAnsi="Arial" w:cs="Arial"/>
                <w:color w:val="000000"/>
                <w:sz w:val="18"/>
                <w:szCs w:val="18"/>
                <w:lang w:val="es-ES"/>
              </w:rPr>
              <w:t>Publicación de la reforma</w:t>
            </w:r>
            <w:r w:rsidR="009C1791" w:rsidRPr="00B613D3">
              <w:rPr>
                <w:rFonts w:ascii="Arial" w:eastAsia="Times New Roman" w:hAnsi="Arial" w:cs="Arial"/>
                <w:color w:val="000000"/>
                <w:sz w:val="18"/>
                <w:szCs w:val="18"/>
                <w:lang w:val="es-ES"/>
              </w:rPr>
              <w:t xml:space="preserve"> de la Ley General de Telecomunicaciones y de reglamentos secundarios principales.</w:t>
            </w:r>
          </w:p>
          <w:p w14:paraId="46C7BD8C"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77BF7DC5"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0848ED93" w14:textId="211799E9" w:rsidR="009C1791" w:rsidRPr="00B613D3" w:rsidRDefault="00FC501C"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Pr>
                <w:rFonts w:ascii="Arial" w:eastAsia="Times New Roman" w:hAnsi="Arial" w:cs="Arial"/>
                <w:color w:val="000000"/>
                <w:sz w:val="18"/>
                <w:szCs w:val="18"/>
                <w:lang w:val="es-ES"/>
              </w:rPr>
              <w:t>Publicación de la normativa para la p</w:t>
            </w:r>
            <w:r w:rsidR="009C1791" w:rsidRPr="00B613D3">
              <w:rPr>
                <w:rFonts w:ascii="Arial" w:eastAsia="Times New Roman" w:hAnsi="Arial" w:cs="Arial"/>
                <w:color w:val="000000"/>
                <w:sz w:val="18"/>
                <w:szCs w:val="18"/>
                <w:lang w:val="es-ES"/>
              </w:rPr>
              <w:t xml:space="preserve">uesta en funcionamiento del Instituto Federal de Telecomunicaciones y de la </w:t>
            </w:r>
            <w:r>
              <w:rPr>
                <w:rFonts w:ascii="Arial" w:eastAsia="Times New Roman" w:hAnsi="Arial" w:cs="Arial"/>
                <w:color w:val="000000"/>
                <w:sz w:val="18"/>
                <w:szCs w:val="18"/>
                <w:lang w:val="es-ES"/>
              </w:rPr>
              <w:t>COFECE</w:t>
            </w:r>
            <w:r w:rsidR="009C1791" w:rsidRPr="00B613D3">
              <w:rPr>
                <w:rFonts w:ascii="Arial" w:eastAsia="Times New Roman" w:hAnsi="Arial" w:cs="Arial"/>
                <w:color w:val="000000"/>
                <w:sz w:val="18"/>
                <w:szCs w:val="18"/>
                <w:lang w:val="es-ES"/>
              </w:rPr>
              <w:t>.</w:t>
            </w:r>
          </w:p>
          <w:p w14:paraId="70CECF61" w14:textId="77777777" w:rsidR="009C1791" w:rsidRDefault="009C1791" w:rsidP="00FF2DDE">
            <w:pPr>
              <w:jc w:val="both"/>
              <w:rPr>
                <w:rFonts w:ascii="Arial" w:eastAsia="Times New Roman" w:hAnsi="Arial" w:cs="Arial"/>
                <w:sz w:val="18"/>
                <w:szCs w:val="18"/>
                <w:lang w:val="es-ES"/>
              </w:rPr>
            </w:pPr>
          </w:p>
          <w:p w14:paraId="48F6B82B" w14:textId="77777777" w:rsidR="009C1791" w:rsidRDefault="009C1791" w:rsidP="00FF2DDE">
            <w:pPr>
              <w:spacing w:line="480" w:lineRule="auto"/>
              <w:jc w:val="both"/>
              <w:rPr>
                <w:rFonts w:ascii="Arial" w:eastAsia="Times New Roman" w:hAnsi="Arial" w:cs="Arial"/>
                <w:sz w:val="18"/>
                <w:szCs w:val="18"/>
                <w:lang w:val="es-ES"/>
              </w:rPr>
            </w:pPr>
          </w:p>
          <w:p w14:paraId="3C043418" w14:textId="218B5541" w:rsidR="009C1791"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de </w:t>
            </w:r>
            <w:r w:rsidR="00FC501C">
              <w:rPr>
                <w:rFonts w:ascii="Arial" w:eastAsia="Times New Roman" w:hAnsi="Arial" w:cs="Arial"/>
                <w:color w:val="000000"/>
                <w:sz w:val="18"/>
                <w:szCs w:val="18"/>
                <w:lang w:val="es-ES"/>
              </w:rPr>
              <w:t>P</w:t>
            </w:r>
            <w:r w:rsidRPr="00B613D3">
              <w:rPr>
                <w:rFonts w:ascii="Arial" w:eastAsia="Times New Roman" w:hAnsi="Arial" w:cs="Arial"/>
                <w:color w:val="000000"/>
                <w:sz w:val="18"/>
                <w:szCs w:val="18"/>
                <w:lang w:val="es-ES"/>
              </w:rPr>
              <w:t xml:space="preserve">rograma </w:t>
            </w:r>
            <w:r w:rsidR="00FC501C">
              <w:rPr>
                <w:rFonts w:ascii="Arial" w:eastAsia="Times New Roman" w:hAnsi="Arial" w:cs="Arial"/>
                <w:color w:val="000000"/>
                <w:sz w:val="18"/>
                <w:szCs w:val="18"/>
                <w:lang w:val="es-ES"/>
              </w:rPr>
              <w:t>S</w:t>
            </w:r>
            <w:r w:rsidRPr="00B613D3">
              <w:rPr>
                <w:rFonts w:ascii="Arial" w:eastAsia="Times New Roman" w:hAnsi="Arial" w:cs="Arial"/>
                <w:color w:val="000000"/>
                <w:sz w:val="18"/>
                <w:szCs w:val="18"/>
                <w:lang w:val="es-ES"/>
              </w:rPr>
              <w:t xml:space="preserve">ectorial de </w:t>
            </w:r>
            <w:r w:rsidR="00FC501C">
              <w:rPr>
                <w:rFonts w:ascii="Arial" w:eastAsia="Times New Roman" w:hAnsi="Arial" w:cs="Arial"/>
                <w:color w:val="000000"/>
                <w:sz w:val="18"/>
                <w:szCs w:val="18"/>
                <w:lang w:val="es-ES"/>
              </w:rPr>
              <w:t>C</w:t>
            </w:r>
            <w:r w:rsidRPr="00B613D3">
              <w:rPr>
                <w:rFonts w:ascii="Arial" w:eastAsia="Times New Roman" w:hAnsi="Arial" w:cs="Arial"/>
                <w:color w:val="000000"/>
                <w:sz w:val="18"/>
                <w:szCs w:val="18"/>
                <w:lang w:val="es-ES"/>
              </w:rPr>
              <w:t xml:space="preserve">omunicaciones y </w:t>
            </w:r>
            <w:r w:rsidR="00FC501C">
              <w:rPr>
                <w:rFonts w:ascii="Arial" w:eastAsia="Times New Roman" w:hAnsi="Arial" w:cs="Arial"/>
                <w:color w:val="000000"/>
                <w:sz w:val="18"/>
                <w:szCs w:val="18"/>
                <w:lang w:val="es-ES"/>
              </w:rPr>
              <w:t>T</w:t>
            </w:r>
            <w:r w:rsidRPr="00B613D3">
              <w:rPr>
                <w:rFonts w:ascii="Arial" w:eastAsia="Times New Roman" w:hAnsi="Arial" w:cs="Arial"/>
                <w:color w:val="000000"/>
                <w:sz w:val="18"/>
                <w:szCs w:val="18"/>
                <w:lang w:val="es-ES"/>
              </w:rPr>
              <w:t>ransporte (2013-2018).</w:t>
            </w:r>
          </w:p>
          <w:p w14:paraId="3FBEFC41" w14:textId="77777777" w:rsidR="00FC501C" w:rsidRPr="00B613D3" w:rsidRDefault="00FC501C"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084F5AD5" w14:textId="795263EB" w:rsidR="009C1791" w:rsidRPr="00F919C7" w:rsidRDefault="009C1791" w:rsidP="00FF2DDE">
            <w:pPr>
              <w:suppressAutoHyphens/>
              <w:autoSpaceDN w:val="0"/>
              <w:spacing w:after="0" w:line="240" w:lineRule="auto"/>
              <w:ind w:left="-18"/>
              <w:jc w:val="both"/>
              <w:textAlignment w:val="baseline"/>
              <w:rPr>
                <w:rFonts w:ascii="Arial" w:eastAsia="Times New Roman" w:hAnsi="Arial" w:cs="Arial"/>
                <w:b/>
                <w:color w:val="000000"/>
                <w:sz w:val="18"/>
                <w:szCs w:val="18"/>
                <w:lang w:val="es-ES_tradnl"/>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de </w:t>
            </w:r>
            <w:r w:rsidR="00FC501C">
              <w:rPr>
                <w:rFonts w:ascii="Arial" w:eastAsia="Times New Roman" w:hAnsi="Arial" w:cs="Arial"/>
                <w:color w:val="000000"/>
                <w:sz w:val="18"/>
                <w:szCs w:val="18"/>
                <w:lang w:val="es-ES"/>
              </w:rPr>
              <w:t xml:space="preserve">un sistema </w:t>
            </w:r>
            <w:r w:rsidRPr="00B613D3">
              <w:rPr>
                <w:rFonts w:ascii="Arial" w:eastAsia="Times New Roman" w:hAnsi="Arial" w:cs="Arial"/>
                <w:color w:val="000000"/>
                <w:sz w:val="18"/>
                <w:szCs w:val="18"/>
                <w:lang w:val="es-ES"/>
              </w:rPr>
              <w:t xml:space="preserve"> indicadores de </w:t>
            </w:r>
            <w:r w:rsidR="00FC501C">
              <w:rPr>
                <w:rFonts w:ascii="Arial" w:eastAsia="Times New Roman" w:hAnsi="Arial" w:cs="Arial"/>
                <w:color w:val="000000"/>
                <w:sz w:val="18"/>
                <w:szCs w:val="18"/>
                <w:lang w:val="es-ES"/>
              </w:rPr>
              <w:t xml:space="preserve">mercados de </w:t>
            </w:r>
            <w:r w:rsidRPr="00B613D3">
              <w:rPr>
                <w:rFonts w:ascii="Arial" w:eastAsia="Times New Roman" w:hAnsi="Arial" w:cs="Arial"/>
                <w:color w:val="000000"/>
                <w:sz w:val="18"/>
                <w:szCs w:val="18"/>
                <w:lang w:val="es-ES"/>
              </w:rPr>
              <w:t>telecomunicacione</w:t>
            </w:r>
            <w:r w:rsidRPr="00F919C7">
              <w:rPr>
                <w:rFonts w:ascii="Arial" w:eastAsia="Times New Roman" w:hAnsi="Arial" w:cs="Arial"/>
                <w:bCs/>
                <w:color w:val="000000"/>
                <w:sz w:val="18"/>
                <w:szCs w:val="18"/>
                <w:lang w:val="es-ES"/>
              </w:rPr>
              <w:t xml:space="preserve">s. </w:t>
            </w:r>
          </w:p>
        </w:tc>
        <w:tc>
          <w:tcPr>
            <w:tcW w:w="4050" w:type="dxa"/>
            <w:shd w:val="clear" w:color="auto" w:fill="FFFFFF"/>
          </w:tcPr>
          <w:p w14:paraId="675C563F" w14:textId="68D02F3F"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en el DOF de la Reforma Constitucional en materia de Telecomunicaciones</w:t>
            </w:r>
            <w:r w:rsidR="002516CA">
              <w:rPr>
                <w:rFonts w:ascii="Arial" w:eastAsia="Times New Roman" w:hAnsi="Arial" w:cs="Arial"/>
                <w:bCs/>
                <w:sz w:val="18"/>
                <w:szCs w:val="18"/>
                <w:lang w:val="es-ES_tradnl"/>
              </w:rPr>
              <w:t xml:space="preserve">, </w:t>
            </w:r>
            <w:r w:rsidRPr="0038614F">
              <w:rPr>
                <w:rFonts w:ascii="Arial" w:eastAsia="Times New Roman" w:hAnsi="Arial" w:cs="Arial"/>
                <w:bCs/>
                <w:sz w:val="18"/>
                <w:szCs w:val="18"/>
                <w:lang w:val="es-ES_tradnl"/>
              </w:rPr>
              <w:t xml:space="preserve">que incluye las facultades  del Instituto Federal de Telecomunicaciones, que permitan al Instituto ejercer las </w:t>
            </w:r>
            <w:r w:rsidRPr="002516CA">
              <w:rPr>
                <w:rFonts w:ascii="Arial" w:eastAsia="Times New Roman" w:hAnsi="Arial" w:cs="Arial"/>
                <w:bCs/>
                <w:sz w:val="18"/>
                <w:szCs w:val="18"/>
                <w:lang w:val="es-ES_tradnl"/>
              </w:rPr>
              <w:t xml:space="preserve">acciones para evitar prácticas desleales y monopólicas. </w:t>
            </w:r>
            <w:r w:rsidR="002516CA" w:rsidRPr="00FF2DDE">
              <w:rPr>
                <w:rFonts w:ascii="Arial" w:eastAsia="Times New Roman" w:hAnsi="Arial" w:cs="Arial"/>
                <w:bCs/>
                <w:sz w:val="18"/>
                <w:szCs w:val="18"/>
                <w:lang w:val="es-ES_tradnl"/>
              </w:rPr>
              <w:t>Publicación de la Ley General de Telecomunicaciones normativa secundaria respectiva</w:t>
            </w:r>
            <w:r w:rsidR="004A7B38">
              <w:rPr>
                <w:rFonts w:ascii="Arial" w:eastAsia="Times New Roman" w:hAnsi="Arial" w:cs="Arial"/>
                <w:bCs/>
                <w:sz w:val="18"/>
                <w:szCs w:val="18"/>
                <w:lang w:val="es-ES_tradnl"/>
              </w:rPr>
              <w:t>.</w:t>
            </w:r>
            <w:r w:rsidR="002516CA" w:rsidRPr="00FF2DDE">
              <w:rPr>
                <w:rFonts w:ascii="Arial" w:eastAsia="Times New Roman" w:hAnsi="Arial" w:cs="Arial"/>
                <w:bCs/>
                <w:sz w:val="18"/>
                <w:szCs w:val="18"/>
                <w:lang w:val="es-ES_tradnl"/>
              </w:rPr>
              <w:t xml:space="preserve"> </w:t>
            </w:r>
          </w:p>
          <w:p w14:paraId="5C65A9EB" w14:textId="77777777" w:rsidR="009C1791" w:rsidRPr="0038614F" w:rsidRDefault="009C1791" w:rsidP="00FF2DDE">
            <w:pPr>
              <w:tabs>
                <w:tab w:val="left" w:pos="4030"/>
              </w:tabs>
              <w:suppressAutoHyphens/>
              <w:autoSpaceDN w:val="0"/>
              <w:spacing w:after="0" w:line="240" w:lineRule="auto"/>
              <w:ind w:left="134"/>
              <w:jc w:val="both"/>
              <w:textAlignment w:val="baseline"/>
              <w:rPr>
                <w:rFonts w:ascii="Arial" w:eastAsia="Times New Roman" w:hAnsi="Arial" w:cs="Arial"/>
                <w:bCs/>
                <w:sz w:val="18"/>
                <w:szCs w:val="18"/>
                <w:lang w:val="es-ES_tradnl"/>
              </w:rPr>
            </w:pPr>
          </w:p>
          <w:p w14:paraId="43347FF3" w14:textId="15B16DEA"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en el DOF de la Creación del Instituto Federal de Telecomunicaciones.</w:t>
            </w:r>
          </w:p>
          <w:p w14:paraId="501D767A" w14:textId="77777777" w:rsidR="0038614F" w:rsidRPr="0038614F" w:rsidRDefault="0038614F"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15570110" w14:textId="52D25E4F"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y aprobación por acuerdo del Pleno del Instituto Federal de Telecomunicaciones de los Estatutos Orgánicos del Instituto Federal de Telecomunicaciones.</w:t>
            </w:r>
          </w:p>
          <w:p w14:paraId="45D07504" w14:textId="77777777" w:rsidR="009C1791" w:rsidRPr="0038614F" w:rsidRDefault="009C1791" w:rsidP="00FF2DDE">
            <w:pPr>
              <w:tabs>
                <w:tab w:val="left" w:pos="4030"/>
              </w:tabs>
              <w:suppressAutoHyphens/>
              <w:autoSpaceDN w:val="0"/>
              <w:spacing w:after="0" w:line="240" w:lineRule="auto"/>
              <w:ind w:left="134"/>
              <w:jc w:val="both"/>
              <w:textAlignment w:val="baseline"/>
              <w:rPr>
                <w:rFonts w:ascii="Arial" w:eastAsia="Times New Roman" w:hAnsi="Arial" w:cs="Arial"/>
                <w:bCs/>
                <w:sz w:val="18"/>
                <w:szCs w:val="18"/>
                <w:lang w:val="es-ES_tradnl"/>
              </w:rPr>
            </w:pPr>
          </w:p>
          <w:p w14:paraId="6925E8C0" w14:textId="4ECD6140"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Publicación del Programa </w:t>
            </w:r>
            <w:r w:rsidR="00FC501C">
              <w:rPr>
                <w:rFonts w:ascii="Arial" w:eastAsia="Times New Roman" w:hAnsi="Arial" w:cs="Arial"/>
                <w:bCs/>
                <w:sz w:val="18"/>
                <w:szCs w:val="18"/>
                <w:lang w:val="es-ES_tradnl"/>
              </w:rPr>
              <w:t>S</w:t>
            </w:r>
            <w:r w:rsidRPr="0038614F">
              <w:rPr>
                <w:rFonts w:ascii="Arial" w:eastAsia="Times New Roman" w:hAnsi="Arial" w:cs="Arial"/>
                <w:bCs/>
                <w:sz w:val="18"/>
                <w:szCs w:val="18"/>
                <w:lang w:val="es-ES_tradnl"/>
              </w:rPr>
              <w:t xml:space="preserve">ectorial de </w:t>
            </w:r>
            <w:r w:rsidR="00FC501C">
              <w:rPr>
                <w:rFonts w:ascii="Arial" w:eastAsia="Times New Roman" w:hAnsi="Arial" w:cs="Arial"/>
                <w:bCs/>
                <w:sz w:val="18"/>
                <w:szCs w:val="18"/>
                <w:lang w:val="es-ES_tradnl"/>
              </w:rPr>
              <w:t>T</w:t>
            </w:r>
            <w:r w:rsidRPr="0038614F">
              <w:rPr>
                <w:rFonts w:ascii="Arial" w:eastAsia="Times New Roman" w:hAnsi="Arial" w:cs="Arial"/>
                <w:bCs/>
                <w:sz w:val="18"/>
                <w:szCs w:val="18"/>
                <w:lang w:val="es-ES_tradnl"/>
              </w:rPr>
              <w:t xml:space="preserve">elecomunicaciones y </w:t>
            </w:r>
            <w:r w:rsidR="00FC501C">
              <w:rPr>
                <w:rFonts w:ascii="Arial" w:eastAsia="Times New Roman" w:hAnsi="Arial" w:cs="Arial"/>
                <w:bCs/>
                <w:sz w:val="18"/>
                <w:szCs w:val="18"/>
                <w:lang w:val="es-ES_tradnl"/>
              </w:rPr>
              <w:t>T</w:t>
            </w:r>
            <w:r w:rsidRPr="0038614F">
              <w:rPr>
                <w:rFonts w:ascii="Arial" w:eastAsia="Times New Roman" w:hAnsi="Arial" w:cs="Arial"/>
                <w:bCs/>
                <w:sz w:val="18"/>
                <w:szCs w:val="18"/>
                <w:lang w:val="es-ES_tradnl"/>
              </w:rPr>
              <w:t>ransporte (2013-2018).</w:t>
            </w:r>
          </w:p>
          <w:p w14:paraId="6E5F06D5"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4E960799" w14:textId="18252909"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Publicación en la página web del </w:t>
            </w:r>
            <w:r w:rsidR="002516CA">
              <w:rPr>
                <w:rFonts w:ascii="Arial" w:eastAsia="Times New Roman" w:hAnsi="Arial" w:cs="Arial"/>
                <w:bCs/>
                <w:sz w:val="18"/>
                <w:szCs w:val="18"/>
                <w:lang w:val="es-ES_tradnl"/>
              </w:rPr>
              <w:t>Inst</w:t>
            </w:r>
            <w:r w:rsidR="003A3A02">
              <w:rPr>
                <w:rFonts w:ascii="Arial" w:eastAsia="Times New Roman" w:hAnsi="Arial" w:cs="Arial"/>
                <w:bCs/>
                <w:sz w:val="18"/>
                <w:szCs w:val="18"/>
                <w:lang w:val="es-ES_tradnl"/>
              </w:rPr>
              <w:t>it</w:t>
            </w:r>
            <w:r w:rsidR="002516CA">
              <w:rPr>
                <w:rFonts w:ascii="Arial" w:eastAsia="Times New Roman" w:hAnsi="Arial" w:cs="Arial"/>
                <w:bCs/>
                <w:sz w:val="18"/>
                <w:szCs w:val="18"/>
                <w:lang w:val="es-ES_tradnl"/>
              </w:rPr>
              <w:t>uto Federal de Telecomunicaciones (</w:t>
            </w:r>
            <w:r w:rsidRPr="0038614F">
              <w:rPr>
                <w:rFonts w:ascii="Arial" w:eastAsia="Times New Roman" w:hAnsi="Arial" w:cs="Arial"/>
                <w:bCs/>
                <w:sz w:val="18"/>
                <w:szCs w:val="18"/>
                <w:lang w:val="es-ES_tradnl"/>
              </w:rPr>
              <w:t>IFT</w:t>
            </w:r>
            <w:r w:rsidR="002516CA">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xml:space="preserve"> de un sistema de información Estadística de mercados de Telecomunicaciones (SIEMT).</w:t>
            </w:r>
          </w:p>
        </w:tc>
      </w:tr>
      <w:tr w:rsidR="006614FB" w:rsidRPr="00FE2818" w14:paraId="0BA25CBE" w14:textId="77777777" w:rsidTr="00C86724">
        <w:tc>
          <w:tcPr>
            <w:tcW w:w="11988" w:type="dxa"/>
            <w:gridSpan w:val="3"/>
            <w:shd w:val="clear" w:color="auto" w:fill="D9D9D9" w:themeFill="background1" w:themeFillShade="D9"/>
          </w:tcPr>
          <w:p w14:paraId="77BC3DF8" w14:textId="77777777" w:rsidR="006614FB" w:rsidRPr="006614FB" w:rsidRDefault="006614FB" w:rsidP="006614FB">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6614FB">
              <w:rPr>
                <w:rFonts w:ascii="Arial" w:eastAsia="Times New Roman" w:hAnsi="Arial" w:cs="Arial"/>
                <w:b/>
                <w:bCs/>
                <w:sz w:val="18"/>
                <w:szCs w:val="18"/>
                <w:lang w:val="es-ES_tradnl"/>
              </w:rPr>
              <w:t>(ii) Mejoras en los procesos de concursos mercantiles y en ejecución de garantías y contratos</w:t>
            </w:r>
          </w:p>
        </w:tc>
      </w:tr>
      <w:tr w:rsidR="009C1791" w:rsidRPr="00FE2818" w14:paraId="6A6CA7F1" w14:textId="77777777" w:rsidTr="00564E18">
        <w:tc>
          <w:tcPr>
            <w:tcW w:w="3618" w:type="dxa"/>
          </w:tcPr>
          <w:p w14:paraId="6ECC8C0F" w14:textId="77777777" w:rsidR="009C1791" w:rsidRPr="00F919C7" w:rsidRDefault="009C1791" w:rsidP="00FF2DDE">
            <w:pPr>
              <w:suppressAutoHyphens/>
              <w:autoSpaceDN w:val="0"/>
              <w:spacing w:after="0" w:line="240" w:lineRule="auto"/>
              <w:ind w:left="98"/>
              <w:jc w:val="both"/>
              <w:textAlignment w:val="baseline"/>
              <w:rPr>
                <w:rFonts w:ascii="Arial" w:eastAsia="Times New Roman" w:hAnsi="Arial" w:cs="Arial"/>
                <w:sz w:val="18"/>
                <w:szCs w:val="18"/>
                <w:lang w:val="es-ES_tradnl"/>
              </w:rPr>
            </w:pPr>
            <w:r w:rsidRPr="00B613D3">
              <w:rPr>
                <w:rFonts w:ascii="Arial" w:eastAsia="Times New Roman" w:hAnsi="Arial" w:cs="Arial"/>
                <w:color w:val="000000"/>
                <w:sz w:val="18"/>
                <w:szCs w:val="18"/>
                <w:lang w:val="es-ES"/>
              </w:rPr>
              <w:t>Incremento de la eficacia de los concursos mercantiles</w:t>
            </w:r>
          </w:p>
        </w:tc>
        <w:tc>
          <w:tcPr>
            <w:tcW w:w="4320" w:type="dxa"/>
            <w:shd w:val="clear" w:color="auto" w:fill="auto"/>
            <w:tcMar>
              <w:top w:w="0" w:type="dxa"/>
              <w:left w:w="108" w:type="dxa"/>
              <w:bottom w:w="0" w:type="dxa"/>
              <w:right w:w="108" w:type="dxa"/>
            </w:tcMar>
          </w:tcPr>
          <w:p w14:paraId="26E61F87" w14:textId="215ED5FE" w:rsidR="009C1791" w:rsidRPr="00FF2DDE" w:rsidRDefault="009C1791" w:rsidP="00FF2DDE">
            <w:pPr>
              <w:suppressAutoHyphens/>
              <w:autoSpaceDN w:val="0"/>
              <w:spacing w:after="0" w:line="240" w:lineRule="auto"/>
              <w:jc w:val="both"/>
              <w:textAlignment w:val="baseline"/>
              <w:rPr>
                <w:rFonts w:ascii="Arial" w:eastAsia="Times New Roman" w:hAnsi="Arial" w:cs="Arial"/>
                <w:bCs/>
                <w:color w:val="000000"/>
                <w:sz w:val="18"/>
                <w:szCs w:val="18"/>
                <w:lang w:val="es-ES_tradnl"/>
              </w:rPr>
            </w:pPr>
            <w:r w:rsidRPr="00B613D3">
              <w:rPr>
                <w:rFonts w:ascii="Arial" w:eastAsia="Times New Roman" w:hAnsi="Arial" w:cs="Arial"/>
                <w:color w:val="000000"/>
                <w:sz w:val="18"/>
                <w:szCs w:val="18"/>
                <w:lang w:val="es-ES"/>
              </w:rPr>
              <w:t>Fortalecimiento institucional de los juzgados en materia mercantil</w:t>
            </w:r>
            <w:r w:rsidR="00FC501C">
              <w:rPr>
                <w:rFonts w:ascii="Arial" w:eastAsia="Times New Roman" w:hAnsi="Arial" w:cs="Arial"/>
                <w:color w:val="000000"/>
                <w:sz w:val="18"/>
                <w:szCs w:val="18"/>
                <w:lang w:val="es-ES"/>
              </w:rPr>
              <w:t xml:space="preserve">, </w:t>
            </w:r>
            <w:r w:rsidR="00FC501C">
              <w:rPr>
                <w:rFonts w:ascii="Arial" w:eastAsia="Times New Roman" w:hAnsi="Arial" w:cs="Arial"/>
                <w:bCs/>
                <w:color w:val="000000"/>
                <w:sz w:val="18"/>
                <w:szCs w:val="18"/>
                <w:lang w:val="es-ES_tradnl"/>
              </w:rPr>
              <w:t>a través de actividades de la Comisión Federal de Mejora Regulatoria (COFEMER).</w:t>
            </w:r>
          </w:p>
        </w:tc>
        <w:tc>
          <w:tcPr>
            <w:tcW w:w="4050" w:type="dxa"/>
            <w:shd w:val="clear" w:color="auto" w:fill="auto"/>
          </w:tcPr>
          <w:p w14:paraId="65543470" w14:textId="7A2D2188" w:rsidR="009C1791" w:rsidRPr="0038614F" w:rsidRDefault="00B90CE3"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Pr>
                <w:rFonts w:ascii="Arial" w:eastAsia="Times New Roman" w:hAnsi="Arial" w:cs="Arial"/>
                <w:bCs/>
                <w:sz w:val="18"/>
                <w:szCs w:val="18"/>
                <w:lang w:val="es-ES_tradnl"/>
              </w:rPr>
              <w:t xml:space="preserve">Publicación del Informe Anual de </w:t>
            </w:r>
            <w:r w:rsidR="00E50CE5">
              <w:rPr>
                <w:rFonts w:ascii="Arial" w:eastAsia="Times New Roman" w:hAnsi="Arial" w:cs="Arial"/>
                <w:bCs/>
                <w:sz w:val="18"/>
                <w:szCs w:val="18"/>
                <w:lang w:val="es-ES_tradnl"/>
              </w:rPr>
              <w:t xml:space="preserve">2015 </w:t>
            </w:r>
            <w:r>
              <w:rPr>
                <w:rFonts w:ascii="Arial" w:eastAsia="Times New Roman" w:hAnsi="Arial" w:cs="Arial"/>
                <w:bCs/>
                <w:sz w:val="18"/>
                <w:szCs w:val="18"/>
                <w:lang w:val="es-ES_tradnl"/>
              </w:rPr>
              <w:t>COFEMER conteniendo las actividades de fortalecimiento.</w:t>
            </w:r>
          </w:p>
        </w:tc>
      </w:tr>
      <w:tr w:rsidR="006614FB" w:rsidRPr="00FE2818" w14:paraId="24C1531C" w14:textId="77777777" w:rsidTr="008479B4">
        <w:tc>
          <w:tcPr>
            <w:tcW w:w="11988" w:type="dxa"/>
            <w:gridSpan w:val="3"/>
            <w:shd w:val="clear" w:color="auto" w:fill="D9D9D9" w:themeFill="background1" w:themeFillShade="D9"/>
          </w:tcPr>
          <w:p w14:paraId="6573C109" w14:textId="77777777" w:rsidR="006614FB" w:rsidRPr="006614FB" w:rsidRDefault="006614FB" w:rsidP="006614FB">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6614FB">
              <w:rPr>
                <w:rFonts w:ascii="Arial" w:eastAsia="Times New Roman" w:hAnsi="Arial" w:cs="Arial"/>
                <w:b/>
                <w:bCs/>
                <w:sz w:val="18"/>
                <w:szCs w:val="18"/>
                <w:lang w:val="es-ES_tradnl"/>
              </w:rPr>
              <w:t>(iii) Mejoras en la simplificación de procesos de gobierno electrónico</w:t>
            </w:r>
          </w:p>
        </w:tc>
      </w:tr>
      <w:tr w:rsidR="009C1791" w:rsidRPr="00FE2818" w14:paraId="383DD285" w14:textId="77777777" w:rsidTr="00564E18">
        <w:tc>
          <w:tcPr>
            <w:tcW w:w="3618" w:type="dxa"/>
          </w:tcPr>
          <w:p w14:paraId="279E0EAC"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Gestión gubernamental ágil y eficiente</w:t>
            </w:r>
          </w:p>
          <w:p w14:paraId="75A5AA7B"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p>
        </w:tc>
        <w:tc>
          <w:tcPr>
            <w:tcW w:w="4320" w:type="dxa"/>
            <w:shd w:val="clear" w:color="auto" w:fill="auto"/>
            <w:tcMar>
              <w:top w:w="0" w:type="dxa"/>
              <w:left w:w="108" w:type="dxa"/>
              <w:bottom w:w="0" w:type="dxa"/>
              <w:right w:w="108" w:type="dxa"/>
            </w:tcMar>
          </w:tcPr>
          <w:p w14:paraId="6F8A3441" w14:textId="56F2D252"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lastRenderedPageBreak/>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de la Estrategia Digital </w:t>
            </w:r>
            <w:r w:rsidRPr="00B613D3">
              <w:rPr>
                <w:rFonts w:ascii="Arial" w:eastAsia="Times New Roman" w:hAnsi="Arial" w:cs="Arial"/>
                <w:color w:val="000000"/>
                <w:sz w:val="18"/>
                <w:szCs w:val="18"/>
                <w:lang w:val="es-ES"/>
              </w:rPr>
              <w:lastRenderedPageBreak/>
              <w:t>Nacional en materia de simplificación de trámites empresariales y gobierno electrónico</w:t>
            </w:r>
            <w:r w:rsidR="00FC501C">
              <w:rPr>
                <w:rFonts w:ascii="Arial" w:eastAsia="Times New Roman" w:hAnsi="Arial" w:cs="Arial"/>
                <w:color w:val="000000"/>
                <w:sz w:val="18"/>
                <w:szCs w:val="18"/>
                <w:lang w:val="es-ES"/>
              </w:rPr>
              <w:t>, así como de sus resultados</w:t>
            </w:r>
            <w:r w:rsidRPr="00B613D3">
              <w:rPr>
                <w:rFonts w:ascii="Arial" w:eastAsia="Times New Roman" w:hAnsi="Arial" w:cs="Arial"/>
                <w:color w:val="000000"/>
                <w:sz w:val="18"/>
                <w:szCs w:val="18"/>
                <w:lang w:val="es-ES"/>
              </w:rPr>
              <w:t>.</w:t>
            </w:r>
          </w:p>
          <w:p w14:paraId="2403A052" w14:textId="77777777" w:rsidR="009C1791" w:rsidRPr="00B613D3"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
              </w:rPr>
            </w:pPr>
          </w:p>
          <w:p w14:paraId="3A2A2342" w14:textId="77777777" w:rsidR="009C1791" w:rsidRPr="00B613D3"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
              </w:rPr>
            </w:pPr>
          </w:p>
        </w:tc>
        <w:tc>
          <w:tcPr>
            <w:tcW w:w="4050" w:type="dxa"/>
            <w:shd w:val="clear" w:color="auto" w:fill="auto"/>
          </w:tcPr>
          <w:p w14:paraId="194BFECD" w14:textId="297070C6" w:rsidR="009C1791"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lastRenderedPageBreak/>
              <w:t xml:space="preserve">Publicación en el DOF del Acuerdo que tiene por </w:t>
            </w:r>
            <w:r w:rsidRPr="0038614F">
              <w:rPr>
                <w:rFonts w:ascii="Arial" w:eastAsia="Times New Roman" w:hAnsi="Arial" w:cs="Arial"/>
                <w:bCs/>
                <w:sz w:val="18"/>
                <w:szCs w:val="18"/>
                <w:lang w:val="es-ES_tradnl"/>
              </w:rPr>
              <w:lastRenderedPageBreak/>
              <w:t>objeto emitir las políticas y disposiciones para la Estrategia Digital Nacional, en materia de tecnologías de la información y comunicaciones, y en la de seguridad de la información, así como el Manual Administrativo de Aplicación General en dichas materias.</w:t>
            </w:r>
          </w:p>
          <w:p w14:paraId="6933F8F8" w14:textId="77777777" w:rsidR="00E50CE5" w:rsidRDefault="00E50CE5"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7D978107" w14:textId="306C534C" w:rsidR="00E50CE5" w:rsidRPr="0038614F" w:rsidRDefault="00E50CE5"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Pr>
                <w:rFonts w:ascii="Arial" w:eastAsia="Times New Roman" w:hAnsi="Arial" w:cs="Arial"/>
                <w:bCs/>
                <w:sz w:val="18"/>
                <w:szCs w:val="18"/>
                <w:lang w:val="es-ES_tradnl"/>
              </w:rPr>
              <w:t>Publicación del Informe Anual 2015 de COFEMER conteniendo las actividades de simplificación de trámites y gobierno electrónico.</w:t>
            </w:r>
          </w:p>
        </w:tc>
      </w:tr>
      <w:tr w:rsidR="009C1791" w:rsidRPr="00FE2818" w14:paraId="2772BF09" w14:textId="77777777" w:rsidTr="00564E18">
        <w:tc>
          <w:tcPr>
            <w:tcW w:w="3618" w:type="dxa"/>
          </w:tcPr>
          <w:p w14:paraId="36C1FE3A"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lastRenderedPageBreak/>
              <w:t xml:space="preserve">Reducción de cargas regulatorias </w:t>
            </w:r>
          </w:p>
          <w:p w14:paraId="4B42BC9A"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p>
        </w:tc>
        <w:tc>
          <w:tcPr>
            <w:tcW w:w="4320" w:type="dxa"/>
            <w:shd w:val="clear" w:color="auto" w:fill="auto"/>
            <w:tcMar>
              <w:top w:w="0" w:type="dxa"/>
              <w:left w:w="108" w:type="dxa"/>
              <w:bottom w:w="0" w:type="dxa"/>
              <w:right w:w="108" w:type="dxa"/>
            </w:tcMar>
          </w:tcPr>
          <w:p w14:paraId="5A4A4F5D" w14:textId="7C370574"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Desarrollo </w:t>
            </w:r>
            <w:r w:rsidR="00FC501C">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de un programa de simplificación de trámites a nivel federal, estatal y municipal siguiendo las mejores prácticas internacionales. </w:t>
            </w:r>
          </w:p>
          <w:p w14:paraId="6FD38071" w14:textId="77777777" w:rsidR="009C1791"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2693732B" w14:textId="77777777" w:rsidR="00552EA6"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01B60EF1" w14:textId="77777777" w:rsidR="00552EA6"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4067F09E" w14:textId="77777777" w:rsidR="00552EA6"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6E86B8A9" w14:textId="77777777" w:rsidR="00552EA6" w:rsidRPr="00B613D3"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3AB6AF83" w14:textId="77777777" w:rsidR="00552EA6"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0D7818B3" w14:textId="77777777" w:rsidR="00552EA6" w:rsidRDefault="00552EA6"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6979C892" w14:textId="77777777" w:rsidR="00E50CE5" w:rsidRDefault="00E50CE5"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1FF37134" w14:textId="703DB39C"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Revisión de los procesos y los topes de inversión extranjera con el objetivo de incrementar la productividad y la competencia</w:t>
            </w:r>
            <w:r w:rsidR="00FE2818">
              <w:rPr>
                <w:rFonts w:ascii="Arial" w:eastAsia="Times New Roman" w:hAnsi="Arial" w:cs="Arial"/>
                <w:color w:val="000000"/>
                <w:sz w:val="18"/>
                <w:szCs w:val="18"/>
                <w:lang w:val="es-ES_tradnl"/>
              </w:rPr>
              <w:t xml:space="preserve"> </w:t>
            </w:r>
            <w:bookmarkStart w:id="0" w:name="_GoBack"/>
            <w:bookmarkEnd w:id="0"/>
            <w:r w:rsidR="00FC501C">
              <w:rPr>
                <w:rFonts w:ascii="Arial" w:eastAsia="Times New Roman" w:hAnsi="Arial" w:cs="Arial"/>
                <w:color w:val="000000"/>
                <w:sz w:val="18"/>
                <w:szCs w:val="18"/>
                <w:lang w:val="es-ES_tradnl"/>
              </w:rPr>
              <w:t>y publicación de la normatividad respectiva</w:t>
            </w:r>
            <w:r w:rsidR="00FC501C" w:rsidRPr="0062781C">
              <w:rPr>
                <w:rFonts w:ascii="Arial" w:eastAsia="Times New Roman" w:hAnsi="Arial" w:cs="Arial"/>
                <w:color w:val="000000"/>
                <w:sz w:val="18"/>
                <w:szCs w:val="18"/>
                <w:lang w:val="es-ES_tradnl"/>
              </w:rPr>
              <w:t>.</w:t>
            </w:r>
          </w:p>
        </w:tc>
        <w:tc>
          <w:tcPr>
            <w:tcW w:w="4050" w:type="dxa"/>
            <w:shd w:val="clear" w:color="auto" w:fill="auto"/>
          </w:tcPr>
          <w:p w14:paraId="594A9EFF" w14:textId="13520F30" w:rsidR="009C1791"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Publicación en el DOF del Decreto por el que se establece la Estrategia Integral de Mejora Regulatoria del </w:t>
            </w:r>
            <w:r w:rsidR="002516CA">
              <w:rPr>
                <w:rFonts w:ascii="Arial" w:eastAsia="Times New Roman" w:hAnsi="Arial" w:cs="Arial"/>
                <w:bCs/>
                <w:sz w:val="18"/>
                <w:szCs w:val="18"/>
                <w:lang w:val="es-ES_tradnl"/>
              </w:rPr>
              <w:t>G</w:t>
            </w:r>
            <w:r w:rsidRPr="0038614F">
              <w:rPr>
                <w:rFonts w:ascii="Arial" w:eastAsia="Times New Roman" w:hAnsi="Arial" w:cs="Arial"/>
                <w:bCs/>
                <w:sz w:val="18"/>
                <w:szCs w:val="18"/>
                <w:lang w:val="es-ES_tradnl"/>
              </w:rPr>
              <w:t>obierno Federal y de Simplificación de Trámites y Servicios</w:t>
            </w:r>
            <w:r w:rsidR="004A7B38">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xml:space="preserve"> </w:t>
            </w:r>
          </w:p>
          <w:p w14:paraId="09E3211B" w14:textId="77777777" w:rsidR="00E50CE5" w:rsidRDefault="00E50CE5"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41672561" w14:textId="582AA932" w:rsidR="00552EA6" w:rsidRDefault="00552EA6"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Pr>
                <w:rFonts w:ascii="Arial" w:eastAsia="Times New Roman" w:hAnsi="Arial" w:cs="Arial"/>
                <w:bCs/>
                <w:sz w:val="18"/>
                <w:szCs w:val="18"/>
                <w:lang w:val="es-ES_tradnl"/>
              </w:rPr>
              <w:t xml:space="preserve">Publicación del Informe Anual </w:t>
            </w:r>
            <w:r w:rsidR="00E50CE5">
              <w:rPr>
                <w:rFonts w:ascii="Arial" w:eastAsia="Times New Roman" w:hAnsi="Arial" w:cs="Arial"/>
                <w:bCs/>
                <w:sz w:val="18"/>
                <w:szCs w:val="18"/>
                <w:lang w:val="es-ES_tradnl"/>
              </w:rPr>
              <w:t xml:space="preserve">2015 </w:t>
            </w:r>
            <w:r>
              <w:rPr>
                <w:rFonts w:ascii="Arial" w:eastAsia="Times New Roman" w:hAnsi="Arial" w:cs="Arial"/>
                <w:bCs/>
                <w:sz w:val="18"/>
                <w:szCs w:val="18"/>
                <w:lang w:val="es-ES_tradnl"/>
              </w:rPr>
              <w:t xml:space="preserve">de COFEMER conteniendo las actividades de desarrollo de herramientas y programas para la simplificación de trámites a nivel federal, estatal y municipal siguiendo las mejores prácticas internacionales. </w:t>
            </w:r>
          </w:p>
          <w:p w14:paraId="2D11C8FD" w14:textId="77777777" w:rsidR="00552EA6" w:rsidRDefault="00552EA6"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1EC284F0" w14:textId="4B13651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Resoluciones de la Comisión Nacional de Inversión Extranjera en donde se revisan los procesos y se incrementan o eliminan los topes a la </w:t>
            </w:r>
            <w:r w:rsidR="002516CA">
              <w:rPr>
                <w:rFonts w:ascii="Arial" w:eastAsia="Times New Roman" w:hAnsi="Arial" w:cs="Arial"/>
                <w:bCs/>
                <w:sz w:val="18"/>
                <w:szCs w:val="18"/>
                <w:lang w:val="es-ES_tradnl"/>
              </w:rPr>
              <w:t>Inversión Extranjera Directa (</w:t>
            </w:r>
            <w:r w:rsidRPr="0038614F">
              <w:rPr>
                <w:rFonts w:ascii="Arial" w:eastAsia="Times New Roman" w:hAnsi="Arial" w:cs="Arial"/>
                <w:bCs/>
                <w:sz w:val="18"/>
                <w:szCs w:val="18"/>
                <w:lang w:val="es-ES_tradnl"/>
              </w:rPr>
              <w:t>IED</w:t>
            </w:r>
            <w:r w:rsidR="002516CA">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xml:space="preserve"> en sectores específicos.</w:t>
            </w:r>
          </w:p>
        </w:tc>
      </w:tr>
      <w:tr w:rsidR="006614FB" w:rsidRPr="00FE2818" w14:paraId="379F531E" w14:textId="77777777" w:rsidTr="00027C3A">
        <w:tc>
          <w:tcPr>
            <w:tcW w:w="11988" w:type="dxa"/>
            <w:gridSpan w:val="3"/>
            <w:shd w:val="clear" w:color="auto" w:fill="D9D9D9" w:themeFill="background1" w:themeFillShade="D9"/>
          </w:tcPr>
          <w:p w14:paraId="7817798F" w14:textId="4E1D6374" w:rsidR="006614FB" w:rsidRPr="006614FB" w:rsidRDefault="006614FB" w:rsidP="006614FB">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6614FB">
              <w:rPr>
                <w:rFonts w:ascii="Arial" w:eastAsia="Times New Roman" w:hAnsi="Arial" w:cs="Arial"/>
                <w:b/>
                <w:bCs/>
                <w:sz w:val="18"/>
                <w:szCs w:val="18"/>
                <w:lang w:val="es-ES_tradnl"/>
              </w:rPr>
              <w:t xml:space="preserve">V. Mejora de la productividad al interior de las empresas </w:t>
            </w:r>
          </w:p>
        </w:tc>
      </w:tr>
      <w:tr w:rsidR="009C1791" w:rsidRPr="00FE2818" w14:paraId="769D5BC6" w14:textId="77777777" w:rsidTr="00564E18">
        <w:tc>
          <w:tcPr>
            <w:tcW w:w="3618" w:type="dxa"/>
          </w:tcPr>
          <w:p w14:paraId="76447C96" w14:textId="77777777" w:rsidR="009C1791" w:rsidRPr="0062781C" w:rsidRDefault="009C1791" w:rsidP="00FF2DDE">
            <w:pPr>
              <w:suppressAutoHyphens/>
              <w:autoSpaceDN w:val="0"/>
              <w:spacing w:after="0" w:line="240" w:lineRule="auto"/>
              <w:ind w:left="98"/>
              <w:jc w:val="both"/>
              <w:textAlignment w:val="baseline"/>
              <w:rPr>
                <w:rFonts w:ascii="Arial" w:eastAsia="Times New Roman" w:hAnsi="Arial" w:cs="Arial"/>
                <w:bCs/>
                <w:color w:val="000000"/>
                <w:sz w:val="18"/>
                <w:szCs w:val="18"/>
                <w:lang w:val="es-ES"/>
              </w:rPr>
            </w:pPr>
            <w:r w:rsidRPr="00B613D3">
              <w:rPr>
                <w:rFonts w:ascii="Arial" w:eastAsia="Times New Roman" w:hAnsi="Arial" w:cs="Arial"/>
                <w:color w:val="000000"/>
                <w:sz w:val="18"/>
                <w:szCs w:val="18"/>
                <w:lang w:val="es-ES"/>
              </w:rPr>
              <w:t>Impulso y fortalecimiento institucional de las políticas de emprendimiento e innovación</w:t>
            </w:r>
          </w:p>
        </w:tc>
        <w:tc>
          <w:tcPr>
            <w:tcW w:w="4320" w:type="dxa"/>
            <w:shd w:val="clear" w:color="auto" w:fill="auto"/>
            <w:tcMar>
              <w:top w:w="0" w:type="dxa"/>
              <w:left w:w="108" w:type="dxa"/>
              <w:bottom w:w="0" w:type="dxa"/>
              <w:right w:w="108" w:type="dxa"/>
            </w:tcMar>
          </w:tcPr>
          <w:p w14:paraId="3C6C8CC4" w14:textId="54B808C3"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Desarroll</w:t>
            </w:r>
            <w:r w:rsidR="00FC501C">
              <w:rPr>
                <w:rFonts w:ascii="Arial" w:eastAsia="Times New Roman" w:hAnsi="Arial" w:cs="Arial"/>
                <w:color w:val="000000"/>
                <w:sz w:val="18"/>
                <w:szCs w:val="18"/>
                <w:lang w:val="es-ES"/>
              </w:rPr>
              <w:t xml:space="preserve">o y publicación del </w:t>
            </w:r>
            <w:r w:rsidRPr="00B613D3">
              <w:rPr>
                <w:rFonts w:ascii="Arial" w:eastAsia="Times New Roman" w:hAnsi="Arial" w:cs="Arial"/>
                <w:color w:val="000000"/>
                <w:sz w:val="18"/>
                <w:szCs w:val="18"/>
                <w:lang w:val="es-ES"/>
              </w:rPr>
              <w:t xml:space="preserve">  Plan Estratégico de Actividades del</w:t>
            </w:r>
            <w:r w:rsidR="00FC501C">
              <w:rPr>
                <w:rFonts w:ascii="Arial" w:eastAsia="Times New Roman" w:hAnsi="Arial" w:cs="Arial"/>
                <w:color w:val="000000"/>
                <w:sz w:val="18"/>
                <w:szCs w:val="18"/>
                <w:lang w:val="es-ES"/>
              </w:rPr>
              <w:t xml:space="preserve"> Instituto Nacional del Emprendedor</w:t>
            </w:r>
            <w:r w:rsidRPr="00B613D3">
              <w:rPr>
                <w:rFonts w:ascii="Arial" w:eastAsia="Times New Roman" w:hAnsi="Arial" w:cs="Arial"/>
                <w:color w:val="000000"/>
                <w:sz w:val="18"/>
                <w:szCs w:val="18"/>
                <w:lang w:val="es-ES"/>
              </w:rPr>
              <w:t xml:space="preserve"> </w:t>
            </w:r>
            <w:r w:rsidR="00FC501C">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INADEM</w:t>
            </w:r>
            <w:r w:rsidR="00FC501C">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w:t>
            </w:r>
          </w:p>
          <w:p w14:paraId="2B6101DD"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439139C7"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35624D80"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28168B38" w14:textId="665E9744" w:rsidR="009C1791" w:rsidRPr="00B613D3" w:rsidRDefault="009C1791" w:rsidP="00FF2DDE">
            <w:pPr>
              <w:spacing w:after="0" w:line="240" w:lineRule="auto"/>
              <w:ind w:left="-18"/>
              <w:jc w:val="both"/>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Creación y fortalecimiento de puntos de acceso a programas relacionados con emprendedores y </w:t>
            </w:r>
            <w:r w:rsidR="00D46EBE">
              <w:rPr>
                <w:rFonts w:ascii="Arial" w:eastAsia="Times New Roman" w:hAnsi="Arial" w:cs="Arial"/>
                <w:color w:val="000000"/>
                <w:sz w:val="18"/>
                <w:szCs w:val="18"/>
                <w:lang w:val="es-ES"/>
              </w:rPr>
              <w:t>pequeñas y medianas empresas (</w:t>
            </w:r>
            <w:r w:rsidRPr="00B613D3">
              <w:rPr>
                <w:rFonts w:ascii="Arial" w:eastAsia="Times New Roman" w:hAnsi="Arial" w:cs="Arial"/>
                <w:color w:val="000000"/>
                <w:sz w:val="18"/>
                <w:szCs w:val="18"/>
                <w:lang w:val="es-ES"/>
              </w:rPr>
              <w:t>PYME</w:t>
            </w:r>
            <w:r w:rsidR="00D46EBE">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 xml:space="preserve"> en por lo menos 15 estados de la Federación.</w:t>
            </w:r>
          </w:p>
        </w:tc>
        <w:tc>
          <w:tcPr>
            <w:tcW w:w="4050" w:type="dxa"/>
            <w:shd w:val="clear" w:color="auto" w:fill="auto"/>
          </w:tcPr>
          <w:p w14:paraId="03E79C25" w14:textId="7CF037DB"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Plan estratégico elaborado y en vigor, Publicado en el portal del </w:t>
            </w:r>
            <w:r w:rsidR="002516CA">
              <w:rPr>
                <w:rFonts w:ascii="Arial" w:eastAsia="Times New Roman" w:hAnsi="Arial" w:cs="Arial"/>
                <w:bCs/>
                <w:sz w:val="18"/>
                <w:szCs w:val="18"/>
                <w:lang w:val="es-ES_tradnl"/>
              </w:rPr>
              <w:t>Instituto Nacional de Emprendedor (</w:t>
            </w:r>
            <w:r w:rsidRPr="0038614F">
              <w:rPr>
                <w:rFonts w:ascii="Arial" w:eastAsia="Times New Roman" w:hAnsi="Arial" w:cs="Arial"/>
                <w:bCs/>
                <w:sz w:val="18"/>
                <w:szCs w:val="18"/>
                <w:lang w:val="es-ES_tradnl"/>
              </w:rPr>
              <w:t>INADEM</w:t>
            </w:r>
            <w:r w:rsidR="002516CA">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Oficio del Director General del INADEM remitiendo a Hacienda el Plan Estratégico.</w:t>
            </w:r>
          </w:p>
          <w:p w14:paraId="675DDEC7"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68C77C19" w14:textId="77777777" w:rsidR="009C1791" w:rsidRDefault="0038614F"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Pr>
                <w:rFonts w:ascii="Arial" w:eastAsia="Times New Roman" w:hAnsi="Arial" w:cs="Arial"/>
                <w:bCs/>
                <w:sz w:val="18"/>
                <w:szCs w:val="18"/>
                <w:lang w:val="es-ES_tradnl"/>
              </w:rPr>
              <w:t xml:space="preserve">Publicación en la web: </w:t>
            </w:r>
            <w:hyperlink r:id="rId9" w:history="1">
              <w:r w:rsidRPr="00E40D0B">
                <w:rPr>
                  <w:rStyle w:val="Hyperlink"/>
                  <w:rFonts w:ascii="Arial" w:eastAsia="Times New Roman" w:hAnsi="Arial" w:cs="Arial"/>
                  <w:bCs/>
                  <w:sz w:val="18"/>
                  <w:szCs w:val="18"/>
                  <w:lang w:val="es-ES_tradnl"/>
                </w:rPr>
                <w:t>https://redpuntos.inadem.gob.mx/</w:t>
              </w:r>
            </w:hyperlink>
          </w:p>
          <w:p w14:paraId="47F0A957" w14:textId="77777777" w:rsidR="0038614F" w:rsidRPr="0038614F" w:rsidRDefault="0038614F"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tc>
      </w:tr>
      <w:tr w:rsidR="009C1791" w:rsidRPr="00FE2818" w14:paraId="0695AE46" w14:textId="77777777" w:rsidTr="00564E18">
        <w:tc>
          <w:tcPr>
            <w:tcW w:w="3618" w:type="dxa"/>
          </w:tcPr>
          <w:p w14:paraId="0DD6ADB9"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Impulso y fortalecimiento institucional de las políticas de ciencia, tecnología e innovación</w:t>
            </w:r>
          </w:p>
          <w:p w14:paraId="7FD3502B" w14:textId="77777777" w:rsidR="009C1791" w:rsidRPr="009C1791"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
              </w:rPr>
            </w:pPr>
          </w:p>
          <w:p w14:paraId="68B78A23" w14:textId="77777777" w:rsidR="009C1791" w:rsidRPr="009C1791" w:rsidRDefault="009C1791" w:rsidP="00FF2DDE">
            <w:pPr>
              <w:ind w:firstLine="720"/>
              <w:jc w:val="both"/>
              <w:rPr>
                <w:rFonts w:ascii="Arial" w:eastAsia="Times New Roman" w:hAnsi="Arial" w:cs="Arial"/>
                <w:sz w:val="18"/>
                <w:szCs w:val="18"/>
                <w:lang w:val="es-ES_tradnl"/>
              </w:rPr>
            </w:pPr>
          </w:p>
        </w:tc>
        <w:tc>
          <w:tcPr>
            <w:tcW w:w="4320" w:type="dxa"/>
            <w:shd w:val="clear" w:color="auto" w:fill="auto"/>
            <w:tcMar>
              <w:top w:w="0" w:type="dxa"/>
              <w:left w:w="108" w:type="dxa"/>
              <w:bottom w:w="0" w:type="dxa"/>
              <w:right w:w="108" w:type="dxa"/>
            </w:tcMar>
          </w:tcPr>
          <w:p w14:paraId="643B5EF8" w14:textId="73041C6B"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lastRenderedPageBreak/>
              <w:t xml:space="preserve">Aprobación </w:t>
            </w:r>
            <w:r w:rsidR="00D46EBE">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por parte del</w:t>
            </w:r>
            <w:r w:rsidR="00D46EBE">
              <w:rPr>
                <w:rFonts w:ascii="Arial" w:eastAsia="Times New Roman" w:hAnsi="Arial" w:cs="Arial"/>
                <w:color w:val="000000"/>
                <w:sz w:val="18"/>
                <w:szCs w:val="18"/>
                <w:lang w:val="es-ES"/>
              </w:rPr>
              <w:t xml:space="preserve"> Consejo Nacional del Ciencia y Tecnología</w:t>
            </w:r>
            <w:r w:rsidRPr="00B613D3">
              <w:rPr>
                <w:rFonts w:ascii="Arial" w:eastAsia="Times New Roman" w:hAnsi="Arial" w:cs="Arial"/>
                <w:color w:val="000000"/>
                <w:sz w:val="18"/>
                <w:szCs w:val="18"/>
                <w:lang w:val="es-ES"/>
              </w:rPr>
              <w:t xml:space="preserve"> </w:t>
            </w:r>
            <w:r w:rsidR="00D46EBE">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CONACYT</w:t>
            </w:r>
            <w:r w:rsidR="00D46EBE">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 xml:space="preserve">, del Programa Especial de Ciencia, Tecnología e </w:t>
            </w:r>
            <w:r w:rsidRPr="00B613D3">
              <w:rPr>
                <w:rFonts w:ascii="Arial" w:eastAsia="Times New Roman" w:hAnsi="Arial" w:cs="Arial"/>
                <w:color w:val="000000"/>
                <w:sz w:val="18"/>
                <w:szCs w:val="18"/>
                <w:lang w:val="es-ES"/>
              </w:rPr>
              <w:lastRenderedPageBreak/>
              <w:t>Innovación.</w:t>
            </w:r>
          </w:p>
          <w:p w14:paraId="54B72C68"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122F633B" w14:textId="532C55E2"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 xml:space="preserve">Continuar </w:t>
            </w:r>
            <w:r w:rsidR="00D46EBE">
              <w:rPr>
                <w:rFonts w:ascii="Arial" w:eastAsia="Times New Roman" w:hAnsi="Arial" w:cs="Arial"/>
                <w:color w:val="000000"/>
                <w:sz w:val="18"/>
                <w:szCs w:val="18"/>
                <w:lang w:val="es-ES"/>
              </w:rPr>
              <w:t>realizando</w:t>
            </w:r>
            <w:r w:rsidRPr="00B613D3">
              <w:rPr>
                <w:rFonts w:ascii="Arial" w:eastAsia="Times New Roman" w:hAnsi="Arial" w:cs="Arial"/>
                <w:color w:val="000000"/>
                <w:sz w:val="18"/>
                <w:szCs w:val="18"/>
                <w:lang w:val="es-ES"/>
              </w:rPr>
              <w:t xml:space="preserve"> las reuniones de la Conferencia Nacional de Ciencia, </w:t>
            </w:r>
            <w:r w:rsidR="00D46EBE">
              <w:rPr>
                <w:rFonts w:ascii="Arial" w:eastAsia="Times New Roman" w:hAnsi="Arial" w:cs="Arial"/>
                <w:color w:val="000000"/>
                <w:sz w:val="18"/>
                <w:szCs w:val="18"/>
                <w:lang w:val="es-ES"/>
              </w:rPr>
              <w:t>T</w:t>
            </w:r>
            <w:r w:rsidRPr="00B613D3">
              <w:rPr>
                <w:rFonts w:ascii="Arial" w:eastAsia="Times New Roman" w:hAnsi="Arial" w:cs="Arial"/>
                <w:color w:val="000000"/>
                <w:sz w:val="18"/>
                <w:szCs w:val="18"/>
                <w:lang w:val="es-ES"/>
              </w:rPr>
              <w:t xml:space="preserve">ecnología e </w:t>
            </w:r>
            <w:r w:rsidR="00D46EBE">
              <w:rPr>
                <w:rFonts w:ascii="Arial" w:eastAsia="Times New Roman" w:hAnsi="Arial" w:cs="Arial"/>
                <w:color w:val="000000"/>
                <w:sz w:val="18"/>
                <w:szCs w:val="18"/>
                <w:lang w:val="es-ES"/>
              </w:rPr>
              <w:t>I</w:t>
            </w:r>
            <w:r w:rsidRPr="00B613D3">
              <w:rPr>
                <w:rFonts w:ascii="Arial" w:eastAsia="Times New Roman" w:hAnsi="Arial" w:cs="Arial"/>
                <w:color w:val="000000"/>
                <w:sz w:val="18"/>
                <w:szCs w:val="18"/>
                <w:lang w:val="es-ES"/>
              </w:rPr>
              <w:t>nnovación para avanzar en la coordinación de CONACYT con los Estados</w:t>
            </w:r>
            <w:r w:rsidR="00D46EBE">
              <w:rPr>
                <w:rFonts w:ascii="Arial" w:eastAsia="Times New Roman" w:hAnsi="Arial" w:cs="Arial"/>
                <w:color w:val="000000"/>
                <w:sz w:val="18"/>
                <w:szCs w:val="18"/>
                <w:lang w:val="es-ES"/>
              </w:rPr>
              <w:t>, según se refleje en las actas y acuerdos respectivos</w:t>
            </w:r>
            <w:r w:rsidRPr="00B613D3">
              <w:rPr>
                <w:rFonts w:ascii="Arial" w:eastAsia="Times New Roman" w:hAnsi="Arial" w:cs="Arial"/>
                <w:color w:val="000000"/>
                <w:sz w:val="18"/>
                <w:szCs w:val="18"/>
                <w:lang w:val="es-ES"/>
              </w:rPr>
              <w:t xml:space="preserve">. </w:t>
            </w:r>
          </w:p>
          <w:p w14:paraId="3EFE92EB"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47571BF6" w14:textId="6337A0BD"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Asignar los recursos presupuestales para que la inversión nacional en</w:t>
            </w:r>
            <w:r w:rsidR="00D46EBE">
              <w:rPr>
                <w:rFonts w:ascii="Arial" w:eastAsia="Times New Roman" w:hAnsi="Arial" w:cs="Arial"/>
                <w:color w:val="000000"/>
                <w:sz w:val="18"/>
                <w:szCs w:val="18"/>
                <w:lang w:val="es-ES"/>
              </w:rPr>
              <w:t xml:space="preserve"> investigación, desarrollo e innovación (</w:t>
            </w:r>
            <w:r w:rsidRPr="00B613D3">
              <w:rPr>
                <w:rFonts w:ascii="Arial" w:eastAsia="Times New Roman" w:hAnsi="Arial" w:cs="Arial"/>
                <w:color w:val="000000"/>
                <w:sz w:val="18"/>
                <w:szCs w:val="18"/>
                <w:lang w:val="es-ES"/>
              </w:rPr>
              <w:t xml:space="preserve"> I+D+i</w:t>
            </w:r>
            <w:r w:rsidR="00D46EBE">
              <w:rPr>
                <w:rFonts w:ascii="Arial" w:eastAsia="Times New Roman" w:hAnsi="Arial" w:cs="Arial"/>
                <w:color w:val="000000"/>
                <w:sz w:val="18"/>
                <w:szCs w:val="18"/>
                <w:lang w:val="es-ES"/>
              </w:rPr>
              <w:t>)</w:t>
            </w:r>
            <w:r w:rsidRPr="00B613D3">
              <w:rPr>
                <w:rFonts w:ascii="Arial" w:eastAsia="Times New Roman" w:hAnsi="Arial" w:cs="Arial"/>
                <w:color w:val="000000"/>
                <w:sz w:val="18"/>
                <w:szCs w:val="18"/>
                <w:lang w:val="es-ES"/>
              </w:rPr>
              <w:t xml:space="preserve"> crezca anualmente y llegue a la meta establecida de inversión en I+D+i</w:t>
            </w:r>
            <w:r w:rsidR="00D46EBE">
              <w:rPr>
                <w:rFonts w:ascii="Arial" w:eastAsia="Times New Roman" w:hAnsi="Arial" w:cs="Arial"/>
                <w:color w:val="000000"/>
                <w:sz w:val="18"/>
                <w:szCs w:val="18"/>
                <w:lang w:val="es-ES"/>
              </w:rPr>
              <w:t>, y publicar las correspondientes asignaciones</w:t>
            </w:r>
            <w:r w:rsidRPr="00B613D3">
              <w:rPr>
                <w:rFonts w:ascii="Arial" w:eastAsia="Times New Roman" w:hAnsi="Arial" w:cs="Arial"/>
                <w:color w:val="000000"/>
                <w:sz w:val="18"/>
                <w:szCs w:val="18"/>
                <w:lang w:val="es-ES"/>
              </w:rPr>
              <w:t>.</w:t>
            </w:r>
          </w:p>
        </w:tc>
        <w:tc>
          <w:tcPr>
            <w:tcW w:w="4050" w:type="dxa"/>
            <w:shd w:val="clear" w:color="auto" w:fill="auto"/>
          </w:tcPr>
          <w:p w14:paraId="73D876FE" w14:textId="66E79FD5"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lastRenderedPageBreak/>
              <w:t>Publicación en DOF del Programa especial de Ciencia, Tecnología e Innovación 2014-2018.</w:t>
            </w:r>
          </w:p>
          <w:p w14:paraId="5259EB2E"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  </w:t>
            </w:r>
          </w:p>
          <w:p w14:paraId="5EA015C2"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lastRenderedPageBreak/>
              <w:t>Actas y acuerdos CONACYT sobre las Conferencias Celebradas.</w:t>
            </w:r>
          </w:p>
          <w:p w14:paraId="3E6F8958"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669A6244" w14:textId="4E443D1A"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 xml:space="preserve"> Publicación de los presupuestos </w:t>
            </w:r>
            <w:r w:rsidR="002516CA">
              <w:rPr>
                <w:rFonts w:ascii="Arial" w:eastAsia="Times New Roman" w:hAnsi="Arial" w:cs="Arial"/>
                <w:bCs/>
                <w:sz w:val="18"/>
                <w:szCs w:val="18"/>
                <w:lang w:val="es-ES_tradnl"/>
              </w:rPr>
              <w:t xml:space="preserve">relevantes </w:t>
            </w:r>
            <w:r w:rsidRPr="0038614F">
              <w:rPr>
                <w:rFonts w:ascii="Arial" w:eastAsia="Times New Roman" w:hAnsi="Arial" w:cs="Arial"/>
                <w:bCs/>
                <w:sz w:val="18"/>
                <w:szCs w:val="18"/>
                <w:lang w:val="es-ES_tradnl"/>
              </w:rPr>
              <w:t>de CONACYT y Subsecretaria Egresos.</w:t>
            </w:r>
          </w:p>
          <w:p w14:paraId="4BB8AB6F"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tc>
      </w:tr>
      <w:tr w:rsidR="006614FB" w:rsidRPr="00FE2818" w14:paraId="6352DCF8" w14:textId="77777777" w:rsidTr="001E0664">
        <w:tc>
          <w:tcPr>
            <w:tcW w:w="11988" w:type="dxa"/>
            <w:gridSpan w:val="3"/>
            <w:shd w:val="clear" w:color="auto" w:fill="D9D9D9" w:themeFill="background1" w:themeFillShade="D9"/>
          </w:tcPr>
          <w:p w14:paraId="374B6AF4" w14:textId="5EEB9B53" w:rsidR="006614FB" w:rsidRPr="006614FB" w:rsidRDefault="006614FB" w:rsidP="006614FB">
            <w:pPr>
              <w:tabs>
                <w:tab w:val="left" w:pos="4030"/>
              </w:tabs>
              <w:suppressAutoHyphens/>
              <w:autoSpaceDN w:val="0"/>
              <w:spacing w:after="0" w:line="240" w:lineRule="auto"/>
              <w:ind w:left="80"/>
              <w:textAlignment w:val="baseline"/>
              <w:rPr>
                <w:rFonts w:ascii="Arial" w:eastAsia="Times New Roman" w:hAnsi="Arial" w:cs="Arial"/>
                <w:b/>
                <w:bCs/>
                <w:sz w:val="18"/>
                <w:szCs w:val="18"/>
                <w:lang w:val="es-ES_tradnl"/>
              </w:rPr>
            </w:pPr>
            <w:r w:rsidRPr="006614FB">
              <w:rPr>
                <w:rFonts w:ascii="Arial" w:eastAsia="Times New Roman" w:hAnsi="Arial" w:cs="Arial"/>
                <w:b/>
                <w:bCs/>
                <w:sz w:val="18"/>
                <w:szCs w:val="18"/>
                <w:lang w:val="es-ES_tradnl"/>
              </w:rPr>
              <w:lastRenderedPageBreak/>
              <w:t>VI. Desarrollo y convergencia regional</w:t>
            </w:r>
          </w:p>
        </w:tc>
      </w:tr>
      <w:tr w:rsidR="009C1791" w:rsidRPr="00FE2818" w14:paraId="70DCA9D4" w14:textId="77777777" w:rsidTr="00564E18">
        <w:tc>
          <w:tcPr>
            <w:tcW w:w="3618" w:type="dxa"/>
            <w:shd w:val="clear" w:color="auto" w:fill="FFFFFF"/>
          </w:tcPr>
          <w:p w14:paraId="7CF3F71F" w14:textId="77777777" w:rsidR="009C1791" w:rsidRPr="00B613D3" w:rsidRDefault="009C1791" w:rsidP="00FF2DDE">
            <w:pPr>
              <w:suppressAutoHyphens/>
              <w:autoSpaceDN w:val="0"/>
              <w:spacing w:after="0" w:line="240" w:lineRule="auto"/>
              <w:ind w:left="98"/>
              <w:jc w:val="both"/>
              <w:textAlignment w:val="baseline"/>
              <w:rPr>
                <w:rFonts w:ascii="Arial" w:eastAsia="Times New Roman" w:hAnsi="Arial" w:cs="Arial"/>
                <w:color w:val="000000"/>
                <w:sz w:val="18"/>
                <w:szCs w:val="18"/>
                <w:lang w:val="es-ES"/>
              </w:rPr>
            </w:pPr>
            <w:r w:rsidRPr="00B613D3">
              <w:rPr>
                <w:rFonts w:ascii="Arial" w:eastAsia="Times New Roman" w:hAnsi="Arial" w:cs="Arial"/>
                <w:color w:val="000000"/>
                <w:sz w:val="18"/>
                <w:szCs w:val="18"/>
                <w:lang w:val="es-ES"/>
              </w:rPr>
              <w:t>Definición de una política para regiones y sectores específicos con la finalidad de integrar a todas las regiones del país con los mercados nacionales e internacionales</w:t>
            </w:r>
          </w:p>
          <w:p w14:paraId="365C6915" w14:textId="77777777" w:rsidR="009C1791" w:rsidRPr="009C1791" w:rsidRDefault="009C1791" w:rsidP="00FF2DDE">
            <w:pPr>
              <w:suppressAutoHyphens/>
              <w:autoSpaceDN w:val="0"/>
              <w:spacing w:after="0" w:line="240" w:lineRule="auto"/>
              <w:jc w:val="both"/>
              <w:textAlignment w:val="baseline"/>
              <w:rPr>
                <w:rFonts w:ascii="Arial" w:eastAsia="Times New Roman" w:hAnsi="Arial" w:cs="Arial"/>
                <w:color w:val="000000"/>
                <w:sz w:val="18"/>
                <w:szCs w:val="18"/>
                <w:lang w:val="es-ES"/>
              </w:rPr>
            </w:pPr>
          </w:p>
        </w:tc>
        <w:tc>
          <w:tcPr>
            <w:tcW w:w="4320" w:type="dxa"/>
            <w:shd w:val="clear" w:color="auto" w:fill="FFFFFF"/>
            <w:tcMar>
              <w:top w:w="0" w:type="dxa"/>
              <w:left w:w="108" w:type="dxa"/>
              <w:bottom w:w="0" w:type="dxa"/>
              <w:right w:w="108" w:type="dxa"/>
            </w:tcMar>
          </w:tcPr>
          <w:p w14:paraId="12381808" w14:textId="0FB29D0A" w:rsidR="009C1791" w:rsidRPr="00B613D3" w:rsidRDefault="00D46EBE"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r>
              <w:rPr>
                <w:rFonts w:ascii="Arial" w:eastAsia="Times New Roman" w:hAnsi="Arial" w:cs="Arial"/>
                <w:color w:val="000000"/>
                <w:sz w:val="18"/>
                <w:szCs w:val="18"/>
                <w:lang w:val="es-ES"/>
              </w:rPr>
              <w:t>Realización</w:t>
            </w:r>
            <w:r w:rsidRPr="00B613D3">
              <w:rPr>
                <w:rFonts w:ascii="Arial" w:eastAsia="Times New Roman" w:hAnsi="Arial" w:cs="Arial"/>
                <w:color w:val="000000"/>
                <w:sz w:val="18"/>
                <w:szCs w:val="18"/>
                <w:lang w:val="es-ES"/>
              </w:rPr>
              <w:t xml:space="preserve"> </w:t>
            </w:r>
            <w:r w:rsidR="009C1791" w:rsidRPr="00B613D3">
              <w:rPr>
                <w:rFonts w:ascii="Arial" w:eastAsia="Times New Roman" w:hAnsi="Arial" w:cs="Arial"/>
                <w:color w:val="000000"/>
                <w:sz w:val="18"/>
                <w:szCs w:val="18"/>
                <w:lang w:val="es-ES"/>
              </w:rPr>
              <w:t xml:space="preserve">de diagnósticos territoriales específicos </w:t>
            </w:r>
            <w:r>
              <w:rPr>
                <w:rFonts w:ascii="Arial" w:eastAsia="Times New Roman" w:hAnsi="Arial" w:cs="Arial"/>
                <w:color w:val="000000"/>
                <w:sz w:val="18"/>
                <w:szCs w:val="18"/>
                <w:lang w:val="es-ES"/>
              </w:rPr>
              <w:t xml:space="preserve">por instituciones y entidades competentes </w:t>
            </w:r>
            <w:r w:rsidR="009C1791" w:rsidRPr="00B613D3">
              <w:rPr>
                <w:rFonts w:ascii="Arial" w:eastAsia="Times New Roman" w:hAnsi="Arial" w:cs="Arial"/>
                <w:color w:val="000000"/>
                <w:sz w:val="18"/>
                <w:szCs w:val="18"/>
                <w:lang w:val="es-ES"/>
              </w:rPr>
              <w:t xml:space="preserve">para el incremento de la productividad en al menos tres estados. </w:t>
            </w:r>
          </w:p>
          <w:p w14:paraId="0CFEB6BD"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22B51D3F"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192FB04A"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558AB56A"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455E75A1" w14:textId="77777777" w:rsidR="009C1791" w:rsidRPr="00B613D3"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
              </w:rPr>
            </w:pPr>
          </w:p>
          <w:p w14:paraId="53D37E53" w14:textId="3B913CCD" w:rsidR="009C1791" w:rsidRPr="00F919C7" w:rsidRDefault="009C1791" w:rsidP="00FF2DDE">
            <w:pPr>
              <w:suppressAutoHyphens/>
              <w:autoSpaceDN w:val="0"/>
              <w:spacing w:after="0" w:line="240" w:lineRule="auto"/>
              <w:ind w:left="-18"/>
              <w:jc w:val="both"/>
              <w:textAlignment w:val="baseline"/>
              <w:rPr>
                <w:rFonts w:ascii="Arial" w:eastAsia="Times New Roman" w:hAnsi="Arial" w:cs="Arial"/>
                <w:color w:val="000000"/>
                <w:sz w:val="18"/>
                <w:szCs w:val="18"/>
                <w:lang w:val="es-ES_tradnl"/>
              </w:rPr>
            </w:pPr>
            <w:r w:rsidRPr="00B613D3">
              <w:rPr>
                <w:rFonts w:ascii="Arial" w:eastAsia="Times New Roman" w:hAnsi="Arial" w:cs="Arial"/>
                <w:color w:val="000000"/>
                <w:sz w:val="18"/>
                <w:szCs w:val="18"/>
                <w:lang w:val="es-ES"/>
              </w:rPr>
              <w:t xml:space="preserve">Desarrollo </w:t>
            </w:r>
            <w:r w:rsidR="00D46EBE">
              <w:rPr>
                <w:rFonts w:ascii="Arial" w:eastAsia="Times New Roman" w:hAnsi="Arial" w:cs="Arial"/>
                <w:color w:val="000000"/>
                <w:sz w:val="18"/>
                <w:szCs w:val="18"/>
                <w:lang w:val="es-ES"/>
              </w:rPr>
              <w:t xml:space="preserve">y publicación </w:t>
            </w:r>
            <w:r w:rsidRPr="00B613D3">
              <w:rPr>
                <w:rFonts w:ascii="Arial" w:eastAsia="Times New Roman" w:hAnsi="Arial" w:cs="Arial"/>
                <w:color w:val="000000"/>
                <w:sz w:val="18"/>
                <w:szCs w:val="18"/>
                <w:lang w:val="es-ES"/>
              </w:rPr>
              <w:t xml:space="preserve">de planes sectoriales específicos para el incremento de la productividad, preferentemente en el sector agropecuario,  en el sector servicios, y/o en el sector turístico. </w:t>
            </w:r>
          </w:p>
        </w:tc>
        <w:tc>
          <w:tcPr>
            <w:tcW w:w="4050" w:type="dxa"/>
            <w:shd w:val="clear" w:color="auto" w:fill="FFFFFF"/>
          </w:tcPr>
          <w:p w14:paraId="73A21203" w14:textId="54ABC17B"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Comunicación de la Unidad de Productividad económica de SHCP, adjuntando Informes y diagnósticos de </w:t>
            </w:r>
            <w:r w:rsidR="002516CA">
              <w:rPr>
                <w:rFonts w:ascii="Arial" w:eastAsia="Times New Roman" w:hAnsi="Arial" w:cs="Arial"/>
                <w:bCs/>
                <w:sz w:val="18"/>
                <w:szCs w:val="18"/>
                <w:lang w:val="es-ES_tradnl"/>
              </w:rPr>
              <w:t>la Secretaría de Desarrollo Agrario, Territorial y Urbano</w:t>
            </w:r>
            <w:r w:rsidRPr="0038614F">
              <w:rPr>
                <w:rFonts w:ascii="Arial" w:eastAsia="Times New Roman" w:hAnsi="Arial" w:cs="Arial"/>
                <w:bCs/>
                <w:sz w:val="18"/>
                <w:szCs w:val="18"/>
                <w:lang w:val="es-ES_tradnl"/>
              </w:rPr>
              <w:t xml:space="preserve"> </w:t>
            </w:r>
            <w:r w:rsidR="002516CA">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SEDATU</w:t>
            </w:r>
            <w:r w:rsidR="002516CA">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xml:space="preserve"> para los diagnósticos territoriales específicos: tres regiones: norte, centro y sur, estudio de Harvard de Chiapas, y Atlas de complejidad Económica CIDE.</w:t>
            </w:r>
          </w:p>
          <w:p w14:paraId="2B99F174" w14:textId="77777777"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p>
          <w:p w14:paraId="4BD0CC6D" w14:textId="523F52F6"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en el DOF del Programa sectorial de turismo.</w:t>
            </w:r>
          </w:p>
          <w:p w14:paraId="243F50E9" w14:textId="625E8866"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en el DOF del Programa sectorial de desarrollo agropecuario</w:t>
            </w:r>
            <w:r w:rsidR="000D5F5F">
              <w:rPr>
                <w:rFonts w:ascii="Arial" w:eastAsia="Times New Roman" w:hAnsi="Arial" w:cs="Arial"/>
                <w:bCs/>
                <w:sz w:val="18"/>
                <w:szCs w:val="18"/>
                <w:lang w:val="es-ES_tradnl"/>
              </w:rPr>
              <w:t>, pesquero y alimentario</w:t>
            </w:r>
            <w:r w:rsidR="004A7B38">
              <w:rPr>
                <w:rFonts w:ascii="Arial" w:eastAsia="Times New Roman" w:hAnsi="Arial" w:cs="Arial"/>
                <w:bCs/>
                <w:sz w:val="18"/>
                <w:szCs w:val="18"/>
                <w:lang w:val="es-ES_tradnl"/>
              </w:rPr>
              <w:t>.</w:t>
            </w:r>
            <w:r w:rsidRPr="0038614F">
              <w:rPr>
                <w:rFonts w:ascii="Arial" w:eastAsia="Times New Roman" w:hAnsi="Arial" w:cs="Arial"/>
                <w:bCs/>
                <w:sz w:val="18"/>
                <w:szCs w:val="18"/>
                <w:lang w:val="es-ES_tradnl"/>
              </w:rPr>
              <w:t xml:space="preserve"> </w:t>
            </w:r>
          </w:p>
          <w:p w14:paraId="2C0FAFEC" w14:textId="5FA39382" w:rsidR="009C1791" w:rsidRPr="0038614F" w:rsidRDefault="009C1791" w:rsidP="00FF2DDE">
            <w:pPr>
              <w:tabs>
                <w:tab w:val="left" w:pos="4030"/>
              </w:tabs>
              <w:suppressAutoHyphens/>
              <w:autoSpaceDN w:val="0"/>
              <w:spacing w:after="0" w:line="240" w:lineRule="auto"/>
              <w:ind w:left="80"/>
              <w:jc w:val="both"/>
              <w:textAlignment w:val="baseline"/>
              <w:rPr>
                <w:rFonts w:ascii="Arial" w:eastAsia="Times New Roman" w:hAnsi="Arial" w:cs="Arial"/>
                <w:bCs/>
                <w:sz w:val="18"/>
                <w:szCs w:val="18"/>
                <w:lang w:val="es-ES_tradnl"/>
              </w:rPr>
            </w:pPr>
            <w:r w:rsidRPr="0038614F">
              <w:rPr>
                <w:rFonts w:ascii="Arial" w:eastAsia="Times New Roman" w:hAnsi="Arial" w:cs="Arial"/>
                <w:bCs/>
                <w:sz w:val="18"/>
                <w:szCs w:val="18"/>
                <w:lang w:val="es-ES_tradnl"/>
              </w:rPr>
              <w:t>Publicación de la política nacional gastronómica</w:t>
            </w:r>
            <w:r w:rsidR="003A3A02">
              <w:rPr>
                <w:rFonts w:ascii="Arial" w:eastAsia="Times New Roman" w:hAnsi="Arial" w:cs="Arial"/>
                <w:bCs/>
                <w:sz w:val="18"/>
                <w:szCs w:val="18"/>
                <w:lang w:val="es-ES_tradnl"/>
              </w:rPr>
              <w:t xml:space="preserve">, </w:t>
            </w:r>
            <w:r w:rsidRPr="0038614F">
              <w:rPr>
                <w:rFonts w:ascii="Arial" w:eastAsia="Times New Roman" w:hAnsi="Arial" w:cs="Arial"/>
                <w:bCs/>
                <w:sz w:val="18"/>
                <w:szCs w:val="18"/>
                <w:lang w:val="es-ES_tradnl"/>
              </w:rPr>
              <w:t>y Proauto por parte de la Secretaría de Economía.</w:t>
            </w:r>
          </w:p>
        </w:tc>
      </w:tr>
    </w:tbl>
    <w:p w14:paraId="5C6C1397" w14:textId="77777777" w:rsidR="00CD7322" w:rsidRPr="00F919C7" w:rsidRDefault="00CD7322" w:rsidP="006614FB">
      <w:pPr>
        <w:spacing w:after="0" w:line="240" w:lineRule="auto"/>
        <w:rPr>
          <w:rFonts w:ascii="Arial" w:eastAsia="Calibri" w:hAnsi="Arial" w:cs="Arial"/>
          <w:sz w:val="18"/>
          <w:szCs w:val="18"/>
          <w:lang w:val="es-ES_tradnl"/>
        </w:rPr>
      </w:pPr>
    </w:p>
    <w:p w14:paraId="39385F26" w14:textId="77777777" w:rsidR="00D97369" w:rsidRPr="00F919C7" w:rsidRDefault="00D97369" w:rsidP="006614FB">
      <w:pPr>
        <w:rPr>
          <w:rFonts w:ascii="Arial" w:hAnsi="Arial" w:cs="Arial"/>
          <w:sz w:val="18"/>
          <w:szCs w:val="18"/>
          <w:lang w:val="es-ES_tradnl"/>
        </w:rPr>
      </w:pPr>
    </w:p>
    <w:sectPr w:rsidR="00D97369" w:rsidRPr="00F919C7" w:rsidSect="00DF0812">
      <w:headerReference w:type="default" r:id="rId10"/>
      <w:footerReference w:type="default" r:id="rId11"/>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48B6F" w14:textId="77777777" w:rsidR="004E19C2" w:rsidRDefault="004E19C2" w:rsidP="00EE51CC">
      <w:pPr>
        <w:spacing w:after="0" w:line="240" w:lineRule="auto"/>
      </w:pPr>
      <w:r>
        <w:separator/>
      </w:r>
    </w:p>
  </w:endnote>
  <w:endnote w:type="continuationSeparator" w:id="0">
    <w:p w14:paraId="279FF1C0" w14:textId="77777777" w:rsidR="004E19C2" w:rsidRDefault="004E19C2" w:rsidP="00EE51CC">
      <w:pPr>
        <w:spacing w:after="0" w:line="240" w:lineRule="auto"/>
      </w:pPr>
      <w:r>
        <w:continuationSeparator/>
      </w:r>
    </w:p>
  </w:endnote>
  <w:endnote w:type="continuationNotice" w:id="1">
    <w:p w14:paraId="2657DA4C" w14:textId="77777777" w:rsidR="004E19C2" w:rsidRDefault="004E1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4230" w14:textId="77777777" w:rsidR="00466AA4" w:rsidRDefault="00466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CB58A" w14:textId="77777777" w:rsidR="004E19C2" w:rsidRDefault="004E19C2" w:rsidP="00EE51CC">
      <w:pPr>
        <w:spacing w:after="0" w:line="240" w:lineRule="auto"/>
      </w:pPr>
      <w:r>
        <w:separator/>
      </w:r>
    </w:p>
  </w:footnote>
  <w:footnote w:type="continuationSeparator" w:id="0">
    <w:p w14:paraId="00C057A4" w14:textId="77777777" w:rsidR="004E19C2" w:rsidRDefault="004E19C2" w:rsidP="00EE51CC">
      <w:pPr>
        <w:spacing w:after="0" w:line="240" w:lineRule="auto"/>
      </w:pPr>
      <w:r>
        <w:continuationSeparator/>
      </w:r>
    </w:p>
  </w:footnote>
  <w:footnote w:type="continuationNotice" w:id="1">
    <w:p w14:paraId="7E3DFD75" w14:textId="77777777" w:rsidR="004E19C2" w:rsidRDefault="004E19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9183" w14:textId="77777777" w:rsidR="00F919C7" w:rsidRPr="00F919C7" w:rsidRDefault="00F919C7" w:rsidP="00DF0812">
    <w:pPr>
      <w:pStyle w:val="Header"/>
      <w:ind w:right="360"/>
      <w:jc w:val="right"/>
      <w:rPr>
        <w:rFonts w:ascii="Arial" w:hAnsi="Arial" w:cs="Arial"/>
        <w:sz w:val="18"/>
        <w:szCs w:val="18"/>
      </w:rPr>
    </w:pPr>
    <w:r w:rsidRPr="00F919C7">
      <w:rPr>
        <w:rFonts w:ascii="Arial" w:hAnsi="Arial" w:cs="Arial"/>
        <w:sz w:val="18"/>
        <w:szCs w:val="18"/>
      </w:rPr>
      <w:t>ME-L1186</w:t>
    </w:r>
  </w:p>
  <w:p w14:paraId="48C63072" w14:textId="77777777" w:rsidR="00F919C7" w:rsidRPr="00F919C7" w:rsidRDefault="009A18B0" w:rsidP="00DF0812">
    <w:pPr>
      <w:pStyle w:val="Header"/>
      <w:ind w:right="360"/>
      <w:jc w:val="right"/>
      <w:rPr>
        <w:rFonts w:ascii="Arial" w:hAnsi="Arial" w:cs="Arial"/>
        <w:sz w:val="18"/>
        <w:szCs w:val="18"/>
        <w:lang w:val="fr-FR"/>
      </w:rPr>
    </w:pPr>
    <w:r>
      <w:rPr>
        <w:rFonts w:ascii="Arial" w:hAnsi="Arial" w:cs="Arial"/>
        <w:sz w:val="18"/>
        <w:szCs w:val="18"/>
        <w:lang w:val="fr-FR"/>
      </w:rPr>
      <w:t>P</w:t>
    </w:r>
    <w:r>
      <w:rPr>
        <w:rFonts w:ascii="Arial" w:hAnsi="Arial" w:cs="Arial"/>
        <w:sz w:val="18"/>
        <w:szCs w:val="18"/>
        <w:lang w:val="es-ES_tradnl"/>
      </w:rPr>
      <w:t>á</w:t>
    </w:r>
    <w:r w:rsidR="00F919C7" w:rsidRPr="00F919C7">
      <w:rPr>
        <w:rFonts w:ascii="Arial" w:hAnsi="Arial" w:cs="Arial"/>
        <w:sz w:val="18"/>
        <w:szCs w:val="18"/>
        <w:lang w:val="fr-FR"/>
      </w:rPr>
      <w:t xml:space="preserve">gina </w:t>
    </w:r>
    <w:r w:rsidR="00F919C7" w:rsidRPr="00F919C7">
      <w:rPr>
        <w:rFonts w:ascii="Arial" w:hAnsi="Arial" w:cs="Arial"/>
        <w:bCs/>
        <w:sz w:val="18"/>
        <w:szCs w:val="18"/>
      </w:rPr>
      <w:fldChar w:fldCharType="begin"/>
    </w:r>
    <w:r w:rsidR="00F919C7" w:rsidRPr="00F919C7">
      <w:rPr>
        <w:rFonts w:ascii="Arial" w:hAnsi="Arial" w:cs="Arial"/>
        <w:bCs/>
        <w:sz w:val="18"/>
        <w:szCs w:val="18"/>
        <w:lang w:val="fr-FR"/>
      </w:rPr>
      <w:instrText xml:space="preserve"> PAGE </w:instrText>
    </w:r>
    <w:r w:rsidR="00F919C7" w:rsidRPr="00F919C7">
      <w:rPr>
        <w:rFonts w:ascii="Arial" w:hAnsi="Arial" w:cs="Arial"/>
        <w:bCs/>
        <w:sz w:val="18"/>
        <w:szCs w:val="18"/>
      </w:rPr>
      <w:fldChar w:fldCharType="separate"/>
    </w:r>
    <w:r w:rsidR="00FE2818">
      <w:rPr>
        <w:rFonts w:ascii="Arial" w:hAnsi="Arial" w:cs="Arial"/>
        <w:bCs/>
        <w:noProof/>
        <w:sz w:val="18"/>
        <w:szCs w:val="18"/>
        <w:lang w:val="fr-FR"/>
      </w:rPr>
      <w:t>1</w:t>
    </w:r>
    <w:r w:rsidR="00F919C7" w:rsidRPr="00F919C7">
      <w:rPr>
        <w:rFonts w:ascii="Arial" w:hAnsi="Arial" w:cs="Arial"/>
        <w:bCs/>
        <w:sz w:val="18"/>
        <w:szCs w:val="18"/>
      </w:rPr>
      <w:fldChar w:fldCharType="end"/>
    </w:r>
    <w:r w:rsidR="00F919C7" w:rsidRPr="00F919C7">
      <w:rPr>
        <w:rFonts w:ascii="Arial" w:hAnsi="Arial" w:cs="Arial"/>
        <w:sz w:val="18"/>
        <w:szCs w:val="18"/>
        <w:lang w:val="fr-FR"/>
      </w:rPr>
      <w:t xml:space="preserve"> de </w:t>
    </w:r>
    <w:r w:rsidR="00F919C7" w:rsidRPr="00F919C7">
      <w:rPr>
        <w:rFonts w:ascii="Arial" w:hAnsi="Arial" w:cs="Arial"/>
        <w:bCs/>
        <w:sz w:val="18"/>
        <w:szCs w:val="18"/>
      </w:rPr>
      <w:fldChar w:fldCharType="begin"/>
    </w:r>
    <w:r w:rsidR="00F919C7" w:rsidRPr="00F919C7">
      <w:rPr>
        <w:rFonts w:ascii="Arial" w:hAnsi="Arial" w:cs="Arial"/>
        <w:bCs/>
        <w:sz w:val="18"/>
        <w:szCs w:val="18"/>
        <w:lang w:val="fr-FR"/>
      </w:rPr>
      <w:instrText xml:space="preserve"> NUMPAGES  </w:instrText>
    </w:r>
    <w:r w:rsidR="00F919C7" w:rsidRPr="00F919C7">
      <w:rPr>
        <w:rFonts w:ascii="Arial" w:hAnsi="Arial" w:cs="Arial"/>
        <w:bCs/>
        <w:sz w:val="18"/>
        <w:szCs w:val="18"/>
      </w:rPr>
      <w:fldChar w:fldCharType="separate"/>
    </w:r>
    <w:r w:rsidR="00FE2818">
      <w:rPr>
        <w:rFonts w:ascii="Arial" w:hAnsi="Arial" w:cs="Arial"/>
        <w:bCs/>
        <w:noProof/>
        <w:sz w:val="18"/>
        <w:szCs w:val="18"/>
        <w:lang w:val="fr-FR"/>
      </w:rPr>
      <w:t>7</w:t>
    </w:r>
    <w:r w:rsidR="00F919C7" w:rsidRPr="00F919C7">
      <w:rPr>
        <w:rFonts w:ascii="Arial" w:hAnsi="Arial" w:cs="Arial"/>
        <w:bCs/>
        <w:sz w:val="18"/>
        <w:szCs w:val="18"/>
      </w:rPr>
      <w:fldChar w:fldCharType="end"/>
    </w:r>
  </w:p>
  <w:p w14:paraId="763D67CB" w14:textId="77777777" w:rsidR="00F919C7" w:rsidRPr="00F919C7" w:rsidRDefault="00F919C7">
    <w:pPr>
      <w:pStyle w:val="Header"/>
      <w:rPr>
        <w:rFonts w:ascii="Arial" w:hAnsi="Arial" w:cs="Arial"/>
        <w:sz w:val="18"/>
        <w:szCs w:val="18"/>
      </w:rPr>
    </w:pPr>
  </w:p>
  <w:p w14:paraId="2CC3C38B" w14:textId="77777777" w:rsidR="00F919C7" w:rsidRDefault="00F9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0DF"/>
    <w:multiLevelType w:val="hybridMultilevel"/>
    <w:tmpl w:val="E6B8BDF2"/>
    <w:lvl w:ilvl="0" w:tplc="9202C3F6">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0A62"/>
    <w:multiLevelType w:val="hybridMultilevel"/>
    <w:tmpl w:val="1FF68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31595F"/>
    <w:multiLevelType w:val="hybridMultilevel"/>
    <w:tmpl w:val="970A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D2B54"/>
    <w:multiLevelType w:val="hybridMultilevel"/>
    <w:tmpl w:val="D396D8CA"/>
    <w:lvl w:ilvl="0" w:tplc="04090001">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553675"/>
    <w:multiLevelType w:val="hybridMultilevel"/>
    <w:tmpl w:val="E2162658"/>
    <w:lvl w:ilvl="0" w:tplc="56045B1E">
      <w:start w:val="1"/>
      <w:numFmt w:val="bullet"/>
      <w:lvlText w:val=""/>
      <w:lvlJc w:val="left"/>
      <w:pPr>
        <w:ind w:left="360" w:hanging="360"/>
      </w:pPr>
      <w:rPr>
        <w:rFonts w:ascii="Symbol" w:hAnsi="Symbol" w:hint="default"/>
        <w:sz w:val="18"/>
        <w:lang w:val="es-ES_tradn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8452A7"/>
    <w:multiLevelType w:val="hybridMultilevel"/>
    <w:tmpl w:val="5020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426D4"/>
    <w:multiLevelType w:val="hybridMultilevel"/>
    <w:tmpl w:val="A93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E51E5"/>
    <w:multiLevelType w:val="hybridMultilevel"/>
    <w:tmpl w:val="FCE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11655"/>
    <w:multiLevelType w:val="hybridMultilevel"/>
    <w:tmpl w:val="0452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24D6A"/>
    <w:multiLevelType w:val="hybridMultilevel"/>
    <w:tmpl w:val="E2463112"/>
    <w:lvl w:ilvl="0" w:tplc="0B7C10B8">
      <w:start w:val="1"/>
      <w:numFmt w:val="lowerRoman"/>
      <w:lvlText w:val="(%1)"/>
      <w:lvlJc w:val="left"/>
      <w:pPr>
        <w:ind w:left="854" w:hanging="72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0">
    <w:nsid w:val="3B142B06"/>
    <w:multiLevelType w:val="hybridMultilevel"/>
    <w:tmpl w:val="69F09A7E"/>
    <w:lvl w:ilvl="0" w:tplc="6B30872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B7C95"/>
    <w:multiLevelType w:val="hybridMultilevel"/>
    <w:tmpl w:val="45AE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91A26"/>
    <w:multiLevelType w:val="hybridMultilevel"/>
    <w:tmpl w:val="C8E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F0A08"/>
    <w:multiLevelType w:val="hybridMultilevel"/>
    <w:tmpl w:val="BBE6E4E0"/>
    <w:lvl w:ilvl="0" w:tplc="58926E16">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4">
    <w:nsid w:val="513D4F30"/>
    <w:multiLevelType w:val="hybridMultilevel"/>
    <w:tmpl w:val="D228C1C6"/>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5845E4D"/>
    <w:multiLevelType w:val="hybridMultilevel"/>
    <w:tmpl w:val="CF48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B4BAD"/>
    <w:multiLevelType w:val="hybridMultilevel"/>
    <w:tmpl w:val="4B74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3A3D"/>
    <w:multiLevelType w:val="hybridMultilevel"/>
    <w:tmpl w:val="B4CC9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1E538AD"/>
    <w:multiLevelType w:val="hybridMultilevel"/>
    <w:tmpl w:val="7B84DA7E"/>
    <w:lvl w:ilvl="0" w:tplc="B684617E">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B01CB"/>
    <w:multiLevelType w:val="hybridMultilevel"/>
    <w:tmpl w:val="F7561FD6"/>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0">
    <w:nsid w:val="77EB5074"/>
    <w:multiLevelType w:val="hybridMultilevel"/>
    <w:tmpl w:val="73AE5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90E6800"/>
    <w:multiLevelType w:val="hybridMultilevel"/>
    <w:tmpl w:val="2410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8"/>
  </w:num>
  <w:num w:numId="4">
    <w:abstractNumId w:val="12"/>
  </w:num>
  <w:num w:numId="5">
    <w:abstractNumId w:val="6"/>
  </w:num>
  <w:num w:numId="6">
    <w:abstractNumId w:val="2"/>
  </w:num>
  <w:num w:numId="7">
    <w:abstractNumId w:val="4"/>
  </w:num>
  <w:num w:numId="8">
    <w:abstractNumId w:val="10"/>
  </w:num>
  <w:num w:numId="9">
    <w:abstractNumId w:val="7"/>
  </w:num>
  <w:num w:numId="10">
    <w:abstractNumId w:val="19"/>
  </w:num>
  <w:num w:numId="11">
    <w:abstractNumId w:val="5"/>
  </w:num>
  <w:num w:numId="12">
    <w:abstractNumId w:val="0"/>
  </w:num>
  <w:num w:numId="13">
    <w:abstractNumId w:val="3"/>
  </w:num>
  <w:num w:numId="14">
    <w:abstractNumId w:val="0"/>
  </w:num>
  <w:num w:numId="15">
    <w:abstractNumId w:val="13"/>
  </w:num>
  <w:num w:numId="16">
    <w:abstractNumId w:val="2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C"/>
    <w:rsid w:val="00000393"/>
    <w:rsid w:val="0001781F"/>
    <w:rsid w:val="0003229C"/>
    <w:rsid w:val="0003327B"/>
    <w:rsid w:val="00042F8C"/>
    <w:rsid w:val="0004771A"/>
    <w:rsid w:val="00073280"/>
    <w:rsid w:val="0008729B"/>
    <w:rsid w:val="000D5F5F"/>
    <w:rsid w:val="000D79F7"/>
    <w:rsid w:val="000F0FE4"/>
    <w:rsid w:val="00110B90"/>
    <w:rsid w:val="00162755"/>
    <w:rsid w:val="00185DE8"/>
    <w:rsid w:val="001C1835"/>
    <w:rsid w:val="001F1A71"/>
    <w:rsid w:val="001F5736"/>
    <w:rsid w:val="002035C3"/>
    <w:rsid w:val="00210847"/>
    <w:rsid w:val="002516CA"/>
    <w:rsid w:val="0025341A"/>
    <w:rsid w:val="002679CA"/>
    <w:rsid w:val="00271CC2"/>
    <w:rsid w:val="00290A7D"/>
    <w:rsid w:val="002B4594"/>
    <w:rsid w:val="002C69DA"/>
    <w:rsid w:val="002D0566"/>
    <w:rsid w:val="00303948"/>
    <w:rsid w:val="0032171A"/>
    <w:rsid w:val="0033745D"/>
    <w:rsid w:val="00343D79"/>
    <w:rsid w:val="00344023"/>
    <w:rsid w:val="0038614F"/>
    <w:rsid w:val="003A2979"/>
    <w:rsid w:val="003A3A02"/>
    <w:rsid w:val="003C7F43"/>
    <w:rsid w:val="003E3583"/>
    <w:rsid w:val="0040361F"/>
    <w:rsid w:val="00404FFC"/>
    <w:rsid w:val="0043217F"/>
    <w:rsid w:val="00435C8C"/>
    <w:rsid w:val="0044132F"/>
    <w:rsid w:val="00466AA4"/>
    <w:rsid w:val="0047088B"/>
    <w:rsid w:val="004717A0"/>
    <w:rsid w:val="00476917"/>
    <w:rsid w:val="00476A51"/>
    <w:rsid w:val="004951F1"/>
    <w:rsid w:val="004A7B38"/>
    <w:rsid w:val="004B0DD5"/>
    <w:rsid w:val="004E19C2"/>
    <w:rsid w:val="004E5CEA"/>
    <w:rsid w:val="004F122F"/>
    <w:rsid w:val="00502042"/>
    <w:rsid w:val="00534BB4"/>
    <w:rsid w:val="00537804"/>
    <w:rsid w:val="00543525"/>
    <w:rsid w:val="00545233"/>
    <w:rsid w:val="00552EA6"/>
    <w:rsid w:val="00564E18"/>
    <w:rsid w:val="0058064B"/>
    <w:rsid w:val="005C148B"/>
    <w:rsid w:val="005C3C11"/>
    <w:rsid w:val="005D1B9C"/>
    <w:rsid w:val="005E56E0"/>
    <w:rsid w:val="005E5E0F"/>
    <w:rsid w:val="00601891"/>
    <w:rsid w:val="0060347A"/>
    <w:rsid w:val="006164BD"/>
    <w:rsid w:val="0065349F"/>
    <w:rsid w:val="00656465"/>
    <w:rsid w:val="00657DA1"/>
    <w:rsid w:val="006614FB"/>
    <w:rsid w:val="00675F1F"/>
    <w:rsid w:val="006B5D2C"/>
    <w:rsid w:val="006D6F39"/>
    <w:rsid w:val="006E14BD"/>
    <w:rsid w:val="006F102B"/>
    <w:rsid w:val="007175D8"/>
    <w:rsid w:val="00741793"/>
    <w:rsid w:val="00767E1C"/>
    <w:rsid w:val="00771789"/>
    <w:rsid w:val="007840E7"/>
    <w:rsid w:val="007B3E3E"/>
    <w:rsid w:val="007C1D25"/>
    <w:rsid w:val="008170C5"/>
    <w:rsid w:val="008265FD"/>
    <w:rsid w:val="00832F62"/>
    <w:rsid w:val="00834155"/>
    <w:rsid w:val="00834DA7"/>
    <w:rsid w:val="00867296"/>
    <w:rsid w:val="00867903"/>
    <w:rsid w:val="008810DF"/>
    <w:rsid w:val="00892A17"/>
    <w:rsid w:val="008939CC"/>
    <w:rsid w:val="008C068F"/>
    <w:rsid w:val="008D757E"/>
    <w:rsid w:val="008F6605"/>
    <w:rsid w:val="0090263D"/>
    <w:rsid w:val="0090557B"/>
    <w:rsid w:val="009058F4"/>
    <w:rsid w:val="00921723"/>
    <w:rsid w:val="009300A7"/>
    <w:rsid w:val="00950219"/>
    <w:rsid w:val="009A18B0"/>
    <w:rsid w:val="009C1791"/>
    <w:rsid w:val="009C1C95"/>
    <w:rsid w:val="009C4F16"/>
    <w:rsid w:val="009C559B"/>
    <w:rsid w:val="009E5BD6"/>
    <w:rsid w:val="00A1343F"/>
    <w:rsid w:val="00A400D9"/>
    <w:rsid w:val="00A62BB2"/>
    <w:rsid w:val="00AC5267"/>
    <w:rsid w:val="00B20758"/>
    <w:rsid w:val="00B2624C"/>
    <w:rsid w:val="00B3779A"/>
    <w:rsid w:val="00B44BE9"/>
    <w:rsid w:val="00B5547A"/>
    <w:rsid w:val="00B613D3"/>
    <w:rsid w:val="00B8206F"/>
    <w:rsid w:val="00B84C1E"/>
    <w:rsid w:val="00B84C3B"/>
    <w:rsid w:val="00B8526F"/>
    <w:rsid w:val="00B8796D"/>
    <w:rsid w:val="00B90CE3"/>
    <w:rsid w:val="00BC05EC"/>
    <w:rsid w:val="00BD31C7"/>
    <w:rsid w:val="00BD60AF"/>
    <w:rsid w:val="00C16DCF"/>
    <w:rsid w:val="00C4139A"/>
    <w:rsid w:val="00C729F7"/>
    <w:rsid w:val="00C813D2"/>
    <w:rsid w:val="00C912B1"/>
    <w:rsid w:val="00CC3E15"/>
    <w:rsid w:val="00CD28D1"/>
    <w:rsid w:val="00CD7322"/>
    <w:rsid w:val="00D01A8A"/>
    <w:rsid w:val="00D274C2"/>
    <w:rsid w:val="00D4233E"/>
    <w:rsid w:val="00D44845"/>
    <w:rsid w:val="00D44B27"/>
    <w:rsid w:val="00D46EBE"/>
    <w:rsid w:val="00D534EB"/>
    <w:rsid w:val="00D73B4E"/>
    <w:rsid w:val="00D8157F"/>
    <w:rsid w:val="00D852D7"/>
    <w:rsid w:val="00D868F9"/>
    <w:rsid w:val="00D940D7"/>
    <w:rsid w:val="00D97369"/>
    <w:rsid w:val="00DB0C50"/>
    <w:rsid w:val="00DC728C"/>
    <w:rsid w:val="00DE3635"/>
    <w:rsid w:val="00DF0150"/>
    <w:rsid w:val="00DF0812"/>
    <w:rsid w:val="00E04ED3"/>
    <w:rsid w:val="00E30D8E"/>
    <w:rsid w:val="00E50CE5"/>
    <w:rsid w:val="00E54937"/>
    <w:rsid w:val="00E57F8D"/>
    <w:rsid w:val="00EA6896"/>
    <w:rsid w:val="00EC1831"/>
    <w:rsid w:val="00ED49B7"/>
    <w:rsid w:val="00EE51CC"/>
    <w:rsid w:val="00EF4B26"/>
    <w:rsid w:val="00F10BEF"/>
    <w:rsid w:val="00F20232"/>
    <w:rsid w:val="00F2591F"/>
    <w:rsid w:val="00F40A1D"/>
    <w:rsid w:val="00F46DD3"/>
    <w:rsid w:val="00F63B1A"/>
    <w:rsid w:val="00F63BAC"/>
    <w:rsid w:val="00F76412"/>
    <w:rsid w:val="00F919C7"/>
    <w:rsid w:val="00FC501C"/>
    <w:rsid w:val="00FD765D"/>
    <w:rsid w:val="00FE2818"/>
    <w:rsid w:val="00FE28A8"/>
    <w:rsid w:val="00FF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1CC"/>
    <w:rPr>
      <w:sz w:val="20"/>
      <w:szCs w:val="20"/>
    </w:rPr>
  </w:style>
  <w:style w:type="character" w:styleId="FootnoteReference">
    <w:name w:val="footnote reference"/>
    <w:basedOn w:val="DefaultParagraphFont"/>
    <w:uiPriority w:val="99"/>
    <w:semiHidden/>
    <w:unhideWhenUsed/>
    <w:rsid w:val="00EE51CC"/>
    <w:rPr>
      <w:vertAlign w:val="superscript"/>
    </w:rPr>
  </w:style>
  <w:style w:type="character" w:styleId="Hyperlink">
    <w:name w:val="Hyperlink"/>
    <w:basedOn w:val="DefaultParagraphFont"/>
    <w:uiPriority w:val="99"/>
    <w:unhideWhenUsed/>
    <w:rsid w:val="00950219"/>
    <w:rPr>
      <w:color w:val="0000FF" w:themeColor="hyperlink"/>
      <w:u w:val="single"/>
    </w:rPr>
  </w:style>
  <w:style w:type="paragraph" w:styleId="BalloonText">
    <w:name w:val="Balloon Text"/>
    <w:basedOn w:val="Normal"/>
    <w:link w:val="BalloonTextChar"/>
    <w:uiPriority w:val="99"/>
    <w:semiHidden/>
    <w:unhideWhenUsed/>
    <w:rsid w:val="0074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93"/>
    <w:rPr>
      <w:rFonts w:ascii="Tahoma" w:hAnsi="Tahoma" w:cs="Tahoma"/>
      <w:sz w:val="16"/>
      <w:szCs w:val="16"/>
    </w:rPr>
  </w:style>
  <w:style w:type="character" w:customStyle="1" w:styleId="apple-converted-space">
    <w:name w:val="apple-converted-space"/>
    <w:basedOn w:val="DefaultParagraphFont"/>
    <w:rsid w:val="00741793"/>
  </w:style>
  <w:style w:type="paragraph" w:styleId="CommentText">
    <w:name w:val="annotation text"/>
    <w:basedOn w:val="Normal"/>
    <w:link w:val="CommentTextChar"/>
    <w:uiPriority w:val="99"/>
    <w:semiHidden/>
    <w:unhideWhenUsed/>
    <w:rsid w:val="008939C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9CC"/>
    <w:rPr>
      <w:rFonts w:ascii="Calibri" w:eastAsia="Calibri" w:hAnsi="Calibri" w:cs="Times New Roman"/>
      <w:sz w:val="20"/>
      <w:szCs w:val="20"/>
    </w:rPr>
  </w:style>
  <w:style w:type="paragraph" w:styleId="ListParagraph">
    <w:name w:val="List Paragraph"/>
    <w:basedOn w:val="Normal"/>
    <w:uiPriority w:val="34"/>
    <w:qFormat/>
    <w:rsid w:val="002C69DA"/>
    <w:pPr>
      <w:ind w:left="720"/>
      <w:contextualSpacing/>
    </w:pPr>
  </w:style>
  <w:style w:type="character" w:styleId="FollowedHyperlink">
    <w:name w:val="FollowedHyperlink"/>
    <w:basedOn w:val="DefaultParagraphFont"/>
    <w:uiPriority w:val="99"/>
    <w:semiHidden/>
    <w:unhideWhenUsed/>
    <w:rsid w:val="006D6F39"/>
    <w:rPr>
      <w:color w:val="800080" w:themeColor="followedHyperlink"/>
      <w:u w:val="single"/>
    </w:rPr>
  </w:style>
  <w:style w:type="paragraph" w:styleId="PlainText">
    <w:name w:val="Plain Text"/>
    <w:basedOn w:val="Normal"/>
    <w:link w:val="PlainTextChar"/>
    <w:uiPriority w:val="99"/>
    <w:semiHidden/>
    <w:unhideWhenUsed/>
    <w:rsid w:val="00E30D8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30D8E"/>
    <w:rPr>
      <w:rFonts w:ascii="Calibri" w:hAnsi="Calibri" w:cs="Times New Roman"/>
    </w:rPr>
  </w:style>
  <w:style w:type="paragraph" w:styleId="Header">
    <w:name w:val="header"/>
    <w:basedOn w:val="Normal"/>
    <w:link w:val="HeaderChar"/>
    <w:uiPriority w:val="99"/>
    <w:unhideWhenUsed/>
    <w:rsid w:val="00F9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C7"/>
  </w:style>
  <w:style w:type="paragraph" w:styleId="Footer">
    <w:name w:val="footer"/>
    <w:basedOn w:val="Normal"/>
    <w:link w:val="FooterChar"/>
    <w:uiPriority w:val="99"/>
    <w:unhideWhenUsed/>
    <w:rsid w:val="00F9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C7"/>
  </w:style>
  <w:style w:type="character" w:styleId="CommentReference">
    <w:name w:val="annotation reference"/>
    <w:basedOn w:val="DefaultParagraphFont"/>
    <w:uiPriority w:val="99"/>
    <w:semiHidden/>
    <w:unhideWhenUsed/>
    <w:rsid w:val="00502042"/>
    <w:rPr>
      <w:sz w:val="16"/>
      <w:szCs w:val="16"/>
    </w:rPr>
  </w:style>
  <w:style w:type="paragraph" w:styleId="CommentSubject">
    <w:name w:val="annotation subject"/>
    <w:basedOn w:val="CommentText"/>
    <w:next w:val="CommentText"/>
    <w:link w:val="CommentSubjectChar"/>
    <w:uiPriority w:val="99"/>
    <w:semiHidden/>
    <w:unhideWhenUsed/>
    <w:rsid w:val="0050204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042"/>
    <w:rPr>
      <w:rFonts w:ascii="Calibri" w:eastAsia="Calibri" w:hAnsi="Calibri" w:cs="Times New Roman"/>
      <w:b/>
      <w:bCs/>
      <w:sz w:val="20"/>
      <w:szCs w:val="20"/>
    </w:rPr>
  </w:style>
  <w:style w:type="paragraph" w:styleId="Revision">
    <w:name w:val="Revision"/>
    <w:hidden/>
    <w:uiPriority w:val="99"/>
    <w:semiHidden/>
    <w:rsid w:val="002B4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1CC"/>
    <w:rPr>
      <w:sz w:val="20"/>
      <w:szCs w:val="20"/>
    </w:rPr>
  </w:style>
  <w:style w:type="character" w:styleId="FootnoteReference">
    <w:name w:val="footnote reference"/>
    <w:basedOn w:val="DefaultParagraphFont"/>
    <w:uiPriority w:val="99"/>
    <w:semiHidden/>
    <w:unhideWhenUsed/>
    <w:rsid w:val="00EE51CC"/>
    <w:rPr>
      <w:vertAlign w:val="superscript"/>
    </w:rPr>
  </w:style>
  <w:style w:type="character" w:styleId="Hyperlink">
    <w:name w:val="Hyperlink"/>
    <w:basedOn w:val="DefaultParagraphFont"/>
    <w:uiPriority w:val="99"/>
    <w:unhideWhenUsed/>
    <w:rsid w:val="00950219"/>
    <w:rPr>
      <w:color w:val="0000FF" w:themeColor="hyperlink"/>
      <w:u w:val="single"/>
    </w:rPr>
  </w:style>
  <w:style w:type="paragraph" w:styleId="BalloonText">
    <w:name w:val="Balloon Text"/>
    <w:basedOn w:val="Normal"/>
    <w:link w:val="BalloonTextChar"/>
    <w:uiPriority w:val="99"/>
    <w:semiHidden/>
    <w:unhideWhenUsed/>
    <w:rsid w:val="0074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793"/>
    <w:rPr>
      <w:rFonts w:ascii="Tahoma" w:hAnsi="Tahoma" w:cs="Tahoma"/>
      <w:sz w:val="16"/>
      <w:szCs w:val="16"/>
    </w:rPr>
  </w:style>
  <w:style w:type="character" w:customStyle="1" w:styleId="apple-converted-space">
    <w:name w:val="apple-converted-space"/>
    <w:basedOn w:val="DefaultParagraphFont"/>
    <w:rsid w:val="00741793"/>
  </w:style>
  <w:style w:type="paragraph" w:styleId="CommentText">
    <w:name w:val="annotation text"/>
    <w:basedOn w:val="Normal"/>
    <w:link w:val="CommentTextChar"/>
    <w:uiPriority w:val="99"/>
    <w:semiHidden/>
    <w:unhideWhenUsed/>
    <w:rsid w:val="008939C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9CC"/>
    <w:rPr>
      <w:rFonts w:ascii="Calibri" w:eastAsia="Calibri" w:hAnsi="Calibri" w:cs="Times New Roman"/>
      <w:sz w:val="20"/>
      <w:szCs w:val="20"/>
    </w:rPr>
  </w:style>
  <w:style w:type="paragraph" w:styleId="ListParagraph">
    <w:name w:val="List Paragraph"/>
    <w:basedOn w:val="Normal"/>
    <w:uiPriority w:val="34"/>
    <w:qFormat/>
    <w:rsid w:val="002C69DA"/>
    <w:pPr>
      <w:ind w:left="720"/>
      <w:contextualSpacing/>
    </w:pPr>
  </w:style>
  <w:style w:type="character" w:styleId="FollowedHyperlink">
    <w:name w:val="FollowedHyperlink"/>
    <w:basedOn w:val="DefaultParagraphFont"/>
    <w:uiPriority w:val="99"/>
    <w:semiHidden/>
    <w:unhideWhenUsed/>
    <w:rsid w:val="006D6F39"/>
    <w:rPr>
      <w:color w:val="800080" w:themeColor="followedHyperlink"/>
      <w:u w:val="single"/>
    </w:rPr>
  </w:style>
  <w:style w:type="paragraph" w:styleId="PlainText">
    <w:name w:val="Plain Text"/>
    <w:basedOn w:val="Normal"/>
    <w:link w:val="PlainTextChar"/>
    <w:uiPriority w:val="99"/>
    <w:semiHidden/>
    <w:unhideWhenUsed/>
    <w:rsid w:val="00E30D8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30D8E"/>
    <w:rPr>
      <w:rFonts w:ascii="Calibri" w:hAnsi="Calibri" w:cs="Times New Roman"/>
    </w:rPr>
  </w:style>
  <w:style w:type="paragraph" w:styleId="Header">
    <w:name w:val="header"/>
    <w:basedOn w:val="Normal"/>
    <w:link w:val="HeaderChar"/>
    <w:uiPriority w:val="99"/>
    <w:unhideWhenUsed/>
    <w:rsid w:val="00F91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C7"/>
  </w:style>
  <w:style w:type="paragraph" w:styleId="Footer">
    <w:name w:val="footer"/>
    <w:basedOn w:val="Normal"/>
    <w:link w:val="FooterChar"/>
    <w:uiPriority w:val="99"/>
    <w:unhideWhenUsed/>
    <w:rsid w:val="00F91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C7"/>
  </w:style>
  <w:style w:type="character" w:styleId="CommentReference">
    <w:name w:val="annotation reference"/>
    <w:basedOn w:val="DefaultParagraphFont"/>
    <w:uiPriority w:val="99"/>
    <w:semiHidden/>
    <w:unhideWhenUsed/>
    <w:rsid w:val="00502042"/>
    <w:rPr>
      <w:sz w:val="16"/>
      <w:szCs w:val="16"/>
    </w:rPr>
  </w:style>
  <w:style w:type="paragraph" w:styleId="CommentSubject">
    <w:name w:val="annotation subject"/>
    <w:basedOn w:val="CommentText"/>
    <w:next w:val="CommentText"/>
    <w:link w:val="CommentSubjectChar"/>
    <w:uiPriority w:val="99"/>
    <w:semiHidden/>
    <w:unhideWhenUsed/>
    <w:rsid w:val="0050204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2042"/>
    <w:rPr>
      <w:rFonts w:ascii="Calibri" w:eastAsia="Calibri" w:hAnsi="Calibri" w:cs="Times New Roman"/>
      <w:b/>
      <w:bCs/>
      <w:sz w:val="20"/>
      <w:szCs w:val="20"/>
    </w:rPr>
  </w:style>
  <w:style w:type="paragraph" w:styleId="Revision">
    <w:name w:val="Revision"/>
    <w:hidden/>
    <w:uiPriority w:val="99"/>
    <w:semiHidden/>
    <w:rsid w:val="002B4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5011">
      <w:bodyDiv w:val="1"/>
      <w:marLeft w:val="0"/>
      <w:marRight w:val="0"/>
      <w:marTop w:val="0"/>
      <w:marBottom w:val="0"/>
      <w:divBdr>
        <w:top w:val="none" w:sz="0" w:space="0" w:color="auto"/>
        <w:left w:val="none" w:sz="0" w:space="0" w:color="auto"/>
        <w:bottom w:val="none" w:sz="0" w:space="0" w:color="auto"/>
        <w:right w:val="none" w:sz="0" w:space="0" w:color="auto"/>
      </w:divBdr>
    </w:div>
    <w:div w:id="411700138">
      <w:bodyDiv w:val="1"/>
      <w:marLeft w:val="0"/>
      <w:marRight w:val="0"/>
      <w:marTop w:val="0"/>
      <w:marBottom w:val="0"/>
      <w:divBdr>
        <w:top w:val="none" w:sz="0" w:space="0" w:color="auto"/>
        <w:left w:val="none" w:sz="0" w:space="0" w:color="auto"/>
        <w:bottom w:val="none" w:sz="0" w:space="0" w:color="auto"/>
        <w:right w:val="none" w:sz="0" w:space="0" w:color="auto"/>
      </w:divBdr>
    </w:div>
    <w:div w:id="1195121368">
      <w:bodyDiv w:val="1"/>
      <w:marLeft w:val="0"/>
      <w:marRight w:val="0"/>
      <w:marTop w:val="0"/>
      <w:marBottom w:val="0"/>
      <w:divBdr>
        <w:top w:val="none" w:sz="0" w:space="0" w:color="auto"/>
        <w:left w:val="none" w:sz="0" w:space="0" w:color="auto"/>
        <w:bottom w:val="none" w:sz="0" w:space="0" w:color="auto"/>
        <w:right w:val="none" w:sz="0" w:space="0" w:color="auto"/>
      </w:divBdr>
    </w:div>
    <w:div w:id="1329558755">
      <w:bodyDiv w:val="1"/>
      <w:marLeft w:val="0"/>
      <w:marRight w:val="0"/>
      <w:marTop w:val="0"/>
      <w:marBottom w:val="0"/>
      <w:divBdr>
        <w:top w:val="none" w:sz="0" w:space="0" w:color="auto"/>
        <w:left w:val="none" w:sz="0" w:space="0" w:color="auto"/>
        <w:bottom w:val="none" w:sz="0" w:space="0" w:color="auto"/>
        <w:right w:val="none" w:sz="0" w:space="0" w:color="auto"/>
      </w:divBdr>
    </w:div>
    <w:div w:id="1376126157">
      <w:bodyDiv w:val="1"/>
      <w:marLeft w:val="0"/>
      <w:marRight w:val="0"/>
      <w:marTop w:val="0"/>
      <w:marBottom w:val="0"/>
      <w:divBdr>
        <w:top w:val="none" w:sz="0" w:space="0" w:color="auto"/>
        <w:left w:val="none" w:sz="0" w:space="0" w:color="auto"/>
        <w:bottom w:val="none" w:sz="0" w:space="0" w:color="auto"/>
        <w:right w:val="none" w:sz="0" w:space="0" w:color="auto"/>
      </w:divBdr>
    </w:div>
    <w:div w:id="1398894610">
      <w:bodyDiv w:val="1"/>
      <w:marLeft w:val="0"/>
      <w:marRight w:val="0"/>
      <w:marTop w:val="0"/>
      <w:marBottom w:val="0"/>
      <w:divBdr>
        <w:top w:val="none" w:sz="0" w:space="0" w:color="auto"/>
        <w:left w:val="none" w:sz="0" w:space="0" w:color="auto"/>
        <w:bottom w:val="none" w:sz="0" w:space="0" w:color="auto"/>
        <w:right w:val="none" w:sz="0" w:space="0" w:color="auto"/>
      </w:divBdr>
    </w:div>
    <w:div w:id="1593050104">
      <w:bodyDiv w:val="1"/>
      <w:marLeft w:val="0"/>
      <w:marRight w:val="0"/>
      <w:marTop w:val="0"/>
      <w:marBottom w:val="0"/>
      <w:divBdr>
        <w:top w:val="none" w:sz="0" w:space="0" w:color="auto"/>
        <w:left w:val="none" w:sz="0" w:space="0" w:color="auto"/>
        <w:bottom w:val="none" w:sz="0" w:space="0" w:color="auto"/>
        <w:right w:val="none" w:sz="0" w:space="0" w:color="auto"/>
      </w:divBdr>
    </w:div>
    <w:div w:id="1775515160">
      <w:bodyDiv w:val="1"/>
      <w:marLeft w:val="0"/>
      <w:marRight w:val="0"/>
      <w:marTop w:val="0"/>
      <w:marBottom w:val="0"/>
      <w:divBdr>
        <w:top w:val="none" w:sz="0" w:space="0" w:color="auto"/>
        <w:left w:val="none" w:sz="0" w:space="0" w:color="auto"/>
        <w:bottom w:val="none" w:sz="0" w:space="0" w:color="auto"/>
        <w:right w:val="none" w:sz="0" w:space="0" w:color="auto"/>
      </w:divBdr>
      <w:divsChild>
        <w:div w:id="11762508">
          <w:marLeft w:val="288"/>
          <w:marRight w:val="0"/>
          <w:marTop w:val="0"/>
          <w:marBottom w:val="88"/>
          <w:divBdr>
            <w:top w:val="none" w:sz="0" w:space="0" w:color="auto"/>
            <w:left w:val="none" w:sz="0" w:space="0" w:color="auto"/>
            <w:bottom w:val="none" w:sz="0" w:space="0" w:color="auto"/>
            <w:right w:val="none" w:sz="0" w:space="0" w:color="auto"/>
          </w:divBdr>
        </w:div>
        <w:div w:id="197670674">
          <w:marLeft w:val="288"/>
          <w:marRight w:val="0"/>
          <w:marTop w:val="0"/>
          <w:marBottom w:val="88"/>
          <w:divBdr>
            <w:top w:val="none" w:sz="0" w:space="0" w:color="auto"/>
            <w:left w:val="none" w:sz="0" w:space="0" w:color="auto"/>
            <w:bottom w:val="none" w:sz="0" w:space="0" w:color="auto"/>
            <w:right w:val="none" w:sz="0" w:space="0" w:color="auto"/>
          </w:divBdr>
        </w:div>
        <w:div w:id="712272167">
          <w:marLeft w:val="288"/>
          <w:marRight w:val="0"/>
          <w:marTop w:val="0"/>
          <w:marBottom w:val="88"/>
          <w:divBdr>
            <w:top w:val="none" w:sz="0" w:space="0" w:color="auto"/>
            <w:left w:val="none" w:sz="0" w:space="0" w:color="auto"/>
            <w:bottom w:val="none" w:sz="0" w:space="0" w:color="auto"/>
            <w:right w:val="none" w:sz="0" w:space="0" w:color="auto"/>
          </w:divBdr>
        </w:div>
        <w:div w:id="761098999">
          <w:marLeft w:val="288"/>
          <w:marRight w:val="0"/>
          <w:marTop w:val="0"/>
          <w:marBottom w:val="88"/>
          <w:divBdr>
            <w:top w:val="none" w:sz="0" w:space="0" w:color="auto"/>
            <w:left w:val="none" w:sz="0" w:space="0" w:color="auto"/>
            <w:bottom w:val="none" w:sz="0" w:space="0" w:color="auto"/>
            <w:right w:val="none" w:sz="0" w:space="0" w:color="auto"/>
          </w:divBdr>
        </w:div>
        <w:div w:id="895629341">
          <w:marLeft w:val="288"/>
          <w:marRight w:val="0"/>
          <w:marTop w:val="0"/>
          <w:marBottom w:val="88"/>
          <w:divBdr>
            <w:top w:val="none" w:sz="0" w:space="0" w:color="auto"/>
            <w:left w:val="none" w:sz="0" w:space="0" w:color="auto"/>
            <w:bottom w:val="none" w:sz="0" w:space="0" w:color="auto"/>
            <w:right w:val="none" w:sz="0" w:space="0" w:color="auto"/>
          </w:divBdr>
        </w:div>
        <w:div w:id="918364093">
          <w:marLeft w:val="288"/>
          <w:marRight w:val="0"/>
          <w:marTop w:val="0"/>
          <w:marBottom w:val="88"/>
          <w:divBdr>
            <w:top w:val="none" w:sz="0" w:space="0" w:color="auto"/>
            <w:left w:val="none" w:sz="0" w:space="0" w:color="auto"/>
            <w:bottom w:val="none" w:sz="0" w:space="0" w:color="auto"/>
            <w:right w:val="none" w:sz="0" w:space="0" w:color="auto"/>
          </w:divBdr>
        </w:div>
        <w:div w:id="961230214">
          <w:marLeft w:val="288"/>
          <w:marRight w:val="0"/>
          <w:marTop w:val="0"/>
          <w:marBottom w:val="88"/>
          <w:divBdr>
            <w:top w:val="none" w:sz="0" w:space="0" w:color="auto"/>
            <w:left w:val="none" w:sz="0" w:space="0" w:color="auto"/>
            <w:bottom w:val="none" w:sz="0" w:space="0" w:color="auto"/>
            <w:right w:val="none" w:sz="0" w:space="0" w:color="auto"/>
          </w:divBdr>
        </w:div>
        <w:div w:id="1103384190">
          <w:marLeft w:val="288"/>
          <w:marRight w:val="0"/>
          <w:marTop w:val="0"/>
          <w:marBottom w:val="88"/>
          <w:divBdr>
            <w:top w:val="none" w:sz="0" w:space="0" w:color="auto"/>
            <w:left w:val="none" w:sz="0" w:space="0" w:color="auto"/>
            <w:bottom w:val="none" w:sz="0" w:space="0" w:color="auto"/>
            <w:right w:val="none" w:sz="0" w:space="0" w:color="auto"/>
          </w:divBdr>
        </w:div>
        <w:div w:id="1402824906">
          <w:marLeft w:val="288"/>
          <w:marRight w:val="0"/>
          <w:marTop w:val="0"/>
          <w:marBottom w:val="88"/>
          <w:divBdr>
            <w:top w:val="none" w:sz="0" w:space="0" w:color="auto"/>
            <w:left w:val="none" w:sz="0" w:space="0" w:color="auto"/>
            <w:bottom w:val="none" w:sz="0" w:space="0" w:color="auto"/>
            <w:right w:val="none" w:sz="0" w:space="0" w:color="auto"/>
          </w:divBdr>
        </w:div>
        <w:div w:id="1680427597">
          <w:marLeft w:val="0"/>
          <w:marRight w:val="0"/>
          <w:marTop w:val="0"/>
          <w:marBottom w:val="88"/>
          <w:divBdr>
            <w:top w:val="none" w:sz="0" w:space="0" w:color="auto"/>
            <w:left w:val="none" w:sz="0" w:space="0" w:color="auto"/>
            <w:bottom w:val="none" w:sz="0" w:space="0" w:color="auto"/>
            <w:right w:val="none" w:sz="0" w:space="0" w:color="auto"/>
          </w:divBdr>
        </w:div>
        <w:div w:id="2095279476">
          <w:marLeft w:val="0"/>
          <w:marRight w:val="0"/>
          <w:marTop w:val="0"/>
          <w:marBottom w:val="88"/>
          <w:divBdr>
            <w:top w:val="none" w:sz="0" w:space="0" w:color="auto"/>
            <w:left w:val="none" w:sz="0" w:space="0" w:color="auto"/>
            <w:bottom w:val="none" w:sz="0" w:space="0" w:color="auto"/>
            <w:right w:val="none" w:sz="0" w:space="0" w:color="auto"/>
          </w:divBdr>
        </w:div>
      </w:divsChild>
    </w:div>
    <w:div w:id="18886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dpuntos.inadem.gob.m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B3EB3B8063C8A49B8C12D414D4B4E56" ma:contentTypeVersion="0" ma:contentTypeDescription="A content type to manage public (operations) IDB documents" ma:contentTypeScope="" ma:versionID="4cc5ff9b9ed450b4c6eacb8eb9dd1f0f">
  <xsd:schema xmlns:xsd="http://www.w3.org/2001/XMLSchema" xmlns:xs="http://www.w3.org/2001/XMLSchema" xmlns:p="http://schemas.microsoft.com/office/2006/metadata/properties" xmlns:ns2="9c571b2f-e523-4ab2-ba2e-09e151a03ef4" targetNamespace="http://schemas.microsoft.com/office/2006/metadata/properties" ma:root="true" ma:fieldsID="37e258fd1c47562c185210fabf64e0e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2618b90-8453-43f4-a49f-7089672a37f2}" ma:internalName="TaxCatchAll" ma:showField="CatchAllData" ma:web="bb0255e7-ee8b-46cf-8bf3-bae2cce8d49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2618b90-8453-43f4-a49f-7089672a37f2}" ma:internalName="TaxCatchAllLabel" ma:readOnly="true" ma:showField="CatchAllDataLabel" ma:web="bb0255e7-ee8b-46cf-8bf3-bae2cce8d49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40128289</IDBDocs_x0020_Number>
    <Document_x0020_Author xmlns="9c571b2f-e523-4ab2-ba2e-09e151a03ef4">Fernandez Diez, Maria Carmen</Document_x0020_Author>
    <Publication_x0020_Type xmlns="9c571b2f-e523-4ab2-ba2e-09e151a03ef4" xsi:nil="true"/>
    <Operation_x0020_Type xmlns="9c571b2f-e523-4ab2-ba2e-09e151a03ef4" xsi:nil="true"/>
    <TaxCatchAll xmlns="9c571b2f-e523-4ab2-ba2e-09e151a03ef4">
      <Value>8</Value>
      <Value>7</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ME-L1186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Directors&lt;/APPROVAL_DESC&gt;&lt;PD_OBJ_TYPE&gt;0&lt;/PD_OBJ_TYPE&gt;&lt;DTAPPROVAL&gt;Sep 14 2016 12:00AM&lt;/DTAPPROVAL&gt;&lt;MAKERECORD&gt;N&lt;/MAKERECORD&gt;&lt;/Data&gt;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APPENDIX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E94CD19B-5294-4FF3-98C2-B9DB66536CED}"/>
</file>

<file path=customXml/itemProps2.xml><?xml version="1.0" encoding="utf-8"?>
<ds:datastoreItem xmlns:ds="http://schemas.openxmlformats.org/officeDocument/2006/customXml" ds:itemID="{CEB48263-B751-44DE-B200-BDA7AA6AC775}"/>
</file>

<file path=customXml/itemProps3.xml><?xml version="1.0" encoding="utf-8"?>
<ds:datastoreItem xmlns:ds="http://schemas.openxmlformats.org/officeDocument/2006/customXml" ds:itemID="{F317B988-E29E-4D91-9B4A-412C3EE7979F}"/>
</file>

<file path=customXml/itemProps4.xml><?xml version="1.0" encoding="utf-8"?>
<ds:datastoreItem xmlns:ds="http://schemas.openxmlformats.org/officeDocument/2006/customXml" ds:itemID="{83D63112-81B5-4D84-B14D-D76D68096799}"/>
</file>

<file path=customXml/itemProps5.xml><?xml version="1.0" encoding="utf-8"?>
<ds:datastoreItem xmlns:ds="http://schemas.openxmlformats.org/officeDocument/2006/customXml" ds:itemID="{0989FE9E-8FB0-498E-8DDE-CCEEA7828AF2}"/>
</file>

<file path=customXml/itemProps6.xml><?xml version="1.0" encoding="utf-8"?>
<ds:datastoreItem xmlns:ds="http://schemas.openxmlformats.org/officeDocument/2006/customXml" ds:itemID="{F5B81EB0-09CF-40AB-81E2-F74A307BD07B}"/>
</file>

<file path=docProps/app.xml><?xml version="1.0" encoding="utf-8"?>
<Properties xmlns="http://schemas.openxmlformats.org/officeDocument/2006/extended-properties" xmlns:vt="http://schemas.openxmlformats.org/officeDocument/2006/docPropsVTypes">
  <Template>Normal.dotm</Template>
  <TotalTime>2</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POD_ Matriz Medios Verificacion _ ME-L1186</dc:title>
  <dc:creator>IADB</dc:creator>
  <cp:lastModifiedBy>Alison Arauz </cp:lastModifiedBy>
  <cp:revision>4</cp:revision>
  <cp:lastPrinted>2016-02-04T16:44:00Z</cp:lastPrinted>
  <dcterms:created xsi:type="dcterms:W3CDTF">2016-08-15T14:49:00Z</dcterms:created>
  <dcterms:modified xsi:type="dcterms:W3CDTF">2016-08-18T17:43:00Z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0x01010046CF21643EE8D14686A648AA6DAD089200AB3EB3B8063C8A49B8C12D414D4B4E56</vt:lpwstr>
  </property>
  <property fmtid="{D5CDD505-2E9C-101B-9397-08002B2CF9AE}" pid="5" name="TaxKeywordTaxHTField">
    <vt:lpwstr/>
  </property>
  <property fmtid="{D5CDD505-2E9C-101B-9397-08002B2CF9AE}" pid="6" name="Series Operations IDB">
    <vt:lpwstr>7;#Unclassified|a6dff32e-d477-44cd-a56b-85efe9e0a56c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7;#Unclassified|a6dff32e-d477-44cd-a56b-85efe9e0a56c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8;#IDBDocs|cca77002-e150-4b2d-ab1f-1d7a7cdcae16</vt:lpwstr>
  </property>
</Properties>
</file>