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F3C" w:rsidRPr="00046243" w:rsidRDefault="00B41F3C" w:rsidP="009C7A21">
      <w:pPr>
        <w:spacing w:after="240" w:line="240" w:lineRule="auto"/>
        <w:rPr>
          <w:rFonts w:ascii="Times New Roman" w:eastAsiaTheme="majorEastAsia" w:hAnsi="Times New Roman" w:cs="Times New Roman"/>
          <w:spacing w:val="5"/>
          <w:kern w:val="28"/>
          <w:sz w:val="24"/>
          <w:szCs w:val="24"/>
        </w:rPr>
      </w:pPr>
      <w:r w:rsidRPr="00046243">
        <w:rPr>
          <w:rFonts w:ascii="Times New Roman" w:hAnsi="Times New Roman" w:cs="Times New Roman"/>
          <w:noProof/>
          <w:color w:val="1F497D"/>
          <w:sz w:val="24"/>
          <w:szCs w:val="24"/>
          <w:lang w:eastAsia="pt-BR"/>
        </w:rPr>
        <w:drawing>
          <wp:inline distT="0" distB="0" distL="0" distR="0">
            <wp:extent cx="2065073" cy="878774"/>
            <wp:effectExtent l="19050" t="0" r="0" b="0"/>
            <wp:docPr id="3" name="Picture 1" descr="logo_email_portugu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mail_portuguese"/>
                    <pic:cNvPicPr>
                      <a:picLocks noChangeAspect="1" noChangeArrowheads="1"/>
                    </pic:cNvPicPr>
                  </pic:nvPicPr>
                  <pic:blipFill>
                    <a:blip r:embed="rId8" r:link="rId9"/>
                    <a:srcRect/>
                    <a:stretch>
                      <a:fillRect/>
                    </a:stretch>
                  </pic:blipFill>
                  <pic:spPr bwMode="auto">
                    <a:xfrm>
                      <a:off x="0" y="0"/>
                      <a:ext cx="2066983" cy="879587"/>
                    </a:xfrm>
                    <a:prstGeom prst="rect">
                      <a:avLst/>
                    </a:prstGeom>
                    <a:noFill/>
                    <a:ln w="9525">
                      <a:noFill/>
                      <a:miter lim="800000"/>
                      <a:headEnd/>
                      <a:tailEnd/>
                    </a:ln>
                  </pic:spPr>
                </pic:pic>
              </a:graphicData>
            </a:graphic>
          </wp:inline>
        </w:drawing>
      </w:r>
    </w:p>
    <w:p w:rsidR="00B41F3C" w:rsidRPr="00046243" w:rsidRDefault="00B41F3C" w:rsidP="009C7A21">
      <w:pPr>
        <w:spacing w:after="240" w:line="240" w:lineRule="auto"/>
        <w:rPr>
          <w:rFonts w:ascii="Times New Roman" w:eastAsiaTheme="majorEastAsia" w:hAnsi="Times New Roman" w:cs="Times New Roman"/>
          <w:spacing w:val="5"/>
          <w:kern w:val="28"/>
          <w:sz w:val="24"/>
          <w:szCs w:val="24"/>
        </w:rPr>
      </w:pPr>
    </w:p>
    <w:p w:rsidR="00A82BCE" w:rsidRDefault="00A82BCE" w:rsidP="009C7A21">
      <w:pPr>
        <w:spacing w:after="240" w:line="240" w:lineRule="auto"/>
        <w:jc w:val="center"/>
        <w:rPr>
          <w:rFonts w:ascii="Times New Roman" w:eastAsiaTheme="majorEastAsia" w:hAnsi="Times New Roman" w:cs="Times New Roman"/>
          <w:b/>
          <w:spacing w:val="5"/>
          <w:kern w:val="28"/>
          <w:sz w:val="48"/>
          <w:szCs w:val="48"/>
        </w:rPr>
      </w:pPr>
    </w:p>
    <w:p w:rsidR="00B41F3C" w:rsidRPr="00046243" w:rsidRDefault="00B41F3C" w:rsidP="009C7A21">
      <w:pPr>
        <w:spacing w:after="240" w:line="240" w:lineRule="auto"/>
        <w:jc w:val="center"/>
        <w:rPr>
          <w:rFonts w:ascii="Times New Roman" w:eastAsiaTheme="majorEastAsia" w:hAnsi="Times New Roman" w:cs="Times New Roman"/>
          <w:b/>
          <w:spacing w:val="5"/>
          <w:kern w:val="28"/>
          <w:sz w:val="48"/>
          <w:szCs w:val="48"/>
        </w:rPr>
      </w:pPr>
      <w:r w:rsidRPr="00046243">
        <w:rPr>
          <w:rFonts w:ascii="Times New Roman" w:eastAsiaTheme="majorEastAsia" w:hAnsi="Times New Roman" w:cs="Times New Roman"/>
          <w:b/>
          <w:spacing w:val="5"/>
          <w:kern w:val="28"/>
          <w:sz w:val="48"/>
          <w:szCs w:val="48"/>
        </w:rPr>
        <w:t>Programa de Apoio à Modernização e à Transparência da Gestão Fiscal do Estado do Pará</w:t>
      </w:r>
    </w:p>
    <w:p w:rsidR="00B41F3C" w:rsidRPr="00046243" w:rsidRDefault="00B41F3C" w:rsidP="009C7A21">
      <w:pPr>
        <w:spacing w:after="240" w:line="240" w:lineRule="auto"/>
        <w:jc w:val="center"/>
        <w:rPr>
          <w:rFonts w:ascii="Times New Roman" w:eastAsiaTheme="majorEastAsia" w:hAnsi="Times New Roman" w:cs="Times New Roman"/>
          <w:b/>
          <w:spacing w:val="5"/>
          <w:kern w:val="28"/>
          <w:sz w:val="48"/>
          <w:szCs w:val="48"/>
        </w:rPr>
      </w:pPr>
      <w:r w:rsidRPr="00046243">
        <w:rPr>
          <w:rFonts w:ascii="Times New Roman" w:eastAsiaTheme="majorEastAsia" w:hAnsi="Times New Roman" w:cs="Times New Roman"/>
          <w:b/>
          <w:spacing w:val="5"/>
          <w:kern w:val="28"/>
          <w:sz w:val="48"/>
          <w:szCs w:val="48"/>
        </w:rPr>
        <w:t>PROGEFAZ/PROFISCO</w:t>
      </w:r>
    </w:p>
    <w:p w:rsidR="00FB3868" w:rsidRPr="00046243" w:rsidRDefault="008B10FD" w:rsidP="009C7A21">
      <w:pPr>
        <w:spacing w:after="240" w:line="240" w:lineRule="auto"/>
        <w:jc w:val="center"/>
        <w:rPr>
          <w:rFonts w:ascii="Times New Roman" w:eastAsiaTheme="majorEastAsia" w:hAnsi="Times New Roman" w:cs="Times New Roman"/>
          <w:b/>
          <w:spacing w:val="5"/>
          <w:kern w:val="28"/>
          <w:sz w:val="48"/>
          <w:szCs w:val="48"/>
        </w:rPr>
      </w:pPr>
      <w:r w:rsidRPr="00046243">
        <w:rPr>
          <w:rFonts w:ascii="Times New Roman" w:eastAsiaTheme="majorEastAsia" w:hAnsi="Times New Roman" w:cs="Times New Roman"/>
          <w:b/>
          <w:spacing w:val="5"/>
          <w:kern w:val="28"/>
          <w:sz w:val="48"/>
          <w:szCs w:val="48"/>
        </w:rPr>
        <w:t>BR-L1093</w:t>
      </w:r>
      <w:r w:rsidR="00B41F3C" w:rsidRPr="00046243">
        <w:rPr>
          <w:rFonts w:ascii="Times New Roman" w:eastAsiaTheme="majorEastAsia" w:hAnsi="Times New Roman" w:cs="Times New Roman"/>
          <w:b/>
          <w:spacing w:val="5"/>
          <w:kern w:val="28"/>
          <w:sz w:val="48"/>
          <w:szCs w:val="48"/>
        </w:rPr>
        <w:t xml:space="preserve"> </w:t>
      </w:r>
      <w:r w:rsidRPr="00046243">
        <w:rPr>
          <w:rFonts w:ascii="Times New Roman" w:eastAsiaTheme="majorEastAsia" w:hAnsi="Times New Roman" w:cs="Times New Roman"/>
          <w:b/>
          <w:spacing w:val="5"/>
          <w:kern w:val="28"/>
          <w:sz w:val="48"/>
          <w:szCs w:val="48"/>
        </w:rPr>
        <w:t xml:space="preserve">– </w:t>
      </w:r>
      <w:r w:rsidR="00B41F3C" w:rsidRPr="00046243">
        <w:rPr>
          <w:rFonts w:ascii="Times New Roman" w:hAnsi="Times New Roman" w:cs="Times New Roman"/>
          <w:b/>
          <w:smallCaps/>
          <w:sz w:val="48"/>
          <w:szCs w:val="48"/>
        </w:rPr>
        <w:t>2078/OC-BR</w:t>
      </w:r>
    </w:p>
    <w:p w:rsidR="00FB3868" w:rsidRPr="00046243" w:rsidRDefault="00FB3868" w:rsidP="009C7A21">
      <w:pPr>
        <w:spacing w:after="240" w:line="240" w:lineRule="auto"/>
        <w:jc w:val="center"/>
        <w:rPr>
          <w:rFonts w:ascii="Times New Roman" w:eastAsiaTheme="majorEastAsia" w:hAnsi="Times New Roman" w:cs="Times New Roman"/>
          <w:b/>
          <w:spacing w:val="5"/>
          <w:kern w:val="28"/>
          <w:sz w:val="48"/>
          <w:szCs w:val="48"/>
        </w:rPr>
      </w:pPr>
    </w:p>
    <w:p w:rsidR="00FB3868" w:rsidRDefault="00BA3063" w:rsidP="009C7A21">
      <w:pPr>
        <w:spacing w:after="240" w:line="240" w:lineRule="auto"/>
        <w:jc w:val="center"/>
        <w:rPr>
          <w:rFonts w:ascii="Times New Roman" w:eastAsiaTheme="majorEastAsia" w:hAnsi="Times New Roman" w:cs="Times New Roman"/>
          <w:b/>
          <w:spacing w:val="5"/>
          <w:kern w:val="28"/>
          <w:sz w:val="48"/>
          <w:szCs w:val="48"/>
        </w:rPr>
      </w:pPr>
      <w:r w:rsidRPr="00046243">
        <w:rPr>
          <w:rFonts w:ascii="Times New Roman" w:eastAsiaTheme="majorEastAsia" w:hAnsi="Times New Roman" w:cs="Times New Roman"/>
          <w:b/>
          <w:spacing w:val="5"/>
          <w:kern w:val="28"/>
          <w:sz w:val="48"/>
          <w:szCs w:val="48"/>
        </w:rPr>
        <w:t>Re</w:t>
      </w:r>
      <w:r w:rsidR="00A35F62" w:rsidRPr="00046243">
        <w:rPr>
          <w:rFonts w:ascii="Times New Roman" w:eastAsiaTheme="majorEastAsia" w:hAnsi="Times New Roman" w:cs="Times New Roman"/>
          <w:b/>
          <w:spacing w:val="5"/>
          <w:kern w:val="28"/>
          <w:sz w:val="48"/>
          <w:szCs w:val="48"/>
        </w:rPr>
        <w:t>la</w:t>
      </w:r>
      <w:r w:rsidRPr="00046243">
        <w:rPr>
          <w:rFonts w:ascii="Times New Roman" w:eastAsiaTheme="majorEastAsia" w:hAnsi="Times New Roman" w:cs="Times New Roman"/>
          <w:b/>
          <w:spacing w:val="5"/>
          <w:kern w:val="28"/>
          <w:sz w:val="48"/>
          <w:szCs w:val="48"/>
        </w:rPr>
        <w:t>tório</w:t>
      </w:r>
      <w:r w:rsidR="00C32330" w:rsidRPr="00046243">
        <w:rPr>
          <w:rFonts w:ascii="Times New Roman" w:eastAsiaTheme="majorEastAsia" w:hAnsi="Times New Roman" w:cs="Times New Roman"/>
          <w:b/>
          <w:spacing w:val="5"/>
          <w:kern w:val="28"/>
          <w:sz w:val="48"/>
          <w:szCs w:val="48"/>
        </w:rPr>
        <w:t xml:space="preserve"> de </w:t>
      </w:r>
      <w:r w:rsidR="001B0EA8" w:rsidRPr="00046243">
        <w:rPr>
          <w:rFonts w:ascii="Times New Roman" w:eastAsiaTheme="majorEastAsia" w:hAnsi="Times New Roman" w:cs="Times New Roman"/>
          <w:b/>
          <w:spacing w:val="5"/>
          <w:kern w:val="28"/>
          <w:sz w:val="48"/>
          <w:szCs w:val="48"/>
        </w:rPr>
        <w:t xml:space="preserve">Avanços </w:t>
      </w:r>
      <w:r w:rsidR="00C32330" w:rsidRPr="00046243">
        <w:rPr>
          <w:rFonts w:ascii="Times New Roman" w:eastAsiaTheme="majorEastAsia" w:hAnsi="Times New Roman" w:cs="Times New Roman"/>
          <w:b/>
          <w:spacing w:val="5"/>
          <w:kern w:val="28"/>
          <w:sz w:val="48"/>
          <w:szCs w:val="48"/>
        </w:rPr>
        <w:t>d</w:t>
      </w:r>
      <w:r w:rsidRPr="00046243">
        <w:rPr>
          <w:rFonts w:ascii="Times New Roman" w:eastAsiaTheme="majorEastAsia" w:hAnsi="Times New Roman" w:cs="Times New Roman"/>
          <w:b/>
          <w:spacing w:val="5"/>
          <w:kern w:val="28"/>
          <w:sz w:val="48"/>
          <w:szCs w:val="48"/>
        </w:rPr>
        <w:t>o</w:t>
      </w:r>
      <w:r w:rsidR="00C32330" w:rsidRPr="00046243">
        <w:rPr>
          <w:rFonts w:ascii="Times New Roman" w:eastAsiaTheme="majorEastAsia" w:hAnsi="Times New Roman" w:cs="Times New Roman"/>
          <w:b/>
          <w:spacing w:val="5"/>
          <w:kern w:val="28"/>
          <w:sz w:val="48"/>
          <w:szCs w:val="48"/>
        </w:rPr>
        <w:t xml:space="preserve"> </w:t>
      </w:r>
      <w:r w:rsidRPr="00046243">
        <w:rPr>
          <w:rFonts w:ascii="Times New Roman" w:eastAsiaTheme="majorEastAsia" w:hAnsi="Times New Roman" w:cs="Times New Roman"/>
          <w:b/>
          <w:spacing w:val="5"/>
          <w:kern w:val="28"/>
          <w:sz w:val="48"/>
          <w:szCs w:val="48"/>
        </w:rPr>
        <w:t>Projeto</w:t>
      </w:r>
    </w:p>
    <w:p w:rsidR="00E97E1F" w:rsidRPr="00046243" w:rsidRDefault="00E97E1F" w:rsidP="00E97E1F">
      <w:pPr>
        <w:spacing w:after="0" w:line="240" w:lineRule="auto"/>
        <w:jc w:val="center"/>
        <w:rPr>
          <w:rFonts w:ascii="Times New Roman" w:eastAsiaTheme="majorEastAsia" w:hAnsi="Times New Roman" w:cs="Times New Roman"/>
          <w:b/>
          <w:spacing w:val="5"/>
          <w:kern w:val="28"/>
          <w:sz w:val="48"/>
          <w:szCs w:val="48"/>
        </w:rPr>
      </w:pPr>
    </w:p>
    <w:p w:rsidR="00D861A0" w:rsidRPr="00046243" w:rsidRDefault="00D861A0" w:rsidP="00E97E1F">
      <w:pPr>
        <w:pBdr>
          <w:top w:val="single" w:sz="4" w:space="1" w:color="auto"/>
          <w:left w:val="single" w:sz="4" w:space="4" w:color="auto"/>
          <w:bottom w:val="single" w:sz="4" w:space="1" w:color="auto"/>
          <w:right w:val="single" w:sz="4" w:space="4" w:color="auto"/>
        </w:pBdr>
        <w:tabs>
          <w:tab w:val="left" w:pos="5715"/>
        </w:tabs>
        <w:spacing w:after="240" w:line="240" w:lineRule="auto"/>
        <w:rPr>
          <w:rFonts w:ascii="Times New Roman" w:hAnsi="Times New Roman" w:cs="Times New Roman"/>
          <w:b/>
          <w:bCs/>
          <w:i/>
          <w:iCs/>
          <w:sz w:val="28"/>
          <w:szCs w:val="28"/>
        </w:rPr>
      </w:pPr>
      <w:r w:rsidRPr="00046243">
        <w:rPr>
          <w:rFonts w:ascii="Times New Roman" w:hAnsi="Times New Roman" w:cs="Times New Roman"/>
          <w:b/>
          <w:bCs/>
          <w:i/>
          <w:iCs/>
          <w:sz w:val="28"/>
          <w:szCs w:val="28"/>
        </w:rPr>
        <w:t xml:space="preserve">Equipe original do projeto: </w:t>
      </w:r>
    </w:p>
    <w:p w:rsidR="00D861A0" w:rsidRPr="00046243" w:rsidRDefault="00D861A0" w:rsidP="00E97E1F">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
          <w:bCs/>
          <w:i/>
          <w:iCs/>
          <w:sz w:val="28"/>
          <w:szCs w:val="28"/>
        </w:rPr>
      </w:pPr>
      <w:r w:rsidRPr="00046243">
        <w:rPr>
          <w:rFonts w:ascii="Times New Roman" w:hAnsi="Times New Roman" w:cs="Times New Roman"/>
          <w:color w:val="000000"/>
          <w:sz w:val="28"/>
          <w:szCs w:val="28"/>
        </w:rPr>
        <w:t xml:space="preserve">Luiz Villela (ICF/FMM), Chefe de Equipe; Marcio Cracel (ICF/FMM); </w:t>
      </w:r>
      <w:r w:rsidR="004D7537" w:rsidRPr="00046243">
        <w:rPr>
          <w:rFonts w:ascii="Times New Roman" w:hAnsi="Times New Roman" w:cs="Times New Roman"/>
          <w:color w:val="000000"/>
          <w:sz w:val="28"/>
          <w:szCs w:val="28"/>
        </w:rPr>
        <w:t>Patrícia</w:t>
      </w:r>
      <w:r w:rsidRPr="00046243">
        <w:rPr>
          <w:rFonts w:ascii="Times New Roman" w:hAnsi="Times New Roman" w:cs="Times New Roman"/>
          <w:color w:val="000000"/>
          <w:sz w:val="28"/>
          <w:szCs w:val="28"/>
        </w:rPr>
        <w:t xml:space="preserve"> Bakaj (FMM/CBR); Fátima Cartaxo (FMM/CBR); Bernadete Buchsbaum (LEG/SGO); Eugenio Lira (Consultor); e Cecília Bernedo (ICF/FMM).</w:t>
      </w:r>
    </w:p>
    <w:p w:rsidR="00D861A0" w:rsidRPr="00046243" w:rsidRDefault="00D861A0" w:rsidP="00E97E1F">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b/>
          <w:bCs/>
          <w:i/>
          <w:iCs/>
          <w:sz w:val="28"/>
          <w:szCs w:val="28"/>
        </w:rPr>
      </w:pPr>
      <w:r w:rsidRPr="00046243">
        <w:rPr>
          <w:rFonts w:ascii="Times New Roman" w:hAnsi="Times New Roman" w:cs="Times New Roman"/>
          <w:b/>
          <w:i/>
          <w:sz w:val="28"/>
          <w:szCs w:val="28"/>
        </w:rPr>
        <w:t>Equipe de avaliação dos avanços</w:t>
      </w:r>
      <w:r w:rsidRPr="00046243">
        <w:rPr>
          <w:rFonts w:ascii="Times New Roman" w:hAnsi="Times New Roman" w:cs="Times New Roman"/>
          <w:b/>
          <w:bCs/>
          <w:i/>
          <w:iCs/>
          <w:sz w:val="28"/>
          <w:szCs w:val="28"/>
        </w:rPr>
        <w:t xml:space="preserve">: </w:t>
      </w:r>
    </w:p>
    <w:p w:rsidR="001B0EA8" w:rsidRPr="00046243" w:rsidRDefault="005D4060" w:rsidP="00E97E1F">
      <w:pPr>
        <w:pBdr>
          <w:top w:val="single" w:sz="4" w:space="1" w:color="auto"/>
          <w:left w:val="single" w:sz="4" w:space="4" w:color="auto"/>
          <w:bottom w:val="single" w:sz="4" w:space="1" w:color="auto"/>
          <w:right w:val="single" w:sz="4" w:space="4" w:color="auto"/>
        </w:pBdr>
        <w:tabs>
          <w:tab w:val="left" w:pos="5715"/>
        </w:tabs>
        <w:spacing w:after="240" w:line="240" w:lineRule="auto"/>
        <w:jc w:val="both"/>
        <w:rPr>
          <w:rFonts w:ascii="Times New Roman" w:eastAsiaTheme="majorEastAsia" w:hAnsi="Times New Roman" w:cs="Times New Roman"/>
          <w:spacing w:val="5"/>
          <w:kern w:val="28"/>
          <w:sz w:val="28"/>
          <w:szCs w:val="28"/>
        </w:rPr>
      </w:pPr>
      <w:r w:rsidRPr="00046243">
        <w:rPr>
          <w:rFonts w:ascii="Times New Roman" w:hAnsi="Times New Roman" w:cs="Times New Roman"/>
          <w:sz w:val="28"/>
          <w:szCs w:val="28"/>
        </w:rPr>
        <w:t>Patrícia</w:t>
      </w:r>
      <w:r w:rsidR="004D7537" w:rsidRPr="00046243">
        <w:rPr>
          <w:rFonts w:ascii="Times New Roman" w:hAnsi="Times New Roman" w:cs="Times New Roman"/>
          <w:sz w:val="28"/>
          <w:szCs w:val="28"/>
        </w:rPr>
        <w:t xml:space="preserve"> Bakaj (FMM/CBR), Chefe de Equipe; José Tostes Barreto (FMM/CBR), Louvane Klein (Assistente FMM/CBR), Flávio Galvão e Luciana Pimentel (Consultores</w:t>
      </w:r>
      <w:r w:rsidR="00C86767" w:rsidRPr="00046243">
        <w:rPr>
          <w:rFonts w:ascii="Times New Roman" w:hAnsi="Times New Roman" w:cs="Times New Roman"/>
          <w:sz w:val="28"/>
          <w:szCs w:val="28"/>
        </w:rPr>
        <w:t>).</w:t>
      </w:r>
    </w:p>
    <w:p w:rsidR="00FB3868" w:rsidRPr="000E4FB3" w:rsidRDefault="000E4FB3" w:rsidP="000E4FB3">
      <w:pPr>
        <w:spacing w:after="240" w:line="240" w:lineRule="auto"/>
        <w:jc w:val="center"/>
        <w:rPr>
          <w:rFonts w:ascii="Times New Roman" w:eastAsiaTheme="majorEastAsia" w:hAnsi="Times New Roman" w:cs="Times New Roman"/>
          <w:color w:val="FF0000"/>
          <w:spacing w:val="5"/>
          <w:kern w:val="28"/>
          <w:sz w:val="24"/>
          <w:szCs w:val="24"/>
        </w:rPr>
      </w:pPr>
      <w:r w:rsidRPr="000E4FB3">
        <w:rPr>
          <w:rFonts w:ascii="Times New Roman" w:eastAsiaTheme="majorEastAsia" w:hAnsi="Times New Roman" w:cs="Times New Roman"/>
          <w:color w:val="FF0000"/>
          <w:spacing w:val="5"/>
          <w:kern w:val="28"/>
          <w:sz w:val="24"/>
          <w:szCs w:val="24"/>
        </w:rPr>
        <w:t>vf05Out/2015</w:t>
      </w:r>
    </w:p>
    <w:sdt>
      <w:sdtPr>
        <w:rPr>
          <w:rFonts w:ascii="Times New Roman" w:eastAsiaTheme="minorHAnsi" w:hAnsi="Times New Roman" w:cs="Times New Roman"/>
          <w:b w:val="0"/>
          <w:bCs w:val="0"/>
          <w:color w:val="auto"/>
          <w:sz w:val="24"/>
          <w:szCs w:val="24"/>
          <w:lang w:eastAsia="en-US"/>
        </w:rPr>
        <w:id w:val="-1150281611"/>
        <w:docPartObj>
          <w:docPartGallery w:val="Table of Contents"/>
          <w:docPartUnique/>
        </w:docPartObj>
      </w:sdtPr>
      <w:sdtEndPr>
        <w:rPr>
          <w:rFonts w:eastAsiaTheme="minorEastAsia"/>
          <w:noProof/>
        </w:rPr>
      </w:sdtEndPr>
      <w:sdtContent>
        <w:p w:rsidR="00FB5592" w:rsidRPr="00046243" w:rsidRDefault="00C32330" w:rsidP="009C7A21">
          <w:pPr>
            <w:pStyle w:val="CabealhodoSumrio"/>
            <w:spacing w:after="240" w:line="240" w:lineRule="auto"/>
            <w:rPr>
              <w:rFonts w:ascii="Times New Roman" w:hAnsi="Times New Roman" w:cs="Times New Roman"/>
              <w:sz w:val="24"/>
              <w:szCs w:val="24"/>
            </w:rPr>
          </w:pPr>
          <w:r w:rsidRPr="00046243">
            <w:rPr>
              <w:rFonts w:ascii="Times New Roman" w:hAnsi="Times New Roman" w:cs="Times New Roman"/>
              <w:sz w:val="24"/>
              <w:szCs w:val="24"/>
            </w:rPr>
            <w:t>Índice</w:t>
          </w:r>
        </w:p>
        <w:p w:rsidR="002F65F2" w:rsidRDefault="00C2602F">
          <w:pPr>
            <w:pStyle w:val="Sumrio1"/>
            <w:tabs>
              <w:tab w:val="right" w:leader="dot" w:pos="9350"/>
            </w:tabs>
            <w:rPr>
              <w:noProof/>
              <w:lang w:eastAsia="pt-BR"/>
            </w:rPr>
          </w:pPr>
          <w:r w:rsidRPr="00046243">
            <w:rPr>
              <w:rFonts w:ascii="Times New Roman" w:hAnsi="Times New Roman" w:cs="Times New Roman"/>
              <w:sz w:val="24"/>
              <w:szCs w:val="24"/>
            </w:rPr>
            <w:fldChar w:fldCharType="begin"/>
          </w:r>
          <w:r w:rsidR="00FB5592" w:rsidRPr="00046243">
            <w:rPr>
              <w:rFonts w:ascii="Times New Roman" w:hAnsi="Times New Roman" w:cs="Times New Roman"/>
              <w:sz w:val="24"/>
              <w:szCs w:val="24"/>
            </w:rPr>
            <w:instrText xml:space="preserve"> TOC \o "1-3" \h \z \u </w:instrText>
          </w:r>
          <w:r w:rsidRPr="00046243">
            <w:rPr>
              <w:rFonts w:ascii="Times New Roman" w:hAnsi="Times New Roman" w:cs="Times New Roman"/>
              <w:sz w:val="24"/>
              <w:szCs w:val="24"/>
            </w:rPr>
            <w:fldChar w:fldCharType="separate"/>
          </w:r>
          <w:hyperlink w:anchor="_Toc431190855" w:history="1">
            <w:r w:rsidR="002F65F2" w:rsidRPr="00931949">
              <w:rPr>
                <w:rStyle w:val="Hyperlink"/>
                <w:rFonts w:ascii="Times New Roman" w:hAnsi="Times New Roman" w:cs="Times New Roman"/>
                <w:noProof/>
              </w:rPr>
              <w:t>Siglas e Abreviações</w:t>
            </w:r>
            <w:r w:rsidR="002F65F2">
              <w:rPr>
                <w:noProof/>
                <w:webHidden/>
              </w:rPr>
              <w:tab/>
            </w:r>
            <w:r>
              <w:rPr>
                <w:noProof/>
                <w:webHidden/>
              </w:rPr>
              <w:fldChar w:fldCharType="begin"/>
            </w:r>
            <w:r w:rsidR="002F65F2">
              <w:rPr>
                <w:noProof/>
                <w:webHidden/>
              </w:rPr>
              <w:instrText xml:space="preserve"> PAGEREF _Toc431190855 \h </w:instrText>
            </w:r>
            <w:r>
              <w:rPr>
                <w:noProof/>
                <w:webHidden/>
              </w:rPr>
            </w:r>
            <w:r>
              <w:rPr>
                <w:noProof/>
                <w:webHidden/>
              </w:rPr>
              <w:fldChar w:fldCharType="separate"/>
            </w:r>
            <w:r w:rsidR="003E0A25">
              <w:rPr>
                <w:noProof/>
                <w:webHidden/>
              </w:rPr>
              <w:t>3</w:t>
            </w:r>
            <w:r>
              <w:rPr>
                <w:noProof/>
                <w:webHidden/>
              </w:rPr>
              <w:fldChar w:fldCharType="end"/>
            </w:r>
          </w:hyperlink>
        </w:p>
        <w:p w:rsidR="002F65F2" w:rsidRDefault="006A01F4">
          <w:pPr>
            <w:pStyle w:val="Sumrio1"/>
            <w:tabs>
              <w:tab w:val="right" w:leader="dot" w:pos="9350"/>
            </w:tabs>
            <w:rPr>
              <w:noProof/>
              <w:lang w:eastAsia="pt-BR"/>
            </w:rPr>
          </w:pPr>
          <w:hyperlink w:anchor="_Toc431190856" w:history="1">
            <w:r w:rsidR="002F65F2" w:rsidRPr="00931949">
              <w:rPr>
                <w:rStyle w:val="Hyperlink"/>
                <w:rFonts w:ascii="Times New Roman" w:hAnsi="Times New Roman" w:cs="Times New Roman"/>
                <w:smallCaps/>
                <w:noProof/>
              </w:rPr>
              <w:t>Informação Básica (valores em dólares americanos US$)</w:t>
            </w:r>
            <w:r w:rsidR="002F65F2">
              <w:rPr>
                <w:noProof/>
                <w:webHidden/>
              </w:rPr>
              <w:tab/>
            </w:r>
            <w:r w:rsidR="00C2602F">
              <w:rPr>
                <w:noProof/>
                <w:webHidden/>
              </w:rPr>
              <w:fldChar w:fldCharType="begin"/>
            </w:r>
            <w:r w:rsidR="002F65F2">
              <w:rPr>
                <w:noProof/>
                <w:webHidden/>
              </w:rPr>
              <w:instrText xml:space="preserve"> PAGEREF _Toc431190856 \h </w:instrText>
            </w:r>
            <w:r w:rsidR="00C2602F">
              <w:rPr>
                <w:noProof/>
                <w:webHidden/>
              </w:rPr>
            </w:r>
            <w:r w:rsidR="00C2602F">
              <w:rPr>
                <w:noProof/>
                <w:webHidden/>
              </w:rPr>
              <w:fldChar w:fldCharType="separate"/>
            </w:r>
            <w:r w:rsidR="003E0A25">
              <w:rPr>
                <w:noProof/>
                <w:webHidden/>
              </w:rPr>
              <w:t>6</w:t>
            </w:r>
            <w:r w:rsidR="00C2602F">
              <w:rPr>
                <w:noProof/>
                <w:webHidden/>
              </w:rPr>
              <w:fldChar w:fldCharType="end"/>
            </w:r>
          </w:hyperlink>
        </w:p>
        <w:p w:rsidR="002F65F2" w:rsidRDefault="006A01F4">
          <w:pPr>
            <w:pStyle w:val="Sumrio1"/>
            <w:tabs>
              <w:tab w:val="left" w:pos="440"/>
              <w:tab w:val="right" w:leader="dot" w:pos="9350"/>
            </w:tabs>
            <w:rPr>
              <w:noProof/>
              <w:lang w:eastAsia="pt-BR"/>
            </w:rPr>
          </w:pPr>
          <w:hyperlink w:anchor="_Toc431190857" w:history="1">
            <w:r w:rsidR="002F65F2" w:rsidRPr="00931949">
              <w:rPr>
                <w:rStyle w:val="Hyperlink"/>
                <w:rFonts w:ascii="Times New Roman" w:hAnsi="Times New Roman" w:cs="Times New Roman"/>
                <w:noProof/>
                <w:lang w:val="es-MX"/>
              </w:rPr>
              <w:t>I.</w:t>
            </w:r>
            <w:r w:rsidR="002F65F2">
              <w:rPr>
                <w:noProof/>
                <w:lang w:eastAsia="pt-BR"/>
              </w:rPr>
              <w:tab/>
            </w:r>
            <w:r w:rsidR="002F65F2" w:rsidRPr="00931949">
              <w:rPr>
                <w:rStyle w:val="Hyperlink"/>
                <w:rFonts w:ascii="Times New Roman" w:hAnsi="Times New Roman" w:cs="Times New Roman"/>
                <w:noProof/>
              </w:rPr>
              <w:t>Introdução</w:t>
            </w:r>
            <w:r w:rsidR="002F65F2">
              <w:rPr>
                <w:noProof/>
                <w:webHidden/>
              </w:rPr>
              <w:tab/>
            </w:r>
            <w:r w:rsidR="00C2602F">
              <w:rPr>
                <w:noProof/>
                <w:webHidden/>
              </w:rPr>
              <w:fldChar w:fldCharType="begin"/>
            </w:r>
            <w:r w:rsidR="002F65F2">
              <w:rPr>
                <w:noProof/>
                <w:webHidden/>
              </w:rPr>
              <w:instrText xml:space="preserve"> PAGEREF _Toc431190857 \h </w:instrText>
            </w:r>
            <w:r w:rsidR="00C2602F">
              <w:rPr>
                <w:noProof/>
                <w:webHidden/>
              </w:rPr>
            </w:r>
            <w:r w:rsidR="00C2602F">
              <w:rPr>
                <w:noProof/>
                <w:webHidden/>
              </w:rPr>
              <w:fldChar w:fldCharType="separate"/>
            </w:r>
            <w:r w:rsidR="003E0A25">
              <w:rPr>
                <w:noProof/>
                <w:webHidden/>
              </w:rPr>
              <w:t>7</w:t>
            </w:r>
            <w:r w:rsidR="00C2602F">
              <w:rPr>
                <w:noProof/>
                <w:webHidden/>
              </w:rPr>
              <w:fldChar w:fldCharType="end"/>
            </w:r>
          </w:hyperlink>
        </w:p>
        <w:p w:rsidR="002F65F2" w:rsidRDefault="006A01F4">
          <w:pPr>
            <w:pStyle w:val="Sumrio1"/>
            <w:tabs>
              <w:tab w:val="left" w:pos="440"/>
              <w:tab w:val="right" w:leader="dot" w:pos="9350"/>
            </w:tabs>
            <w:rPr>
              <w:noProof/>
              <w:lang w:eastAsia="pt-BR"/>
            </w:rPr>
          </w:pPr>
          <w:hyperlink w:anchor="_Toc431190858" w:history="1">
            <w:r w:rsidR="002F65F2" w:rsidRPr="00931949">
              <w:rPr>
                <w:rStyle w:val="Hyperlink"/>
                <w:rFonts w:ascii="Times New Roman" w:hAnsi="Times New Roman" w:cs="Times New Roman"/>
                <w:noProof/>
                <w:lang w:val="es-MX"/>
              </w:rPr>
              <w:t>II.</w:t>
            </w:r>
            <w:r w:rsidR="002F65F2">
              <w:rPr>
                <w:noProof/>
                <w:lang w:eastAsia="pt-BR"/>
              </w:rPr>
              <w:tab/>
            </w:r>
            <w:r w:rsidR="002F65F2" w:rsidRPr="00931949">
              <w:rPr>
                <w:rStyle w:val="Hyperlink"/>
                <w:rFonts w:ascii="Times New Roman" w:hAnsi="Times New Roman" w:cs="Times New Roman"/>
                <w:noProof/>
              </w:rPr>
              <w:t>Desempenho do projeto</w:t>
            </w:r>
            <w:r w:rsidR="002F65F2">
              <w:rPr>
                <w:noProof/>
                <w:webHidden/>
              </w:rPr>
              <w:tab/>
            </w:r>
            <w:r w:rsidR="00C2602F">
              <w:rPr>
                <w:noProof/>
                <w:webHidden/>
              </w:rPr>
              <w:fldChar w:fldCharType="begin"/>
            </w:r>
            <w:r w:rsidR="002F65F2">
              <w:rPr>
                <w:noProof/>
                <w:webHidden/>
              </w:rPr>
              <w:instrText xml:space="preserve"> PAGEREF _Toc431190858 \h </w:instrText>
            </w:r>
            <w:r w:rsidR="00C2602F">
              <w:rPr>
                <w:noProof/>
                <w:webHidden/>
              </w:rPr>
            </w:r>
            <w:r w:rsidR="00C2602F">
              <w:rPr>
                <w:noProof/>
                <w:webHidden/>
              </w:rPr>
              <w:fldChar w:fldCharType="separate"/>
            </w:r>
            <w:r w:rsidR="003E0A25">
              <w:rPr>
                <w:noProof/>
                <w:webHidden/>
              </w:rPr>
              <w:t>10</w:t>
            </w:r>
            <w:r w:rsidR="00C2602F">
              <w:rPr>
                <w:noProof/>
                <w:webHidden/>
              </w:rPr>
              <w:fldChar w:fldCharType="end"/>
            </w:r>
          </w:hyperlink>
        </w:p>
        <w:p w:rsidR="002F65F2" w:rsidRDefault="006A01F4">
          <w:pPr>
            <w:pStyle w:val="Sumrio2"/>
            <w:tabs>
              <w:tab w:val="left" w:pos="880"/>
              <w:tab w:val="right" w:leader="dot" w:pos="9350"/>
            </w:tabs>
            <w:rPr>
              <w:noProof/>
              <w:lang w:eastAsia="pt-BR"/>
            </w:rPr>
          </w:pPr>
          <w:hyperlink w:anchor="_Toc431190859" w:history="1">
            <w:r w:rsidR="002F65F2" w:rsidRPr="00931949">
              <w:rPr>
                <w:rStyle w:val="Hyperlink"/>
                <w:rFonts w:ascii="Times New Roman" w:hAnsi="Times New Roman" w:cs="Times New Roman"/>
                <w:noProof/>
              </w:rPr>
              <w:t>2.1</w:t>
            </w:r>
            <w:r w:rsidR="002F65F2">
              <w:rPr>
                <w:noProof/>
                <w:lang w:eastAsia="pt-BR"/>
              </w:rPr>
              <w:tab/>
            </w:r>
            <w:r w:rsidR="002F65F2" w:rsidRPr="00931949">
              <w:rPr>
                <w:rStyle w:val="Hyperlink"/>
                <w:rFonts w:ascii="Times New Roman" w:hAnsi="Times New Roman" w:cs="Times New Roman"/>
                <w:noProof/>
              </w:rPr>
              <w:t>Efetividade</w:t>
            </w:r>
            <w:r w:rsidR="002F65F2">
              <w:rPr>
                <w:noProof/>
                <w:webHidden/>
              </w:rPr>
              <w:tab/>
            </w:r>
            <w:r w:rsidR="00C2602F">
              <w:rPr>
                <w:noProof/>
                <w:webHidden/>
              </w:rPr>
              <w:fldChar w:fldCharType="begin"/>
            </w:r>
            <w:r w:rsidR="002F65F2">
              <w:rPr>
                <w:noProof/>
                <w:webHidden/>
              </w:rPr>
              <w:instrText xml:space="preserve"> PAGEREF _Toc431190859 \h </w:instrText>
            </w:r>
            <w:r w:rsidR="00C2602F">
              <w:rPr>
                <w:noProof/>
                <w:webHidden/>
              </w:rPr>
            </w:r>
            <w:r w:rsidR="00C2602F">
              <w:rPr>
                <w:noProof/>
                <w:webHidden/>
              </w:rPr>
              <w:fldChar w:fldCharType="separate"/>
            </w:r>
            <w:r w:rsidR="003E0A25">
              <w:rPr>
                <w:noProof/>
                <w:webHidden/>
              </w:rPr>
              <w:t>10</w:t>
            </w:r>
            <w:r w:rsidR="00C2602F">
              <w:rPr>
                <w:noProof/>
                <w:webHidden/>
              </w:rPr>
              <w:fldChar w:fldCharType="end"/>
            </w:r>
          </w:hyperlink>
        </w:p>
        <w:p w:rsidR="002F65F2" w:rsidRDefault="006A01F4">
          <w:pPr>
            <w:pStyle w:val="Sumrio3"/>
            <w:tabs>
              <w:tab w:val="right" w:leader="dot" w:pos="9350"/>
            </w:tabs>
            <w:rPr>
              <w:noProof/>
              <w:lang w:eastAsia="pt-BR"/>
            </w:rPr>
          </w:pPr>
          <w:hyperlink w:anchor="_Toc431190860" w:history="1">
            <w:r w:rsidR="002F65F2" w:rsidRPr="00931949">
              <w:rPr>
                <w:rStyle w:val="Hyperlink"/>
                <w:rFonts w:ascii="Times New Roman" w:hAnsi="Times New Roman" w:cs="Times New Roman"/>
                <w:noProof/>
              </w:rPr>
              <w:t>a. Análise da Lógica Vertical</w:t>
            </w:r>
            <w:r w:rsidR="002F65F2">
              <w:rPr>
                <w:noProof/>
                <w:webHidden/>
              </w:rPr>
              <w:tab/>
            </w:r>
            <w:r w:rsidR="00C2602F">
              <w:rPr>
                <w:noProof/>
                <w:webHidden/>
              </w:rPr>
              <w:fldChar w:fldCharType="begin"/>
            </w:r>
            <w:r w:rsidR="002F65F2">
              <w:rPr>
                <w:noProof/>
                <w:webHidden/>
              </w:rPr>
              <w:instrText xml:space="preserve"> PAGEREF _Toc431190860 \h </w:instrText>
            </w:r>
            <w:r w:rsidR="00C2602F">
              <w:rPr>
                <w:noProof/>
                <w:webHidden/>
              </w:rPr>
            </w:r>
            <w:r w:rsidR="00C2602F">
              <w:rPr>
                <w:noProof/>
                <w:webHidden/>
              </w:rPr>
              <w:fldChar w:fldCharType="separate"/>
            </w:r>
            <w:r w:rsidR="003E0A25">
              <w:rPr>
                <w:noProof/>
                <w:webHidden/>
              </w:rPr>
              <w:t>10</w:t>
            </w:r>
            <w:r w:rsidR="00C2602F">
              <w:rPr>
                <w:noProof/>
                <w:webHidden/>
              </w:rPr>
              <w:fldChar w:fldCharType="end"/>
            </w:r>
          </w:hyperlink>
        </w:p>
        <w:p w:rsidR="002F65F2" w:rsidRDefault="006A01F4">
          <w:pPr>
            <w:pStyle w:val="Sumrio3"/>
            <w:tabs>
              <w:tab w:val="right" w:leader="dot" w:pos="9350"/>
            </w:tabs>
            <w:rPr>
              <w:noProof/>
              <w:lang w:eastAsia="pt-BR"/>
            </w:rPr>
          </w:pPr>
          <w:hyperlink w:anchor="_Toc431190861" w:history="1">
            <w:r w:rsidR="002F65F2" w:rsidRPr="00931949">
              <w:rPr>
                <w:rStyle w:val="Hyperlink"/>
                <w:rFonts w:ascii="Times New Roman" w:hAnsi="Times New Roman" w:cs="Times New Roman"/>
                <w:noProof/>
              </w:rPr>
              <w:t>b. Resultados alcançados</w:t>
            </w:r>
            <w:r w:rsidR="002F65F2">
              <w:rPr>
                <w:noProof/>
                <w:webHidden/>
              </w:rPr>
              <w:tab/>
            </w:r>
            <w:r w:rsidR="00C2602F">
              <w:rPr>
                <w:noProof/>
                <w:webHidden/>
              </w:rPr>
              <w:fldChar w:fldCharType="begin"/>
            </w:r>
            <w:r w:rsidR="002F65F2">
              <w:rPr>
                <w:noProof/>
                <w:webHidden/>
              </w:rPr>
              <w:instrText xml:space="preserve"> PAGEREF _Toc431190861 \h </w:instrText>
            </w:r>
            <w:r w:rsidR="00C2602F">
              <w:rPr>
                <w:noProof/>
                <w:webHidden/>
              </w:rPr>
            </w:r>
            <w:r w:rsidR="00C2602F">
              <w:rPr>
                <w:noProof/>
                <w:webHidden/>
              </w:rPr>
              <w:fldChar w:fldCharType="separate"/>
            </w:r>
            <w:r w:rsidR="003E0A25">
              <w:rPr>
                <w:noProof/>
                <w:webHidden/>
              </w:rPr>
              <w:t>15</w:t>
            </w:r>
            <w:r w:rsidR="00C2602F">
              <w:rPr>
                <w:noProof/>
                <w:webHidden/>
              </w:rPr>
              <w:fldChar w:fldCharType="end"/>
            </w:r>
          </w:hyperlink>
        </w:p>
        <w:p w:rsidR="002F65F2" w:rsidRDefault="006A01F4">
          <w:pPr>
            <w:pStyle w:val="Sumrio3"/>
            <w:tabs>
              <w:tab w:val="right" w:leader="dot" w:pos="9350"/>
            </w:tabs>
            <w:rPr>
              <w:noProof/>
              <w:lang w:eastAsia="pt-BR"/>
            </w:rPr>
          </w:pPr>
          <w:hyperlink w:anchor="_Toc431190862" w:history="1">
            <w:r w:rsidR="002F65F2" w:rsidRPr="00931949">
              <w:rPr>
                <w:rStyle w:val="Hyperlink"/>
                <w:rFonts w:ascii="Times New Roman" w:hAnsi="Times New Roman" w:cs="Times New Roman"/>
                <w:noProof/>
              </w:rPr>
              <w:t>c. Situação dos produtos emblemáticos</w:t>
            </w:r>
            <w:r w:rsidR="002F65F2">
              <w:rPr>
                <w:noProof/>
                <w:webHidden/>
              </w:rPr>
              <w:tab/>
            </w:r>
            <w:r w:rsidR="00C2602F">
              <w:rPr>
                <w:noProof/>
                <w:webHidden/>
              </w:rPr>
              <w:fldChar w:fldCharType="begin"/>
            </w:r>
            <w:r w:rsidR="002F65F2">
              <w:rPr>
                <w:noProof/>
                <w:webHidden/>
              </w:rPr>
              <w:instrText xml:space="preserve"> PAGEREF _Toc431190862 \h </w:instrText>
            </w:r>
            <w:r w:rsidR="00C2602F">
              <w:rPr>
                <w:noProof/>
                <w:webHidden/>
              </w:rPr>
            </w:r>
            <w:r w:rsidR="00C2602F">
              <w:rPr>
                <w:noProof/>
                <w:webHidden/>
              </w:rPr>
              <w:fldChar w:fldCharType="separate"/>
            </w:r>
            <w:r w:rsidR="003E0A25">
              <w:rPr>
                <w:noProof/>
                <w:webHidden/>
              </w:rPr>
              <w:t>35</w:t>
            </w:r>
            <w:r w:rsidR="00C2602F">
              <w:rPr>
                <w:noProof/>
                <w:webHidden/>
              </w:rPr>
              <w:fldChar w:fldCharType="end"/>
            </w:r>
          </w:hyperlink>
        </w:p>
        <w:p w:rsidR="002F65F2" w:rsidRDefault="006A01F4">
          <w:pPr>
            <w:pStyle w:val="Sumrio3"/>
            <w:tabs>
              <w:tab w:val="right" w:leader="dot" w:pos="9350"/>
            </w:tabs>
            <w:rPr>
              <w:noProof/>
              <w:lang w:eastAsia="pt-BR"/>
            </w:rPr>
          </w:pPr>
          <w:hyperlink w:anchor="_Toc431190863" w:history="1">
            <w:r w:rsidR="002F65F2" w:rsidRPr="00931949">
              <w:rPr>
                <w:rStyle w:val="Hyperlink"/>
                <w:rFonts w:ascii="Times New Roman" w:hAnsi="Times New Roman" w:cs="Times New Roman"/>
                <w:noProof/>
              </w:rPr>
              <w:t>d. Contribuição do PROGEFAZ para os Resultados do PROFISCO</w:t>
            </w:r>
            <w:r w:rsidR="002F65F2">
              <w:rPr>
                <w:noProof/>
                <w:webHidden/>
              </w:rPr>
              <w:tab/>
            </w:r>
            <w:r w:rsidR="00C2602F">
              <w:rPr>
                <w:noProof/>
                <w:webHidden/>
              </w:rPr>
              <w:fldChar w:fldCharType="begin"/>
            </w:r>
            <w:r w:rsidR="002F65F2">
              <w:rPr>
                <w:noProof/>
                <w:webHidden/>
              </w:rPr>
              <w:instrText xml:space="preserve"> PAGEREF _Toc431190863 \h </w:instrText>
            </w:r>
            <w:r w:rsidR="00C2602F">
              <w:rPr>
                <w:noProof/>
                <w:webHidden/>
              </w:rPr>
            </w:r>
            <w:r w:rsidR="00C2602F">
              <w:rPr>
                <w:noProof/>
                <w:webHidden/>
              </w:rPr>
              <w:fldChar w:fldCharType="separate"/>
            </w:r>
            <w:r w:rsidR="003E0A25">
              <w:rPr>
                <w:noProof/>
                <w:webHidden/>
              </w:rPr>
              <w:t>35</w:t>
            </w:r>
            <w:r w:rsidR="00C2602F">
              <w:rPr>
                <w:noProof/>
                <w:webHidden/>
              </w:rPr>
              <w:fldChar w:fldCharType="end"/>
            </w:r>
          </w:hyperlink>
        </w:p>
        <w:p w:rsidR="002F65F2" w:rsidRDefault="006A01F4">
          <w:pPr>
            <w:pStyle w:val="Sumrio3"/>
            <w:tabs>
              <w:tab w:val="right" w:leader="dot" w:pos="9350"/>
            </w:tabs>
            <w:rPr>
              <w:noProof/>
              <w:lang w:eastAsia="pt-BR"/>
            </w:rPr>
          </w:pPr>
          <w:hyperlink w:anchor="_Toc431190864" w:history="1">
            <w:r w:rsidR="002F65F2" w:rsidRPr="00931949">
              <w:rPr>
                <w:rStyle w:val="Hyperlink"/>
                <w:rFonts w:ascii="Times New Roman" w:hAnsi="Times New Roman" w:cs="Times New Roman"/>
                <w:noProof/>
              </w:rPr>
              <w:t>e. Resultados Imprevistos</w:t>
            </w:r>
            <w:r w:rsidR="002F65F2">
              <w:rPr>
                <w:noProof/>
                <w:webHidden/>
              </w:rPr>
              <w:tab/>
            </w:r>
            <w:r w:rsidR="00C2602F">
              <w:rPr>
                <w:noProof/>
                <w:webHidden/>
              </w:rPr>
              <w:fldChar w:fldCharType="begin"/>
            </w:r>
            <w:r w:rsidR="002F65F2">
              <w:rPr>
                <w:noProof/>
                <w:webHidden/>
              </w:rPr>
              <w:instrText xml:space="preserve"> PAGEREF _Toc431190864 \h </w:instrText>
            </w:r>
            <w:r w:rsidR="00C2602F">
              <w:rPr>
                <w:noProof/>
                <w:webHidden/>
              </w:rPr>
            </w:r>
            <w:r w:rsidR="00C2602F">
              <w:rPr>
                <w:noProof/>
                <w:webHidden/>
              </w:rPr>
              <w:fldChar w:fldCharType="separate"/>
            </w:r>
            <w:r w:rsidR="003E0A25">
              <w:rPr>
                <w:noProof/>
                <w:webHidden/>
              </w:rPr>
              <w:t>36</w:t>
            </w:r>
            <w:r w:rsidR="00C2602F">
              <w:rPr>
                <w:noProof/>
                <w:webHidden/>
              </w:rPr>
              <w:fldChar w:fldCharType="end"/>
            </w:r>
          </w:hyperlink>
        </w:p>
        <w:p w:rsidR="002F65F2" w:rsidRDefault="006A01F4">
          <w:pPr>
            <w:pStyle w:val="Sumrio2"/>
            <w:tabs>
              <w:tab w:val="left" w:pos="880"/>
              <w:tab w:val="right" w:leader="dot" w:pos="9350"/>
            </w:tabs>
            <w:rPr>
              <w:noProof/>
              <w:lang w:eastAsia="pt-BR"/>
            </w:rPr>
          </w:pPr>
          <w:hyperlink w:anchor="_Toc431190865" w:history="1">
            <w:r w:rsidR="002F65F2" w:rsidRPr="00931949">
              <w:rPr>
                <w:rStyle w:val="Hyperlink"/>
                <w:rFonts w:ascii="Times New Roman" w:hAnsi="Times New Roman" w:cs="Times New Roman"/>
                <w:noProof/>
              </w:rPr>
              <w:t>2.2</w:t>
            </w:r>
            <w:r w:rsidR="002F65F2">
              <w:rPr>
                <w:noProof/>
                <w:lang w:eastAsia="pt-BR"/>
              </w:rPr>
              <w:tab/>
            </w:r>
            <w:r w:rsidR="002F65F2" w:rsidRPr="00931949">
              <w:rPr>
                <w:rStyle w:val="Hyperlink"/>
                <w:rFonts w:ascii="Times New Roman" w:hAnsi="Times New Roman" w:cs="Times New Roman"/>
                <w:noProof/>
              </w:rPr>
              <w:t>Eficiência</w:t>
            </w:r>
            <w:r w:rsidR="002F65F2">
              <w:rPr>
                <w:noProof/>
                <w:webHidden/>
              </w:rPr>
              <w:tab/>
            </w:r>
            <w:r w:rsidR="00C2602F">
              <w:rPr>
                <w:noProof/>
                <w:webHidden/>
              </w:rPr>
              <w:fldChar w:fldCharType="begin"/>
            </w:r>
            <w:r w:rsidR="002F65F2">
              <w:rPr>
                <w:noProof/>
                <w:webHidden/>
              </w:rPr>
              <w:instrText xml:space="preserve"> PAGEREF _Toc431190865 \h </w:instrText>
            </w:r>
            <w:r w:rsidR="00C2602F">
              <w:rPr>
                <w:noProof/>
                <w:webHidden/>
              </w:rPr>
            </w:r>
            <w:r w:rsidR="00C2602F">
              <w:rPr>
                <w:noProof/>
                <w:webHidden/>
              </w:rPr>
              <w:fldChar w:fldCharType="separate"/>
            </w:r>
            <w:r w:rsidR="003E0A25">
              <w:rPr>
                <w:noProof/>
                <w:webHidden/>
              </w:rPr>
              <w:t>36</w:t>
            </w:r>
            <w:r w:rsidR="00C2602F">
              <w:rPr>
                <w:noProof/>
                <w:webHidden/>
              </w:rPr>
              <w:fldChar w:fldCharType="end"/>
            </w:r>
          </w:hyperlink>
        </w:p>
        <w:p w:rsidR="002F65F2" w:rsidRDefault="006A01F4">
          <w:pPr>
            <w:pStyle w:val="Sumrio2"/>
            <w:tabs>
              <w:tab w:val="left" w:pos="880"/>
              <w:tab w:val="right" w:leader="dot" w:pos="9350"/>
            </w:tabs>
            <w:rPr>
              <w:noProof/>
              <w:lang w:eastAsia="pt-BR"/>
            </w:rPr>
          </w:pPr>
          <w:hyperlink w:anchor="_Toc431190866" w:history="1">
            <w:r w:rsidR="002F65F2" w:rsidRPr="00931949">
              <w:rPr>
                <w:rStyle w:val="Hyperlink"/>
                <w:rFonts w:ascii="Times New Roman" w:hAnsi="Times New Roman" w:cs="Times New Roman"/>
                <w:noProof/>
              </w:rPr>
              <w:t>2.3</w:t>
            </w:r>
            <w:r w:rsidR="002F65F2">
              <w:rPr>
                <w:noProof/>
                <w:lang w:eastAsia="pt-BR"/>
              </w:rPr>
              <w:tab/>
            </w:r>
            <w:r w:rsidR="002F65F2" w:rsidRPr="00931949">
              <w:rPr>
                <w:rStyle w:val="Hyperlink"/>
                <w:rFonts w:ascii="Times New Roman" w:hAnsi="Times New Roman" w:cs="Times New Roman"/>
                <w:noProof/>
              </w:rPr>
              <w:t>Situação dos desembolsos do Projeto</w:t>
            </w:r>
            <w:r w:rsidR="002F65F2">
              <w:rPr>
                <w:noProof/>
                <w:webHidden/>
              </w:rPr>
              <w:tab/>
            </w:r>
            <w:r w:rsidR="00C2602F">
              <w:rPr>
                <w:noProof/>
                <w:webHidden/>
              </w:rPr>
              <w:fldChar w:fldCharType="begin"/>
            </w:r>
            <w:r w:rsidR="002F65F2">
              <w:rPr>
                <w:noProof/>
                <w:webHidden/>
              </w:rPr>
              <w:instrText xml:space="preserve"> PAGEREF _Toc431190866 \h </w:instrText>
            </w:r>
            <w:r w:rsidR="00C2602F">
              <w:rPr>
                <w:noProof/>
                <w:webHidden/>
              </w:rPr>
            </w:r>
            <w:r w:rsidR="00C2602F">
              <w:rPr>
                <w:noProof/>
                <w:webHidden/>
              </w:rPr>
              <w:fldChar w:fldCharType="separate"/>
            </w:r>
            <w:r w:rsidR="003E0A25">
              <w:rPr>
                <w:noProof/>
                <w:webHidden/>
              </w:rPr>
              <w:t>38</w:t>
            </w:r>
            <w:r w:rsidR="00C2602F">
              <w:rPr>
                <w:noProof/>
                <w:webHidden/>
              </w:rPr>
              <w:fldChar w:fldCharType="end"/>
            </w:r>
          </w:hyperlink>
        </w:p>
        <w:p w:rsidR="002F65F2" w:rsidRDefault="006A01F4">
          <w:pPr>
            <w:pStyle w:val="Sumrio2"/>
            <w:tabs>
              <w:tab w:val="left" w:pos="880"/>
              <w:tab w:val="right" w:leader="dot" w:pos="9350"/>
            </w:tabs>
            <w:rPr>
              <w:noProof/>
              <w:lang w:eastAsia="pt-BR"/>
            </w:rPr>
          </w:pPr>
          <w:hyperlink w:anchor="_Toc431190867" w:history="1">
            <w:r w:rsidR="002F65F2" w:rsidRPr="00931949">
              <w:rPr>
                <w:rStyle w:val="Hyperlink"/>
                <w:rFonts w:ascii="Times New Roman" w:hAnsi="Times New Roman" w:cs="Times New Roman"/>
                <w:noProof/>
              </w:rPr>
              <w:t>2.4</w:t>
            </w:r>
            <w:r w:rsidR="002F65F2">
              <w:rPr>
                <w:noProof/>
                <w:lang w:eastAsia="pt-BR"/>
              </w:rPr>
              <w:tab/>
            </w:r>
            <w:r w:rsidR="002F65F2" w:rsidRPr="00931949">
              <w:rPr>
                <w:rStyle w:val="Hyperlink"/>
                <w:rFonts w:ascii="Times New Roman" w:hAnsi="Times New Roman" w:cs="Times New Roman"/>
                <w:noProof/>
              </w:rPr>
              <w:t>Relevância</w:t>
            </w:r>
            <w:r w:rsidR="002F65F2">
              <w:rPr>
                <w:noProof/>
                <w:webHidden/>
              </w:rPr>
              <w:tab/>
            </w:r>
            <w:r w:rsidR="00C2602F">
              <w:rPr>
                <w:noProof/>
                <w:webHidden/>
              </w:rPr>
              <w:fldChar w:fldCharType="begin"/>
            </w:r>
            <w:r w:rsidR="002F65F2">
              <w:rPr>
                <w:noProof/>
                <w:webHidden/>
              </w:rPr>
              <w:instrText xml:space="preserve"> PAGEREF _Toc431190867 \h </w:instrText>
            </w:r>
            <w:r w:rsidR="00C2602F">
              <w:rPr>
                <w:noProof/>
                <w:webHidden/>
              </w:rPr>
            </w:r>
            <w:r w:rsidR="00C2602F">
              <w:rPr>
                <w:noProof/>
                <w:webHidden/>
              </w:rPr>
              <w:fldChar w:fldCharType="separate"/>
            </w:r>
            <w:r w:rsidR="003E0A25">
              <w:rPr>
                <w:noProof/>
                <w:webHidden/>
              </w:rPr>
              <w:t>40</w:t>
            </w:r>
            <w:r w:rsidR="00C2602F">
              <w:rPr>
                <w:noProof/>
                <w:webHidden/>
              </w:rPr>
              <w:fldChar w:fldCharType="end"/>
            </w:r>
          </w:hyperlink>
        </w:p>
        <w:p w:rsidR="002F65F2" w:rsidRDefault="006A01F4">
          <w:pPr>
            <w:pStyle w:val="Sumrio2"/>
            <w:tabs>
              <w:tab w:val="left" w:pos="880"/>
              <w:tab w:val="right" w:leader="dot" w:pos="9350"/>
            </w:tabs>
            <w:rPr>
              <w:noProof/>
              <w:lang w:eastAsia="pt-BR"/>
            </w:rPr>
          </w:pPr>
          <w:hyperlink w:anchor="_Toc431190868" w:history="1">
            <w:r w:rsidR="002F65F2" w:rsidRPr="00931949">
              <w:rPr>
                <w:rStyle w:val="Hyperlink"/>
                <w:rFonts w:ascii="Times New Roman" w:hAnsi="Times New Roman" w:cs="Times New Roman"/>
                <w:noProof/>
              </w:rPr>
              <w:t>2.5</w:t>
            </w:r>
            <w:r w:rsidR="002F65F2">
              <w:rPr>
                <w:noProof/>
                <w:lang w:eastAsia="pt-BR"/>
              </w:rPr>
              <w:tab/>
            </w:r>
            <w:r w:rsidR="002F65F2" w:rsidRPr="00931949">
              <w:rPr>
                <w:rStyle w:val="Hyperlink"/>
                <w:rFonts w:ascii="Times New Roman" w:hAnsi="Times New Roman" w:cs="Times New Roman"/>
                <w:noProof/>
              </w:rPr>
              <w:t>Sustentabilidade</w:t>
            </w:r>
            <w:r w:rsidR="002F65F2">
              <w:rPr>
                <w:noProof/>
                <w:webHidden/>
              </w:rPr>
              <w:tab/>
            </w:r>
            <w:r w:rsidR="00C2602F">
              <w:rPr>
                <w:noProof/>
                <w:webHidden/>
              </w:rPr>
              <w:fldChar w:fldCharType="begin"/>
            </w:r>
            <w:r w:rsidR="002F65F2">
              <w:rPr>
                <w:noProof/>
                <w:webHidden/>
              </w:rPr>
              <w:instrText xml:space="preserve"> PAGEREF _Toc431190868 \h </w:instrText>
            </w:r>
            <w:r w:rsidR="00C2602F">
              <w:rPr>
                <w:noProof/>
                <w:webHidden/>
              </w:rPr>
            </w:r>
            <w:r w:rsidR="00C2602F">
              <w:rPr>
                <w:noProof/>
                <w:webHidden/>
              </w:rPr>
              <w:fldChar w:fldCharType="separate"/>
            </w:r>
            <w:r w:rsidR="003E0A25">
              <w:rPr>
                <w:noProof/>
                <w:webHidden/>
              </w:rPr>
              <w:t>40</w:t>
            </w:r>
            <w:r w:rsidR="00C2602F">
              <w:rPr>
                <w:noProof/>
                <w:webHidden/>
              </w:rPr>
              <w:fldChar w:fldCharType="end"/>
            </w:r>
          </w:hyperlink>
        </w:p>
        <w:p w:rsidR="002F65F2" w:rsidRDefault="006A01F4">
          <w:pPr>
            <w:pStyle w:val="Sumrio1"/>
            <w:tabs>
              <w:tab w:val="left" w:pos="660"/>
              <w:tab w:val="right" w:leader="dot" w:pos="9350"/>
            </w:tabs>
            <w:rPr>
              <w:noProof/>
              <w:lang w:eastAsia="pt-BR"/>
            </w:rPr>
          </w:pPr>
          <w:hyperlink w:anchor="_Toc431190869" w:history="1">
            <w:r w:rsidR="002F65F2" w:rsidRPr="00931949">
              <w:rPr>
                <w:rStyle w:val="Hyperlink"/>
                <w:rFonts w:ascii="Times New Roman" w:hAnsi="Times New Roman" w:cs="Times New Roman"/>
                <w:noProof/>
                <w:lang w:val="es-MX"/>
              </w:rPr>
              <w:t>III.</w:t>
            </w:r>
            <w:r w:rsidR="002F65F2">
              <w:rPr>
                <w:noProof/>
                <w:lang w:eastAsia="pt-BR"/>
              </w:rPr>
              <w:tab/>
            </w:r>
            <w:r w:rsidR="002F65F2" w:rsidRPr="00931949">
              <w:rPr>
                <w:rStyle w:val="Hyperlink"/>
                <w:rFonts w:ascii="Times New Roman" w:hAnsi="Times New Roman" w:cs="Times New Roman"/>
                <w:noProof/>
              </w:rPr>
              <w:t>Critérios não centrais</w:t>
            </w:r>
            <w:r w:rsidR="002F65F2">
              <w:rPr>
                <w:noProof/>
                <w:webHidden/>
              </w:rPr>
              <w:tab/>
            </w:r>
            <w:r w:rsidR="00C2602F">
              <w:rPr>
                <w:noProof/>
                <w:webHidden/>
              </w:rPr>
              <w:fldChar w:fldCharType="begin"/>
            </w:r>
            <w:r w:rsidR="002F65F2">
              <w:rPr>
                <w:noProof/>
                <w:webHidden/>
              </w:rPr>
              <w:instrText xml:space="preserve"> PAGEREF _Toc431190869 \h </w:instrText>
            </w:r>
            <w:r w:rsidR="00C2602F">
              <w:rPr>
                <w:noProof/>
                <w:webHidden/>
              </w:rPr>
            </w:r>
            <w:r w:rsidR="00C2602F">
              <w:rPr>
                <w:noProof/>
                <w:webHidden/>
              </w:rPr>
              <w:fldChar w:fldCharType="separate"/>
            </w:r>
            <w:r w:rsidR="003E0A25">
              <w:rPr>
                <w:noProof/>
                <w:webHidden/>
              </w:rPr>
              <w:t>42</w:t>
            </w:r>
            <w:r w:rsidR="00C2602F">
              <w:rPr>
                <w:noProof/>
                <w:webHidden/>
              </w:rPr>
              <w:fldChar w:fldCharType="end"/>
            </w:r>
          </w:hyperlink>
        </w:p>
        <w:p w:rsidR="002F65F2" w:rsidRDefault="006A01F4">
          <w:pPr>
            <w:pStyle w:val="Sumrio2"/>
            <w:tabs>
              <w:tab w:val="left" w:pos="880"/>
              <w:tab w:val="right" w:leader="dot" w:pos="9350"/>
            </w:tabs>
            <w:rPr>
              <w:noProof/>
              <w:lang w:eastAsia="pt-BR"/>
            </w:rPr>
          </w:pPr>
          <w:hyperlink w:anchor="_Toc431190870" w:history="1">
            <w:r w:rsidR="002F65F2" w:rsidRPr="00931949">
              <w:rPr>
                <w:rStyle w:val="Hyperlink"/>
                <w:rFonts w:ascii="Times New Roman" w:hAnsi="Times New Roman" w:cs="Times New Roman"/>
                <w:noProof/>
              </w:rPr>
              <w:t>3.1</w:t>
            </w:r>
            <w:r w:rsidR="002F65F2">
              <w:rPr>
                <w:noProof/>
                <w:lang w:eastAsia="pt-BR"/>
              </w:rPr>
              <w:tab/>
            </w:r>
            <w:r w:rsidR="002F65F2" w:rsidRPr="00931949">
              <w:rPr>
                <w:rStyle w:val="Hyperlink"/>
                <w:rFonts w:ascii="Times New Roman" w:hAnsi="Times New Roman" w:cs="Times New Roman"/>
                <w:noProof/>
              </w:rPr>
              <w:t>Monitoramento e Avaliação</w:t>
            </w:r>
            <w:r w:rsidR="002F65F2">
              <w:rPr>
                <w:noProof/>
                <w:webHidden/>
              </w:rPr>
              <w:tab/>
            </w:r>
            <w:r w:rsidR="00C2602F">
              <w:rPr>
                <w:noProof/>
                <w:webHidden/>
              </w:rPr>
              <w:fldChar w:fldCharType="begin"/>
            </w:r>
            <w:r w:rsidR="002F65F2">
              <w:rPr>
                <w:noProof/>
                <w:webHidden/>
              </w:rPr>
              <w:instrText xml:space="preserve"> PAGEREF _Toc431190870 \h </w:instrText>
            </w:r>
            <w:r w:rsidR="00C2602F">
              <w:rPr>
                <w:noProof/>
                <w:webHidden/>
              </w:rPr>
            </w:r>
            <w:r w:rsidR="00C2602F">
              <w:rPr>
                <w:noProof/>
                <w:webHidden/>
              </w:rPr>
              <w:fldChar w:fldCharType="separate"/>
            </w:r>
            <w:r w:rsidR="003E0A25">
              <w:rPr>
                <w:noProof/>
                <w:webHidden/>
              </w:rPr>
              <w:t>42</w:t>
            </w:r>
            <w:r w:rsidR="00C2602F">
              <w:rPr>
                <w:noProof/>
                <w:webHidden/>
              </w:rPr>
              <w:fldChar w:fldCharType="end"/>
            </w:r>
          </w:hyperlink>
        </w:p>
        <w:p w:rsidR="002F65F2" w:rsidRDefault="006A01F4">
          <w:pPr>
            <w:pStyle w:val="Sumrio2"/>
            <w:tabs>
              <w:tab w:val="left" w:pos="880"/>
              <w:tab w:val="right" w:leader="dot" w:pos="9350"/>
            </w:tabs>
            <w:rPr>
              <w:noProof/>
              <w:lang w:eastAsia="pt-BR"/>
            </w:rPr>
          </w:pPr>
          <w:hyperlink w:anchor="_Toc431190871" w:history="1">
            <w:r w:rsidR="002F65F2" w:rsidRPr="00931949">
              <w:rPr>
                <w:rStyle w:val="Hyperlink"/>
                <w:rFonts w:ascii="Times New Roman" w:hAnsi="Times New Roman" w:cs="Times New Roman"/>
                <w:noProof/>
              </w:rPr>
              <w:t>3.2</w:t>
            </w:r>
            <w:r w:rsidR="002F65F2">
              <w:rPr>
                <w:noProof/>
                <w:lang w:eastAsia="pt-BR"/>
              </w:rPr>
              <w:tab/>
            </w:r>
            <w:r w:rsidR="002F65F2" w:rsidRPr="00931949">
              <w:rPr>
                <w:rStyle w:val="Hyperlink"/>
                <w:rFonts w:ascii="Times New Roman" w:hAnsi="Times New Roman" w:cs="Times New Roman"/>
                <w:noProof/>
              </w:rPr>
              <w:t>Uso dos Sistemas Nacionais</w:t>
            </w:r>
            <w:r w:rsidR="002F65F2">
              <w:rPr>
                <w:noProof/>
                <w:webHidden/>
              </w:rPr>
              <w:tab/>
            </w:r>
            <w:r w:rsidR="00C2602F">
              <w:rPr>
                <w:noProof/>
                <w:webHidden/>
              </w:rPr>
              <w:fldChar w:fldCharType="begin"/>
            </w:r>
            <w:r w:rsidR="002F65F2">
              <w:rPr>
                <w:noProof/>
                <w:webHidden/>
              </w:rPr>
              <w:instrText xml:space="preserve"> PAGEREF _Toc431190871 \h </w:instrText>
            </w:r>
            <w:r w:rsidR="00C2602F">
              <w:rPr>
                <w:noProof/>
                <w:webHidden/>
              </w:rPr>
            </w:r>
            <w:r w:rsidR="00C2602F">
              <w:rPr>
                <w:noProof/>
                <w:webHidden/>
              </w:rPr>
              <w:fldChar w:fldCharType="separate"/>
            </w:r>
            <w:r w:rsidR="003E0A25">
              <w:rPr>
                <w:noProof/>
                <w:webHidden/>
              </w:rPr>
              <w:t>42</w:t>
            </w:r>
            <w:r w:rsidR="00C2602F">
              <w:rPr>
                <w:noProof/>
                <w:webHidden/>
              </w:rPr>
              <w:fldChar w:fldCharType="end"/>
            </w:r>
          </w:hyperlink>
        </w:p>
        <w:p w:rsidR="002F65F2" w:rsidRDefault="006A01F4">
          <w:pPr>
            <w:pStyle w:val="Sumrio1"/>
            <w:tabs>
              <w:tab w:val="left" w:pos="660"/>
              <w:tab w:val="right" w:leader="dot" w:pos="9350"/>
            </w:tabs>
            <w:rPr>
              <w:noProof/>
              <w:lang w:eastAsia="pt-BR"/>
            </w:rPr>
          </w:pPr>
          <w:hyperlink w:anchor="_Toc431190872" w:history="1">
            <w:r w:rsidR="002F65F2" w:rsidRPr="00931949">
              <w:rPr>
                <w:rStyle w:val="Hyperlink"/>
                <w:rFonts w:ascii="Times New Roman" w:hAnsi="Times New Roman" w:cs="Times New Roman"/>
                <w:noProof/>
                <w:lang w:val="es-MX"/>
              </w:rPr>
              <w:t>IV.</w:t>
            </w:r>
            <w:r w:rsidR="002F65F2">
              <w:rPr>
                <w:noProof/>
                <w:lang w:eastAsia="pt-BR"/>
              </w:rPr>
              <w:tab/>
            </w:r>
            <w:r w:rsidR="002F65F2" w:rsidRPr="00931949">
              <w:rPr>
                <w:rStyle w:val="Hyperlink"/>
                <w:rFonts w:ascii="Times New Roman" w:hAnsi="Times New Roman" w:cs="Times New Roman"/>
                <w:noProof/>
              </w:rPr>
              <w:t>Conclusões e Recomendações</w:t>
            </w:r>
            <w:r w:rsidR="002F65F2">
              <w:rPr>
                <w:noProof/>
                <w:webHidden/>
              </w:rPr>
              <w:tab/>
            </w:r>
            <w:r w:rsidR="00C2602F">
              <w:rPr>
                <w:noProof/>
                <w:webHidden/>
              </w:rPr>
              <w:fldChar w:fldCharType="begin"/>
            </w:r>
            <w:r w:rsidR="002F65F2">
              <w:rPr>
                <w:noProof/>
                <w:webHidden/>
              </w:rPr>
              <w:instrText xml:space="preserve"> PAGEREF _Toc431190872 \h </w:instrText>
            </w:r>
            <w:r w:rsidR="00C2602F">
              <w:rPr>
                <w:noProof/>
                <w:webHidden/>
              </w:rPr>
            </w:r>
            <w:r w:rsidR="00C2602F">
              <w:rPr>
                <w:noProof/>
                <w:webHidden/>
              </w:rPr>
              <w:fldChar w:fldCharType="separate"/>
            </w:r>
            <w:r w:rsidR="003E0A25">
              <w:rPr>
                <w:noProof/>
                <w:webHidden/>
              </w:rPr>
              <w:t>43</w:t>
            </w:r>
            <w:r w:rsidR="00C2602F">
              <w:rPr>
                <w:noProof/>
                <w:webHidden/>
              </w:rPr>
              <w:fldChar w:fldCharType="end"/>
            </w:r>
          </w:hyperlink>
        </w:p>
        <w:p w:rsidR="00FB5592" w:rsidRPr="00046243" w:rsidRDefault="00C2602F" w:rsidP="009C7A21">
          <w:pPr>
            <w:spacing w:after="240" w:line="240" w:lineRule="auto"/>
            <w:rPr>
              <w:rFonts w:ascii="Times New Roman" w:hAnsi="Times New Roman" w:cs="Times New Roman"/>
              <w:b/>
              <w:bCs/>
              <w:noProof/>
              <w:sz w:val="24"/>
              <w:szCs w:val="24"/>
            </w:rPr>
          </w:pPr>
          <w:r w:rsidRPr="00046243">
            <w:rPr>
              <w:rFonts w:ascii="Times New Roman" w:hAnsi="Times New Roman" w:cs="Times New Roman"/>
              <w:b/>
              <w:bCs/>
              <w:noProof/>
              <w:sz w:val="24"/>
              <w:szCs w:val="24"/>
            </w:rPr>
            <w:fldChar w:fldCharType="end"/>
          </w:r>
        </w:p>
      </w:sdtContent>
    </w:sdt>
    <w:p w:rsidR="00FB5592" w:rsidRPr="00046243" w:rsidRDefault="00FB5592" w:rsidP="009C7A21">
      <w:pPr>
        <w:spacing w:after="240" w:line="240" w:lineRule="auto"/>
        <w:rPr>
          <w:rFonts w:ascii="Times New Roman" w:eastAsiaTheme="majorEastAsia" w:hAnsi="Times New Roman" w:cs="Times New Roman"/>
          <w:spacing w:val="5"/>
          <w:kern w:val="28"/>
          <w:sz w:val="24"/>
          <w:szCs w:val="24"/>
        </w:rPr>
      </w:pPr>
    </w:p>
    <w:p w:rsidR="00B91D3A" w:rsidRPr="00046243" w:rsidRDefault="00FB5592" w:rsidP="009C7A21">
      <w:pPr>
        <w:spacing w:after="240" w:line="240" w:lineRule="auto"/>
        <w:jc w:val="center"/>
        <w:rPr>
          <w:rFonts w:ascii="Times New Roman" w:eastAsiaTheme="majorEastAsia" w:hAnsi="Times New Roman" w:cs="Times New Roman"/>
          <w:spacing w:val="5"/>
          <w:kern w:val="28"/>
          <w:sz w:val="24"/>
          <w:szCs w:val="24"/>
        </w:rPr>
      </w:pPr>
      <w:r w:rsidRPr="00046243">
        <w:rPr>
          <w:rFonts w:ascii="Times New Roman" w:eastAsiaTheme="majorEastAsia" w:hAnsi="Times New Roman" w:cs="Times New Roman"/>
          <w:spacing w:val="5"/>
          <w:kern w:val="28"/>
          <w:sz w:val="24"/>
          <w:szCs w:val="24"/>
        </w:rPr>
        <w:br w:type="page"/>
      </w:r>
    </w:p>
    <w:p w:rsidR="00930A10" w:rsidRPr="00046243" w:rsidRDefault="00A35F62" w:rsidP="009C7A21">
      <w:pPr>
        <w:pStyle w:val="Ttulo1"/>
        <w:numPr>
          <w:ilvl w:val="0"/>
          <w:numId w:val="0"/>
        </w:numPr>
        <w:spacing w:after="240" w:line="240" w:lineRule="auto"/>
        <w:ind w:left="720" w:hanging="360"/>
        <w:jc w:val="center"/>
        <w:rPr>
          <w:rFonts w:ascii="Times New Roman" w:hAnsi="Times New Roman" w:cs="Times New Roman"/>
          <w:color w:val="auto"/>
          <w:sz w:val="24"/>
          <w:szCs w:val="24"/>
        </w:rPr>
      </w:pPr>
      <w:bookmarkStart w:id="0" w:name="_Toc431190855"/>
      <w:r w:rsidRPr="00046243">
        <w:rPr>
          <w:rFonts w:ascii="Times New Roman" w:hAnsi="Times New Roman" w:cs="Times New Roman"/>
          <w:color w:val="auto"/>
          <w:sz w:val="24"/>
          <w:szCs w:val="24"/>
        </w:rPr>
        <w:lastRenderedPageBreak/>
        <w:t>Siglas e</w:t>
      </w:r>
      <w:r w:rsidR="00C1553B" w:rsidRPr="00046243">
        <w:rPr>
          <w:rFonts w:ascii="Times New Roman" w:hAnsi="Times New Roman" w:cs="Times New Roman"/>
          <w:color w:val="auto"/>
          <w:sz w:val="24"/>
          <w:szCs w:val="24"/>
        </w:rPr>
        <w:t xml:space="preserve"> </w:t>
      </w:r>
      <w:r w:rsidRPr="00046243">
        <w:rPr>
          <w:rFonts w:ascii="Times New Roman" w:hAnsi="Times New Roman" w:cs="Times New Roman"/>
          <w:color w:val="auto"/>
          <w:sz w:val="24"/>
          <w:szCs w:val="24"/>
        </w:rPr>
        <w:t>Ab</w:t>
      </w:r>
      <w:r w:rsidR="00ED4924" w:rsidRPr="00046243">
        <w:rPr>
          <w:rFonts w:ascii="Times New Roman" w:hAnsi="Times New Roman" w:cs="Times New Roman"/>
          <w:color w:val="auto"/>
          <w:sz w:val="24"/>
          <w:szCs w:val="24"/>
        </w:rPr>
        <w:t>r</w:t>
      </w:r>
      <w:r w:rsidRPr="00046243">
        <w:rPr>
          <w:rFonts w:ascii="Times New Roman" w:hAnsi="Times New Roman" w:cs="Times New Roman"/>
          <w:color w:val="auto"/>
          <w:sz w:val="24"/>
          <w:szCs w:val="24"/>
        </w:rPr>
        <w:t>eviações</w:t>
      </w:r>
      <w:bookmarkEnd w:id="0"/>
    </w:p>
    <w:tbl>
      <w:tblPr>
        <w:tblW w:w="9606" w:type="dxa"/>
        <w:tblLook w:val="04A0" w:firstRow="1" w:lastRow="0" w:firstColumn="1" w:lastColumn="0" w:noHBand="0" w:noVBand="1"/>
      </w:tblPr>
      <w:tblGrid>
        <w:gridCol w:w="1809"/>
        <w:gridCol w:w="7797"/>
      </w:tblGrid>
      <w:tr w:rsidR="004D7537" w:rsidRPr="00E97E1F" w:rsidTr="00E97E1F">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AIDF</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Autorização para Emissão de Documentos Fiscais</w:t>
            </w:r>
          </w:p>
        </w:tc>
      </w:tr>
      <w:tr w:rsidR="004D7537" w:rsidRPr="00E97E1F" w:rsidTr="00E97E1F">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BID</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Banco Interamericano de Desenvolvimento</w:t>
            </w:r>
          </w:p>
        </w:tc>
      </w:tr>
      <w:tr w:rsidR="004D7537" w:rsidRPr="00E97E1F" w:rsidTr="00E97E1F">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bCs/>
              </w:rPr>
              <w:t>BPM</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bCs/>
                <w:i/>
              </w:rPr>
              <w:t>Business Process Management</w:t>
            </w:r>
          </w:p>
        </w:tc>
      </w:tr>
      <w:tr w:rsidR="004D7537" w:rsidRPr="00E97E1F" w:rsidTr="00E97E1F">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CCLIP</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Linha de Crédito Condicional para Projetos de Investimento</w:t>
            </w:r>
          </w:p>
        </w:tc>
      </w:tr>
      <w:tr w:rsidR="004D7537" w:rsidRPr="00E97E1F" w:rsidTr="00E97E1F">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CAAF</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Célula de Avaliação e Controle de Automação Fiscal</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bCs/>
              </w:rPr>
              <w:t>CAFE</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Coordenação de Assuntos Fazendários Estratégicos</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bCs/>
              </w:rPr>
              <w:t>CPAF</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Centro de Pesquisas e Análise Fiscal</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CCOA</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Célula de Análise e Controle das Obrigações Acessórias</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eastAsia="Arial" w:hAnsi="Times New Roman" w:cs="Times New Roman"/>
                <w:lang w:eastAsia="ar-SA"/>
              </w:rPr>
            </w:pPr>
            <w:r w:rsidRPr="00E97E1F">
              <w:rPr>
                <w:rFonts w:ascii="Times New Roman" w:hAnsi="Times New Roman" w:cs="Times New Roman"/>
                <w:bCs/>
              </w:rPr>
              <w:t>CECOMT</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Coordenação Executiva de Controle de Mercadorias em Trânsito</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CERAT</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Coordenação Executiva Regional de Administração Tributária e não Tributária</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CGPS</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Coordenadora de Projetos e Sistemas</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bCs/>
              </w:rPr>
              <w:t>CMGF</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color w:val="000000"/>
              </w:rPr>
              <w:t>Coordenação de Modernização e Gestão Fazendária</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CNAE</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Cadastro Nacional de Atividades Econômicas</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COGEF</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Comissão de Gestão Fazendária</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CONFAZ</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Conselho Nacional de Política Fazendária</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bCs/>
              </w:rPr>
              <w:t>DAIF</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Diretoria de Arrecadação e Informações Fazendárias</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DOE</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Diário Oficial do Estado</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DITES</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Diretoria do Tesouro</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DTI</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Diretoria de Tecnologia de Informação</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bCs/>
              </w:rPr>
              <w:t>EFAZ</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Escola Fazendária</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ECD</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Escrituração Contábil Digital</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bCs/>
              </w:rPr>
              <w:t>EFD</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Escrituração Fiscal Digital</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EGPA</w:t>
            </w:r>
          </w:p>
        </w:tc>
        <w:tc>
          <w:tcPr>
            <w:tcW w:w="7797" w:type="dxa"/>
            <w:shd w:val="clear" w:color="auto" w:fill="auto"/>
          </w:tcPr>
          <w:p w:rsidR="004D7537" w:rsidRPr="00E97E1F" w:rsidRDefault="004D7537" w:rsidP="00CE6181">
            <w:pPr>
              <w:spacing w:after="120" w:line="240" w:lineRule="auto"/>
              <w:rPr>
                <w:rFonts w:ascii="Times New Roman" w:hAnsi="Times New Roman" w:cs="Times New Roman"/>
              </w:rPr>
            </w:pPr>
            <w:r w:rsidRPr="00E97E1F">
              <w:rPr>
                <w:rFonts w:ascii="Times New Roman" w:hAnsi="Times New Roman" w:cs="Times New Roman"/>
              </w:rPr>
              <w:t>Escola de Govern</w:t>
            </w:r>
            <w:r w:rsidR="00CE6181">
              <w:rPr>
                <w:rFonts w:ascii="Times New Roman" w:hAnsi="Times New Roman" w:cs="Times New Roman"/>
              </w:rPr>
              <w:t xml:space="preserve">o </w:t>
            </w:r>
            <w:r w:rsidRPr="00E97E1F">
              <w:rPr>
                <w:rFonts w:ascii="Times New Roman" w:hAnsi="Times New Roman" w:cs="Times New Roman"/>
              </w:rPr>
              <w:t>do Estado do Pará</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ENAP</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Escola Nacional de Administração Pública</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FADESP</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Fundação de Amparo e Desenvolvimento da Pesquisa da UEPA</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FAPESPA</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Fundação Amazônia de Amparo a Estudos e Pesquisas do Pará</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bCs/>
              </w:rPr>
              <w:t>FEBRAFITE</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Federação Brasileira de Associações de Fiscais de Tributos Estaduais</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Style w:val="st1"/>
                <w:rFonts w:ascii="Times New Roman" w:hAnsi="Times New Roman" w:cs="Times New Roman"/>
                <w:lang w:val="pt-PT"/>
              </w:rPr>
              <w:t>FIPAT</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Style w:val="nfase"/>
                <w:rFonts w:ascii="Times New Roman" w:hAnsi="Times New Roman" w:cs="Times New Roman"/>
                <w:b w:val="0"/>
                <w:lang w:val="pt-PT"/>
              </w:rPr>
              <w:t>Fundo</w:t>
            </w:r>
            <w:r w:rsidRPr="00E97E1F">
              <w:rPr>
                <w:rStyle w:val="st1"/>
                <w:rFonts w:ascii="Times New Roman" w:hAnsi="Times New Roman" w:cs="Times New Roman"/>
                <w:lang w:val="pt-PT"/>
              </w:rPr>
              <w:t xml:space="preserve"> de Investimento Permanente da. Administração Tributária do Estado do </w:t>
            </w:r>
            <w:r w:rsidRPr="00E97E1F">
              <w:rPr>
                <w:rStyle w:val="nfase"/>
                <w:rFonts w:ascii="Times New Roman" w:hAnsi="Times New Roman" w:cs="Times New Roman"/>
                <w:b w:val="0"/>
                <w:lang w:val="pt-PT"/>
              </w:rPr>
              <w:t>Pará</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GDFAZ</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Grupo de Desenvolvimento do Servidor Fazendário</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GESPRO</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Sistema de Gerenciamento de Projetos</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GrP</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Gestão de Riscos em Projetos</w:t>
            </w:r>
          </w:p>
        </w:tc>
      </w:tr>
      <w:tr w:rsidR="00E97E1F" w:rsidRPr="00E97E1F" w:rsidTr="00E97E1F">
        <w:trPr>
          <w:trHeight w:val="20"/>
        </w:trPr>
        <w:tc>
          <w:tcPr>
            <w:tcW w:w="1809" w:type="dxa"/>
            <w:shd w:val="clear" w:color="auto" w:fill="auto"/>
          </w:tcPr>
          <w:p w:rsidR="00E97E1F" w:rsidRPr="00E97E1F" w:rsidRDefault="00E97E1F" w:rsidP="004D7537">
            <w:pPr>
              <w:spacing w:after="120" w:line="240" w:lineRule="auto"/>
              <w:rPr>
                <w:rFonts w:ascii="Times New Roman" w:hAnsi="Times New Roman" w:cs="Times New Roman"/>
              </w:rPr>
            </w:pPr>
            <w:r w:rsidRPr="00E97E1F">
              <w:rPr>
                <w:rFonts w:ascii="Times New Roman" w:hAnsi="Times New Roman" w:cs="Times New Roman"/>
              </w:rPr>
              <w:t>GED</w:t>
            </w:r>
          </w:p>
        </w:tc>
        <w:tc>
          <w:tcPr>
            <w:tcW w:w="7797" w:type="dxa"/>
            <w:shd w:val="clear" w:color="auto" w:fill="auto"/>
          </w:tcPr>
          <w:p w:rsidR="00E97E1F" w:rsidRPr="00E97E1F" w:rsidRDefault="00E97E1F" w:rsidP="004D7537">
            <w:pPr>
              <w:spacing w:after="120" w:line="240" w:lineRule="auto"/>
              <w:rPr>
                <w:rFonts w:ascii="Times New Roman" w:hAnsi="Times New Roman" w:cs="Times New Roman"/>
              </w:rPr>
            </w:pPr>
            <w:r w:rsidRPr="00E97E1F">
              <w:rPr>
                <w:rFonts w:ascii="Times New Roman" w:hAnsi="Times New Roman" w:cs="Times New Roman"/>
              </w:rPr>
              <w:t>Gerenciamento Eletrônico de D</w:t>
            </w:r>
            <w:r w:rsidR="00B870C7">
              <w:rPr>
                <w:rFonts w:ascii="Times New Roman" w:hAnsi="Times New Roman" w:cs="Times New Roman"/>
              </w:rPr>
              <w:t>o</w:t>
            </w:r>
            <w:r w:rsidRPr="00E97E1F">
              <w:rPr>
                <w:rFonts w:ascii="Times New Roman" w:hAnsi="Times New Roman" w:cs="Times New Roman"/>
              </w:rPr>
              <w:t>cumentos</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ICMS</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 xml:space="preserve">Imposto sobre Operações Relativas à Circulação de Mercadorias e sobre Prestações </w:t>
            </w:r>
            <w:r w:rsidRPr="00E97E1F">
              <w:rPr>
                <w:rFonts w:ascii="Times New Roman" w:hAnsi="Times New Roman" w:cs="Times New Roman"/>
              </w:rPr>
              <w:lastRenderedPageBreak/>
              <w:t>de Serviços de Transporte</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lastRenderedPageBreak/>
              <w:t>ITCD</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 xml:space="preserve">Imposto de Transmissão, </w:t>
            </w:r>
            <w:r w:rsidRPr="00E97E1F">
              <w:rPr>
                <w:rFonts w:ascii="Times New Roman" w:hAnsi="Times New Roman" w:cs="Times New Roman"/>
                <w:i/>
                <w:iCs/>
              </w:rPr>
              <w:t xml:space="preserve">Causa Mortis </w:t>
            </w:r>
            <w:r w:rsidRPr="00E97E1F">
              <w:rPr>
                <w:rFonts w:ascii="Times New Roman" w:hAnsi="Times New Roman" w:cs="Times New Roman"/>
              </w:rPr>
              <w:t>e Doações</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IPVA</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Imposto sobre Veículos Automotivos</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LAI</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Lei de Acesso à Informação</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LDO</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Lei de Diretrizes Orçamentárias</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LOA</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Lei Orçamentária Anual</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LRF</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Lei de Responsabilidade Fiscal</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MEI</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Microempreendedor Individual</w:t>
            </w:r>
          </w:p>
        </w:tc>
      </w:tr>
      <w:tr w:rsidR="00E97E1F" w:rsidRPr="00E97E1F" w:rsidTr="00E97E1F">
        <w:trPr>
          <w:trHeight w:val="20"/>
        </w:trPr>
        <w:tc>
          <w:tcPr>
            <w:tcW w:w="1809" w:type="dxa"/>
            <w:shd w:val="clear" w:color="auto" w:fill="auto"/>
          </w:tcPr>
          <w:p w:rsidR="00E97E1F" w:rsidRPr="00E97E1F" w:rsidRDefault="00E97E1F" w:rsidP="004D7537">
            <w:pPr>
              <w:spacing w:after="120" w:line="240" w:lineRule="auto"/>
              <w:rPr>
                <w:rFonts w:ascii="Times New Roman" w:hAnsi="Times New Roman" w:cs="Times New Roman"/>
              </w:rPr>
            </w:pPr>
            <w:r w:rsidRPr="00E97E1F">
              <w:rPr>
                <w:rFonts w:ascii="Times New Roman" w:hAnsi="Times New Roman" w:cs="Times New Roman"/>
              </w:rPr>
              <w:t>MPE</w:t>
            </w:r>
          </w:p>
        </w:tc>
        <w:tc>
          <w:tcPr>
            <w:tcW w:w="7797" w:type="dxa"/>
            <w:shd w:val="clear" w:color="auto" w:fill="auto"/>
          </w:tcPr>
          <w:p w:rsidR="00E97E1F" w:rsidRPr="00E97E1F" w:rsidRDefault="00E97E1F" w:rsidP="004D7537">
            <w:pPr>
              <w:spacing w:after="120" w:line="240" w:lineRule="auto"/>
              <w:rPr>
                <w:rFonts w:ascii="Times New Roman" w:hAnsi="Times New Roman" w:cs="Times New Roman"/>
              </w:rPr>
            </w:pPr>
            <w:r w:rsidRPr="00E97E1F">
              <w:rPr>
                <w:rFonts w:ascii="Times New Roman" w:hAnsi="Times New Roman" w:cs="Times New Roman"/>
              </w:rPr>
              <w:t>Micro e Pequenas Empresas</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NF-e</w:t>
            </w:r>
          </w:p>
        </w:tc>
        <w:tc>
          <w:tcPr>
            <w:tcW w:w="7797" w:type="dxa"/>
            <w:shd w:val="clear" w:color="auto" w:fill="auto"/>
          </w:tcPr>
          <w:p w:rsidR="004D7537" w:rsidRPr="00E97E1F" w:rsidRDefault="004D7537" w:rsidP="004D7537">
            <w:pPr>
              <w:spacing w:after="120" w:line="240" w:lineRule="auto"/>
              <w:rPr>
                <w:rFonts w:ascii="Times New Roman" w:eastAsia="Batang" w:hAnsi="Times New Roman" w:cs="Times New Roman"/>
              </w:rPr>
            </w:pPr>
            <w:r w:rsidRPr="00E97E1F">
              <w:rPr>
                <w:rFonts w:ascii="Times New Roman" w:hAnsi="Times New Roman" w:cs="Times New Roman"/>
              </w:rPr>
              <w:t>Nota Fiscal Eletrônica</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NFC-e</w:t>
            </w:r>
          </w:p>
        </w:tc>
        <w:tc>
          <w:tcPr>
            <w:tcW w:w="7797" w:type="dxa"/>
            <w:shd w:val="clear" w:color="auto" w:fill="auto"/>
          </w:tcPr>
          <w:p w:rsidR="004D7537" w:rsidRPr="00E97E1F" w:rsidRDefault="004D7537" w:rsidP="004D7537">
            <w:pPr>
              <w:spacing w:after="120" w:line="240" w:lineRule="auto"/>
              <w:rPr>
                <w:rFonts w:ascii="Times New Roman" w:eastAsia="Batang" w:hAnsi="Times New Roman" w:cs="Times New Roman"/>
              </w:rPr>
            </w:pPr>
            <w:r w:rsidRPr="00E97E1F">
              <w:rPr>
                <w:rFonts w:ascii="Times New Roman" w:hAnsi="Times New Roman" w:cs="Times New Roman"/>
              </w:rPr>
              <w:t>Nota Fiscal do Consumidor Eletrônica</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OEAT</w:t>
            </w:r>
          </w:p>
        </w:tc>
        <w:tc>
          <w:tcPr>
            <w:tcW w:w="7797" w:type="dxa"/>
            <w:shd w:val="clear" w:color="auto" w:fill="auto"/>
          </w:tcPr>
          <w:p w:rsidR="004D7537" w:rsidRPr="00E97E1F" w:rsidRDefault="004D7537" w:rsidP="004D7537">
            <w:pPr>
              <w:spacing w:after="120" w:line="240" w:lineRule="auto"/>
              <w:rPr>
                <w:rFonts w:ascii="Times New Roman" w:eastAsia="Batang" w:hAnsi="Times New Roman" w:cs="Times New Roman"/>
              </w:rPr>
            </w:pPr>
            <w:r w:rsidRPr="00E97E1F">
              <w:rPr>
                <w:rFonts w:ascii="Times New Roman" w:hAnsi="Times New Roman" w:cs="Times New Roman"/>
              </w:rPr>
              <w:t xml:space="preserve">Órgão Executor da Administração Tributária e não Tributária  </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eastAsia="Batang" w:hAnsi="Times New Roman" w:cs="Times New Roman"/>
              </w:rPr>
            </w:pPr>
            <w:r w:rsidRPr="00E97E1F">
              <w:rPr>
                <w:rFonts w:ascii="Times New Roman" w:hAnsi="Times New Roman" w:cs="Times New Roman"/>
              </w:rPr>
              <w:t>PROFISCO</w:t>
            </w:r>
          </w:p>
        </w:tc>
        <w:tc>
          <w:tcPr>
            <w:tcW w:w="7797" w:type="dxa"/>
            <w:shd w:val="clear" w:color="auto" w:fill="auto"/>
          </w:tcPr>
          <w:p w:rsidR="004D7537" w:rsidRPr="00E97E1F" w:rsidRDefault="004D7537" w:rsidP="004D7537">
            <w:pPr>
              <w:spacing w:after="120" w:line="240" w:lineRule="auto"/>
              <w:rPr>
                <w:rFonts w:ascii="Times New Roman" w:eastAsia="Batang" w:hAnsi="Times New Roman" w:cs="Times New Roman"/>
              </w:rPr>
            </w:pPr>
            <w:r w:rsidRPr="00E97E1F">
              <w:rPr>
                <w:rFonts w:ascii="Times New Roman" w:hAnsi="Times New Roman" w:cs="Times New Roman"/>
              </w:rPr>
              <w:t>Programa de apoio à Gestão e Integração dos Fiscos no Brasil</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eastAsia="Batang" w:hAnsi="Times New Roman" w:cs="Times New Roman"/>
              </w:rPr>
              <w:t>PAF</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eastAsia="Batang" w:hAnsi="Times New Roman" w:cs="Times New Roman"/>
              </w:rPr>
              <w:t>Programa de Reestruturação e Ajuste Fiscal</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PQGFAZ</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Prêmio Inovação e Qualidade da Gestão Fazendária</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PNAFE</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Programa de Modernização da Administração Fiscal dos Estados Brasileiros</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PGE</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 xml:space="preserve">Procuradoria Geral </w:t>
            </w:r>
            <w:r w:rsidRPr="00E97E1F">
              <w:rPr>
                <w:rFonts w:ascii="Times New Roman" w:hAnsi="Times New Roman" w:cs="Times New Roman"/>
                <w:bCs/>
              </w:rPr>
              <w:t>do Estado</w:t>
            </w:r>
          </w:p>
        </w:tc>
      </w:tr>
      <w:tr w:rsidR="00E97E1F" w:rsidRPr="00E97E1F" w:rsidTr="00E97E1F">
        <w:trPr>
          <w:trHeight w:val="20"/>
        </w:trPr>
        <w:tc>
          <w:tcPr>
            <w:tcW w:w="1809" w:type="dxa"/>
            <w:shd w:val="clear" w:color="auto" w:fill="auto"/>
          </w:tcPr>
          <w:p w:rsidR="00E97E1F" w:rsidRPr="00E97E1F" w:rsidRDefault="00E97E1F" w:rsidP="004D7537">
            <w:pPr>
              <w:spacing w:after="120" w:line="240" w:lineRule="auto"/>
              <w:rPr>
                <w:rFonts w:ascii="Times New Roman" w:hAnsi="Times New Roman" w:cs="Times New Roman"/>
              </w:rPr>
            </w:pPr>
            <w:r w:rsidRPr="00E97E1F">
              <w:rPr>
                <w:rFonts w:ascii="Times New Roman" w:hAnsi="Times New Roman" w:cs="Times New Roman"/>
              </w:rPr>
              <w:t>PROGEFAZ</w:t>
            </w:r>
          </w:p>
        </w:tc>
        <w:tc>
          <w:tcPr>
            <w:tcW w:w="7797" w:type="dxa"/>
            <w:shd w:val="clear" w:color="auto" w:fill="auto"/>
          </w:tcPr>
          <w:p w:rsidR="00E97E1F" w:rsidRPr="00E97E1F" w:rsidRDefault="00E97E1F" w:rsidP="004D7537">
            <w:pPr>
              <w:spacing w:after="120" w:line="240" w:lineRule="auto"/>
              <w:rPr>
                <w:rFonts w:ascii="Times New Roman" w:hAnsi="Times New Roman" w:cs="Times New Roman"/>
              </w:rPr>
            </w:pPr>
            <w:r w:rsidRPr="00E97E1F">
              <w:rPr>
                <w:rFonts w:ascii="Times New Roman" w:hAnsi="Times New Roman" w:cs="Times New Roman"/>
              </w:rPr>
              <w:t>Programa de Apoio à Modernização e à Transparência da gestão Fiscal do estado do Pará</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eastAsia="Arial" w:hAnsi="Times New Roman" w:cs="Times New Roman"/>
                <w:lang w:eastAsia="ar-SA"/>
              </w:rPr>
              <w:t>PIB</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eastAsia="Arial" w:hAnsi="Times New Roman" w:cs="Times New Roman"/>
                <w:lang w:eastAsia="ar-SA"/>
              </w:rPr>
              <w:t>Produto Interno Bruto</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PA</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Pará</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PPA</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Plano Plurianual</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RCL</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Receita Corrente Líquida</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lang w:eastAsia="pt-BR"/>
              </w:rPr>
              <w:t>RMGF</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lang w:eastAsia="pt-BR"/>
              </w:rPr>
              <w:t>Rede de Modernização e Gestão Fazendária</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RLR</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Receita Líquida Real</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SPED</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Sistema Público de Escrituração digital</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SATES</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Secretaria Adjunta do Tesouro</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SIAT</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Sistema Integrado de Administração Tributária</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SIF</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Sistema de Inteligência Fiscal</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SECOM</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Secretaria de Estado de Comunicação</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SEFA</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Secretaria de Estado da Fazenda</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SIAFEM</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Sistema Integrado de Administração Financeira dos Estados e Municípios</w:t>
            </w:r>
          </w:p>
        </w:tc>
      </w:tr>
      <w:tr w:rsidR="00E97E1F" w:rsidRPr="00E97E1F" w:rsidTr="00E97E1F">
        <w:trPr>
          <w:trHeight w:val="20"/>
        </w:trPr>
        <w:tc>
          <w:tcPr>
            <w:tcW w:w="1809" w:type="dxa"/>
            <w:shd w:val="clear" w:color="auto" w:fill="auto"/>
          </w:tcPr>
          <w:p w:rsidR="00E97E1F" w:rsidRPr="00E97E1F" w:rsidRDefault="00E97E1F" w:rsidP="004D7537">
            <w:pPr>
              <w:spacing w:after="120" w:line="240" w:lineRule="auto"/>
              <w:rPr>
                <w:rFonts w:ascii="Times New Roman" w:hAnsi="Times New Roman" w:cs="Times New Roman"/>
              </w:rPr>
            </w:pPr>
            <w:r w:rsidRPr="00E97E1F">
              <w:rPr>
                <w:rFonts w:ascii="Times New Roman" w:hAnsi="Times New Roman" w:cs="Times New Roman"/>
              </w:rPr>
              <w:t>STN/MF</w:t>
            </w:r>
          </w:p>
        </w:tc>
        <w:tc>
          <w:tcPr>
            <w:tcW w:w="7797" w:type="dxa"/>
            <w:shd w:val="clear" w:color="auto" w:fill="auto"/>
          </w:tcPr>
          <w:p w:rsidR="00E97E1F" w:rsidRPr="00E97E1F" w:rsidRDefault="00E97E1F" w:rsidP="004D7537">
            <w:pPr>
              <w:spacing w:after="120" w:line="240" w:lineRule="auto"/>
              <w:rPr>
                <w:rFonts w:ascii="Times New Roman" w:hAnsi="Times New Roman" w:cs="Times New Roman"/>
              </w:rPr>
            </w:pPr>
            <w:r w:rsidRPr="00E97E1F">
              <w:rPr>
                <w:rFonts w:ascii="Times New Roman" w:hAnsi="Times New Roman" w:cs="Times New Roman"/>
              </w:rPr>
              <w:t>Secretaria do Tesouro Nacional do Ministério da Fazenda</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UECOMT</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Unidade Executiva de Controle de Mercadorias em Trânsito</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t>UCP</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Unidade de Coordenação do Projeto</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bCs/>
              </w:rPr>
              <w:lastRenderedPageBreak/>
              <w:t>STN</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bCs/>
              </w:rPr>
            </w:pPr>
            <w:r w:rsidRPr="00E97E1F">
              <w:rPr>
                <w:rFonts w:ascii="Times New Roman" w:hAnsi="Times New Roman" w:cs="Times New Roman"/>
              </w:rPr>
              <w:t>Secretaria do Tesouro Nacional</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bCs/>
              </w:rPr>
              <w:t>UCI</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Unidade de Controle Interno</w:t>
            </w:r>
          </w:p>
        </w:tc>
      </w:tr>
      <w:tr w:rsidR="004D7537" w:rsidRPr="00E97E1F"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UEPA</w:t>
            </w:r>
          </w:p>
        </w:tc>
        <w:tc>
          <w:tcPr>
            <w:tcW w:w="7797"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Universidade do Estado do Pará</w:t>
            </w:r>
          </w:p>
        </w:tc>
      </w:tr>
      <w:tr w:rsidR="004D7537" w:rsidRPr="00046243" w:rsidTr="00E97E1F">
        <w:trPr>
          <w:trHeight w:val="20"/>
        </w:trPr>
        <w:tc>
          <w:tcPr>
            <w:tcW w:w="1809" w:type="dxa"/>
            <w:shd w:val="clear" w:color="auto" w:fill="auto"/>
          </w:tcPr>
          <w:p w:rsidR="004D7537" w:rsidRPr="00E97E1F" w:rsidRDefault="004D7537" w:rsidP="004D7537">
            <w:pPr>
              <w:spacing w:after="120" w:line="240" w:lineRule="auto"/>
              <w:rPr>
                <w:rFonts w:ascii="Times New Roman" w:hAnsi="Times New Roman" w:cs="Times New Roman"/>
              </w:rPr>
            </w:pPr>
            <w:r w:rsidRPr="00E97E1F">
              <w:rPr>
                <w:rFonts w:ascii="Times New Roman" w:hAnsi="Times New Roman" w:cs="Times New Roman"/>
              </w:rPr>
              <w:t>TIR</w:t>
            </w:r>
          </w:p>
        </w:tc>
        <w:tc>
          <w:tcPr>
            <w:tcW w:w="7797" w:type="dxa"/>
            <w:shd w:val="clear" w:color="auto" w:fill="auto"/>
          </w:tcPr>
          <w:p w:rsidR="004D7537" w:rsidRPr="00046243" w:rsidRDefault="004D7537" w:rsidP="004D7537">
            <w:pPr>
              <w:spacing w:after="120" w:line="240" w:lineRule="auto"/>
              <w:rPr>
                <w:rFonts w:ascii="Times New Roman" w:hAnsi="Times New Roman" w:cs="Times New Roman"/>
              </w:rPr>
            </w:pPr>
            <w:r w:rsidRPr="00E97E1F">
              <w:rPr>
                <w:rFonts w:ascii="Times New Roman" w:hAnsi="Times New Roman" w:cs="Times New Roman"/>
              </w:rPr>
              <w:t>Taxa Interna de Retorno</w:t>
            </w:r>
          </w:p>
        </w:tc>
      </w:tr>
    </w:tbl>
    <w:p w:rsidR="00930A10" w:rsidRPr="00046243" w:rsidRDefault="00930A10" w:rsidP="009C7A21">
      <w:pPr>
        <w:spacing w:after="240" w:line="240" w:lineRule="auto"/>
        <w:rPr>
          <w:rFonts w:ascii="Times New Roman" w:eastAsia="Times New Roman" w:hAnsi="Times New Roman" w:cs="Times New Roman"/>
          <w:b/>
          <w:bCs/>
          <w:sz w:val="24"/>
          <w:szCs w:val="24"/>
        </w:rPr>
      </w:pPr>
    </w:p>
    <w:p w:rsidR="00930A10" w:rsidRPr="00046243" w:rsidRDefault="00930A10" w:rsidP="009C7A21">
      <w:pPr>
        <w:pStyle w:val="Ttulo1"/>
        <w:numPr>
          <w:ilvl w:val="0"/>
          <w:numId w:val="0"/>
        </w:numPr>
        <w:spacing w:after="240" w:line="240" w:lineRule="auto"/>
        <w:ind w:left="720"/>
        <w:rPr>
          <w:rFonts w:ascii="Times New Roman" w:hAnsi="Times New Roman" w:cs="Times New Roman"/>
          <w:color w:val="auto"/>
          <w:sz w:val="24"/>
          <w:szCs w:val="24"/>
        </w:rPr>
      </w:pPr>
    </w:p>
    <w:p w:rsidR="00930A10" w:rsidRPr="00046243" w:rsidRDefault="00930A10" w:rsidP="009C7A21">
      <w:pPr>
        <w:spacing w:after="240" w:line="240" w:lineRule="auto"/>
        <w:rPr>
          <w:rFonts w:ascii="Times New Roman" w:hAnsi="Times New Roman" w:cs="Times New Roman"/>
          <w:sz w:val="24"/>
          <w:szCs w:val="24"/>
        </w:rPr>
      </w:pPr>
    </w:p>
    <w:p w:rsidR="00930A10" w:rsidRPr="00046243" w:rsidRDefault="00930A10" w:rsidP="009C7A21">
      <w:pPr>
        <w:spacing w:after="240" w:line="240" w:lineRule="auto"/>
        <w:rPr>
          <w:rFonts w:ascii="Times New Roman" w:hAnsi="Times New Roman" w:cs="Times New Roman"/>
          <w:sz w:val="24"/>
          <w:szCs w:val="24"/>
        </w:rPr>
      </w:pPr>
    </w:p>
    <w:p w:rsidR="00930A10" w:rsidRPr="00046243" w:rsidRDefault="00930A10" w:rsidP="009C7A21">
      <w:pPr>
        <w:spacing w:after="240" w:line="240" w:lineRule="auto"/>
        <w:rPr>
          <w:rFonts w:ascii="Times New Roman" w:hAnsi="Times New Roman" w:cs="Times New Roman"/>
          <w:sz w:val="24"/>
          <w:szCs w:val="24"/>
        </w:rPr>
      </w:pPr>
    </w:p>
    <w:p w:rsidR="00930A10" w:rsidRPr="00046243" w:rsidRDefault="00930A10" w:rsidP="009C7A21">
      <w:pPr>
        <w:spacing w:after="240" w:line="240" w:lineRule="auto"/>
        <w:rPr>
          <w:rFonts w:ascii="Times New Roman" w:hAnsi="Times New Roman" w:cs="Times New Roman"/>
          <w:sz w:val="24"/>
          <w:szCs w:val="24"/>
        </w:rPr>
      </w:pPr>
    </w:p>
    <w:p w:rsidR="00930A10" w:rsidRPr="00046243" w:rsidRDefault="00930A10" w:rsidP="009C7A21">
      <w:pPr>
        <w:spacing w:after="240" w:line="240" w:lineRule="auto"/>
        <w:rPr>
          <w:rFonts w:ascii="Times New Roman" w:hAnsi="Times New Roman" w:cs="Times New Roman"/>
          <w:sz w:val="24"/>
          <w:szCs w:val="24"/>
        </w:rPr>
      </w:pPr>
    </w:p>
    <w:p w:rsidR="00930A10" w:rsidRPr="00046243" w:rsidRDefault="00930A10" w:rsidP="009C7A21">
      <w:pPr>
        <w:spacing w:after="240" w:line="240" w:lineRule="auto"/>
        <w:rPr>
          <w:rFonts w:ascii="Times New Roman" w:hAnsi="Times New Roman" w:cs="Times New Roman"/>
          <w:sz w:val="24"/>
          <w:szCs w:val="24"/>
        </w:rPr>
      </w:pPr>
    </w:p>
    <w:p w:rsidR="00930A10" w:rsidRPr="00046243" w:rsidRDefault="00930A10" w:rsidP="009C7A21">
      <w:pPr>
        <w:spacing w:after="240" w:line="240" w:lineRule="auto"/>
        <w:rPr>
          <w:rFonts w:ascii="Times New Roman" w:hAnsi="Times New Roman" w:cs="Times New Roman"/>
          <w:sz w:val="24"/>
          <w:szCs w:val="24"/>
        </w:rPr>
      </w:pPr>
    </w:p>
    <w:p w:rsidR="00930A10" w:rsidRPr="00046243" w:rsidRDefault="00930A10" w:rsidP="009C7A21">
      <w:pPr>
        <w:spacing w:after="240" w:line="240" w:lineRule="auto"/>
        <w:rPr>
          <w:rFonts w:ascii="Times New Roman" w:hAnsi="Times New Roman" w:cs="Times New Roman"/>
          <w:sz w:val="24"/>
          <w:szCs w:val="24"/>
        </w:rPr>
      </w:pPr>
    </w:p>
    <w:p w:rsidR="00930A10" w:rsidRPr="00046243" w:rsidRDefault="00930A10" w:rsidP="009C7A21">
      <w:pPr>
        <w:spacing w:after="240" w:line="240" w:lineRule="auto"/>
        <w:rPr>
          <w:rFonts w:ascii="Times New Roman" w:hAnsi="Times New Roman" w:cs="Times New Roman"/>
          <w:sz w:val="24"/>
          <w:szCs w:val="24"/>
        </w:rPr>
      </w:pPr>
    </w:p>
    <w:p w:rsidR="00930A10" w:rsidRPr="00046243" w:rsidRDefault="00930A10" w:rsidP="009C7A21">
      <w:pPr>
        <w:spacing w:after="240" w:line="240" w:lineRule="auto"/>
        <w:rPr>
          <w:rFonts w:ascii="Times New Roman" w:hAnsi="Times New Roman" w:cs="Times New Roman"/>
          <w:sz w:val="24"/>
          <w:szCs w:val="24"/>
        </w:rPr>
      </w:pPr>
    </w:p>
    <w:p w:rsidR="00930A10" w:rsidRPr="00046243" w:rsidRDefault="00930A10" w:rsidP="009C7A21">
      <w:pPr>
        <w:spacing w:after="240" w:line="240" w:lineRule="auto"/>
        <w:rPr>
          <w:rFonts w:ascii="Times New Roman" w:hAnsi="Times New Roman" w:cs="Times New Roman"/>
          <w:sz w:val="24"/>
          <w:szCs w:val="24"/>
        </w:rPr>
      </w:pPr>
    </w:p>
    <w:p w:rsidR="00930A10" w:rsidRPr="00046243" w:rsidRDefault="00930A10" w:rsidP="009C7A21">
      <w:pPr>
        <w:spacing w:after="240" w:line="240" w:lineRule="auto"/>
        <w:rPr>
          <w:rFonts w:ascii="Times New Roman" w:hAnsi="Times New Roman" w:cs="Times New Roman"/>
          <w:sz w:val="24"/>
          <w:szCs w:val="24"/>
        </w:rPr>
      </w:pPr>
    </w:p>
    <w:p w:rsidR="00930A10" w:rsidRPr="00046243" w:rsidRDefault="00930A10" w:rsidP="009C7A21">
      <w:pPr>
        <w:spacing w:after="240" w:line="240" w:lineRule="auto"/>
        <w:rPr>
          <w:rFonts w:ascii="Times New Roman" w:hAnsi="Times New Roman" w:cs="Times New Roman"/>
          <w:sz w:val="24"/>
          <w:szCs w:val="24"/>
        </w:rPr>
      </w:pPr>
    </w:p>
    <w:p w:rsidR="003411AD" w:rsidRPr="00046243" w:rsidRDefault="003411AD" w:rsidP="009C7A21">
      <w:pPr>
        <w:spacing w:after="240" w:line="240" w:lineRule="auto"/>
        <w:rPr>
          <w:rFonts w:ascii="Times New Roman" w:hAnsi="Times New Roman" w:cs="Times New Roman"/>
          <w:sz w:val="24"/>
          <w:szCs w:val="24"/>
        </w:rPr>
      </w:pPr>
    </w:p>
    <w:p w:rsidR="003411AD" w:rsidRPr="00046243" w:rsidRDefault="003411AD" w:rsidP="009C7A21">
      <w:pPr>
        <w:spacing w:after="240" w:line="240" w:lineRule="auto"/>
        <w:rPr>
          <w:rFonts w:ascii="Times New Roman" w:hAnsi="Times New Roman" w:cs="Times New Roman"/>
          <w:sz w:val="24"/>
          <w:szCs w:val="24"/>
        </w:rPr>
      </w:pPr>
    </w:p>
    <w:p w:rsidR="003411AD" w:rsidRPr="00046243" w:rsidRDefault="003411AD" w:rsidP="009C7A21">
      <w:pPr>
        <w:spacing w:after="240" w:line="240" w:lineRule="auto"/>
        <w:rPr>
          <w:rFonts w:ascii="Times New Roman" w:hAnsi="Times New Roman" w:cs="Times New Roman"/>
          <w:sz w:val="24"/>
          <w:szCs w:val="24"/>
        </w:rPr>
      </w:pPr>
    </w:p>
    <w:p w:rsidR="003411AD" w:rsidRPr="00046243" w:rsidRDefault="003411AD" w:rsidP="009C7A21">
      <w:pPr>
        <w:spacing w:after="240" w:line="240" w:lineRule="auto"/>
        <w:rPr>
          <w:rFonts w:ascii="Times New Roman" w:hAnsi="Times New Roman" w:cs="Times New Roman"/>
          <w:sz w:val="24"/>
          <w:szCs w:val="24"/>
        </w:rPr>
      </w:pPr>
    </w:p>
    <w:p w:rsidR="001B0EA8" w:rsidRPr="00046243" w:rsidRDefault="001B0EA8" w:rsidP="009C7A21">
      <w:pPr>
        <w:spacing w:after="240" w:line="240" w:lineRule="auto"/>
        <w:rPr>
          <w:rFonts w:ascii="Times New Roman" w:hAnsi="Times New Roman" w:cs="Times New Roman"/>
          <w:sz w:val="24"/>
          <w:szCs w:val="24"/>
        </w:rPr>
      </w:pPr>
      <w:r w:rsidRPr="00046243">
        <w:rPr>
          <w:rFonts w:ascii="Times New Roman" w:hAnsi="Times New Roman" w:cs="Times New Roman"/>
          <w:sz w:val="24"/>
          <w:szCs w:val="24"/>
        </w:rPr>
        <w:br w:type="page"/>
      </w:r>
    </w:p>
    <w:p w:rsidR="003411AD" w:rsidRPr="00046243" w:rsidRDefault="003411AD" w:rsidP="009C7A21">
      <w:pPr>
        <w:spacing w:after="240" w:line="240" w:lineRule="auto"/>
        <w:rPr>
          <w:rFonts w:ascii="Times New Roman" w:hAnsi="Times New Roman" w:cs="Times New Roman"/>
          <w:sz w:val="24"/>
          <w:szCs w:val="24"/>
        </w:rPr>
      </w:pPr>
    </w:p>
    <w:p w:rsidR="00FE1A1D" w:rsidRPr="00046243" w:rsidRDefault="00C1553B" w:rsidP="009C7A21">
      <w:pPr>
        <w:pStyle w:val="Ttulo1"/>
        <w:numPr>
          <w:ilvl w:val="0"/>
          <w:numId w:val="0"/>
        </w:numPr>
        <w:spacing w:after="240" w:line="240" w:lineRule="auto"/>
        <w:jc w:val="center"/>
        <w:rPr>
          <w:rFonts w:ascii="Times New Roman" w:hAnsi="Times New Roman" w:cs="Times New Roman"/>
          <w:color w:val="auto"/>
          <w:sz w:val="24"/>
          <w:szCs w:val="24"/>
        </w:rPr>
      </w:pPr>
      <w:bookmarkStart w:id="1" w:name="_Toc431190856"/>
      <w:r w:rsidRPr="00046243">
        <w:rPr>
          <w:rFonts w:ascii="Times New Roman" w:hAnsi="Times New Roman" w:cs="Times New Roman"/>
          <w:smallCaps/>
          <w:color w:val="auto"/>
          <w:sz w:val="24"/>
          <w:szCs w:val="24"/>
        </w:rPr>
        <w:t>Informa</w:t>
      </w:r>
      <w:r w:rsidR="00BA3063" w:rsidRPr="00046243">
        <w:rPr>
          <w:rFonts w:ascii="Times New Roman" w:hAnsi="Times New Roman" w:cs="Times New Roman"/>
          <w:smallCaps/>
          <w:color w:val="auto"/>
          <w:sz w:val="24"/>
          <w:szCs w:val="24"/>
        </w:rPr>
        <w:t>ção</w:t>
      </w:r>
      <w:r w:rsidRPr="00046243">
        <w:rPr>
          <w:rFonts w:ascii="Times New Roman" w:hAnsi="Times New Roman" w:cs="Times New Roman"/>
          <w:smallCaps/>
          <w:color w:val="auto"/>
          <w:sz w:val="24"/>
          <w:szCs w:val="24"/>
        </w:rPr>
        <w:t xml:space="preserve"> Básica</w:t>
      </w:r>
      <w:r w:rsidR="0090079C" w:rsidRPr="00046243">
        <w:rPr>
          <w:rFonts w:ascii="Times New Roman" w:hAnsi="Times New Roman" w:cs="Times New Roman"/>
          <w:smallCaps/>
          <w:color w:val="auto"/>
          <w:sz w:val="24"/>
          <w:szCs w:val="24"/>
        </w:rPr>
        <w:t xml:space="preserve"> </w:t>
      </w:r>
      <w:r w:rsidR="008B2667" w:rsidRPr="00046243">
        <w:rPr>
          <w:rFonts w:ascii="Times New Roman" w:hAnsi="Times New Roman" w:cs="Times New Roman"/>
          <w:smallCaps/>
          <w:color w:val="auto"/>
          <w:sz w:val="24"/>
          <w:szCs w:val="24"/>
        </w:rPr>
        <w:t>(</w:t>
      </w:r>
      <w:r w:rsidR="00BA3063" w:rsidRPr="00046243">
        <w:rPr>
          <w:rFonts w:ascii="Times New Roman" w:hAnsi="Times New Roman" w:cs="Times New Roman"/>
          <w:smallCaps/>
          <w:color w:val="auto"/>
          <w:sz w:val="24"/>
          <w:szCs w:val="24"/>
        </w:rPr>
        <w:t>valores</w:t>
      </w:r>
      <w:r w:rsidRPr="00046243">
        <w:rPr>
          <w:rFonts w:ascii="Times New Roman" w:hAnsi="Times New Roman" w:cs="Times New Roman"/>
          <w:smallCaps/>
          <w:color w:val="auto"/>
          <w:sz w:val="24"/>
          <w:szCs w:val="24"/>
        </w:rPr>
        <w:t xml:space="preserve"> e</w:t>
      </w:r>
      <w:r w:rsidR="00BA3063" w:rsidRPr="00046243">
        <w:rPr>
          <w:rFonts w:ascii="Times New Roman" w:hAnsi="Times New Roman" w:cs="Times New Roman"/>
          <w:smallCaps/>
          <w:color w:val="auto"/>
          <w:sz w:val="24"/>
          <w:szCs w:val="24"/>
        </w:rPr>
        <w:t>m</w:t>
      </w:r>
      <w:r w:rsidRPr="00046243">
        <w:rPr>
          <w:rFonts w:ascii="Times New Roman" w:hAnsi="Times New Roman" w:cs="Times New Roman"/>
          <w:smallCaps/>
          <w:color w:val="auto"/>
          <w:sz w:val="24"/>
          <w:szCs w:val="24"/>
        </w:rPr>
        <w:t xml:space="preserve"> dólares americanos</w:t>
      </w:r>
      <w:r w:rsidR="00FE1A1D" w:rsidRPr="00046243">
        <w:rPr>
          <w:rFonts w:ascii="Times New Roman" w:hAnsi="Times New Roman" w:cs="Times New Roman"/>
          <w:smallCaps/>
          <w:color w:val="auto"/>
          <w:sz w:val="24"/>
          <w:szCs w:val="24"/>
        </w:rPr>
        <w:t xml:space="preserve"> </w:t>
      </w:r>
      <w:r w:rsidR="0090079C" w:rsidRPr="00046243">
        <w:rPr>
          <w:rFonts w:ascii="Times New Roman" w:hAnsi="Times New Roman" w:cs="Times New Roman"/>
          <w:smallCaps/>
          <w:color w:val="auto"/>
          <w:sz w:val="24"/>
          <w:szCs w:val="24"/>
        </w:rPr>
        <w:t>US$)</w:t>
      </w:r>
      <w:bookmarkEnd w:id="1"/>
      <w:r w:rsidR="00FE1A1D" w:rsidRPr="00046243">
        <w:rPr>
          <w:rFonts w:ascii="Times New Roman" w:hAnsi="Times New Roman" w:cs="Times New Roman"/>
          <w:color w:val="auto"/>
          <w:sz w:val="24"/>
          <w:szCs w:val="24"/>
        </w:rPr>
        <w:tab/>
      </w: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9576"/>
      </w:tblGrid>
      <w:tr w:rsidR="00FE1A1D" w:rsidRPr="00046243" w:rsidTr="00CB1713">
        <w:tc>
          <w:tcPr>
            <w:tcW w:w="9576" w:type="dxa"/>
            <w:shd w:val="clear" w:color="auto" w:fill="DBE5F1" w:themeFill="accent1" w:themeFillTint="33"/>
          </w:tcPr>
          <w:p w:rsidR="00FE1A1D" w:rsidRPr="00046243" w:rsidRDefault="00FE1A1D" w:rsidP="005D4060">
            <w:pPr>
              <w:rPr>
                <w:bCs/>
                <w:smallCaps/>
              </w:rPr>
            </w:pPr>
            <w:r w:rsidRPr="00046243">
              <w:rPr>
                <w:bCs/>
                <w:smallCaps/>
              </w:rPr>
              <w:t>Número d</w:t>
            </w:r>
            <w:r w:rsidR="00BA3063" w:rsidRPr="00046243">
              <w:rPr>
                <w:bCs/>
                <w:smallCaps/>
              </w:rPr>
              <w:t>o</w:t>
            </w:r>
            <w:r w:rsidRPr="00046243">
              <w:rPr>
                <w:bCs/>
                <w:smallCaps/>
              </w:rPr>
              <w:t xml:space="preserve"> pro</w:t>
            </w:r>
            <w:r w:rsidR="00BA3063" w:rsidRPr="00046243">
              <w:rPr>
                <w:bCs/>
                <w:smallCaps/>
              </w:rPr>
              <w:t>je</w:t>
            </w:r>
            <w:r w:rsidRPr="00046243">
              <w:rPr>
                <w:bCs/>
                <w:smallCaps/>
              </w:rPr>
              <w:t>to (s):</w:t>
            </w:r>
            <w:r w:rsidR="001A102A" w:rsidRPr="00046243">
              <w:rPr>
                <w:bCs/>
                <w:smallCaps/>
              </w:rPr>
              <w:t xml:space="preserve"> BR-L1093</w:t>
            </w:r>
          </w:p>
        </w:tc>
      </w:tr>
      <w:tr w:rsidR="00FE1A1D" w:rsidRPr="00046243" w:rsidTr="00CB1713">
        <w:tc>
          <w:tcPr>
            <w:tcW w:w="9576" w:type="dxa"/>
            <w:shd w:val="clear" w:color="auto" w:fill="DBE5F1" w:themeFill="accent1" w:themeFillTint="33"/>
          </w:tcPr>
          <w:p w:rsidR="00FE1A1D" w:rsidRPr="00046243" w:rsidRDefault="00FE1A1D" w:rsidP="005D4060">
            <w:pPr>
              <w:tabs>
                <w:tab w:val="left" w:pos="1440"/>
                <w:tab w:val="left" w:pos="3060"/>
              </w:tabs>
              <w:jc w:val="both"/>
              <w:rPr>
                <w:rFonts w:eastAsia="Batang"/>
                <w:i/>
              </w:rPr>
            </w:pPr>
            <w:r w:rsidRPr="00046243">
              <w:rPr>
                <w:smallCaps/>
              </w:rPr>
              <w:t>Título:</w:t>
            </w:r>
            <w:r w:rsidR="001A102A" w:rsidRPr="00046243">
              <w:rPr>
                <w:smallCaps/>
              </w:rPr>
              <w:t xml:space="preserve"> </w:t>
            </w:r>
            <w:r w:rsidR="001A102A" w:rsidRPr="00046243">
              <w:rPr>
                <w:rFonts w:eastAsia="Batang"/>
                <w:i/>
              </w:rPr>
              <w:t xml:space="preserve">Programa de Apoio à Modernização e à Transparência da Gestão Fiscal do Estado do Pará (PROGEFAZ). </w:t>
            </w:r>
          </w:p>
        </w:tc>
      </w:tr>
      <w:tr w:rsidR="00FE1A1D" w:rsidRPr="00046243" w:rsidTr="00CB1713">
        <w:tc>
          <w:tcPr>
            <w:tcW w:w="9576" w:type="dxa"/>
            <w:shd w:val="clear" w:color="auto" w:fill="DBE5F1" w:themeFill="accent1" w:themeFillTint="33"/>
          </w:tcPr>
          <w:p w:rsidR="00FE1A1D" w:rsidRPr="00046243" w:rsidRDefault="00FE1A1D" w:rsidP="005D4060">
            <w:r w:rsidRPr="00046243">
              <w:rPr>
                <w:smallCaps/>
              </w:rPr>
              <w:t xml:space="preserve">Instrumento de </w:t>
            </w:r>
            <w:r w:rsidR="00BA3063" w:rsidRPr="00046243">
              <w:rPr>
                <w:smallCaps/>
              </w:rPr>
              <w:t>empréstimo</w:t>
            </w:r>
            <w:r w:rsidRPr="00046243">
              <w:rPr>
                <w:smallCaps/>
              </w:rPr>
              <w:t>:</w:t>
            </w:r>
            <w:r w:rsidR="001A102A" w:rsidRPr="00046243">
              <w:rPr>
                <w:smallCaps/>
              </w:rPr>
              <w:t xml:space="preserve"> 2078/OC-BR</w:t>
            </w:r>
          </w:p>
        </w:tc>
      </w:tr>
      <w:tr w:rsidR="00FE1A1D" w:rsidRPr="00046243" w:rsidTr="00CB1713">
        <w:tc>
          <w:tcPr>
            <w:tcW w:w="9576" w:type="dxa"/>
            <w:shd w:val="clear" w:color="auto" w:fill="DBE5F1" w:themeFill="accent1" w:themeFillTint="33"/>
          </w:tcPr>
          <w:p w:rsidR="00FE1A1D" w:rsidRPr="00046243" w:rsidRDefault="00FE1A1D" w:rsidP="005D4060">
            <w:pPr>
              <w:rPr>
                <w:smallCaps/>
              </w:rPr>
            </w:pPr>
            <w:r w:rsidRPr="00046243">
              <w:rPr>
                <w:smallCaps/>
              </w:rPr>
              <w:t>País:</w:t>
            </w:r>
            <w:r w:rsidR="001A102A" w:rsidRPr="00046243">
              <w:rPr>
                <w:smallCaps/>
              </w:rPr>
              <w:t xml:space="preserve"> Brasil </w:t>
            </w:r>
          </w:p>
        </w:tc>
      </w:tr>
      <w:tr w:rsidR="00FE1A1D" w:rsidRPr="00046243" w:rsidTr="00CB1713">
        <w:tc>
          <w:tcPr>
            <w:tcW w:w="9576" w:type="dxa"/>
            <w:shd w:val="clear" w:color="auto" w:fill="DBE5F1" w:themeFill="accent1" w:themeFillTint="33"/>
          </w:tcPr>
          <w:p w:rsidR="00FE1A1D" w:rsidRPr="00046243" w:rsidRDefault="00BA3063" w:rsidP="005D4060">
            <w:pPr>
              <w:rPr>
                <w:smallCaps/>
              </w:rPr>
            </w:pPr>
            <w:r w:rsidRPr="00046243">
              <w:rPr>
                <w:smallCaps/>
              </w:rPr>
              <w:t>Mutuário</w:t>
            </w:r>
            <w:r w:rsidR="00FE1A1D" w:rsidRPr="00046243">
              <w:rPr>
                <w:smallCaps/>
              </w:rPr>
              <w:t>:</w:t>
            </w:r>
            <w:r w:rsidR="001A102A" w:rsidRPr="00046243">
              <w:rPr>
                <w:smallCaps/>
              </w:rPr>
              <w:t xml:space="preserve"> Estado do Pará </w:t>
            </w:r>
          </w:p>
        </w:tc>
      </w:tr>
      <w:tr w:rsidR="00FE1A1D" w:rsidRPr="00046243" w:rsidTr="00CB1713">
        <w:tc>
          <w:tcPr>
            <w:tcW w:w="9576" w:type="dxa"/>
            <w:shd w:val="clear" w:color="auto" w:fill="DBE5F1" w:themeFill="accent1" w:themeFillTint="33"/>
          </w:tcPr>
          <w:p w:rsidR="00FE1A1D" w:rsidRPr="00046243" w:rsidRDefault="00BA3063" w:rsidP="005D4060">
            <w:pPr>
              <w:rPr>
                <w:smallCaps/>
              </w:rPr>
            </w:pPr>
            <w:r w:rsidRPr="00046243">
              <w:rPr>
                <w:smallCaps/>
              </w:rPr>
              <w:t>Empréstimo</w:t>
            </w:r>
            <w:r w:rsidR="00FE1A1D" w:rsidRPr="00046243">
              <w:rPr>
                <w:smallCaps/>
              </w:rPr>
              <w:t xml:space="preserve"> (s):</w:t>
            </w:r>
            <w:r w:rsidR="001A102A" w:rsidRPr="00046243">
              <w:rPr>
                <w:smallCaps/>
              </w:rPr>
              <w:t xml:space="preserve"> Investimento </w:t>
            </w:r>
          </w:p>
        </w:tc>
      </w:tr>
      <w:tr w:rsidR="00FE1A1D" w:rsidRPr="00046243" w:rsidTr="00CB1713">
        <w:tc>
          <w:tcPr>
            <w:tcW w:w="9576" w:type="dxa"/>
            <w:shd w:val="clear" w:color="auto" w:fill="DBE5F1" w:themeFill="accent1" w:themeFillTint="33"/>
          </w:tcPr>
          <w:p w:rsidR="00FE1A1D" w:rsidRPr="00046243" w:rsidRDefault="00FE1A1D" w:rsidP="005D4060">
            <w:pPr>
              <w:rPr>
                <w:smallCaps/>
              </w:rPr>
            </w:pPr>
            <w:r w:rsidRPr="00046243">
              <w:rPr>
                <w:smallCaps/>
              </w:rPr>
              <w:t>Setor/Subsetor:</w:t>
            </w:r>
            <w:r w:rsidR="005D4060" w:rsidRPr="00046243">
              <w:rPr>
                <w:smallCaps/>
              </w:rPr>
              <w:t xml:space="preserve"> Reforma e Modernização Fiscal</w:t>
            </w:r>
          </w:p>
        </w:tc>
      </w:tr>
      <w:tr w:rsidR="00FE1A1D" w:rsidRPr="00046243" w:rsidTr="00CB1713">
        <w:tc>
          <w:tcPr>
            <w:tcW w:w="9576" w:type="dxa"/>
          </w:tcPr>
          <w:p w:rsidR="00FE1A1D" w:rsidRPr="00046243" w:rsidRDefault="00FE1A1D" w:rsidP="005D4060"/>
        </w:tc>
      </w:tr>
      <w:tr w:rsidR="00FE1A1D" w:rsidRPr="00046243" w:rsidTr="00CB1713">
        <w:tc>
          <w:tcPr>
            <w:tcW w:w="9576" w:type="dxa"/>
            <w:shd w:val="clear" w:color="auto" w:fill="F2F2F2" w:themeFill="background1" w:themeFillShade="F2"/>
          </w:tcPr>
          <w:p w:rsidR="00FE1A1D" w:rsidRPr="00046243" w:rsidRDefault="00BA3063" w:rsidP="005D4060">
            <w:pPr>
              <w:rPr>
                <w:smallCaps/>
              </w:rPr>
            </w:pPr>
            <w:r w:rsidRPr="00046243">
              <w:rPr>
                <w:smallCaps/>
              </w:rPr>
              <w:t>Data</w:t>
            </w:r>
            <w:r w:rsidR="00FE1A1D" w:rsidRPr="00046243">
              <w:rPr>
                <w:smallCaps/>
              </w:rPr>
              <w:t xml:space="preserve"> d</w:t>
            </w:r>
            <w:r w:rsidRPr="00046243">
              <w:rPr>
                <w:smallCaps/>
              </w:rPr>
              <w:t>a</w:t>
            </w:r>
            <w:r w:rsidR="00FE1A1D" w:rsidRPr="00046243">
              <w:rPr>
                <w:smallCaps/>
              </w:rPr>
              <w:t xml:space="preserve"> Apro</w:t>
            </w:r>
            <w:r w:rsidRPr="00046243">
              <w:rPr>
                <w:smallCaps/>
              </w:rPr>
              <w:t>vação na</w:t>
            </w:r>
            <w:r w:rsidR="00FE1A1D" w:rsidRPr="00046243">
              <w:rPr>
                <w:smallCaps/>
              </w:rPr>
              <w:t xml:space="preserve"> Dire</w:t>
            </w:r>
            <w:r w:rsidRPr="00046243">
              <w:rPr>
                <w:smallCaps/>
              </w:rPr>
              <w:t>toria</w:t>
            </w:r>
            <w:r w:rsidR="00FE1A1D" w:rsidRPr="00046243">
              <w:rPr>
                <w:smallCaps/>
              </w:rPr>
              <w:t>:</w:t>
            </w:r>
            <w:r w:rsidR="001A102A" w:rsidRPr="00046243">
              <w:t xml:space="preserve"> </w:t>
            </w:r>
            <w:r w:rsidR="001A102A" w:rsidRPr="00046243">
              <w:rPr>
                <w:smallCaps/>
              </w:rPr>
              <w:t>02 de dezembro de 2008</w:t>
            </w:r>
          </w:p>
        </w:tc>
      </w:tr>
      <w:tr w:rsidR="00FE1A1D" w:rsidRPr="00046243" w:rsidTr="00CB1713">
        <w:tc>
          <w:tcPr>
            <w:tcW w:w="9576" w:type="dxa"/>
            <w:shd w:val="clear" w:color="auto" w:fill="F2F2F2" w:themeFill="background1" w:themeFillShade="F2"/>
          </w:tcPr>
          <w:p w:rsidR="00FE1A1D" w:rsidRPr="00046243" w:rsidRDefault="00BA3063" w:rsidP="005D4060">
            <w:pPr>
              <w:rPr>
                <w:smallCaps/>
              </w:rPr>
            </w:pPr>
            <w:r w:rsidRPr="00046243">
              <w:rPr>
                <w:smallCaps/>
              </w:rPr>
              <w:t>Data da</w:t>
            </w:r>
            <w:r w:rsidR="00FE1A1D" w:rsidRPr="00046243">
              <w:rPr>
                <w:smallCaps/>
              </w:rPr>
              <w:t xml:space="preserve"> Efetividad</w:t>
            </w:r>
            <w:r w:rsidRPr="00046243">
              <w:rPr>
                <w:smallCaps/>
              </w:rPr>
              <w:t>e</w:t>
            </w:r>
            <w:r w:rsidR="00FE1A1D" w:rsidRPr="00046243">
              <w:rPr>
                <w:smallCaps/>
              </w:rPr>
              <w:t xml:space="preserve"> contrato de </w:t>
            </w:r>
            <w:r w:rsidRPr="00046243">
              <w:rPr>
                <w:smallCaps/>
              </w:rPr>
              <w:t>empréstimo</w:t>
            </w:r>
            <w:r w:rsidR="00FE1A1D" w:rsidRPr="00046243">
              <w:rPr>
                <w:smallCaps/>
              </w:rPr>
              <w:t xml:space="preserve">: </w:t>
            </w:r>
            <w:r w:rsidR="001A102A" w:rsidRPr="00046243">
              <w:rPr>
                <w:smallCaps/>
              </w:rPr>
              <w:t>28 de setembro de 2009</w:t>
            </w:r>
          </w:p>
        </w:tc>
      </w:tr>
      <w:tr w:rsidR="00FE1A1D" w:rsidRPr="00046243" w:rsidTr="00CB1713">
        <w:tc>
          <w:tcPr>
            <w:tcW w:w="9576" w:type="dxa"/>
            <w:shd w:val="clear" w:color="auto" w:fill="F2F2F2" w:themeFill="background1" w:themeFillShade="F2"/>
          </w:tcPr>
          <w:p w:rsidR="00FE1A1D" w:rsidRPr="00046243" w:rsidRDefault="00BA3063" w:rsidP="005D4060">
            <w:pPr>
              <w:rPr>
                <w:smallCaps/>
              </w:rPr>
            </w:pPr>
            <w:r w:rsidRPr="00046243">
              <w:rPr>
                <w:smallCaps/>
              </w:rPr>
              <w:t>Data da</w:t>
            </w:r>
            <w:r w:rsidR="00FE1A1D" w:rsidRPr="00046243">
              <w:rPr>
                <w:smallCaps/>
              </w:rPr>
              <w:t xml:space="preserve"> Elegibilidad</w:t>
            </w:r>
            <w:r w:rsidRPr="00046243">
              <w:rPr>
                <w:smallCaps/>
              </w:rPr>
              <w:t>e</w:t>
            </w:r>
            <w:r w:rsidR="00FE1A1D" w:rsidRPr="00046243">
              <w:rPr>
                <w:smallCaps/>
              </w:rPr>
              <w:t xml:space="preserve"> </w:t>
            </w:r>
            <w:r w:rsidRPr="00046243">
              <w:rPr>
                <w:smallCaps/>
              </w:rPr>
              <w:t xml:space="preserve">para o </w:t>
            </w:r>
            <w:r w:rsidR="001A102A" w:rsidRPr="00046243">
              <w:rPr>
                <w:smallCaps/>
              </w:rPr>
              <w:t>primeiro</w:t>
            </w:r>
            <w:r w:rsidR="00FE1A1D" w:rsidRPr="00046243">
              <w:rPr>
                <w:smallCaps/>
              </w:rPr>
              <w:t xml:space="preserve"> desembolso:</w:t>
            </w:r>
            <w:r w:rsidR="001A102A" w:rsidRPr="00046243">
              <w:t xml:space="preserve"> </w:t>
            </w:r>
            <w:r w:rsidR="001A102A" w:rsidRPr="00046243">
              <w:rPr>
                <w:smallCaps/>
              </w:rPr>
              <w:t>16 de novembro de 2009</w:t>
            </w:r>
          </w:p>
        </w:tc>
      </w:tr>
      <w:tr w:rsidR="00FE1A1D" w:rsidRPr="00046243" w:rsidTr="00CB1713">
        <w:tc>
          <w:tcPr>
            <w:tcW w:w="9576" w:type="dxa"/>
          </w:tcPr>
          <w:p w:rsidR="00FE1A1D" w:rsidRPr="00046243" w:rsidRDefault="00FE1A1D" w:rsidP="005D4060">
            <w:pPr>
              <w:rPr>
                <w:u w:val="single"/>
              </w:rPr>
            </w:pPr>
          </w:p>
        </w:tc>
      </w:tr>
      <w:tr w:rsidR="00FE1A1D" w:rsidRPr="00046243" w:rsidTr="00CB1713">
        <w:tc>
          <w:tcPr>
            <w:tcW w:w="9576" w:type="dxa"/>
            <w:shd w:val="clear" w:color="auto" w:fill="DBE5F1" w:themeFill="accent1" w:themeFillTint="33"/>
          </w:tcPr>
          <w:p w:rsidR="00FE1A1D" w:rsidRPr="00046243" w:rsidRDefault="00BA3063" w:rsidP="005D4060">
            <w:pPr>
              <w:rPr>
                <w:smallCaps/>
                <w:u w:val="single"/>
              </w:rPr>
            </w:pPr>
            <w:r w:rsidRPr="00046243">
              <w:rPr>
                <w:smallCaps/>
                <w:u w:val="single"/>
              </w:rPr>
              <w:t>Valor do</w:t>
            </w:r>
            <w:r w:rsidR="00FE1A1D" w:rsidRPr="00046243">
              <w:rPr>
                <w:smallCaps/>
                <w:u w:val="single"/>
              </w:rPr>
              <w:t xml:space="preserve"> </w:t>
            </w:r>
            <w:r w:rsidRPr="00046243">
              <w:rPr>
                <w:smallCaps/>
                <w:u w:val="single"/>
              </w:rPr>
              <w:t>empréstimo</w:t>
            </w:r>
            <w:r w:rsidR="00FE1A1D" w:rsidRPr="00046243">
              <w:rPr>
                <w:smallCaps/>
                <w:u w:val="single"/>
              </w:rPr>
              <w:t xml:space="preserve"> (s)</w:t>
            </w:r>
          </w:p>
        </w:tc>
      </w:tr>
      <w:tr w:rsidR="00FE1A1D" w:rsidRPr="00046243" w:rsidTr="00CB1713">
        <w:tc>
          <w:tcPr>
            <w:tcW w:w="9576" w:type="dxa"/>
            <w:shd w:val="clear" w:color="auto" w:fill="DBE5F1" w:themeFill="accent1" w:themeFillTint="33"/>
          </w:tcPr>
          <w:p w:rsidR="00FE1A1D" w:rsidRPr="00046243" w:rsidRDefault="00BA3063" w:rsidP="005D4060">
            <w:pPr>
              <w:rPr>
                <w:smallCaps/>
              </w:rPr>
            </w:pPr>
            <w:r w:rsidRPr="00046243">
              <w:rPr>
                <w:smallCaps/>
              </w:rPr>
              <w:t>Valor</w:t>
            </w:r>
            <w:r w:rsidR="00FE1A1D" w:rsidRPr="00046243">
              <w:rPr>
                <w:smallCaps/>
              </w:rPr>
              <w:t xml:space="preserve"> original:</w:t>
            </w:r>
            <w:r w:rsidR="001A102A" w:rsidRPr="00046243">
              <w:rPr>
                <w:smallCaps/>
              </w:rPr>
              <w:t xml:space="preserve"> US$ 10.000.000,00 (dez milhões de dólares)</w:t>
            </w:r>
          </w:p>
        </w:tc>
      </w:tr>
      <w:tr w:rsidR="00FE1A1D" w:rsidRPr="00046243" w:rsidTr="00CB1713">
        <w:tc>
          <w:tcPr>
            <w:tcW w:w="9576" w:type="dxa"/>
            <w:shd w:val="clear" w:color="auto" w:fill="DBE5F1" w:themeFill="accent1" w:themeFillTint="33"/>
          </w:tcPr>
          <w:p w:rsidR="00FE1A1D" w:rsidRPr="00046243" w:rsidRDefault="00BA3063" w:rsidP="005D4060">
            <w:pPr>
              <w:rPr>
                <w:smallCaps/>
              </w:rPr>
            </w:pPr>
            <w:r w:rsidRPr="00046243">
              <w:rPr>
                <w:smallCaps/>
              </w:rPr>
              <w:t>Valor</w:t>
            </w:r>
            <w:r w:rsidR="00FE1A1D" w:rsidRPr="00046243">
              <w:rPr>
                <w:smallCaps/>
              </w:rPr>
              <w:t xml:space="preserve"> atual:</w:t>
            </w:r>
            <w:r w:rsidR="001A102A" w:rsidRPr="00046243">
              <w:rPr>
                <w:smallCaps/>
              </w:rPr>
              <w:t xml:space="preserve"> US$ 10.000.000,00 (dez milhões de dólares)</w:t>
            </w:r>
          </w:p>
        </w:tc>
      </w:tr>
      <w:tr w:rsidR="00FE1A1D" w:rsidRPr="00046243" w:rsidTr="00CB1713">
        <w:tc>
          <w:tcPr>
            <w:tcW w:w="9576" w:type="dxa"/>
            <w:shd w:val="clear" w:color="auto" w:fill="DBE5F1" w:themeFill="accent1" w:themeFillTint="33"/>
          </w:tcPr>
          <w:p w:rsidR="00FE1A1D" w:rsidRPr="00046243" w:rsidRDefault="00FE1A1D" w:rsidP="005D4060">
            <w:pPr>
              <w:rPr>
                <w:smallCaps/>
              </w:rPr>
            </w:pPr>
            <w:r w:rsidRPr="00046243">
              <w:rPr>
                <w:smallCaps/>
              </w:rPr>
              <w:t>Pari Pasu:</w:t>
            </w:r>
            <w:r w:rsidR="001A102A" w:rsidRPr="00046243">
              <w:rPr>
                <w:smallCaps/>
              </w:rPr>
              <w:t xml:space="preserve"> US$ 4.000.000,00 (quatro milhões de dólares)</w:t>
            </w:r>
          </w:p>
        </w:tc>
      </w:tr>
      <w:tr w:rsidR="00FE1A1D" w:rsidRPr="00046243" w:rsidTr="00CB1713">
        <w:tc>
          <w:tcPr>
            <w:tcW w:w="9576" w:type="dxa"/>
            <w:shd w:val="clear" w:color="auto" w:fill="DBE5F1" w:themeFill="accent1" w:themeFillTint="33"/>
          </w:tcPr>
          <w:p w:rsidR="00FE1A1D" w:rsidRPr="00046243" w:rsidRDefault="00BA3063" w:rsidP="005D4060">
            <w:pPr>
              <w:rPr>
                <w:smallCaps/>
              </w:rPr>
            </w:pPr>
            <w:r w:rsidRPr="00046243">
              <w:rPr>
                <w:smallCaps/>
              </w:rPr>
              <w:t>Cu</w:t>
            </w:r>
            <w:r w:rsidR="00FE1A1D" w:rsidRPr="00046243">
              <w:rPr>
                <w:smallCaps/>
              </w:rPr>
              <w:t>sto total d</w:t>
            </w:r>
            <w:r w:rsidRPr="00046243">
              <w:rPr>
                <w:smallCaps/>
              </w:rPr>
              <w:t>o</w:t>
            </w:r>
            <w:r w:rsidR="00FE1A1D" w:rsidRPr="00046243">
              <w:rPr>
                <w:smallCaps/>
              </w:rPr>
              <w:t xml:space="preserve"> pro</w:t>
            </w:r>
            <w:r w:rsidRPr="00046243">
              <w:rPr>
                <w:smallCaps/>
              </w:rPr>
              <w:t>je</w:t>
            </w:r>
            <w:r w:rsidR="00FE1A1D" w:rsidRPr="00046243">
              <w:rPr>
                <w:smallCaps/>
              </w:rPr>
              <w:t>to:</w:t>
            </w:r>
            <w:r w:rsidR="005D4060" w:rsidRPr="00046243">
              <w:rPr>
                <w:smallCaps/>
              </w:rPr>
              <w:t xml:space="preserve"> US$ 14.000.000,00 (Quatorze Milhões de Dólares)</w:t>
            </w:r>
          </w:p>
        </w:tc>
      </w:tr>
      <w:tr w:rsidR="00FE1A1D" w:rsidRPr="00046243" w:rsidTr="00CB1713">
        <w:tc>
          <w:tcPr>
            <w:tcW w:w="9576" w:type="dxa"/>
          </w:tcPr>
          <w:p w:rsidR="00FE1A1D" w:rsidRPr="00046243" w:rsidRDefault="00FE1A1D" w:rsidP="005D4060"/>
        </w:tc>
      </w:tr>
      <w:tr w:rsidR="00FE1A1D" w:rsidRPr="00046243" w:rsidTr="00CB1713">
        <w:tc>
          <w:tcPr>
            <w:tcW w:w="9576" w:type="dxa"/>
            <w:shd w:val="clear" w:color="auto" w:fill="F2F2F2" w:themeFill="background1" w:themeFillShade="F2"/>
          </w:tcPr>
          <w:p w:rsidR="00FE1A1D" w:rsidRPr="00046243" w:rsidRDefault="00BA3063" w:rsidP="005D4060">
            <w:pPr>
              <w:rPr>
                <w:smallCaps/>
                <w:u w:val="single"/>
              </w:rPr>
            </w:pPr>
            <w:r w:rsidRPr="00046243">
              <w:rPr>
                <w:smallCaps/>
                <w:u w:val="single"/>
              </w:rPr>
              <w:t>Meses de ex</w:t>
            </w:r>
            <w:r w:rsidR="00FE1A1D" w:rsidRPr="00046243">
              <w:rPr>
                <w:smallCaps/>
                <w:u w:val="single"/>
              </w:rPr>
              <w:t>ecu</w:t>
            </w:r>
            <w:r w:rsidRPr="00046243">
              <w:rPr>
                <w:smallCaps/>
                <w:u w:val="single"/>
              </w:rPr>
              <w:t>ção</w:t>
            </w:r>
          </w:p>
        </w:tc>
      </w:tr>
      <w:tr w:rsidR="00FE1A1D" w:rsidRPr="00046243" w:rsidTr="00CB1713">
        <w:tc>
          <w:tcPr>
            <w:tcW w:w="9576" w:type="dxa"/>
            <w:shd w:val="clear" w:color="auto" w:fill="F2F2F2" w:themeFill="background1" w:themeFillShade="F2"/>
          </w:tcPr>
          <w:p w:rsidR="00FE1A1D" w:rsidRPr="00046243" w:rsidRDefault="00FE1A1D" w:rsidP="005D4060">
            <w:pPr>
              <w:rPr>
                <w:smallCaps/>
              </w:rPr>
            </w:pPr>
            <w:r w:rsidRPr="00046243">
              <w:rPr>
                <w:smallCaps/>
              </w:rPr>
              <w:t xml:space="preserve">Desde </w:t>
            </w:r>
            <w:r w:rsidR="00BA3063" w:rsidRPr="00046243">
              <w:rPr>
                <w:smallCaps/>
              </w:rPr>
              <w:t xml:space="preserve">a </w:t>
            </w:r>
            <w:r w:rsidRPr="00046243">
              <w:rPr>
                <w:smallCaps/>
              </w:rPr>
              <w:t>apro</w:t>
            </w:r>
            <w:r w:rsidR="00BA3063" w:rsidRPr="00046243">
              <w:rPr>
                <w:smallCaps/>
              </w:rPr>
              <w:t>vação</w:t>
            </w:r>
            <w:r w:rsidRPr="00046243">
              <w:rPr>
                <w:smallCaps/>
              </w:rPr>
              <w:t>:</w:t>
            </w:r>
            <w:r w:rsidR="0016124C" w:rsidRPr="00046243">
              <w:rPr>
                <w:smallCaps/>
              </w:rPr>
              <w:t xml:space="preserve"> 7</w:t>
            </w:r>
            <w:r w:rsidR="003E09D4" w:rsidRPr="00046243">
              <w:rPr>
                <w:smallCaps/>
              </w:rPr>
              <w:t>4 meses em 31/12/2014</w:t>
            </w:r>
          </w:p>
        </w:tc>
      </w:tr>
      <w:tr w:rsidR="00FE1A1D" w:rsidRPr="00046243" w:rsidTr="00CB1713">
        <w:tc>
          <w:tcPr>
            <w:tcW w:w="9576" w:type="dxa"/>
            <w:shd w:val="clear" w:color="auto" w:fill="F2F2F2" w:themeFill="background1" w:themeFillShade="F2"/>
          </w:tcPr>
          <w:p w:rsidR="00FE1A1D" w:rsidRPr="00046243" w:rsidRDefault="00FE1A1D" w:rsidP="005D4060">
            <w:pPr>
              <w:rPr>
                <w:smallCaps/>
              </w:rPr>
            </w:pPr>
            <w:r w:rsidRPr="00046243">
              <w:rPr>
                <w:smallCaps/>
              </w:rPr>
              <w:t xml:space="preserve">Desde </w:t>
            </w:r>
            <w:r w:rsidR="00BA3063" w:rsidRPr="00046243">
              <w:rPr>
                <w:smallCaps/>
              </w:rPr>
              <w:t xml:space="preserve">a </w:t>
            </w:r>
            <w:r w:rsidRPr="00046243">
              <w:rPr>
                <w:smallCaps/>
              </w:rPr>
              <w:t>efetividad</w:t>
            </w:r>
            <w:r w:rsidR="00BA3063" w:rsidRPr="00046243">
              <w:rPr>
                <w:smallCaps/>
              </w:rPr>
              <w:t>e</w:t>
            </w:r>
            <w:r w:rsidRPr="00046243">
              <w:rPr>
                <w:smallCaps/>
              </w:rPr>
              <w:t xml:space="preserve"> d</w:t>
            </w:r>
            <w:r w:rsidR="00BA3063" w:rsidRPr="00046243">
              <w:rPr>
                <w:smallCaps/>
              </w:rPr>
              <w:t>o</w:t>
            </w:r>
            <w:r w:rsidRPr="00046243">
              <w:rPr>
                <w:smallCaps/>
              </w:rPr>
              <w:t xml:space="preserve"> contrato:</w:t>
            </w:r>
            <w:r w:rsidR="0016124C" w:rsidRPr="00046243">
              <w:rPr>
                <w:smallCaps/>
              </w:rPr>
              <w:t xml:space="preserve"> 64 meses em 31/12/2014</w:t>
            </w:r>
          </w:p>
        </w:tc>
      </w:tr>
      <w:tr w:rsidR="00FE1A1D" w:rsidRPr="00046243" w:rsidTr="00CB1713">
        <w:tc>
          <w:tcPr>
            <w:tcW w:w="9576" w:type="dxa"/>
          </w:tcPr>
          <w:p w:rsidR="00FE1A1D" w:rsidRPr="00046243" w:rsidRDefault="00FE1A1D" w:rsidP="005D4060"/>
        </w:tc>
      </w:tr>
      <w:tr w:rsidR="00FE1A1D" w:rsidRPr="00046243" w:rsidTr="00CB1713">
        <w:tc>
          <w:tcPr>
            <w:tcW w:w="9576" w:type="dxa"/>
            <w:shd w:val="clear" w:color="auto" w:fill="DBE5F1" w:themeFill="accent1" w:themeFillTint="33"/>
          </w:tcPr>
          <w:p w:rsidR="00FE1A1D" w:rsidRPr="00046243" w:rsidRDefault="00BA3063" w:rsidP="005D4060">
            <w:pPr>
              <w:rPr>
                <w:smallCaps/>
                <w:u w:val="single"/>
              </w:rPr>
            </w:pPr>
            <w:r w:rsidRPr="00046243">
              <w:rPr>
                <w:smallCaps/>
                <w:u w:val="single"/>
              </w:rPr>
              <w:t>Perí</w:t>
            </w:r>
            <w:r w:rsidR="00FE1A1D" w:rsidRPr="00046243">
              <w:rPr>
                <w:smallCaps/>
                <w:u w:val="single"/>
              </w:rPr>
              <w:t>odos de desembolso</w:t>
            </w:r>
          </w:p>
        </w:tc>
      </w:tr>
      <w:tr w:rsidR="00FE1A1D" w:rsidRPr="00046243" w:rsidTr="00CB1713">
        <w:tc>
          <w:tcPr>
            <w:tcW w:w="9576" w:type="dxa"/>
            <w:shd w:val="clear" w:color="auto" w:fill="DBE5F1" w:themeFill="accent1" w:themeFillTint="33"/>
          </w:tcPr>
          <w:p w:rsidR="00FE1A1D" w:rsidRPr="00046243" w:rsidRDefault="00BA3063" w:rsidP="005D4060">
            <w:pPr>
              <w:rPr>
                <w:smallCaps/>
              </w:rPr>
            </w:pPr>
            <w:r w:rsidRPr="00046243">
              <w:rPr>
                <w:smallCaps/>
              </w:rPr>
              <w:t>Data original do</w:t>
            </w:r>
            <w:r w:rsidR="00FE1A1D" w:rsidRPr="00046243">
              <w:rPr>
                <w:smallCaps/>
              </w:rPr>
              <w:t xml:space="preserve"> desembolso final:</w:t>
            </w:r>
            <w:r w:rsidR="0016124C" w:rsidRPr="00046243">
              <w:rPr>
                <w:smallCaps/>
              </w:rPr>
              <w:t xml:space="preserve"> 28/09/2013</w:t>
            </w:r>
          </w:p>
        </w:tc>
      </w:tr>
      <w:tr w:rsidR="00FE1A1D" w:rsidRPr="00046243" w:rsidTr="00CB1713">
        <w:tc>
          <w:tcPr>
            <w:tcW w:w="9576" w:type="dxa"/>
            <w:shd w:val="clear" w:color="auto" w:fill="DBE5F1" w:themeFill="accent1" w:themeFillTint="33"/>
          </w:tcPr>
          <w:p w:rsidR="00FE1A1D" w:rsidRPr="00046243" w:rsidRDefault="00BA3063" w:rsidP="00B870C7">
            <w:pPr>
              <w:rPr>
                <w:smallCaps/>
              </w:rPr>
            </w:pPr>
            <w:r w:rsidRPr="00046243">
              <w:rPr>
                <w:smallCaps/>
              </w:rPr>
              <w:t>Data atual do</w:t>
            </w:r>
            <w:r w:rsidR="00FE1A1D" w:rsidRPr="00046243">
              <w:rPr>
                <w:smallCaps/>
              </w:rPr>
              <w:t xml:space="preserve"> desembolso final:</w:t>
            </w:r>
            <w:r w:rsidR="0016124C" w:rsidRPr="00046243">
              <w:rPr>
                <w:smallCaps/>
              </w:rPr>
              <w:t xml:space="preserve"> </w:t>
            </w:r>
            <w:r w:rsidR="00B870C7">
              <w:rPr>
                <w:smallCaps/>
              </w:rPr>
              <w:t>28/9/</w:t>
            </w:r>
            <w:r w:rsidR="005D4060" w:rsidRPr="00046243">
              <w:rPr>
                <w:smallCaps/>
              </w:rPr>
              <w:t>/</w:t>
            </w:r>
            <w:r w:rsidR="0016124C" w:rsidRPr="00046243">
              <w:rPr>
                <w:smallCaps/>
              </w:rPr>
              <w:t>2015</w:t>
            </w:r>
          </w:p>
        </w:tc>
      </w:tr>
      <w:tr w:rsidR="00FE1A1D" w:rsidRPr="00046243" w:rsidTr="00CB1713">
        <w:tc>
          <w:tcPr>
            <w:tcW w:w="9576" w:type="dxa"/>
            <w:shd w:val="clear" w:color="auto" w:fill="DBE5F1" w:themeFill="accent1" w:themeFillTint="33"/>
          </w:tcPr>
          <w:p w:rsidR="00FE1A1D" w:rsidRPr="00046243" w:rsidRDefault="00FE1A1D" w:rsidP="005D4060">
            <w:pPr>
              <w:rPr>
                <w:smallCaps/>
                <w:highlight w:val="yellow"/>
              </w:rPr>
            </w:pPr>
            <w:r w:rsidRPr="00046243">
              <w:rPr>
                <w:smallCaps/>
              </w:rPr>
              <w:t>Exten</w:t>
            </w:r>
            <w:r w:rsidR="00BA3063" w:rsidRPr="00046243">
              <w:rPr>
                <w:smallCaps/>
              </w:rPr>
              <w:t>são</w:t>
            </w:r>
            <w:r w:rsidRPr="00046243">
              <w:rPr>
                <w:smallCaps/>
              </w:rPr>
              <w:t xml:space="preserve"> </w:t>
            </w:r>
            <w:r w:rsidR="00BA3063" w:rsidRPr="00046243">
              <w:rPr>
                <w:smallCaps/>
              </w:rPr>
              <w:t>acumulada</w:t>
            </w:r>
            <w:r w:rsidRPr="00046243">
              <w:rPr>
                <w:smallCaps/>
              </w:rPr>
              <w:t xml:space="preserve"> (meses):</w:t>
            </w:r>
            <w:r w:rsidR="005D4060" w:rsidRPr="00046243">
              <w:rPr>
                <w:smallCaps/>
              </w:rPr>
              <w:t xml:space="preserve"> 24 Meses</w:t>
            </w:r>
          </w:p>
        </w:tc>
      </w:tr>
      <w:tr w:rsidR="00FE1A1D" w:rsidRPr="00046243" w:rsidTr="00CB1713">
        <w:tc>
          <w:tcPr>
            <w:tcW w:w="9576" w:type="dxa"/>
            <w:shd w:val="clear" w:color="auto" w:fill="DBE5F1" w:themeFill="accent1" w:themeFillTint="33"/>
          </w:tcPr>
          <w:p w:rsidR="00FE1A1D" w:rsidRPr="00046243" w:rsidRDefault="00FE1A1D" w:rsidP="005D4060">
            <w:pPr>
              <w:rPr>
                <w:smallCaps/>
                <w:highlight w:val="yellow"/>
              </w:rPr>
            </w:pPr>
            <w:r w:rsidRPr="00046243">
              <w:rPr>
                <w:smallCaps/>
              </w:rPr>
              <w:t>Exten</w:t>
            </w:r>
            <w:r w:rsidR="00BA3063" w:rsidRPr="00046243">
              <w:rPr>
                <w:smallCaps/>
              </w:rPr>
              <w:t>são</w:t>
            </w:r>
            <w:r w:rsidRPr="00046243">
              <w:rPr>
                <w:smallCaps/>
              </w:rPr>
              <w:t xml:space="preserve"> especial (meses):</w:t>
            </w:r>
            <w:r w:rsidR="005D4060" w:rsidRPr="00046243">
              <w:rPr>
                <w:smallCaps/>
              </w:rPr>
              <w:t xml:space="preserve"> NA</w:t>
            </w:r>
          </w:p>
        </w:tc>
      </w:tr>
      <w:tr w:rsidR="00FE1A1D" w:rsidRPr="00046243" w:rsidTr="00CB1713">
        <w:tc>
          <w:tcPr>
            <w:tcW w:w="9576" w:type="dxa"/>
            <w:shd w:val="clear" w:color="auto" w:fill="DBE5F1" w:themeFill="accent1" w:themeFillTint="33"/>
          </w:tcPr>
          <w:p w:rsidR="00FE1A1D" w:rsidRPr="00046243" w:rsidRDefault="00FE1A1D" w:rsidP="005D4060">
            <w:pPr>
              <w:rPr>
                <w:smallCaps/>
                <w:u w:val="single"/>
              </w:rPr>
            </w:pPr>
            <w:r w:rsidRPr="00046243">
              <w:rPr>
                <w:smallCaps/>
                <w:u w:val="single"/>
              </w:rPr>
              <w:t>Desembolsos</w:t>
            </w:r>
          </w:p>
        </w:tc>
      </w:tr>
      <w:tr w:rsidR="00FE1A1D" w:rsidRPr="00046243" w:rsidTr="00CB1713">
        <w:tc>
          <w:tcPr>
            <w:tcW w:w="9576" w:type="dxa"/>
            <w:shd w:val="clear" w:color="auto" w:fill="DBE5F1" w:themeFill="accent1" w:themeFillTint="33"/>
          </w:tcPr>
          <w:p w:rsidR="00FE1A1D" w:rsidRPr="00046243" w:rsidRDefault="00BA3063" w:rsidP="006D2DDC">
            <w:pPr>
              <w:rPr>
                <w:smallCaps/>
              </w:rPr>
            </w:pPr>
            <w:r w:rsidRPr="00046243">
              <w:rPr>
                <w:smallCaps/>
              </w:rPr>
              <w:t>valor total dos</w:t>
            </w:r>
            <w:r w:rsidR="00FE1A1D" w:rsidRPr="00046243">
              <w:rPr>
                <w:smallCaps/>
              </w:rPr>
              <w:t xml:space="preserve"> desembolsos </w:t>
            </w:r>
            <w:r w:rsidR="006D2DDC">
              <w:rPr>
                <w:smallCaps/>
              </w:rPr>
              <w:t>até Março de 2015</w:t>
            </w:r>
            <w:r w:rsidR="00FE1A1D" w:rsidRPr="00046243">
              <w:rPr>
                <w:smallCaps/>
              </w:rPr>
              <w:t>:</w:t>
            </w:r>
            <w:r w:rsidR="0016124C" w:rsidRPr="00046243">
              <w:rPr>
                <w:smallCaps/>
              </w:rPr>
              <w:t xml:space="preserve"> </w:t>
            </w:r>
            <w:r w:rsidR="005D4060" w:rsidRPr="00046243">
              <w:rPr>
                <w:smallCaps/>
              </w:rPr>
              <w:t xml:space="preserve"> US$ 10.000.000,00 (dez milhões de dólares)</w:t>
            </w:r>
          </w:p>
        </w:tc>
      </w:tr>
      <w:tr w:rsidR="00FE1A1D" w:rsidRPr="00046243" w:rsidTr="00CB1713">
        <w:tc>
          <w:tcPr>
            <w:tcW w:w="9576" w:type="dxa"/>
          </w:tcPr>
          <w:p w:rsidR="00FE1A1D" w:rsidRPr="00046243" w:rsidRDefault="00FE1A1D" w:rsidP="005D4060"/>
        </w:tc>
      </w:tr>
      <w:tr w:rsidR="00FE1A1D" w:rsidRPr="00046243" w:rsidTr="005D4060">
        <w:tc>
          <w:tcPr>
            <w:tcW w:w="9576" w:type="dxa"/>
            <w:shd w:val="clear" w:color="auto" w:fill="auto"/>
          </w:tcPr>
          <w:p w:rsidR="00FE1A1D" w:rsidRPr="00046243" w:rsidRDefault="00FE1A1D" w:rsidP="005D4060">
            <w:pPr>
              <w:rPr>
                <w:smallCaps/>
              </w:rPr>
            </w:pPr>
          </w:p>
        </w:tc>
      </w:tr>
      <w:tr w:rsidR="00FE1A1D" w:rsidRPr="00046243" w:rsidTr="005D4060">
        <w:tc>
          <w:tcPr>
            <w:tcW w:w="9576" w:type="dxa"/>
            <w:shd w:val="clear" w:color="auto" w:fill="auto"/>
          </w:tcPr>
          <w:p w:rsidR="00FE1A1D" w:rsidRPr="00046243" w:rsidRDefault="00FE1A1D" w:rsidP="005D4060">
            <w:pPr>
              <w:rPr>
                <w:smallCaps/>
              </w:rPr>
            </w:pPr>
          </w:p>
        </w:tc>
      </w:tr>
      <w:tr w:rsidR="00FE1A1D" w:rsidRPr="00046243" w:rsidTr="00CB1713">
        <w:tc>
          <w:tcPr>
            <w:tcW w:w="9576" w:type="dxa"/>
          </w:tcPr>
          <w:p w:rsidR="00FE1A1D" w:rsidRPr="00046243" w:rsidRDefault="00FE1A1D" w:rsidP="005D4060"/>
        </w:tc>
      </w:tr>
      <w:tr w:rsidR="00FE1A1D" w:rsidRPr="00046243" w:rsidTr="00CB1713">
        <w:tc>
          <w:tcPr>
            <w:tcW w:w="9576" w:type="dxa"/>
          </w:tcPr>
          <w:p w:rsidR="00FE1A1D" w:rsidRPr="00046243" w:rsidRDefault="00FE1A1D" w:rsidP="005D4060"/>
        </w:tc>
      </w:tr>
      <w:tr w:rsidR="00FE1A1D" w:rsidRPr="00046243" w:rsidTr="00CB1713">
        <w:tc>
          <w:tcPr>
            <w:tcW w:w="9576" w:type="dxa"/>
          </w:tcPr>
          <w:p w:rsidR="00FE1A1D" w:rsidRPr="00046243" w:rsidRDefault="00FE1A1D" w:rsidP="005D4060"/>
        </w:tc>
      </w:tr>
    </w:tbl>
    <w:p w:rsidR="00D861A0" w:rsidRPr="00046243" w:rsidRDefault="00D861A0" w:rsidP="009C7A21">
      <w:pPr>
        <w:tabs>
          <w:tab w:val="left" w:pos="1490"/>
        </w:tabs>
        <w:spacing w:after="240" w:line="240" w:lineRule="auto"/>
        <w:rPr>
          <w:rFonts w:ascii="Times New Roman" w:hAnsi="Times New Roman" w:cs="Times New Roman"/>
          <w:sz w:val="24"/>
          <w:szCs w:val="24"/>
        </w:rPr>
      </w:pPr>
    </w:p>
    <w:p w:rsidR="00D861A0" w:rsidRPr="00046243" w:rsidRDefault="00D861A0" w:rsidP="009C7A21">
      <w:pPr>
        <w:spacing w:after="240" w:line="240" w:lineRule="auto"/>
        <w:rPr>
          <w:rFonts w:ascii="Times New Roman" w:hAnsi="Times New Roman" w:cs="Times New Roman"/>
          <w:sz w:val="24"/>
          <w:szCs w:val="24"/>
        </w:rPr>
      </w:pPr>
      <w:r w:rsidRPr="00046243">
        <w:rPr>
          <w:rFonts w:ascii="Times New Roman" w:hAnsi="Times New Roman" w:cs="Times New Roman"/>
          <w:sz w:val="24"/>
          <w:szCs w:val="24"/>
        </w:rPr>
        <w:br w:type="page"/>
      </w:r>
    </w:p>
    <w:p w:rsidR="00C64902" w:rsidRPr="00046243" w:rsidRDefault="00C64902" w:rsidP="009C7A21">
      <w:pPr>
        <w:pStyle w:val="Ttulo1"/>
        <w:spacing w:after="240" w:line="240" w:lineRule="auto"/>
        <w:rPr>
          <w:rFonts w:ascii="Times New Roman" w:hAnsi="Times New Roman" w:cs="Times New Roman"/>
          <w:color w:val="auto"/>
          <w:sz w:val="24"/>
          <w:szCs w:val="24"/>
        </w:rPr>
      </w:pPr>
      <w:bookmarkStart w:id="2" w:name="_Toc431190857"/>
      <w:r w:rsidRPr="00046243">
        <w:rPr>
          <w:rFonts w:ascii="Times New Roman" w:hAnsi="Times New Roman" w:cs="Times New Roman"/>
          <w:color w:val="auto"/>
          <w:sz w:val="24"/>
          <w:szCs w:val="24"/>
        </w:rPr>
        <w:lastRenderedPageBreak/>
        <w:t>Introdu</w:t>
      </w:r>
      <w:r w:rsidR="00ED609C" w:rsidRPr="00046243">
        <w:rPr>
          <w:rFonts w:ascii="Times New Roman" w:hAnsi="Times New Roman" w:cs="Times New Roman"/>
          <w:color w:val="auto"/>
          <w:sz w:val="24"/>
          <w:szCs w:val="24"/>
        </w:rPr>
        <w:t>ção</w:t>
      </w:r>
      <w:bookmarkEnd w:id="2"/>
    </w:p>
    <w:p w:rsidR="0024110A" w:rsidRPr="00046243" w:rsidRDefault="0024110A" w:rsidP="009C7A21">
      <w:pPr>
        <w:tabs>
          <w:tab w:val="left" w:pos="1440"/>
          <w:tab w:val="left" w:pos="3060"/>
        </w:tabs>
        <w:spacing w:after="240" w:line="240" w:lineRule="auto"/>
        <w:jc w:val="both"/>
        <w:rPr>
          <w:rFonts w:ascii="Times New Roman" w:eastAsia="Times New Roman" w:hAnsi="Times New Roman" w:cs="Times New Roman"/>
          <w:sz w:val="24"/>
          <w:szCs w:val="24"/>
        </w:rPr>
      </w:pPr>
      <w:r w:rsidRPr="00046243">
        <w:rPr>
          <w:rFonts w:ascii="Times New Roman" w:eastAsia="Times New Roman" w:hAnsi="Times New Roman" w:cs="Times New Roman"/>
          <w:sz w:val="24"/>
          <w:szCs w:val="24"/>
        </w:rPr>
        <w:t xml:space="preserve">Em </w:t>
      </w:r>
      <w:r w:rsidR="0016124C" w:rsidRPr="00046243">
        <w:rPr>
          <w:rFonts w:ascii="Times New Roman" w:eastAsia="Times New Roman" w:hAnsi="Times New Roman" w:cs="Times New Roman"/>
          <w:sz w:val="24"/>
          <w:szCs w:val="24"/>
        </w:rPr>
        <w:t>28 de Setembro de 2009,</w:t>
      </w:r>
      <w:r w:rsidRPr="00046243">
        <w:rPr>
          <w:rFonts w:ascii="Times New Roman" w:eastAsia="Times New Roman" w:hAnsi="Times New Roman" w:cs="Times New Roman"/>
          <w:sz w:val="24"/>
          <w:szCs w:val="24"/>
        </w:rPr>
        <w:t xml:space="preserve"> o Estado </w:t>
      </w:r>
      <w:r w:rsidR="0016124C" w:rsidRPr="00046243">
        <w:rPr>
          <w:rFonts w:ascii="Times New Roman" w:eastAsia="Times New Roman" w:hAnsi="Times New Roman" w:cs="Times New Roman"/>
          <w:sz w:val="24"/>
          <w:szCs w:val="24"/>
        </w:rPr>
        <w:t xml:space="preserve">do Pará </w:t>
      </w:r>
      <w:r w:rsidRPr="00046243">
        <w:rPr>
          <w:rFonts w:ascii="Times New Roman" w:eastAsia="Times New Roman" w:hAnsi="Times New Roman" w:cs="Times New Roman"/>
          <w:sz w:val="24"/>
          <w:szCs w:val="24"/>
        </w:rPr>
        <w:t xml:space="preserve">e o Banco Interamericano de Desenvolvimento (BID), assinaram um contrato de empréstimo como o objetivo de financiar o </w:t>
      </w:r>
      <w:r w:rsidR="0016124C" w:rsidRPr="00046243">
        <w:rPr>
          <w:rFonts w:ascii="Times New Roman" w:eastAsia="Times New Roman" w:hAnsi="Times New Roman" w:cs="Times New Roman"/>
          <w:sz w:val="24"/>
          <w:szCs w:val="24"/>
        </w:rPr>
        <w:t>Programa de Apoio à Modernização e à Transparência da Gestão Fiscal do Estado do Pará (PROGEFAZ)</w:t>
      </w:r>
      <w:r w:rsidRPr="00046243">
        <w:rPr>
          <w:rFonts w:ascii="Times New Roman" w:eastAsia="Times New Roman" w:hAnsi="Times New Roman" w:cs="Times New Roman"/>
          <w:sz w:val="24"/>
          <w:szCs w:val="24"/>
        </w:rPr>
        <w:t>,</w:t>
      </w:r>
      <w:r w:rsidR="0016124C" w:rsidRPr="00046243">
        <w:rPr>
          <w:rFonts w:ascii="Times New Roman" w:eastAsia="Times New Roman" w:hAnsi="Times New Roman" w:cs="Times New Roman"/>
          <w:sz w:val="24"/>
          <w:szCs w:val="24"/>
        </w:rPr>
        <w:t xml:space="preserve"> </w:t>
      </w:r>
      <w:r w:rsidRPr="00046243">
        <w:rPr>
          <w:rFonts w:ascii="Times New Roman" w:eastAsia="Times New Roman" w:hAnsi="Times New Roman" w:cs="Times New Roman"/>
          <w:sz w:val="24"/>
          <w:szCs w:val="24"/>
        </w:rPr>
        <w:t>estruturado sob a modalidade de empréstimo de investimento</w:t>
      </w:r>
      <w:r w:rsidR="00BA5FFE" w:rsidRPr="00046243">
        <w:rPr>
          <w:rFonts w:ascii="Times New Roman" w:eastAsia="Times New Roman" w:hAnsi="Times New Roman" w:cs="Times New Roman"/>
          <w:sz w:val="24"/>
          <w:szCs w:val="24"/>
        </w:rPr>
        <w:t>, com prazo de execução previsto para quatro anos</w:t>
      </w:r>
      <w:r w:rsidRPr="00046243">
        <w:rPr>
          <w:rFonts w:ascii="Times New Roman" w:eastAsia="Times New Roman" w:hAnsi="Times New Roman" w:cs="Times New Roman"/>
          <w:sz w:val="24"/>
          <w:szCs w:val="24"/>
        </w:rPr>
        <w:t xml:space="preserve">. </w:t>
      </w:r>
    </w:p>
    <w:p w:rsidR="00721F05" w:rsidRPr="00046243" w:rsidRDefault="00721F05" w:rsidP="009C7A21">
      <w:pPr>
        <w:tabs>
          <w:tab w:val="left" w:pos="1440"/>
          <w:tab w:val="left" w:pos="3060"/>
        </w:tabs>
        <w:spacing w:after="240" w:line="240" w:lineRule="auto"/>
        <w:jc w:val="both"/>
        <w:rPr>
          <w:rFonts w:ascii="Times New Roman" w:eastAsia="Times New Roman" w:hAnsi="Times New Roman" w:cs="Times New Roman"/>
          <w:sz w:val="24"/>
          <w:szCs w:val="24"/>
        </w:rPr>
      </w:pPr>
      <w:bookmarkStart w:id="3" w:name="_Toc383791683"/>
      <w:r w:rsidRPr="00046243">
        <w:rPr>
          <w:rFonts w:ascii="Times New Roman" w:eastAsia="Times New Roman" w:hAnsi="Times New Roman" w:cs="Times New Roman"/>
          <w:sz w:val="24"/>
          <w:szCs w:val="24"/>
        </w:rPr>
        <w:t xml:space="preserve">O Programa </w:t>
      </w:r>
      <w:r w:rsidR="00BA5FFE" w:rsidRPr="00046243">
        <w:rPr>
          <w:rFonts w:ascii="Times New Roman" w:eastAsia="Times New Roman" w:hAnsi="Times New Roman" w:cs="Times New Roman"/>
          <w:sz w:val="24"/>
          <w:szCs w:val="24"/>
        </w:rPr>
        <w:t>no valor de US$10,0 milhões de empréstimo e a contrapartida local de US$4,0 milhões foi</w:t>
      </w:r>
      <w:r w:rsidRPr="00046243">
        <w:rPr>
          <w:rFonts w:ascii="Times New Roman" w:eastAsia="Times New Roman" w:hAnsi="Times New Roman" w:cs="Times New Roman"/>
          <w:sz w:val="24"/>
          <w:szCs w:val="24"/>
        </w:rPr>
        <w:t xml:space="preserve"> estruturado como uma operação Individual no âmbito da Linha de Crédito Condicional (CCLIP), Programa de Apoio à Gestão e Integração dos Fiscos no Brasil (PROFISCO - BR-X1005), aprovada pela Diretoria Executiva do Banco por meio da Resolução DE-132/08, de 5 de novembro de 2008.</w:t>
      </w:r>
      <w:bookmarkEnd w:id="3"/>
    </w:p>
    <w:p w:rsidR="00721F05" w:rsidRPr="00046243" w:rsidRDefault="00721F05" w:rsidP="009C7A21">
      <w:pPr>
        <w:tabs>
          <w:tab w:val="left" w:pos="1440"/>
          <w:tab w:val="left" w:pos="3060"/>
        </w:tabs>
        <w:spacing w:after="240" w:line="240" w:lineRule="auto"/>
        <w:jc w:val="both"/>
        <w:rPr>
          <w:rFonts w:ascii="Times New Roman" w:eastAsia="Times New Roman" w:hAnsi="Times New Roman" w:cs="Times New Roman"/>
          <w:sz w:val="24"/>
          <w:szCs w:val="24"/>
        </w:rPr>
      </w:pPr>
      <w:bookmarkStart w:id="4" w:name="_Toc390870349"/>
      <w:r w:rsidRPr="00046243">
        <w:rPr>
          <w:rFonts w:ascii="Times New Roman" w:eastAsia="Times New Roman" w:hAnsi="Times New Roman" w:cs="Times New Roman"/>
          <w:sz w:val="24"/>
          <w:szCs w:val="24"/>
        </w:rPr>
        <w:t>A Linha de Crédito CCLIP-PROFISCO foi desenhada pelo Banco em conjunto com o Ministério da Fazenda e com as Secretárias de Fazenda dos vinte e seis Estados Brasileiros e do Distrito Federal, cujos resultados foram consolidados em um Marco de Referência</w:t>
      </w:r>
      <w:r w:rsidRPr="00046243">
        <w:rPr>
          <w:rFonts w:ascii="Times New Roman" w:eastAsia="Times New Roman" w:hAnsi="Times New Roman" w:cs="Times New Roman"/>
          <w:sz w:val="16"/>
          <w:szCs w:val="16"/>
        </w:rPr>
        <w:footnoteReference w:id="1"/>
      </w:r>
      <w:r w:rsidRPr="00046243">
        <w:rPr>
          <w:rFonts w:ascii="Times New Roman" w:eastAsia="Times New Roman" w:hAnsi="Times New Roman" w:cs="Times New Roman"/>
          <w:sz w:val="24"/>
          <w:szCs w:val="24"/>
        </w:rPr>
        <w:t xml:space="preserve"> que descreve as condições financeiras, critérios de elegibilidade, objetivos, componentes e subcomponentes para as operações individuais, regras específicas para as contratações do financiamento e diretrizes e recomendações técnicas a serem observadas nos projetos.</w:t>
      </w:r>
      <w:bookmarkEnd w:id="4"/>
      <w:r w:rsidRPr="00046243">
        <w:rPr>
          <w:rFonts w:ascii="Times New Roman" w:eastAsia="Times New Roman" w:hAnsi="Times New Roman" w:cs="Times New Roman"/>
          <w:sz w:val="24"/>
          <w:szCs w:val="24"/>
        </w:rPr>
        <w:t xml:space="preserve"> </w:t>
      </w:r>
    </w:p>
    <w:p w:rsidR="00185929" w:rsidRPr="00046243" w:rsidRDefault="00185929" w:rsidP="009C7A21">
      <w:pPr>
        <w:tabs>
          <w:tab w:val="left" w:pos="1440"/>
          <w:tab w:val="left" w:pos="3060"/>
        </w:tabs>
        <w:spacing w:after="240" w:line="240" w:lineRule="auto"/>
        <w:jc w:val="both"/>
        <w:rPr>
          <w:rFonts w:ascii="Times New Roman" w:eastAsia="Times New Roman" w:hAnsi="Times New Roman" w:cs="Times New Roman"/>
          <w:sz w:val="24"/>
          <w:szCs w:val="24"/>
        </w:rPr>
      </w:pPr>
      <w:r w:rsidRPr="00046243">
        <w:rPr>
          <w:rFonts w:ascii="Times New Roman" w:eastAsia="Times New Roman" w:hAnsi="Times New Roman" w:cs="Times New Roman"/>
          <w:sz w:val="24"/>
          <w:szCs w:val="24"/>
        </w:rPr>
        <w:t>Com o objetivo geral de melhorar a eficiência e a tra</w:t>
      </w:r>
      <w:r w:rsidR="00CB09C0" w:rsidRPr="00046243">
        <w:rPr>
          <w:rFonts w:ascii="Times New Roman" w:eastAsia="Times New Roman" w:hAnsi="Times New Roman" w:cs="Times New Roman"/>
          <w:sz w:val="24"/>
          <w:szCs w:val="24"/>
        </w:rPr>
        <w:t>nsparência da gestão fiscal do e</w:t>
      </w:r>
      <w:r w:rsidRPr="00046243">
        <w:rPr>
          <w:rFonts w:ascii="Times New Roman" w:eastAsia="Times New Roman" w:hAnsi="Times New Roman" w:cs="Times New Roman"/>
          <w:sz w:val="24"/>
          <w:szCs w:val="24"/>
        </w:rPr>
        <w:t xml:space="preserve">stado do Pará visando a: (i) aumentar a receita própria do Estado; (ii) aumentar a eficiência e a eficácia e melhorar o controle do gasto público; e (iii) prover melhores serviços ao cidadão, </w:t>
      </w:r>
      <w:r w:rsidR="00CB09C0" w:rsidRPr="00046243">
        <w:rPr>
          <w:rFonts w:ascii="Times New Roman" w:eastAsia="Times New Roman" w:hAnsi="Times New Roman" w:cs="Times New Roman"/>
          <w:sz w:val="24"/>
          <w:szCs w:val="24"/>
        </w:rPr>
        <w:t xml:space="preserve">foi elaborado e </w:t>
      </w:r>
      <w:r w:rsidR="00CB09C0" w:rsidRPr="00E97E1F">
        <w:rPr>
          <w:rFonts w:ascii="Times New Roman" w:eastAsia="Times New Roman" w:hAnsi="Times New Roman" w:cs="Times New Roman"/>
          <w:sz w:val="24"/>
          <w:szCs w:val="24"/>
        </w:rPr>
        <w:t xml:space="preserve">aprovado o </w:t>
      </w:r>
      <w:r w:rsidRPr="00E97E1F">
        <w:rPr>
          <w:rFonts w:ascii="Times New Roman" w:eastAsia="Times New Roman" w:hAnsi="Times New Roman" w:cs="Times New Roman"/>
          <w:sz w:val="24"/>
          <w:szCs w:val="24"/>
        </w:rPr>
        <w:t xml:space="preserve">Programa de Apoio à Modernização e à Transparência da Gestão Fiscal do </w:t>
      </w:r>
      <w:r w:rsidR="00CB09C0" w:rsidRPr="00E97E1F">
        <w:rPr>
          <w:rFonts w:ascii="Times New Roman" w:eastAsia="Times New Roman" w:hAnsi="Times New Roman" w:cs="Times New Roman"/>
          <w:sz w:val="24"/>
          <w:szCs w:val="24"/>
        </w:rPr>
        <w:t>E</w:t>
      </w:r>
      <w:r w:rsidRPr="00E97E1F">
        <w:rPr>
          <w:rFonts w:ascii="Times New Roman" w:eastAsia="Times New Roman" w:hAnsi="Times New Roman" w:cs="Times New Roman"/>
          <w:sz w:val="24"/>
          <w:szCs w:val="24"/>
        </w:rPr>
        <w:t>stado do Pará (PROGEFAZ) estruturado em quatro componentes e subcomponentes:</w:t>
      </w:r>
      <w:r w:rsidRPr="00046243">
        <w:rPr>
          <w:rFonts w:ascii="Times New Roman" w:eastAsia="Times New Roman" w:hAnsi="Times New Roman" w:cs="Times New Roman"/>
          <w:sz w:val="24"/>
          <w:szCs w:val="24"/>
        </w:rPr>
        <w:t xml:space="preserve"> </w:t>
      </w:r>
    </w:p>
    <w:p w:rsidR="00185929" w:rsidRPr="00046243" w:rsidRDefault="00185929" w:rsidP="002F65F2">
      <w:pPr>
        <w:pStyle w:val="Paragraph"/>
        <w:numPr>
          <w:ilvl w:val="0"/>
          <w:numId w:val="0"/>
        </w:numPr>
        <w:spacing w:after="240"/>
        <w:outlineLvl w:val="9"/>
        <w:rPr>
          <w:szCs w:val="24"/>
          <w:lang w:val="pt-BR"/>
        </w:rPr>
      </w:pPr>
      <w:bookmarkStart w:id="5" w:name="_Toc431190271"/>
      <w:r w:rsidRPr="00046243">
        <w:rPr>
          <w:b/>
          <w:bCs/>
          <w:szCs w:val="24"/>
          <w:lang w:val="pt-BR"/>
        </w:rPr>
        <w:t xml:space="preserve">Componente I - Gestão Estratégica Integrada: </w:t>
      </w:r>
      <w:r w:rsidRPr="00046243">
        <w:rPr>
          <w:szCs w:val="24"/>
          <w:lang w:val="pt-BR"/>
        </w:rPr>
        <w:t>Este componente financia: (i) serviços para a implantação de aperfeiçoamentos no planejamento e na gestão das políticas fazendárias; (ii) serviços para a atualização da estrutura organizacional e dos processos administrativos; e (iii) obras nas unidades fazendárias, incluindo a construção, reforma, ampliação e o reaparelhamento de suas instalações; e (iv)</w:t>
      </w:r>
      <w:r w:rsidRPr="00046243">
        <w:rPr>
          <w:bCs/>
          <w:szCs w:val="24"/>
          <w:lang w:val="pt-BR"/>
        </w:rPr>
        <w:t xml:space="preserve"> </w:t>
      </w:r>
      <w:r w:rsidRPr="00046243">
        <w:rPr>
          <w:szCs w:val="24"/>
          <w:lang w:val="pt-BR"/>
        </w:rPr>
        <w:t>serviços para a preparação de uma estratégia de parcerias entre o Mutuário e órgãos e entidades em nível nacional e internacional, incluindo mecanismos de cooperação e troca de informações.</w:t>
      </w:r>
      <w:bookmarkEnd w:id="5"/>
    </w:p>
    <w:p w:rsidR="00185929" w:rsidRPr="00046243" w:rsidRDefault="00185929" w:rsidP="002F65F2">
      <w:pPr>
        <w:pStyle w:val="Paragraph"/>
        <w:numPr>
          <w:ilvl w:val="0"/>
          <w:numId w:val="0"/>
        </w:numPr>
        <w:tabs>
          <w:tab w:val="clear" w:pos="720"/>
        </w:tabs>
        <w:spacing w:after="240"/>
        <w:outlineLvl w:val="9"/>
        <w:rPr>
          <w:bCs/>
          <w:iCs/>
          <w:szCs w:val="24"/>
          <w:lang w:val="pt-BR"/>
        </w:rPr>
      </w:pPr>
      <w:r w:rsidRPr="00046243">
        <w:rPr>
          <w:b/>
          <w:bCs/>
          <w:szCs w:val="24"/>
          <w:lang w:val="pt-BR"/>
        </w:rPr>
        <w:t xml:space="preserve">Componente II - Administração Tributária e Contencioso Fiscal: </w:t>
      </w:r>
      <w:r w:rsidRPr="00046243">
        <w:rPr>
          <w:szCs w:val="24"/>
          <w:lang w:val="pt-BR"/>
        </w:rPr>
        <w:t xml:space="preserve">Este componente financia: (i) a implantação do modelo de organização e consolidação das normas tributárias e não tributárias, a implantação de um sistema de armazenamento e edição de material de apoio relativo à legislação tributária para as unidades fazendárias; (ii) a implantação de um modelo de controle, incluindo um sistema automatizado dos benefícios concedidos, a renúncia a benefícios e suas respectivas contrapartidas; (iii) a identificação e realização de estudos de políticas e fórum de discussão sobre incentivos fiscais, reforma tributária e royalties, dentre outros, para a </w:t>
      </w:r>
      <w:r w:rsidRPr="00E97E1F">
        <w:rPr>
          <w:szCs w:val="24"/>
          <w:lang w:val="pt-BR"/>
        </w:rPr>
        <w:t xml:space="preserve">definição de estratégias que orientem novas políticas tributárias; (iv) a implantação de um modelo de gestão automatizado do Imposto de Transmissão Causa Mortis e sobre Doação (ITCD) e a revisão do modelo e a melhoria do sistema automatizado de gestão do Imposto sobre </w:t>
      </w:r>
      <w:r w:rsidRPr="00E97E1F">
        <w:rPr>
          <w:szCs w:val="24"/>
          <w:lang w:val="pt-BR"/>
        </w:rPr>
        <w:lastRenderedPageBreak/>
        <w:t>Propriedade de Veículos Automotores (IPVA); (v) o desenho e a implantação de um novo</w:t>
      </w:r>
      <w:r w:rsidRPr="00046243">
        <w:rPr>
          <w:szCs w:val="24"/>
          <w:lang w:val="pt-BR"/>
        </w:rPr>
        <w:t xml:space="preserve"> modelo conceitual de gestão, integrando a fiscalização de trânsito de mercadorias e a fiscalização de estabelecimentos; (vi) a implantação de um novo modelo operacional de fiscalização de trânsito, incluindo a criação do Centro Especial de Controle de Mercadorias em Trânsito, a automação dos procedimentos e a reforma, construção e aparelhamento tecnológico dos postos fiscais, incluindo unidades móveis terrestres e aquaviárias; (vii) a implantação de um novo modelo operacional de fiscalização de estabelecimentos com base em análises de risco, que inclua a integração de rotinas de auditoria fiscal do Órgão Executor com as do Ministério Público e um sistema automatizado de apoio; (viii) a revisão e reestruturação dos processos de </w:t>
      </w:r>
      <w:r w:rsidRPr="00E97E1F">
        <w:rPr>
          <w:szCs w:val="24"/>
          <w:lang w:val="pt-BR"/>
        </w:rPr>
        <w:t>planejamento e gestão das Micro e Pequenas Empresas (MPE), a preparação de normas e</w:t>
      </w:r>
      <w:r w:rsidRPr="00046243">
        <w:rPr>
          <w:szCs w:val="24"/>
          <w:lang w:val="pt-BR"/>
        </w:rPr>
        <w:t xml:space="preserve"> convênios e a correspondente adequação dos sistemas de informação aos requisitos da Lei Complementar n</w:t>
      </w:r>
      <w:r w:rsidRPr="00046243">
        <w:rPr>
          <w:szCs w:val="24"/>
          <w:vertAlign w:val="superscript"/>
          <w:lang w:val="pt-BR"/>
        </w:rPr>
        <w:t>o</w:t>
      </w:r>
      <w:r w:rsidRPr="00046243">
        <w:rPr>
          <w:szCs w:val="24"/>
          <w:lang w:val="pt-BR"/>
        </w:rPr>
        <w:t xml:space="preserve"> 123 de 14 de dezembro de 2006</w:t>
      </w:r>
      <w:r w:rsidRPr="00046243">
        <w:rPr>
          <w:rStyle w:val="Refdenotaderodap"/>
          <w:szCs w:val="24"/>
          <w:lang w:val="pt-BR"/>
        </w:rPr>
        <w:footnoteReference w:id="2"/>
      </w:r>
      <w:r w:rsidRPr="00046243">
        <w:rPr>
          <w:szCs w:val="24"/>
          <w:lang w:val="pt-BR"/>
        </w:rPr>
        <w:t xml:space="preserve">; (ix) a implantação de um modelo de utilização de formas alternativas de pagamento de tributos (cartão de débito/ crédito, Internet, correspondentes bancários, </w:t>
      </w:r>
      <w:r w:rsidR="00C86767" w:rsidRPr="00046243">
        <w:rPr>
          <w:szCs w:val="24"/>
          <w:lang w:val="pt-BR"/>
        </w:rPr>
        <w:t>etc.</w:t>
      </w:r>
      <w:r w:rsidRPr="00046243">
        <w:rPr>
          <w:szCs w:val="24"/>
          <w:lang w:val="pt-BR"/>
        </w:rPr>
        <w:t xml:space="preserve">), incluindo a automatização dos procedimentos; (x) a implantação de um modelo de planejamento fiscal apoiado por um sistema de gestão de fiscalização, metodologias de análise de riscos, critérios de seleção, instrumentos e ferramentas tecnológicas de última geração; (xi) complementação do processo de sincronização do Cadastro Estadual de Contribuintes com os níveis municipal e federal; (xii) sistematização do modelo de Nota Fiscal Eletrônica e a adequação dos sistemas do Órgão Executor ao sistema de apoio </w:t>
      </w:r>
      <w:r w:rsidRPr="00E97E1F">
        <w:rPr>
          <w:szCs w:val="24"/>
          <w:lang w:val="pt-BR"/>
        </w:rPr>
        <w:t>fornecido pela Receita Federal; (xiii) implantação de novos módulos no Sistema Integrado de Administração Tributária - SIAT correspondentes a Escrituração Fiscal Digital (EFD), Nota Fiscal Eletrônica (NF</w:t>
      </w:r>
      <w:r w:rsidRPr="00E97E1F">
        <w:rPr>
          <w:szCs w:val="24"/>
          <w:lang w:val="pt-BR"/>
        </w:rPr>
        <w:noBreakHyphen/>
        <w:t>e) e Escrituração Contábil Digital (ECD); (xiv) implantação de uma nova sistemática de julgamento do processo administrativo fazendário integrando a Julgadoria e o</w:t>
      </w:r>
      <w:r w:rsidRPr="00046243">
        <w:rPr>
          <w:szCs w:val="24"/>
          <w:lang w:val="pt-BR"/>
        </w:rPr>
        <w:t xml:space="preserve"> Tribunal Administrativo de Recursos Fazendários ao</w:t>
      </w:r>
      <w:r w:rsidRPr="00046243">
        <w:rPr>
          <w:bCs/>
          <w:iCs/>
          <w:szCs w:val="24"/>
          <w:lang w:val="pt-BR"/>
        </w:rPr>
        <w:t xml:space="preserve"> Órgão Executor com a inclusão dos serviços daqueles no portal deste último; e (xv) implantação de um modelo de gestão de cobrança da dívida ativa, abarcando o Ministério Público, a Procuradoria e o Tribunal de Justiça, e a integração dos sistemas destas instituições com o Sistema Integrado de Administração Tributária (SIAT).</w:t>
      </w:r>
    </w:p>
    <w:p w:rsidR="00185929" w:rsidRPr="00046243" w:rsidRDefault="00185929" w:rsidP="002F65F2">
      <w:pPr>
        <w:pStyle w:val="Paragraph"/>
        <w:numPr>
          <w:ilvl w:val="0"/>
          <w:numId w:val="0"/>
        </w:numPr>
        <w:tabs>
          <w:tab w:val="clear" w:pos="720"/>
        </w:tabs>
        <w:spacing w:after="240"/>
        <w:outlineLvl w:val="9"/>
        <w:rPr>
          <w:b/>
          <w:bCs/>
          <w:szCs w:val="24"/>
          <w:lang w:val="pt-BR"/>
        </w:rPr>
      </w:pPr>
      <w:r w:rsidRPr="00046243">
        <w:rPr>
          <w:b/>
          <w:bCs/>
          <w:szCs w:val="24"/>
          <w:lang w:val="pt-BR"/>
        </w:rPr>
        <w:t xml:space="preserve">Componente III - Administração Financeira, Patrimonial e Controle interno: </w:t>
      </w:r>
      <w:r w:rsidRPr="00046243">
        <w:rPr>
          <w:szCs w:val="24"/>
          <w:lang w:val="pt-BR"/>
        </w:rPr>
        <w:t xml:space="preserve">Este </w:t>
      </w:r>
      <w:r w:rsidRPr="00E97E1F">
        <w:rPr>
          <w:szCs w:val="24"/>
          <w:lang w:val="pt-BR"/>
        </w:rPr>
        <w:t>componente financia</w:t>
      </w:r>
      <w:r w:rsidRPr="00E97E1F">
        <w:rPr>
          <w:bCs/>
          <w:iCs/>
          <w:szCs w:val="24"/>
          <w:lang w:val="pt-BR"/>
        </w:rPr>
        <w:t>: (i) migração do Sistema Integrado de Administração Financeira de Estados e Municípios (SIAFEM) para uma plataforma mais funcional e segura, incluindo uma nova</w:t>
      </w:r>
      <w:r w:rsidRPr="00046243">
        <w:rPr>
          <w:bCs/>
          <w:iCs/>
          <w:szCs w:val="24"/>
          <w:lang w:val="pt-BR"/>
        </w:rPr>
        <w:t xml:space="preserve"> versão do aplicativo e do banco de dados; (ii) implantação de um novo modelo de gestão de convênios apoiado por um sistema informatizado; (iii) implantação de um modelo de cálculo e controle de custos, apoiado por uma aplicação informática, em cada unidade do Órgão Executor; (iv) </w:t>
      </w:r>
      <w:r w:rsidRPr="00046243">
        <w:rPr>
          <w:szCs w:val="24"/>
          <w:lang w:val="pt-BR"/>
        </w:rPr>
        <w:t>implantação de um modelo de gestão do controle interno do Órgão Executor, apoiado por um sistema informatizado.</w:t>
      </w:r>
    </w:p>
    <w:p w:rsidR="00185929" w:rsidRPr="00046243" w:rsidRDefault="00185929" w:rsidP="002F65F2">
      <w:pPr>
        <w:pStyle w:val="Paragraph"/>
        <w:numPr>
          <w:ilvl w:val="0"/>
          <w:numId w:val="0"/>
        </w:numPr>
        <w:tabs>
          <w:tab w:val="clear" w:pos="720"/>
        </w:tabs>
        <w:spacing w:after="240"/>
        <w:outlineLvl w:val="9"/>
        <w:rPr>
          <w:bCs/>
          <w:iCs/>
          <w:szCs w:val="24"/>
          <w:lang w:val="pt-BR"/>
        </w:rPr>
      </w:pPr>
      <w:r w:rsidRPr="00046243">
        <w:rPr>
          <w:b/>
          <w:bCs/>
          <w:szCs w:val="24"/>
          <w:lang w:val="pt-BR"/>
        </w:rPr>
        <w:t xml:space="preserve">Componente IV- Gestão de Recursos Estratégicos: </w:t>
      </w:r>
      <w:r w:rsidRPr="00046243">
        <w:rPr>
          <w:szCs w:val="24"/>
          <w:lang w:val="pt-BR"/>
        </w:rPr>
        <w:t xml:space="preserve">Este componente </w:t>
      </w:r>
      <w:r w:rsidRPr="00046243">
        <w:rPr>
          <w:bCs/>
          <w:iCs/>
          <w:szCs w:val="24"/>
          <w:lang w:val="pt-BR"/>
        </w:rPr>
        <w:t xml:space="preserve">financia: (i) implantação de um modelo de controle social do gasto público; (ii) implantação de um novo portal desenvolvido com base numa ferramenta tecnológica moderna, contemplando a otimização da prestação de serviços on-line, a ampliação dos serviços conclusivos, a disponibilização de informações sobre os programas nacionais que integram receita e gasto público, bem como melhorias no acesso público à informação; (iii) implantação, na Corregedoria, do modelo </w:t>
      </w:r>
      <w:r w:rsidRPr="00E97E1F">
        <w:rPr>
          <w:bCs/>
          <w:iCs/>
          <w:szCs w:val="24"/>
          <w:lang w:val="pt-BR"/>
        </w:rPr>
        <w:t>nacional recomendado pelo GT-18/CONFAZ e, na Ouvidoria, do modelo adotado pelas</w:t>
      </w:r>
      <w:r w:rsidRPr="00046243">
        <w:rPr>
          <w:bCs/>
          <w:iCs/>
          <w:szCs w:val="24"/>
          <w:lang w:val="pt-BR"/>
        </w:rPr>
        <w:t xml:space="preserve"> </w:t>
      </w:r>
      <w:r w:rsidRPr="00046243">
        <w:rPr>
          <w:bCs/>
          <w:iCs/>
          <w:szCs w:val="24"/>
          <w:lang w:val="pt-BR"/>
        </w:rPr>
        <w:lastRenderedPageBreak/>
        <w:t xml:space="preserve">Ouvidorias do Estado do Pará; (iv) implantação de uma política de comunicação com a sociedade e do programa de responsabilidade social, com ênfase no uso da tecnologia da informação; (v) implantação de um modelo de atendimento aos contribuintes e aos demais usuários dos serviços do Órgão Executor, integrando as ações do programa de qualidade, ampliando e automatizando procedimentos no atendimento presencial e remoto; (vi) implantação </w:t>
      </w:r>
      <w:r w:rsidRPr="00E97E1F">
        <w:rPr>
          <w:bCs/>
          <w:iCs/>
          <w:szCs w:val="24"/>
          <w:lang w:val="pt-BR"/>
        </w:rPr>
        <w:t>de um sistema de gerenciamento eletrônico de documentos (GED); (vii) implantação de sistemas</w:t>
      </w:r>
      <w:r w:rsidRPr="00046243">
        <w:rPr>
          <w:bCs/>
          <w:iCs/>
          <w:szCs w:val="24"/>
          <w:lang w:val="pt-BR"/>
        </w:rPr>
        <w:t xml:space="preserve"> de apoio à gestão administrativa e tributária; (viii) implantação de uma política de comunicação e segurança da informação; (ix) infraestrutura de tecnologia para suporte e apoio à gestão fiscal</w:t>
      </w:r>
      <w:r w:rsidR="00A8228B" w:rsidRPr="00046243">
        <w:rPr>
          <w:bCs/>
          <w:iCs/>
          <w:szCs w:val="24"/>
          <w:lang w:val="pt-BR"/>
        </w:rPr>
        <w:t xml:space="preserve">; </w:t>
      </w:r>
      <w:r w:rsidRPr="00046243">
        <w:rPr>
          <w:bCs/>
          <w:iCs/>
          <w:szCs w:val="24"/>
          <w:lang w:val="pt-BR"/>
        </w:rPr>
        <w:t xml:space="preserve"> (x) implantação de uma política de gestão de pessoas, incluindo sistemática de avaliação de desempenho dos funcionários do Órgão Executor, criação de um banco de talentos, elaboração de proposta de plano de cargos e carreira e plano de lotação ideal das unidades fazendárias; (xi) implantação de uma política de capacitação dos funcionários do Órgão Executor, incluindo um plano de formação, a execução de programas nas áreas da gestão fazendária e educação fiscal, apoiados por um sistema de avaliação e monitoramento, ferramentas de vídeo conferência e métodos de aprendizado à distância; (xii) implantação de um programa de educação fiscal para a população; e (xiii) programa de gestão do conhecimento para integrar e sistematizar dados, informação e conhecimento, apoiado por eventos técnicos específicos.</w:t>
      </w:r>
    </w:p>
    <w:p w:rsidR="00185929" w:rsidRPr="00046243" w:rsidRDefault="00185929" w:rsidP="002F65F2">
      <w:pPr>
        <w:pStyle w:val="Paragraph"/>
        <w:numPr>
          <w:ilvl w:val="0"/>
          <w:numId w:val="0"/>
        </w:numPr>
        <w:tabs>
          <w:tab w:val="clear" w:pos="720"/>
        </w:tabs>
        <w:spacing w:after="240"/>
        <w:outlineLvl w:val="9"/>
        <w:rPr>
          <w:bCs/>
          <w:iCs/>
          <w:szCs w:val="24"/>
          <w:lang w:val="pt-BR"/>
        </w:rPr>
      </w:pPr>
      <w:r w:rsidRPr="00046243">
        <w:rPr>
          <w:b/>
          <w:bCs/>
          <w:iCs/>
          <w:szCs w:val="24"/>
          <w:lang w:val="pt-BR"/>
        </w:rPr>
        <w:t xml:space="preserve">Mudanças </w:t>
      </w:r>
      <w:r w:rsidR="00A8228B" w:rsidRPr="00046243">
        <w:rPr>
          <w:b/>
          <w:bCs/>
          <w:iCs/>
          <w:szCs w:val="24"/>
          <w:lang w:val="pt-BR"/>
        </w:rPr>
        <w:t xml:space="preserve">de </w:t>
      </w:r>
      <w:r w:rsidRPr="00046243">
        <w:rPr>
          <w:b/>
          <w:bCs/>
          <w:iCs/>
          <w:szCs w:val="24"/>
          <w:lang w:val="pt-BR"/>
        </w:rPr>
        <w:t>escopo d</w:t>
      </w:r>
      <w:r w:rsidR="00A8228B" w:rsidRPr="00046243">
        <w:rPr>
          <w:b/>
          <w:bCs/>
          <w:iCs/>
          <w:szCs w:val="24"/>
          <w:lang w:val="pt-BR"/>
        </w:rPr>
        <w:t>o p</w:t>
      </w:r>
      <w:r w:rsidRPr="00046243">
        <w:rPr>
          <w:b/>
          <w:bCs/>
          <w:iCs/>
          <w:szCs w:val="24"/>
          <w:lang w:val="pt-BR"/>
        </w:rPr>
        <w:t>rograma</w:t>
      </w:r>
      <w:r w:rsidRPr="00046243">
        <w:rPr>
          <w:bCs/>
          <w:iCs/>
          <w:szCs w:val="24"/>
          <w:lang w:val="pt-BR"/>
        </w:rPr>
        <w:t xml:space="preserve"> – No período de 7 a 10 de junho de 2011 durante uma Missão de Inspeção e Supervisão, também denominada de Missão de Aceleração da Execução do Pr</w:t>
      </w:r>
      <w:r w:rsidR="00A8228B" w:rsidRPr="00046243">
        <w:rPr>
          <w:bCs/>
          <w:iCs/>
          <w:szCs w:val="24"/>
          <w:lang w:val="pt-BR"/>
        </w:rPr>
        <w:t>ograma</w:t>
      </w:r>
      <w:r w:rsidR="00B870C7">
        <w:rPr>
          <w:bCs/>
          <w:iCs/>
          <w:szCs w:val="24"/>
          <w:lang w:val="pt-BR"/>
        </w:rPr>
        <w:t>,</w:t>
      </w:r>
      <w:r w:rsidR="00A8228B" w:rsidRPr="00046243">
        <w:rPr>
          <w:bCs/>
          <w:iCs/>
          <w:szCs w:val="24"/>
          <w:lang w:val="pt-BR"/>
        </w:rPr>
        <w:t xml:space="preserve"> </w:t>
      </w:r>
      <w:r w:rsidRPr="00046243">
        <w:rPr>
          <w:bCs/>
          <w:iCs/>
          <w:szCs w:val="24"/>
          <w:lang w:val="pt-BR"/>
        </w:rPr>
        <w:t>foram realizadas modificações no escopo do Programa. Originalmente</w:t>
      </w:r>
      <w:r w:rsidR="00B870C7">
        <w:rPr>
          <w:bCs/>
          <w:iCs/>
          <w:szCs w:val="24"/>
          <w:lang w:val="pt-BR"/>
        </w:rPr>
        <w:t>,</w:t>
      </w:r>
      <w:r w:rsidRPr="00046243">
        <w:rPr>
          <w:bCs/>
          <w:iCs/>
          <w:szCs w:val="24"/>
          <w:lang w:val="pt-BR"/>
        </w:rPr>
        <w:t xml:space="preserve"> o PROGEFAZ foi elaborado considerando um grande número de produtos a serem executados</w:t>
      </w:r>
      <w:r w:rsidR="00B870C7">
        <w:rPr>
          <w:bCs/>
          <w:iCs/>
          <w:szCs w:val="24"/>
          <w:lang w:val="pt-BR"/>
        </w:rPr>
        <w:t xml:space="preserve"> (38)</w:t>
      </w:r>
      <w:r w:rsidRPr="00046243">
        <w:rPr>
          <w:bCs/>
          <w:iCs/>
          <w:szCs w:val="24"/>
          <w:lang w:val="pt-BR"/>
        </w:rPr>
        <w:t xml:space="preserve">. Essa pulverização tinha o objetivo de solucionar vários problemas que afetavam o desempenho da </w:t>
      </w:r>
      <w:r w:rsidR="00A8228B" w:rsidRPr="00E97E1F">
        <w:rPr>
          <w:bCs/>
          <w:iCs/>
          <w:szCs w:val="24"/>
          <w:lang w:val="pt-BR"/>
        </w:rPr>
        <w:t>Secretaria de Estado da Fazenda (</w:t>
      </w:r>
      <w:r w:rsidRPr="00E97E1F">
        <w:rPr>
          <w:bCs/>
          <w:iCs/>
          <w:szCs w:val="24"/>
          <w:lang w:val="pt-BR"/>
        </w:rPr>
        <w:t>SEFA</w:t>
      </w:r>
      <w:r w:rsidR="00A8228B" w:rsidRPr="00E97E1F">
        <w:rPr>
          <w:bCs/>
          <w:iCs/>
          <w:szCs w:val="24"/>
          <w:lang w:val="pt-BR"/>
        </w:rPr>
        <w:t>)</w:t>
      </w:r>
      <w:r w:rsidRPr="00E97E1F">
        <w:rPr>
          <w:bCs/>
          <w:iCs/>
          <w:szCs w:val="24"/>
          <w:lang w:val="pt-BR"/>
        </w:rPr>
        <w:t xml:space="preserve"> na execução de suas atividades. Ocorre que esse elenco</w:t>
      </w:r>
      <w:r w:rsidRPr="00046243">
        <w:rPr>
          <w:bCs/>
          <w:iCs/>
          <w:szCs w:val="24"/>
          <w:lang w:val="pt-BR"/>
        </w:rPr>
        <w:t xml:space="preserve"> muito grande de produtos gerou também uma pulverização dos recursos programados, o que </w:t>
      </w:r>
      <w:r w:rsidR="00B870C7">
        <w:rPr>
          <w:bCs/>
          <w:iCs/>
          <w:szCs w:val="24"/>
          <w:lang w:val="pt-BR"/>
        </w:rPr>
        <w:t xml:space="preserve">vinha dificultando </w:t>
      </w:r>
      <w:r w:rsidRPr="00046243">
        <w:rPr>
          <w:bCs/>
          <w:iCs/>
          <w:szCs w:val="24"/>
          <w:lang w:val="pt-BR"/>
        </w:rPr>
        <w:t xml:space="preserve">sua execução. A nova Administração da Secretaria optou por rever o Programa, estabelecendo um ranking de prioridades dos produtos propostos, e agregou dois novos produtos: a Nota Fiscal Cidadã e Sistemas Aplicativos de Apoio à Gestão Administrativa e Tributária. Dos 38 produtos </w:t>
      </w:r>
      <w:r w:rsidR="006F1D13">
        <w:rPr>
          <w:bCs/>
          <w:iCs/>
          <w:szCs w:val="24"/>
          <w:lang w:val="pt-BR"/>
        </w:rPr>
        <w:t xml:space="preserve">originalmente </w:t>
      </w:r>
      <w:r w:rsidRPr="00046243">
        <w:rPr>
          <w:bCs/>
          <w:iCs/>
          <w:szCs w:val="24"/>
          <w:lang w:val="pt-BR"/>
        </w:rPr>
        <w:t>propostos, o Programa ficou composto de 22 produtos, cuja execução, neste momento, foi considerada prioritária para Secretaria. Essa nova concepção permitiu uma melhor realocação dos recursos garantindo</w:t>
      </w:r>
      <w:r w:rsidR="006F1D13">
        <w:rPr>
          <w:bCs/>
          <w:iCs/>
          <w:szCs w:val="24"/>
          <w:lang w:val="pt-BR"/>
        </w:rPr>
        <w:t>,</w:t>
      </w:r>
      <w:r w:rsidRPr="00046243">
        <w:rPr>
          <w:bCs/>
          <w:iCs/>
          <w:szCs w:val="24"/>
          <w:lang w:val="pt-BR"/>
        </w:rPr>
        <w:t xml:space="preserve"> assim, a execução dos produtos selecionados como prioritários. Dos 18 produtos retirados, 9 tinham resultados e metas programadas no Marco de Resultados o que exigiu a substituição dos mesmos por novos produtos com seus respectivos resultados e metas. </w:t>
      </w:r>
    </w:p>
    <w:p w:rsidR="00185929" w:rsidRDefault="00185929" w:rsidP="00497002">
      <w:pPr>
        <w:spacing w:after="240" w:line="240" w:lineRule="auto"/>
        <w:jc w:val="both"/>
        <w:rPr>
          <w:rFonts w:ascii="Times New Roman" w:eastAsia="Times New Roman" w:hAnsi="Times New Roman" w:cs="Times New Roman"/>
          <w:bCs/>
          <w:iCs/>
          <w:sz w:val="24"/>
          <w:szCs w:val="24"/>
        </w:rPr>
      </w:pPr>
      <w:r w:rsidRPr="00497002">
        <w:rPr>
          <w:rFonts w:ascii="Times New Roman" w:hAnsi="Times New Roman" w:cs="Times New Roman"/>
          <w:sz w:val="24"/>
          <w:szCs w:val="24"/>
        </w:rPr>
        <w:t xml:space="preserve">As alterações propostas foram distribuídas em cinco categorias: </w:t>
      </w:r>
      <w:r w:rsidRPr="00497002">
        <w:rPr>
          <w:rFonts w:ascii="Times New Roman" w:hAnsi="Times New Roman" w:cs="Times New Roman"/>
          <w:bCs/>
          <w:iCs/>
          <w:szCs w:val="24"/>
        </w:rPr>
        <w:t>(i) Produtos excluídos do programa sem impacto no Marco de Resultados</w:t>
      </w:r>
      <w:r w:rsidR="00497002" w:rsidRPr="00497002">
        <w:rPr>
          <w:rFonts w:ascii="Times New Roman" w:hAnsi="Times New Roman" w:cs="Times New Roman"/>
          <w:bCs/>
          <w:iCs/>
          <w:szCs w:val="24"/>
        </w:rPr>
        <w:t xml:space="preserve">; </w:t>
      </w:r>
      <w:r w:rsidRPr="00497002">
        <w:rPr>
          <w:rFonts w:ascii="Times New Roman" w:hAnsi="Times New Roman" w:cs="Times New Roman"/>
          <w:bCs/>
          <w:iCs/>
          <w:szCs w:val="24"/>
        </w:rPr>
        <w:t>(ii) Produtos excluídos do programa com alteração do Marco de Resultados</w:t>
      </w:r>
      <w:r w:rsidR="00497002" w:rsidRPr="00497002">
        <w:rPr>
          <w:rFonts w:ascii="Times New Roman" w:hAnsi="Times New Roman" w:cs="Times New Roman"/>
          <w:bCs/>
          <w:iCs/>
          <w:szCs w:val="24"/>
        </w:rPr>
        <w:t xml:space="preserve">; </w:t>
      </w:r>
      <w:r w:rsidRPr="00497002">
        <w:rPr>
          <w:rFonts w:ascii="Times New Roman" w:eastAsia="Times New Roman" w:hAnsi="Times New Roman" w:cs="Times New Roman"/>
          <w:bCs/>
          <w:iCs/>
          <w:sz w:val="24"/>
          <w:szCs w:val="24"/>
        </w:rPr>
        <w:t xml:space="preserve">(iii) Produto incluído </w:t>
      </w:r>
      <w:r w:rsidR="009A10F7" w:rsidRPr="00497002">
        <w:rPr>
          <w:rFonts w:ascii="Times New Roman" w:eastAsia="Times New Roman" w:hAnsi="Times New Roman" w:cs="Times New Roman"/>
          <w:bCs/>
          <w:iCs/>
          <w:sz w:val="24"/>
          <w:szCs w:val="24"/>
        </w:rPr>
        <w:t xml:space="preserve">no programa e no </w:t>
      </w:r>
      <w:r w:rsidRPr="00497002">
        <w:rPr>
          <w:rFonts w:ascii="Times New Roman" w:eastAsia="Times New Roman" w:hAnsi="Times New Roman" w:cs="Times New Roman"/>
          <w:bCs/>
          <w:iCs/>
          <w:sz w:val="24"/>
          <w:szCs w:val="24"/>
        </w:rPr>
        <w:t>Marco de Resultados</w:t>
      </w:r>
      <w:r w:rsidR="00497002" w:rsidRPr="00497002">
        <w:rPr>
          <w:rFonts w:ascii="Times New Roman" w:eastAsia="Times New Roman" w:hAnsi="Times New Roman" w:cs="Times New Roman"/>
          <w:bCs/>
          <w:iCs/>
          <w:sz w:val="24"/>
          <w:szCs w:val="24"/>
        </w:rPr>
        <w:t xml:space="preserve">; </w:t>
      </w:r>
      <w:r w:rsidRPr="00497002">
        <w:rPr>
          <w:rFonts w:ascii="Times New Roman" w:eastAsia="Times New Roman" w:hAnsi="Times New Roman" w:cs="Times New Roman"/>
          <w:bCs/>
          <w:iCs/>
          <w:sz w:val="24"/>
          <w:szCs w:val="24"/>
        </w:rPr>
        <w:t>(iv) Produtos incluídos no programa sem inserção no Marco de Resultados</w:t>
      </w:r>
      <w:r w:rsidR="00497002" w:rsidRPr="00497002">
        <w:rPr>
          <w:rFonts w:ascii="Times New Roman" w:eastAsia="Times New Roman" w:hAnsi="Times New Roman" w:cs="Times New Roman"/>
          <w:bCs/>
          <w:iCs/>
          <w:sz w:val="24"/>
          <w:szCs w:val="24"/>
        </w:rPr>
        <w:t xml:space="preserve">; </w:t>
      </w:r>
      <w:r w:rsidR="00497002">
        <w:rPr>
          <w:rFonts w:ascii="Times New Roman" w:eastAsia="Times New Roman" w:hAnsi="Times New Roman" w:cs="Times New Roman"/>
          <w:bCs/>
          <w:iCs/>
          <w:sz w:val="24"/>
          <w:szCs w:val="24"/>
        </w:rPr>
        <w:t xml:space="preserve">e </w:t>
      </w:r>
      <w:r w:rsidRPr="00497002">
        <w:rPr>
          <w:rFonts w:ascii="Times New Roman" w:eastAsia="Times New Roman" w:hAnsi="Times New Roman" w:cs="Times New Roman"/>
          <w:bCs/>
          <w:iCs/>
          <w:sz w:val="24"/>
          <w:szCs w:val="24"/>
        </w:rPr>
        <w:t>(v) Ajustes nas metas e/ou indicadores.</w:t>
      </w:r>
      <w:r w:rsidR="00497002">
        <w:rPr>
          <w:rFonts w:ascii="Times New Roman" w:eastAsia="Times New Roman" w:hAnsi="Times New Roman" w:cs="Times New Roman"/>
          <w:bCs/>
          <w:iCs/>
          <w:sz w:val="24"/>
          <w:szCs w:val="24"/>
        </w:rPr>
        <w:t xml:space="preserve"> Todas as alterações estão registradas na Tabela 1 - Mudanças na Matriz de Resultados.</w:t>
      </w:r>
    </w:p>
    <w:p w:rsidR="00CD443D" w:rsidRPr="00046243" w:rsidRDefault="00FE1A1D" w:rsidP="009C7A21">
      <w:pPr>
        <w:pStyle w:val="Ttulo1"/>
        <w:spacing w:after="240" w:line="240" w:lineRule="auto"/>
        <w:rPr>
          <w:rFonts w:ascii="Times New Roman" w:hAnsi="Times New Roman" w:cs="Times New Roman"/>
          <w:color w:val="auto"/>
          <w:sz w:val="24"/>
          <w:szCs w:val="24"/>
        </w:rPr>
      </w:pPr>
      <w:bookmarkStart w:id="6" w:name="_Toc431190858"/>
      <w:r w:rsidRPr="00046243">
        <w:rPr>
          <w:rFonts w:ascii="Times New Roman" w:hAnsi="Times New Roman" w:cs="Times New Roman"/>
          <w:color w:val="auto"/>
          <w:sz w:val="24"/>
          <w:szCs w:val="24"/>
        </w:rPr>
        <w:lastRenderedPageBreak/>
        <w:t>Desempe</w:t>
      </w:r>
      <w:r w:rsidR="00ED609C" w:rsidRPr="00046243">
        <w:rPr>
          <w:rFonts w:ascii="Times New Roman" w:hAnsi="Times New Roman" w:cs="Times New Roman"/>
          <w:color w:val="auto"/>
          <w:sz w:val="24"/>
          <w:szCs w:val="24"/>
        </w:rPr>
        <w:t>nho</w:t>
      </w:r>
      <w:r w:rsidRPr="00046243">
        <w:rPr>
          <w:rFonts w:ascii="Times New Roman" w:hAnsi="Times New Roman" w:cs="Times New Roman"/>
          <w:color w:val="auto"/>
          <w:sz w:val="24"/>
          <w:szCs w:val="24"/>
        </w:rPr>
        <w:t xml:space="preserve"> d</w:t>
      </w:r>
      <w:r w:rsidR="00ED609C" w:rsidRPr="00046243">
        <w:rPr>
          <w:rFonts w:ascii="Times New Roman" w:hAnsi="Times New Roman" w:cs="Times New Roman"/>
          <w:color w:val="auto"/>
          <w:sz w:val="24"/>
          <w:szCs w:val="24"/>
        </w:rPr>
        <w:t>o</w:t>
      </w:r>
      <w:r w:rsidRPr="00046243">
        <w:rPr>
          <w:rFonts w:ascii="Times New Roman" w:hAnsi="Times New Roman" w:cs="Times New Roman"/>
          <w:color w:val="auto"/>
          <w:sz w:val="24"/>
          <w:szCs w:val="24"/>
        </w:rPr>
        <w:t xml:space="preserve"> pro</w:t>
      </w:r>
      <w:r w:rsidR="00ED609C" w:rsidRPr="00046243">
        <w:rPr>
          <w:rFonts w:ascii="Times New Roman" w:hAnsi="Times New Roman" w:cs="Times New Roman"/>
          <w:color w:val="auto"/>
          <w:sz w:val="24"/>
          <w:szCs w:val="24"/>
        </w:rPr>
        <w:t>je</w:t>
      </w:r>
      <w:r w:rsidRPr="00046243">
        <w:rPr>
          <w:rFonts w:ascii="Times New Roman" w:hAnsi="Times New Roman" w:cs="Times New Roman"/>
          <w:color w:val="auto"/>
          <w:sz w:val="24"/>
          <w:szCs w:val="24"/>
        </w:rPr>
        <w:t>to</w:t>
      </w:r>
      <w:bookmarkEnd w:id="6"/>
    </w:p>
    <w:p w:rsidR="00C50B4D" w:rsidRPr="00046243" w:rsidRDefault="00E83C2B" w:rsidP="009C7A21">
      <w:pPr>
        <w:pStyle w:val="Ttulo2"/>
        <w:numPr>
          <w:ilvl w:val="1"/>
          <w:numId w:val="2"/>
        </w:numPr>
        <w:spacing w:after="240" w:line="240" w:lineRule="auto"/>
        <w:rPr>
          <w:rFonts w:ascii="Times New Roman" w:hAnsi="Times New Roman" w:cs="Times New Roman"/>
          <w:color w:val="auto"/>
          <w:sz w:val="24"/>
          <w:szCs w:val="24"/>
        </w:rPr>
      </w:pPr>
      <w:bookmarkStart w:id="7" w:name="_Toc431190859"/>
      <w:r w:rsidRPr="00046243">
        <w:rPr>
          <w:rFonts w:ascii="Times New Roman" w:hAnsi="Times New Roman" w:cs="Times New Roman"/>
          <w:color w:val="auto"/>
          <w:sz w:val="24"/>
          <w:szCs w:val="24"/>
        </w:rPr>
        <w:t>Ef</w:t>
      </w:r>
      <w:r w:rsidR="00FE1A1D" w:rsidRPr="00046243">
        <w:rPr>
          <w:rFonts w:ascii="Times New Roman" w:hAnsi="Times New Roman" w:cs="Times New Roman"/>
          <w:color w:val="auto"/>
          <w:sz w:val="24"/>
          <w:szCs w:val="24"/>
        </w:rPr>
        <w:t>etividad</w:t>
      </w:r>
      <w:r w:rsidR="00ED609C" w:rsidRPr="00046243">
        <w:rPr>
          <w:rFonts w:ascii="Times New Roman" w:hAnsi="Times New Roman" w:cs="Times New Roman"/>
          <w:color w:val="auto"/>
          <w:sz w:val="24"/>
          <w:szCs w:val="24"/>
        </w:rPr>
        <w:t>e</w:t>
      </w:r>
      <w:bookmarkEnd w:id="7"/>
    </w:p>
    <w:p w:rsidR="00DA1D2A" w:rsidRPr="00046243" w:rsidRDefault="00DA1D2A" w:rsidP="00DA1D2A">
      <w:pPr>
        <w:spacing w:after="240" w:line="240" w:lineRule="auto"/>
        <w:jc w:val="both"/>
        <w:rPr>
          <w:rStyle w:val="hps"/>
          <w:rFonts w:ascii="Times New Roman" w:hAnsi="Times New Roman" w:cs="Times New Roman"/>
          <w:color w:val="222222"/>
          <w:sz w:val="24"/>
          <w:szCs w:val="24"/>
          <w:lang w:val="pt-PT"/>
        </w:rPr>
      </w:pPr>
      <w:r w:rsidRPr="00046243">
        <w:rPr>
          <w:rStyle w:val="hps"/>
          <w:rFonts w:ascii="Times New Roman" w:hAnsi="Times New Roman" w:cs="Times New Roman"/>
          <w:color w:val="222222"/>
          <w:sz w:val="24"/>
          <w:szCs w:val="24"/>
          <w:lang w:val="pt-PT"/>
        </w:rPr>
        <w:t xml:space="preserve">Considerando a importância do </w:t>
      </w:r>
      <w:r w:rsidRPr="00046243">
        <w:rPr>
          <w:rStyle w:val="hps"/>
          <w:rFonts w:ascii="Times New Roman" w:hAnsi="Times New Roman" w:cs="Times New Roman"/>
          <w:b/>
          <w:color w:val="222222"/>
          <w:sz w:val="24"/>
          <w:szCs w:val="24"/>
          <w:lang w:val="pt-PT"/>
        </w:rPr>
        <w:t>Programa de Reestruturação da Dívida e Ajuste Fiscal (PAF)</w:t>
      </w:r>
      <w:r w:rsidRPr="00046243">
        <w:rPr>
          <w:rStyle w:val="hps"/>
          <w:rFonts w:ascii="Times New Roman" w:hAnsi="Times New Roman" w:cs="Times New Roman"/>
          <w:color w:val="222222"/>
          <w:sz w:val="24"/>
          <w:szCs w:val="24"/>
          <w:lang w:val="pt-PT"/>
        </w:rPr>
        <w:t xml:space="preserve"> do Governo Federal para</w:t>
      </w:r>
      <w:r w:rsidR="00C270FF" w:rsidRPr="00046243">
        <w:rPr>
          <w:rStyle w:val="hps"/>
          <w:rFonts w:ascii="Times New Roman" w:hAnsi="Times New Roman" w:cs="Times New Roman"/>
          <w:color w:val="222222"/>
          <w:sz w:val="24"/>
          <w:szCs w:val="24"/>
          <w:lang w:val="pt-PT"/>
        </w:rPr>
        <w:t xml:space="preserve"> a sustentabilidade fiscal dos E</w:t>
      </w:r>
      <w:r w:rsidRPr="00046243">
        <w:rPr>
          <w:rStyle w:val="hps"/>
          <w:rFonts w:ascii="Times New Roman" w:hAnsi="Times New Roman" w:cs="Times New Roman"/>
          <w:color w:val="222222"/>
          <w:sz w:val="24"/>
          <w:szCs w:val="24"/>
          <w:lang w:val="pt-PT"/>
        </w:rPr>
        <w:t>st</w:t>
      </w:r>
      <w:r w:rsidR="00C270FF" w:rsidRPr="00046243">
        <w:rPr>
          <w:rStyle w:val="hps"/>
          <w:rFonts w:ascii="Times New Roman" w:hAnsi="Times New Roman" w:cs="Times New Roman"/>
          <w:color w:val="222222"/>
          <w:sz w:val="24"/>
          <w:szCs w:val="24"/>
          <w:lang w:val="pt-PT"/>
        </w:rPr>
        <w:t xml:space="preserve">ados, as metas acordadas com o </w:t>
      </w:r>
      <w:r w:rsidR="006F1D13">
        <w:rPr>
          <w:rStyle w:val="hps"/>
          <w:rFonts w:ascii="Times New Roman" w:hAnsi="Times New Roman" w:cs="Times New Roman"/>
          <w:color w:val="222222"/>
          <w:sz w:val="24"/>
          <w:szCs w:val="24"/>
          <w:lang w:val="pt-PT"/>
        </w:rPr>
        <w:t>E</w:t>
      </w:r>
      <w:r w:rsidRPr="00046243">
        <w:rPr>
          <w:rStyle w:val="hps"/>
          <w:rFonts w:ascii="Times New Roman" w:hAnsi="Times New Roman" w:cs="Times New Roman"/>
          <w:color w:val="222222"/>
          <w:sz w:val="24"/>
          <w:szCs w:val="24"/>
          <w:lang w:val="pt-PT"/>
        </w:rPr>
        <w:t>stado do Pará constituem-se indicadores de impacto do P</w:t>
      </w:r>
      <w:r w:rsidR="00C270FF" w:rsidRPr="00046243">
        <w:rPr>
          <w:rStyle w:val="hps"/>
          <w:rFonts w:ascii="Times New Roman" w:hAnsi="Times New Roman" w:cs="Times New Roman"/>
          <w:color w:val="222222"/>
          <w:sz w:val="24"/>
          <w:szCs w:val="24"/>
          <w:lang w:val="pt-PT"/>
        </w:rPr>
        <w:t>ROGEFAZ</w:t>
      </w:r>
      <w:r w:rsidRPr="00046243">
        <w:rPr>
          <w:rStyle w:val="hps"/>
          <w:rFonts w:ascii="Times New Roman" w:hAnsi="Times New Roman" w:cs="Times New Roman"/>
          <w:color w:val="222222"/>
          <w:sz w:val="24"/>
          <w:szCs w:val="24"/>
          <w:lang w:val="pt-PT"/>
        </w:rPr>
        <w:t>. A avaliação do PAF/PA relativa ao período de 2012 a 2014, realizada pela Secretaria do Tesouro Nacional do Ministério da Fazenda (STN/MF)</w:t>
      </w:r>
      <w:r w:rsidR="006F1D13">
        <w:rPr>
          <w:rStyle w:val="hps"/>
          <w:rFonts w:ascii="Times New Roman" w:hAnsi="Times New Roman" w:cs="Times New Roman"/>
          <w:color w:val="222222"/>
          <w:sz w:val="24"/>
          <w:szCs w:val="24"/>
          <w:lang w:val="pt-PT"/>
        </w:rPr>
        <w:t>,</w:t>
      </w:r>
      <w:r w:rsidRPr="00046243">
        <w:rPr>
          <w:rStyle w:val="hps"/>
          <w:rFonts w:ascii="Times New Roman" w:hAnsi="Times New Roman" w:cs="Times New Roman"/>
          <w:color w:val="222222"/>
          <w:sz w:val="24"/>
          <w:szCs w:val="24"/>
          <w:lang w:val="pt-PT"/>
        </w:rPr>
        <w:t xml:space="preserve"> demonstra que as 04 (quatro) metas associadas ao Projeto alcançaram os seguintes resultados:</w:t>
      </w:r>
    </w:p>
    <w:p w:rsidR="00DA1D2A" w:rsidRPr="00046243" w:rsidRDefault="00DA1D2A" w:rsidP="00DA1D2A">
      <w:pPr>
        <w:spacing w:after="240" w:line="240" w:lineRule="auto"/>
        <w:ind w:left="720"/>
        <w:jc w:val="both"/>
        <w:rPr>
          <w:rStyle w:val="hps"/>
          <w:rFonts w:ascii="Times New Roman" w:hAnsi="Times New Roman" w:cs="Times New Roman"/>
          <w:color w:val="222222"/>
          <w:sz w:val="24"/>
          <w:szCs w:val="24"/>
          <w:lang w:val="pt-PT"/>
        </w:rPr>
      </w:pPr>
      <w:r w:rsidRPr="00046243">
        <w:rPr>
          <w:rStyle w:val="hps"/>
          <w:rFonts w:ascii="Times New Roman" w:hAnsi="Times New Roman" w:cs="Times New Roman"/>
          <w:b/>
          <w:color w:val="222222"/>
          <w:sz w:val="24"/>
          <w:szCs w:val="24"/>
          <w:lang w:val="pt-PT"/>
        </w:rPr>
        <w:t>Impacto 1 – Controle da Dívida Pública.</w:t>
      </w:r>
      <w:r w:rsidRPr="00046243">
        <w:rPr>
          <w:rStyle w:val="hps"/>
          <w:rFonts w:ascii="Times New Roman" w:hAnsi="Times New Roman" w:cs="Times New Roman"/>
          <w:color w:val="222222"/>
          <w:sz w:val="24"/>
          <w:szCs w:val="24"/>
          <w:lang w:val="pt-PT"/>
        </w:rPr>
        <w:t xml:space="preserve"> Acordou-se que a relação entre a Dívida Financeira e a Receita Líquida Real (RLR) de 0,37% em 2009 deveria ser menor ou igual a 1% no período de 2012 a 2014. Os  resultados alcançados foram de 0,24% em 2012, 0,25% em 2013 e 0,25% em 2014 superando assim todas as metas acordadas com a </w:t>
      </w:r>
      <w:r w:rsidRPr="00E97E1F">
        <w:rPr>
          <w:rStyle w:val="hps"/>
          <w:rFonts w:ascii="Times New Roman" w:hAnsi="Times New Roman" w:cs="Times New Roman"/>
          <w:color w:val="222222"/>
          <w:sz w:val="24"/>
          <w:szCs w:val="24"/>
          <w:lang w:val="pt-PT"/>
        </w:rPr>
        <w:t>STN/MF.</w:t>
      </w:r>
      <w:r w:rsidRPr="00046243">
        <w:rPr>
          <w:rStyle w:val="hps"/>
          <w:rFonts w:ascii="Times New Roman" w:hAnsi="Times New Roman" w:cs="Times New Roman"/>
          <w:color w:val="222222"/>
          <w:sz w:val="24"/>
          <w:szCs w:val="24"/>
          <w:lang w:val="pt-PT"/>
        </w:rPr>
        <w:t xml:space="preserve"> </w:t>
      </w:r>
    </w:p>
    <w:p w:rsidR="00DA1D2A" w:rsidRPr="00046243" w:rsidRDefault="00DA1D2A" w:rsidP="00DA1D2A">
      <w:pPr>
        <w:spacing w:after="240" w:line="240" w:lineRule="auto"/>
        <w:ind w:left="720"/>
        <w:jc w:val="both"/>
        <w:rPr>
          <w:rStyle w:val="hps"/>
          <w:rFonts w:ascii="Times New Roman" w:hAnsi="Times New Roman" w:cs="Times New Roman"/>
          <w:color w:val="222222"/>
          <w:sz w:val="24"/>
          <w:szCs w:val="24"/>
          <w:lang w:val="pt-PT"/>
        </w:rPr>
      </w:pPr>
      <w:r w:rsidRPr="00046243">
        <w:rPr>
          <w:rStyle w:val="hps"/>
          <w:rFonts w:ascii="Times New Roman" w:hAnsi="Times New Roman" w:cs="Times New Roman"/>
          <w:b/>
          <w:color w:val="222222"/>
          <w:sz w:val="24"/>
          <w:szCs w:val="24"/>
          <w:lang w:val="pt-PT"/>
        </w:rPr>
        <w:t>Impacto 2 – Resultado primário positivo mínimo</w:t>
      </w:r>
      <w:r w:rsidRPr="00046243">
        <w:rPr>
          <w:rStyle w:val="hps"/>
          <w:rFonts w:ascii="Times New Roman" w:hAnsi="Times New Roman" w:cs="Times New Roman"/>
          <w:color w:val="222222"/>
          <w:sz w:val="24"/>
          <w:szCs w:val="24"/>
          <w:lang w:val="pt-PT"/>
        </w:rPr>
        <w:t xml:space="preserve">. Acordou-se no </w:t>
      </w:r>
      <w:r w:rsidR="006F1D13">
        <w:rPr>
          <w:rStyle w:val="hps"/>
          <w:rFonts w:ascii="Times New Roman" w:hAnsi="Times New Roman" w:cs="Times New Roman"/>
          <w:color w:val="222222"/>
          <w:sz w:val="24"/>
          <w:szCs w:val="24"/>
          <w:lang w:val="pt-PT"/>
        </w:rPr>
        <w:t>â</w:t>
      </w:r>
      <w:r w:rsidRPr="00046243">
        <w:rPr>
          <w:rStyle w:val="hps"/>
          <w:rFonts w:ascii="Times New Roman" w:hAnsi="Times New Roman" w:cs="Times New Roman"/>
          <w:color w:val="222222"/>
          <w:sz w:val="24"/>
          <w:szCs w:val="24"/>
          <w:lang w:val="pt-PT"/>
        </w:rPr>
        <w:t>mbito do PAF R$ 20 milhões de resultado superavitário em dezembro de 2014 e o Estado alcançou um resultado superavitário de R$ 74 milhões.</w:t>
      </w:r>
    </w:p>
    <w:p w:rsidR="00DA1D2A" w:rsidRPr="00046243" w:rsidRDefault="00DA1D2A" w:rsidP="00DA1D2A">
      <w:pPr>
        <w:spacing w:after="240" w:line="240" w:lineRule="auto"/>
        <w:ind w:left="720"/>
        <w:jc w:val="both"/>
        <w:rPr>
          <w:rStyle w:val="hps"/>
          <w:rFonts w:ascii="Times New Roman" w:hAnsi="Times New Roman" w:cs="Times New Roman"/>
          <w:sz w:val="24"/>
          <w:szCs w:val="24"/>
          <w:lang w:val="pt-PT"/>
        </w:rPr>
      </w:pPr>
      <w:r w:rsidRPr="00046243">
        <w:rPr>
          <w:rStyle w:val="hps"/>
          <w:rFonts w:ascii="Times New Roman" w:hAnsi="Times New Roman" w:cs="Times New Roman"/>
          <w:b/>
          <w:sz w:val="24"/>
          <w:szCs w:val="24"/>
          <w:lang w:val="pt-PT"/>
        </w:rPr>
        <w:t>Impacto 3 – Aumento da receita própria.</w:t>
      </w:r>
      <w:r w:rsidRPr="00046243">
        <w:rPr>
          <w:rStyle w:val="hps"/>
          <w:rFonts w:ascii="Times New Roman" w:hAnsi="Times New Roman" w:cs="Times New Roman"/>
          <w:sz w:val="24"/>
          <w:szCs w:val="24"/>
          <w:lang w:val="pt-PT"/>
        </w:rPr>
        <w:t xml:space="preserve"> Pactou-se como meta para 2014 atingir R$ 11,3 bilhões de receita própria e em dezembro de 2014 o Estado alcançou R$ 11,2 bilhões.</w:t>
      </w:r>
    </w:p>
    <w:p w:rsidR="00DA1D2A" w:rsidRPr="00046243" w:rsidRDefault="00DA1D2A" w:rsidP="00DA1D2A">
      <w:pPr>
        <w:spacing w:after="240" w:line="240" w:lineRule="auto"/>
        <w:ind w:left="720"/>
        <w:jc w:val="both"/>
        <w:rPr>
          <w:rStyle w:val="hps"/>
          <w:rFonts w:ascii="Times New Roman" w:hAnsi="Times New Roman" w:cs="Times New Roman"/>
          <w:sz w:val="24"/>
          <w:szCs w:val="24"/>
          <w:lang w:val="pt-PT"/>
        </w:rPr>
      </w:pPr>
      <w:r w:rsidRPr="00046243">
        <w:rPr>
          <w:rStyle w:val="hps"/>
          <w:rFonts w:ascii="Times New Roman" w:hAnsi="Times New Roman" w:cs="Times New Roman"/>
          <w:b/>
          <w:sz w:val="24"/>
          <w:szCs w:val="24"/>
          <w:lang w:val="pt-PT"/>
        </w:rPr>
        <w:t>Impacto 4 – Manter despesa de pessoal no limite da LRF</w:t>
      </w:r>
      <w:r w:rsidRPr="00046243">
        <w:rPr>
          <w:rStyle w:val="hps"/>
          <w:rFonts w:ascii="Times New Roman" w:hAnsi="Times New Roman" w:cs="Times New Roman"/>
          <w:sz w:val="24"/>
          <w:szCs w:val="24"/>
          <w:lang w:val="pt-PT"/>
        </w:rPr>
        <w:t>: Em 2009 a relação Despesas com Pessoal/Receita Corrente Líquida (RCL) foi de 55,03%, em 2013 a meta alcançada foi de 56,48% e em 2014 a a rela</w:t>
      </w:r>
      <w:r w:rsidR="00C270FF" w:rsidRPr="00046243">
        <w:rPr>
          <w:rStyle w:val="hps"/>
          <w:rFonts w:ascii="Times New Roman" w:hAnsi="Times New Roman" w:cs="Times New Roman"/>
          <w:sz w:val="24"/>
          <w:szCs w:val="24"/>
          <w:lang w:val="pt-PT"/>
        </w:rPr>
        <w:t>ção ficou em 55,04%, ou seja o E</w:t>
      </w:r>
      <w:r w:rsidRPr="00046243">
        <w:rPr>
          <w:rStyle w:val="hps"/>
          <w:rFonts w:ascii="Times New Roman" w:hAnsi="Times New Roman" w:cs="Times New Roman"/>
          <w:sz w:val="24"/>
          <w:szCs w:val="24"/>
          <w:lang w:val="pt-PT"/>
        </w:rPr>
        <w:t xml:space="preserve">stado permaneceu dentro do limite da LRF de 60%.  </w:t>
      </w:r>
    </w:p>
    <w:p w:rsidR="00925806" w:rsidRPr="00046243" w:rsidRDefault="00AE4D91" w:rsidP="00AE4D91">
      <w:pPr>
        <w:pStyle w:val="Ttulo3"/>
        <w:spacing w:after="240" w:line="240" w:lineRule="auto"/>
        <w:ind w:left="1800"/>
        <w:rPr>
          <w:rFonts w:ascii="Times New Roman" w:hAnsi="Times New Roman" w:cs="Times New Roman"/>
          <w:color w:val="auto"/>
          <w:sz w:val="24"/>
          <w:szCs w:val="24"/>
        </w:rPr>
      </w:pPr>
      <w:bookmarkStart w:id="8" w:name="_Toc431190860"/>
      <w:r w:rsidRPr="00046243">
        <w:rPr>
          <w:rFonts w:ascii="Times New Roman" w:hAnsi="Times New Roman" w:cs="Times New Roman"/>
          <w:color w:val="auto"/>
          <w:sz w:val="24"/>
          <w:szCs w:val="24"/>
        </w:rPr>
        <w:t xml:space="preserve">a. </w:t>
      </w:r>
      <w:r w:rsidR="00FE1A1D" w:rsidRPr="00046243">
        <w:rPr>
          <w:rFonts w:ascii="Times New Roman" w:hAnsi="Times New Roman" w:cs="Times New Roman"/>
          <w:color w:val="auto"/>
          <w:sz w:val="24"/>
          <w:szCs w:val="24"/>
        </w:rPr>
        <w:t>Anális</w:t>
      </w:r>
      <w:r w:rsidR="00ED609C" w:rsidRPr="00046243">
        <w:rPr>
          <w:rFonts w:ascii="Times New Roman" w:hAnsi="Times New Roman" w:cs="Times New Roman"/>
          <w:color w:val="auto"/>
          <w:sz w:val="24"/>
          <w:szCs w:val="24"/>
        </w:rPr>
        <w:t>e</w:t>
      </w:r>
      <w:r w:rsidR="00FE1A1D" w:rsidRPr="00046243">
        <w:rPr>
          <w:rFonts w:ascii="Times New Roman" w:hAnsi="Times New Roman" w:cs="Times New Roman"/>
          <w:color w:val="auto"/>
          <w:sz w:val="24"/>
          <w:szCs w:val="24"/>
        </w:rPr>
        <w:t xml:space="preserve"> da Lógica Vertical</w:t>
      </w:r>
      <w:bookmarkEnd w:id="8"/>
    </w:p>
    <w:p w:rsidR="007A2541" w:rsidRPr="00046243" w:rsidRDefault="007A2541" w:rsidP="009C7A21">
      <w:pPr>
        <w:spacing w:after="240" w:line="240" w:lineRule="auto"/>
        <w:jc w:val="both"/>
        <w:rPr>
          <w:rFonts w:ascii="Times New Roman" w:eastAsia="Times New Roman" w:hAnsi="Times New Roman" w:cs="Times New Roman"/>
          <w:sz w:val="24"/>
          <w:szCs w:val="24"/>
        </w:rPr>
      </w:pPr>
      <w:r w:rsidRPr="00046243">
        <w:rPr>
          <w:rFonts w:ascii="Times New Roman" w:eastAsia="Times New Roman" w:hAnsi="Times New Roman" w:cs="Times New Roman"/>
          <w:sz w:val="24"/>
          <w:szCs w:val="24"/>
        </w:rPr>
        <w:t xml:space="preserve">Esta análise tem como referência (1) o contexto </w:t>
      </w:r>
      <w:r w:rsidR="00541B07" w:rsidRPr="00046243">
        <w:rPr>
          <w:rFonts w:ascii="Times New Roman" w:eastAsia="Times New Roman" w:hAnsi="Times New Roman" w:cs="Times New Roman"/>
          <w:sz w:val="24"/>
          <w:szCs w:val="24"/>
        </w:rPr>
        <w:t xml:space="preserve">socioeconômico e fiscal do </w:t>
      </w:r>
      <w:r w:rsidR="006F1D13">
        <w:rPr>
          <w:rFonts w:ascii="Times New Roman" w:eastAsia="Times New Roman" w:hAnsi="Times New Roman" w:cs="Times New Roman"/>
          <w:sz w:val="24"/>
          <w:szCs w:val="24"/>
        </w:rPr>
        <w:t>E</w:t>
      </w:r>
      <w:r w:rsidR="00541B07" w:rsidRPr="00046243">
        <w:rPr>
          <w:rFonts w:ascii="Times New Roman" w:eastAsia="Times New Roman" w:hAnsi="Times New Roman" w:cs="Times New Roman"/>
          <w:sz w:val="24"/>
          <w:szCs w:val="24"/>
        </w:rPr>
        <w:t xml:space="preserve">stado </w:t>
      </w:r>
      <w:r w:rsidRPr="00046243">
        <w:rPr>
          <w:rFonts w:ascii="Times New Roman" w:eastAsia="Times New Roman" w:hAnsi="Times New Roman" w:cs="Times New Roman"/>
          <w:sz w:val="24"/>
          <w:szCs w:val="24"/>
        </w:rPr>
        <w:t>e (2) o marco dos problemas identificados e produtos implementados pelo Projeto.</w:t>
      </w:r>
    </w:p>
    <w:p w:rsidR="00541B07" w:rsidRPr="00046243" w:rsidRDefault="00541B07" w:rsidP="009C7A21">
      <w:pPr>
        <w:tabs>
          <w:tab w:val="left" w:pos="1440"/>
          <w:tab w:val="left" w:pos="3060"/>
        </w:tabs>
        <w:spacing w:after="240" w:line="240" w:lineRule="auto"/>
        <w:jc w:val="both"/>
        <w:rPr>
          <w:rFonts w:ascii="Times New Roman" w:eastAsia="Times New Roman" w:hAnsi="Times New Roman" w:cs="Times New Roman"/>
          <w:sz w:val="24"/>
          <w:szCs w:val="24"/>
        </w:rPr>
      </w:pPr>
      <w:r w:rsidRPr="00046243">
        <w:rPr>
          <w:rFonts w:ascii="Times New Roman" w:eastAsia="Times New Roman" w:hAnsi="Times New Roman" w:cs="Times New Roman"/>
          <w:b/>
          <w:sz w:val="24"/>
          <w:szCs w:val="24"/>
        </w:rPr>
        <w:t>O contexto socioeconômico na preparação do projeto:</w:t>
      </w:r>
      <w:r w:rsidRPr="00046243">
        <w:rPr>
          <w:rFonts w:ascii="Times New Roman" w:eastAsia="Times New Roman" w:hAnsi="Times New Roman" w:cs="Times New Roman"/>
          <w:sz w:val="24"/>
          <w:szCs w:val="24"/>
        </w:rPr>
        <w:t xml:space="preserve"> Situado na região norte do país, o Pará é o segundo Estado em extensão territorial (14% do território nacional). </w:t>
      </w:r>
      <w:r w:rsidR="00BA7409" w:rsidRPr="00046243">
        <w:rPr>
          <w:rFonts w:ascii="Times New Roman" w:eastAsia="Times New Roman" w:hAnsi="Times New Roman" w:cs="Times New Roman"/>
          <w:sz w:val="24"/>
          <w:szCs w:val="24"/>
        </w:rPr>
        <w:t>Em 2008, ano de preparação do projeto, s</w:t>
      </w:r>
      <w:r w:rsidRPr="00046243">
        <w:rPr>
          <w:rFonts w:ascii="Times New Roman" w:eastAsia="Times New Roman" w:hAnsi="Times New Roman" w:cs="Times New Roman"/>
          <w:sz w:val="24"/>
          <w:szCs w:val="24"/>
        </w:rPr>
        <w:t xml:space="preserve">ua população chega a 7,1 milhões de habitantes (ocupa o 9º lugar), segundo o IBGE (2006), e sua participação econômica no PIB nacional é de 1,8%. O PIB estadual cresceu 4,17% em 2005, 4,90% em 2006 e 5,3% em 2007, apresentado taxas maiores que as do crescimento do PIB nacional, mas ainda assim detém o PIB per capita mais baixo da Região Norte </w:t>
      </w:r>
      <w:r w:rsidR="00AE4D91" w:rsidRPr="00046243">
        <w:rPr>
          <w:rFonts w:ascii="Times New Roman" w:eastAsia="Times New Roman" w:hAnsi="Times New Roman" w:cs="Times New Roman"/>
          <w:sz w:val="24"/>
          <w:szCs w:val="24"/>
        </w:rPr>
        <w:t>e o 5º menor do País. Sendo um E</w:t>
      </w:r>
      <w:r w:rsidRPr="00046243">
        <w:rPr>
          <w:rFonts w:ascii="Times New Roman" w:eastAsia="Times New Roman" w:hAnsi="Times New Roman" w:cs="Times New Roman"/>
          <w:sz w:val="24"/>
          <w:szCs w:val="24"/>
        </w:rPr>
        <w:t>stado de “fronteira”, enfrent</w:t>
      </w:r>
      <w:r w:rsidR="00AE4D91" w:rsidRPr="00046243">
        <w:rPr>
          <w:rFonts w:ascii="Times New Roman" w:eastAsia="Times New Roman" w:hAnsi="Times New Roman" w:cs="Times New Roman"/>
          <w:sz w:val="24"/>
          <w:szCs w:val="24"/>
        </w:rPr>
        <w:t>a fluxos migratórios de outros E</w:t>
      </w:r>
      <w:r w:rsidRPr="00046243">
        <w:rPr>
          <w:rFonts w:ascii="Times New Roman" w:eastAsia="Times New Roman" w:hAnsi="Times New Roman" w:cs="Times New Roman"/>
          <w:sz w:val="24"/>
          <w:szCs w:val="24"/>
        </w:rPr>
        <w:t xml:space="preserve">stados das regiões Norte e Nordeste, apresentando no período 1990-2005 um crescimento populacional médio anual de 2,5%, o segundo maior do país. Como Estado amazônico, enfrenta os desafios de controlar e aproveitar suas vastas riquezas naturais mantendo o equilíbrio ambiental, em um contexto de longas distâncias entre municípios, uma população dispersa e diversos obstáculos naturais como a floresta e </w:t>
      </w:r>
      <w:r w:rsidR="00AE4D91" w:rsidRPr="00046243">
        <w:rPr>
          <w:rFonts w:ascii="Times New Roman" w:eastAsia="Times New Roman" w:hAnsi="Times New Roman" w:cs="Times New Roman"/>
          <w:sz w:val="24"/>
          <w:szCs w:val="24"/>
        </w:rPr>
        <w:t>rios muito largos. Como quarto E</w:t>
      </w:r>
      <w:r w:rsidRPr="00046243">
        <w:rPr>
          <w:rFonts w:ascii="Times New Roman" w:eastAsia="Times New Roman" w:hAnsi="Times New Roman" w:cs="Times New Roman"/>
          <w:sz w:val="24"/>
          <w:szCs w:val="24"/>
        </w:rPr>
        <w:t xml:space="preserve">stado exportador líquido no Brasil (US$ 7,9 bilhões em exportações e US$ 0,6 bilhões em importações </w:t>
      </w:r>
      <w:r w:rsidRPr="00046243">
        <w:rPr>
          <w:rFonts w:ascii="Times New Roman" w:eastAsia="Times New Roman" w:hAnsi="Times New Roman" w:cs="Times New Roman"/>
          <w:sz w:val="24"/>
          <w:szCs w:val="24"/>
        </w:rPr>
        <w:lastRenderedPageBreak/>
        <w:t xml:space="preserve">em 2007) é prejudicado pela não tributação das exportações, sem obter um benefício pleno por ser um importador líquido em nível doméstico, como resultado do regime misto (origem e </w:t>
      </w:r>
      <w:r w:rsidRPr="00E97E1F">
        <w:rPr>
          <w:rFonts w:ascii="Times New Roman" w:eastAsia="Times New Roman" w:hAnsi="Times New Roman" w:cs="Times New Roman"/>
          <w:sz w:val="24"/>
          <w:szCs w:val="24"/>
        </w:rPr>
        <w:t>destino) vigente na tributação do Imposto sobre a Circulação de Mercadorias e Serviços (ICMS) no Brasil.</w:t>
      </w:r>
      <w:r w:rsidRPr="00046243">
        <w:rPr>
          <w:rFonts w:ascii="Times New Roman" w:eastAsia="Times New Roman" w:hAnsi="Times New Roman" w:cs="Times New Roman"/>
          <w:sz w:val="24"/>
          <w:szCs w:val="24"/>
        </w:rPr>
        <w:t xml:space="preserve"> </w:t>
      </w:r>
    </w:p>
    <w:p w:rsidR="00541B07" w:rsidRPr="00046243" w:rsidRDefault="00541B07" w:rsidP="009C7A21">
      <w:pPr>
        <w:tabs>
          <w:tab w:val="left" w:pos="1440"/>
          <w:tab w:val="left" w:pos="3060"/>
        </w:tabs>
        <w:spacing w:after="240" w:line="240" w:lineRule="auto"/>
        <w:jc w:val="both"/>
        <w:rPr>
          <w:rFonts w:ascii="Times New Roman" w:eastAsia="Times New Roman" w:hAnsi="Times New Roman" w:cs="Times New Roman"/>
          <w:sz w:val="24"/>
          <w:szCs w:val="24"/>
        </w:rPr>
      </w:pPr>
      <w:r w:rsidRPr="00046243">
        <w:rPr>
          <w:rFonts w:ascii="Times New Roman" w:eastAsia="Times New Roman" w:hAnsi="Times New Roman" w:cs="Times New Roman"/>
          <w:b/>
          <w:sz w:val="24"/>
          <w:szCs w:val="24"/>
        </w:rPr>
        <w:t>O Contexto Fiscal na preparação do projeto:</w:t>
      </w:r>
      <w:r w:rsidRPr="00046243">
        <w:rPr>
          <w:rFonts w:ascii="Times New Roman" w:eastAsia="Times New Roman" w:hAnsi="Times New Roman" w:cs="Times New Roman"/>
          <w:sz w:val="24"/>
          <w:szCs w:val="24"/>
        </w:rPr>
        <w:t xml:space="preserve"> </w:t>
      </w:r>
      <w:r w:rsidR="00BA7409" w:rsidRPr="00046243">
        <w:rPr>
          <w:rFonts w:ascii="Times New Roman" w:eastAsia="Times New Roman" w:hAnsi="Times New Roman" w:cs="Times New Roman"/>
          <w:sz w:val="24"/>
          <w:szCs w:val="24"/>
        </w:rPr>
        <w:t>Em 2008, o</w:t>
      </w:r>
      <w:r w:rsidRPr="00046243">
        <w:rPr>
          <w:rFonts w:ascii="Times New Roman" w:eastAsia="Times New Roman" w:hAnsi="Times New Roman" w:cs="Times New Roman"/>
          <w:sz w:val="24"/>
          <w:szCs w:val="24"/>
        </w:rPr>
        <w:t xml:space="preserve"> Estado do Pará financia cerca da metade de seus gastos com recursos próprios</w:t>
      </w:r>
      <w:r w:rsidRPr="00046243">
        <w:rPr>
          <w:rStyle w:val="Refdenotaderodap"/>
          <w:rFonts w:ascii="Times New Roman" w:eastAsia="Times New Roman" w:hAnsi="Times New Roman" w:cs="Times New Roman"/>
          <w:sz w:val="24"/>
          <w:szCs w:val="24"/>
        </w:rPr>
        <w:footnoteReference w:id="3"/>
      </w:r>
      <w:r w:rsidRPr="00046243">
        <w:rPr>
          <w:rFonts w:ascii="Times New Roman" w:eastAsia="Times New Roman" w:hAnsi="Times New Roman" w:cs="Times New Roman"/>
          <w:sz w:val="24"/>
          <w:szCs w:val="24"/>
        </w:rPr>
        <w:t>, ocupando o 13º lugar no que se refere ao nível de arrecadação tributária, do total dos 27 Estados da União. As transferências constitucionais que</w:t>
      </w:r>
      <w:r w:rsidRPr="00046243">
        <w:rPr>
          <w:rFonts w:ascii="Times New Roman" w:eastAsia="Times New Roman" w:hAnsi="Times New Roman" w:cs="Times New Roman"/>
          <w:sz w:val="28"/>
          <w:szCs w:val="24"/>
        </w:rPr>
        <w:t xml:space="preserve"> </w:t>
      </w:r>
      <w:r w:rsidRPr="00046243">
        <w:rPr>
          <w:rFonts w:ascii="Times New Roman" w:eastAsia="Times New Roman" w:hAnsi="Times New Roman" w:cs="Times New Roman"/>
          <w:sz w:val="24"/>
          <w:szCs w:val="24"/>
        </w:rPr>
        <w:t>recebe da União</w:t>
      </w:r>
      <w:r w:rsidRPr="00046243">
        <w:rPr>
          <w:rStyle w:val="Refdenotaderodap"/>
          <w:rFonts w:ascii="Times New Roman" w:eastAsia="Times New Roman" w:hAnsi="Times New Roman" w:cs="Times New Roman"/>
          <w:sz w:val="24"/>
          <w:szCs w:val="24"/>
        </w:rPr>
        <w:footnoteReference w:id="4"/>
      </w:r>
      <w:r w:rsidRPr="00046243">
        <w:rPr>
          <w:rFonts w:ascii="Times New Roman" w:eastAsia="Times New Roman" w:hAnsi="Times New Roman" w:cs="Times New Roman"/>
          <w:sz w:val="24"/>
          <w:szCs w:val="24"/>
        </w:rPr>
        <w:t xml:space="preserve"> representam cerca de 40% das receitas correntes. O Estado contribui, por sua vez, para o custeio dos </w:t>
      </w:r>
      <w:r w:rsidR="006F1D13">
        <w:rPr>
          <w:rFonts w:ascii="Times New Roman" w:eastAsia="Times New Roman" w:hAnsi="Times New Roman" w:cs="Times New Roman"/>
          <w:sz w:val="24"/>
          <w:szCs w:val="24"/>
        </w:rPr>
        <w:t>M</w:t>
      </w:r>
      <w:r w:rsidRPr="00046243">
        <w:rPr>
          <w:rFonts w:ascii="Times New Roman" w:eastAsia="Times New Roman" w:hAnsi="Times New Roman" w:cs="Times New Roman"/>
          <w:sz w:val="24"/>
          <w:szCs w:val="24"/>
        </w:rPr>
        <w:t>unicípios que se encontram dentro de sua área geográfica (143 Municípios no total, dos quais 33 têm mais de 50 mil habitantes), transferindo-lhes aproximadamente 12% de sua arrecadação total</w:t>
      </w:r>
      <w:r w:rsidRPr="00046243">
        <w:rPr>
          <w:rFonts w:ascii="Times New Roman" w:hAnsi="Times New Roman" w:cs="Times New Roman"/>
          <w:sz w:val="16"/>
          <w:szCs w:val="16"/>
        </w:rPr>
        <w:footnoteReference w:id="5"/>
      </w:r>
      <w:r w:rsidRPr="00046243">
        <w:rPr>
          <w:rFonts w:ascii="Times New Roman" w:eastAsia="Times New Roman" w:hAnsi="Times New Roman" w:cs="Times New Roman"/>
          <w:sz w:val="24"/>
          <w:szCs w:val="24"/>
        </w:rPr>
        <w:t xml:space="preserve">. Os principais tributos administrados pelo Estado são (dados de </w:t>
      </w:r>
      <w:r w:rsidRPr="006F1D13">
        <w:rPr>
          <w:rFonts w:ascii="Times New Roman" w:eastAsia="Times New Roman" w:hAnsi="Times New Roman" w:cs="Times New Roman"/>
          <w:sz w:val="24"/>
          <w:szCs w:val="24"/>
        </w:rPr>
        <w:t>2007)</w:t>
      </w:r>
      <w:r w:rsidRPr="00046243">
        <w:rPr>
          <w:rFonts w:ascii="Times New Roman" w:eastAsia="Times New Roman" w:hAnsi="Times New Roman" w:cs="Times New Roman"/>
          <w:sz w:val="24"/>
          <w:szCs w:val="24"/>
        </w:rPr>
        <w:t xml:space="preserve">: (i) o ICMS, que contribui com 89,5% da arrecadação; (ii) o Imposto sobre a Propriedade de Veículos Automotores – IPVA, com 3,2%; e (iii) o Imposto de Transmissão, Causa Mortis e Doações - ITCD que, junto com a cobrança de taxas, arrecada os 7,3% restantes. </w:t>
      </w:r>
    </w:p>
    <w:p w:rsidR="00541B07" w:rsidRPr="00046243" w:rsidRDefault="00BA7409" w:rsidP="009C7A21">
      <w:pPr>
        <w:tabs>
          <w:tab w:val="left" w:pos="1440"/>
          <w:tab w:val="left" w:pos="3060"/>
        </w:tabs>
        <w:spacing w:after="240" w:line="240" w:lineRule="auto"/>
        <w:jc w:val="both"/>
        <w:rPr>
          <w:rFonts w:ascii="Times New Roman" w:eastAsia="Times New Roman" w:hAnsi="Times New Roman" w:cs="Times New Roman"/>
          <w:sz w:val="24"/>
          <w:szCs w:val="24"/>
        </w:rPr>
      </w:pPr>
      <w:r w:rsidRPr="00046243">
        <w:rPr>
          <w:rFonts w:ascii="Times New Roman" w:eastAsia="Times New Roman" w:hAnsi="Times New Roman" w:cs="Times New Roman"/>
          <w:sz w:val="24"/>
          <w:szCs w:val="24"/>
        </w:rPr>
        <w:t xml:space="preserve">Neste período, a </w:t>
      </w:r>
      <w:r w:rsidR="00541B07" w:rsidRPr="00046243">
        <w:rPr>
          <w:rFonts w:ascii="Times New Roman" w:eastAsia="Times New Roman" w:hAnsi="Times New Roman" w:cs="Times New Roman"/>
          <w:sz w:val="24"/>
          <w:szCs w:val="24"/>
        </w:rPr>
        <w:t xml:space="preserve">situação fiscal do Estado é sólida, mostra uma gestão prudente das finanças públicas nos últimos anos e se reflete no cumprimento das metas estabelecidas pela Lei de </w:t>
      </w:r>
      <w:r w:rsidR="00541B07" w:rsidRPr="00E97E1F">
        <w:rPr>
          <w:rFonts w:ascii="Times New Roman" w:eastAsia="Times New Roman" w:hAnsi="Times New Roman" w:cs="Times New Roman"/>
          <w:sz w:val="24"/>
          <w:szCs w:val="24"/>
        </w:rPr>
        <w:t>Responsabilidade Fiscal (LRF)</w:t>
      </w:r>
      <w:r w:rsidR="00541B07" w:rsidRPr="00E97E1F">
        <w:rPr>
          <w:rStyle w:val="Refdenotaderodap"/>
          <w:rFonts w:ascii="Times New Roman" w:eastAsia="Times New Roman" w:hAnsi="Times New Roman" w:cs="Times New Roman"/>
          <w:sz w:val="24"/>
          <w:szCs w:val="24"/>
        </w:rPr>
        <w:footnoteReference w:id="6"/>
      </w:r>
      <w:r w:rsidR="00046243" w:rsidRPr="00E97E1F">
        <w:rPr>
          <w:rFonts w:ascii="Times New Roman" w:eastAsia="Times New Roman" w:hAnsi="Times New Roman" w:cs="Times New Roman"/>
          <w:sz w:val="24"/>
          <w:szCs w:val="24"/>
        </w:rPr>
        <w:t>. Em 2006, o e</w:t>
      </w:r>
      <w:r w:rsidR="00541B07" w:rsidRPr="00E97E1F">
        <w:rPr>
          <w:rFonts w:ascii="Times New Roman" w:eastAsia="Times New Roman" w:hAnsi="Times New Roman" w:cs="Times New Roman"/>
          <w:sz w:val="24"/>
          <w:szCs w:val="24"/>
        </w:rPr>
        <w:t>stado do Pará gastou apenas 51,55% de suas</w:t>
      </w:r>
      <w:r w:rsidR="00541B07" w:rsidRPr="00046243">
        <w:rPr>
          <w:rFonts w:ascii="Times New Roman" w:eastAsia="Times New Roman" w:hAnsi="Times New Roman" w:cs="Times New Roman"/>
          <w:sz w:val="24"/>
          <w:szCs w:val="24"/>
        </w:rPr>
        <w:t xml:space="preserve"> receitas correntes líquidas com pagamento de pessoal (limite de 60%) e o total de sua dívida pública representava 50% das receitas líquidas (limite de 200%). </w:t>
      </w:r>
    </w:p>
    <w:p w:rsidR="005670EF" w:rsidRPr="00046243" w:rsidRDefault="00907AE4" w:rsidP="009C7A21">
      <w:pPr>
        <w:autoSpaceDE w:val="0"/>
        <w:autoSpaceDN w:val="0"/>
        <w:adjustRightInd w:val="0"/>
        <w:spacing w:before="240" w:after="240" w:line="240" w:lineRule="auto"/>
        <w:jc w:val="both"/>
        <w:rPr>
          <w:rFonts w:ascii="Times New Roman" w:hAnsi="Times New Roman" w:cs="Times New Roman"/>
          <w:sz w:val="24"/>
          <w:szCs w:val="24"/>
        </w:rPr>
      </w:pPr>
      <w:r w:rsidRPr="00046243">
        <w:rPr>
          <w:rFonts w:ascii="Times New Roman" w:eastAsia="Times New Roman" w:hAnsi="Times New Roman" w:cs="Times New Roman"/>
          <w:b/>
          <w:sz w:val="24"/>
          <w:szCs w:val="24"/>
        </w:rPr>
        <w:t xml:space="preserve">Marco dos problemas identificados e produtos implementados pelo Programa </w:t>
      </w:r>
      <w:r w:rsidRPr="00046243">
        <w:rPr>
          <w:rFonts w:ascii="Times New Roman" w:hAnsi="Times New Roman" w:cs="Times New Roman"/>
          <w:sz w:val="24"/>
          <w:szCs w:val="24"/>
        </w:rPr>
        <w:t>- Durante o desenho do Programa f</w:t>
      </w:r>
      <w:r w:rsidR="0024057D" w:rsidRPr="00046243">
        <w:rPr>
          <w:rFonts w:ascii="Times New Roman" w:hAnsi="Times New Roman" w:cs="Times New Roman"/>
          <w:sz w:val="24"/>
          <w:szCs w:val="24"/>
        </w:rPr>
        <w:t xml:space="preserve">oi definido como principal problema do </w:t>
      </w:r>
      <w:r w:rsidR="006F1D13">
        <w:rPr>
          <w:rFonts w:ascii="Times New Roman" w:hAnsi="Times New Roman" w:cs="Times New Roman"/>
          <w:sz w:val="24"/>
          <w:szCs w:val="24"/>
        </w:rPr>
        <w:t>E</w:t>
      </w:r>
      <w:r w:rsidR="0024057D" w:rsidRPr="00046243">
        <w:rPr>
          <w:rFonts w:ascii="Times New Roman" w:hAnsi="Times New Roman" w:cs="Times New Roman"/>
          <w:sz w:val="24"/>
          <w:szCs w:val="24"/>
        </w:rPr>
        <w:t xml:space="preserve">stado do Pará a </w:t>
      </w:r>
      <w:r w:rsidR="006F1D13">
        <w:rPr>
          <w:rFonts w:ascii="Times New Roman" w:hAnsi="Times New Roman" w:cs="Times New Roman"/>
          <w:sz w:val="24"/>
          <w:szCs w:val="24"/>
        </w:rPr>
        <w:t>m</w:t>
      </w:r>
      <w:r w:rsidR="005670EF" w:rsidRPr="00046243">
        <w:rPr>
          <w:rFonts w:ascii="Times New Roman" w:hAnsi="Times New Roman" w:cs="Times New Roman"/>
          <w:sz w:val="24"/>
          <w:szCs w:val="24"/>
        </w:rPr>
        <w:t>elhor</w:t>
      </w:r>
      <w:r w:rsidR="0024057D" w:rsidRPr="00046243">
        <w:rPr>
          <w:rFonts w:ascii="Times New Roman" w:hAnsi="Times New Roman" w:cs="Times New Roman"/>
          <w:sz w:val="24"/>
          <w:szCs w:val="24"/>
        </w:rPr>
        <w:t>ia d</w:t>
      </w:r>
      <w:r w:rsidR="005670EF" w:rsidRPr="00046243">
        <w:rPr>
          <w:rFonts w:ascii="Times New Roman" w:hAnsi="Times New Roman" w:cs="Times New Roman"/>
          <w:sz w:val="24"/>
          <w:szCs w:val="24"/>
        </w:rPr>
        <w:t>a eficiência e a transparência da gestão fiscal do Estado</w:t>
      </w:r>
      <w:r w:rsidRPr="00046243">
        <w:rPr>
          <w:rFonts w:ascii="Times New Roman" w:hAnsi="Times New Roman" w:cs="Times New Roman"/>
          <w:sz w:val="24"/>
          <w:szCs w:val="24"/>
        </w:rPr>
        <w:t xml:space="preserve">. </w:t>
      </w:r>
      <w:r w:rsidR="005670EF" w:rsidRPr="00046243">
        <w:rPr>
          <w:rFonts w:ascii="Times New Roman" w:hAnsi="Times New Roman" w:cs="Times New Roman"/>
          <w:sz w:val="24"/>
          <w:szCs w:val="24"/>
        </w:rPr>
        <w:t xml:space="preserve">Nesse sentido, </w:t>
      </w:r>
      <w:r w:rsidR="007702E9" w:rsidRPr="00046243">
        <w:rPr>
          <w:rFonts w:ascii="Times New Roman" w:hAnsi="Times New Roman" w:cs="Times New Roman"/>
          <w:sz w:val="24"/>
          <w:szCs w:val="24"/>
        </w:rPr>
        <w:t xml:space="preserve">os problemas </w:t>
      </w:r>
      <w:r w:rsidR="005670EF" w:rsidRPr="00046243">
        <w:rPr>
          <w:rFonts w:ascii="Times New Roman" w:hAnsi="Times New Roman" w:cs="Times New Roman"/>
          <w:sz w:val="24"/>
          <w:szCs w:val="24"/>
        </w:rPr>
        <w:t>identificad</w:t>
      </w:r>
      <w:r w:rsidR="007702E9" w:rsidRPr="00046243">
        <w:rPr>
          <w:rFonts w:ascii="Times New Roman" w:hAnsi="Times New Roman" w:cs="Times New Roman"/>
          <w:sz w:val="24"/>
          <w:szCs w:val="24"/>
        </w:rPr>
        <w:t>os</w:t>
      </w:r>
      <w:r w:rsidR="005670EF" w:rsidRPr="00046243">
        <w:rPr>
          <w:rFonts w:ascii="Times New Roman" w:hAnsi="Times New Roman" w:cs="Times New Roman"/>
          <w:sz w:val="24"/>
          <w:szCs w:val="24"/>
        </w:rPr>
        <w:t xml:space="preserve"> estavam relacionad</w:t>
      </w:r>
      <w:r w:rsidR="007702E9" w:rsidRPr="00046243">
        <w:rPr>
          <w:rFonts w:ascii="Times New Roman" w:hAnsi="Times New Roman" w:cs="Times New Roman"/>
          <w:sz w:val="24"/>
          <w:szCs w:val="24"/>
        </w:rPr>
        <w:t>as</w:t>
      </w:r>
      <w:r w:rsidR="005670EF" w:rsidRPr="00046243">
        <w:rPr>
          <w:rFonts w:ascii="Times New Roman" w:hAnsi="Times New Roman" w:cs="Times New Roman"/>
          <w:sz w:val="24"/>
          <w:szCs w:val="24"/>
        </w:rPr>
        <w:t xml:space="preserve"> com:</w:t>
      </w:r>
    </w:p>
    <w:p w:rsidR="007702E9" w:rsidRPr="00046243" w:rsidRDefault="00B35B0A" w:rsidP="009C7A21">
      <w:pPr>
        <w:pStyle w:val="PargrafodaLista"/>
        <w:numPr>
          <w:ilvl w:val="0"/>
          <w:numId w:val="12"/>
        </w:numPr>
        <w:spacing w:after="24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Insuficiente arrecadação</w:t>
      </w:r>
      <w:r w:rsidR="005670EF" w:rsidRPr="00046243">
        <w:rPr>
          <w:rFonts w:ascii="Times New Roman" w:hAnsi="Times New Roman" w:cs="Times New Roman"/>
          <w:b/>
          <w:sz w:val="24"/>
          <w:szCs w:val="24"/>
        </w:rPr>
        <w:t xml:space="preserve"> </w:t>
      </w:r>
      <w:r>
        <w:rPr>
          <w:rFonts w:ascii="Times New Roman" w:hAnsi="Times New Roman" w:cs="Times New Roman"/>
          <w:b/>
          <w:sz w:val="24"/>
          <w:szCs w:val="24"/>
        </w:rPr>
        <w:t xml:space="preserve">de </w:t>
      </w:r>
      <w:r w:rsidR="005670EF" w:rsidRPr="00046243">
        <w:rPr>
          <w:rFonts w:ascii="Times New Roman" w:hAnsi="Times New Roman" w:cs="Times New Roman"/>
          <w:b/>
          <w:sz w:val="24"/>
          <w:szCs w:val="24"/>
        </w:rPr>
        <w:t xml:space="preserve">receita própria, </w:t>
      </w:r>
      <w:r>
        <w:rPr>
          <w:rFonts w:ascii="Times New Roman" w:hAnsi="Times New Roman" w:cs="Times New Roman"/>
          <w:sz w:val="24"/>
          <w:szCs w:val="24"/>
        </w:rPr>
        <w:t>causada</w:t>
      </w:r>
      <w:r w:rsidR="005670EF" w:rsidRPr="00046243">
        <w:rPr>
          <w:rFonts w:ascii="Times New Roman" w:hAnsi="Times New Roman" w:cs="Times New Roman"/>
          <w:sz w:val="24"/>
          <w:szCs w:val="24"/>
        </w:rPr>
        <w:t xml:space="preserve"> </w:t>
      </w:r>
      <w:r w:rsidR="003641BA" w:rsidRPr="00046243">
        <w:rPr>
          <w:rFonts w:ascii="Times New Roman" w:hAnsi="Times New Roman" w:cs="Times New Roman"/>
          <w:sz w:val="24"/>
          <w:szCs w:val="24"/>
        </w:rPr>
        <w:t xml:space="preserve">principalmente por: </w:t>
      </w:r>
      <w:r w:rsidR="00873678" w:rsidRPr="00046243">
        <w:rPr>
          <w:rFonts w:ascii="Times New Roman" w:hAnsi="Times New Roman" w:cs="Times New Roman"/>
          <w:sz w:val="24"/>
          <w:szCs w:val="24"/>
        </w:rPr>
        <w:t>D</w:t>
      </w:r>
      <w:r w:rsidR="003641BA" w:rsidRPr="00046243">
        <w:rPr>
          <w:rFonts w:ascii="Times New Roman" w:hAnsi="Times New Roman" w:cs="Times New Roman"/>
          <w:sz w:val="24"/>
          <w:szCs w:val="24"/>
        </w:rPr>
        <w:t>eficiências nos mecanismo de controle das empresas com benefícios fiscais, de quantificação da renúncia da receita versus contrapartida</w:t>
      </w:r>
      <w:r w:rsidR="00873678" w:rsidRPr="00046243">
        <w:rPr>
          <w:rFonts w:ascii="Times New Roman" w:hAnsi="Times New Roman" w:cs="Times New Roman"/>
          <w:sz w:val="24"/>
          <w:szCs w:val="24"/>
        </w:rPr>
        <w:t>; M</w:t>
      </w:r>
      <w:r w:rsidR="003641BA" w:rsidRPr="00046243">
        <w:rPr>
          <w:rFonts w:ascii="Times New Roman" w:hAnsi="Times New Roman" w:cs="Times New Roman"/>
          <w:sz w:val="24"/>
          <w:szCs w:val="24"/>
        </w:rPr>
        <w:t xml:space="preserve">odelo de fiscalização de mercadorias em trânsito conceitual e operacionalmente desatualizado e direcionado </w:t>
      </w:r>
      <w:r w:rsidR="00C86767" w:rsidRPr="00046243">
        <w:rPr>
          <w:rFonts w:ascii="Times New Roman" w:hAnsi="Times New Roman" w:cs="Times New Roman"/>
          <w:sz w:val="24"/>
          <w:szCs w:val="24"/>
        </w:rPr>
        <w:t>a</w:t>
      </w:r>
      <w:r w:rsidR="003641BA" w:rsidRPr="00046243">
        <w:rPr>
          <w:rFonts w:ascii="Times New Roman" w:hAnsi="Times New Roman" w:cs="Times New Roman"/>
          <w:sz w:val="24"/>
          <w:szCs w:val="24"/>
        </w:rPr>
        <w:t xml:space="preserve"> conferencia de documentos gerando vulnerabilidade dos controles de entrada de mercadorias, bens, armas e drogas nas divisas do Estado. Postos fiscais com estrutura física e tecnológica inadequada. Elevado tempo de permanência de veículos transportadores de carga nos postos fiscais; </w:t>
      </w:r>
      <w:r w:rsidR="00873678" w:rsidRPr="00046243">
        <w:rPr>
          <w:rFonts w:ascii="Times New Roman" w:hAnsi="Times New Roman" w:cs="Times New Roman"/>
          <w:sz w:val="24"/>
          <w:szCs w:val="24"/>
        </w:rPr>
        <w:t>I</w:t>
      </w:r>
      <w:r w:rsidR="003641BA" w:rsidRPr="00046243">
        <w:rPr>
          <w:rFonts w:ascii="Times New Roman" w:hAnsi="Times New Roman" w:cs="Times New Roman"/>
          <w:sz w:val="24"/>
          <w:szCs w:val="24"/>
        </w:rPr>
        <w:t xml:space="preserve">mprecisão e fragilidade </w:t>
      </w:r>
      <w:r w:rsidR="003641BA" w:rsidRPr="00046243">
        <w:rPr>
          <w:rFonts w:ascii="Times New Roman" w:hAnsi="Times New Roman" w:cs="Times New Roman"/>
          <w:sz w:val="24"/>
          <w:szCs w:val="24"/>
        </w:rPr>
        <w:lastRenderedPageBreak/>
        <w:t>no registro da informação</w:t>
      </w:r>
      <w:r w:rsidR="00873678" w:rsidRPr="00046243">
        <w:rPr>
          <w:rFonts w:ascii="Times New Roman" w:hAnsi="Times New Roman" w:cs="Times New Roman"/>
          <w:sz w:val="24"/>
          <w:szCs w:val="24"/>
        </w:rPr>
        <w:t>; P</w:t>
      </w:r>
      <w:r w:rsidR="003641BA" w:rsidRPr="00046243">
        <w:rPr>
          <w:rFonts w:ascii="Times New Roman" w:hAnsi="Times New Roman" w:cs="Times New Roman"/>
          <w:sz w:val="24"/>
          <w:szCs w:val="24"/>
        </w:rPr>
        <w:t>rocedimentos ineficientes de gestão e fiscalizaç</w:t>
      </w:r>
      <w:r w:rsidR="00257E72" w:rsidRPr="00046243">
        <w:rPr>
          <w:rFonts w:ascii="Times New Roman" w:hAnsi="Times New Roman" w:cs="Times New Roman"/>
          <w:sz w:val="24"/>
          <w:szCs w:val="24"/>
        </w:rPr>
        <w:t xml:space="preserve">ão de </w:t>
      </w:r>
      <w:r w:rsidR="003641BA" w:rsidRPr="00046243">
        <w:rPr>
          <w:rFonts w:ascii="Times New Roman" w:hAnsi="Times New Roman" w:cs="Times New Roman"/>
          <w:sz w:val="24"/>
          <w:szCs w:val="24"/>
        </w:rPr>
        <w:t xml:space="preserve">estabelecimentos </w:t>
      </w:r>
      <w:r w:rsidR="00257E72" w:rsidRPr="00046243">
        <w:rPr>
          <w:rFonts w:ascii="Times New Roman" w:hAnsi="Times New Roman" w:cs="Times New Roman"/>
          <w:sz w:val="24"/>
          <w:szCs w:val="24"/>
        </w:rPr>
        <w:t xml:space="preserve">principalmente pela falta de </w:t>
      </w:r>
      <w:r w:rsidR="003641BA" w:rsidRPr="00046243">
        <w:rPr>
          <w:rFonts w:ascii="Times New Roman" w:hAnsi="Times New Roman" w:cs="Times New Roman"/>
          <w:sz w:val="24"/>
          <w:szCs w:val="24"/>
        </w:rPr>
        <w:t>ferramentas tecnológicas</w:t>
      </w:r>
      <w:r w:rsidR="00873678" w:rsidRPr="00046243">
        <w:rPr>
          <w:rFonts w:ascii="Times New Roman" w:hAnsi="Times New Roman" w:cs="Times New Roman"/>
          <w:sz w:val="24"/>
          <w:szCs w:val="24"/>
        </w:rPr>
        <w:t>; C</w:t>
      </w:r>
      <w:r w:rsidR="003641BA" w:rsidRPr="00046243">
        <w:rPr>
          <w:rFonts w:ascii="Times New Roman" w:hAnsi="Times New Roman" w:cs="Times New Roman"/>
          <w:sz w:val="24"/>
          <w:szCs w:val="24"/>
        </w:rPr>
        <w:t xml:space="preserve">onhecimento insatisfatório do nível de evasão fiscal; </w:t>
      </w:r>
      <w:r w:rsidR="00873678" w:rsidRPr="00046243">
        <w:rPr>
          <w:rFonts w:ascii="Times New Roman" w:hAnsi="Times New Roman" w:cs="Times New Roman"/>
          <w:sz w:val="24"/>
          <w:szCs w:val="24"/>
        </w:rPr>
        <w:t>I</w:t>
      </w:r>
      <w:r w:rsidR="003641BA" w:rsidRPr="00046243">
        <w:rPr>
          <w:rFonts w:ascii="Times New Roman" w:hAnsi="Times New Roman" w:cs="Times New Roman"/>
          <w:sz w:val="24"/>
          <w:szCs w:val="24"/>
        </w:rPr>
        <w:t>nexistência de um adequad</w:t>
      </w:r>
      <w:r w:rsidR="00257E72" w:rsidRPr="00046243">
        <w:rPr>
          <w:rFonts w:ascii="Times New Roman" w:hAnsi="Times New Roman" w:cs="Times New Roman"/>
          <w:sz w:val="24"/>
          <w:szCs w:val="24"/>
        </w:rPr>
        <w:t xml:space="preserve">o modelo de planejamento fiscal; </w:t>
      </w:r>
      <w:r w:rsidR="00873678" w:rsidRPr="00046243">
        <w:rPr>
          <w:rFonts w:ascii="Times New Roman" w:hAnsi="Times New Roman" w:cs="Times New Roman"/>
          <w:sz w:val="24"/>
          <w:szCs w:val="24"/>
        </w:rPr>
        <w:t>D</w:t>
      </w:r>
      <w:r w:rsidR="00257E72" w:rsidRPr="00046243">
        <w:rPr>
          <w:rFonts w:ascii="Times New Roman" w:hAnsi="Times New Roman" w:cs="Times New Roman"/>
          <w:sz w:val="24"/>
          <w:szCs w:val="24"/>
        </w:rPr>
        <w:t xml:space="preserve">ivergência nos dados cadastrais entre União, </w:t>
      </w:r>
      <w:r w:rsidR="00046243">
        <w:rPr>
          <w:rFonts w:ascii="Times New Roman" w:hAnsi="Times New Roman" w:cs="Times New Roman"/>
          <w:sz w:val="24"/>
          <w:szCs w:val="24"/>
        </w:rPr>
        <w:t>Estados e M</w:t>
      </w:r>
      <w:r w:rsidR="00257E72" w:rsidRPr="00046243">
        <w:rPr>
          <w:rFonts w:ascii="Times New Roman" w:hAnsi="Times New Roman" w:cs="Times New Roman"/>
          <w:sz w:val="24"/>
          <w:szCs w:val="24"/>
        </w:rPr>
        <w:t xml:space="preserve">unicípios; </w:t>
      </w:r>
      <w:r w:rsidR="00873678" w:rsidRPr="00046243">
        <w:rPr>
          <w:rFonts w:ascii="Times New Roman" w:hAnsi="Times New Roman" w:cs="Times New Roman"/>
          <w:sz w:val="24"/>
          <w:szCs w:val="24"/>
        </w:rPr>
        <w:t>B</w:t>
      </w:r>
      <w:r w:rsidR="00257E72" w:rsidRPr="00046243">
        <w:rPr>
          <w:rFonts w:ascii="Times New Roman" w:hAnsi="Times New Roman" w:cs="Times New Roman"/>
          <w:sz w:val="24"/>
          <w:szCs w:val="24"/>
        </w:rPr>
        <w:t>aixa confiabilidade das informações contidas nas notas fiscais em papel e deficiência na armazenagem e recuperação dessa informação;</w:t>
      </w:r>
      <w:r w:rsidR="002B3CE5" w:rsidRPr="00046243">
        <w:rPr>
          <w:rFonts w:ascii="Times New Roman" w:hAnsi="Times New Roman" w:cs="Times New Roman"/>
          <w:sz w:val="24"/>
          <w:szCs w:val="24"/>
        </w:rPr>
        <w:t xml:space="preserve"> e</w:t>
      </w:r>
      <w:r w:rsidR="00257E72" w:rsidRPr="00046243">
        <w:rPr>
          <w:rFonts w:ascii="Times New Roman" w:hAnsi="Times New Roman" w:cs="Times New Roman"/>
          <w:sz w:val="24"/>
          <w:szCs w:val="24"/>
        </w:rPr>
        <w:t xml:space="preserve"> </w:t>
      </w:r>
      <w:r w:rsidR="00873678" w:rsidRPr="00046243">
        <w:rPr>
          <w:rFonts w:ascii="Times New Roman" w:hAnsi="Times New Roman" w:cs="Times New Roman"/>
          <w:sz w:val="24"/>
          <w:szCs w:val="24"/>
        </w:rPr>
        <w:t>I</w:t>
      </w:r>
      <w:r w:rsidR="00257E72" w:rsidRPr="00046243">
        <w:rPr>
          <w:rFonts w:ascii="Times New Roman" w:hAnsi="Times New Roman" w:cs="Times New Roman"/>
          <w:sz w:val="24"/>
          <w:szCs w:val="24"/>
        </w:rPr>
        <w:t>nformações contábeis e fiscais disponibilizadas pelas empresas incompletas e pouco confiáveis</w:t>
      </w:r>
      <w:r w:rsidR="003641BA" w:rsidRPr="00046243">
        <w:rPr>
          <w:rFonts w:ascii="Times New Roman" w:hAnsi="Times New Roman" w:cs="Times New Roman"/>
          <w:sz w:val="24"/>
          <w:szCs w:val="24"/>
        </w:rPr>
        <w:t>.</w:t>
      </w:r>
    </w:p>
    <w:p w:rsidR="007702E9" w:rsidRPr="00046243" w:rsidRDefault="007702E9" w:rsidP="009C7A21">
      <w:pPr>
        <w:pStyle w:val="PargrafodaLista"/>
        <w:spacing w:after="240" w:line="240" w:lineRule="auto"/>
        <w:ind w:left="284"/>
        <w:jc w:val="both"/>
        <w:rPr>
          <w:rFonts w:ascii="Times New Roman" w:hAnsi="Times New Roman" w:cs="Times New Roman"/>
          <w:sz w:val="24"/>
          <w:szCs w:val="24"/>
        </w:rPr>
      </w:pPr>
    </w:p>
    <w:p w:rsidR="00257E72" w:rsidRPr="00046243" w:rsidRDefault="00257E72" w:rsidP="009C7A21">
      <w:pPr>
        <w:pStyle w:val="PargrafodaLista"/>
        <w:spacing w:after="240" w:line="240" w:lineRule="auto"/>
        <w:ind w:left="284"/>
        <w:jc w:val="both"/>
        <w:rPr>
          <w:rFonts w:ascii="Times New Roman" w:hAnsi="Times New Roman" w:cs="Times New Roman"/>
          <w:sz w:val="24"/>
          <w:szCs w:val="24"/>
        </w:rPr>
      </w:pPr>
      <w:r w:rsidRPr="00046243">
        <w:rPr>
          <w:rFonts w:ascii="Times New Roman" w:hAnsi="Times New Roman" w:cs="Times New Roman"/>
          <w:sz w:val="24"/>
          <w:szCs w:val="24"/>
        </w:rPr>
        <w:t xml:space="preserve">Esses problemas foram </w:t>
      </w:r>
      <w:r w:rsidR="00873678" w:rsidRPr="00046243">
        <w:rPr>
          <w:rFonts w:ascii="Times New Roman" w:hAnsi="Times New Roman" w:cs="Times New Roman"/>
          <w:sz w:val="24"/>
          <w:szCs w:val="24"/>
        </w:rPr>
        <w:t xml:space="preserve">resolvidos com a implementação das </w:t>
      </w:r>
      <w:r w:rsidRPr="00046243">
        <w:rPr>
          <w:rFonts w:ascii="Times New Roman" w:hAnsi="Times New Roman" w:cs="Times New Roman"/>
          <w:sz w:val="24"/>
          <w:szCs w:val="24"/>
        </w:rPr>
        <w:t xml:space="preserve">ações desenvolvidas no Componente II, que envolveram: </w:t>
      </w:r>
    </w:p>
    <w:p w:rsidR="007702E9" w:rsidRPr="00046243" w:rsidRDefault="007702E9" w:rsidP="009C7A21">
      <w:pPr>
        <w:pStyle w:val="PargrafodaLista"/>
        <w:spacing w:after="240" w:line="240" w:lineRule="auto"/>
        <w:ind w:left="284"/>
        <w:jc w:val="both"/>
        <w:rPr>
          <w:rFonts w:ascii="Times New Roman" w:hAnsi="Times New Roman" w:cs="Times New Roman"/>
          <w:sz w:val="24"/>
          <w:szCs w:val="24"/>
        </w:rPr>
      </w:pPr>
    </w:p>
    <w:p w:rsidR="00DA59E9" w:rsidRPr="00DA59E9" w:rsidRDefault="002B3CE5" w:rsidP="009D74C3">
      <w:pPr>
        <w:pStyle w:val="PargrafodaLista"/>
        <w:numPr>
          <w:ilvl w:val="0"/>
          <w:numId w:val="11"/>
        </w:numPr>
        <w:spacing w:after="240" w:line="240" w:lineRule="auto"/>
        <w:jc w:val="both"/>
        <w:rPr>
          <w:rFonts w:ascii="Times New Roman" w:hAnsi="Times New Roman" w:cs="Times New Roman"/>
          <w:sz w:val="24"/>
          <w:szCs w:val="24"/>
        </w:rPr>
      </w:pPr>
      <w:r w:rsidRPr="00046243">
        <w:rPr>
          <w:rFonts w:ascii="Times New Roman" w:hAnsi="Times New Roman" w:cs="Times New Roman"/>
          <w:b/>
          <w:sz w:val="24"/>
          <w:szCs w:val="24"/>
        </w:rPr>
        <w:t>Modelo de Controle de Benefícios Fiscais Concedidos</w:t>
      </w:r>
      <w:r w:rsidR="0081356E" w:rsidRPr="00046243">
        <w:rPr>
          <w:rFonts w:ascii="Times New Roman" w:hAnsi="Times New Roman" w:cs="Times New Roman"/>
          <w:sz w:val="24"/>
          <w:szCs w:val="24"/>
        </w:rPr>
        <w:t>, em maio de 2013</w:t>
      </w:r>
      <w:r w:rsidR="008C6AFB">
        <w:rPr>
          <w:rFonts w:ascii="Times New Roman" w:hAnsi="Times New Roman" w:cs="Times New Roman"/>
          <w:sz w:val="24"/>
          <w:szCs w:val="24"/>
        </w:rPr>
        <w:t>,</w:t>
      </w:r>
      <w:r w:rsidR="0081356E" w:rsidRPr="00046243">
        <w:rPr>
          <w:rFonts w:ascii="Times New Roman" w:hAnsi="Times New Roman" w:cs="Times New Roman"/>
          <w:sz w:val="24"/>
          <w:szCs w:val="24"/>
        </w:rPr>
        <w:t xml:space="preserve"> o novo modelo de benefícios fiscais concedidos foi implantado e está disponível na web da SEFA </w:t>
      </w:r>
      <w:r w:rsidR="00C2602F" w:rsidRPr="00DA59E9">
        <w:rPr>
          <w:rFonts w:ascii="Times New Roman" w:hAnsi="Times New Roman" w:cs="Times New Roman"/>
          <w:sz w:val="24"/>
          <w:szCs w:val="24"/>
        </w:rPr>
        <w:t>onde todos os procedimentos são realizados diretamente pelo cidadão</w:t>
      </w:r>
      <w:r w:rsidR="00DA59E9">
        <w:rPr>
          <w:rFonts w:ascii="Times New Roman" w:hAnsi="Times New Roman" w:cs="Times New Roman"/>
          <w:sz w:val="24"/>
          <w:szCs w:val="24"/>
        </w:rPr>
        <w:t xml:space="preserve">. Os </w:t>
      </w:r>
      <w:r w:rsidR="001B0D0E">
        <w:rPr>
          <w:rFonts w:ascii="Times New Roman" w:hAnsi="Times New Roman" w:cs="Times New Roman"/>
          <w:sz w:val="24"/>
          <w:szCs w:val="24"/>
        </w:rPr>
        <w:t>b</w:t>
      </w:r>
      <w:r w:rsidR="00DA59E9">
        <w:rPr>
          <w:rFonts w:ascii="Times New Roman" w:hAnsi="Times New Roman" w:cs="Times New Roman"/>
          <w:sz w:val="24"/>
          <w:szCs w:val="24"/>
        </w:rPr>
        <w:t xml:space="preserve">enefícios </w:t>
      </w:r>
      <w:r w:rsidR="001B0D0E">
        <w:rPr>
          <w:rFonts w:ascii="Times New Roman" w:hAnsi="Times New Roman" w:cs="Times New Roman"/>
          <w:sz w:val="24"/>
          <w:szCs w:val="24"/>
        </w:rPr>
        <w:t>f</w:t>
      </w:r>
      <w:r w:rsidR="00DA59E9">
        <w:rPr>
          <w:rFonts w:ascii="Times New Roman" w:hAnsi="Times New Roman" w:cs="Times New Roman"/>
          <w:sz w:val="24"/>
          <w:szCs w:val="24"/>
        </w:rPr>
        <w:t xml:space="preserve">iscais </w:t>
      </w:r>
      <w:r w:rsidR="001B0D0E">
        <w:rPr>
          <w:rFonts w:ascii="Times New Roman" w:hAnsi="Times New Roman" w:cs="Times New Roman"/>
          <w:sz w:val="24"/>
          <w:szCs w:val="24"/>
        </w:rPr>
        <w:t>c</w:t>
      </w:r>
      <w:r w:rsidR="00DA59E9">
        <w:rPr>
          <w:rFonts w:ascii="Times New Roman" w:hAnsi="Times New Roman" w:cs="Times New Roman"/>
          <w:sz w:val="24"/>
          <w:szCs w:val="24"/>
        </w:rPr>
        <w:t xml:space="preserve">oncedidos são: (i) IPVA para Pessoas com Deficiência e </w:t>
      </w:r>
      <w:r w:rsidR="001B0D0E">
        <w:rPr>
          <w:rFonts w:ascii="Times New Roman" w:hAnsi="Times New Roman" w:cs="Times New Roman"/>
          <w:sz w:val="24"/>
          <w:szCs w:val="24"/>
        </w:rPr>
        <w:t xml:space="preserve">para </w:t>
      </w:r>
      <w:r w:rsidR="00DA59E9">
        <w:rPr>
          <w:rFonts w:ascii="Times New Roman" w:hAnsi="Times New Roman" w:cs="Times New Roman"/>
          <w:sz w:val="24"/>
          <w:szCs w:val="24"/>
        </w:rPr>
        <w:t>Entidades Sociais;</w:t>
      </w:r>
      <w:r w:rsidR="001548A8">
        <w:rPr>
          <w:rFonts w:ascii="Times New Roman" w:hAnsi="Times New Roman" w:cs="Times New Roman"/>
          <w:sz w:val="24"/>
          <w:szCs w:val="24"/>
        </w:rPr>
        <w:t xml:space="preserve"> </w:t>
      </w:r>
      <w:r w:rsidR="00DA59E9">
        <w:rPr>
          <w:rFonts w:ascii="Times New Roman" w:hAnsi="Times New Roman" w:cs="Times New Roman"/>
          <w:sz w:val="24"/>
          <w:szCs w:val="24"/>
        </w:rPr>
        <w:t>(ii) ICMS para Pessoas com Deficiência</w:t>
      </w:r>
      <w:r w:rsidR="009D74C3">
        <w:rPr>
          <w:rFonts w:ascii="Times New Roman" w:hAnsi="Times New Roman" w:cs="Times New Roman"/>
          <w:sz w:val="24"/>
          <w:szCs w:val="24"/>
        </w:rPr>
        <w:t xml:space="preserve">; e (iii) </w:t>
      </w:r>
      <w:r w:rsidR="00DA59E9">
        <w:rPr>
          <w:rFonts w:ascii="Times New Roman" w:hAnsi="Times New Roman" w:cs="Times New Roman"/>
          <w:sz w:val="24"/>
          <w:szCs w:val="24"/>
        </w:rPr>
        <w:t xml:space="preserve">diferencial de alíquotas </w:t>
      </w:r>
      <w:r w:rsidR="009D74C3">
        <w:rPr>
          <w:rFonts w:ascii="Times New Roman" w:hAnsi="Times New Roman" w:cs="Times New Roman"/>
          <w:sz w:val="24"/>
          <w:szCs w:val="24"/>
        </w:rPr>
        <w:t xml:space="preserve">do ICMS </w:t>
      </w:r>
      <w:r w:rsidR="00DA59E9">
        <w:rPr>
          <w:rFonts w:ascii="Times New Roman" w:hAnsi="Times New Roman" w:cs="Times New Roman"/>
          <w:sz w:val="24"/>
          <w:szCs w:val="24"/>
        </w:rPr>
        <w:t xml:space="preserve">para a Cadeia Florestal Madeireira e para a Industria Moveleira   </w:t>
      </w:r>
    </w:p>
    <w:p w:rsidR="00DA59E9" w:rsidRPr="00DA59E9" w:rsidRDefault="00DA59E9" w:rsidP="009C7A21">
      <w:pPr>
        <w:pStyle w:val="PargrafodaLista"/>
        <w:spacing w:after="240" w:line="240" w:lineRule="auto"/>
        <w:ind w:left="644"/>
        <w:jc w:val="both"/>
        <w:rPr>
          <w:rFonts w:ascii="Times New Roman" w:hAnsi="Times New Roman" w:cs="Times New Roman"/>
          <w:sz w:val="24"/>
          <w:szCs w:val="24"/>
        </w:rPr>
      </w:pPr>
    </w:p>
    <w:p w:rsidR="0081356E" w:rsidRPr="009D74C3" w:rsidRDefault="002B3CE5" w:rsidP="009D74C3">
      <w:pPr>
        <w:pStyle w:val="PargrafodaLista"/>
        <w:numPr>
          <w:ilvl w:val="0"/>
          <w:numId w:val="11"/>
        </w:numPr>
        <w:spacing w:after="240" w:line="240" w:lineRule="auto"/>
        <w:jc w:val="both"/>
        <w:rPr>
          <w:rFonts w:ascii="Times New Roman" w:hAnsi="Times New Roman" w:cs="Times New Roman"/>
          <w:sz w:val="24"/>
          <w:szCs w:val="24"/>
        </w:rPr>
      </w:pPr>
      <w:r w:rsidRPr="009D74C3">
        <w:rPr>
          <w:rFonts w:ascii="Times New Roman" w:hAnsi="Times New Roman" w:cs="Times New Roman"/>
          <w:b/>
          <w:sz w:val="24"/>
          <w:szCs w:val="24"/>
        </w:rPr>
        <w:t>Mod</w:t>
      </w:r>
      <w:r w:rsidR="0081356E" w:rsidRPr="009D74C3">
        <w:rPr>
          <w:rFonts w:ascii="Times New Roman" w:hAnsi="Times New Roman" w:cs="Times New Roman"/>
          <w:b/>
          <w:sz w:val="24"/>
          <w:szCs w:val="24"/>
        </w:rPr>
        <w:t>elo de fiscalização de trânsito</w:t>
      </w:r>
      <w:r w:rsidR="0081356E" w:rsidRPr="009D74C3">
        <w:rPr>
          <w:rFonts w:ascii="Times New Roman" w:hAnsi="Times New Roman" w:cs="Times New Roman"/>
          <w:sz w:val="24"/>
          <w:szCs w:val="24"/>
        </w:rPr>
        <w:t>, implantado em dezembro de 2014, tinha como meta fiscalizar 5.000 veículos com base nos princípios do novo modelo de fiscalização de mercadoria em</w:t>
      </w:r>
      <w:r w:rsidR="00FB4ED4">
        <w:rPr>
          <w:rFonts w:ascii="Times New Roman" w:hAnsi="Times New Roman" w:cs="Times New Roman"/>
          <w:sz w:val="24"/>
          <w:szCs w:val="24"/>
        </w:rPr>
        <w:t xml:space="preserve"> trânsito e foram fiscalizados </w:t>
      </w:r>
      <w:r w:rsidR="0081356E" w:rsidRPr="009D74C3">
        <w:rPr>
          <w:rFonts w:ascii="Times New Roman" w:hAnsi="Times New Roman" w:cs="Times New Roman"/>
          <w:sz w:val="24"/>
          <w:szCs w:val="24"/>
        </w:rPr>
        <w:t>6.570 veículos.</w:t>
      </w:r>
    </w:p>
    <w:p w:rsidR="0081356E" w:rsidRPr="00046243" w:rsidRDefault="0081356E" w:rsidP="009C7A21">
      <w:pPr>
        <w:pStyle w:val="PargrafodaLista"/>
        <w:spacing w:after="240" w:line="240" w:lineRule="auto"/>
        <w:rPr>
          <w:rFonts w:ascii="Times New Roman" w:hAnsi="Times New Roman" w:cs="Times New Roman"/>
          <w:sz w:val="24"/>
          <w:szCs w:val="24"/>
        </w:rPr>
      </w:pPr>
    </w:p>
    <w:p w:rsidR="00B44BA3" w:rsidRPr="00046243" w:rsidRDefault="002B3CE5" w:rsidP="009C7A21">
      <w:pPr>
        <w:pStyle w:val="PargrafodaLista"/>
        <w:numPr>
          <w:ilvl w:val="0"/>
          <w:numId w:val="11"/>
        </w:numPr>
        <w:spacing w:after="240" w:line="240" w:lineRule="auto"/>
        <w:jc w:val="both"/>
        <w:rPr>
          <w:rFonts w:ascii="Times New Roman" w:hAnsi="Times New Roman" w:cs="Times New Roman"/>
          <w:sz w:val="24"/>
          <w:szCs w:val="24"/>
        </w:rPr>
      </w:pPr>
      <w:r w:rsidRPr="00046243">
        <w:rPr>
          <w:rFonts w:ascii="Times New Roman" w:hAnsi="Times New Roman" w:cs="Times New Roman"/>
          <w:b/>
          <w:sz w:val="24"/>
          <w:szCs w:val="24"/>
        </w:rPr>
        <w:t>Nota Fiscal Cidadã implantada</w:t>
      </w:r>
      <w:r w:rsidR="0081356E" w:rsidRPr="00046243">
        <w:rPr>
          <w:rFonts w:ascii="Times New Roman" w:hAnsi="Times New Roman" w:cs="Times New Roman"/>
          <w:sz w:val="24"/>
          <w:szCs w:val="24"/>
        </w:rPr>
        <w:t xml:space="preserve">, em março de 2015 a meta de 17 segmentos econômicos participando do programa da </w:t>
      </w:r>
      <w:r w:rsidR="00B44BA3" w:rsidRPr="00046243">
        <w:rPr>
          <w:rFonts w:ascii="Times New Roman" w:hAnsi="Times New Roman" w:cs="Times New Roman"/>
          <w:sz w:val="24"/>
          <w:szCs w:val="24"/>
        </w:rPr>
        <w:t>Nota Fiscal C</w:t>
      </w:r>
      <w:r w:rsidR="0081356E" w:rsidRPr="00046243">
        <w:rPr>
          <w:rFonts w:ascii="Times New Roman" w:hAnsi="Times New Roman" w:cs="Times New Roman"/>
          <w:sz w:val="24"/>
          <w:szCs w:val="24"/>
        </w:rPr>
        <w:t xml:space="preserve">idadã </w:t>
      </w:r>
      <w:r w:rsidR="00CA769E" w:rsidRPr="00046243">
        <w:rPr>
          <w:rFonts w:ascii="Times New Roman" w:hAnsi="Times New Roman" w:cs="Times New Roman"/>
          <w:sz w:val="24"/>
          <w:szCs w:val="24"/>
        </w:rPr>
        <w:t>foi alcançada e hoje 20 seg</w:t>
      </w:r>
      <w:r w:rsidR="00B44BA3" w:rsidRPr="00046243">
        <w:rPr>
          <w:rFonts w:ascii="Times New Roman" w:hAnsi="Times New Roman" w:cs="Times New Roman"/>
          <w:sz w:val="24"/>
          <w:szCs w:val="24"/>
        </w:rPr>
        <w:t>mentos participam do programa.</w:t>
      </w:r>
    </w:p>
    <w:p w:rsidR="00B44BA3" w:rsidRPr="00046243" w:rsidRDefault="00B44BA3" w:rsidP="009C7A21">
      <w:pPr>
        <w:pStyle w:val="PargrafodaLista"/>
        <w:spacing w:after="240" w:line="240" w:lineRule="auto"/>
        <w:rPr>
          <w:rFonts w:ascii="Times New Roman" w:hAnsi="Times New Roman" w:cs="Times New Roman"/>
          <w:sz w:val="24"/>
          <w:szCs w:val="24"/>
        </w:rPr>
      </w:pPr>
    </w:p>
    <w:p w:rsidR="00EE6AC3" w:rsidRPr="00046243" w:rsidRDefault="002B3CE5" w:rsidP="009C7A21">
      <w:pPr>
        <w:pStyle w:val="PargrafodaLista"/>
        <w:numPr>
          <w:ilvl w:val="0"/>
          <w:numId w:val="11"/>
        </w:numPr>
        <w:spacing w:after="240" w:line="240" w:lineRule="auto"/>
        <w:jc w:val="both"/>
        <w:rPr>
          <w:rFonts w:ascii="Times New Roman" w:hAnsi="Times New Roman" w:cs="Times New Roman"/>
          <w:sz w:val="24"/>
          <w:szCs w:val="24"/>
        </w:rPr>
      </w:pPr>
      <w:r w:rsidRPr="00046243">
        <w:rPr>
          <w:rFonts w:ascii="Times New Roman" w:hAnsi="Times New Roman" w:cs="Times New Roman"/>
          <w:b/>
          <w:sz w:val="24"/>
          <w:szCs w:val="24"/>
        </w:rPr>
        <w:t>Nota Fiscal Eletrônica implantada</w:t>
      </w:r>
      <w:r w:rsidR="00B44BA3" w:rsidRPr="00046243">
        <w:rPr>
          <w:rFonts w:ascii="Times New Roman" w:hAnsi="Times New Roman" w:cs="Times New Roman"/>
          <w:sz w:val="24"/>
          <w:szCs w:val="24"/>
        </w:rPr>
        <w:t xml:space="preserve">, em dezembro de 2013 a Nota Fiscal Eletrônica foi implantada em 644 atividades econômicas </w:t>
      </w:r>
      <w:r w:rsidR="00EE6AC3" w:rsidRPr="00046243">
        <w:rPr>
          <w:rFonts w:ascii="Times New Roman" w:hAnsi="Times New Roman" w:cs="Times New Roman"/>
          <w:sz w:val="24"/>
          <w:szCs w:val="24"/>
        </w:rPr>
        <w:t xml:space="preserve">com </w:t>
      </w:r>
      <w:r w:rsidR="00B44BA3" w:rsidRPr="00046243">
        <w:rPr>
          <w:rFonts w:ascii="Times New Roman" w:hAnsi="Times New Roman" w:cs="Times New Roman"/>
          <w:sz w:val="24"/>
          <w:szCs w:val="24"/>
        </w:rPr>
        <w:t>incidência do ICMS</w:t>
      </w:r>
      <w:r w:rsidR="00EE6AC3" w:rsidRPr="00046243">
        <w:rPr>
          <w:rFonts w:ascii="Times New Roman" w:hAnsi="Times New Roman" w:cs="Times New Roman"/>
          <w:sz w:val="24"/>
          <w:szCs w:val="24"/>
        </w:rPr>
        <w:t xml:space="preserve">. </w:t>
      </w:r>
    </w:p>
    <w:p w:rsidR="00EE6AC3" w:rsidRPr="00046243" w:rsidRDefault="00EE6AC3" w:rsidP="009C7A21">
      <w:pPr>
        <w:pStyle w:val="PargrafodaLista"/>
        <w:spacing w:after="240" w:line="240" w:lineRule="auto"/>
        <w:rPr>
          <w:rFonts w:ascii="Times New Roman" w:hAnsi="Times New Roman" w:cs="Times New Roman"/>
          <w:sz w:val="24"/>
          <w:szCs w:val="24"/>
        </w:rPr>
      </w:pPr>
    </w:p>
    <w:p w:rsidR="00653747" w:rsidRPr="00046243" w:rsidRDefault="002B3CE5" w:rsidP="009C7A21">
      <w:pPr>
        <w:pStyle w:val="PargrafodaLista"/>
        <w:numPr>
          <w:ilvl w:val="0"/>
          <w:numId w:val="11"/>
        </w:numPr>
        <w:spacing w:after="240" w:line="240" w:lineRule="auto"/>
        <w:jc w:val="both"/>
        <w:rPr>
          <w:rFonts w:ascii="Times New Roman" w:hAnsi="Times New Roman" w:cs="Times New Roman"/>
          <w:sz w:val="24"/>
          <w:szCs w:val="24"/>
        </w:rPr>
      </w:pPr>
      <w:r w:rsidRPr="00046243">
        <w:rPr>
          <w:rFonts w:ascii="Times New Roman" w:hAnsi="Times New Roman" w:cs="Times New Roman"/>
          <w:b/>
          <w:sz w:val="24"/>
          <w:szCs w:val="24"/>
        </w:rPr>
        <w:t>Modelo de fiscalização de estabelecimentos</w:t>
      </w:r>
      <w:r w:rsidR="00EE6AC3" w:rsidRPr="00046243">
        <w:rPr>
          <w:rFonts w:ascii="Times New Roman" w:hAnsi="Times New Roman" w:cs="Times New Roman"/>
          <w:sz w:val="24"/>
          <w:szCs w:val="24"/>
        </w:rPr>
        <w:t>, em abril de 2015 o novo Modelo de Fiscalização de Estabelecimento foi implanto</w:t>
      </w:r>
      <w:r w:rsidR="008C6AFB">
        <w:rPr>
          <w:rFonts w:ascii="Times New Roman" w:hAnsi="Times New Roman" w:cs="Times New Roman"/>
          <w:sz w:val="24"/>
          <w:szCs w:val="24"/>
        </w:rPr>
        <w:t>.T</w:t>
      </w:r>
      <w:r w:rsidR="00653747" w:rsidRPr="00046243">
        <w:rPr>
          <w:rFonts w:ascii="Times New Roman" w:hAnsi="Times New Roman" w:cs="Times New Roman"/>
          <w:sz w:val="24"/>
          <w:szCs w:val="24"/>
        </w:rPr>
        <w:t xml:space="preserve">inha como meta </w:t>
      </w:r>
      <w:r w:rsidR="00EE6AC3" w:rsidRPr="00046243">
        <w:rPr>
          <w:rFonts w:ascii="Times New Roman" w:hAnsi="Times New Roman" w:cs="Times New Roman"/>
          <w:sz w:val="24"/>
          <w:szCs w:val="24"/>
        </w:rPr>
        <w:t>350 auditores utiliza</w:t>
      </w:r>
      <w:r w:rsidR="008C6AFB">
        <w:rPr>
          <w:rFonts w:ascii="Times New Roman" w:hAnsi="Times New Roman" w:cs="Times New Roman"/>
          <w:sz w:val="24"/>
          <w:szCs w:val="24"/>
        </w:rPr>
        <w:t>ndo</w:t>
      </w:r>
      <w:r w:rsidR="00EE6AC3" w:rsidRPr="00046243">
        <w:rPr>
          <w:rFonts w:ascii="Times New Roman" w:hAnsi="Times New Roman" w:cs="Times New Roman"/>
          <w:sz w:val="24"/>
          <w:szCs w:val="24"/>
        </w:rPr>
        <w:t xml:space="preserve"> o sistema de auditoria do novo modelo</w:t>
      </w:r>
      <w:r w:rsidR="00653747" w:rsidRPr="00046243">
        <w:rPr>
          <w:rFonts w:ascii="Times New Roman" w:hAnsi="Times New Roman" w:cs="Times New Roman"/>
          <w:sz w:val="24"/>
          <w:szCs w:val="24"/>
        </w:rPr>
        <w:t>. Hoje 105 auditores utilizam o sistema auditor eletrônico e trabalha</w:t>
      </w:r>
      <w:r w:rsidR="008C6AFB">
        <w:rPr>
          <w:rFonts w:ascii="Times New Roman" w:hAnsi="Times New Roman" w:cs="Times New Roman"/>
          <w:sz w:val="24"/>
          <w:szCs w:val="24"/>
        </w:rPr>
        <w:t>m com foco</w:t>
      </w:r>
      <w:r w:rsidR="00653747" w:rsidRPr="00046243">
        <w:rPr>
          <w:rFonts w:ascii="Times New Roman" w:hAnsi="Times New Roman" w:cs="Times New Roman"/>
          <w:sz w:val="24"/>
          <w:szCs w:val="24"/>
        </w:rPr>
        <w:t xml:space="preserve"> nos grandes contribuintes</w:t>
      </w:r>
      <w:r w:rsidR="00046243">
        <w:rPr>
          <w:rFonts w:ascii="Times New Roman" w:hAnsi="Times New Roman" w:cs="Times New Roman"/>
          <w:sz w:val="24"/>
          <w:szCs w:val="24"/>
        </w:rPr>
        <w:t>. O</w:t>
      </w:r>
      <w:r w:rsidR="00653747" w:rsidRPr="00046243">
        <w:rPr>
          <w:rFonts w:ascii="Times New Roman" w:hAnsi="Times New Roman" w:cs="Times New Roman"/>
          <w:sz w:val="24"/>
          <w:szCs w:val="24"/>
        </w:rPr>
        <w:t xml:space="preserve">s novos auditores admitidos recentemente por concursos públicos estão sendo treinados para utilizarem o sistema. </w:t>
      </w:r>
    </w:p>
    <w:p w:rsidR="00653747" w:rsidRPr="00046243" w:rsidRDefault="00653747" w:rsidP="009C7A21">
      <w:pPr>
        <w:pStyle w:val="PargrafodaLista"/>
        <w:spacing w:after="240" w:line="240" w:lineRule="auto"/>
        <w:ind w:left="2367"/>
        <w:rPr>
          <w:rFonts w:ascii="Times New Roman" w:hAnsi="Times New Roman" w:cs="Times New Roman"/>
          <w:sz w:val="24"/>
          <w:szCs w:val="24"/>
        </w:rPr>
      </w:pPr>
    </w:p>
    <w:p w:rsidR="002B3CE5" w:rsidRPr="00046243" w:rsidRDefault="002B3CE5" w:rsidP="009C7A21">
      <w:pPr>
        <w:pStyle w:val="PargrafodaLista"/>
        <w:numPr>
          <w:ilvl w:val="0"/>
          <w:numId w:val="11"/>
        </w:numPr>
        <w:spacing w:after="240" w:line="240" w:lineRule="auto"/>
        <w:jc w:val="both"/>
        <w:rPr>
          <w:rFonts w:ascii="Times New Roman" w:hAnsi="Times New Roman" w:cs="Times New Roman"/>
          <w:sz w:val="24"/>
          <w:szCs w:val="24"/>
        </w:rPr>
      </w:pPr>
      <w:r w:rsidRPr="00046243">
        <w:rPr>
          <w:rFonts w:ascii="Times New Roman" w:hAnsi="Times New Roman" w:cs="Times New Roman"/>
          <w:b/>
          <w:sz w:val="24"/>
          <w:szCs w:val="24"/>
        </w:rPr>
        <w:t>Modelo de pesquisas, investigações e análises de ilícitos fiscais</w:t>
      </w:r>
      <w:r w:rsidR="00237D8F" w:rsidRPr="00046243">
        <w:rPr>
          <w:rFonts w:ascii="Times New Roman" w:hAnsi="Times New Roman" w:cs="Times New Roman"/>
          <w:sz w:val="24"/>
          <w:szCs w:val="24"/>
        </w:rPr>
        <w:t>, e</w:t>
      </w:r>
      <w:r w:rsidR="00653747" w:rsidRPr="00046243">
        <w:rPr>
          <w:rFonts w:ascii="Times New Roman" w:hAnsi="Times New Roman" w:cs="Times New Roman"/>
          <w:sz w:val="24"/>
          <w:szCs w:val="24"/>
        </w:rPr>
        <w:t xml:space="preserve">m dezembro de 2014 já tinham sido realizadas 19 ações estruturadas de fiscalização para combate </w:t>
      </w:r>
      <w:r w:rsidR="008C6AFB">
        <w:rPr>
          <w:rFonts w:ascii="Times New Roman" w:hAnsi="Times New Roman" w:cs="Times New Roman"/>
          <w:sz w:val="24"/>
          <w:szCs w:val="24"/>
        </w:rPr>
        <w:t>à</w:t>
      </w:r>
      <w:r w:rsidR="00653747" w:rsidRPr="00046243">
        <w:rPr>
          <w:rFonts w:ascii="Times New Roman" w:hAnsi="Times New Roman" w:cs="Times New Roman"/>
          <w:sz w:val="24"/>
          <w:szCs w:val="24"/>
        </w:rPr>
        <w:t xml:space="preserve"> fraude estruturada de grande monta</w:t>
      </w:r>
      <w:r w:rsidR="00237D8F" w:rsidRPr="00046243">
        <w:rPr>
          <w:rFonts w:ascii="Times New Roman" w:hAnsi="Times New Roman" w:cs="Times New Roman"/>
          <w:sz w:val="24"/>
          <w:szCs w:val="24"/>
        </w:rPr>
        <w:t xml:space="preserve"> no novo modelo. A meta do programa era realizar 3 (três) ações. </w:t>
      </w:r>
    </w:p>
    <w:p w:rsidR="00237D8F" w:rsidRPr="00046243" w:rsidRDefault="00237D8F" w:rsidP="009C7A21">
      <w:pPr>
        <w:pStyle w:val="PargrafodaLista"/>
        <w:spacing w:after="240" w:line="240" w:lineRule="auto"/>
        <w:jc w:val="both"/>
        <w:rPr>
          <w:rFonts w:ascii="Times New Roman" w:hAnsi="Times New Roman" w:cs="Times New Roman"/>
          <w:b/>
          <w:sz w:val="24"/>
          <w:szCs w:val="24"/>
        </w:rPr>
      </w:pPr>
    </w:p>
    <w:p w:rsidR="005670EF" w:rsidRPr="00046243" w:rsidRDefault="002B3CE5" w:rsidP="009C7A21">
      <w:pPr>
        <w:pStyle w:val="PargrafodaLista"/>
        <w:numPr>
          <w:ilvl w:val="0"/>
          <w:numId w:val="11"/>
        </w:numPr>
        <w:spacing w:after="240" w:line="240" w:lineRule="auto"/>
        <w:jc w:val="both"/>
        <w:rPr>
          <w:rFonts w:ascii="Times New Roman" w:hAnsi="Times New Roman" w:cs="Times New Roman"/>
          <w:sz w:val="24"/>
          <w:szCs w:val="24"/>
        </w:rPr>
      </w:pPr>
      <w:r w:rsidRPr="00046243">
        <w:rPr>
          <w:rFonts w:ascii="Times New Roman" w:hAnsi="Times New Roman" w:cs="Times New Roman"/>
          <w:b/>
          <w:sz w:val="24"/>
          <w:szCs w:val="24"/>
        </w:rPr>
        <w:t>Sistema público</w:t>
      </w:r>
      <w:r w:rsidR="00237D8F" w:rsidRPr="00046243">
        <w:rPr>
          <w:rFonts w:ascii="Times New Roman" w:hAnsi="Times New Roman" w:cs="Times New Roman"/>
          <w:b/>
          <w:sz w:val="24"/>
          <w:szCs w:val="24"/>
        </w:rPr>
        <w:t xml:space="preserve"> de escrituração digital – SPED</w:t>
      </w:r>
      <w:r w:rsidR="00237D8F" w:rsidRPr="00046243">
        <w:rPr>
          <w:rFonts w:ascii="Times New Roman" w:hAnsi="Times New Roman" w:cs="Times New Roman"/>
          <w:sz w:val="24"/>
          <w:szCs w:val="24"/>
        </w:rPr>
        <w:t xml:space="preserve">, a meta de </w:t>
      </w:r>
      <w:r w:rsidR="005670EF" w:rsidRPr="00046243">
        <w:rPr>
          <w:rFonts w:ascii="Times New Roman" w:hAnsi="Times New Roman" w:cs="Times New Roman"/>
          <w:sz w:val="24"/>
          <w:szCs w:val="24"/>
        </w:rPr>
        <w:t>80% da arrecadação proveniente de contribuintes obrigados a utilizar o SPED</w:t>
      </w:r>
      <w:r w:rsidR="00237D8F" w:rsidRPr="00046243">
        <w:rPr>
          <w:rFonts w:ascii="Times New Roman" w:hAnsi="Times New Roman" w:cs="Times New Roman"/>
          <w:sz w:val="24"/>
          <w:szCs w:val="24"/>
        </w:rPr>
        <w:t xml:space="preserve"> foi alcançada. Em dezembro de 2013 o resultado apurado foi de  </w:t>
      </w:r>
      <w:r w:rsidR="005670EF" w:rsidRPr="00046243">
        <w:rPr>
          <w:rFonts w:ascii="Times New Roman" w:hAnsi="Times New Roman" w:cs="Times New Roman"/>
          <w:sz w:val="24"/>
          <w:szCs w:val="24"/>
        </w:rPr>
        <w:t>90% da arrecadação</w:t>
      </w:r>
      <w:r w:rsidR="00237D8F" w:rsidRPr="00046243">
        <w:rPr>
          <w:rFonts w:ascii="Times New Roman" w:hAnsi="Times New Roman" w:cs="Times New Roman"/>
          <w:sz w:val="24"/>
          <w:szCs w:val="24"/>
        </w:rPr>
        <w:t>.</w:t>
      </w:r>
    </w:p>
    <w:p w:rsidR="005670EF" w:rsidRPr="00046243" w:rsidRDefault="005670EF" w:rsidP="009C7A21">
      <w:pPr>
        <w:spacing w:after="240" w:line="240" w:lineRule="auto"/>
        <w:jc w:val="both"/>
        <w:rPr>
          <w:rFonts w:ascii="Times New Roman" w:hAnsi="Times New Roman" w:cs="Times New Roman"/>
          <w:sz w:val="24"/>
          <w:szCs w:val="24"/>
        </w:rPr>
      </w:pPr>
    </w:p>
    <w:p w:rsidR="000E53DD" w:rsidRPr="00046243" w:rsidRDefault="00D378C9" w:rsidP="009C7A21">
      <w:pPr>
        <w:pStyle w:val="PargrafodaLista"/>
        <w:numPr>
          <w:ilvl w:val="0"/>
          <w:numId w:val="12"/>
        </w:numPr>
        <w:tabs>
          <w:tab w:val="left" w:pos="426"/>
        </w:tabs>
        <w:spacing w:after="240" w:line="240" w:lineRule="auto"/>
        <w:ind w:left="142" w:firstLine="0"/>
        <w:jc w:val="both"/>
        <w:rPr>
          <w:rFonts w:ascii="Times New Roman" w:hAnsi="Times New Roman" w:cs="Times New Roman"/>
          <w:sz w:val="24"/>
          <w:szCs w:val="24"/>
        </w:rPr>
      </w:pPr>
      <w:r w:rsidRPr="00046243">
        <w:rPr>
          <w:rFonts w:ascii="Times New Roman" w:hAnsi="Times New Roman" w:cs="Times New Roman"/>
          <w:b/>
          <w:sz w:val="24"/>
          <w:szCs w:val="24"/>
        </w:rPr>
        <w:lastRenderedPageBreak/>
        <w:t xml:space="preserve">Baixa </w:t>
      </w:r>
      <w:r w:rsidR="005670EF" w:rsidRPr="00046243">
        <w:rPr>
          <w:rFonts w:ascii="Times New Roman" w:hAnsi="Times New Roman" w:cs="Times New Roman"/>
          <w:b/>
          <w:sz w:val="24"/>
          <w:szCs w:val="24"/>
        </w:rPr>
        <w:t xml:space="preserve">eficiência e a eficácia </w:t>
      </w:r>
      <w:r w:rsidRPr="00046243">
        <w:rPr>
          <w:rFonts w:ascii="Times New Roman" w:hAnsi="Times New Roman" w:cs="Times New Roman"/>
          <w:b/>
          <w:sz w:val="24"/>
          <w:szCs w:val="24"/>
        </w:rPr>
        <w:t xml:space="preserve">do </w:t>
      </w:r>
      <w:r w:rsidR="005670EF" w:rsidRPr="00046243">
        <w:rPr>
          <w:rFonts w:ascii="Times New Roman" w:hAnsi="Times New Roman" w:cs="Times New Roman"/>
          <w:b/>
          <w:sz w:val="24"/>
          <w:szCs w:val="24"/>
        </w:rPr>
        <w:t>controle do gasto públ</w:t>
      </w:r>
      <w:r w:rsidR="005670EF" w:rsidRPr="00046243">
        <w:rPr>
          <w:rFonts w:ascii="Times New Roman" w:hAnsi="Times New Roman" w:cs="Times New Roman"/>
          <w:sz w:val="24"/>
          <w:szCs w:val="24"/>
        </w:rPr>
        <w:t>ico</w:t>
      </w:r>
      <w:r w:rsidRPr="00046243">
        <w:rPr>
          <w:rFonts w:ascii="Times New Roman" w:hAnsi="Times New Roman" w:cs="Times New Roman"/>
          <w:sz w:val="24"/>
          <w:szCs w:val="24"/>
        </w:rPr>
        <w:t xml:space="preserve">, decorrente da falta de efetividade no Controle Interno da SEFA, e do </w:t>
      </w:r>
      <w:r w:rsidR="000E53DD" w:rsidRPr="00046243">
        <w:rPr>
          <w:rFonts w:ascii="Times New Roman" w:hAnsi="Times New Roman" w:cs="Times New Roman"/>
          <w:sz w:val="24"/>
          <w:szCs w:val="24"/>
        </w:rPr>
        <w:t xml:space="preserve">atendimento </w:t>
      </w:r>
      <w:r w:rsidR="000F164C">
        <w:rPr>
          <w:rFonts w:ascii="Times New Roman" w:hAnsi="Times New Roman" w:cs="Times New Roman"/>
          <w:sz w:val="24"/>
          <w:szCs w:val="24"/>
        </w:rPr>
        <w:t xml:space="preserve">que </w:t>
      </w:r>
      <w:r w:rsidR="000E53DD" w:rsidRPr="00046243">
        <w:rPr>
          <w:rFonts w:ascii="Times New Roman" w:hAnsi="Times New Roman" w:cs="Times New Roman"/>
          <w:sz w:val="24"/>
          <w:szCs w:val="24"/>
        </w:rPr>
        <w:t>não corresponde à</w:t>
      </w:r>
      <w:r w:rsidRPr="00046243">
        <w:rPr>
          <w:rFonts w:ascii="Times New Roman" w:hAnsi="Times New Roman" w:cs="Times New Roman"/>
          <w:sz w:val="24"/>
          <w:szCs w:val="24"/>
        </w:rPr>
        <w:t xml:space="preserve"> expectativa do contribuinte e dos servidores.</w:t>
      </w:r>
      <w:r w:rsidR="007702E9" w:rsidRPr="00046243">
        <w:rPr>
          <w:rFonts w:ascii="Times New Roman" w:hAnsi="Times New Roman" w:cs="Times New Roman"/>
          <w:sz w:val="24"/>
          <w:szCs w:val="24"/>
        </w:rPr>
        <w:t xml:space="preserve"> </w:t>
      </w:r>
      <w:r w:rsidR="000E53DD" w:rsidRPr="00046243">
        <w:rPr>
          <w:rFonts w:ascii="Times New Roman" w:hAnsi="Times New Roman" w:cs="Times New Roman"/>
          <w:sz w:val="24"/>
          <w:szCs w:val="24"/>
        </w:rPr>
        <w:t xml:space="preserve">Esses problemas foram resolvidos com a implementação das ações desenvolvidas no Componente III, que envolveram: </w:t>
      </w:r>
    </w:p>
    <w:p w:rsidR="007702E9" w:rsidRPr="00046243" w:rsidRDefault="007702E9" w:rsidP="009C7A21">
      <w:pPr>
        <w:pStyle w:val="PargrafodaLista"/>
        <w:autoSpaceDE w:val="0"/>
        <w:autoSpaceDN w:val="0"/>
        <w:adjustRightInd w:val="0"/>
        <w:spacing w:before="240" w:after="240" w:line="240" w:lineRule="auto"/>
        <w:ind w:left="1080"/>
        <w:jc w:val="both"/>
        <w:rPr>
          <w:rFonts w:ascii="Times New Roman" w:hAnsi="Times New Roman" w:cs="Times New Roman"/>
          <w:sz w:val="24"/>
          <w:szCs w:val="24"/>
        </w:rPr>
      </w:pPr>
    </w:p>
    <w:p w:rsidR="000E53DD" w:rsidRPr="00046243" w:rsidRDefault="000E53DD" w:rsidP="009C7A21">
      <w:pPr>
        <w:pStyle w:val="PargrafodaLista"/>
        <w:numPr>
          <w:ilvl w:val="0"/>
          <w:numId w:val="14"/>
        </w:numPr>
        <w:spacing w:after="240" w:line="240" w:lineRule="auto"/>
        <w:jc w:val="both"/>
        <w:rPr>
          <w:rFonts w:ascii="Times New Roman" w:hAnsi="Times New Roman" w:cs="Times New Roman"/>
          <w:b/>
          <w:sz w:val="24"/>
          <w:szCs w:val="24"/>
        </w:rPr>
      </w:pPr>
      <w:r w:rsidRPr="00046243">
        <w:rPr>
          <w:rFonts w:ascii="Times New Roman" w:hAnsi="Times New Roman" w:cs="Times New Roman"/>
          <w:b/>
          <w:sz w:val="24"/>
          <w:szCs w:val="24"/>
        </w:rPr>
        <w:t xml:space="preserve">Modelo de gestão do controle interno implantado, </w:t>
      </w:r>
      <w:r w:rsidRPr="00046243">
        <w:rPr>
          <w:rFonts w:ascii="Times New Roman" w:hAnsi="Times New Roman" w:cs="Times New Roman"/>
          <w:sz w:val="24"/>
          <w:szCs w:val="24"/>
        </w:rPr>
        <w:t xml:space="preserve">em dezembro de 2014 o novo modelo foi implantado, as equipes de contabilidade e controle foram treinadas e a estrutura física melhorada com a aquisição dos arquivos deslizantes, </w:t>
      </w:r>
      <w:r w:rsidR="00F872EB" w:rsidRPr="00046243">
        <w:rPr>
          <w:rFonts w:ascii="Times New Roman" w:hAnsi="Times New Roman" w:cs="Times New Roman"/>
          <w:sz w:val="24"/>
          <w:szCs w:val="24"/>
        </w:rPr>
        <w:t xml:space="preserve">organização do </w:t>
      </w:r>
      <w:r w:rsidRPr="00046243">
        <w:rPr>
          <w:rFonts w:ascii="Times New Roman" w:hAnsi="Times New Roman" w:cs="Times New Roman"/>
          <w:sz w:val="24"/>
          <w:szCs w:val="24"/>
        </w:rPr>
        <w:t xml:space="preserve">estoque de processos facilitando </w:t>
      </w:r>
      <w:r w:rsidR="00F872EB" w:rsidRPr="00046243">
        <w:rPr>
          <w:rFonts w:ascii="Times New Roman" w:hAnsi="Times New Roman" w:cs="Times New Roman"/>
          <w:sz w:val="24"/>
          <w:szCs w:val="24"/>
        </w:rPr>
        <w:t xml:space="preserve">assim o </w:t>
      </w:r>
      <w:r w:rsidRPr="00046243">
        <w:rPr>
          <w:rFonts w:ascii="Times New Roman" w:hAnsi="Times New Roman" w:cs="Times New Roman"/>
          <w:sz w:val="24"/>
          <w:szCs w:val="24"/>
        </w:rPr>
        <w:t xml:space="preserve">acesso aos documentos. Para mitigar </w:t>
      </w:r>
      <w:r w:rsidR="00F872EB" w:rsidRPr="00046243">
        <w:rPr>
          <w:rFonts w:ascii="Times New Roman" w:hAnsi="Times New Roman" w:cs="Times New Roman"/>
          <w:sz w:val="24"/>
          <w:szCs w:val="24"/>
        </w:rPr>
        <w:t>os riscos de descontinuidade da solução os procedimentos foram mapeados e o</w:t>
      </w:r>
      <w:r w:rsidRPr="00046243">
        <w:rPr>
          <w:rFonts w:ascii="Times New Roman" w:hAnsi="Times New Roman" w:cs="Times New Roman"/>
          <w:sz w:val="24"/>
          <w:szCs w:val="24"/>
        </w:rPr>
        <w:t>s manuais de controle foram desenvolvidos</w:t>
      </w:r>
      <w:r w:rsidR="00F872EB" w:rsidRPr="00046243">
        <w:rPr>
          <w:rFonts w:ascii="Times New Roman" w:hAnsi="Times New Roman" w:cs="Times New Roman"/>
          <w:sz w:val="24"/>
          <w:szCs w:val="24"/>
        </w:rPr>
        <w:t>.</w:t>
      </w:r>
      <w:r w:rsidRPr="00046243">
        <w:rPr>
          <w:rFonts w:ascii="Times New Roman" w:hAnsi="Times New Roman" w:cs="Times New Roman"/>
          <w:sz w:val="24"/>
          <w:szCs w:val="24"/>
        </w:rPr>
        <w:t xml:space="preserve"> </w:t>
      </w:r>
      <w:r w:rsidR="00F872EB" w:rsidRPr="00046243">
        <w:rPr>
          <w:rFonts w:ascii="Times New Roman" w:hAnsi="Times New Roman" w:cs="Times New Roman"/>
          <w:sz w:val="24"/>
          <w:szCs w:val="24"/>
        </w:rPr>
        <w:t xml:space="preserve">Também foi desenvolvido </w:t>
      </w:r>
      <w:r w:rsidR="000F164C">
        <w:rPr>
          <w:rFonts w:ascii="Times New Roman" w:hAnsi="Times New Roman" w:cs="Times New Roman"/>
          <w:sz w:val="24"/>
          <w:szCs w:val="24"/>
        </w:rPr>
        <w:t xml:space="preserve">um </w:t>
      </w:r>
      <w:r w:rsidRPr="00046243">
        <w:rPr>
          <w:rFonts w:ascii="Times New Roman" w:hAnsi="Times New Roman" w:cs="Times New Roman"/>
          <w:sz w:val="24"/>
          <w:szCs w:val="24"/>
        </w:rPr>
        <w:t xml:space="preserve">módulo </w:t>
      </w:r>
      <w:r w:rsidR="000F164C">
        <w:rPr>
          <w:rFonts w:ascii="Times New Roman" w:hAnsi="Times New Roman" w:cs="Times New Roman"/>
          <w:sz w:val="24"/>
          <w:szCs w:val="24"/>
        </w:rPr>
        <w:t xml:space="preserve">informatizado </w:t>
      </w:r>
      <w:r w:rsidRPr="00046243">
        <w:rPr>
          <w:rFonts w:ascii="Times New Roman" w:hAnsi="Times New Roman" w:cs="Times New Roman"/>
          <w:sz w:val="24"/>
          <w:szCs w:val="24"/>
        </w:rPr>
        <w:t>de gestão de contrato com recursos do tesouro</w:t>
      </w:r>
      <w:r w:rsidRPr="00046243">
        <w:rPr>
          <w:rFonts w:ascii="Times New Roman" w:hAnsi="Times New Roman" w:cs="Times New Roman"/>
          <w:b/>
          <w:sz w:val="24"/>
          <w:szCs w:val="24"/>
        </w:rPr>
        <w:t>.</w:t>
      </w:r>
    </w:p>
    <w:p w:rsidR="000E53DD" w:rsidRPr="00046243" w:rsidRDefault="000E53DD" w:rsidP="009C7A21">
      <w:pPr>
        <w:pStyle w:val="PargrafodaLista"/>
        <w:spacing w:after="240" w:line="240" w:lineRule="auto"/>
        <w:ind w:left="1440"/>
        <w:jc w:val="both"/>
        <w:rPr>
          <w:rFonts w:ascii="Times New Roman" w:hAnsi="Times New Roman" w:cs="Times New Roman"/>
          <w:b/>
          <w:sz w:val="24"/>
          <w:szCs w:val="24"/>
        </w:rPr>
      </w:pPr>
    </w:p>
    <w:p w:rsidR="000E53DD" w:rsidRPr="00C66D2D" w:rsidRDefault="000E53DD" w:rsidP="000F164C">
      <w:pPr>
        <w:pStyle w:val="PargrafodaLista"/>
        <w:numPr>
          <w:ilvl w:val="0"/>
          <w:numId w:val="14"/>
        </w:numPr>
        <w:spacing w:after="240" w:line="240" w:lineRule="auto"/>
        <w:jc w:val="both"/>
        <w:rPr>
          <w:rFonts w:ascii="Times New Roman" w:eastAsia="Times New Roman" w:hAnsi="Times New Roman" w:cs="Times New Roman"/>
          <w:sz w:val="24"/>
          <w:szCs w:val="24"/>
        </w:rPr>
      </w:pPr>
      <w:r w:rsidRPr="00AE1F37">
        <w:rPr>
          <w:rFonts w:ascii="Times New Roman" w:hAnsi="Times New Roman" w:cs="Times New Roman"/>
          <w:b/>
          <w:sz w:val="24"/>
          <w:szCs w:val="24"/>
        </w:rPr>
        <w:t>Novo sistema de controle da dívida pública implementado</w:t>
      </w:r>
      <w:r w:rsidR="000F164C" w:rsidRPr="00AE1F37">
        <w:rPr>
          <w:rFonts w:ascii="Times New Roman" w:hAnsi="Times New Roman" w:cs="Times New Roman"/>
          <w:b/>
          <w:sz w:val="24"/>
          <w:szCs w:val="24"/>
        </w:rPr>
        <w:t xml:space="preserve">, </w:t>
      </w:r>
      <w:r w:rsidR="000F164C" w:rsidRPr="00AE1F37">
        <w:rPr>
          <w:rFonts w:ascii="Times New Roman" w:hAnsi="Times New Roman" w:cs="Times New Roman"/>
          <w:sz w:val="24"/>
          <w:szCs w:val="24"/>
        </w:rPr>
        <w:t>está com 70%</w:t>
      </w:r>
      <w:r w:rsidR="000F164C" w:rsidRPr="000F164C">
        <w:rPr>
          <w:rFonts w:ascii="Times New Roman" w:hAnsi="Times New Roman" w:cs="Times New Roman"/>
          <w:sz w:val="24"/>
          <w:szCs w:val="24"/>
        </w:rPr>
        <w:t xml:space="preserve"> concluído, todos os contratos cadastrados, restando apenas </w:t>
      </w:r>
      <w:r w:rsidR="008C6AFB">
        <w:rPr>
          <w:rFonts w:ascii="Times New Roman" w:hAnsi="Times New Roman" w:cs="Times New Roman"/>
          <w:sz w:val="24"/>
          <w:szCs w:val="24"/>
        </w:rPr>
        <w:t>a</w:t>
      </w:r>
      <w:r w:rsidR="000F164C" w:rsidRPr="000F164C">
        <w:rPr>
          <w:rFonts w:ascii="Times New Roman" w:hAnsi="Times New Roman" w:cs="Times New Roman"/>
          <w:sz w:val="24"/>
          <w:szCs w:val="24"/>
        </w:rPr>
        <w:t xml:space="preserve"> implantação do módulo de relatórios</w:t>
      </w:r>
      <w:r w:rsidR="008B4BFF">
        <w:rPr>
          <w:rFonts w:ascii="Times New Roman" w:hAnsi="Times New Roman" w:cs="Times New Roman"/>
          <w:sz w:val="24"/>
          <w:szCs w:val="24"/>
        </w:rPr>
        <w:t xml:space="preserve"> a ser concluído até março de 2016. </w:t>
      </w:r>
      <w:r w:rsidR="000F164C" w:rsidRPr="000F164C">
        <w:rPr>
          <w:rFonts w:ascii="Times New Roman" w:hAnsi="Times New Roman" w:cs="Times New Roman"/>
          <w:sz w:val="24"/>
          <w:szCs w:val="24"/>
        </w:rPr>
        <w:t xml:space="preserve">O sistema tem como funcionalidades básicas: (1) cadastro ou atualização de contratos; (2) </w:t>
      </w:r>
      <w:r w:rsidR="000F164C" w:rsidRPr="000F164C">
        <w:rPr>
          <w:rFonts w:ascii="Times New Roman" w:hAnsi="Times New Roman" w:cs="Times New Roman"/>
          <w:bCs/>
          <w:sz w:val="24"/>
          <w:szCs w:val="24"/>
        </w:rPr>
        <w:t>cronograma de aprovação/liberação dos valores contratados ou dívidas pactuadas; (3) composição da dívida; (4) movimentação financeira do contrato; (5) digitalização dos contratos e documentos; (6) cálculo dos valores de liquidação com simulação e fechamento mensais; (6) cotação de moedas e indexadores; (7) cadastro de credores; e (8) funções gráficas, tais como – evolução anual do saldo devedor, relação dívida consolidada/receita corrente líquida, pagamento do serviço da dívida e limite com desembolsos de operações de crédito</w:t>
      </w:r>
      <w:r w:rsidR="000F164C" w:rsidRPr="000F164C">
        <w:rPr>
          <w:rStyle w:val="Refdenotaderodap"/>
          <w:rFonts w:ascii="Times New Roman" w:hAnsi="Times New Roman" w:cs="Times New Roman"/>
          <w:bCs/>
          <w:sz w:val="24"/>
          <w:szCs w:val="24"/>
        </w:rPr>
        <w:footnoteReference w:id="7"/>
      </w:r>
      <w:r w:rsidR="000F164C" w:rsidRPr="000F164C">
        <w:rPr>
          <w:rFonts w:ascii="Times New Roman" w:hAnsi="Times New Roman" w:cs="Times New Roman"/>
          <w:bCs/>
          <w:sz w:val="24"/>
          <w:szCs w:val="24"/>
        </w:rPr>
        <w:t>.</w:t>
      </w:r>
    </w:p>
    <w:p w:rsidR="000F164C" w:rsidRPr="00C66D2D" w:rsidRDefault="000F164C" w:rsidP="000F164C">
      <w:pPr>
        <w:pStyle w:val="PargrafodaLista"/>
        <w:spacing w:after="240" w:line="240" w:lineRule="auto"/>
        <w:ind w:left="1004"/>
        <w:jc w:val="both"/>
        <w:rPr>
          <w:rFonts w:ascii="Times New Roman" w:eastAsia="Times New Roman" w:hAnsi="Times New Roman" w:cs="Times New Roman"/>
          <w:sz w:val="24"/>
          <w:szCs w:val="24"/>
        </w:rPr>
      </w:pPr>
    </w:p>
    <w:p w:rsidR="002C4B72" w:rsidRPr="00046243" w:rsidRDefault="002C4B72" w:rsidP="009C7A21">
      <w:pPr>
        <w:pStyle w:val="PargrafodaLista"/>
        <w:numPr>
          <w:ilvl w:val="0"/>
          <w:numId w:val="12"/>
        </w:numPr>
        <w:tabs>
          <w:tab w:val="left" w:pos="426"/>
        </w:tabs>
        <w:spacing w:after="240" w:line="240" w:lineRule="auto"/>
        <w:ind w:left="142" w:firstLine="0"/>
        <w:jc w:val="both"/>
        <w:rPr>
          <w:rFonts w:ascii="Times New Roman" w:hAnsi="Times New Roman" w:cs="Times New Roman"/>
          <w:sz w:val="24"/>
          <w:szCs w:val="24"/>
        </w:rPr>
      </w:pPr>
      <w:r w:rsidRPr="00C66D2D">
        <w:rPr>
          <w:rFonts w:ascii="Times New Roman" w:hAnsi="Times New Roman" w:cs="Times New Roman"/>
          <w:b/>
          <w:sz w:val="24"/>
          <w:szCs w:val="24"/>
        </w:rPr>
        <w:t>Baixa qualidade dos serviços prestado</w:t>
      </w:r>
      <w:r w:rsidR="008C6AFB" w:rsidRPr="00C66D2D">
        <w:rPr>
          <w:rFonts w:ascii="Times New Roman" w:hAnsi="Times New Roman" w:cs="Times New Roman"/>
          <w:b/>
          <w:sz w:val="24"/>
          <w:szCs w:val="24"/>
        </w:rPr>
        <w:t>s</w:t>
      </w:r>
      <w:r w:rsidRPr="00046243">
        <w:rPr>
          <w:rFonts w:ascii="Times New Roman" w:hAnsi="Times New Roman" w:cs="Times New Roman"/>
          <w:b/>
          <w:sz w:val="24"/>
          <w:szCs w:val="24"/>
        </w:rPr>
        <w:t xml:space="preserve"> ao </w:t>
      </w:r>
      <w:r w:rsidR="005670EF" w:rsidRPr="00046243">
        <w:rPr>
          <w:rFonts w:ascii="Times New Roman" w:hAnsi="Times New Roman" w:cs="Times New Roman"/>
          <w:b/>
          <w:sz w:val="24"/>
          <w:szCs w:val="24"/>
        </w:rPr>
        <w:t>cidadão</w:t>
      </w:r>
      <w:r w:rsidRPr="00046243">
        <w:rPr>
          <w:rFonts w:ascii="Times New Roman" w:hAnsi="Times New Roman" w:cs="Times New Roman"/>
          <w:sz w:val="24"/>
          <w:szCs w:val="24"/>
        </w:rPr>
        <w:t>, devido ao atendimento não corresponde</w:t>
      </w:r>
      <w:r w:rsidR="00CC21B7" w:rsidRPr="00046243">
        <w:rPr>
          <w:rFonts w:ascii="Times New Roman" w:hAnsi="Times New Roman" w:cs="Times New Roman"/>
          <w:sz w:val="24"/>
          <w:szCs w:val="24"/>
        </w:rPr>
        <w:t xml:space="preserve">r à </w:t>
      </w:r>
      <w:r w:rsidRPr="00046243">
        <w:rPr>
          <w:rFonts w:ascii="Times New Roman" w:hAnsi="Times New Roman" w:cs="Times New Roman"/>
          <w:sz w:val="24"/>
          <w:szCs w:val="24"/>
        </w:rPr>
        <w:t xml:space="preserve">expectativa do contribuinte e dos servidores; processos que não tramitam nos sistemas aplicativos; sistemas aplicativos da SEFA </w:t>
      </w:r>
      <w:r w:rsidR="008E3738">
        <w:rPr>
          <w:rFonts w:ascii="Times New Roman" w:hAnsi="Times New Roman" w:cs="Times New Roman"/>
          <w:sz w:val="24"/>
          <w:szCs w:val="24"/>
        </w:rPr>
        <w:t xml:space="preserve">que </w:t>
      </w:r>
      <w:r w:rsidRPr="00046243">
        <w:rPr>
          <w:rFonts w:ascii="Times New Roman" w:hAnsi="Times New Roman" w:cs="Times New Roman"/>
          <w:sz w:val="24"/>
          <w:szCs w:val="24"/>
        </w:rPr>
        <w:t xml:space="preserve">não atendem às necessidades atuais da Secretaria e estão desenvolvidos em plataforma obsoleta; e inexistência de uma política de capacitação, que contemple um plano e programas de formação continuada. Esses problemas foram resolvidos com a implementação das ações desenvolvidas no Componente IV, que envolveram: </w:t>
      </w:r>
    </w:p>
    <w:p w:rsidR="002C4B72" w:rsidRPr="00046243" w:rsidRDefault="002C4B72" w:rsidP="009C7A21">
      <w:pPr>
        <w:pStyle w:val="PargrafodaLista"/>
        <w:autoSpaceDE w:val="0"/>
        <w:autoSpaceDN w:val="0"/>
        <w:adjustRightInd w:val="0"/>
        <w:spacing w:before="240" w:after="240" w:line="240" w:lineRule="auto"/>
        <w:ind w:left="1080"/>
        <w:jc w:val="both"/>
        <w:rPr>
          <w:rFonts w:ascii="Times New Roman" w:hAnsi="Times New Roman" w:cs="Times New Roman"/>
          <w:sz w:val="24"/>
          <w:szCs w:val="24"/>
        </w:rPr>
      </w:pPr>
    </w:p>
    <w:p w:rsidR="008E3738" w:rsidRPr="008E3738" w:rsidRDefault="002C4B72" w:rsidP="00844D83">
      <w:pPr>
        <w:pStyle w:val="PargrafodaLista"/>
        <w:numPr>
          <w:ilvl w:val="0"/>
          <w:numId w:val="13"/>
        </w:numPr>
        <w:spacing w:after="240" w:line="240" w:lineRule="auto"/>
        <w:ind w:left="993" w:firstLine="0"/>
        <w:jc w:val="both"/>
        <w:rPr>
          <w:rFonts w:ascii="Times New Roman" w:hAnsi="Times New Roman" w:cs="Times New Roman"/>
          <w:sz w:val="24"/>
          <w:szCs w:val="24"/>
        </w:rPr>
      </w:pPr>
      <w:r w:rsidRPr="00046243">
        <w:rPr>
          <w:rFonts w:ascii="Times New Roman" w:hAnsi="Times New Roman" w:cs="Times New Roman"/>
          <w:b/>
          <w:sz w:val="24"/>
          <w:szCs w:val="24"/>
        </w:rPr>
        <w:t>Modelo de qualidade para o atendimento ao contribuinte implementado</w:t>
      </w:r>
      <w:r w:rsidRPr="00046243">
        <w:rPr>
          <w:rFonts w:ascii="Times New Roman" w:hAnsi="Times New Roman" w:cs="Times New Roman"/>
          <w:sz w:val="24"/>
          <w:szCs w:val="24"/>
        </w:rPr>
        <w:t xml:space="preserve">, em abril de 2015 a meta de 22 postos de </w:t>
      </w:r>
      <w:r w:rsidR="006D0257">
        <w:rPr>
          <w:rFonts w:ascii="Times New Roman" w:hAnsi="Times New Roman" w:cs="Times New Roman"/>
          <w:sz w:val="24"/>
          <w:szCs w:val="24"/>
        </w:rPr>
        <w:t xml:space="preserve">auto </w:t>
      </w:r>
      <w:r w:rsidRPr="00046243">
        <w:rPr>
          <w:rFonts w:ascii="Times New Roman" w:hAnsi="Times New Roman" w:cs="Times New Roman"/>
          <w:sz w:val="24"/>
          <w:szCs w:val="24"/>
        </w:rPr>
        <w:t>atendimento foi alcançada</w:t>
      </w:r>
      <w:r w:rsidR="008E3738">
        <w:rPr>
          <w:rFonts w:ascii="Times New Roman" w:hAnsi="Times New Roman" w:cs="Times New Roman"/>
          <w:sz w:val="24"/>
          <w:szCs w:val="24"/>
        </w:rPr>
        <w:t xml:space="preserve"> e </w:t>
      </w:r>
      <w:r w:rsidR="008E3738" w:rsidRPr="008E3738">
        <w:rPr>
          <w:rFonts w:ascii="Times New Roman" w:eastAsia="Arial Unicode MS" w:hAnsi="Times New Roman" w:cs="Times New Roman"/>
          <w:bCs/>
          <w:sz w:val="24"/>
          <w:szCs w:val="24"/>
        </w:rPr>
        <w:t>possibilitou</w:t>
      </w:r>
      <w:r w:rsidR="008E3738" w:rsidRPr="008E3738">
        <w:rPr>
          <w:rFonts w:ascii="Times New Roman" w:eastAsia="Arial Unicode MS" w:hAnsi="Times New Roman" w:cs="Times New Roman"/>
          <w:b/>
          <w:bCs/>
          <w:sz w:val="24"/>
          <w:szCs w:val="24"/>
        </w:rPr>
        <w:t xml:space="preserve">: </w:t>
      </w:r>
      <w:r w:rsidR="008E3738" w:rsidRPr="008E3738">
        <w:rPr>
          <w:rFonts w:ascii="Times New Roman" w:eastAsia="Arial Unicode MS" w:hAnsi="Times New Roman" w:cs="Times New Roman"/>
          <w:sz w:val="24"/>
          <w:szCs w:val="24"/>
        </w:rPr>
        <w:t>maior acessibilidade aos serviços constantes no portal SEFA, em especial aos usuários dos municípios com expressiva distância da capital e dificuldades de conexão; maior comodidade e facilidade ao usuário para o cumprimento de obrigações tributárias; aumento da satisfação dos usuários com os serviços da SEFA; e, criação de parcerias com órgãos como Detran-PA, SEFIN, Junta Comercial, PROCON e Estação Cidadania de Santarém. Duas unidades estão em processo de instalação (CERAT/Breves e Estação da Cidadania/Marabá). Após a implantação desse produto foi constatado um n</w:t>
      </w:r>
      <w:r w:rsidR="008E3738" w:rsidRPr="008E3738">
        <w:rPr>
          <w:rFonts w:ascii="Times New Roman" w:hAnsi="Times New Roman" w:cs="Times New Roman"/>
          <w:sz w:val="24"/>
          <w:szCs w:val="24"/>
        </w:rPr>
        <w:t>úmero crescente de páginas da SEFA visualizadas por meio dos terminais (780 mil em julho de 2015).</w:t>
      </w:r>
    </w:p>
    <w:p w:rsidR="008E3738" w:rsidRDefault="008E3738" w:rsidP="009C7A21">
      <w:pPr>
        <w:pStyle w:val="PargrafodaLista"/>
        <w:autoSpaceDE w:val="0"/>
        <w:autoSpaceDN w:val="0"/>
        <w:adjustRightInd w:val="0"/>
        <w:spacing w:before="240" w:after="240" w:line="240" w:lineRule="auto"/>
        <w:ind w:left="1080"/>
        <w:jc w:val="both"/>
        <w:rPr>
          <w:rFonts w:ascii="Times New Roman" w:hAnsi="Times New Roman" w:cs="Times New Roman"/>
          <w:sz w:val="24"/>
          <w:szCs w:val="24"/>
        </w:rPr>
      </w:pPr>
    </w:p>
    <w:p w:rsidR="005E05FD" w:rsidRPr="005E05FD" w:rsidRDefault="002C4B72" w:rsidP="00844D83">
      <w:pPr>
        <w:pStyle w:val="PargrafodaLista"/>
        <w:numPr>
          <w:ilvl w:val="0"/>
          <w:numId w:val="13"/>
        </w:numPr>
        <w:spacing w:after="240" w:line="240" w:lineRule="auto"/>
        <w:ind w:left="993" w:firstLine="0"/>
        <w:jc w:val="both"/>
        <w:rPr>
          <w:rFonts w:ascii="Times New Roman" w:hAnsi="Times New Roman" w:cs="Times New Roman"/>
          <w:bCs/>
          <w:sz w:val="24"/>
          <w:szCs w:val="24"/>
        </w:rPr>
      </w:pPr>
      <w:r w:rsidRPr="005E05FD">
        <w:rPr>
          <w:rFonts w:ascii="Times New Roman" w:hAnsi="Times New Roman" w:cs="Times New Roman"/>
          <w:b/>
          <w:sz w:val="24"/>
          <w:szCs w:val="24"/>
        </w:rPr>
        <w:lastRenderedPageBreak/>
        <w:t>Sistema e aplicativos de apoio à gestão administrativa e tributária implementados</w:t>
      </w:r>
      <w:r w:rsidR="00D472FA" w:rsidRPr="005E05FD">
        <w:rPr>
          <w:rFonts w:ascii="Times New Roman" w:hAnsi="Times New Roman" w:cs="Times New Roman"/>
          <w:sz w:val="24"/>
          <w:szCs w:val="24"/>
        </w:rPr>
        <w:t xml:space="preserve">, </w:t>
      </w:r>
      <w:r w:rsidR="005E05FD" w:rsidRPr="005E05FD">
        <w:rPr>
          <w:rFonts w:ascii="Times New Roman" w:hAnsi="Times New Roman" w:cs="Times New Roman"/>
          <w:color w:val="000000"/>
          <w:sz w:val="24"/>
          <w:szCs w:val="24"/>
        </w:rPr>
        <w:t>composto de aproximadamente 66 módulos</w:t>
      </w:r>
      <w:r w:rsidR="006D0257">
        <w:rPr>
          <w:rFonts w:ascii="Times New Roman" w:hAnsi="Times New Roman" w:cs="Times New Roman"/>
          <w:color w:val="000000"/>
          <w:sz w:val="24"/>
          <w:szCs w:val="24"/>
        </w:rPr>
        <w:t>,</w:t>
      </w:r>
      <w:r w:rsidR="005E05FD" w:rsidRPr="005E05FD">
        <w:rPr>
          <w:rFonts w:ascii="Times New Roman" w:hAnsi="Times New Roman" w:cs="Times New Roman"/>
          <w:color w:val="000000"/>
          <w:sz w:val="24"/>
          <w:szCs w:val="24"/>
        </w:rPr>
        <w:t xml:space="preserve"> construído no início dos anos 2000, na plataforma cliente servidor escrito em Visual Basic e banco de dados Oracle. Diante da necessidade de modernizar o sistema (SIAT-Web), e com isso oferecer melhores recursos de integração com outros sistemas e facilidades de uso para os usuários, foi iniciado um processo de mudança com a contratação de 4 Módulos (Controle de Acesso, Recursos Humanos, Cadastro de Contribuintes e Protocolo). Esses módulos foram escolhidos como pilotos por serem estruturais para todo o restante dos sistemas e foram desenvolvidos em tecnologia Java para web com banco de dados Oracle. Dos quatro módulos propostos na meta, foram implantados o módulo de Recursos Humanos e o Controle de Acesso. O Módulo de Cadastro não foi desenvolvido em razão do surgimento do Projeto REDESIM, que ocorreu após a contratação, causando grande impacto na definição de requisitos do sistema, uma vez que a sistemática de integração com a Receita Federal seria </w:t>
      </w:r>
      <w:r w:rsidR="005E05FD">
        <w:rPr>
          <w:rFonts w:ascii="Times New Roman" w:hAnsi="Times New Roman" w:cs="Times New Roman"/>
          <w:color w:val="000000"/>
          <w:sz w:val="24"/>
          <w:szCs w:val="24"/>
        </w:rPr>
        <w:t xml:space="preserve">por meio </w:t>
      </w:r>
      <w:r w:rsidR="005E05FD" w:rsidRPr="005E05FD">
        <w:rPr>
          <w:rFonts w:ascii="Times New Roman" w:hAnsi="Times New Roman" w:cs="Times New Roman"/>
          <w:color w:val="000000"/>
          <w:sz w:val="24"/>
          <w:szCs w:val="24"/>
        </w:rPr>
        <w:t>do Integrador Regional e não mais pelo Cadastro Sincronizado</w:t>
      </w:r>
      <w:r w:rsidR="005E05FD" w:rsidRPr="005E05FD">
        <w:rPr>
          <w:rFonts w:ascii="Times New Roman" w:hAnsi="Times New Roman" w:cs="Times New Roman"/>
          <w:sz w:val="24"/>
          <w:szCs w:val="24"/>
        </w:rPr>
        <w:t>. É importante destacar que a con</w:t>
      </w:r>
      <w:r w:rsidR="005E05FD" w:rsidRPr="005E05FD">
        <w:rPr>
          <w:rFonts w:ascii="Times New Roman" w:hAnsi="Times New Roman" w:cs="Times New Roman"/>
          <w:color w:val="000000"/>
          <w:sz w:val="24"/>
          <w:szCs w:val="24"/>
        </w:rPr>
        <w:t>tratação de módulos do SIAT-WEB revelou a necessidade de capacitar os gestores de TI em planejamento e contratação de serviços, razão pela qual foram realizados cursos em planejamento de TI, elaboração e gerenciamento de projetos, elaboração de termos de referência, contagem por ponto de função e gerenciamento de contratos</w:t>
      </w:r>
      <w:r w:rsidR="005E05FD" w:rsidRPr="005E05FD">
        <w:rPr>
          <w:rStyle w:val="Refdenotaderodap"/>
          <w:rFonts w:ascii="Times New Roman" w:hAnsi="Times New Roman" w:cs="Times New Roman"/>
          <w:color w:val="000000"/>
          <w:sz w:val="24"/>
          <w:szCs w:val="24"/>
        </w:rPr>
        <w:footnoteReference w:id="8"/>
      </w:r>
      <w:r w:rsidR="005E05FD" w:rsidRPr="005E05FD">
        <w:rPr>
          <w:rFonts w:ascii="Times New Roman" w:hAnsi="Times New Roman" w:cs="Times New Roman"/>
          <w:color w:val="000000"/>
          <w:sz w:val="24"/>
          <w:szCs w:val="24"/>
        </w:rPr>
        <w:t>.</w:t>
      </w:r>
    </w:p>
    <w:p w:rsidR="002C4B72" w:rsidRPr="00046243" w:rsidRDefault="002C4B72" w:rsidP="00844D83">
      <w:pPr>
        <w:pStyle w:val="PargrafodaLista"/>
        <w:autoSpaceDE w:val="0"/>
        <w:autoSpaceDN w:val="0"/>
        <w:adjustRightInd w:val="0"/>
        <w:spacing w:before="240" w:after="240" w:line="240" w:lineRule="auto"/>
        <w:ind w:left="993"/>
        <w:jc w:val="both"/>
        <w:rPr>
          <w:rFonts w:ascii="Times New Roman" w:hAnsi="Times New Roman" w:cs="Times New Roman"/>
          <w:sz w:val="24"/>
          <w:szCs w:val="24"/>
        </w:rPr>
      </w:pPr>
      <w:r w:rsidRPr="00046243">
        <w:rPr>
          <w:rFonts w:ascii="Times New Roman" w:hAnsi="Times New Roman" w:cs="Times New Roman"/>
          <w:sz w:val="24"/>
          <w:szCs w:val="24"/>
        </w:rPr>
        <w:t xml:space="preserve"> </w:t>
      </w:r>
    </w:p>
    <w:p w:rsidR="008E3738" w:rsidRPr="008E3738" w:rsidRDefault="00D472FA" w:rsidP="00844D83">
      <w:pPr>
        <w:pStyle w:val="PargrafodaLista"/>
        <w:numPr>
          <w:ilvl w:val="0"/>
          <w:numId w:val="13"/>
        </w:numPr>
        <w:spacing w:after="240" w:line="240" w:lineRule="auto"/>
        <w:ind w:left="993" w:firstLine="0"/>
        <w:jc w:val="both"/>
        <w:rPr>
          <w:rFonts w:ascii="Times New Roman" w:hAnsi="Times New Roman" w:cs="Times New Roman"/>
          <w:sz w:val="24"/>
          <w:szCs w:val="24"/>
        </w:rPr>
      </w:pPr>
      <w:r w:rsidRPr="005E05FD">
        <w:rPr>
          <w:rFonts w:ascii="Times New Roman" w:hAnsi="Times New Roman" w:cs="Times New Roman"/>
          <w:b/>
          <w:sz w:val="24"/>
          <w:szCs w:val="24"/>
        </w:rPr>
        <w:t>Pr</w:t>
      </w:r>
      <w:r w:rsidRPr="00046243">
        <w:rPr>
          <w:rFonts w:ascii="Times New Roman" w:hAnsi="Times New Roman" w:cs="Times New Roman"/>
          <w:b/>
          <w:sz w:val="24"/>
          <w:szCs w:val="24"/>
        </w:rPr>
        <w:t>ograma de educação fiscal implementado</w:t>
      </w:r>
      <w:r w:rsidRPr="00046243">
        <w:rPr>
          <w:rFonts w:ascii="Times New Roman" w:hAnsi="Times New Roman" w:cs="Times New Roman"/>
          <w:sz w:val="24"/>
          <w:szCs w:val="24"/>
        </w:rPr>
        <w:t xml:space="preserve">, em dezembro de 2014, 108 </w:t>
      </w:r>
      <w:r w:rsidR="006D0257">
        <w:rPr>
          <w:rFonts w:ascii="Times New Roman" w:hAnsi="Times New Roman" w:cs="Times New Roman"/>
          <w:sz w:val="24"/>
          <w:szCs w:val="24"/>
        </w:rPr>
        <w:t>M</w:t>
      </w:r>
      <w:r w:rsidRPr="00046243">
        <w:rPr>
          <w:rFonts w:ascii="Times New Roman" w:hAnsi="Times New Roman" w:cs="Times New Roman"/>
          <w:sz w:val="24"/>
          <w:szCs w:val="24"/>
        </w:rPr>
        <w:t>unicípios foram atendidos pelo Programa de Educação Fiscal.</w:t>
      </w:r>
      <w:r w:rsidR="008E3738">
        <w:rPr>
          <w:rFonts w:ascii="Times New Roman" w:hAnsi="Times New Roman" w:cs="Times New Roman"/>
          <w:sz w:val="24"/>
          <w:szCs w:val="24"/>
        </w:rPr>
        <w:t xml:space="preserve"> </w:t>
      </w:r>
      <w:r w:rsidR="008E3738" w:rsidRPr="008E3738">
        <w:rPr>
          <w:rFonts w:ascii="Times New Roman" w:hAnsi="Times New Roman" w:cs="Times New Roman"/>
          <w:sz w:val="24"/>
          <w:szCs w:val="24"/>
        </w:rPr>
        <w:t>E</w:t>
      </w:r>
      <w:r w:rsidR="008E3738" w:rsidRPr="008E3738">
        <w:rPr>
          <w:rFonts w:ascii="Times New Roman" w:hAnsi="Times New Roman" w:cs="Times New Roman"/>
          <w:bCs/>
          <w:sz w:val="24"/>
          <w:szCs w:val="24"/>
        </w:rPr>
        <w:t>m 2009, buscando alternativas para a sustentabilidade do PEFI-PA, foi realizada a primeira turma de Formação de Disseminadores em Educação Fiscal para Conselheiros Escolares Municipais de Belém, atingindo todas as escolas do Município.  Em 2010, foi criado o Observatório Social de Belém, com apoio do Grupo de Educação Fiscal (GEFI) e, em 2011, foi criado o Dia Estadual de Educação Fiscal</w:t>
      </w:r>
      <w:r w:rsidR="008E3738" w:rsidRPr="008E3738">
        <w:rPr>
          <w:rStyle w:val="Refdenotaderodap"/>
          <w:rFonts w:ascii="Times New Roman" w:hAnsi="Times New Roman" w:cs="Times New Roman"/>
          <w:bCs/>
          <w:sz w:val="24"/>
          <w:szCs w:val="24"/>
        </w:rPr>
        <w:footnoteReference w:id="9"/>
      </w:r>
      <w:r w:rsidR="008E3738" w:rsidRPr="008E3738">
        <w:rPr>
          <w:rFonts w:ascii="Times New Roman" w:hAnsi="Times New Roman" w:cs="Times New Roman"/>
          <w:bCs/>
          <w:sz w:val="24"/>
          <w:szCs w:val="24"/>
        </w:rPr>
        <w:t>. Dos 144 municípios do P</w:t>
      </w:r>
      <w:r w:rsidR="008E3738">
        <w:rPr>
          <w:rFonts w:ascii="Times New Roman" w:hAnsi="Times New Roman" w:cs="Times New Roman"/>
          <w:bCs/>
          <w:sz w:val="24"/>
          <w:szCs w:val="24"/>
        </w:rPr>
        <w:t>ará,</w:t>
      </w:r>
      <w:r w:rsidR="008E3738" w:rsidRPr="008E3738">
        <w:rPr>
          <w:rFonts w:ascii="Times New Roman" w:hAnsi="Times New Roman" w:cs="Times New Roman"/>
          <w:bCs/>
          <w:sz w:val="24"/>
          <w:szCs w:val="24"/>
        </w:rPr>
        <w:t xml:space="preserve"> o GEFI atua em 110, de formas diferenciadas, quer apenas com sensibilização, ou seja, apresentação do Programa quer com realização de alguma formação, ou ainda implantando de forma institucional, com formalização do Programa Municipal e lei publicada. Desde a primeira edição do Prêmio Nacional de Educação Fiscal, promovido pela </w:t>
      </w:r>
      <w:r w:rsidR="008E3738" w:rsidRPr="008E3738">
        <w:rPr>
          <w:rFonts w:ascii="Times New Roman" w:hAnsi="Times New Roman" w:cs="Times New Roman"/>
          <w:sz w:val="24"/>
          <w:szCs w:val="24"/>
        </w:rPr>
        <w:t>Federação Brasileira de Associações de Fiscais de Tributos Estaduais (</w:t>
      </w:r>
      <w:r w:rsidR="008E3738" w:rsidRPr="008E3738">
        <w:rPr>
          <w:rFonts w:ascii="Times New Roman" w:hAnsi="Times New Roman" w:cs="Times New Roman"/>
          <w:bCs/>
          <w:sz w:val="24"/>
          <w:szCs w:val="24"/>
        </w:rPr>
        <w:t>FEBRAFITE), o Pará esteve entre os dez primeiros selecionados: na primeira edição com o Projeto Sol Solidário da Escola Estadual São Francisco (Santarém), na segunda com o Projeto Pescador Cidadão da Associação de Pescadores Vila Castelo (Bragança)</w:t>
      </w:r>
      <w:r w:rsidR="008B4BFF">
        <w:rPr>
          <w:rFonts w:ascii="Times New Roman" w:hAnsi="Times New Roman" w:cs="Times New Roman"/>
          <w:bCs/>
          <w:sz w:val="24"/>
          <w:szCs w:val="24"/>
        </w:rPr>
        <w:t xml:space="preserve"> </w:t>
      </w:r>
      <w:r w:rsidR="006D0257">
        <w:rPr>
          <w:rFonts w:ascii="Times New Roman" w:hAnsi="Times New Roman" w:cs="Times New Roman"/>
          <w:bCs/>
          <w:sz w:val="24"/>
          <w:szCs w:val="24"/>
        </w:rPr>
        <w:t>- experiência documentada pelo BID,</w:t>
      </w:r>
      <w:r w:rsidR="008E3738" w:rsidRPr="008E3738">
        <w:rPr>
          <w:rFonts w:ascii="Times New Roman" w:hAnsi="Times New Roman" w:cs="Times New Roman"/>
          <w:bCs/>
          <w:sz w:val="24"/>
          <w:szCs w:val="24"/>
        </w:rPr>
        <w:t xml:space="preserve"> e na terceira foi contemplado com o primeiro lugar com o Projeto Sol Cidadão Legal, da Escola Estadual Frei Ambrósio (Santarém)</w:t>
      </w:r>
      <w:r w:rsidR="008E3738" w:rsidRPr="008E3738">
        <w:rPr>
          <w:rStyle w:val="Refdenotaderodap"/>
          <w:rFonts w:ascii="Times New Roman" w:hAnsi="Times New Roman" w:cs="Times New Roman"/>
          <w:bCs/>
          <w:sz w:val="24"/>
          <w:szCs w:val="24"/>
        </w:rPr>
        <w:t xml:space="preserve"> </w:t>
      </w:r>
      <w:r w:rsidR="008E3738" w:rsidRPr="008E3738">
        <w:rPr>
          <w:rStyle w:val="Refdenotaderodap"/>
          <w:rFonts w:ascii="Times New Roman" w:hAnsi="Times New Roman" w:cs="Times New Roman"/>
          <w:bCs/>
          <w:sz w:val="24"/>
          <w:szCs w:val="24"/>
        </w:rPr>
        <w:footnoteReference w:id="10"/>
      </w:r>
      <w:r w:rsidR="008E3738" w:rsidRPr="008E3738">
        <w:rPr>
          <w:rFonts w:ascii="Times New Roman" w:hAnsi="Times New Roman" w:cs="Times New Roman"/>
          <w:sz w:val="24"/>
          <w:szCs w:val="24"/>
        </w:rPr>
        <w:t xml:space="preserve">. </w:t>
      </w:r>
      <w:r w:rsidR="008E3738" w:rsidRPr="008E3738">
        <w:rPr>
          <w:rFonts w:ascii="Times New Roman" w:hAnsi="Times New Roman" w:cs="Times New Roman"/>
          <w:i/>
          <w:sz w:val="24"/>
          <w:szCs w:val="24"/>
        </w:rPr>
        <w:t>Finalmente, merece destaque a parceria com o Tribunal de Contas dos Municípios (TCM) e dos Estados (TCE) para o alcance dos resultados do PEFI e a sua inclusão no Programa Pacto pela Educação do governo estadual, com o objetivo de alcançar os 144 Municípios.</w:t>
      </w:r>
    </w:p>
    <w:p w:rsidR="008E3738" w:rsidRPr="008E3738" w:rsidRDefault="008E3738" w:rsidP="00844D83">
      <w:pPr>
        <w:pStyle w:val="PargrafodaLista"/>
        <w:autoSpaceDE w:val="0"/>
        <w:autoSpaceDN w:val="0"/>
        <w:adjustRightInd w:val="0"/>
        <w:spacing w:before="240" w:after="240" w:line="240" w:lineRule="auto"/>
        <w:ind w:left="993"/>
        <w:jc w:val="both"/>
        <w:rPr>
          <w:rFonts w:ascii="Times New Roman" w:hAnsi="Times New Roman" w:cs="Times New Roman"/>
          <w:sz w:val="24"/>
          <w:szCs w:val="24"/>
        </w:rPr>
      </w:pPr>
    </w:p>
    <w:p w:rsidR="0006150D" w:rsidRPr="00046243" w:rsidRDefault="00D472FA" w:rsidP="00844D83">
      <w:pPr>
        <w:pStyle w:val="PargrafodaLista"/>
        <w:numPr>
          <w:ilvl w:val="0"/>
          <w:numId w:val="13"/>
        </w:numPr>
        <w:spacing w:after="240" w:line="240" w:lineRule="auto"/>
        <w:ind w:left="993" w:firstLine="0"/>
        <w:jc w:val="both"/>
        <w:rPr>
          <w:rFonts w:ascii="Times New Roman" w:hAnsi="Times New Roman" w:cs="Times New Roman"/>
          <w:sz w:val="24"/>
          <w:szCs w:val="24"/>
        </w:rPr>
      </w:pPr>
      <w:r w:rsidRPr="00046243">
        <w:rPr>
          <w:rFonts w:ascii="Times New Roman" w:hAnsi="Times New Roman" w:cs="Times New Roman"/>
          <w:b/>
          <w:sz w:val="24"/>
          <w:szCs w:val="24"/>
        </w:rPr>
        <w:t>Política</w:t>
      </w:r>
      <w:r w:rsidR="00E95F3E" w:rsidRPr="00046243">
        <w:rPr>
          <w:rFonts w:ascii="Times New Roman" w:hAnsi="Times New Roman" w:cs="Times New Roman"/>
          <w:b/>
          <w:sz w:val="24"/>
          <w:szCs w:val="24"/>
        </w:rPr>
        <w:t xml:space="preserve"> de capacitação implementada</w:t>
      </w:r>
      <w:r w:rsidR="00E95F3E" w:rsidRPr="00046243">
        <w:rPr>
          <w:rFonts w:ascii="Times New Roman" w:hAnsi="Times New Roman" w:cs="Times New Roman"/>
          <w:sz w:val="24"/>
          <w:szCs w:val="24"/>
        </w:rPr>
        <w:t>, em 2009 não existia uma política de capacitação</w:t>
      </w:r>
      <w:r w:rsidR="0006150D" w:rsidRPr="00046243">
        <w:rPr>
          <w:rFonts w:ascii="Times New Roman" w:hAnsi="Times New Roman" w:cs="Times New Roman"/>
          <w:sz w:val="24"/>
          <w:szCs w:val="24"/>
        </w:rPr>
        <w:t xml:space="preserve">, nem uma estrutura de pessoal suficiente para atender todas as demandas </w:t>
      </w:r>
      <w:r w:rsidR="0006150D" w:rsidRPr="00046243">
        <w:rPr>
          <w:rFonts w:ascii="Times New Roman" w:hAnsi="Times New Roman" w:cs="Times New Roman"/>
          <w:sz w:val="24"/>
          <w:szCs w:val="24"/>
        </w:rPr>
        <w:lastRenderedPageBreak/>
        <w:t xml:space="preserve">da SEFA </w:t>
      </w:r>
      <w:r w:rsidR="00E95F3E" w:rsidRPr="00046243">
        <w:rPr>
          <w:rFonts w:ascii="Times New Roman" w:hAnsi="Times New Roman" w:cs="Times New Roman"/>
          <w:sz w:val="24"/>
          <w:szCs w:val="24"/>
        </w:rPr>
        <w:t>por falta de recursos</w:t>
      </w:r>
      <w:r w:rsidR="0006150D" w:rsidRPr="00046243">
        <w:rPr>
          <w:rFonts w:ascii="Times New Roman" w:hAnsi="Times New Roman" w:cs="Times New Roman"/>
          <w:sz w:val="24"/>
          <w:szCs w:val="24"/>
        </w:rPr>
        <w:t xml:space="preserve"> financeiros</w:t>
      </w:r>
      <w:r w:rsidR="00E95F3E" w:rsidRPr="00046243">
        <w:rPr>
          <w:rFonts w:ascii="Times New Roman" w:hAnsi="Times New Roman" w:cs="Times New Roman"/>
          <w:sz w:val="24"/>
          <w:szCs w:val="24"/>
        </w:rPr>
        <w:t xml:space="preserve">, com a chegada dos recursos do PROGEFAZ foi possível elaborar um plano de capacitação, </w:t>
      </w:r>
      <w:r w:rsidR="0006150D" w:rsidRPr="00046243">
        <w:rPr>
          <w:rFonts w:ascii="Times New Roman" w:hAnsi="Times New Roman" w:cs="Times New Roman"/>
          <w:sz w:val="24"/>
          <w:szCs w:val="24"/>
        </w:rPr>
        <w:t xml:space="preserve">selecionar </w:t>
      </w:r>
      <w:r w:rsidR="00E95F3E" w:rsidRPr="00046243">
        <w:rPr>
          <w:rFonts w:ascii="Times New Roman" w:hAnsi="Times New Roman" w:cs="Times New Roman"/>
          <w:sz w:val="24"/>
          <w:szCs w:val="24"/>
        </w:rPr>
        <w:t>uma universidade para executar parte deste plano, comprar vagas em cursos de mercado para atender principalmente a área de tecnologia de informação</w:t>
      </w:r>
      <w:r w:rsidR="0006150D" w:rsidRPr="00046243">
        <w:rPr>
          <w:rFonts w:ascii="Times New Roman" w:hAnsi="Times New Roman" w:cs="Times New Roman"/>
          <w:sz w:val="24"/>
          <w:szCs w:val="24"/>
        </w:rPr>
        <w:t>, realizar capacitações específicas por meio da ESAF e ENAP, assim como usar servidores para capacitações especificas na atividade fim da Secretaria. Também foi possível contratar consultores individuais para apoiar na execução do programa. Estes consultores atuaram no processo e no monitoramento desde o levantamento das necessidades até a elaboração dos relatórios.</w:t>
      </w:r>
      <w:r w:rsidR="00CF093D" w:rsidRPr="00046243">
        <w:rPr>
          <w:rFonts w:ascii="Times New Roman" w:hAnsi="Times New Roman" w:cs="Times New Roman"/>
          <w:sz w:val="24"/>
          <w:szCs w:val="24"/>
        </w:rPr>
        <w:t xml:space="preserve"> Em dezembro de 2014, 1.498 servidores foram capacitados superando a meta estabelecida de 960 servidores capacitados. </w:t>
      </w:r>
    </w:p>
    <w:p w:rsidR="0006150D" w:rsidRPr="00046243" w:rsidRDefault="0006150D" w:rsidP="00844D83">
      <w:pPr>
        <w:pStyle w:val="PargrafodaLista"/>
        <w:autoSpaceDE w:val="0"/>
        <w:autoSpaceDN w:val="0"/>
        <w:adjustRightInd w:val="0"/>
        <w:spacing w:before="240" w:after="240" w:line="240" w:lineRule="auto"/>
        <w:ind w:left="993"/>
        <w:jc w:val="both"/>
        <w:rPr>
          <w:rFonts w:ascii="Times New Roman" w:hAnsi="Times New Roman" w:cs="Times New Roman"/>
          <w:sz w:val="24"/>
          <w:szCs w:val="24"/>
        </w:rPr>
      </w:pPr>
    </w:p>
    <w:p w:rsidR="005670EF" w:rsidRPr="005E05FD" w:rsidRDefault="00CF093D" w:rsidP="00844D83">
      <w:pPr>
        <w:pStyle w:val="PargrafodaLista"/>
        <w:numPr>
          <w:ilvl w:val="0"/>
          <w:numId w:val="13"/>
        </w:numPr>
        <w:spacing w:after="240" w:line="240" w:lineRule="auto"/>
        <w:ind w:left="993" w:firstLine="0"/>
        <w:jc w:val="both"/>
        <w:rPr>
          <w:rFonts w:ascii="Times New Roman" w:hAnsi="Times New Roman" w:cs="Times New Roman"/>
          <w:b/>
          <w:sz w:val="24"/>
          <w:szCs w:val="24"/>
        </w:rPr>
      </w:pPr>
      <w:r w:rsidRPr="005E05FD">
        <w:rPr>
          <w:rFonts w:ascii="Times New Roman" w:hAnsi="Times New Roman" w:cs="Times New Roman"/>
          <w:b/>
          <w:sz w:val="24"/>
          <w:szCs w:val="24"/>
        </w:rPr>
        <w:t>Infraestrutura de tecnologia para suporte e apo</w:t>
      </w:r>
      <w:r w:rsidR="005E05FD" w:rsidRPr="005E05FD">
        <w:rPr>
          <w:rFonts w:ascii="Times New Roman" w:hAnsi="Times New Roman" w:cs="Times New Roman"/>
          <w:b/>
          <w:sz w:val="24"/>
          <w:szCs w:val="24"/>
        </w:rPr>
        <w:t>io à gestão fiscal implementada</w:t>
      </w:r>
      <w:r w:rsidRPr="005E05FD">
        <w:rPr>
          <w:rFonts w:ascii="Times New Roman" w:hAnsi="Times New Roman" w:cs="Times New Roman"/>
          <w:b/>
          <w:sz w:val="24"/>
          <w:szCs w:val="24"/>
        </w:rPr>
        <w:t>.</w:t>
      </w:r>
      <w:r w:rsidR="005E05FD" w:rsidRPr="005E05FD">
        <w:rPr>
          <w:rFonts w:ascii="Times New Roman" w:hAnsi="Times New Roman" w:cs="Times New Roman"/>
          <w:b/>
          <w:sz w:val="24"/>
          <w:szCs w:val="24"/>
        </w:rPr>
        <w:t xml:space="preserve"> </w:t>
      </w:r>
      <w:r w:rsidR="005E05FD" w:rsidRPr="005E05FD">
        <w:rPr>
          <w:rFonts w:ascii="Times New Roman" w:hAnsi="Times New Roman" w:cs="Times New Roman"/>
          <w:sz w:val="24"/>
          <w:szCs w:val="24"/>
        </w:rPr>
        <w:t>Os investimentos na infraestrutura de TI foram direcionados para: (i) Otimização do armazenamento de dados para atendimento às crescentes demandas dos sistemas, principalmente aquelas envolvendo documentos fiscais eletrônicos, tais como NFE e SPED, NFC, NFC-e; (ii) Segurança da informação com implantação de novos sistemas de controle de acesso à internet e a rede SEFA, com ampliação da solução de backup; e (iii) Aquisições contínuas e periódicas de equipamentos diversos de microinformática para atender as necessidades de todas as unidades.</w:t>
      </w:r>
    </w:p>
    <w:p w:rsidR="00C50B4D" w:rsidRPr="00046243" w:rsidRDefault="005E05FD" w:rsidP="005E05FD">
      <w:pPr>
        <w:pStyle w:val="Ttulo3"/>
        <w:spacing w:after="240" w:line="240" w:lineRule="auto"/>
        <w:ind w:left="1800"/>
        <w:rPr>
          <w:rFonts w:ascii="Times New Roman" w:hAnsi="Times New Roman" w:cs="Times New Roman"/>
          <w:color w:val="auto"/>
          <w:sz w:val="24"/>
          <w:szCs w:val="24"/>
        </w:rPr>
      </w:pPr>
      <w:bookmarkStart w:id="9" w:name="_Toc431190861"/>
      <w:r>
        <w:rPr>
          <w:rFonts w:ascii="Times New Roman" w:hAnsi="Times New Roman" w:cs="Times New Roman"/>
          <w:color w:val="auto"/>
          <w:sz w:val="24"/>
          <w:szCs w:val="24"/>
        </w:rPr>
        <w:t xml:space="preserve">b. </w:t>
      </w:r>
      <w:r w:rsidR="00C64902" w:rsidRPr="00046243">
        <w:rPr>
          <w:rFonts w:ascii="Times New Roman" w:hAnsi="Times New Roman" w:cs="Times New Roman"/>
          <w:color w:val="auto"/>
          <w:sz w:val="24"/>
          <w:szCs w:val="24"/>
        </w:rPr>
        <w:t>Resu</w:t>
      </w:r>
      <w:r w:rsidR="00FE1A1D" w:rsidRPr="00046243">
        <w:rPr>
          <w:rFonts w:ascii="Times New Roman" w:hAnsi="Times New Roman" w:cs="Times New Roman"/>
          <w:color w:val="auto"/>
          <w:sz w:val="24"/>
          <w:szCs w:val="24"/>
        </w:rPr>
        <w:t xml:space="preserve">ltados </w:t>
      </w:r>
      <w:r w:rsidR="00ED609C" w:rsidRPr="00046243">
        <w:rPr>
          <w:rFonts w:ascii="Times New Roman" w:hAnsi="Times New Roman" w:cs="Times New Roman"/>
          <w:color w:val="auto"/>
          <w:sz w:val="24"/>
          <w:szCs w:val="24"/>
        </w:rPr>
        <w:t>alcançados</w:t>
      </w:r>
      <w:bookmarkEnd w:id="9"/>
    </w:p>
    <w:p w:rsidR="00C06702" w:rsidRPr="00046243" w:rsidRDefault="00C64A48" w:rsidP="009C7A21">
      <w:pPr>
        <w:spacing w:after="240" w:line="240" w:lineRule="auto"/>
        <w:jc w:val="both"/>
        <w:rPr>
          <w:rStyle w:val="hps"/>
          <w:rFonts w:ascii="Times New Roman" w:hAnsi="Times New Roman" w:cs="Times New Roman"/>
          <w:color w:val="222222"/>
          <w:sz w:val="24"/>
          <w:szCs w:val="24"/>
          <w:lang w:val="pt-PT"/>
        </w:rPr>
      </w:pPr>
      <w:r w:rsidRPr="00046243">
        <w:rPr>
          <w:rStyle w:val="hps"/>
          <w:rFonts w:ascii="Times New Roman" w:hAnsi="Times New Roman" w:cs="Times New Roman"/>
          <w:color w:val="222222"/>
          <w:sz w:val="24"/>
          <w:szCs w:val="24"/>
          <w:lang w:val="pt-PT"/>
        </w:rPr>
        <w:t>Após adequação</w:t>
      </w:r>
      <w:r w:rsidR="006D0257">
        <w:rPr>
          <w:rStyle w:val="hps"/>
          <w:rFonts w:ascii="Times New Roman" w:hAnsi="Times New Roman" w:cs="Times New Roman"/>
          <w:color w:val="222222"/>
          <w:sz w:val="24"/>
          <w:szCs w:val="24"/>
          <w:lang w:val="pt-PT"/>
        </w:rPr>
        <w:t>,</w:t>
      </w:r>
      <w:r w:rsidRPr="00046243">
        <w:rPr>
          <w:rStyle w:val="hps"/>
          <w:rFonts w:ascii="Times New Roman" w:hAnsi="Times New Roman" w:cs="Times New Roman"/>
          <w:color w:val="222222"/>
          <w:sz w:val="24"/>
          <w:szCs w:val="24"/>
          <w:lang w:val="pt-PT"/>
        </w:rPr>
        <w:t xml:space="preserve"> o</w:t>
      </w:r>
      <w:r w:rsidR="00C06702" w:rsidRPr="00046243">
        <w:rPr>
          <w:rStyle w:val="hps"/>
          <w:rFonts w:ascii="Times New Roman" w:hAnsi="Times New Roman" w:cs="Times New Roman"/>
          <w:color w:val="222222"/>
          <w:sz w:val="24"/>
          <w:szCs w:val="24"/>
          <w:lang w:val="pt-PT"/>
        </w:rPr>
        <w:t xml:space="preserve">s indicadores e metas definidos para o Programa se mostraram adequados e suficientes para avaliação </w:t>
      </w:r>
      <w:r w:rsidRPr="00046243">
        <w:rPr>
          <w:rStyle w:val="hps"/>
          <w:rFonts w:ascii="Times New Roman" w:hAnsi="Times New Roman" w:cs="Times New Roman"/>
          <w:color w:val="222222"/>
          <w:sz w:val="24"/>
          <w:szCs w:val="24"/>
          <w:lang w:val="pt-PT"/>
        </w:rPr>
        <w:t xml:space="preserve">dos </w:t>
      </w:r>
      <w:r w:rsidR="00C06702" w:rsidRPr="00046243">
        <w:rPr>
          <w:rStyle w:val="hps"/>
          <w:rFonts w:ascii="Times New Roman" w:hAnsi="Times New Roman" w:cs="Times New Roman"/>
          <w:color w:val="222222"/>
          <w:sz w:val="24"/>
          <w:szCs w:val="24"/>
          <w:lang w:val="pt-PT"/>
        </w:rPr>
        <w:t xml:space="preserve">seus resultados, assim, não foram </w:t>
      </w:r>
      <w:r w:rsidRPr="00046243">
        <w:rPr>
          <w:rStyle w:val="hps"/>
          <w:rFonts w:ascii="Times New Roman" w:hAnsi="Times New Roman" w:cs="Times New Roman"/>
          <w:color w:val="222222"/>
          <w:sz w:val="24"/>
          <w:szCs w:val="24"/>
          <w:lang w:val="pt-PT"/>
        </w:rPr>
        <w:t xml:space="preserve">mais realizadas </w:t>
      </w:r>
      <w:r w:rsidR="00C06702" w:rsidRPr="00046243">
        <w:rPr>
          <w:rStyle w:val="hps"/>
          <w:rFonts w:ascii="Times New Roman" w:hAnsi="Times New Roman" w:cs="Times New Roman"/>
          <w:color w:val="222222"/>
          <w:sz w:val="24"/>
          <w:szCs w:val="24"/>
          <w:lang w:val="pt-PT"/>
        </w:rPr>
        <w:t xml:space="preserve">quaisquer mudanças na Matriz de Resultados do Programa. </w:t>
      </w:r>
      <w:r w:rsidR="00C06702" w:rsidRPr="00B944AD">
        <w:rPr>
          <w:rStyle w:val="hps"/>
          <w:rFonts w:ascii="Times New Roman" w:hAnsi="Times New Roman" w:cs="Times New Roman"/>
          <w:color w:val="222222"/>
          <w:sz w:val="24"/>
          <w:szCs w:val="24"/>
          <w:lang w:val="pt-PT"/>
        </w:rPr>
        <w:t>No que tange ao alcance dos objetivos específicos do Programa</w:t>
      </w:r>
      <w:r w:rsidR="006D0257">
        <w:rPr>
          <w:rStyle w:val="hps"/>
          <w:rFonts w:ascii="Times New Roman" w:hAnsi="Times New Roman" w:cs="Times New Roman"/>
          <w:color w:val="222222"/>
          <w:sz w:val="24"/>
          <w:szCs w:val="24"/>
          <w:lang w:val="pt-PT"/>
        </w:rPr>
        <w:t>,</w:t>
      </w:r>
      <w:r w:rsidR="00C06702" w:rsidRPr="00B944AD">
        <w:rPr>
          <w:rStyle w:val="hps"/>
          <w:rFonts w:ascii="Times New Roman" w:hAnsi="Times New Roman" w:cs="Times New Roman"/>
          <w:color w:val="222222"/>
          <w:sz w:val="24"/>
          <w:szCs w:val="24"/>
          <w:lang w:val="pt-PT"/>
        </w:rPr>
        <w:t xml:space="preserve"> os resultados a eles vinculados foram avaliados a partir de Notas Técnicas e Informes elaborados pelas</w:t>
      </w:r>
      <w:r w:rsidR="004566AC" w:rsidRPr="00B944AD">
        <w:rPr>
          <w:rStyle w:val="hps"/>
          <w:rFonts w:ascii="Times New Roman" w:hAnsi="Times New Roman" w:cs="Times New Roman"/>
          <w:color w:val="222222"/>
          <w:sz w:val="24"/>
          <w:szCs w:val="24"/>
          <w:lang w:val="pt-PT"/>
        </w:rPr>
        <w:t xml:space="preserve"> Unidades Operacionais da SEFA.</w:t>
      </w:r>
    </w:p>
    <w:p w:rsidR="00857A05" w:rsidRPr="00B944AD" w:rsidRDefault="006D672A" w:rsidP="009C7A21">
      <w:pPr>
        <w:spacing w:after="240" w:line="240" w:lineRule="auto"/>
        <w:jc w:val="both"/>
        <w:rPr>
          <w:rStyle w:val="hps"/>
          <w:rFonts w:ascii="Times New Roman" w:hAnsi="Times New Roman" w:cs="Times New Roman"/>
          <w:color w:val="222222"/>
          <w:sz w:val="24"/>
          <w:szCs w:val="24"/>
          <w:lang w:val="pt-PT"/>
        </w:rPr>
      </w:pPr>
      <w:r w:rsidRPr="00B944AD">
        <w:rPr>
          <w:rStyle w:val="hps"/>
          <w:rFonts w:ascii="Times New Roman" w:hAnsi="Times New Roman" w:cs="Times New Roman"/>
          <w:color w:val="222222"/>
          <w:sz w:val="24"/>
          <w:szCs w:val="24"/>
          <w:lang w:val="pt-PT"/>
        </w:rPr>
        <w:t>Conforme</w:t>
      </w:r>
      <w:r w:rsidR="006D0257">
        <w:rPr>
          <w:rStyle w:val="hps"/>
          <w:rFonts w:ascii="Times New Roman" w:hAnsi="Times New Roman" w:cs="Times New Roman"/>
          <w:color w:val="222222"/>
          <w:sz w:val="24"/>
          <w:szCs w:val="24"/>
          <w:lang w:val="pt-PT"/>
        </w:rPr>
        <w:t xml:space="preserve"> a</w:t>
      </w:r>
      <w:r w:rsidRPr="00B944AD">
        <w:rPr>
          <w:rStyle w:val="hps"/>
          <w:rFonts w:ascii="Times New Roman" w:hAnsi="Times New Roman" w:cs="Times New Roman"/>
          <w:color w:val="222222"/>
          <w:sz w:val="24"/>
          <w:szCs w:val="24"/>
          <w:lang w:val="pt-PT"/>
        </w:rPr>
        <w:t xml:space="preserve"> </w:t>
      </w:r>
      <w:r w:rsidRPr="00B944AD">
        <w:rPr>
          <w:rStyle w:val="hps"/>
          <w:rFonts w:ascii="Times New Roman" w:hAnsi="Times New Roman" w:cs="Times New Roman"/>
          <w:b/>
          <w:color w:val="222222"/>
          <w:sz w:val="24"/>
          <w:szCs w:val="24"/>
          <w:lang w:val="pt-PT"/>
        </w:rPr>
        <w:t>Matriz de Resultados</w:t>
      </w:r>
      <w:r w:rsidRPr="00B944AD">
        <w:rPr>
          <w:rStyle w:val="hps"/>
          <w:rFonts w:ascii="Times New Roman" w:hAnsi="Times New Roman" w:cs="Times New Roman"/>
          <w:color w:val="222222"/>
          <w:sz w:val="24"/>
          <w:szCs w:val="24"/>
          <w:lang w:val="pt-PT"/>
        </w:rPr>
        <w:t xml:space="preserve"> foram pactuados 5 (cinco) resultados para serem alcançados pelo projetos</w:t>
      </w:r>
      <w:r w:rsidR="00857A05" w:rsidRPr="00B944AD">
        <w:rPr>
          <w:rStyle w:val="hps"/>
          <w:rFonts w:ascii="Times New Roman" w:hAnsi="Times New Roman" w:cs="Times New Roman"/>
          <w:color w:val="222222"/>
          <w:sz w:val="24"/>
          <w:szCs w:val="24"/>
          <w:lang w:val="pt-PT"/>
        </w:rPr>
        <w:t xml:space="preserve"> até dezembro de 2014</w:t>
      </w:r>
      <w:r w:rsidRPr="00B944AD">
        <w:rPr>
          <w:rStyle w:val="hps"/>
          <w:rFonts w:ascii="Times New Roman" w:hAnsi="Times New Roman" w:cs="Times New Roman"/>
          <w:color w:val="222222"/>
          <w:sz w:val="24"/>
          <w:szCs w:val="24"/>
          <w:lang w:val="pt-PT"/>
        </w:rPr>
        <w:t xml:space="preserve">: </w:t>
      </w:r>
    </w:p>
    <w:p w:rsidR="00C34E66" w:rsidRPr="00B944AD" w:rsidRDefault="00857A05" w:rsidP="009C7A21">
      <w:pPr>
        <w:spacing w:after="240" w:line="240" w:lineRule="auto"/>
        <w:jc w:val="both"/>
        <w:rPr>
          <w:rStyle w:val="hps"/>
          <w:rFonts w:ascii="Times New Roman" w:hAnsi="Times New Roman" w:cs="Times New Roman"/>
          <w:color w:val="222222"/>
          <w:sz w:val="24"/>
          <w:szCs w:val="24"/>
          <w:lang w:val="pt-PT"/>
        </w:rPr>
      </w:pPr>
      <w:r w:rsidRPr="00B944AD">
        <w:rPr>
          <w:rStyle w:val="hps"/>
          <w:rFonts w:ascii="Times New Roman" w:hAnsi="Times New Roman" w:cs="Times New Roman"/>
          <w:b/>
          <w:color w:val="222222"/>
          <w:sz w:val="24"/>
          <w:szCs w:val="24"/>
          <w:lang w:val="pt-PT"/>
        </w:rPr>
        <w:t>R</w:t>
      </w:r>
      <w:r w:rsidR="00C34E66" w:rsidRPr="00B944AD">
        <w:rPr>
          <w:rStyle w:val="hps"/>
          <w:rFonts w:ascii="Times New Roman" w:hAnsi="Times New Roman" w:cs="Times New Roman"/>
          <w:b/>
          <w:color w:val="222222"/>
          <w:sz w:val="24"/>
          <w:szCs w:val="24"/>
          <w:lang w:val="pt-PT"/>
        </w:rPr>
        <w:t xml:space="preserve">esultado 1 – </w:t>
      </w:r>
      <w:r w:rsidR="006D672A" w:rsidRPr="00B944AD">
        <w:rPr>
          <w:rStyle w:val="hps"/>
          <w:rFonts w:ascii="Times New Roman" w:hAnsi="Times New Roman" w:cs="Times New Roman"/>
          <w:b/>
          <w:color w:val="222222"/>
          <w:sz w:val="24"/>
          <w:szCs w:val="24"/>
          <w:lang w:val="pt-PT"/>
        </w:rPr>
        <w:t>Redução do custo da administração fazendária em relação à arrecadação própria,</w:t>
      </w:r>
      <w:r w:rsidR="006D672A" w:rsidRPr="00B944AD">
        <w:rPr>
          <w:rStyle w:val="hps"/>
          <w:rFonts w:ascii="Times New Roman" w:hAnsi="Times New Roman" w:cs="Times New Roman"/>
          <w:color w:val="222222"/>
          <w:sz w:val="24"/>
          <w:szCs w:val="24"/>
          <w:lang w:val="pt-PT"/>
        </w:rPr>
        <w:t xml:space="preserve"> </w:t>
      </w:r>
      <w:r w:rsidR="00882639" w:rsidRPr="00B944AD">
        <w:rPr>
          <w:rStyle w:val="hps"/>
          <w:rFonts w:ascii="Times New Roman" w:hAnsi="Times New Roman" w:cs="Times New Roman"/>
          <w:color w:val="222222"/>
          <w:sz w:val="24"/>
          <w:szCs w:val="24"/>
          <w:lang w:val="pt-PT"/>
        </w:rPr>
        <w:t>este indicador previa uma redução dos custos da administração fazendária com relação a arrecadação de 0,0</w:t>
      </w:r>
      <w:r w:rsidR="000932CF" w:rsidRPr="00B944AD">
        <w:rPr>
          <w:rStyle w:val="hps"/>
          <w:rFonts w:ascii="Times New Roman" w:hAnsi="Times New Roman" w:cs="Times New Roman"/>
          <w:color w:val="222222"/>
          <w:sz w:val="24"/>
          <w:szCs w:val="24"/>
          <w:lang w:val="pt-PT"/>
        </w:rPr>
        <w:t>37%</w:t>
      </w:r>
      <w:r w:rsidR="00882639" w:rsidRPr="00B944AD">
        <w:rPr>
          <w:rStyle w:val="hps"/>
          <w:rFonts w:ascii="Times New Roman" w:hAnsi="Times New Roman" w:cs="Times New Roman"/>
          <w:color w:val="222222"/>
          <w:sz w:val="24"/>
          <w:szCs w:val="24"/>
          <w:lang w:val="pt-PT"/>
        </w:rPr>
        <w:t xml:space="preserve"> </w:t>
      </w:r>
      <w:r w:rsidR="004E0793" w:rsidRPr="00B944AD">
        <w:rPr>
          <w:rStyle w:val="hps"/>
          <w:rFonts w:ascii="Times New Roman" w:hAnsi="Times New Roman" w:cs="Times New Roman"/>
          <w:color w:val="222222"/>
          <w:sz w:val="24"/>
          <w:szCs w:val="24"/>
          <w:lang w:val="pt-PT"/>
        </w:rPr>
        <w:t xml:space="preserve">em 2009 </w:t>
      </w:r>
      <w:r w:rsidR="00882639" w:rsidRPr="00B944AD">
        <w:rPr>
          <w:rStyle w:val="hps"/>
          <w:rFonts w:ascii="Times New Roman" w:hAnsi="Times New Roman" w:cs="Times New Roman"/>
          <w:color w:val="222222"/>
          <w:sz w:val="24"/>
          <w:szCs w:val="24"/>
          <w:lang w:val="pt-PT"/>
        </w:rPr>
        <w:t>para 0,</w:t>
      </w:r>
      <w:r w:rsidR="000932CF" w:rsidRPr="00B944AD">
        <w:rPr>
          <w:rStyle w:val="hps"/>
          <w:rFonts w:ascii="Times New Roman" w:hAnsi="Times New Roman" w:cs="Times New Roman"/>
          <w:color w:val="222222"/>
          <w:sz w:val="24"/>
          <w:szCs w:val="24"/>
          <w:lang w:val="pt-PT"/>
        </w:rPr>
        <w:t>29% em 2014. Em 2014 a meta alcançada foi de 0,032% do custo da administração fazendária em relação à arrecadação própria.</w:t>
      </w:r>
      <w:r w:rsidR="006D672A" w:rsidRPr="00B944AD">
        <w:rPr>
          <w:rStyle w:val="hps"/>
          <w:rFonts w:ascii="Times New Roman" w:hAnsi="Times New Roman" w:cs="Times New Roman"/>
          <w:color w:val="222222"/>
          <w:sz w:val="24"/>
          <w:szCs w:val="24"/>
          <w:lang w:val="pt-PT"/>
        </w:rPr>
        <w:t xml:space="preserve"> </w:t>
      </w:r>
    </w:p>
    <w:p w:rsidR="00C34E66" w:rsidRPr="00B944AD" w:rsidRDefault="00C34E66" w:rsidP="009C7A21">
      <w:pPr>
        <w:spacing w:after="240" w:line="240" w:lineRule="auto"/>
        <w:jc w:val="both"/>
        <w:rPr>
          <w:rStyle w:val="hps"/>
          <w:rFonts w:ascii="Times New Roman" w:hAnsi="Times New Roman" w:cs="Times New Roman"/>
          <w:color w:val="222222"/>
          <w:sz w:val="24"/>
          <w:szCs w:val="24"/>
          <w:lang w:val="pt-PT"/>
        </w:rPr>
      </w:pPr>
      <w:r w:rsidRPr="00B944AD">
        <w:rPr>
          <w:rStyle w:val="hps"/>
          <w:rFonts w:ascii="Times New Roman" w:hAnsi="Times New Roman" w:cs="Times New Roman"/>
          <w:b/>
          <w:color w:val="222222"/>
          <w:sz w:val="24"/>
          <w:szCs w:val="24"/>
          <w:lang w:val="pt-PT"/>
        </w:rPr>
        <w:t xml:space="preserve">Resultado 2 – </w:t>
      </w:r>
      <w:r w:rsidR="006D672A" w:rsidRPr="00B944AD">
        <w:rPr>
          <w:rStyle w:val="hps"/>
          <w:rFonts w:ascii="Times New Roman" w:hAnsi="Times New Roman" w:cs="Times New Roman"/>
          <w:b/>
          <w:color w:val="222222"/>
          <w:sz w:val="24"/>
          <w:szCs w:val="24"/>
          <w:lang w:val="pt-PT"/>
        </w:rPr>
        <w:t>Incremento da arrecadação proveniente do segmento de comércio varejista</w:t>
      </w:r>
      <w:r w:rsidR="006D672A" w:rsidRPr="00B944AD">
        <w:rPr>
          <w:rStyle w:val="hps"/>
          <w:rFonts w:ascii="Times New Roman" w:hAnsi="Times New Roman" w:cs="Times New Roman"/>
          <w:color w:val="222222"/>
          <w:sz w:val="24"/>
          <w:szCs w:val="24"/>
          <w:lang w:val="pt-PT"/>
        </w:rPr>
        <w:t xml:space="preserve">, </w:t>
      </w:r>
      <w:r w:rsidR="000932CF" w:rsidRPr="00B944AD">
        <w:rPr>
          <w:rStyle w:val="hps"/>
          <w:rFonts w:ascii="Times New Roman" w:hAnsi="Times New Roman" w:cs="Times New Roman"/>
          <w:color w:val="222222"/>
          <w:sz w:val="24"/>
          <w:szCs w:val="24"/>
          <w:lang w:val="pt-PT"/>
        </w:rPr>
        <w:t xml:space="preserve">de R$511 milhões em 2009 para </w:t>
      </w:r>
      <w:r w:rsidRPr="00B944AD">
        <w:rPr>
          <w:rStyle w:val="hps"/>
          <w:rFonts w:ascii="Times New Roman" w:hAnsi="Times New Roman" w:cs="Times New Roman"/>
          <w:color w:val="222222"/>
          <w:sz w:val="24"/>
          <w:szCs w:val="24"/>
          <w:lang w:val="pt-PT"/>
        </w:rPr>
        <w:t>R$</w:t>
      </w:r>
      <w:r w:rsidR="00E0064C" w:rsidRPr="00B944AD">
        <w:rPr>
          <w:rStyle w:val="hps"/>
          <w:rFonts w:ascii="Times New Roman" w:hAnsi="Times New Roman" w:cs="Times New Roman"/>
          <w:color w:val="222222"/>
          <w:sz w:val="24"/>
          <w:szCs w:val="24"/>
          <w:lang w:val="pt-PT"/>
        </w:rPr>
        <w:t xml:space="preserve">870 milhões de incremento </w:t>
      </w:r>
      <w:r w:rsidR="006D672A" w:rsidRPr="00B944AD">
        <w:rPr>
          <w:rStyle w:val="hps"/>
          <w:rFonts w:ascii="Times New Roman" w:hAnsi="Times New Roman" w:cs="Times New Roman"/>
          <w:color w:val="222222"/>
          <w:sz w:val="24"/>
          <w:szCs w:val="24"/>
          <w:lang w:val="pt-PT"/>
        </w:rPr>
        <w:t>em 2014</w:t>
      </w:r>
      <w:r w:rsidR="000932CF" w:rsidRPr="00B944AD">
        <w:rPr>
          <w:rStyle w:val="hps"/>
          <w:rFonts w:ascii="Times New Roman" w:hAnsi="Times New Roman" w:cs="Times New Roman"/>
          <w:color w:val="222222"/>
          <w:sz w:val="24"/>
          <w:szCs w:val="24"/>
          <w:lang w:val="pt-PT"/>
        </w:rPr>
        <w:t xml:space="preserve">, O resultado </w:t>
      </w:r>
      <w:r w:rsidR="006D672A" w:rsidRPr="00B944AD">
        <w:rPr>
          <w:rStyle w:val="hps"/>
          <w:rFonts w:ascii="Times New Roman" w:hAnsi="Times New Roman" w:cs="Times New Roman"/>
          <w:color w:val="222222"/>
          <w:sz w:val="24"/>
          <w:szCs w:val="24"/>
          <w:lang w:val="pt-PT"/>
        </w:rPr>
        <w:t xml:space="preserve">alacançado </w:t>
      </w:r>
      <w:r w:rsidR="00E0064C" w:rsidRPr="00B944AD">
        <w:rPr>
          <w:rStyle w:val="hps"/>
          <w:rFonts w:ascii="Times New Roman" w:hAnsi="Times New Roman" w:cs="Times New Roman"/>
          <w:color w:val="222222"/>
          <w:sz w:val="24"/>
          <w:szCs w:val="24"/>
          <w:lang w:val="pt-PT"/>
        </w:rPr>
        <w:t xml:space="preserve">neste ano foi de </w:t>
      </w:r>
      <w:r w:rsidRPr="00B944AD">
        <w:rPr>
          <w:rStyle w:val="hps"/>
          <w:rFonts w:ascii="Times New Roman" w:hAnsi="Times New Roman" w:cs="Times New Roman"/>
          <w:color w:val="222222"/>
          <w:sz w:val="24"/>
          <w:szCs w:val="24"/>
          <w:lang w:val="pt-PT"/>
        </w:rPr>
        <w:t>R$</w:t>
      </w:r>
      <w:r w:rsidR="006D672A" w:rsidRPr="00B944AD">
        <w:rPr>
          <w:rStyle w:val="hps"/>
          <w:rFonts w:ascii="Times New Roman" w:hAnsi="Times New Roman" w:cs="Times New Roman"/>
          <w:color w:val="222222"/>
          <w:sz w:val="24"/>
          <w:szCs w:val="24"/>
          <w:lang w:val="pt-PT"/>
        </w:rPr>
        <w:t>910 milh</w:t>
      </w:r>
      <w:r w:rsidRPr="00B944AD">
        <w:rPr>
          <w:rStyle w:val="hps"/>
          <w:rFonts w:ascii="Times New Roman" w:hAnsi="Times New Roman" w:cs="Times New Roman"/>
          <w:color w:val="222222"/>
          <w:sz w:val="24"/>
          <w:szCs w:val="24"/>
          <w:lang w:val="pt-PT"/>
        </w:rPr>
        <w:t>ões</w:t>
      </w:r>
      <w:r w:rsidR="000932CF" w:rsidRPr="00B944AD">
        <w:rPr>
          <w:rStyle w:val="hps"/>
          <w:rFonts w:ascii="Times New Roman" w:hAnsi="Times New Roman" w:cs="Times New Roman"/>
          <w:color w:val="222222"/>
          <w:sz w:val="24"/>
          <w:szCs w:val="24"/>
          <w:lang w:val="pt-PT"/>
        </w:rPr>
        <w:t xml:space="preserve"> de arrecadação proveniente do com</w:t>
      </w:r>
      <w:r w:rsidR="0098616A" w:rsidRPr="00B944AD">
        <w:rPr>
          <w:rStyle w:val="hps"/>
          <w:rFonts w:ascii="Times New Roman" w:hAnsi="Times New Roman" w:cs="Times New Roman"/>
          <w:color w:val="222222"/>
          <w:sz w:val="24"/>
          <w:szCs w:val="24"/>
          <w:lang w:val="pt-PT"/>
        </w:rPr>
        <w:t>é</w:t>
      </w:r>
      <w:r w:rsidR="000932CF" w:rsidRPr="00B944AD">
        <w:rPr>
          <w:rStyle w:val="hps"/>
          <w:rFonts w:ascii="Times New Roman" w:hAnsi="Times New Roman" w:cs="Times New Roman"/>
          <w:color w:val="222222"/>
          <w:sz w:val="24"/>
          <w:szCs w:val="24"/>
          <w:lang w:val="pt-PT"/>
        </w:rPr>
        <w:t>rcio varegista.</w:t>
      </w:r>
      <w:r w:rsidR="006D672A" w:rsidRPr="00B944AD">
        <w:rPr>
          <w:rStyle w:val="hps"/>
          <w:rFonts w:ascii="Times New Roman" w:hAnsi="Times New Roman" w:cs="Times New Roman"/>
          <w:color w:val="222222"/>
          <w:sz w:val="24"/>
          <w:szCs w:val="24"/>
          <w:lang w:val="pt-PT"/>
        </w:rPr>
        <w:t xml:space="preserve"> </w:t>
      </w:r>
    </w:p>
    <w:p w:rsidR="00C34E66" w:rsidRPr="00B944AD" w:rsidRDefault="00C34E66" w:rsidP="009C7A21">
      <w:pPr>
        <w:spacing w:after="240" w:line="240" w:lineRule="auto"/>
        <w:jc w:val="both"/>
        <w:rPr>
          <w:rStyle w:val="hps"/>
          <w:rFonts w:ascii="Times New Roman" w:hAnsi="Times New Roman" w:cs="Times New Roman"/>
          <w:color w:val="222222"/>
          <w:sz w:val="24"/>
          <w:szCs w:val="24"/>
          <w:lang w:val="pt-PT"/>
        </w:rPr>
      </w:pPr>
      <w:r w:rsidRPr="00B944AD">
        <w:rPr>
          <w:rStyle w:val="hps"/>
          <w:rFonts w:ascii="Times New Roman" w:hAnsi="Times New Roman" w:cs="Times New Roman"/>
          <w:b/>
          <w:color w:val="222222"/>
          <w:sz w:val="24"/>
          <w:szCs w:val="24"/>
          <w:lang w:val="pt-PT"/>
        </w:rPr>
        <w:t xml:space="preserve">Resultado 3 – </w:t>
      </w:r>
      <w:r w:rsidR="006D672A" w:rsidRPr="00B944AD">
        <w:rPr>
          <w:rStyle w:val="hps"/>
          <w:rFonts w:ascii="Times New Roman" w:hAnsi="Times New Roman" w:cs="Times New Roman"/>
          <w:b/>
          <w:color w:val="222222"/>
          <w:sz w:val="24"/>
          <w:szCs w:val="24"/>
          <w:lang w:val="pt-PT"/>
        </w:rPr>
        <w:t>Aumento do nível de satisfação dos usuários dos serviços da SEFA no critério: facilidade para conseguir o serviço,</w:t>
      </w:r>
      <w:r w:rsidR="006D672A" w:rsidRPr="00B944AD">
        <w:rPr>
          <w:rStyle w:val="hps"/>
          <w:rFonts w:ascii="Times New Roman" w:hAnsi="Times New Roman" w:cs="Times New Roman"/>
          <w:color w:val="222222"/>
          <w:sz w:val="24"/>
          <w:szCs w:val="24"/>
          <w:lang w:val="pt-PT"/>
        </w:rPr>
        <w:t xml:space="preserve"> </w:t>
      </w:r>
      <w:r w:rsidR="008F655D" w:rsidRPr="00B944AD">
        <w:rPr>
          <w:rStyle w:val="hps"/>
          <w:rFonts w:ascii="Times New Roman" w:hAnsi="Times New Roman" w:cs="Times New Roman"/>
          <w:color w:val="222222"/>
          <w:sz w:val="24"/>
          <w:szCs w:val="24"/>
          <w:lang w:val="pt-PT"/>
        </w:rPr>
        <w:t xml:space="preserve">pactuou-se uma meta de </w:t>
      </w:r>
      <w:r w:rsidR="006D672A" w:rsidRPr="00B944AD">
        <w:rPr>
          <w:rStyle w:val="hps"/>
          <w:rFonts w:ascii="Times New Roman" w:hAnsi="Times New Roman" w:cs="Times New Roman"/>
          <w:color w:val="222222"/>
          <w:sz w:val="24"/>
          <w:szCs w:val="24"/>
          <w:lang w:val="pt-PT"/>
        </w:rPr>
        <w:t>88% de satisfaçõa em 2014</w:t>
      </w:r>
      <w:r w:rsidR="008F655D" w:rsidRPr="00B944AD">
        <w:rPr>
          <w:rStyle w:val="hps"/>
          <w:rFonts w:ascii="Times New Roman" w:hAnsi="Times New Roman" w:cs="Times New Roman"/>
          <w:color w:val="222222"/>
          <w:sz w:val="24"/>
          <w:szCs w:val="24"/>
          <w:lang w:val="pt-PT"/>
        </w:rPr>
        <w:t xml:space="preserve"> e o </w:t>
      </w:r>
      <w:r w:rsidR="006D672A" w:rsidRPr="00B944AD">
        <w:rPr>
          <w:rStyle w:val="hps"/>
          <w:rFonts w:ascii="Times New Roman" w:hAnsi="Times New Roman" w:cs="Times New Roman"/>
          <w:color w:val="222222"/>
          <w:sz w:val="24"/>
          <w:szCs w:val="24"/>
          <w:lang w:val="pt-PT"/>
        </w:rPr>
        <w:t xml:space="preserve">resultados alcançado </w:t>
      </w:r>
      <w:r w:rsidR="00857A05" w:rsidRPr="00B944AD">
        <w:rPr>
          <w:rStyle w:val="hps"/>
          <w:rFonts w:ascii="Times New Roman" w:hAnsi="Times New Roman" w:cs="Times New Roman"/>
          <w:color w:val="222222"/>
          <w:sz w:val="24"/>
          <w:szCs w:val="24"/>
          <w:lang w:val="pt-PT"/>
        </w:rPr>
        <w:t>neste ano foi de 94,97</w:t>
      </w:r>
      <w:r w:rsidR="008F655D" w:rsidRPr="00B944AD">
        <w:rPr>
          <w:rStyle w:val="hps"/>
          <w:rFonts w:ascii="Times New Roman" w:hAnsi="Times New Roman" w:cs="Times New Roman"/>
          <w:color w:val="222222"/>
          <w:sz w:val="24"/>
          <w:szCs w:val="24"/>
          <w:lang w:val="pt-PT"/>
        </w:rPr>
        <w:t>% de satisfação</w:t>
      </w:r>
      <w:r w:rsidR="00857A05" w:rsidRPr="00B944AD">
        <w:rPr>
          <w:rStyle w:val="hps"/>
          <w:rFonts w:ascii="Times New Roman" w:hAnsi="Times New Roman" w:cs="Times New Roman"/>
          <w:color w:val="222222"/>
          <w:sz w:val="24"/>
          <w:szCs w:val="24"/>
          <w:lang w:val="pt-PT"/>
        </w:rPr>
        <w:t xml:space="preserve"> no critério facilidade para conseguir o serviço.</w:t>
      </w:r>
      <w:r w:rsidR="008F655D" w:rsidRPr="00B944AD">
        <w:rPr>
          <w:rStyle w:val="hps"/>
          <w:rFonts w:ascii="Times New Roman" w:hAnsi="Times New Roman" w:cs="Times New Roman"/>
          <w:color w:val="222222"/>
          <w:sz w:val="24"/>
          <w:szCs w:val="24"/>
          <w:lang w:val="pt-PT"/>
        </w:rPr>
        <w:t xml:space="preserve"> </w:t>
      </w:r>
    </w:p>
    <w:p w:rsidR="00C34E66" w:rsidRPr="00B944AD" w:rsidRDefault="00C34E66" w:rsidP="009C7A21">
      <w:pPr>
        <w:spacing w:after="240" w:line="240" w:lineRule="auto"/>
        <w:jc w:val="both"/>
        <w:rPr>
          <w:rStyle w:val="hps"/>
          <w:rFonts w:ascii="Times New Roman" w:hAnsi="Times New Roman" w:cs="Times New Roman"/>
          <w:color w:val="222222"/>
          <w:sz w:val="24"/>
          <w:szCs w:val="24"/>
          <w:lang w:val="pt-PT"/>
        </w:rPr>
      </w:pPr>
      <w:r w:rsidRPr="00B944AD">
        <w:rPr>
          <w:rStyle w:val="hps"/>
          <w:rFonts w:ascii="Times New Roman" w:hAnsi="Times New Roman" w:cs="Times New Roman"/>
          <w:b/>
          <w:color w:val="222222"/>
          <w:sz w:val="24"/>
          <w:szCs w:val="24"/>
          <w:lang w:val="pt-PT"/>
        </w:rPr>
        <w:lastRenderedPageBreak/>
        <w:t xml:space="preserve">Resultado 4 – </w:t>
      </w:r>
      <w:r w:rsidR="006D672A" w:rsidRPr="00B944AD">
        <w:rPr>
          <w:rStyle w:val="hps"/>
          <w:rFonts w:ascii="Times New Roman" w:hAnsi="Times New Roman" w:cs="Times New Roman"/>
          <w:b/>
          <w:color w:val="222222"/>
          <w:sz w:val="24"/>
          <w:szCs w:val="24"/>
          <w:lang w:val="pt-PT"/>
        </w:rPr>
        <w:t>Aumento da oferta de capacitação aos servidores fazendários</w:t>
      </w:r>
      <w:r w:rsidR="006D672A" w:rsidRPr="00B944AD">
        <w:rPr>
          <w:rStyle w:val="hps"/>
          <w:rFonts w:ascii="Times New Roman" w:hAnsi="Times New Roman" w:cs="Times New Roman"/>
          <w:color w:val="222222"/>
          <w:sz w:val="24"/>
          <w:szCs w:val="24"/>
          <w:lang w:val="pt-PT"/>
        </w:rPr>
        <w:t xml:space="preserve">, </w:t>
      </w:r>
      <w:r w:rsidR="00857A05" w:rsidRPr="00B944AD">
        <w:rPr>
          <w:rStyle w:val="hps"/>
          <w:rFonts w:ascii="Times New Roman" w:hAnsi="Times New Roman" w:cs="Times New Roman"/>
          <w:color w:val="222222"/>
          <w:sz w:val="24"/>
          <w:szCs w:val="24"/>
          <w:lang w:val="pt-PT"/>
        </w:rPr>
        <w:t xml:space="preserve">pactuou-se um aumento de oferta de capacitação de 668 oportunidades em 2011 </w:t>
      </w:r>
      <w:r w:rsidR="00B944AD">
        <w:rPr>
          <w:rStyle w:val="hps"/>
          <w:rFonts w:ascii="Times New Roman" w:hAnsi="Times New Roman" w:cs="Times New Roman"/>
          <w:color w:val="222222"/>
          <w:sz w:val="24"/>
          <w:szCs w:val="24"/>
          <w:lang w:val="pt-PT"/>
        </w:rPr>
        <w:t xml:space="preserve">para </w:t>
      </w:r>
      <w:r w:rsidR="00857A05" w:rsidRPr="00B944AD">
        <w:rPr>
          <w:rStyle w:val="hps"/>
          <w:rFonts w:ascii="Times New Roman" w:hAnsi="Times New Roman" w:cs="Times New Roman"/>
          <w:color w:val="222222"/>
          <w:sz w:val="24"/>
          <w:szCs w:val="24"/>
          <w:lang w:val="pt-PT"/>
        </w:rPr>
        <w:t xml:space="preserve">960 em 2014. Neste período foram oferecidas </w:t>
      </w:r>
      <w:r w:rsidR="006D672A" w:rsidRPr="00B944AD">
        <w:rPr>
          <w:rStyle w:val="hps"/>
          <w:rFonts w:ascii="Times New Roman" w:hAnsi="Times New Roman" w:cs="Times New Roman"/>
          <w:color w:val="222222"/>
          <w:sz w:val="24"/>
          <w:szCs w:val="24"/>
          <w:lang w:val="pt-PT"/>
        </w:rPr>
        <w:t xml:space="preserve">1.557 oportunidades de capacitação para </w:t>
      </w:r>
      <w:r w:rsidR="00857A05" w:rsidRPr="00B944AD">
        <w:rPr>
          <w:rStyle w:val="hps"/>
          <w:rFonts w:ascii="Times New Roman" w:hAnsi="Times New Roman" w:cs="Times New Roman"/>
          <w:color w:val="222222"/>
          <w:sz w:val="24"/>
          <w:szCs w:val="24"/>
          <w:lang w:val="pt-PT"/>
        </w:rPr>
        <w:t xml:space="preserve">os Servidores fazendários. </w:t>
      </w:r>
      <w:r w:rsidR="006D672A" w:rsidRPr="00B944AD">
        <w:rPr>
          <w:rStyle w:val="hps"/>
          <w:rFonts w:ascii="Times New Roman" w:hAnsi="Times New Roman" w:cs="Times New Roman"/>
          <w:color w:val="222222"/>
          <w:sz w:val="24"/>
          <w:szCs w:val="24"/>
          <w:lang w:val="pt-PT"/>
        </w:rPr>
        <w:t xml:space="preserve"> </w:t>
      </w:r>
    </w:p>
    <w:p w:rsidR="006D672A" w:rsidRPr="00046243" w:rsidRDefault="00C34E66" w:rsidP="009C7A21">
      <w:pPr>
        <w:spacing w:after="240" w:line="240" w:lineRule="auto"/>
        <w:jc w:val="both"/>
        <w:rPr>
          <w:rStyle w:val="hps"/>
          <w:rFonts w:ascii="Times New Roman" w:hAnsi="Times New Roman" w:cs="Times New Roman"/>
          <w:color w:val="222222"/>
          <w:sz w:val="24"/>
          <w:szCs w:val="24"/>
          <w:lang w:val="pt-PT"/>
        </w:rPr>
      </w:pPr>
      <w:r w:rsidRPr="00B944AD">
        <w:rPr>
          <w:rStyle w:val="hps"/>
          <w:rFonts w:ascii="Times New Roman" w:hAnsi="Times New Roman" w:cs="Times New Roman"/>
          <w:b/>
          <w:color w:val="222222"/>
          <w:sz w:val="24"/>
          <w:szCs w:val="24"/>
          <w:lang w:val="pt-PT"/>
        </w:rPr>
        <w:t xml:space="preserve">Resultado 5 – </w:t>
      </w:r>
      <w:r w:rsidR="006D672A" w:rsidRPr="00B944AD">
        <w:rPr>
          <w:rStyle w:val="hps"/>
          <w:rFonts w:ascii="Times New Roman" w:hAnsi="Times New Roman" w:cs="Times New Roman"/>
          <w:b/>
          <w:color w:val="222222"/>
          <w:sz w:val="24"/>
          <w:szCs w:val="24"/>
          <w:lang w:val="pt-PT"/>
        </w:rPr>
        <w:t xml:space="preserve">Aumento do número de serviços conclusivos disponibilizados ao contribuinte, via WEB, </w:t>
      </w:r>
      <w:r w:rsidR="006D672A" w:rsidRPr="00B944AD">
        <w:rPr>
          <w:rStyle w:val="hps"/>
          <w:rFonts w:ascii="Times New Roman" w:hAnsi="Times New Roman" w:cs="Times New Roman"/>
          <w:color w:val="222222"/>
          <w:sz w:val="24"/>
          <w:szCs w:val="24"/>
          <w:lang w:val="pt-PT"/>
        </w:rPr>
        <w:t>d</w:t>
      </w:r>
      <w:r w:rsidR="0098616A" w:rsidRPr="00B944AD">
        <w:rPr>
          <w:rStyle w:val="hps"/>
          <w:rFonts w:ascii="Times New Roman" w:hAnsi="Times New Roman" w:cs="Times New Roman"/>
          <w:color w:val="222222"/>
          <w:sz w:val="24"/>
          <w:szCs w:val="24"/>
          <w:lang w:val="pt-PT"/>
        </w:rPr>
        <w:t>e 63 em 2010 para 85 em 2014</w:t>
      </w:r>
      <w:r w:rsidR="00906782" w:rsidRPr="00B944AD">
        <w:rPr>
          <w:rStyle w:val="hps"/>
          <w:rFonts w:ascii="Times New Roman" w:hAnsi="Times New Roman" w:cs="Times New Roman"/>
          <w:color w:val="222222"/>
          <w:sz w:val="24"/>
          <w:szCs w:val="24"/>
          <w:lang w:val="pt-PT"/>
        </w:rPr>
        <w:t xml:space="preserve">. Em </w:t>
      </w:r>
      <w:r w:rsidR="00857A05" w:rsidRPr="00B944AD">
        <w:rPr>
          <w:rStyle w:val="hps"/>
          <w:rFonts w:ascii="Times New Roman" w:hAnsi="Times New Roman" w:cs="Times New Roman"/>
          <w:color w:val="222222"/>
          <w:sz w:val="24"/>
          <w:szCs w:val="24"/>
          <w:lang w:val="pt-PT"/>
        </w:rPr>
        <w:t xml:space="preserve">abril de </w:t>
      </w:r>
      <w:r w:rsidR="00906782" w:rsidRPr="00B944AD">
        <w:rPr>
          <w:rStyle w:val="hps"/>
          <w:rFonts w:ascii="Times New Roman" w:hAnsi="Times New Roman" w:cs="Times New Roman"/>
          <w:color w:val="222222"/>
          <w:sz w:val="24"/>
          <w:szCs w:val="24"/>
          <w:lang w:val="pt-PT"/>
        </w:rPr>
        <w:t>201</w:t>
      </w:r>
      <w:r w:rsidR="00857A05" w:rsidRPr="00B944AD">
        <w:rPr>
          <w:rStyle w:val="hps"/>
          <w:rFonts w:ascii="Times New Roman" w:hAnsi="Times New Roman" w:cs="Times New Roman"/>
          <w:color w:val="222222"/>
          <w:sz w:val="24"/>
          <w:szCs w:val="24"/>
          <w:lang w:val="pt-PT"/>
        </w:rPr>
        <w:t>5 a SEFA disponibilizou 87 serviços via web.</w:t>
      </w:r>
    </w:p>
    <w:p w:rsidR="006D672A" w:rsidRPr="00046243" w:rsidRDefault="006D672A" w:rsidP="009C7A21">
      <w:pPr>
        <w:spacing w:after="240" w:line="240" w:lineRule="auto"/>
        <w:jc w:val="center"/>
        <w:rPr>
          <w:rFonts w:ascii="Times New Roman" w:hAnsi="Times New Roman" w:cs="Times New Roman"/>
          <w:b/>
          <w:color w:val="000000"/>
          <w:sz w:val="24"/>
          <w:szCs w:val="24"/>
        </w:rPr>
        <w:sectPr w:rsidR="006D672A" w:rsidRPr="00046243" w:rsidSect="00893603">
          <w:footerReference w:type="default" r:id="rId10"/>
          <w:pgSz w:w="12240" w:h="15840"/>
          <w:pgMar w:top="1440" w:right="1440" w:bottom="1440" w:left="1440" w:header="720" w:footer="720" w:gutter="0"/>
          <w:cols w:space="720"/>
          <w:titlePg/>
          <w:docGrid w:linePitch="360"/>
        </w:sectPr>
      </w:pPr>
      <w:r w:rsidRPr="00046243">
        <w:rPr>
          <w:rFonts w:ascii="Times New Roman" w:hAnsi="Times New Roman" w:cs="Times New Roman"/>
          <w:b/>
          <w:color w:val="000000"/>
          <w:sz w:val="24"/>
          <w:szCs w:val="24"/>
        </w:rPr>
        <w:t xml:space="preserve"> </w:t>
      </w:r>
    </w:p>
    <w:p w:rsidR="00925806" w:rsidRPr="00046243" w:rsidRDefault="00ED609C" w:rsidP="009C7A21">
      <w:pPr>
        <w:spacing w:after="240" w:line="240" w:lineRule="auto"/>
        <w:jc w:val="center"/>
        <w:rPr>
          <w:rFonts w:ascii="Times New Roman" w:hAnsi="Times New Roman" w:cs="Times New Roman"/>
          <w:b/>
          <w:color w:val="000000"/>
          <w:sz w:val="24"/>
          <w:szCs w:val="24"/>
        </w:rPr>
      </w:pPr>
      <w:r w:rsidRPr="00046243">
        <w:rPr>
          <w:rFonts w:ascii="Times New Roman" w:hAnsi="Times New Roman" w:cs="Times New Roman"/>
          <w:b/>
          <w:color w:val="000000"/>
          <w:sz w:val="24"/>
          <w:szCs w:val="24"/>
        </w:rPr>
        <w:lastRenderedPageBreak/>
        <w:t>Tabela</w:t>
      </w:r>
      <w:r w:rsidR="00925806" w:rsidRPr="00046243">
        <w:rPr>
          <w:rFonts w:ascii="Times New Roman" w:hAnsi="Times New Roman" w:cs="Times New Roman"/>
          <w:b/>
          <w:color w:val="000000"/>
          <w:sz w:val="24"/>
          <w:szCs w:val="24"/>
        </w:rPr>
        <w:t xml:space="preserve"> 1</w:t>
      </w:r>
    </w:p>
    <w:p w:rsidR="00925806" w:rsidRPr="00046243" w:rsidRDefault="00ED609C" w:rsidP="009C7A21">
      <w:pPr>
        <w:spacing w:after="240" w:line="240" w:lineRule="auto"/>
        <w:jc w:val="center"/>
        <w:rPr>
          <w:rFonts w:ascii="Times New Roman" w:hAnsi="Times New Roman" w:cs="Times New Roman"/>
          <w:b/>
          <w:color w:val="000000"/>
          <w:sz w:val="24"/>
          <w:szCs w:val="24"/>
        </w:rPr>
      </w:pPr>
      <w:r w:rsidRPr="00046243">
        <w:rPr>
          <w:rFonts w:ascii="Times New Roman" w:hAnsi="Times New Roman" w:cs="Times New Roman"/>
          <w:b/>
          <w:color w:val="000000"/>
          <w:sz w:val="24"/>
          <w:szCs w:val="24"/>
        </w:rPr>
        <w:t>Mudanças</w:t>
      </w:r>
      <w:r w:rsidR="00FE1A1D" w:rsidRPr="00046243">
        <w:rPr>
          <w:rFonts w:ascii="Times New Roman" w:hAnsi="Times New Roman" w:cs="Times New Roman"/>
          <w:b/>
          <w:color w:val="000000"/>
          <w:sz w:val="24"/>
          <w:szCs w:val="24"/>
        </w:rPr>
        <w:t xml:space="preserve"> </w:t>
      </w:r>
      <w:r w:rsidRPr="00046243">
        <w:rPr>
          <w:rFonts w:ascii="Times New Roman" w:hAnsi="Times New Roman" w:cs="Times New Roman"/>
          <w:b/>
          <w:color w:val="000000"/>
          <w:sz w:val="24"/>
          <w:szCs w:val="24"/>
        </w:rPr>
        <w:t>n</w:t>
      </w:r>
      <w:r w:rsidR="00FE1A1D" w:rsidRPr="00046243">
        <w:rPr>
          <w:rFonts w:ascii="Times New Roman" w:hAnsi="Times New Roman" w:cs="Times New Roman"/>
          <w:b/>
          <w:color w:val="000000"/>
          <w:sz w:val="24"/>
          <w:szCs w:val="24"/>
        </w:rPr>
        <w:t>a Matriz de Resultados</w:t>
      </w:r>
    </w:p>
    <w:tbl>
      <w:tblPr>
        <w:tblW w:w="1277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3"/>
        <w:gridCol w:w="3299"/>
        <w:gridCol w:w="1842"/>
        <w:gridCol w:w="2552"/>
        <w:gridCol w:w="1843"/>
        <w:gridCol w:w="1570"/>
      </w:tblGrid>
      <w:tr w:rsidR="00AA1BAE" w:rsidRPr="00B944AD" w:rsidTr="00B944AD">
        <w:trPr>
          <w:trHeight w:val="855"/>
          <w:tblHeader/>
        </w:trPr>
        <w:tc>
          <w:tcPr>
            <w:tcW w:w="1673" w:type="dxa"/>
            <w:shd w:val="clear" w:color="auto" w:fill="auto"/>
            <w:vAlign w:val="center"/>
            <w:hideMark/>
          </w:tcPr>
          <w:p w:rsidR="00AA1BAE" w:rsidRPr="00B944AD" w:rsidRDefault="00AA1BAE" w:rsidP="009C7A21">
            <w:pPr>
              <w:spacing w:after="120" w:line="240" w:lineRule="auto"/>
              <w:jc w:val="center"/>
              <w:rPr>
                <w:rFonts w:ascii="Times New Roman" w:eastAsia="Times New Roman" w:hAnsi="Times New Roman" w:cs="Times New Roman"/>
                <w:b/>
                <w:bCs/>
                <w:sz w:val="18"/>
                <w:szCs w:val="18"/>
                <w:lang w:eastAsia="pt-BR"/>
              </w:rPr>
            </w:pPr>
            <w:r w:rsidRPr="00B944AD">
              <w:rPr>
                <w:rFonts w:ascii="Times New Roman" w:hAnsi="Times New Roman" w:cs="Times New Roman"/>
                <w:b/>
                <w:sz w:val="18"/>
                <w:szCs w:val="18"/>
              </w:rPr>
              <w:t>Seção da Matriz de Resultados onde ocorreram as mudanças</w:t>
            </w:r>
          </w:p>
        </w:tc>
        <w:tc>
          <w:tcPr>
            <w:tcW w:w="3299" w:type="dxa"/>
            <w:shd w:val="clear" w:color="auto" w:fill="auto"/>
            <w:vAlign w:val="center"/>
            <w:hideMark/>
          </w:tcPr>
          <w:p w:rsidR="00AA1BAE" w:rsidRPr="00B944AD" w:rsidRDefault="00AA1BAE" w:rsidP="009C7A21">
            <w:pPr>
              <w:spacing w:after="120" w:line="240" w:lineRule="auto"/>
              <w:jc w:val="center"/>
              <w:rPr>
                <w:rFonts w:ascii="Times New Roman" w:eastAsia="Times New Roman" w:hAnsi="Times New Roman" w:cs="Times New Roman"/>
                <w:b/>
                <w:bCs/>
                <w:sz w:val="18"/>
                <w:szCs w:val="18"/>
                <w:lang w:eastAsia="pt-BR"/>
              </w:rPr>
            </w:pPr>
            <w:r w:rsidRPr="00B944AD">
              <w:rPr>
                <w:rFonts w:ascii="Times New Roman" w:hAnsi="Times New Roman" w:cs="Times New Roman"/>
                <w:b/>
                <w:sz w:val="18"/>
                <w:szCs w:val="18"/>
              </w:rPr>
              <w:t>Mudança específica realizada</w:t>
            </w:r>
          </w:p>
        </w:tc>
        <w:tc>
          <w:tcPr>
            <w:tcW w:w="1842" w:type="dxa"/>
            <w:shd w:val="clear" w:color="auto" w:fill="auto"/>
            <w:vAlign w:val="center"/>
            <w:hideMark/>
          </w:tcPr>
          <w:p w:rsidR="00AA1BAE" w:rsidRPr="00B944AD" w:rsidRDefault="00AA1BAE" w:rsidP="009C7A21">
            <w:pPr>
              <w:spacing w:after="120" w:line="240" w:lineRule="auto"/>
              <w:jc w:val="center"/>
              <w:rPr>
                <w:rFonts w:ascii="Times New Roman" w:eastAsia="Times New Roman" w:hAnsi="Times New Roman" w:cs="Times New Roman"/>
                <w:b/>
                <w:bCs/>
                <w:sz w:val="18"/>
                <w:szCs w:val="18"/>
                <w:lang w:eastAsia="pt-BR"/>
              </w:rPr>
            </w:pPr>
            <w:r w:rsidRPr="00B944AD">
              <w:rPr>
                <w:rFonts w:ascii="Times New Roman" w:hAnsi="Times New Roman" w:cs="Times New Roman"/>
                <w:b/>
                <w:sz w:val="18"/>
                <w:szCs w:val="18"/>
              </w:rPr>
              <w:t>Tipo de mudança</w:t>
            </w:r>
          </w:p>
        </w:tc>
        <w:tc>
          <w:tcPr>
            <w:tcW w:w="2552" w:type="dxa"/>
            <w:shd w:val="clear" w:color="auto" w:fill="auto"/>
            <w:vAlign w:val="center"/>
          </w:tcPr>
          <w:p w:rsidR="00AA1BAE" w:rsidRPr="00B944AD" w:rsidRDefault="00AA1BAE" w:rsidP="009C7A21">
            <w:pPr>
              <w:spacing w:after="120" w:line="240" w:lineRule="auto"/>
              <w:jc w:val="center"/>
              <w:rPr>
                <w:rFonts w:ascii="Times New Roman" w:eastAsia="Times New Roman" w:hAnsi="Times New Roman" w:cs="Times New Roman"/>
                <w:b/>
                <w:bCs/>
                <w:sz w:val="18"/>
                <w:szCs w:val="18"/>
                <w:lang w:eastAsia="pt-BR"/>
              </w:rPr>
            </w:pPr>
            <w:r w:rsidRPr="00B944AD">
              <w:rPr>
                <w:rFonts w:ascii="Times New Roman" w:hAnsi="Times New Roman" w:cs="Times New Roman"/>
                <w:b/>
                <w:sz w:val="18"/>
                <w:szCs w:val="18"/>
              </w:rPr>
              <w:t>Razões da mudança</w:t>
            </w:r>
          </w:p>
        </w:tc>
        <w:tc>
          <w:tcPr>
            <w:tcW w:w="1843" w:type="dxa"/>
            <w:shd w:val="clear" w:color="auto" w:fill="auto"/>
            <w:vAlign w:val="center"/>
            <w:hideMark/>
          </w:tcPr>
          <w:p w:rsidR="00AA1BAE" w:rsidRPr="00B944AD" w:rsidRDefault="000C05C1" w:rsidP="009C7A21">
            <w:pPr>
              <w:spacing w:after="120" w:line="240" w:lineRule="auto"/>
              <w:jc w:val="center"/>
              <w:rPr>
                <w:rFonts w:ascii="Times New Roman" w:eastAsia="Times New Roman" w:hAnsi="Times New Roman" w:cs="Times New Roman"/>
                <w:b/>
                <w:bCs/>
                <w:sz w:val="18"/>
                <w:szCs w:val="18"/>
                <w:lang w:eastAsia="pt-BR"/>
              </w:rPr>
            </w:pPr>
            <w:r w:rsidRPr="00B944AD">
              <w:rPr>
                <w:rFonts w:ascii="Times New Roman" w:hAnsi="Times New Roman" w:cs="Times New Roman"/>
                <w:b/>
                <w:sz w:val="18"/>
                <w:szCs w:val="18"/>
              </w:rPr>
              <w:t>Data da mudança</w:t>
            </w:r>
          </w:p>
        </w:tc>
        <w:tc>
          <w:tcPr>
            <w:tcW w:w="1570" w:type="dxa"/>
            <w:shd w:val="clear" w:color="auto" w:fill="auto"/>
            <w:vAlign w:val="center"/>
            <w:hideMark/>
          </w:tcPr>
          <w:p w:rsidR="00AA1BAE" w:rsidRPr="00B944AD" w:rsidRDefault="000C05C1" w:rsidP="009C7A21">
            <w:pPr>
              <w:spacing w:after="120" w:line="240" w:lineRule="auto"/>
              <w:jc w:val="center"/>
              <w:rPr>
                <w:rFonts w:ascii="Times New Roman" w:eastAsia="Times New Roman" w:hAnsi="Times New Roman" w:cs="Times New Roman"/>
                <w:b/>
                <w:bCs/>
                <w:sz w:val="18"/>
                <w:szCs w:val="18"/>
                <w:lang w:eastAsia="pt-BR"/>
              </w:rPr>
            </w:pPr>
            <w:r w:rsidRPr="00B944AD">
              <w:rPr>
                <w:rFonts w:ascii="Times New Roman" w:hAnsi="Times New Roman" w:cs="Times New Roman"/>
                <w:b/>
                <w:sz w:val="18"/>
                <w:szCs w:val="18"/>
              </w:rPr>
              <w:t>Data da mudança acordada com o órgão executor</w:t>
            </w:r>
          </w:p>
        </w:tc>
      </w:tr>
      <w:tr w:rsidR="00AA1BAE" w:rsidRPr="00B944AD" w:rsidTr="004962C7">
        <w:trPr>
          <w:trHeight w:val="1242"/>
        </w:trPr>
        <w:tc>
          <w:tcPr>
            <w:tcW w:w="1673" w:type="dxa"/>
            <w:shd w:val="clear" w:color="auto" w:fill="auto"/>
            <w:vAlign w:val="center"/>
            <w:hideMark/>
          </w:tcPr>
          <w:p w:rsidR="00AA1BAE" w:rsidRPr="00B944AD" w:rsidRDefault="001D3DB5"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 </w:t>
            </w:r>
            <w:r w:rsidR="00AA1BAE" w:rsidRPr="00B944AD">
              <w:rPr>
                <w:rFonts w:ascii="Times New Roman" w:eastAsia="Times New Roman" w:hAnsi="Times New Roman" w:cs="Times New Roman"/>
                <w:sz w:val="18"/>
                <w:szCs w:val="18"/>
                <w:lang w:eastAsia="pt-BR"/>
              </w:rPr>
              <w:t>Marco de Resultados</w:t>
            </w:r>
          </w:p>
        </w:tc>
        <w:tc>
          <w:tcPr>
            <w:tcW w:w="3299" w:type="dxa"/>
            <w:shd w:val="clear" w:color="auto" w:fill="auto"/>
            <w:vAlign w:val="center"/>
            <w:hideMark/>
          </w:tcPr>
          <w:p w:rsidR="00AA1BAE" w:rsidRPr="00B944AD" w:rsidRDefault="000C05C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descontinuado – O produto </w:t>
            </w:r>
            <w:r w:rsidR="00AA1BAE" w:rsidRPr="00B944AD">
              <w:rPr>
                <w:rFonts w:ascii="Times New Roman" w:eastAsia="Times New Roman" w:hAnsi="Times New Roman" w:cs="Times New Roman"/>
                <w:sz w:val="18"/>
                <w:szCs w:val="18"/>
                <w:lang w:eastAsia="pt-BR"/>
              </w:rPr>
              <w:t>Modelo de planejamento e gestão das políticas de fazenda implantad</w:t>
            </w:r>
            <w:r w:rsidRPr="00B944AD">
              <w:rPr>
                <w:rFonts w:ascii="Times New Roman" w:eastAsia="Times New Roman" w:hAnsi="Times New Roman" w:cs="Times New Roman"/>
                <w:sz w:val="18"/>
                <w:szCs w:val="18"/>
                <w:lang w:eastAsia="pt-BR"/>
              </w:rPr>
              <w:t>o.</w:t>
            </w:r>
            <w:r w:rsidR="001D3DB5" w:rsidRPr="00B944AD">
              <w:rPr>
                <w:rFonts w:ascii="Times New Roman" w:eastAsia="Times New Roman" w:hAnsi="Times New Roman" w:cs="Times New Roman"/>
                <w:sz w:val="18"/>
                <w:szCs w:val="18"/>
                <w:lang w:eastAsia="pt-BR"/>
              </w:rPr>
              <w:t xml:space="preserve"> Este produto foi</w:t>
            </w:r>
            <w:r w:rsidR="00C25C25" w:rsidRPr="00B944AD">
              <w:rPr>
                <w:rFonts w:ascii="Times New Roman" w:eastAsia="Times New Roman" w:hAnsi="Times New Roman" w:cs="Times New Roman"/>
                <w:sz w:val="18"/>
                <w:szCs w:val="18"/>
                <w:lang w:eastAsia="pt-BR"/>
              </w:rPr>
              <w:t xml:space="preserve"> excluído do </w:t>
            </w:r>
            <w:r w:rsidR="001D3DB5" w:rsidRPr="00B944AD">
              <w:rPr>
                <w:rFonts w:ascii="Times New Roman" w:eastAsia="Times New Roman" w:hAnsi="Times New Roman" w:cs="Times New Roman"/>
                <w:sz w:val="18"/>
                <w:szCs w:val="18"/>
                <w:lang w:eastAsia="pt-BR"/>
              </w:rPr>
              <w:t>projeto e consequentemente do Marco de Resultados</w:t>
            </w:r>
            <w:r w:rsidR="00D05950" w:rsidRPr="00B944AD">
              <w:rPr>
                <w:rFonts w:ascii="Times New Roman" w:eastAsia="Times New Roman" w:hAnsi="Times New Roman" w:cs="Times New Roman"/>
                <w:sz w:val="18"/>
                <w:szCs w:val="18"/>
                <w:lang w:eastAsia="pt-BR"/>
              </w:rPr>
              <w:t>,</w:t>
            </w:r>
            <w:r w:rsidR="00D86B24" w:rsidRPr="00B944AD">
              <w:rPr>
                <w:rFonts w:ascii="Times New Roman" w:eastAsia="Times New Roman" w:hAnsi="Times New Roman" w:cs="Times New Roman"/>
                <w:sz w:val="18"/>
                <w:szCs w:val="18"/>
                <w:lang w:eastAsia="pt-BR"/>
              </w:rPr>
              <w:t xml:space="preserve"> </w:t>
            </w:r>
            <w:r w:rsidR="001D3DB5" w:rsidRPr="00B944AD">
              <w:rPr>
                <w:rFonts w:ascii="Times New Roman" w:eastAsia="Times New Roman" w:hAnsi="Times New Roman" w:cs="Times New Roman"/>
                <w:sz w:val="18"/>
                <w:szCs w:val="18"/>
                <w:lang w:eastAsia="pt-BR"/>
              </w:rPr>
              <w:t>apesar de terem sido realizados alguns investimentos em capacitação.</w:t>
            </w:r>
          </w:p>
        </w:tc>
        <w:tc>
          <w:tcPr>
            <w:tcW w:w="1842" w:type="dxa"/>
            <w:shd w:val="clear" w:color="000000" w:fill="FFFFFF"/>
            <w:vAlign w:val="center"/>
            <w:hideMark/>
          </w:tcPr>
          <w:p w:rsidR="00AA1BAE" w:rsidRPr="00B944AD" w:rsidRDefault="00557C9A"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AA1BAE" w:rsidRPr="00B944AD" w:rsidRDefault="000C05C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Por decisão da Gestão da </w:t>
            </w:r>
            <w:r w:rsidR="001D3DB5" w:rsidRPr="00B944AD">
              <w:rPr>
                <w:rFonts w:ascii="Times New Roman" w:eastAsia="Times New Roman" w:hAnsi="Times New Roman" w:cs="Times New Roman"/>
                <w:sz w:val="18"/>
                <w:szCs w:val="18"/>
                <w:lang w:eastAsia="pt-BR"/>
              </w:rPr>
              <w:t>S</w:t>
            </w:r>
            <w:r w:rsidRPr="00B944AD">
              <w:rPr>
                <w:rFonts w:ascii="Times New Roman" w:eastAsia="Times New Roman" w:hAnsi="Times New Roman" w:cs="Times New Roman"/>
                <w:sz w:val="18"/>
                <w:szCs w:val="18"/>
                <w:lang w:eastAsia="pt-BR"/>
              </w:rPr>
              <w:t xml:space="preserve">ecretaria </w:t>
            </w:r>
            <w:r w:rsidR="00C25C25" w:rsidRPr="00B944AD">
              <w:rPr>
                <w:rFonts w:ascii="Times New Roman" w:eastAsia="Times New Roman" w:hAnsi="Times New Roman" w:cs="Times New Roman"/>
                <w:sz w:val="18"/>
                <w:szCs w:val="18"/>
                <w:lang w:eastAsia="pt-BR"/>
              </w:rPr>
              <w:t>da Fazenda do Estado o produto foi excluído</w:t>
            </w:r>
            <w:r w:rsidR="00D86B24" w:rsidRPr="00B944AD">
              <w:rPr>
                <w:rFonts w:ascii="Times New Roman" w:eastAsia="Times New Roman" w:hAnsi="Times New Roman" w:cs="Times New Roman"/>
                <w:sz w:val="18"/>
                <w:szCs w:val="18"/>
                <w:lang w:eastAsia="pt-BR"/>
              </w:rPr>
              <w:t xml:space="preserve"> </w:t>
            </w:r>
            <w:r w:rsidR="00C25C25" w:rsidRPr="00B944AD">
              <w:rPr>
                <w:rFonts w:ascii="Times New Roman" w:eastAsia="Times New Roman" w:hAnsi="Times New Roman" w:cs="Times New Roman"/>
                <w:sz w:val="18"/>
                <w:szCs w:val="18"/>
                <w:lang w:eastAsia="pt-BR"/>
              </w:rPr>
              <w:t xml:space="preserve">e será </w:t>
            </w:r>
            <w:r w:rsidRPr="00B944AD">
              <w:rPr>
                <w:rFonts w:ascii="Times New Roman" w:eastAsia="Times New Roman" w:hAnsi="Times New Roman" w:cs="Times New Roman"/>
                <w:sz w:val="18"/>
                <w:szCs w:val="18"/>
                <w:lang w:eastAsia="pt-BR"/>
              </w:rPr>
              <w:t>desenvolvido com recursos do Tesouro.</w:t>
            </w:r>
          </w:p>
        </w:tc>
        <w:tc>
          <w:tcPr>
            <w:tcW w:w="1843" w:type="dxa"/>
            <w:shd w:val="clear" w:color="000000" w:fill="FFFFFF"/>
            <w:vAlign w:val="center"/>
            <w:hideMark/>
          </w:tcPr>
          <w:p w:rsidR="00AA1BAE" w:rsidRPr="00B944AD" w:rsidRDefault="00AA1BA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AA1BAE" w:rsidRPr="00B944AD" w:rsidRDefault="00AA1BA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AA1BAE" w:rsidRPr="00B944AD" w:rsidTr="004962C7">
        <w:trPr>
          <w:trHeight w:val="1470"/>
        </w:trPr>
        <w:tc>
          <w:tcPr>
            <w:tcW w:w="1673" w:type="dxa"/>
            <w:shd w:val="clear" w:color="auto" w:fill="auto"/>
            <w:vAlign w:val="center"/>
            <w:hideMark/>
          </w:tcPr>
          <w:p w:rsidR="00AA1BAE" w:rsidRPr="00B944AD" w:rsidRDefault="00C25C25"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 e Marco de Resultado</w:t>
            </w:r>
          </w:p>
        </w:tc>
        <w:tc>
          <w:tcPr>
            <w:tcW w:w="3299" w:type="dxa"/>
            <w:shd w:val="clear" w:color="auto" w:fill="auto"/>
            <w:vAlign w:val="center"/>
            <w:hideMark/>
          </w:tcPr>
          <w:p w:rsidR="00AA1BAE" w:rsidRPr="00B944AD" w:rsidRDefault="00C25C25"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Incremento de US$ 103.908,75 provenientes de outros produtos do Componente para ampliar o escopo do produto </w:t>
            </w:r>
            <w:r w:rsidR="00AA1BAE" w:rsidRPr="00B944AD">
              <w:rPr>
                <w:rFonts w:ascii="Times New Roman" w:eastAsia="Times New Roman" w:hAnsi="Times New Roman" w:cs="Times New Roman"/>
                <w:sz w:val="18"/>
                <w:szCs w:val="18"/>
                <w:lang w:eastAsia="pt-BR"/>
              </w:rPr>
              <w:t>Modelo de estrutura organizacional e processos administrativos implementados.</w:t>
            </w:r>
          </w:p>
        </w:tc>
        <w:tc>
          <w:tcPr>
            <w:tcW w:w="1842" w:type="dxa"/>
            <w:shd w:val="clear" w:color="000000" w:fill="FFFFFF"/>
            <w:vAlign w:val="center"/>
            <w:hideMark/>
          </w:tcPr>
          <w:p w:rsidR="00AA1BAE" w:rsidRPr="00B944AD" w:rsidRDefault="00C25C25"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Orçamentária</w:t>
            </w:r>
          </w:p>
        </w:tc>
        <w:tc>
          <w:tcPr>
            <w:tcW w:w="2552" w:type="dxa"/>
            <w:shd w:val="clear" w:color="000000" w:fill="FFFFFF"/>
          </w:tcPr>
          <w:p w:rsidR="001B4DEB" w:rsidRPr="00B944AD" w:rsidRDefault="001B4DEB"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Ajuste do indicador de produto uma vez que o redesenho do processo já pressuporá a disponibilização de manuais de procedimentos.</w:t>
            </w:r>
          </w:p>
          <w:p w:rsidR="00AA1BAE" w:rsidRPr="00B944AD" w:rsidRDefault="00AA1BAE" w:rsidP="009C7A21">
            <w:pPr>
              <w:spacing w:after="120" w:line="240" w:lineRule="auto"/>
              <w:jc w:val="both"/>
              <w:rPr>
                <w:rFonts w:ascii="Times New Roman" w:eastAsia="Times New Roman" w:hAnsi="Times New Roman" w:cs="Times New Roman"/>
                <w:sz w:val="18"/>
                <w:szCs w:val="18"/>
                <w:lang w:eastAsia="pt-BR"/>
              </w:rPr>
            </w:pPr>
          </w:p>
        </w:tc>
        <w:tc>
          <w:tcPr>
            <w:tcW w:w="1843" w:type="dxa"/>
            <w:shd w:val="clear" w:color="000000" w:fill="FFFFFF"/>
            <w:vAlign w:val="center"/>
            <w:hideMark/>
          </w:tcPr>
          <w:p w:rsidR="00AA1BAE" w:rsidRPr="00B944AD" w:rsidRDefault="00AA1BA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AA1BAE" w:rsidRPr="00B944AD" w:rsidRDefault="00AA1BA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AA1BAE" w:rsidRPr="00B944AD" w:rsidTr="004962C7">
        <w:trPr>
          <w:trHeight w:val="1110"/>
        </w:trPr>
        <w:tc>
          <w:tcPr>
            <w:tcW w:w="1673" w:type="dxa"/>
            <w:shd w:val="clear" w:color="auto" w:fill="auto"/>
            <w:vAlign w:val="center"/>
            <w:hideMark/>
          </w:tcPr>
          <w:p w:rsidR="00AA1BAE" w:rsidRPr="00B944AD" w:rsidRDefault="008421F4"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 e Marco de Resultado</w:t>
            </w:r>
          </w:p>
        </w:tc>
        <w:tc>
          <w:tcPr>
            <w:tcW w:w="3299" w:type="dxa"/>
            <w:shd w:val="clear" w:color="auto" w:fill="auto"/>
            <w:hideMark/>
          </w:tcPr>
          <w:p w:rsidR="00F47E4A" w:rsidRPr="00B944AD" w:rsidRDefault="00C25C25"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Revisão da meta do produto </w:t>
            </w:r>
            <w:r w:rsidR="00AA1BAE" w:rsidRPr="00B944AD">
              <w:rPr>
                <w:rFonts w:ascii="Times New Roman" w:eastAsia="Times New Roman" w:hAnsi="Times New Roman" w:cs="Times New Roman"/>
                <w:sz w:val="18"/>
                <w:szCs w:val="18"/>
                <w:lang w:eastAsia="pt-BR"/>
              </w:rPr>
              <w:t>Programa de reestruturação física implementado</w:t>
            </w:r>
            <w:r w:rsidRPr="00B944AD">
              <w:rPr>
                <w:rFonts w:ascii="Times New Roman" w:eastAsia="Times New Roman" w:hAnsi="Times New Roman" w:cs="Times New Roman"/>
                <w:sz w:val="18"/>
                <w:szCs w:val="18"/>
                <w:lang w:eastAsia="pt-BR"/>
              </w:rPr>
              <w:t xml:space="preserve">, em função da </w:t>
            </w:r>
            <w:r w:rsidR="00AA1BAE" w:rsidRPr="00B944AD">
              <w:rPr>
                <w:rFonts w:ascii="Times New Roman" w:eastAsia="Times New Roman" w:hAnsi="Times New Roman" w:cs="Times New Roman"/>
                <w:sz w:val="18"/>
                <w:szCs w:val="18"/>
                <w:lang w:eastAsia="pt-BR"/>
              </w:rPr>
              <w:t xml:space="preserve">necessidade de realocação de recursos para outro Componente. </w:t>
            </w:r>
          </w:p>
          <w:p w:rsidR="00F47E4A" w:rsidRPr="00B944AD" w:rsidRDefault="00F47E4A" w:rsidP="009C7A21">
            <w:pPr>
              <w:spacing w:after="120" w:line="240" w:lineRule="auto"/>
              <w:jc w:val="both"/>
              <w:rPr>
                <w:rFonts w:ascii="Times New Roman" w:eastAsia="Times New Roman" w:hAnsi="Times New Roman" w:cs="Times New Roman"/>
                <w:sz w:val="18"/>
                <w:szCs w:val="18"/>
                <w:lang w:eastAsia="pt-BR"/>
              </w:rPr>
            </w:pPr>
          </w:p>
          <w:p w:rsidR="00AA1BAE" w:rsidRPr="00B944AD" w:rsidRDefault="00AA1BA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Ajuste no indicador de Produto e retirada do indicador de Resultado</w:t>
            </w:r>
            <w:r w:rsidR="00C25C25" w:rsidRPr="00B944AD">
              <w:rPr>
                <w:rFonts w:ascii="Times New Roman" w:eastAsia="Times New Roman" w:hAnsi="Times New Roman" w:cs="Times New Roman"/>
                <w:sz w:val="18"/>
                <w:szCs w:val="18"/>
                <w:lang w:eastAsia="pt-BR"/>
              </w:rPr>
              <w:t xml:space="preserve"> - </w:t>
            </w:r>
            <w:r w:rsidRPr="00B944AD">
              <w:rPr>
                <w:rFonts w:ascii="Times New Roman" w:eastAsia="Times New Roman" w:hAnsi="Times New Roman" w:cs="Times New Roman"/>
                <w:sz w:val="18"/>
                <w:szCs w:val="18"/>
                <w:lang w:eastAsia="pt-BR"/>
              </w:rPr>
              <w:t>consumo de energia elétrica.</w:t>
            </w:r>
          </w:p>
          <w:p w:rsidR="000C05C1" w:rsidRPr="00B944AD" w:rsidRDefault="000C05C1" w:rsidP="009C7A21">
            <w:pPr>
              <w:spacing w:after="120" w:line="240" w:lineRule="auto"/>
              <w:jc w:val="both"/>
              <w:rPr>
                <w:rFonts w:ascii="Times New Roman" w:eastAsia="Times New Roman" w:hAnsi="Times New Roman" w:cs="Times New Roman"/>
                <w:sz w:val="18"/>
                <w:szCs w:val="18"/>
                <w:lang w:eastAsia="pt-BR"/>
              </w:rPr>
            </w:pPr>
          </w:p>
          <w:p w:rsidR="000C05C1" w:rsidRPr="00B944AD" w:rsidRDefault="000C05C1" w:rsidP="009C7A21">
            <w:pPr>
              <w:spacing w:after="120" w:line="240" w:lineRule="auto"/>
              <w:jc w:val="both"/>
              <w:rPr>
                <w:rFonts w:ascii="Times New Roman" w:eastAsia="Times New Roman" w:hAnsi="Times New Roman" w:cs="Times New Roman"/>
                <w:sz w:val="18"/>
                <w:szCs w:val="18"/>
                <w:lang w:eastAsia="pt-BR"/>
              </w:rPr>
            </w:pPr>
          </w:p>
        </w:tc>
        <w:tc>
          <w:tcPr>
            <w:tcW w:w="1842" w:type="dxa"/>
            <w:shd w:val="clear" w:color="000000" w:fill="FFFFFF"/>
            <w:vAlign w:val="center"/>
            <w:hideMark/>
          </w:tcPr>
          <w:p w:rsidR="00AA1BAE" w:rsidRPr="00B944AD" w:rsidRDefault="00F47E4A"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Orçamentária e do indicador de resultado</w:t>
            </w:r>
          </w:p>
        </w:tc>
        <w:tc>
          <w:tcPr>
            <w:tcW w:w="2552" w:type="dxa"/>
            <w:shd w:val="clear" w:color="000000" w:fill="FFFFFF"/>
          </w:tcPr>
          <w:p w:rsidR="00AA1BAE" w:rsidRPr="00B944AD" w:rsidRDefault="000C05C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Reforço no orçamento do Projeto Fronteira </w:t>
            </w:r>
            <w:r w:rsidR="00C074DC" w:rsidRPr="00B944AD">
              <w:rPr>
                <w:rFonts w:ascii="Times New Roman" w:eastAsia="Times New Roman" w:hAnsi="Times New Roman" w:cs="Times New Roman"/>
                <w:sz w:val="18"/>
                <w:szCs w:val="18"/>
                <w:lang w:eastAsia="pt-BR"/>
              </w:rPr>
              <w:t>(Componente II - Administração T</w:t>
            </w:r>
            <w:r w:rsidRPr="00B944AD">
              <w:rPr>
                <w:rFonts w:ascii="Times New Roman" w:eastAsia="Times New Roman" w:hAnsi="Times New Roman" w:cs="Times New Roman"/>
                <w:sz w:val="18"/>
                <w:szCs w:val="18"/>
                <w:lang w:eastAsia="pt-BR"/>
              </w:rPr>
              <w:t>ributária e Contencioso Fiscal).</w:t>
            </w:r>
          </w:p>
          <w:p w:rsidR="00F47E4A" w:rsidRPr="00B944AD" w:rsidRDefault="00F47E4A" w:rsidP="009C7A21">
            <w:pPr>
              <w:spacing w:after="120" w:line="240" w:lineRule="auto"/>
              <w:jc w:val="both"/>
              <w:rPr>
                <w:rFonts w:ascii="Times New Roman" w:eastAsia="Times New Roman" w:hAnsi="Times New Roman" w:cs="Times New Roman"/>
                <w:sz w:val="18"/>
                <w:szCs w:val="18"/>
                <w:lang w:eastAsia="pt-BR"/>
              </w:rPr>
            </w:pPr>
          </w:p>
          <w:p w:rsidR="00F47E4A" w:rsidRPr="00B944AD" w:rsidRDefault="00F47E4A"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O indicador do produto foi ajustado para Número de unidades fazendárias construídas e/ou reformadas e aparelhadas.</w:t>
            </w:r>
          </w:p>
        </w:tc>
        <w:tc>
          <w:tcPr>
            <w:tcW w:w="1843" w:type="dxa"/>
            <w:shd w:val="clear" w:color="000000" w:fill="FFFFFF"/>
            <w:vAlign w:val="center"/>
            <w:hideMark/>
          </w:tcPr>
          <w:p w:rsidR="00AA1BAE" w:rsidRPr="00B944AD" w:rsidRDefault="00AA1BA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AA1BAE" w:rsidRPr="00B944AD" w:rsidRDefault="00AA1BA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88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 e Marco de Resultados</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 Modelo de gestão dos impostos IPVA e ITCD implementado.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dos Indicadores de Produto e Resultado do Marco de Resultados.</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88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lastRenderedPageBreak/>
              <w:t>Produto e Marco de Resultados</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 Modelo integrado de fiscalização implantado.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Indicador de Produto do Marco de Resultados.</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Reforço no orçamento dos demais produtos do Componente II - Administração Tributária e Contencioso Fiscal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 integração dos processos de fiscalização será promovida nos produtos Modelo de fiscalização de trânsito implantado e Modelo de fiscalização de estabelecimentos implantado.</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88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 e Marco de Resultados</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Inclusão de Produto – Nota Fiscal Cidadã implantada.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Inclusão de Novo produto</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Aumento da arrecadação nos segmentos econômicos nos quais for implantado, contribuindo para os resultados do Componente.</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Indicador: Número de segmentos econômicos enquadrados no Programa de Nota Fiscal Cidadã.</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52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 e Marco de Resultados</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Inclusão de Novo produto –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Novo sistema de controle da dívida pública implementado.</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 Novo produto inserido no Projeto.</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Inclusão de Novo produto.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Aumento no controle da dívida pública.</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88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 e Marco de Resultados</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 Portal SEFA implementado.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dos Indicadores de Produto e Resultado do Marco de Resultados.</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AA1BAE" w:rsidRPr="00B944AD" w:rsidTr="00F50FE7">
        <w:trPr>
          <w:trHeight w:val="302"/>
        </w:trPr>
        <w:tc>
          <w:tcPr>
            <w:tcW w:w="1673" w:type="dxa"/>
            <w:shd w:val="clear" w:color="auto" w:fill="auto"/>
            <w:vAlign w:val="center"/>
            <w:hideMark/>
          </w:tcPr>
          <w:p w:rsidR="00AA1BAE" w:rsidRPr="00B944AD" w:rsidRDefault="00C074DC"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w:t>
            </w:r>
          </w:p>
        </w:tc>
        <w:tc>
          <w:tcPr>
            <w:tcW w:w="3299" w:type="dxa"/>
            <w:shd w:val="clear" w:color="auto" w:fill="auto"/>
            <w:vAlign w:val="center"/>
            <w:hideMark/>
          </w:tcPr>
          <w:p w:rsidR="00AA1BAE" w:rsidRPr="00B944AD" w:rsidRDefault="00C074DC"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 excluído –</w:t>
            </w:r>
            <w:r w:rsidR="00D86B24" w:rsidRPr="00B944AD">
              <w:rPr>
                <w:rFonts w:ascii="Times New Roman" w:eastAsia="Times New Roman" w:hAnsi="Times New Roman" w:cs="Times New Roman"/>
                <w:sz w:val="18"/>
                <w:szCs w:val="18"/>
                <w:lang w:eastAsia="pt-BR"/>
              </w:rPr>
              <w:t xml:space="preserve"> </w:t>
            </w:r>
            <w:r w:rsidRPr="00B944AD">
              <w:rPr>
                <w:rFonts w:ascii="Times New Roman" w:eastAsia="Times New Roman" w:hAnsi="Times New Roman" w:cs="Times New Roman"/>
                <w:sz w:val="18"/>
                <w:szCs w:val="18"/>
                <w:lang w:eastAsia="pt-BR"/>
              </w:rPr>
              <w:t xml:space="preserve">Produto </w:t>
            </w:r>
            <w:r w:rsidR="00AA1BAE" w:rsidRPr="00B944AD">
              <w:rPr>
                <w:rFonts w:ascii="Times New Roman" w:eastAsia="Times New Roman" w:hAnsi="Times New Roman" w:cs="Times New Roman"/>
                <w:sz w:val="18"/>
                <w:szCs w:val="18"/>
                <w:lang w:eastAsia="pt-BR"/>
              </w:rPr>
              <w:t>Alianças Estratégicas firmadas</w:t>
            </w:r>
          </w:p>
        </w:tc>
        <w:tc>
          <w:tcPr>
            <w:tcW w:w="1842" w:type="dxa"/>
            <w:shd w:val="clear" w:color="000000" w:fill="FFFFFF"/>
            <w:vAlign w:val="center"/>
            <w:hideMark/>
          </w:tcPr>
          <w:p w:rsidR="00AA1BAE" w:rsidRPr="00B944AD" w:rsidRDefault="00AA1BA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AA1BAE" w:rsidRPr="00B944AD" w:rsidRDefault="00D86B24"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 não contemplado no Marco de Resultados e sua exclusão não impacta</w:t>
            </w:r>
            <w:r w:rsidR="00F0147E" w:rsidRPr="00B944AD">
              <w:rPr>
                <w:rFonts w:ascii="Times New Roman" w:eastAsia="Times New Roman" w:hAnsi="Times New Roman" w:cs="Times New Roman"/>
                <w:sz w:val="18"/>
                <w:szCs w:val="18"/>
                <w:lang w:eastAsia="pt-BR"/>
              </w:rPr>
              <w:t xml:space="preserve"> no </w:t>
            </w:r>
            <w:r w:rsidR="00F0147E" w:rsidRPr="00B944AD">
              <w:rPr>
                <w:rFonts w:ascii="Times New Roman" w:eastAsia="Times New Roman" w:hAnsi="Times New Roman" w:cs="Times New Roman"/>
                <w:sz w:val="18"/>
                <w:szCs w:val="18"/>
                <w:lang w:eastAsia="pt-BR"/>
              </w:rPr>
              <w:lastRenderedPageBreak/>
              <w:t>resultado do Componente.</w:t>
            </w:r>
          </w:p>
        </w:tc>
        <w:tc>
          <w:tcPr>
            <w:tcW w:w="1843" w:type="dxa"/>
            <w:shd w:val="clear" w:color="000000" w:fill="FFFFFF"/>
            <w:vAlign w:val="center"/>
            <w:hideMark/>
          </w:tcPr>
          <w:p w:rsidR="00AA1BAE" w:rsidRPr="00B944AD" w:rsidRDefault="00AA1BA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lastRenderedPageBreak/>
              <w:t>Ajuda Memória da Missão de Aceleração e preparação do LRR.</w:t>
            </w:r>
          </w:p>
        </w:tc>
        <w:tc>
          <w:tcPr>
            <w:tcW w:w="1570" w:type="dxa"/>
            <w:shd w:val="clear" w:color="auto" w:fill="auto"/>
            <w:vAlign w:val="center"/>
            <w:hideMark/>
          </w:tcPr>
          <w:p w:rsidR="00AA1BAE" w:rsidRPr="00B944AD" w:rsidRDefault="00AA1BA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F0147E" w:rsidRPr="00B944AD" w:rsidTr="001B4DEB">
        <w:trPr>
          <w:trHeight w:val="488"/>
        </w:trPr>
        <w:tc>
          <w:tcPr>
            <w:tcW w:w="1673" w:type="dxa"/>
            <w:shd w:val="clear" w:color="auto" w:fill="auto"/>
            <w:vAlign w:val="center"/>
            <w:hideMark/>
          </w:tcPr>
          <w:p w:rsidR="00F0147E" w:rsidRPr="00B944AD" w:rsidRDefault="00C074DC"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lastRenderedPageBreak/>
              <w:t>Componente - Orçamento</w:t>
            </w:r>
          </w:p>
        </w:tc>
        <w:tc>
          <w:tcPr>
            <w:tcW w:w="3299" w:type="dxa"/>
            <w:shd w:val="clear" w:color="000000" w:fill="FFFFFF"/>
            <w:vAlign w:val="center"/>
            <w:hideMark/>
          </w:tcPr>
          <w:p w:rsidR="00F0147E" w:rsidRPr="00B944AD" w:rsidRDefault="00C074DC"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Transferência de recursos do Componente I para o Com</w:t>
            </w:r>
            <w:r w:rsidR="00BB70C1" w:rsidRPr="00B944AD">
              <w:rPr>
                <w:rFonts w:ascii="Times New Roman" w:eastAsia="Times New Roman" w:hAnsi="Times New Roman" w:cs="Times New Roman"/>
                <w:sz w:val="18"/>
                <w:szCs w:val="18"/>
                <w:lang w:eastAsia="pt-BR"/>
              </w:rPr>
              <w:t>ponente II no valor de</w:t>
            </w:r>
            <w:r w:rsidRPr="00B944AD">
              <w:rPr>
                <w:rFonts w:ascii="Times New Roman" w:eastAsia="Times New Roman" w:hAnsi="Times New Roman" w:cs="Times New Roman"/>
                <w:sz w:val="18"/>
                <w:szCs w:val="18"/>
                <w:lang w:eastAsia="pt-BR"/>
              </w:rPr>
              <w:t xml:space="preserve"> US$ 1.422.099.</w:t>
            </w:r>
          </w:p>
        </w:tc>
        <w:tc>
          <w:tcPr>
            <w:tcW w:w="1842" w:type="dxa"/>
            <w:shd w:val="clear" w:color="000000" w:fill="FFFFFF"/>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Mudança no orçamento do Componente</w:t>
            </w:r>
          </w:p>
        </w:tc>
        <w:tc>
          <w:tcPr>
            <w:tcW w:w="2552" w:type="dxa"/>
            <w:shd w:val="clear" w:color="000000" w:fill="FFFFFF"/>
            <w:vAlign w:val="center"/>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 Componente II - Administração Tributária e Contencioso Fiscal</w:t>
            </w:r>
            <w:r w:rsidR="00E700AC" w:rsidRPr="00B944AD">
              <w:rPr>
                <w:rFonts w:ascii="Times New Roman" w:eastAsia="Times New Roman" w:hAnsi="Times New Roman" w:cs="Times New Roman"/>
                <w:sz w:val="18"/>
                <w:szCs w:val="18"/>
                <w:lang w:eastAsia="pt-BR"/>
              </w:rPr>
              <w:t>.</w:t>
            </w:r>
          </w:p>
        </w:tc>
        <w:tc>
          <w:tcPr>
            <w:tcW w:w="1843" w:type="dxa"/>
            <w:shd w:val="clear" w:color="000000" w:fill="FFFFFF"/>
            <w:vAlign w:val="center"/>
            <w:hideMark/>
          </w:tcPr>
          <w:p w:rsidR="00BB70C1"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r w:rsidR="00BB70C1" w:rsidRPr="00B944AD">
              <w:rPr>
                <w:rFonts w:ascii="Times New Roman" w:eastAsia="Times New Roman" w:hAnsi="Times New Roman" w:cs="Times New Roman"/>
                <w:sz w:val="18"/>
                <w:szCs w:val="18"/>
                <w:lang w:eastAsia="pt-BR"/>
              </w:rPr>
              <w:t xml:space="preserve"> </w:t>
            </w:r>
          </w:p>
          <w:p w:rsidR="00BB70C1" w:rsidRPr="00B944AD" w:rsidRDefault="00BB70C1" w:rsidP="009C7A21">
            <w:pPr>
              <w:spacing w:after="120" w:line="240" w:lineRule="auto"/>
              <w:jc w:val="both"/>
              <w:rPr>
                <w:rFonts w:ascii="Times New Roman" w:eastAsia="Times New Roman" w:hAnsi="Times New Roman" w:cs="Times New Roman"/>
                <w:sz w:val="18"/>
                <w:szCs w:val="18"/>
                <w:lang w:eastAsia="pt-BR"/>
              </w:rPr>
            </w:pPr>
          </w:p>
          <w:p w:rsidR="00F0147E" w:rsidRPr="00B944AD" w:rsidRDefault="00BB70C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Solicitação da UCP para SEAIN/MP e para Banco de transferência de recursos.</w:t>
            </w:r>
          </w:p>
        </w:tc>
        <w:tc>
          <w:tcPr>
            <w:tcW w:w="1570" w:type="dxa"/>
            <w:shd w:val="clear" w:color="auto" w:fill="auto"/>
            <w:vAlign w:val="center"/>
            <w:hideMark/>
          </w:tcPr>
          <w:p w:rsidR="00F0147E" w:rsidRPr="00B944AD" w:rsidRDefault="00F0147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F0147E" w:rsidRPr="00B944AD" w:rsidTr="004962C7">
        <w:trPr>
          <w:trHeight w:val="840"/>
        </w:trPr>
        <w:tc>
          <w:tcPr>
            <w:tcW w:w="1673" w:type="dxa"/>
            <w:shd w:val="clear" w:color="auto" w:fill="auto"/>
            <w:vAlign w:val="center"/>
            <w:hideMark/>
          </w:tcPr>
          <w:p w:rsidR="00F0147E" w:rsidRPr="00B944AD" w:rsidRDefault="00C074DC"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w:t>
            </w:r>
          </w:p>
        </w:tc>
        <w:tc>
          <w:tcPr>
            <w:tcW w:w="3299" w:type="dxa"/>
            <w:shd w:val="clear" w:color="auto" w:fill="auto"/>
            <w:vAlign w:val="center"/>
            <w:hideMark/>
          </w:tcPr>
          <w:p w:rsidR="00F0147E" w:rsidRPr="00B944AD" w:rsidRDefault="00C074DC"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w:t>
            </w:r>
            <w:r w:rsidR="00F0147E" w:rsidRPr="00B944AD">
              <w:rPr>
                <w:rFonts w:ascii="Times New Roman" w:eastAsia="Times New Roman" w:hAnsi="Times New Roman" w:cs="Times New Roman"/>
                <w:sz w:val="18"/>
                <w:szCs w:val="18"/>
                <w:lang w:eastAsia="pt-BR"/>
              </w:rPr>
              <w:t xml:space="preserve">- Modelo de sistematização das normas tributárias e não tributárias implementado. </w:t>
            </w:r>
          </w:p>
        </w:tc>
        <w:tc>
          <w:tcPr>
            <w:tcW w:w="1842" w:type="dxa"/>
            <w:shd w:val="clear" w:color="000000" w:fill="FFFFFF"/>
            <w:vAlign w:val="center"/>
            <w:hideMark/>
          </w:tcPr>
          <w:p w:rsidR="00F0147E" w:rsidRPr="00B944AD" w:rsidRDefault="001B4DEB"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F0147E" w:rsidRPr="00B944AD" w:rsidRDefault="004962C7"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 excluído por decisão da Gestão</w:t>
            </w:r>
            <w:r w:rsidR="00C074DC" w:rsidRPr="00B944AD">
              <w:rPr>
                <w:rFonts w:ascii="Times New Roman" w:eastAsia="Times New Roman" w:hAnsi="Times New Roman" w:cs="Times New Roman"/>
                <w:sz w:val="18"/>
                <w:szCs w:val="18"/>
                <w:lang w:eastAsia="pt-BR"/>
              </w:rPr>
              <w:t xml:space="preserve"> da Secretaria</w:t>
            </w:r>
            <w:r w:rsidRPr="00B944AD">
              <w:rPr>
                <w:rFonts w:ascii="Times New Roman" w:eastAsia="Times New Roman" w:hAnsi="Times New Roman" w:cs="Times New Roman"/>
                <w:sz w:val="18"/>
                <w:szCs w:val="18"/>
                <w:lang w:eastAsia="pt-BR"/>
              </w:rPr>
              <w:t xml:space="preserve">. </w:t>
            </w:r>
            <w:r w:rsidR="00C074DC" w:rsidRPr="00B944AD">
              <w:rPr>
                <w:rFonts w:ascii="Times New Roman" w:eastAsia="Times New Roman" w:hAnsi="Times New Roman" w:cs="Times New Roman"/>
                <w:sz w:val="18"/>
                <w:szCs w:val="18"/>
                <w:lang w:eastAsia="pt-BR"/>
              </w:rPr>
              <w:t xml:space="preserve">O mesmo não foi </w:t>
            </w:r>
            <w:r w:rsidRPr="00B944AD">
              <w:rPr>
                <w:rFonts w:ascii="Times New Roman" w:eastAsia="Times New Roman" w:hAnsi="Times New Roman" w:cs="Times New Roman"/>
                <w:sz w:val="18"/>
                <w:szCs w:val="18"/>
                <w:lang w:eastAsia="pt-BR"/>
              </w:rPr>
              <w:t>contemplado no Marco de Resultados e</w:t>
            </w:r>
            <w:r w:rsidR="00C074DC" w:rsidRPr="00B944AD">
              <w:rPr>
                <w:rFonts w:ascii="Times New Roman" w:eastAsia="Times New Roman" w:hAnsi="Times New Roman" w:cs="Times New Roman"/>
                <w:sz w:val="18"/>
                <w:szCs w:val="18"/>
                <w:lang w:eastAsia="pt-BR"/>
              </w:rPr>
              <w:t xml:space="preserve"> não </w:t>
            </w:r>
            <w:r w:rsidR="0039721A" w:rsidRPr="00B944AD">
              <w:rPr>
                <w:rFonts w:ascii="Times New Roman" w:eastAsia="Times New Roman" w:hAnsi="Times New Roman" w:cs="Times New Roman"/>
                <w:sz w:val="18"/>
                <w:szCs w:val="18"/>
                <w:lang w:eastAsia="pt-BR"/>
              </w:rPr>
              <w:t>impacta</w:t>
            </w:r>
            <w:r w:rsidRPr="00B944AD">
              <w:rPr>
                <w:rFonts w:ascii="Times New Roman" w:eastAsia="Times New Roman" w:hAnsi="Times New Roman" w:cs="Times New Roman"/>
                <w:sz w:val="18"/>
                <w:szCs w:val="18"/>
                <w:lang w:eastAsia="pt-BR"/>
              </w:rPr>
              <w:t xml:space="preserve"> diretamente nos resultados do Componente.</w:t>
            </w:r>
          </w:p>
        </w:tc>
        <w:tc>
          <w:tcPr>
            <w:tcW w:w="1843" w:type="dxa"/>
            <w:shd w:val="clear" w:color="000000" w:fill="FFFFFF"/>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F0147E" w:rsidRPr="00B944AD" w:rsidRDefault="00F0147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F0147E" w:rsidRPr="00B944AD" w:rsidTr="004962C7">
        <w:trPr>
          <w:trHeight w:val="1050"/>
        </w:trPr>
        <w:tc>
          <w:tcPr>
            <w:tcW w:w="1673" w:type="dxa"/>
            <w:shd w:val="clear" w:color="auto" w:fill="auto"/>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Marco de Resultados</w:t>
            </w:r>
          </w:p>
        </w:tc>
        <w:tc>
          <w:tcPr>
            <w:tcW w:w="3299" w:type="dxa"/>
            <w:shd w:val="clear" w:color="auto" w:fill="auto"/>
            <w:vAlign w:val="center"/>
            <w:hideMark/>
          </w:tcPr>
          <w:p w:rsidR="00F0147E" w:rsidRPr="00B944AD" w:rsidRDefault="00D86B24"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O indicador do Produto Modelo de controle de benefícios fiscais concedidos implementado foi ajustado uma vez que a implantação do sistema significará a disponibilização de 100% das informações relativas aos benefícios fiscais concedidos pelo Estado. </w:t>
            </w:r>
          </w:p>
        </w:tc>
        <w:tc>
          <w:tcPr>
            <w:tcW w:w="1842" w:type="dxa"/>
            <w:shd w:val="clear" w:color="000000" w:fill="FFFFFF"/>
            <w:vAlign w:val="center"/>
            <w:hideMark/>
          </w:tcPr>
          <w:p w:rsidR="00F0147E" w:rsidRPr="00B944AD" w:rsidRDefault="00FD0CA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Indicador </w:t>
            </w:r>
          </w:p>
        </w:tc>
        <w:tc>
          <w:tcPr>
            <w:tcW w:w="2552" w:type="dxa"/>
            <w:shd w:val="clear" w:color="000000" w:fill="FFFFFF"/>
          </w:tcPr>
          <w:p w:rsidR="00F0147E" w:rsidRPr="00B944AD" w:rsidRDefault="00FD0CA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Ampliação da consistência da meta acordada para o Produto, sem impactar o resultado do Componente.</w:t>
            </w:r>
          </w:p>
          <w:p w:rsidR="00FD0CA1" w:rsidRPr="00B944AD" w:rsidRDefault="00FD0CA1" w:rsidP="009C7A21">
            <w:pPr>
              <w:spacing w:after="120" w:line="240" w:lineRule="auto"/>
              <w:jc w:val="both"/>
              <w:rPr>
                <w:rFonts w:ascii="Times New Roman" w:eastAsia="Times New Roman" w:hAnsi="Times New Roman" w:cs="Times New Roman"/>
                <w:sz w:val="18"/>
                <w:szCs w:val="18"/>
                <w:lang w:eastAsia="pt-BR"/>
              </w:rPr>
            </w:pPr>
          </w:p>
          <w:p w:rsidR="00FD0CA1" w:rsidRPr="00B944AD" w:rsidRDefault="00FD0CA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O indicador </w:t>
            </w:r>
            <w:r w:rsidR="00C16AB8" w:rsidRPr="00B944AD">
              <w:rPr>
                <w:rFonts w:ascii="Times New Roman" w:eastAsia="Times New Roman" w:hAnsi="Times New Roman" w:cs="Times New Roman"/>
                <w:sz w:val="18"/>
                <w:szCs w:val="18"/>
                <w:lang w:eastAsia="pt-BR"/>
              </w:rPr>
              <w:t xml:space="preserve">foi modificado DE: </w:t>
            </w:r>
            <w:r w:rsidRPr="00B944AD">
              <w:rPr>
                <w:rFonts w:ascii="Times New Roman" w:eastAsia="Times New Roman" w:hAnsi="Times New Roman" w:cs="Times New Roman"/>
                <w:sz w:val="18"/>
                <w:szCs w:val="18"/>
                <w:lang w:eastAsia="pt-BR"/>
              </w:rPr>
              <w:t xml:space="preserve">Percentual de empresas com benefícios fiscais concedidos cadastradas no sistema – </w:t>
            </w:r>
            <w:r w:rsidR="00C16AB8" w:rsidRPr="00B944AD">
              <w:rPr>
                <w:rFonts w:ascii="Times New Roman" w:eastAsia="Times New Roman" w:hAnsi="Times New Roman" w:cs="Times New Roman"/>
                <w:sz w:val="18"/>
                <w:szCs w:val="18"/>
                <w:lang w:eastAsia="pt-BR"/>
              </w:rPr>
              <w:t>PARA:</w:t>
            </w:r>
            <w:r w:rsidRPr="00B944AD">
              <w:rPr>
                <w:rFonts w:ascii="Times New Roman" w:eastAsia="Times New Roman" w:hAnsi="Times New Roman" w:cs="Times New Roman"/>
                <w:sz w:val="18"/>
                <w:szCs w:val="18"/>
                <w:lang w:eastAsia="pt-BR"/>
              </w:rPr>
              <w:t xml:space="preserve"> Número de sistemas de controle de benefícios fiscais.</w:t>
            </w:r>
          </w:p>
        </w:tc>
        <w:tc>
          <w:tcPr>
            <w:tcW w:w="1843" w:type="dxa"/>
            <w:shd w:val="clear" w:color="000000" w:fill="FFFFFF"/>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F0147E" w:rsidRPr="00B944AD" w:rsidRDefault="00F0147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88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 e Marco de Resultados</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 Sistemática de Gerenciamento Eletrônico de Documentos (GED) implantada.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Indicador de Produto do Marco de Resultados.</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1260"/>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lastRenderedPageBreak/>
              <w:t xml:space="preserve">Produto e Marco de Resultados </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Inclusão de Produto – Modelo de Sistemas aplicativos de apoio à gestão administrativa e tributária. </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Inclusão de Novo produto</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Criação do Produto Sistemas aplicativos de apoio à gestão administrativa e tributária implementados (Contrapartida reconhecida). resultante da separação dos recursos previstos neste produto, entre recursos a serem utilizados no decorrer do Projeto e recursos apresentados como Contrapartida antecipada do Progefaz</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124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 e Marco de Resultados</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Inclusão de Produto – Sistemas aplicativos de apoio à gestão administrativa e tributária implementados (Contrapartida reconhecida). </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Inclusão de Novo produto</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Novo produto inserido no Projeto decorrente da divisão de recursos do Produto Modelo de Sistemas aplicativos de apoio à gestão administrativa e tributária., para separação dos recursos relativos à contrapartida antecipada do Projeto.</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840"/>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 e Marco de Resultados</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 Política de gestão de pessoas implementada.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dos Indicadores de Produto e Resultado do Marco de Resultados.</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F0147E" w:rsidRPr="00B944AD" w:rsidTr="004962C7">
        <w:trPr>
          <w:trHeight w:val="882"/>
        </w:trPr>
        <w:tc>
          <w:tcPr>
            <w:tcW w:w="1673" w:type="dxa"/>
            <w:shd w:val="clear" w:color="auto" w:fill="auto"/>
            <w:vAlign w:val="center"/>
            <w:hideMark/>
          </w:tcPr>
          <w:p w:rsidR="00F0147E" w:rsidRPr="00B944AD" w:rsidRDefault="00C16AB8"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w:t>
            </w:r>
          </w:p>
        </w:tc>
        <w:tc>
          <w:tcPr>
            <w:tcW w:w="3299" w:type="dxa"/>
            <w:shd w:val="clear" w:color="auto" w:fill="auto"/>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w:t>
            </w:r>
            <w:r w:rsidR="00C16AB8" w:rsidRPr="00B944AD">
              <w:rPr>
                <w:rFonts w:ascii="Times New Roman" w:eastAsia="Times New Roman" w:hAnsi="Times New Roman" w:cs="Times New Roman"/>
                <w:sz w:val="18"/>
                <w:szCs w:val="18"/>
                <w:lang w:eastAsia="pt-BR"/>
              </w:rPr>
              <w:t>excluído –</w:t>
            </w:r>
            <w:r w:rsidRPr="00B944AD">
              <w:rPr>
                <w:rFonts w:ascii="Times New Roman" w:eastAsia="Times New Roman" w:hAnsi="Times New Roman" w:cs="Times New Roman"/>
                <w:sz w:val="18"/>
                <w:szCs w:val="18"/>
                <w:lang w:eastAsia="pt-BR"/>
              </w:rPr>
              <w:t xml:space="preserve"> Estudos econômicos tributários e não tributários realizados. </w:t>
            </w:r>
          </w:p>
        </w:tc>
        <w:tc>
          <w:tcPr>
            <w:tcW w:w="1842" w:type="dxa"/>
            <w:shd w:val="clear" w:color="000000" w:fill="FFFFFF"/>
            <w:vAlign w:val="center"/>
            <w:hideMark/>
          </w:tcPr>
          <w:p w:rsidR="004962C7" w:rsidRPr="00B944AD" w:rsidRDefault="004962C7" w:rsidP="009C7A21">
            <w:pPr>
              <w:spacing w:after="120" w:line="240" w:lineRule="auto"/>
              <w:jc w:val="both"/>
              <w:rPr>
                <w:rFonts w:ascii="Times New Roman" w:eastAsia="Times New Roman" w:hAnsi="Times New Roman" w:cs="Times New Roman"/>
                <w:sz w:val="18"/>
                <w:szCs w:val="18"/>
                <w:lang w:eastAsia="pt-BR"/>
              </w:rPr>
            </w:pPr>
          </w:p>
          <w:p w:rsidR="00F0147E" w:rsidRPr="00B944AD" w:rsidRDefault="00C16AB8"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F0147E" w:rsidRPr="00B944AD" w:rsidRDefault="004962C7"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r w:rsidR="00C16AB8" w:rsidRPr="00B944AD">
              <w:rPr>
                <w:rFonts w:ascii="Times New Roman" w:eastAsia="Times New Roman" w:hAnsi="Times New Roman" w:cs="Times New Roman"/>
                <w:sz w:val="18"/>
                <w:szCs w:val="18"/>
                <w:lang w:eastAsia="pt-BR"/>
              </w:rPr>
              <w:t>.</w:t>
            </w:r>
          </w:p>
          <w:p w:rsidR="00C16AB8" w:rsidRPr="00B944AD" w:rsidRDefault="00C16AB8"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 não faz parte do Marco de Resultados.</w:t>
            </w:r>
          </w:p>
        </w:tc>
        <w:tc>
          <w:tcPr>
            <w:tcW w:w="1843" w:type="dxa"/>
            <w:shd w:val="clear" w:color="000000" w:fill="FFFFFF"/>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F0147E" w:rsidRPr="00B944AD" w:rsidRDefault="00F0147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88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 excluído – Modelo de gestão de convênios implantado. Produto excluído do Projeto. Não contemplado no Marco de Resultados.</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88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lastRenderedPageBreak/>
              <w:t>Produto</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 Programa de incentivo ao controle social do gasto público implantado.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do Projeto. Não contemplado no Marco de Resultados. </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88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 Modelo de gestão da Corregedoria e da Ouvidoria implementados.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 Produto excluído do Projeto. Não contemplado no Marco de Resultados. </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88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 Política de comunicação com a sociedade implementada.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do Projeto. Não contemplado no Marco de Resultados. </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88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 Política de comunicação e de segurança da informação definida e implantada.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não contemplado no Marco de Resultados. </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88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 Programa de gestão do conhecimento implementado.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Este produto não foi contemplado no Marco de Resultados. </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702"/>
        </w:trPr>
        <w:tc>
          <w:tcPr>
            <w:tcW w:w="167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lastRenderedPageBreak/>
              <w:t xml:space="preserve">Produto </w:t>
            </w:r>
          </w:p>
        </w:tc>
        <w:tc>
          <w:tcPr>
            <w:tcW w:w="3299"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Alteração do orçamento – Produto Gestão do Projeto. </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Orçamento do produto</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Alteração de valor do produto.</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000000" w:fill="FFFFFF"/>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702"/>
        </w:trPr>
        <w:tc>
          <w:tcPr>
            <w:tcW w:w="167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Produto</w:t>
            </w:r>
          </w:p>
        </w:tc>
        <w:tc>
          <w:tcPr>
            <w:tcW w:w="3299"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Alteração do orçamento – Monitoramento e avaliação.  Apenas alteração de valor do produto.</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Orçamento do produto</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Alteração de valor do produto.</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000000" w:fill="FFFFFF"/>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F0147E" w:rsidRPr="00B944AD" w:rsidTr="004962C7">
        <w:trPr>
          <w:trHeight w:val="630"/>
        </w:trPr>
        <w:tc>
          <w:tcPr>
            <w:tcW w:w="1673" w:type="dxa"/>
            <w:shd w:val="clear" w:color="auto" w:fill="auto"/>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Marco de Resultados</w:t>
            </w:r>
          </w:p>
        </w:tc>
        <w:tc>
          <w:tcPr>
            <w:tcW w:w="3299" w:type="dxa"/>
            <w:shd w:val="clear" w:color="auto" w:fill="auto"/>
            <w:vAlign w:val="center"/>
            <w:hideMark/>
          </w:tcPr>
          <w:p w:rsidR="00F0147E" w:rsidRPr="00B944AD" w:rsidRDefault="00896A15"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O produto </w:t>
            </w:r>
            <w:r w:rsidR="00F0147E" w:rsidRPr="00B944AD">
              <w:rPr>
                <w:rFonts w:ascii="Times New Roman" w:eastAsia="Times New Roman" w:hAnsi="Times New Roman" w:cs="Times New Roman"/>
                <w:sz w:val="18"/>
                <w:szCs w:val="18"/>
                <w:lang w:eastAsia="pt-BR"/>
              </w:rPr>
              <w:t>Modelo de fisc</w:t>
            </w:r>
            <w:r w:rsidRPr="00B944AD">
              <w:rPr>
                <w:rFonts w:ascii="Times New Roman" w:eastAsia="Times New Roman" w:hAnsi="Times New Roman" w:cs="Times New Roman"/>
                <w:sz w:val="18"/>
                <w:szCs w:val="18"/>
                <w:lang w:eastAsia="pt-BR"/>
              </w:rPr>
              <w:t>alização de trânsito implantado teve o seu indicador inserido no Marco de Resultado.</w:t>
            </w:r>
            <w:r w:rsidR="00F0147E" w:rsidRPr="00B944AD">
              <w:rPr>
                <w:rFonts w:ascii="Times New Roman" w:eastAsia="Times New Roman" w:hAnsi="Times New Roman" w:cs="Times New Roman"/>
                <w:sz w:val="18"/>
                <w:szCs w:val="18"/>
                <w:lang w:eastAsia="pt-BR"/>
              </w:rPr>
              <w:t xml:space="preserve"> </w:t>
            </w:r>
          </w:p>
        </w:tc>
        <w:tc>
          <w:tcPr>
            <w:tcW w:w="1842" w:type="dxa"/>
            <w:shd w:val="clear" w:color="000000" w:fill="FFFFFF"/>
            <w:vAlign w:val="center"/>
            <w:hideMark/>
          </w:tcPr>
          <w:p w:rsidR="00F0147E" w:rsidRPr="00B944AD" w:rsidRDefault="00896A15"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Inclusão do I</w:t>
            </w:r>
            <w:r w:rsidR="00204B1C" w:rsidRPr="00B944AD">
              <w:rPr>
                <w:rFonts w:ascii="Times New Roman" w:eastAsia="Times New Roman" w:hAnsi="Times New Roman" w:cs="Times New Roman"/>
                <w:sz w:val="18"/>
                <w:szCs w:val="18"/>
                <w:lang w:eastAsia="pt-BR"/>
              </w:rPr>
              <w:t>ndicador de Produto no Marco de Resultados</w:t>
            </w:r>
          </w:p>
        </w:tc>
        <w:tc>
          <w:tcPr>
            <w:tcW w:w="2552" w:type="dxa"/>
            <w:shd w:val="clear" w:color="000000" w:fill="FFFFFF"/>
          </w:tcPr>
          <w:p w:rsidR="00F0147E" w:rsidRPr="00B944AD" w:rsidRDefault="00204B1C"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Maior controle da entrada de veículos nas fronteiras do Estado.</w:t>
            </w:r>
          </w:p>
        </w:tc>
        <w:tc>
          <w:tcPr>
            <w:tcW w:w="1843" w:type="dxa"/>
            <w:shd w:val="clear" w:color="000000" w:fill="FFFFFF"/>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F0147E" w:rsidRPr="00B944AD" w:rsidRDefault="00F0147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F0147E" w:rsidRPr="00B944AD" w:rsidTr="004962C7">
        <w:trPr>
          <w:trHeight w:val="882"/>
        </w:trPr>
        <w:tc>
          <w:tcPr>
            <w:tcW w:w="1673" w:type="dxa"/>
            <w:shd w:val="clear" w:color="auto" w:fill="auto"/>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Marco de Resultados</w:t>
            </w:r>
          </w:p>
        </w:tc>
        <w:tc>
          <w:tcPr>
            <w:tcW w:w="3299" w:type="dxa"/>
            <w:shd w:val="clear" w:color="auto" w:fill="auto"/>
            <w:vAlign w:val="center"/>
            <w:hideMark/>
          </w:tcPr>
          <w:p w:rsidR="00204B1C" w:rsidRPr="00B944AD" w:rsidRDefault="007C146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 </w:t>
            </w:r>
            <w:r w:rsidR="00F0147E" w:rsidRPr="00B944AD">
              <w:rPr>
                <w:rFonts w:ascii="Times New Roman" w:eastAsia="Times New Roman" w:hAnsi="Times New Roman" w:cs="Times New Roman"/>
                <w:sz w:val="18"/>
                <w:szCs w:val="18"/>
                <w:lang w:eastAsia="pt-BR"/>
              </w:rPr>
              <w:t xml:space="preserve">Procedimentos da SEFA adaptados à Lei de Micro Empresa LC123. </w:t>
            </w:r>
          </w:p>
          <w:p w:rsidR="007C146E" w:rsidRPr="00B944AD" w:rsidRDefault="007C146E" w:rsidP="009C7A21">
            <w:pPr>
              <w:spacing w:after="120" w:line="240" w:lineRule="auto"/>
              <w:jc w:val="both"/>
              <w:rPr>
                <w:rFonts w:ascii="Times New Roman" w:eastAsia="Times New Roman" w:hAnsi="Times New Roman" w:cs="Times New Roman"/>
                <w:sz w:val="18"/>
                <w:szCs w:val="18"/>
                <w:lang w:eastAsia="pt-BR"/>
              </w:rPr>
            </w:pPr>
          </w:p>
          <w:p w:rsidR="00F0147E" w:rsidRPr="00B944AD" w:rsidRDefault="007C146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dos Indicadores de Resultado do Marco de Resultados.</w:t>
            </w:r>
          </w:p>
        </w:tc>
        <w:tc>
          <w:tcPr>
            <w:tcW w:w="1842" w:type="dxa"/>
            <w:shd w:val="clear" w:color="000000" w:fill="FFFFFF"/>
            <w:vAlign w:val="center"/>
            <w:hideMark/>
          </w:tcPr>
          <w:p w:rsidR="00F0147E" w:rsidRPr="00B944AD" w:rsidRDefault="000D5C8A"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F0147E" w:rsidRPr="00B944AD" w:rsidRDefault="00204B1C"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F0147E" w:rsidRPr="00B944AD" w:rsidRDefault="00F0147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4962C7">
        <w:trPr>
          <w:trHeight w:val="882"/>
        </w:trPr>
        <w:tc>
          <w:tcPr>
            <w:tcW w:w="1673" w:type="dxa"/>
            <w:vMerge w:val="restart"/>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Marco de Resultados</w:t>
            </w:r>
          </w:p>
        </w:tc>
        <w:tc>
          <w:tcPr>
            <w:tcW w:w="3299" w:type="dxa"/>
            <w:vMerge w:val="restart"/>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 Modelo de recolhimento de impostos por meios alternativos implementado. </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vMerge w:val="restart"/>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vMerge w:val="restart"/>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vMerge w:val="restart"/>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4962C7">
        <w:trPr>
          <w:trHeight w:val="882"/>
        </w:trPr>
        <w:tc>
          <w:tcPr>
            <w:tcW w:w="1673" w:type="dxa"/>
            <w:vMerge/>
            <w:shd w:val="clear" w:color="auto" w:fill="auto"/>
            <w:vAlign w:val="center"/>
            <w:hideMark/>
          </w:tcPr>
          <w:p w:rsidR="004703B1" w:rsidRPr="00B944AD" w:rsidRDefault="004703B1" w:rsidP="009C7A21">
            <w:pPr>
              <w:spacing w:after="120" w:line="240" w:lineRule="auto"/>
              <w:rPr>
                <w:rFonts w:ascii="Times New Roman" w:eastAsia="Times New Roman" w:hAnsi="Times New Roman" w:cs="Times New Roman"/>
                <w:sz w:val="18"/>
                <w:szCs w:val="18"/>
                <w:lang w:eastAsia="pt-BR"/>
              </w:rPr>
            </w:pPr>
          </w:p>
        </w:tc>
        <w:tc>
          <w:tcPr>
            <w:tcW w:w="3299" w:type="dxa"/>
            <w:vMerge/>
            <w:shd w:val="clear" w:color="auto" w:fill="auto"/>
            <w:vAlign w:val="center"/>
            <w:hideMark/>
          </w:tcPr>
          <w:p w:rsidR="004703B1" w:rsidRPr="00B944AD" w:rsidRDefault="004703B1" w:rsidP="009C7A21">
            <w:pPr>
              <w:spacing w:after="120" w:line="240" w:lineRule="auto"/>
              <w:rPr>
                <w:rFonts w:ascii="Times New Roman" w:eastAsia="Times New Roman" w:hAnsi="Times New Roman" w:cs="Times New Roman"/>
                <w:sz w:val="18"/>
                <w:szCs w:val="18"/>
                <w:lang w:eastAsia="pt-BR"/>
              </w:rPr>
            </w:pPr>
          </w:p>
        </w:tc>
        <w:tc>
          <w:tcPr>
            <w:tcW w:w="1842" w:type="dxa"/>
            <w:shd w:val="clear" w:color="000000" w:fill="FFFFFF"/>
            <w:vAlign w:val="center"/>
            <w:hideMark/>
          </w:tcPr>
          <w:p w:rsidR="004703B1" w:rsidRPr="00B944AD" w:rsidRDefault="004703B1" w:rsidP="009C7A21">
            <w:pPr>
              <w:spacing w:after="120" w:line="240" w:lineRule="auto"/>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Indicador de Produto inserido no Marco de Resultados.</w:t>
            </w:r>
          </w:p>
        </w:tc>
        <w:tc>
          <w:tcPr>
            <w:tcW w:w="2552" w:type="dxa"/>
            <w:vMerge/>
            <w:shd w:val="clear" w:color="000000" w:fill="FFFFFF"/>
          </w:tcPr>
          <w:p w:rsidR="004703B1" w:rsidRPr="00B944AD" w:rsidRDefault="004703B1" w:rsidP="009C7A21">
            <w:pPr>
              <w:spacing w:after="120" w:line="240" w:lineRule="auto"/>
              <w:rPr>
                <w:rFonts w:ascii="Times New Roman" w:eastAsia="Times New Roman" w:hAnsi="Times New Roman" w:cs="Times New Roman"/>
                <w:sz w:val="18"/>
                <w:szCs w:val="18"/>
                <w:lang w:eastAsia="pt-BR"/>
              </w:rPr>
            </w:pPr>
          </w:p>
        </w:tc>
        <w:tc>
          <w:tcPr>
            <w:tcW w:w="1843" w:type="dxa"/>
            <w:vMerge/>
            <w:shd w:val="clear" w:color="000000" w:fill="FFFFFF"/>
            <w:vAlign w:val="center"/>
            <w:hideMark/>
          </w:tcPr>
          <w:p w:rsidR="004703B1" w:rsidRPr="00B944AD" w:rsidRDefault="004703B1" w:rsidP="009C7A21">
            <w:pPr>
              <w:spacing w:after="120" w:line="240" w:lineRule="auto"/>
              <w:rPr>
                <w:rFonts w:ascii="Times New Roman" w:eastAsia="Times New Roman" w:hAnsi="Times New Roman" w:cs="Times New Roman"/>
                <w:sz w:val="18"/>
                <w:szCs w:val="18"/>
                <w:lang w:eastAsia="pt-BR"/>
              </w:rPr>
            </w:pPr>
          </w:p>
        </w:tc>
        <w:tc>
          <w:tcPr>
            <w:tcW w:w="1570" w:type="dxa"/>
            <w:vMerge/>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p>
        </w:tc>
      </w:tr>
      <w:tr w:rsidR="00F0147E" w:rsidRPr="00B944AD" w:rsidTr="004962C7">
        <w:trPr>
          <w:trHeight w:val="702"/>
        </w:trPr>
        <w:tc>
          <w:tcPr>
            <w:tcW w:w="1673" w:type="dxa"/>
            <w:shd w:val="clear" w:color="auto" w:fill="auto"/>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Marco de Resultados</w:t>
            </w:r>
          </w:p>
        </w:tc>
        <w:tc>
          <w:tcPr>
            <w:tcW w:w="3299" w:type="dxa"/>
            <w:shd w:val="clear" w:color="auto" w:fill="auto"/>
            <w:vAlign w:val="center"/>
            <w:hideMark/>
          </w:tcPr>
          <w:p w:rsidR="00204B1C" w:rsidRPr="00B944AD" w:rsidRDefault="00DB7C3A"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Indicador do Produto – </w:t>
            </w:r>
            <w:r w:rsidR="00F0147E" w:rsidRPr="00B944AD">
              <w:rPr>
                <w:rFonts w:ascii="Times New Roman" w:eastAsia="Times New Roman" w:hAnsi="Times New Roman" w:cs="Times New Roman"/>
                <w:sz w:val="18"/>
                <w:szCs w:val="18"/>
                <w:lang w:eastAsia="pt-BR"/>
              </w:rPr>
              <w:t xml:space="preserve">Modelo do Cadastro Sincronizado implementado. </w:t>
            </w:r>
          </w:p>
          <w:p w:rsidR="00204B1C" w:rsidRPr="00B944AD" w:rsidRDefault="00204B1C" w:rsidP="009C7A21">
            <w:pPr>
              <w:spacing w:after="120" w:line="240" w:lineRule="auto"/>
              <w:jc w:val="both"/>
              <w:rPr>
                <w:rFonts w:ascii="Times New Roman" w:eastAsia="Times New Roman" w:hAnsi="Times New Roman" w:cs="Times New Roman"/>
                <w:sz w:val="18"/>
                <w:szCs w:val="18"/>
                <w:lang w:eastAsia="pt-BR"/>
              </w:rPr>
            </w:pPr>
          </w:p>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Ajuste </w:t>
            </w:r>
            <w:r w:rsidR="00DB7C3A" w:rsidRPr="00B944AD">
              <w:rPr>
                <w:rFonts w:ascii="Times New Roman" w:eastAsia="Times New Roman" w:hAnsi="Times New Roman" w:cs="Times New Roman"/>
                <w:sz w:val="18"/>
                <w:szCs w:val="18"/>
                <w:lang w:eastAsia="pt-BR"/>
              </w:rPr>
              <w:t>do I</w:t>
            </w:r>
            <w:r w:rsidRPr="00B944AD">
              <w:rPr>
                <w:rFonts w:ascii="Times New Roman" w:eastAsia="Times New Roman" w:hAnsi="Times New Roman" w:cs="Times New Roman"/>
                <w:sz w:val="18"/>
                <w:szCs w:val="18"/>
                <w:lang w:eastAsia="pt-BR"/>
              </w:rPr>
              <w:t>ndicador de Produto, uma vez que já foi integrado com a Receita Federal do Brasil - RFB.</w:t>
            </w:r>
          </w:p>
        </w:tc>
        <w:tc>
          <w:tcPr>
            <w:tcW w:w="1842" w:type="dxa"/>
            <w:shd w:val="clear" w:color="000000" w:fill="FFFFFF"/>
            <w:vAlign w:val="center"/>
            <w:hideMark/>
          </w:tcPr>
          <w:p w:rsidR="00F0147E" w:rsidRPr="00B944AD" w:rsidRDefault="004D76F7"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Indicador do produto</w:t>
            </w:r>
          </w:p>
        </w:tc>
        <w:tc>
          <w:tcPr>
            <w:tcW w:w="2552" w:type="dxa"/>
            <w:shd w:val="clear" w:color="000000" w:fill="FFFFFF"/>
          </w:tcPr>
          <w:p w:rsidR="00F0147E" w:rsidRPr="00B944AD" w:rsidRDefault="00204B1C"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Aumento do escopo de integração do cadastro da SEFA, agora com a Junta Comercial do Estado do Pará.</w:t>
            </w:r>
          </w:p>
        </w:tc>
        <w:tc>
          <w:tcPr>
            <w:tcW w:w="1843" w:type="dxa"/>
            <w:shd w:val="clear" w:color="000000" w:fill="FFFFFF"/>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F0147E" w:rsidRPr="00B944AD" w:rsidRDefault="00F0147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F0147E" w:rsidRPr="00B944AD" w:rsidTr="004962C7">
        <w:trPr>
          <w:trHeight w:val="882"/>
        </w:trPr>
        <w:tc>
          <w:tcPr>
            <w:tcW w:w="1673" w:type="dxa"/>
            <w:shd w:val="clear" w:color="auto" w:fill="auto"/>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Marco de Resultados</w:t>
            </w:r>
          </w:p>
        </w:tc>
        <w:tc>
          <w:tcPr>
            <w:tcW w:w="3299" w:type="dxa"/>
            <w:shd w:val="clear" w:color="auto" w:fill="auto"/>
            <w:vAlign w:val="center"/>
            <w:hideMark/>
          </w:tcPr>
          <w:p w:rsidR="00F0147E" w:rsidRPr="00B944AD" w:rsidRDefault="00DB7C3A"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Indicador do Produto </w:t>
            </w:r>
            <w:r w:rsidR="00F0147E" w:rsidRPr="00B944AD">
              <w:rPr>
                <w:rFonts w:ascii="Times New Roman" w:eastAsia="Times New Roman" w:hAnsi="Times New Roman" w:cs="Times New Roman"/>
                <w:sz w:val="18"/>
                <w:szCs w:val="18"/>
                <w:lang w:eastAsia="pt-BR"/>
              </w:rPr>
              <w:t xml:space="preserve">Modelo de Nota Fiscal Eletrônica implantada. </w:t>
            </w:r>
          </w:p>
        </w:tc>
        <w:tc>
          <w:tcPr>
            <w:tcW w:w="1842" w:type="dxa"/>
            <w:shd w:val="clear" w:color="000000" w:fill="FFFFFF"/>
            <w:vAlign w:val="center"/>
            <w:hideMark/>
          </w:tcPr>
          <w:p w:rsidR="00F0147E" w:rsidRPr="00B944AD" w:rsidRDefault="00DB7C3A"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Indicador do produto</w:t>
            </w:r>
          </w:p>
        </w:tc>
        <w:tc>
          <w:tcPr>
            <w:tcW w:w="2552" w:type="dxa"/>
            <w:shd w:val="clear" w:color="000000" w:fill="FFFFFF"/>
          </w:tcPr>
          <w:p w:rsidR="00DB7C3A" w:rsidRPr="00B944AD" w:rsidRDefault="00204B1C"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Melhor monitoramento do Indicador de Produto.</w:t>
            </w:r>
          </w:p>
          <w:p w:rsidR="00DB7C3A" w:rsidRPr="00B944AD" w:rsidRDefault="00DB7C3A" w:rsidP="009C7A21">
            <w:pPr>
              <w:spacing w:after="120" w:line="240" w:lineRule="auto"/>
              <w:jc w:val="both"/>
              <w:rPr>
                <w:rFonts w:ascii="Times New Roman" w:eastAsia="Times New Roman" w:hAnsi="Times New Roman" w:cs="Times New Roman"/>
                <w:sz w:val="18"/>
                <w:szCs w:val="18"/>
                <w:lang w:eastAsia="pt-BR"/>
              </w:rPr>
            </w:pPr>
          </w:p>
          <w:p w:rsidR="00DB7C3A" w:rsidRPr="00B944AD" w:rsidRDefault="00DB7C3A"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Ajuste do Indicador de Produto: </w:t>
            </w:r>
            <w:r w:rsidRPr="00B944AD">
              <w:rPr>
                <w:rFonts w:ascii="Times New Roman" w:eastAsia="Times New Roman" w:hAnsi="Times New Roman" w:cs="Times New Roman"/>
                <w:sz w:val="18"/>
                <w:szCs w:val="18"/>
                <w:lang w:eastAsia="pt-BR"/>
              </w:rPr>
              <w:lastRenderedPageBreak/>
              <w:t xml:space="preserve">de segmentos econômicos para atividades econômicas. </w:t>
            </w:r>
          </w:p>
          <w:p w:rsidR="00DB7C3A" w:rsidRPr="00B944AD" w:rsidRDefault="00DB7C3A" w:rsidP="009C7A21">
            <w:pPr>
              <w:spacing w:after="120" w:line="240" w:lineRule="auto"/>
              <w:jc w:val="both"/>
              <w:rPr>
                <w:rFonts w:ascii="Times New Roman" w:eastAsia="Times New Roman" w:hAnsi="Times New Roman" w:cs="Times New Roman"/>
                <w:sz w:val="18"/>
                <w:szCs w:val="18"/>
                <w:lang w:eastAsia="pt-BR"/>
              </w:rPr>
            </w:pPr>
          </w:p>
          <w:p w:rsidR="00F0147E" w:rsidRPr="00B944AD" w:rsidRDefault="00DB7C3A"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Ajuste na meta do Indicador de Resultado em função dos resultados já obtidos.</w:t>
            </w:r>
          </w:p>
        </w:tc>
        <w:tc>
          <w:tcPr>
            <w:tcW w:w="1843" w:type="dxa"/>
            <w:shd w:val="clear" w:color="000000" w:fill="FFFFFF"/>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lastRenderedPageBreak/>
              <w:t>Ajuda Memória da Missão de Aceleração e preparação do LRR.</w:t>
            </w:r>
          </w:p>
        </w:tc>
        <w:tc>
          <w:tcPr>
            <w:tcW w:w="1570" w:type="dxa"/>
            <w:shd w:val="clear" w:color="auto" w:fill="auto"/>
            <w:vAlign w:val="center"/>
            <w:hideMark/>
          </w:tcPr>
          <w:p w:rsidR="00F0147E" w:rsidRPr="00B944AD" w:rsidRDefault="00F0147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F0147E" w:rsidRPr="00B944AD" w:rsidTr="004962C7">
        <w:trPr>
          <w:trHeight w:val="702"/>
        </w:trPr>
        <w:tc>
          <w:tcPr>
            <w:tcW w:w="1673" w:type="dxa"/>
            <w:shd w:val="clear" w:color="000000" w:fill="FFFFFF"/>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lastRenderedPageBreak/>
              <w:t>Marco de Resultados</w:t>
            </w:r>
          </w:p>
        </w:tc>
        <w:tc>
          <w:tcPr>
            <w:tcW w:w="3299" w:type="dxa"/>
            <w:shd w:val="clear" w:color="000000" w:fill="FFFFFF"/>
            <w:vAlign w:val="center"/>
            <w:hideMark/>
          </w:tcPr>
          <w:p w:rsidR="00F0147E" w:rsidRPr="00B944AD" w:rsidRDefault="00A339CD"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Orçamento e Indicador – O produto </w:t>
            </w:r>
            <w:r w:rsidR="00F0147E" w:rsidRPr="00B944AD">
              <w:rPr>
                <w:rFonts w:ascii="Times New Roman" w:eastAsia="Times New Roman" w:hAnsi="Times New Roman" w:cs="Times New Roman"/>
                <w:sz w:val="18"/>
                <w:szCs w:val="18"/>
                <w:lang w:eastAsia="pt-BR"/>
              </w:rPr>
              <w:t xml:space="preserve">Sistema público de escrituração digital </w:t>
            </w:r>
            <w:r w:rsidRPr="00B944AD">
              <w:rPr>
                <w:rFonts w:ascii="Times New Roman" w:eastAsia="Times New Roman" w:hAnsi="Times New Roman" w:cs="Times New Roman"/>
                <w:sz w:val="18"/>
                <w:szCs w:val="18"/>
                <w:lang w:eastAsia="pt-BR"/>
              </w:rPr>
              <w:t>–</w:t>
            </w:r>
            <w:r w:rsidR="00F0147E" w:rsidRPr="00B944AD">
              <w:rPr>
                <w:rFonts w:ascii="Times New Roman" w:eastAsia="Times New Roman" w:hAnsi="Times New Roman" w:cs="Times New Roman"/>
                <w:sz w:val="18"/>
                <w:szCs w:val="18"/>
                <w:lang w:eastAsia="pt-BR"/>
              </w:rPr>
              <w:t xml:space="preserve"> SPED</w:t>
            </w:r>
            <w:r w:rsidRPr="00B944AD">
              <w:rPr>
                <w:rFonts w:ascii="Times New Roman" w:eastAsia="Times New Roman" w:hAnsi="Times New Roman" w:cs="Times New Roman"/>
                <w:sz w:val="18"/>
                <w:szCs w:val="18"/>
                <w:lang w:eastAsia="pt-BR"/>
              </w:rPr>
              <w:t xml:space="preserve"> teve seu valor ajustado , assim como, </w:t>
            </w:r>
            <w:r w:rsidR="00F0147E" w:rsidRPr="00B944AD">
              <w:rPr>
                <w:rFonts w:ascii="Times New Roman" w:eastAsia="Times New Roman" w:hAnsi="Times New Roman" w:cs="Times New Roman"/>
                <w:sz w:val="18"/>
                <w:szCs w:val="18"/>
                <w:lang w:eastAsia="pt-BR"/>
              </w:rPr>
              <w:t>a meta do Indicador de Resultado em função dos resultados já obtidos.</w:t>
            </w:r>
          </w:p>
        </w:tc>
        <w:tc>
          <w:tcPr>
            <w:tcW w:w="1842" w:type="dxa"/>
            <w:shd w:val="clear" w:color="000000" w:fill="FFFFFF"/>
            <w:vAlign w:val="center"/>
            <w:hideMark/>
          </w:tcPr>
          <w:p w:rsidR="00F0147E" w:rsidRPr="00B944AD" w:rsidRDefault="00A339CD"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Orçamento e Indicador </w:t>
            </w:r>
          </w:p>
        </w:tc>
        <w:tc>
          <w:tcPr>
            <w:tcW w:w="2552" w:type="dxa"/>
            <w:shd w:val="clear" w:color="000000" w:fill="FFFFFF"/>
          </w:tcPr>
          <w:p w:rsidR="00F0147E" w:rsidRPr="00B944AD" w:rsidRDefault="00377075"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Ampliação do escopo inicial do produto.</w:t>
            </w:r>
          </w:p>
        </w:tc>
        <w:tc>
          <w:tcPr>
            <w:tcW w:w="1843" w:type="dxa"/>
            <w:shd w:val="clear" w:color="000000" w:fill="FFFFFF"/>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000000" w:fill="FFFFFF"/>
            <w:vAlign w:val="center"/>
            <w:hideMark/>
          </w:tcPr>
          <w:p w:rsidR="00F0147E" w:rsidRPr="00B944AD" w:rsidRDefault="00F0147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11/06/2011</w:t>
            </w:r>
          </w:p>
        </w:tc>
      </w:tr>
      <w:tr w:rsidR="00F0147E" w:rsidRPr="00B944AD" w:rsidTr="004962C7">
        <w:trPr>
          <w:trHeight w:val="882"/>
        </w:trPr>
        <w:tc>
          <w:tcPr>
            <w:tcW w:w="1673" w:type="dxa"/>
            <w:shd w:val="clear" w:color="auto" w:fill="auto"/>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Marco de Resultados</w:t>
            </w:r>
          </w:p>
        </w:tc>
        <w:tc>
          <w:tcPr>
            <w:tcW w:w="3299" w:type="dxa"/>
            <w:shd w:val="clear" w:color="auto" w:fill="auto"/>
            <w:vAlign w:val="center"/>
            <w:hideMark/>
          </w:tcPr>
          <w:p w:rsidR="00377075" w:rsidRPr="00B944AD" w:rsidRDefault="00A339CD"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 </w:t>
            </w:r>
            <w:r w:rsidR="00F0147E" w:rsidRPr="00B944AD">
              <w:rPr>
                <w:rFonts w:ascii="Times New Roman" w:eastAsia="Times New Roman" w:hAnsi="Times New Roman" w:cs="Times New Roman"/>
                <w:sz w:val="18"/>
                <w:szCs w:val="18"/>
                <w:lang w:eastAsia="pt-BR"/>
              </w:rPr>
              <w:t xml:space="preserve">Modelo de gestão da Julgadoria e do Tribunal Administrativo de Recursos Fazendários implementado. </w:t>
            </w:r>
          </w:p>
          <w:p w:rsidR="00377075" w:rsidRPr="00B944AD" w:rsidRDefault="00377075" w:rsidP="009C7A21">
            <w:pPr>
              <w:spacing w:after="120" w:line="240" w:lineRule="auto"/>
              <w:jc w:val="both"/>
              <w:rPr>
                <w:rFonts w:ascii="Times New Roman" w:eastAsia="Times New Roman" w:hAnsi="Times New Roman" w:cs="Times New Roman"/>
                <w:sz w:val="18"/>
                <w:szCs w:val="18"/>
                <w:lang w:eastAsia="pt-BR"/>
              </w:rPr>
            </w:pPr>
          </w:p>
          <w:p w:rsidR="00F0147E" w:rsidRPr="00B944AD" w:rsidRDefault="00A339CD"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Exclusão dos Indicadores de </w:t>
            </w:r>
            <w:r w:rsidR="00F0147E" w:rsidRPr="00B944AD">
              <w:rPr>
                <w:rFonts w:ascii="Times New Roman" w:eastAsia="Times New Roman" w:hAnsi="Times New Roman" w:cs="Times New Roman"/>
                <w:sz w:val="18"/>
                <w:szCs w:val="18"/>
                <w:lang w:eastAsia="pt-BR"/>
              </w:rPr>
              <w:t>Produto e Resultado do Marco de Resultados.</w:t>
            </w:r>
          </w:p>
        </w:tc>
        <w:tc>
          <w:tcPr>
            <w:tcW w:w="1842" w:type="dxa"/>
            <w:shd w:val="clear" w:color="000000" w:fill="FFFFFF"/>
            <w:vAlign w:val="center"/>
            <w:hideMark/>
          </w:tcPr>
          <w:p w:rsidR="00F0147E" w:rsidRPr="00B944AD" w:rsidRDefault="000D5C8A"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F0147E" w:rsidRPr="00B944AD" w:rsidRDefault="00377075"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F0147E" w:rsidRPr="00B944AD" w:rsidRDefault="00F0147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F0147E" w:rsidRPr="00B944AD" w:rsidTr="004962C7">
        <w:trPr>
          <w:trHeight w:val="882"/>
        </w:trPr>
        <w:tc>
          <w:tcPr>
            <w:tcW w:w="1673" w:type="dxa"/>
            <w:shd w:val="clear" w:color="auto" w:fill="auto"/>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Marco de Resultados</w:t>
            </w:r>
          </w:p>
        </w:tc>
        <w:tc>
          <w:tcPr>
            <w:tcW w:w="3299" w:type="dxa"/>
            <w:shd w:val="clear" w:color="auto" w:fill="auto"/>
            <w:vAlign w:val="center"/>
            <w:hideMark/>
          </w:tcPr>
          <w:p w:rsidR="00A339CD" w:rsidRPr="00B944AD" w:rsidRDefault="00A339CD"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 </w:t>
            </w:r>
            <w:r w:rsidR="00F0147E" w:rsidRPr="00B944AD">
              <w:rPr>
                <w:rFonts w:ascii="Times New Roman" w:eastAsia="Times New Roman" w:hAnsi="Times New Roman" w:cs="Times New Roman"/>
                <w:sz w:val="18"/>
                <w:szCs w:val="18"/>
                <w:lang w:eastAsia="pt-BR"/>
              </w:rPr>
              <w:t xml:space="preserve">Modelo de cobrança do crédito tributário implementado. </w:t>
            </w:r>
          </w:p>
          <w:p w:rsidR="001B4DEB" w:rsidRPr="00B944AD" w:rsidRDefault="001B4DEB" w:rsidP="009C7A21">
            <w:pPr>
              <w:spacing w:after="120" w:line="240" w:lineRule="auto"/>
              <w:jc w:val="both"/>
              <w:rPr>
                <w:rFonts w:ascii="Times New Roman" w:eastAsia="Times New Roman" w:hAnsi="Times New Roman" w:cs="Times New Roman"/>
                <w:sz w:val="18"/>
                <w:szCs w:val="18"/>
                <w:lang w:eastAsia="pt-BR"/>
              </w:rPr>
            </w:pPr>
          </w:p>
          <w:p w:rsidR="00F0147E" w:rsidRPr="00B944AD" w:rsidRDefault="00A339CD"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dos Indicadores de Produto e Resultado do Marco de Resultados.</w:t>
            </w:r>
          </w:p>
        </w:tc>
        <w:tc>
          <w:tcPr>
            <w:tcW w:w="1842" w:type="dxa"/>
            <w:shd w:val="clear" w:color="000000" w:fill="FFFFFF"/>
            <w:vAlign w:val="center"/>
            <w:hideMark/>
          </w:tcPr>
          <w:p w:rsidR="00F0147E" w:rsidRPr="00B944AD" w:rsidRDefault="000D5C8A"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F0147E" w:rsidRPr="00B944AD" w:rsidRDefault="00377075"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F0147E" w:rsidRPr="00B944AD" w:rsidRDefault="00F0147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88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Marco de Resultados</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Produto excluído – Sistemas corporativos do Estado integrados aos sistemas de gestão do Tesouro Estadual.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dos Indicadores de Produto e Resultado do Marco de Resultados.</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Exclusão do produto</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124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lastRenderedPageBreak/>
              <w:t>Marco de Resultados</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Exclusão do Indicador – Modelo de gestão do controle interno implantado. </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Exclusão do indicador </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Exclusão dos Indicadores de Resultado do Marco de Resultados, uma vez que o tempo do Projeto não será suficiente para o alcance das metas.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Mantido o Indicador de Produto que está relacionado à implantação do modelo de gestão.</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142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Marco de Resultados</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Indicador do Produto – Modelo de qualidade para o atendimento ao contribuinte implementado. </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Indicador d</w:t>
            </w:r>
            <w:r w:rsidR="001B4DEB" w:rsidRPr="00B944AD">
              <w:rPr>
                <w:rFonts w:ascii="Times New Roman" w:eastAsia="Times New Roman" w:hAnsi="Times New Roman" w:cs="Times New Roman"/>
                <w:sz w:val="18"/>
                <w:szCs w:val="18"/>
                <w:lang w:eastAsia="pt-BR"/>
              </w:rPr>
              <w:t>o</w:t>
            </w:r>
            <w:r w:rsidRPr="00B944AD">
              <w:rPr>
                <w:rFonts w:ascii="Times New Roman" w:eastAsia="Times New Roman" w:hAnsi="Times New Roman" w:cs="Times New Roman"/>
                <w:sz w:val="18"/>
                <w:szCs w:val="18"/>
                <w:lang w:eastAsia="pt-BR"/>
              </w:rPr>
              <w:t xml:space="preserve"> produto </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Ajuste na meta do Indicador de Produto que indicava comutatividade.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Ajuste no Indicador de Resultado que passou a considerar apenas 1 (um) critério de medição do nível de satisfação dos usuários dos serviços da SEFA: facilidade para conseguir o serviço.</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840"/>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Marco de Resultados</w:t>
            </w:r>
          </w:p>
        </w:tc>
        <w:tc>
          <w:tcPr>
            <w:tcW w:w="3299"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Indicador do Produto – Programa de educação fiscal implementado. </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Ajuste no Indicador de produto de: número de ações estratégicas de educação fiscal para número de municípios atingidos pelo Programa.</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Indicador do produto</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Melhor monitoramento do Indicador de Produto.</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F0147E" w:rsidRPr="00B944AD" w:rsidTr="004962C7">
        <w:trPr>
          <w:trHeight w:val="882"/>
        </w:trPr>
        <w:tc>
          <w:tcPr>
            <w:tcW w:w="1673" w:type="dxa"/>
            <w:shd w:val="clear" w:color="auto" w:fill="auto"/>
            <w:vAlign w:val="center"/>
            <w:hideMark/>
          </w:tcPr>
          <w:p w:rsidR="00F0147E" w:rsidRPr="00B944AD" w:rsidRDefault="000D5C8A"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Componente e</w:t>
            </w:r>
            <w:r w:rsidR="00D86B24" w:rsidRPr="00B944AD">
              <w:rPr>
                <w:rFonts w:ascii="Times New Roman" w:eastAsia="Times New Roman" w:hAnsi="Times New Roman" w:cs="Times New Roman"/>
                <w:sz w:val="18"/>
                <w:szCs w:val="18"/>
                <w:lang w:eastAsia="pt-BR"/>
              </w:rPr>
              <w:t xml:space="preserve"> </w:t>
            </w:r>
            <w:r w:rsidR="00F0147E" w:rsidRPr="00B944AD">
              <w:rPr>
                <w:rFonts w:ascii="Times New Roman" w:eastAsia="Times New Roman" w:hAnsi="Times New Roman" w:cs="Times New Roman"/>
                <w:sz w:val="18"/>
                <w:szCs w:val="18"/>
                <w:lang w:eastAsia="pt-BR"/>
              </w:rPr>
              <w:t xml:space="preserve">Orçamento </w:t>
            </w:r>
          </w:p>
        </w:tc>
        <w:tc>
          <w:tcPr>
            <w:tcW w:w="3299" w:type="dxa"/>
            <w:shd w:val="clear" w:color="000000" w:fill="FFFFFF"/>
            <w:vAlign w:val="center"/>
            <w:hideMark/>
          </w:tcPr>
          <w:p w:rsidR="00F0147E" w:rsidRPr="00B944AD" w:rsidRDefault="000D5C8A"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Transferência de US$ 3.558.942 dos demais Componentes do Projeto para o Componente II - Administração Tributária e Contencioso Fiscal.</w:t>
            </w:r>
          </w:p>
        </w:tc>
        <w:tc>
          <w:tcPr>
            <w:tcW w:w="1842" w:type="dxa"/>
            <w:shd w:val="clear" w:color="000000" w:fill="FFFFFF"/>
            <w:vAlign w:val="center"/>
            <w:hideMark/>
          </w:tcPr>
          <w:p w:rsidR="00F0147E" w:rsidRPr="00B944AD" w:rsidRDefault="00A339CD"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Mudança no orçamento do Componente</w:t>
            </w:r>
          </w:p>
        </w:tc>
        <w:tc>
          <w:tcPr>
            <w:tcW w:w="2552" w:type="dxa"/>
            <w:shd w:val="clear" w:color="000000" w:fill="FFFFFF"/>
          </w:tcPr>
          <w:p w:rsidR="00F0147E" w:rsidRPr="00B944AD" w:rsidRDefault="00377075"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p w:rsidR="000D5C8A" w:rsidRPr="00B944AD" w:rsidRDefault="000D5C8A" w:rsidP="009C7A21">
            <w:pPr>
              <w:spacing w:after="120" w:line="240" w:lineRule="auto"/>
              <w:jc w:val="both"/>
              <w:rPr>
                <w:rFonts w:ascii="Times New Roman" w:eastAsia="Times New Roman" w:hAnsi="Times New Roman" w:cs="Times New Roman"/>
                <w:sz w:val="18"/>
                <w:szCs w:val="18"/>
                <w:lang w:eastAsia="pt-BR"/>
              </w:rPr>
            </w:pPr>
          </w:p>
          <w:p w:rsidR="000D5C8A" w:rsidRPr="00B944AD" w:rsidRDefault="000D5C8A"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Solicitação da UCP </w:t>
            </w:r>
            <w:r w:rsidRPr="00B944AD">
              <w:rPr>
                <w:rFonts w:ascii="Times New Roman" w:eastAsia="Times New Roman" w:hAnsi="Times New Roman" w:cs="Times New Roman"/>
                <w:sz w:val="18"/>
                <w:szCs w:val="18"/>
                <w:lang w:eastAsia="pt-BR"/>
              </w:rPr>
              <w:lastRenderedPageBreak/>
              <w:t>para SEAIN/MP e para Banco de transferência de recursos.</w:t>
            </w:r>
          </w:p>
        </w:tc>
        <w:tc>
          <w:tcPr>
            <w:tcW w:w="1570" w:type="dxa"/>
            <w:shd w:val="clear" w:color="auto" w:fill="auto"/>
            <w:vAlign w:val="center"/>
            <w:hideMark/>
          </w:tcPr>
          <w:p w:rsidR="00F0147E" w:rsidRPr="00B944AD" w:rsidRDefault="00F0147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lastRenderedPageBreak/>
              <w:t>10/06/2011</w:t>
            </w:r>
          </w:p>
        </w:tc>
      </w:tr>
      <w:tr w:rsidR="00F0147E" w:rsidRPr="00B944AD" w:rsidTr="004962C7">
        <w:trPr>
          <w:trHeight w:val="882"/>
        </w:trPr>
        <w:tc>
          <w:tcPr>
            <w:tcW w:w="1673" w:type="dxa"/>
            <w:shd w:val="clear" w:color="auto" w:fill="auto"/>
            <w:vAlign w:val="center"/>
            <w:hideMark/>
          </w:tcPr>
          <w:p w:rsidR="00F0147E" w:rsidRPr="00B944AD" w:rsidRDefault="00017E27"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lastRenderedPageBreak/>
              <w:t xml:space="preserve">Componente e </w:t>
            </w:r>
            <w:r w:rsidR="00F0147E" w:rsidRPr="00B944AD">
              <w:rPr>
                <w:rFonts w:ascii="Times New Roman" w:eastAsia="Times New Roman" w:hAnsi="Times New Roman" w:cs="Times New Roman"/>
                <w:sz w:val="18"/>
                <w:szCs w:val="18"/>
                <w:lang w:eastAsia="pt-BR"/>
              </w:rPr>
              <w:t xml:space="preserve">Orçamento </w:t>
            </w:r>
          </w:p>
        </w:tc>
        <w:tc>
          <w:tcPr>
            <w:tcW w:w="3299" w:type="dxa"/>
            <w:shd w:val="clear" w:color="000000" w:fill="FFFFFF"/>
            <w:vAlign w:val="center"/>
            <w:hideMark/>
          </w:tcPr>
          <w:p w:rsidR="00F0147E" w:rsidRPr="00B944AD" w:rsidRDefault="00017E27"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Transferência de US$ 616.576 do Componente III - Administração Financeira para outros Componentes do Projeto.</w:t>
            </w:r>
          </w:p>
        </w:tc>
        <w:tc>
          <w:tcPr>
            <w:tcW w:w="1842" w:type="dxa"/>
            <w:shd w:val="clear" w:color="000000" w:fill="FFFFFF"/>
            <w:vAlign w:val="center"/>
            <w:hideMark/>
          </w:tcPr>
          <w:p w:rsidR="00F0147E" w:rsidRPr="00B944AD" w:rsidRDefault="00B03A84"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Mudança no orçamento do Componente</w:t>
            </w:r>
          </w:p>
        </w:tc>
        <w:tc>
          <w:tcPr>
            <w:tcW w:w="2552" w:type="dxa"/>
            <w:shd w:val="clear" w:color="000000" w:fill="FFFFFF"/>
          </w:tcPr>
          <w:p w:rsidR="00F0147E" w:rsidRPr="00B944AD" w:rsidRDefault="00B03A84"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F0147E" w:rsidRPr="00B944AD" w:rsidRDefault="00F0147E"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p w:rsidR="00017E27" w:rsidRPr="00B944AD" w:rsidRDefault="00017E27" w:rsidP="009C7A21">
            <w:pPr>
              <w:spacing w:after="120" w:line="240" w:lineRule="auto"/>
              <w:jc w:val="both"/>
              <w:rPr>
                <w:rFonts w:ascii="Times New Roman" w:eastAsia="Times New Roman" w:hAnsi="Times New Roman" w:cs="Times New Roman"/>
                <w:sz w:val="18"/>
                <w:szCs w:val="18"/>
                <w:lang w:eastAsia="pt-BR"/>
              </w:rPr>
            </w:pPr>
          </w:p>
          <w:p w:rsidR="00017E27" w:rsidRPr="00B944AD" w:rsidRDefault="00017E27"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Solicitação da UCP para SEAIN/MP e para Banco de transferência de recursos.</w:t>
            </w:r>
          </w:p>
        </w:tc>
        <w:tc>
          <w:tcPr>
            <w:tcW w:w="1570" w:type="dxa"/>
            <w:shd w:val="clear" w:color="auto" w:fill="auto"/>
            <w:vAlign w:val="center"/>
            <w:hideMark/>
          </w:tcPr>
          <w:p w:rsidR="00F0147E" w:rsidRPr="00B944AD" w:rsidRDefault="00F0147E"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882"/>
        </w:trPr>
        <w:tc>
          <w:tcPr>
            <w:tcW w:w="1673" w:type="dxa"/>
            <w:shd w:val="clear" w:color="auto" w:fill="auto"/>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Componente - Orçamento</w:t>
            </w:r>
          </w:p>
        </w:tc>
        <w:tc>
          <w:tcPr>
            <w:tcW w:w="3299"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Transferência de US$ 1.540.276 do Componente IV - Gestão de Recursos Estratégicos para outros Componentes do Projeto.</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Mudança no orçamento do Componente</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Solicitação da UCP para SEAIN/MP e para Banco de transferência de recursos.</w:t>
            </w:r>
          </w:p>
        </w:tc>
        <w:tc>
          <w:tcPr>
            <w:tcW w:w="1570" w:type="dxa"/>
            <w:shd w:val="clear" w:color="auto" w:fill="auto"/>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B944AD" w:rsidTr="000A175D">
        <w:trPr>
          <w:trHeight w:val="702"/>
        </w:trPr>
        <w:tc>
          <w:tcPr>
            <w:tcW w:w="167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Componente - Orçamento</w:t>
            </w:r>
          </w:p>
        </w:tc>
        <w:tc>
          <w:tcPr>
            <w:tcW w:w="3299"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Transferência dos recursos financeiros alocados em “Imprevistos” para outros Componentes do Projeto.</w:t>
            </w:r>
          </w:p>
        </w:tc>
        <w:tc>
          <w:tcPr>
            <w:tcW w:w="1842"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Uso dos imprevistos</w:t>
            </w:r>
          </w:p>
        </w:tc>
        <w:tc>
          <w:tcPr>
            <w:tcW w:w="2552" w:type="dxa"/>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Estes recursos serão alocados no desenvolvimento do novo produto.</w:t>
            </w:r>
          </w:p>
        </w:tc>
        <w:tc>
          <w:tcPr>
            <w:tcW w:w="1843" w:type="dxa"/>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Solicitação da UCP para SEAIN/MP e para Banco de transferência de recursos.</w:t>
            </w:r>
          </w:p>
        </w:tc>
        <w:tc>
          <w:tcPr>
            <w:tcW w:w="1570" w:type="dxa"/>
            <w:shd w:val="clear" w:color="000000" w:fill="FFFFFF"/>
            <w:vAlign w:val="center"/>
            <w:hideMark/>
          </w:tcPr>
          <w:p w:rsidR="004703B1" w:rsidRPr="00B944AD"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C041CB" w:rsidRPr="00B944AD" w:rsidTr="004962C7">
        <w:trPr>
          <w:trHeight w:val="840"/>
        </w:trPr>
        <w:tc>
          <w:tcPr>
            <w:tcW w:w="1673" w:type="dxa"/>
            <w:shd w:val="clear" w:color="auto" w:fill="auto"/>
            <w:vAlign w:val="center"/>
            <w:hideMark/>
          </w:tcPr>
          <w:p w:rsidR="00C041CB" w:rsidRPr="00B944AD" w:rsidRDefault="00C041CB"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Marco de Resultados</w:t>
            </w:r>
            <w:r w:rsidR="00B04382" w:rsidRPr="00B944AD">
              <w:rPr>
                <w:rFonts w:ascii="Times New Roman" w:eastAsia="Times New Roman" w:hAnsi="Times New Roman" w:cs="Times New Roman"/>
                <w:sz w:val="18"/>
                <w:szCs w:val="18"/>
                <w:lang w:eastAsia="pt-BR"/>
              </w:rPr>
              <w:t xml:space="preserve"> e Orçamento </w:t>
            </w:r>
          </w:p>
        </w:tc>
        <w:tc>
          <w:tcPr>
            <w:tcW w:w="3299" w:type="dxa"/>
            <w:shd w:val="clear" w:color="auto" w:fill="auto"/>
            <w:vAlign w:val="center"/>
            <w:hideMark/>
          </w:tcPr>
          <w:p w:rsidR="00C041CB" w:rsidRPr="00B944AD" w:rsidRDefault="00B04382"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Redução da meta com redução proporcional dos recursos do P</w:t>
            </w:r>
            <w:r w:rsidR="00C041CB" w:rsidRPr="00B944AD">
              <w:rPr>
                <w:rFonts w:ascii="Times New Roman" w:eastAsia="Times New Roman" w:hAnsi="Times New Roman" w:cs="Times New Roman"/>
                <w:sz w:val="18"/>
                <w:szCs w:val="18"/>
                <w:lang w:eastAsia="pt-BR"/>
              </w:rPr>
              <w:t xml:space="preserve">roduto Política de capacitação implementada. </w:t>
            </w:r>
          </w:p>
        </w:tc>
        <w:tc>
          <w:tcPr>
            <w:tcW w:w="1842" w:type="dxa"/>
            <w:shd w:val="clear" w:color="000000" w:fill="FFFFFF"/>
            <w:vAlign w:val="center"/>
            <w:hideMark/>
          </w:tcPr>
          <w:p w:rsidR="00C041CB" w:rsidRPr="00B944AD" w:rsidRDefault="00C041CB"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Redução da meta com redução proporcional dos recursos</w:t>
            </w:r>
          </w:p>
        </w:tc>
        <w:tc>
          <w:tcPr>
            <w:tcW w:w="2552" w:type="dxa"/>
            <w:shd w:val="clear" w:color="000000" w:fill="FFFFFF"/>
          </w:tcPr>
          <w:p w:rsidR="00C041CB" w:rsidRPr="00B944AD" w:rsidRDefault="00C041CB"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Reforço no orçamento dos demais produtos do Componente II - Administração Tributária e Contencioso Fiscal</w:t>
            </w:r>
          </w:p>
        </w:tc>
        <w:tc>
          <w:tcPr>
            <w:tcW w:w="1843" w:type="dxa"/>
            <w:shd w:val="clear" w:color="000000" w:fill="FFFFFF"/>
            <w:vAlign w:val="center"/>
            <w:hideMark/>
          </w:tcPr>
          <w:p w:rsidR="00C041CB" w:rsidRPr="00B944AD" w:rsidRDefault="00C041CB"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Ajuda Memória da Missão de Aceleração e preparação do LRR.</w:t>
            </w:r>
          </w:p>
        </w:tc>
        <w:tc>
          <w:tcPr>
            <w:tcW w:w="1570" w:type="dxa"/>
            <w:shd w:val="clear" w:color="auto" w:fill="auto"/>
            <w:vAlign w:val="center"/>
            <w:hideMark/>
          </w:tcPr>
          <w:p w:rsidR="00C041CB" w:rsidRPr="00B944AD" w:rsidRDefault="00C041CB"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r w:rsidR="004703B1" w:rsidRPr="00046243" w:rsidTr="004703B1">
        <w:trPr>
          <w:trHeight w:val="702"/>
        </w:trPr>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Resultados</w:t>
            </w:r>
          </w:p>
        </w:tc>
        <w:tc>
          <w:tcPr>
            <w:tcW w:w="32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 xml:space="preserve">Mudança no Indicador de Resultado do produto Modelo de fiscalização de estabelecimentos implantado.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Indicador de Resultado</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Decisão estratégica para focar Foco no segmento varejista.</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DE: Incremento da arrecadação proveniente do segmento de comércio atacadista.</w:t>
            </w: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p>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PARA: Incremento da arrecadação proveniente do segmento de comércio varejista.</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3B1" w:rsidRPr="00B944AD" w:rsidRDefault="004703B1" w:rsidP="009C7A21">
            <w:pPr>
              <w:spacing w:after="120" w:line="240" w:lineRule="auto"/>
              <w:jc w:val="both"/>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lastRenderedPageBreak/>
              <w:t>Ajuda Memória da Missão de Aceleração e preparação do LRR.</w:t>
            </w: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3B1" w:rsidRPr="00046243" w:rsidRDefault="004703B1" w:rsidP="009C7A21">
            <w:pPr>
              <w:spacing w:after="120" w:line="240" w:lineRule="auto"/>
              <w:jc w:val="center"/>
              <w:rPr>
                <w:rFonts w:ascii="Times New Roman" w:eastAsia="Times New Roman" w:hAnsi="Times New Roman" w:cs="Times New Roman"/>
                <w:sz w:val="18"/>
                <w:szCs w:val="18"/>
                <w:lang w:eastAsia="pt-BR"/>
              </w:rPr>
            </w:pPr>
            <w:r w:rsidRPr="00B944AD">
              <w:rPr>
                <w:rFonts w:ascii="Times New Roman" w:eastAsia="Times New Roman" w:hAnsi="Times New Roman" w:cs="Times New Roman"/>
                <w:sz w:val="18"/>
                <w:szCs w:val="18"/>
                <w:lang w:eastAsia="pt-BR"/>
              </w:rPr>
              <w:t>10/06/2011</w:t>
            </w:r>
          </w:p>
        </w:tc>
      </w:tr>
    </w:tbl>
    <w:p w:rsidR="00031BD5" w:rsidRPr="00046243" w:rsidRDefault="00031BD5" w:rsidP="009C7A21">
      <w:pPr>
        <w:spacing w:after="240" w:line="240" w:lineRule="auto"/>
        <w:jc w:val="center"/>
        <w:rPr>
          <w:rFonts w:ascii="Times New Roman" w:hAnsi="Times New Roman" w:cs="Times New Roman"/>
          <w:b/>
          <w:color w:val="000000"/>
          <w:sz w:val="24"/>
          <w:szCs w:val="24"/>
          <w:highlight w:val="yellow"/>
        </w:rPr>
      </w:pPr>
    </w:p>
    <w:p w:rsidR="00031BD5" w:rsidRPr="00046243" w:rsidRDefault="00031BD5" w:rsidP="009C7A21">
      <w:pPr>
        <w:spacing w:after="240" w:line="240" w:lineRule="auto"/>
        <w:rPr>
          <w:rFonts w:ascii="Times New Roman" w:hAnsi="Times New Roman" w:cs="Times New Roman"/>
          <w:b/>
          <w:color w:val="000000"/>
          <w:sz w:val="24"/>
          <w:szCs w:val="24"/>
          <w:highlight w:val="yellow"/>
        </w:rPr>
      </w:pPr>
      <w:r w:rsidRPr="00046243">
        <w:rPr>
          <w:rFonts w:ascii="Times New Roman" w:hAnsi="Times New Roman" w:cs="Times New Roman"/>
          <w:b/>
          <w:color w:val="000000"/>
          <w:sz w:val="24"/>
          <w:szCs w:val="24"/>
          <w:highlight w:val="yellow"/>
        </w:rPr>
        <w:br w:type="page"/>
      </w:r>
    </w:p>
    <w:p w:rsidR="007F6601" w:rsidRPr="00046243" w:rsidRDefault="007F6601" w:rsidP="009C7A21">
      <w:pPr>
        <w:spacing w:after="240" w:line="240" w:lineRule="auto"/>
        <w:jc w:val="center"/>
        <w:rPr>
          <w:rFonts w:ascii="Times New Roman" w:hAnsi="Times New Roman" w:cs="Times New Roman"/>
          <w:b/>
          <w:color w:val="000000"/>
          <w:sz w:val="24"/>
          <w:szCs w:val="24"/>
          <w:highlight w:val="yellow"/>
        </w:rPr>
      </w:pPr>
    </w:p>
    <w:p w:rsidR="00925806" w:rsidRPr="00FB4ED4" w:rsidRDefault="00BC6989" w:rsidP="009C7A21">
      <w:pPr>
        <w:spacing w:after="240" w:line="240" w:lineRule="auto"/>
        <w:jc w:val="center"/>
        <w:rPr>
          <w:rFonts w:ascii="Times New Roman" w:hAnsi="Times New Roman" w:cs="Times New Roman"/>
          <w:b/>
          <w:sz w:val="24"/>
          <w:szCs w:val="24"/>
        </w:rPr>
      </w:pPr>
      <w:r w:rsidRPr="00FB4ED4">
        <w:rPr>
          <w:rFonts w:ascii="Times New Roman" w:hAnsi="Times New Roman" w:cs="Times New Roman"/>
          <w:b/>
          <w:sz w:val="24"/>
          <w:szCs w:val="24"/>
        </w:rPr>
        <w:t>Tab</w:t>
      </w:r>
      <w:r w:rsidR="007F6601" w:rsidRPr="00FB4ED4">
        <w:rPr>
          <w:rFonts w:ascii="Times New Roman" w:hAnsi="Times New Roman" w:cs="Times New Roman"/>
          <w:b/>
          <w:sz w:val="24"/>
          <w:szCs w:val="24"/>
        </w:rPr>
        <w:t>e</w:t>
      </w:r>
      <w:r w:rsidRPr="00FB4ED4">
        <w:rPr>
          <w:rFonts w:ascii="Times New Roman" w:hAnsi="Times New Roman" w:cs="Times New Roman"/>
          <w:b/>
          <w:sz w:val="24"/>
          <w:szCs w:val="24"/>
        </w:rPr>
        <w:t>la 2</w:t>
      </w:r>
    </w:p>
    <w:p w:rsidR="00325697" w:rsidRPr="00FB4ED4" w:rsidRDefault="00325697" w:rsidP="009C7A21">
      <w:pPr>
        <w:autoSpaceDE w:val="0"/>
        <w:autoSpaceDN w:val="0"/>
        <w:adjustRightInd w:val="0"/>
        <w:spacing w:after="240" w:line="240" w:lineRule="auto"/>
        <w:jc w:val="center"/>
        <w:rPr>
          <w:rFonts w:ascii="Times New Roman" w:hAnsi="Times New Roman" w:cs="Times New Roman"/>
          <w:b/>
          <w:sz w:val="24"/>
          <w:szCs w:val="24"/>
        </w:rPr>
      </w:pPr>
      <w:r w:rsidRPr="00FB4ED4">
        <w:rPr>
          <w:rFonts w:ascii="Times New Roman" w:hAnsi="Times New Roman" w:cs="Times New Roman"/>
          <w:b/>
          <w:sz w:val="24"/>
          <w:szCs w:val="24"/>
        </w:rPr>
        <w:t>Matriz de Resultados Alcançados</w:t>
      </w:r>
    </w:p>
    <w:p w:rsidR="00325697" w:rsidRPr="00046243" w:rsidRDefault="00325697" w:rsidP="009C7A21">
      <w:pPr>
        <w:spacing w:after="240" w:line="240" w:lineRule="auto"/>
        <w:jc w:val="center"/>
        <w:rPr>
          <w:rFonts w:ascii="Times New Roman" w:hAnsi="Times New Roman" w:cs="Times New Roman"/>
          <w:b/>
          <w:color w:val="000000"/>
          <w:sz w:val="24"/>
          <w:szCs w:val="24"/>
        </w:rPr>
      </w:pPr>
      <w:r w:rsidRPr="00046243">
        <w:rPr>
          <w:rFonts w:ascii="Times New Roman" w:hAnsi="Times New Roman" w:cs="Times New Roman"/>
          <w:b/>
          <w:color w:val="000000"/>
          <w:sz w:val="24"/>
          <w:szCs w:val="24"/>
        </w:rPr>
        <w:t>IMPACTOS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997"/>
        <w:gridCol w:w="869"/>
        <w:gridCol w:w="9"/>
        <w:gridCol w:w="853"/>
        <w:gridCol w:w="2352"/>
        <w:gridCol w:w="1536"/>
        <w:gridCol w:w="1506"/>
        <w:gridCol w:w="1386"/>
        <w:gridCol w:w="1362"/>
      </w:tblGrid>
      <w:tr w:rsidR="00E97E1F" w:rsidRPr="00046243" w:rsidTr="000A175D">
        <w:trPr>
          <w:jc w:val="center"/>
        </w:trPr>
        <w:tc>
          <w:tcPr>
            <w:tcW w:w="2340" w:type="dxa"/>
            <w:tcBorders>
              <w:left w:val="single" w:sz="4" w:space="0" w:color="auto"/>
            </w:tcBorders>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Impacto/Indicador</w:t>
            </w:r>
            <w:r w:rsidRPr="00046243">
              <w:rPr>
                <w:rStyle w:val="Refdenotaderodap"/>
                <w:rFonts w:ascii="Times New Roman" w:eastAsia="Times New Roman" w:hAnsi="Times New Roman" w:cs="Times New Roman"/>
                <w:sz w:val="18"/>
                <w:szCs w:val="18"/>
              </w:rPr>
              <w:footnoteReference w:id="11"/>
            </w:r>
          </w:p>
        </w:tc>
        <w:tc>
          <w:tcPr>
            <w:tcW w:w="997"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Unidade de Medida</w:t>
            </w:r>
          </w:p>
        </w:tc>
        <w:tc>
          <w:tcPr>
            <w:tcW w:w="891"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da Linha de Base</w:t>
            </w:r>
          </w:p>
        </w:tc>
        <w:tc>
          <w:tcPr>
            <w:tcW w:w="862"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Ano da Linha de Base</w:t>
            </w:r>
            <w:r w:rsidRPr="00046243">
              <w:rPr>
                <w:rStyle w:val="Refdenotaderodap"/>
                <w:rFonts w:ascii="Times New Roman" w:eastAsia="Times New Roman" w:hAnsi="Times New Roman" w:cs="Times New Roman"/>
                <w:sz w:val="18"/>
                <w:szCs w:val="18"/>
              </w:rPr>
              <w:footnoteReference w:id="12"/>
            </w:r>
          </w:p>
        </w:tc>
        <w:tc>
          <w:tcPr>
            <w:tcW w:w="2421"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Meio de Verificação</w:t>
            </w:r>
          </w:p>
        </w:tc>
        <w:tc>
          <w:tcPr>
            <w:tcW w:w="3109"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Metas (</w:t>
            </w:r>
            <w:r w:rsidRPr="00046243">
              <w:rPr>
                <w:rFonts w:ascii="Times New Roman" w:eastAsia="Times New Roman" w:hAnsi="Times New Roman" w:cs="Times New Roman"/>
                <w:b/>
                <w:sz w:val="18"/>
                <w:szCs w:val="18"/>
              </w:rPr>
              <w:t>2014</w:t>
            </w:r>
            <w:r w:rsidRPr="00046243">
              <w:rPr>
                <w:rFonts w:ascii="Times New Roman" w:eastAsia="Times New Roman" w:hAnsi="Times New Roman" w:cs="Times New Roman"/>
                <w:sz w:val="18"/>
                <w:szCs w:val="18"/>
              </w:rPr>
              <w:t>) e Resultados Alcançados</w:t>
            </w:r>
          </w:p>
        </w:tc>
        <w:tc>
          <w:tcPr>
            <w:tcW w:w="1387" w:type="dxa"/>
            <w:tcBorders>
              <w:right w:val="single" w:sz="4" w:space="0" w:color="auto"/>
            </w:tcBorders>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Data em que as metas foram alcançadas (</w:t>
            </w:r>
            <w:r w:rsidRPr="00046243">
              <w:rPr>
                <w:rFonts w:ascii="Times New Roman" w:eastAsia="Times New Roman" w:hAnsi="Times New Roman" w:cs="Times New Roman"/>
                <w:b/>
                <w:sz w:val="18"/>
                <w:szCs w:val="18"/>
              </w:rPr>
              <w:t>mês/ano</w:t>
            </w:r>
            <w:r w:rsidRPr="00046243">
              <w:rPr>
                <w:rFonts w:ascii="Times New Roman" w:eastAsia="Times New Roman" w:hAnsi="Times New Roman" w:cs="Times New Roman"/>
                <w:sz w:val="18"/>
                <w:szCs w:val="18"/>
              </w:rPr>
              <w:t>)</w:t>
            </w:r>
          </w:p>
        </w:tc>
        <w:tc>
          <w:tcPr>
            <w:tcW w:w="1370" w:type="dxa"/>
            <w:tcBorders>
              <w:right w:val="single" w:sz="4" w:space="0" w:color="auto"/>
            </w:tcBorders>
            <w:shd w:val="clear" w:color="auto" w:fill="auto"/>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b/>
                <w:sz w:val="18"/>
                <w:szCs w:val="18"/>
              </w:rPr>
              <w:t>Comentários – Pendências</w:t>
            </w:r>
          </w:p>
        </w:tc>
      </w:tr>
      <w:tr w:rsidR="00325697" w:rsidRPr="00046243" w:rsidTr="000A175D">
        <w:trPr>
          <w:jc w:val="center"/>
        </w:trPr>
        <w:tc>
          <w:tcPr>
            <w:tcW w:w="12007" w:type="dxa"/>
            <w:gridSpan w:val="9"/>
            <w:tcBorders>
              <w:left w:val="single" w:sz="4" w:space="0" w:color="auto"/>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b/>
                <w:sz w:val="18"/>
                <w:szCs w:val="18"/>
              </w:rPr>
              <w:t xml:space="preserve">Impacto 1 – </w:t>
            </w:r>
            <w:r w:rsidRPr="00046243">
              <w:rPr>
                <w:rFonts w:ascii="Times New Roman" w:hAnsi="Times New Roman" w:cs="Times New Roman"/>
                <w:sz w:val="18"/>
                <w:szCs w:val="18"/>
              </w:rPr>
              <w:t>Manter a relação entre a dívida financeira total do Estado (D) em valor não superior ao da receita líquida real (RLR)</w:t>
            </w:r>
          </w:p>
        </w:tc>
        <w:tc>
          <w:tcPr>
            <w:tcW w:w="1370" w:type="dxa"/>
            <w:vMerge w:val="restart"/>
            <w:tcBorders>
              <w:left w:val="single" w:sz="4" w:space="0" w:color="auto"/>
              <w:right w:val="single" w:sz="4" w:space="0" w:color="auto"/>
            </w:tcBorders>
            <w:shd w:val="clear" w:color="auto" w:fill="auto"/>
            <w:vAlign w:val="center"/>
          </w:tcPr>
          <w:p w:rsidR="00325697" w:rsidRPr="00E97E1F" w:rsidRDefault="00325697" w:rsidP="00E97E1F">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Os</w:t>
            </w:r>
            <w:r w:rsidR="00E97E1F" w:rsidRPr="00E97E1F">
              <w:rPr>
                <w:rFonts w:ascii="Times New Roman" w:eastAsia="Times New Roman" w:hAnsi="Times New Roman" w:cs="Times New Roman"/>
                <w:sz w:val="18"/>
                <w:szCs w:val="18"/>
              </w:rPr>
              <w:t xml:space="preserve"> tês </w:t>
            </w:r>
            <w:r w:rsidRPr="00E97E1F">
              <w:rPr>
                <w:rFonts w:ascii="Times New Roman" w:eastAsia="Times New Roman" w:hAnsi="Times New Roman" w:cs="Times New Roman"/>
                <w:sz w:val="18"/>
                <w:szCs w:val="18"/>
              </w:rPr>
              <w:t xml:space="preserve"> documentos do PAF apresentados </w:t>
            </w:r>
            <w:r w:rsidR="00E97E1F" w:rsidRPr="00E97E1F">
              <w:rPr>
                <w:rFonts w:ascii="Times New Roman" w:eastAsia="Times New Roman" w:hAnsi="Times New Roman" w:cs="Times New Roman"/>
                <w:sz w:val="18"/>
                <w:szCs w:val="18"/>
              </w:rPr>
              <w:t xml:space="preserve">pelo executor </w:t>
            </w:r>
            <w:r w:rsidRPr="00E97E1F">
              <w:rPr>
                <w:rFonts w:ascii="Times New Roman" w:eastAsia="Times New Roman" w:hAnsi="Times New Roman" w:cs="Times New Roman"/>
                <w:sz w:val="18"/>
                <w:szCs w:val="18"/>
              </w:rPr>
              <w:t>descrevem os resultados alcançados até dez de 2013.</w:t>
            </w:r>
          </w:p>
          <w:p w:rsidR="00325697" w:rsidRPr="00E97E1F" w:rsidRDefault="00325697" w:rsidP="00E97E1F">
            <w:pPr>
              <w:spacing w:after="120" w:line="240" w:lineRule="auto"/>
              <w:rPr>
                <w:rFonts w:ascii="Times New Roman" w:eastAsia="Times New Roman" w:hAnsi="Times New Roman" w:cs="Times New Roman"/>
                <w:sz w:val="18"/>
                <w:szCs w:val="18"/>
              </w:rPr>
            </w:pPr>
          </w:p>
          <w:p w:rsidR="00325697" w:rsidRPr="00E97E1F" w:rsidRDefault="00E97E1F" w:rsidP="00E97E1F">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A N</w:t>
            </w:r>
            <w:r w:rsidR="00325697" w:rsidRPr="00E97E1F">
              <w:rPr>
                <w:rFonts w:ascii="Times New Roman" w:eastAsia="Times New Roman" w:hAnsi="Times New Roman" w:cs="Times New Roman"/>
                <w:sz w:val="18"/>
                <w:szCs w:val="18"/>
              </w:rPr>
              <w:t xml:space="preserve">ota técnica </w:t>
            </w:r>
            <w:r w:rsidRPr="00E97E1F">
              <w:rPr>
                <w:rFonts w:ascii="Times New Roman" w:eastAsia="Times New Roman" w:hAnsi="Times New Roman" w:cs="Times New Roman"/>
                <w:sz w:val="18"/>
                <w:szCs w:val="18"/>
              </w:rPr>
              <w:t xml:space="preserve">apresentada confirma </w:t>
            </w:r>
            <w:r w:rsidR="00325697" w:rsidRPr="00E97E1F">
              <w:rPr>
                <w:rFonts w:ascii="Times New Roman" w:eastAsia="Times New Roman" w:hAnsi="Times New Roman" w:cs="Times New Roman"/>
                <w:sz w:val="18"/>
                <w:szCs w:val="18"/>
              </w:rPr>
              <w:t>os dados informados em dezembro de 2014</w:t>
            </w:r>
            <w:r w:rsidRPr="00E97E1F">
              <w:rPr>
                <w:rFonts w:ascii="Times New Roman" w:eastAsia="Times New Roman" w:hAnsi="Times New Roman" w:cs="Times New Roman"/>
                <w:sz w:val="18"/>
                <w:szCs w:val="18"/>
              </w:rPr>
              <w:t xml:space="preserve"> para STN</w:t>
            </w:r>
          </w:p>
        </w:tc>
      </w:tr>
      <w:tr w:rsidR="00E97E1F" w:rsidRPr="00046243" w:rsidTr="000A175D">
        <w:trPr>
          <w:jc w:val="center"/>
        </w:trPr>
        <w:tc>
          <w:tcPr>
            <w:tcW w:w="2340" w:type="dxa"/>
            <w:vMerge w:val="restart"/>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b/>
                <w:sz w:val="18"/>
                <w:szCs w:val="18"/>
              </w:rPr>
              <w:t>Indicador</w:t>
            </w:r>
            <w:r w:rsidRPr="00046243">
              <w:rPr>
                <w:rFonts w:ascii="Times New Roman" w:eastAsia="Times New Roman" w:hAnsi="Times New Roman" w:cs="Times New Roman"/>
                <w:sz w:val="18"/>
                <w:szCs w:val="18"/>
              </w:rPr>
              <w:t xml:space="preserve">: </w:t>
            </w:r>
            <w:r w:rsidRPr="00046243">
              <w:rPr>
                <w:rFonts w:ascii="Times New Roman" w:hAnsi="Times New Roman" w:cs="Times New Roman"/>
                <w:sz w:val="18"/>
                <w:szCs w:val="18"/>
              </w:rPr>
              <w:t>Estoque da Dívida / RLR (Valor máximo)</w:t>
            </w:r>
          </w:p>
        </w:tc>
        <w:tc>
          <w:tcPr>
            <w:tcW w:w="997"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w:t>
            </w:r>
          </w:p>
        </w:tc>
        <w:tc>
          <w:tcPr>
            <w:tcW w:w="882"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z w:val="18"/>
                <w:szCs w:val="18"/>
              </w:rPr>
              <w:t>0,32</w:t>
            </w:r>
          </w:p>
        </w:tc>
        <w:tc>
          <w:tcPr>
            <w:tcW w:w="871"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2011</w:t>
            </w:r>
          </w:p>
        </w:tc>
        <w:tc>
          <w:tcPr>
            <w:tcW w:w="2421" w:type="dxa"/>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i/>
                <w:sz w:val="18"/>
                <w:szCs w:val="18"/>
              </w:rPr>
            </w:pPr>
            <w:r w:rsidRPr="00046243">
              <w:rPr>
                <w:rFonts w:ascii="Times New Roman" w:hAnsi="Times New Roman" w:cs="Times New Roman"/>
                <w:sz w:val="18"/>
                <w:szCs w:val="18"/>
              </w:rPr>
              <w:t>Programa de Ajuste Fiscal dos Estados (PAF) – Relatório da STN (Provisório 2014/2015)</w:t>
            </w:r>
          </w:p>
        </w:tc>
        <w:tc>
          <w:tcPr>
            <w:tcW w:w="1561" w:type="dxa"/>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1548" w:type="dxa"/>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p>
        </w:tc>
        <w:tc>
          <w:tcPr>
            <w:tcW w:w="1387" w:type="dxa"/>
            <w:vMerge w:val="restart"/>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Dezembro/2014</w:t>
            </w:r>
          </w:p>
        </w:tc>
        <w:tc>
          <w:tcPr>
            <w:tcW w:w="1370" w:type="dxa"/>
            <w:vMerge/>
            <w:tcBorders>
              <w:left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b/>
                <w:color w:val="FF0000"/>
                <w:sz w:val="18"/>
                <w:szCs w:val="18"/>
              </w:rPr>
            </w:pPr>
          </w:p>
        </w:tc>
      </w:tr>
      <w:tr w:rsidR="00E97E1F" w:rsidRPr="00046243" w:rsidTr="000A175D">
        <w:trPr>
          <w:jc w:val="center"/>
        </w:trPr>
        <w:tc>
          <w:tcPr>
            <w:tcW w:w="2340" w:type="dxa"/>
            <w:vMerge/>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997"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82"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71"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2421"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561" w:type="dxa"/>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1548"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z w:val="18"/>
                <w:szCs w:val="18"/>
              </w:rPr>
              <w:t>0,29</w:t>
            </w:r>
          </w:p>
        </w:tc>
        <w:tc>
          <w:tcPr>
            <w:tcW w:w="1387" w:type="dxa"/>
            <w:vMerge/>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70" w:type="dxa"/>
            <w:vMerge/>
            <w:tcBorders>
              <w:left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E97E1F" w:rsidRPr="00046243" w:rsidTr="000A175D">
        <w:trPr>
          <w:jc w:val="center"/>
        </w:trPr>
        <w:tc>
          <w:tcPr>
            <w:tcW w:w="2340" w:type="dxa"/>
            <w:vMerge/>
            <w:tcBorders>
              <w:left w:val="single" w:sz="4" w:space="0" w:color="auto"/>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997"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82"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71" w:type="dxa"/>
            <w:gridSpan w:val="2"/>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2421"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561" w:type="dxa"/>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1548" w:type="dxa"/>
            <w:tcBorders>
              <w:bottom w:val="single" w:sz="4" w:space="0" w:color="auto"/>
            </w:tcBorders>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0,25</w:t>
            </w:r>
          </w:p>
        </w:tc>
        <w:tc>
          <w:tcPr>
            <w:tcW w:w="1387" w:type="dxa"/>
            <w:vMerge/>
            <w:tcBorders>
              <w:bottom w:val="single" w:sz="4" w:space="0" w:color="auto"/>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70" w:type="dxa"/>
            <w:vMerge/>
            <w:tcBorders>
              <w:left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jc w:val="center"/>
        </w:trPr>
        <w:tc>
          <w:tcPr>
            <w:tcW w:w="12007" w:type="dxa"/>
            <w:gridSpan w:val="9"/>
            <w:tcBorders>
              <w:left w:val="single" w:sz="4" w:space="0" w:color="auto"/>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b/>
                <w:sz w:val="18"/>
                <w:szCs w:val="18"/>
              </w:rPr>
              <w:t xml:space="preserve">Impacto 2 – </w:t>
            </w:r>
            <w:r w:rsidRPr="00046243">
              <w:rPr>
                <w:rFonts w:ascii="Times New Roman" w:hAnsi="Times New Roman" w:cs="Times New Roman"/>
                <w:sz w:val="18"/>
                <w:szCs w:val="18"/>
              </w:rPr>
              <w:t>Manter o montante do valor correspondente à diferença entre a Receita Líquida do PAF e as despesas não financeiras, acordado com a STN</w:t>
            </w:r>
          </w:p>
        </w:tc>
        <w:tc>
          <w:tcPr>
            <w:tcW w:w="1370" w:type="dxa"/>
            <w:vMerge/>
            <w:tcBorders>
              <w:left w:val="single" w:sz="4" w:space="0" w:color="auto"/>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E97E1F" w:rsidRPr="00046243" w:rsidTr="000A175D">
        <w:trPr>
          <w:jc w:val="center"/>
        </w:trPr>
        <w:tc>
          <w:tcPr>
            <w:tcW w:w="2340" w:type="dxa"/>
            <w:vMerge w:val="restart"/>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b/>
                <w:sz w:val="18"/>
                <w:szCs w:val="18"/>
              </w:rPr>
              <w:t>Indicador</w:t>
            </w:r>
            <w:r w:rsidRPr="00046243">
              <w:rPr>
                <w:rFonts w:ascii="Times New Roman" w:eastAsia="Times New Roman" w:hAnsi="Times New Roman" w:cs="Times New Roman"/>
                <w:sz w:val="18"/>
                <w:szCs w:val="18"/>
              </w:rPr>
              <w:t xml:space="preserve">: </w:t>
            </w:r>
            <w:r w:rsidRPr="00046243">
              <w:rPr>
                <w:rFonts w:ascii="Times New Roman" w:hAnsi="Times New Roman" w:cs="Times New Roman"/>
                <w:sz w:val="18"/>
                <w:szCs w:val="18"/>
              </w:rPr>
              <w:t>Resultado Primário (Milhões) (Valor mínimo)</w:t>
            </w:r>
          </w:p>
        </w:tc>
        <w:tc>
          <w:tcPr>
            <w:tcW w:w="997"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R$milhões</w:t>
            </w:r>
          </w:p>
        </w:tc>
        <w:tc>
          <w:tcPr>
            <w:tcW w:w="882"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z w:val="18"/>
                <w:szCs w:val="18"/>
              </w:rPr>
              <w:t>738</w:t>
            </w:r>
          </w:p>
        </w:tc>
        <w:tc>
          <w:tcPr>
            <w:tcW w:w="871"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2011</w:t>
            </w:r>
          </w:p>
        </w:tc>
        <w:tc>
          <w:tcPr>
            <w:tcW w:w="2421" w:type="dxa"/>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i/>
                <w:sz w:val="18"/>
                <w:szCs w:val="18"/>
              </w:rPr>
            </w:pPr>
            <w:r w:rsidRPr="00046243">
              <w:rPr>
                <w:rFonts w:ascii="Times New Roman" w:hAnsi="Times New Roman" w:cs="Times New Roman"/>
                <w:sz w:val="18"/>
                <w:szCs w:val="18"/>
              </w:rPr>
              <w:t>Programa de Ajuste Fiscal dos Estados (PAF) – Relatório da STN (Provisório 2014/2015)</w:t>
            </w:r>
          </w:p>
        </w:tc>
        <w:tc>
          <w:tcPr>
            <w:tcW w:w="1561" w:type="dxa"/>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1548" w:type="dxa"/>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p>
        </w:tc>
        <w:tc>
          <w:tcPr>
            <w:tcW w:w="1387" w:type="dxa"/>
            <w:vMerge w:val="restart"/>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Dezembro/2014</w:t>
            </w:r>
          </w:p>
        </w:tc>
        <w:tc>
          <w:tcPr>
            <w:tcW w:w="1370" w:type="dxa"/>
            <w:vMerge/>
            <w:tcBorders>
              <w:left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E97E1F" w:rsidRPr="00046243" w:rsidTr="000A175D">
        <w:trPr>
          <w:jc w:val="center"/>
        </w:trPr>
        <w:tc>
          <w:tcPr>
            <w:tcW w:w="2340" w:type="dxa"/>
            <w:vMerge/>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997"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82"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71"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2421"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561" w:type="dxa"/>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1548"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65</w:t>
            </w:r>
          </w:p>
        </w:tc>
        <w:tc>
          <w:tcPr>
            <w:tcW w:w="1387" w:type="dxa"/>
            <w:vMerge/>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70" w:type="dxa"/>
            <w:vMerge/>
            <w:tcBorders>
              <w:left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E97E1F" w:rsidRPr="00046243" w:rsidTr="000A175D">
        <w:trPr>
          <w:jc w:val="center"/>
        </w:trPr>
        <w:tc>
          <w:tcPr>
            <w:tcW w:w="2340" w:type="dxa"/>
            <w:vMerge/>
            <w:tcBorders>
              <w:left w:val="single" w:sz="4" w:space="0" w:color="auto"/>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997"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82"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71" w:type="dxa"/>
            <w:gridSpan w:val="2"/>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2421"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561" w:type="dxa"/>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1548" w:type="dxa"/>
            <w:tcBorders>
              <w:bottom w:val="single" w:sz="4" w:space="0" w:color="auto"/>
            </w:tcBorders>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74</w:t>
            </w:r>
          </w:p>
        </w:tc>
        <w:tc>
          <w:tcPr>
            <w:tcW w:w="1387" w:type="dxa"/>
            <w:vMerge/>
            <w:tcBorders>
              <w:bottom w:val="single" w:sz="4" w:space="0" w:color="auto"/>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70" w:type="dxa"/>
            <w:vMerge/>
            <w:tcBorders>
              <w:left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jc w:val="center"/>
        </w:trPr>
        <w:tc>
          <w:tcPr>
            <w:tcW w:w="12007" w:type="dxa"/>
            <w:gridSpan w:val="9"/>
            <w:tcBorders>
              <w:left w:val="single" w:sz="4" w:space="0" w:color="auto"/>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b/>
                <w:sz w:val="18"/>
                <w:szCs w:val="18"/>
              </w:rPr>
              <w:t xml:space="preserve">Impacto 3 – </w:t>
            </w:r>
            <w:r w:rsidRPr="00046243">
              <w:rPr>
                <w:rFonts w:ascii="Times New Roman" w:hAnsi="Times New Roman" w:cs="Times New Roman"/>
                <w:sz w:val="18"/>
                <w:szCs w:val="18"/>
              </w:rPr>
              <w:t>Manter a despesa com pessoal em relação à Receita Corrente Líquida abaixo do limite de 60%.</w:t>
            </w:r>
          </w:p>
        </w:tc>
        <w:tc>
          <w:tcPr>
            <w:tcW w:w="1370" w:type="dxa"/>
            <w:vMerge/>
            <w:tcBorders>
              <w:left w:val="single" w:sz="4" w:space="0" w:color="auto"/>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E97E1F" w:rsidRPr="00046243" w:rsidTr="000A175D">
        <w:trPr>
          <w:jc w:val="center"/>
        </w:trPr>
        <w:tc>
          <w:tcPr>
            <w:tcW w:w="2340" w:type="dxa"/>
            <w:vMerge w:val="restart"/>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b/>
                <w:sz w:val="18"/>
                <w:szCs w:val="18"/>
              </w:rPr>
              <w:t>Indicador:</w:t>
            </w:r>
            <w:r w:rsidRPr="00046243">
              <w:rPr>
                <w:rFonts w:ascii="Times New Roman" w:hAnsi="Times New Roman" w:cs="Times New Roman"/>
                <w:sz w:val="18"/>
                <w:szCs w:val="18"/>
              </w:rPr>
              <w:t xml:space="preserve"> Pessoal / RCL (%) (Valor máximo)</w:t>
            </w:r>
          </w:p>
        </w:tc>
        <w:tc>
          <w:tcPr>
            <w:tcW w:w="997"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w:t>
            </w:r>
          </w:p>
        </w:tc>
        <w:tc>
          <w:tcPr>
            <w:tcW w:w="882"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z w:val="18"/>
                <w:szCs w:val="18"/>
              </w:rPr>
              <w:t>52,89</w:t>
            </w:r>
          </w:p>
        </w:tc>
        <w:tc>
          <w:tcPr>
            <w:tcW w:w="871"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2011</w:t>
            </w:r>
          </w:p>
        </w:tc>
        <w:tc>
          <w:tcPr>
            <w:tcW w:w="2421" w:type="dxa"/>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i/>
                <w:sz w:val="18"/>
                <w:szCs w:val="18"/>
              </w:rPr>
            </w:pPr>
            <w:r w:rsidRPr="00046243">
              <w:rPr>
                <w:rFonts w:ascii="Times New Roman" w:hAnsi="Times New Roman" w:cs="Times New Roman"/>
                <w:sz w:val="18"/>
                <w:szCs w:val="18"/>
              </w:rPr>
              <w:t>Programa de Ajuste Fiscal dos Estados (PAF) – Relatório da STN (Provisório 2014/2015)</w:t>
            </w:r>
          </w:p>
        </w:tc>
        <w:tc>
          <w:tcPr>
            <w:tcW w:w="1561" w:type="dxa"/>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1548" w:type="dxa"/>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p>
        </w:tc>
        <w:tc>
          <w:tcPr>
            <w:tcW w:w="1387" w:type="dxa"/>
            <w:vMerge w:val="restart"/>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Dezembro/2014</w:t>
            </w:r>
          </w:p>
        </w:tc>
        <w:tc>
          <w:tcPr>
            <w:tcW w:w="1370" w:type="dxa"/>
            <w:vMerge/>
            <w:tcBorders>
              <w:left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E97E1F" w:rsidRPr="00046243" w:rsidTr="000A175D">
        <w:trPr>
          <w:jc w:val="center"/>
        </w:trPr>
        <w:tc>
          <w:tcPr>
            <w:tcW w:w="2340" w:type="dxa"/>
            <w:vMerge/>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997"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82"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71"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2421"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561" w:type="dxa"/>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1548"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z w:val="18"/>
                <w:szCs w:val="18"/>
              </w:rPr>
              <w:t>52,81</w:t>
            </w:r>
          </w:p>
        </w:tc>
        <w:tc>
          <w:tcPr>
            <w:tcW w:w="1387" w:type="dxa"/>
            <w:vMerge/>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70" w:type="dxa"/>
            <w:vMerge/>
            <w:tcBorders>
              <w:left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E97E1F" w:rsidRPr="00046243" w:rsidTr="000A175D">
        <w:trPr>
          <w:jc w:val="center"/>
        </w:trPr>
        <w:tc>
          <w:tcPr>
            <w:tcW w:w="2340" w:type="dxa"/>
            <w:vMerge/>
            <w:tcBorders>
              <w:left w:val="single" w:sz="4" w:space="0" w:color="auto"/>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997"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82"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71" w:type="dxa"/>
            <w:gridSpan w:val="2"/>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2421"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561" w:type="dxa"/>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1548" w:type="dxa"/>
            <w:tcBorders>
              <w:bottom w:val="single" w:sz="4" w:space="0" w:color="auto"/>
            </w:tcBorders>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55,04</w:t>
            </w:r>
          </w:p>
        </w:tc>
        <w:tc>
          <w:tcPr>
            <w:tcW w:w="1387" w:type="dxa"/>
            <w:vMerge/>
            <w:tcBorders>
              <w:bottom w:val="single" w:sz="4" w:space="0" w:color="auto"/>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70" w:type="dxa"/>
            <w:vMerge/>
            <w:tcBorders>
              <w:left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jc w:val="center"/>
        </w:trPr>
        <w:tc>
          <w:tcPr>
            <w:tcW w:w="12007" w:type="dxa"/>
            <w:gridSpan w:val="9"/>
            <w:tcBorders>
              <w:left w:val="single" w:sz="4" w:space="0" w:color="auto"/>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b/>
                <w:sz w:val="18"/>
                <w:szCs w:val="18"/>
              </w:rPr>
              <w:t xml:space="preserve">Impacto 4 – </w:t>
            </w:r>
            <w:r w:rsidRPr="00046243">
              <w:rPr>
                <w:rFonts w:ascii="Times New Roman" w:hAnsi="Times New Roman" w:cs="Times New Roman"/>
                <w:sz w:val="18"/>
                <w:szCs w:val="18"/>
              </w:rPr>
              <w:t>Atingir R$ 10.891 milhões de receita própria em 2014</w:t>
            </w:r>
          </w:p>
        </w:tc>
        <w:tc>
          <w:tcPr>
            <w:tcW w:w="1370" w:type="dxa"/>
            <w:vMerge/>
            <w:tcBorders>
              <w:left w:val="single" w:sz="4" w:space="0" w:color="auto"/>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E97E1F" w:rsidRPr="00046243" w:rsidTr="000A175D">
        <w:trPr>
          <w:jc w:val="center"/>
        </w:trPr>
        <w:tc>
          <w:tcPr>
            <w:tcW w:w="2340" w:type="dxa"/>
            <w:vMerge w:val="restart"/>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b/>
                <w:sz w:val="18"/>
                <w:szCs w:val="18"/>
              </w:rPr>
              <w:t>Indicador:</w:t>
            </w:r>
            <w:r w:rsidRPr="00046243">
              <w:rPr>
                <w:rFonts w:ascii="Times New Roman" w:hAnsi="Times New Roman" w:cs="Times New Roman"/>
                <w:sz w:val="18"/>
                <w:szCs w:val="18"/>
              </w:rPr>
              <w:t xml:space="preserve"> Receita Própria (Milhões) (Valor mínimo)</w:t>
            </w:r>
          </w:p>
        </w:tc>
        <w:tc>
          <w:tcPr>
            <w:tcW w:w="997"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R$milhões</w:t>
            </w:r>
          </w:p>
        </w:tc>
        <w:tc>
          <w:tcPr>
            <w:tcW w:w="882"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z w:val="18"/>
                <w:szCs w:val="18"/>
              </w:rPr>
              <w:t>6.928</w:t>
            </w:r>
          </w:p>
        </w:tc>
        <w:tc>
          <w:tcPr>
            <w:tcW w:w="871"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2011</w:t>
            </w:r>
          </w:p>
        </w:tc>
        <w:tc>
          <w:tcPr>
            <w:tcW w:w="2421" w:type="dxa"/>
            <w:vMerge w:val="restart"/>
            <w:shd w:val="clear" w:color="auto" w:fill="auto"/>
            <w:vAlign w:val="center"/>
          </w:tcPr>
          <w:p w:rsidR="00325697" w:rsidRPr="00046243" w:rsidRDefault="00325697" w:rsidP="009C7A21">
            <w:pPr>
              <w:spacing w:after="120" w:line="240" w:lineRule="auto"/>
              <w:rPr>
                <w:rFonts w:ascii="Times New Roman" w:hAnsi="Times New Roman" w:cs="Times New Roman"/>
                <w:sz w:val="18"/>
                <w:szCs w:val="18"/>
              </w:rPr>
            </w:pPr>
            <w:r w:rsidRPr="00046243">
              <w:rPr>
                <w:rFonts w:ascii="Times New Roman" w:hAnsi="Times New Roman" w:cs="Times New Roman"/>
                <w:sz w:val="18"/>
                <w:szCs w:val="18"/>
              </w:rPr>
              <w:t>Programa de Ajuste Fiscal dos Estados (PAF) – Relatório da STN (Provisório 2014/2015)</w:t>
            </w:r>
          </w:p>
        </w:tc>
        <w:tc>
          <w:tcPr>
            <w:tcW w:w="1561" w:type="dxa"/>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1548" w:type="dxa"/>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p>
        </w:tc>
        <w:tc>
          <w:tcPr>
            <w:tcW w:w="1387" w:type="dxa"/>
            <w:vMerge w:val="restart"/>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Dezembro/2014</w:t>
            </w:r>
          </w:p>
        </w:tc>
        <w:tc>
          <w:tcPr>
            <w:tcW w:w="1370" w:type="dxa"/>
            <w:vMerge/>
            <w:tcBorders>
              <w:left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E97E1F" w:rsidRPr="00046243" w:rsidTr="000A175D">
        <w:trPr>
          <w:jc w:val="center"/>
        </w:trPr>
        <w:tc>
          <w:tcPr>
            <w:tcW w:w="2340" w:type="dxa"/>
            <w:vMerge/>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997"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82"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71"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2421"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561" w:type="dxa"/>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1548"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z w:val="18"/>
                <w:szCs w:val="18"/>
              </w:rPr>
              <w:t>10.939</w:t>
            </w:r>
          </w:p>
        </w:tc>
        <w:tc>
          <w:tcPr>
            <w:tcW w:w="1387" w:type="dxa"/>
            <w:vMerge/>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70" w:type="dxa"/>
            <w:vMerge/>
            <w:tcBorders>
              <w:left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E97E1F" w:rsidRPr="00046243" w:rsidTr="000A175D">
        <w:trPr>
          <w:jc w:val="center"/>
        </w:trPr>
        <w:tc>
          <w:tcPr>
            <w:tcW w:w="2340" w:type="dxa"/>
            <w:vMerge/>
            <w:tcBorders>
              <w:left w:val="single" w:sz="4" w:space="0" w:color="auto"/>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997"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82"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871" w:type="dxa"/>
            <w:gridSpan w:val="2"/>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2421"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561" w:type="dxa"/>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r w:rsidRPr="00046243">
              <w:rPr>
                <w:rStyle w:val="Refdenotaderodap"/>
                <w:rFonts w:ascii="Times New Roman" w:eastAsia="Times New Roman" w:hAnsi="Times New Roman" w:cs="Times New Roman"/>
                <w:sz w:val="18"/>
                <w:szCs w:val="18"/>
              </w:rPr>
              <w:footnoteReference w:id="13"/>
            </w:r>
          </w:p>
        </w:tc>
        <w:tc>
          <w:tcPr>
            <w:tcW w:w="1548" w:type="dxa"/>
            <w:tcBorders>
              <w:bottom w:val="single" w:sz="4" w:space="0" w:color="auto"/>
            </w:tcBorders>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11,234</w:t>
            </w:r>
          </w:p>
        </w:tc>
        <w:tc>
          <w:tcPr>
            <w:tcW w:w="1387" w:type="dxa"/>
            <w:vMerge/>
            <w:tcBorders>
              <w:bottom w:val="single" w:sz="4" w:space="0" w:color="auto"/>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70" w:type="dxa"/>
            <w:vMerge/>
            <w:tcBorders>
              <w:left w:val="single" w:sz="4" w:space="0" w:color="auto"/>
              <w:bottom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bl>
    <w:p w:rsidR="00325697" w:rsidRPr="00046243" w:rsidRDefault="00325697" w:rsidP="009C7A21">
      <w:pPr>
        <w:pStyle w:val="PargrafodaLista"/>
        <w:spacing w:before="240" w:after="240" w:line="240" w:lineRule="auto"/>
        <w:ind w:left="360"/>
        <w:jc w:val="center"/>
        <w:rPr>
          <w:rFonts w:ascii="Times New Roman" w:hAnsi="Times New Roman" w:cs="Times New Roman"/>
          <w:b/>
          <w:sz w:val="24"/>
          <w:szCs w:val="24"/>
        </w:rPr>
      </w:pPr>
      <w:r w:rsidRPr="00046243">
        <w:rPr>
          <w:rFonts w:ascii="Times New Roman" w:hAnsi="Times New Roman" w:cs="Times New Roman"/>
          <w:b/>
          <w:sz w:val="24"/>
          <w:szCs w:val="24"/>
        </w:rPr>
        <w:br w:type="page"/>
      </w:r>
      <w:r w:rsidRPr="00046243">
        <w:rPr>
          <w:rFonts w:ascii="Times New Roman" w:hAnsi="Times New Roman" w:cs="Times New Roman"/>
          <w:b/>
          <w:sz w:val="24"/>
          <w:szCs w:val="24"/>
        </w:rPr>
        <w:lastRenderedPageBreak/>
        <w:t>RESULTADOS</w:t>
      </w:r>
    </w:p>
    <w:tbl>
      <w:tblPr>
        <w:tblW w:w="13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353"/>
        <w:gridCol w:w="1333"/>
        <w:gridCol w:w="1332"/>
        <w:gridCol w:w="1686"/>
        <w:gridCol w:w="1423"/>
        <w:gridCol w:w="866"/>
        <w:gridCol w:w="1260"/>
        <w:gridCol w:w="2192"/>
      </w:tblGrid>
      <w:tr w:rsidR="00325697" w:rsidRPr="00046243" w:rsidTr="000A175D">
        <w:trPr>
          <w:tblHeader/>
          <w:jc w:val="center"/>
        </w:trPr>
        <w:tc>
          <w:tcPr>
            <w:tcW w:w="2458" w:type="dxa"/>
            <w:tcBorders>
              <w:left w:val="single" w:sz="4" w:space="0" w:color="auto"/>
            </w:tcBorders>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Resultado/Indicador</w:t>
            </w:r>
          </w:p>
        </w:tc>
        <w:tc>
          <w:tcPr>
            <w:tcW w:w="1353"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Unidade de Medida</w:t>
            </w:r>
          </w:p>
        </w:tc>
        <w:tc>
          <w:tcPr>
            <w:tcW w:w="1333"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da Linha de Base</w:t>
            </w:r>
          </w:p>
        </w:tc>
        <w:tc>
          <w:tcPr>
            <w:tcW w:w="1332"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Ano da Linha de Base</w:t>
            </w:r>
          </w:p>
        </w:tc>
        <w:tc>
          <w:tcPr>
            <w:tcW w:w="1686"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Meio de Verificação</w:t>
            </w:r>
          </w:p>
        </w:tc>
        <w:tc>
          <w:tcPr>
            <w:tcW w:w="2289"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Metas (2014) e Resultados Alcançados</w:t>
            </w:r>
          </w:p>
        </w:tc>
        <w:tc>
          <w:tcPr>
            <w:tcW w:w="1260" w:type="dxa"/>
            <w:tcBorders>
              <w:right w:val="single" w:sz="4" w:space="0" w:color="auto"/>
            </w:tcBorders>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Data em que as metas foram alcançadas (mês/ano)</w:t>
            </w:r>
          </w:p>
        </w:tc>
        <w:tc>
          <w:tcPr>
            <w:tcW w:w="2192" w:type="dxa"/>
            <w:tcBorders>
              <w:right w:val="single" w:sz="4" w:space="0" w:color="auto"/>
            </w:tcBorders>
            <w:shd w:val="clear" w:color="auto" w:fill="auto"/>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b/>
                <w:sz w:val="18"/>
                <w:szCs w:val="18"/>
              </w:rPr>
              <w:t>Comentário</w:t>
            </w:r>
          </w:p>
        </w:tc>
      </w:tr>
      <w:tr w:rsidR="00325697" w:rsidRPr="000E34C0" w:rsidTr="000A175D">
        <w:trPr>
          <w:jc w:val="center"/>
        </w:trPr>
        <w:tc>
          <w:tcPr>
            <w:tcW w:w="13903" w:type="dxa"/>
            <w:gridSpan w:val="9"/>
            <w:tcBorders>
              <w:left w:val="single" w:sz="4" w:space="0" w:color="auto"/>
              <w:right w:val="single" w:sz="4" w:space="0" w:color="auto"/>
            </w:tcBorders>
            <w:shd w:val="clear" w:color="auto" w:fill="auto"/>
            <w:vAlign w:val="center"/>
          </w:tcPr>
          <w:p w:rsidR="00325697" w:rsidRPr="000E34C0" w:rsidRDefault="00325697" w:rsidP="009C7A21">
            <w:pPr>
              <w:spacing w:after="120" w:line="240" w:lineRule="auto"/>
              <w:rPr>
                <w:rFonts w:ascii="Times New Roman" w:eastAsia="Times New Roman" w:hAnsi="Times New Roman" w:cs="Times New Roman"/>
                <w:sz w:val="18"/>
                <w:szCs w:val="18"/>
              </w:rPr>
            </w:pPr>
            <w:r w:rsidRPr="000E34C0">
              <w:rPr>
                <w:rFonts w:ascii="Times New Roman" w:eastAsia="Times New Roman" w:hAnsi="Times New Roman" w:cs="Times New Roman"/>
                <w:b/>
                <w:sz w:val="18"/>
                <w:szCs w:val="18"/>
              </w:rPr>
              <w:t xml:space="preserve">Resultado 1 – </w:t>
            </w:r>
            <w:r w:rsidRPr="000E34C0">
              <w:rPr>
                <w:rFonts w:ascii="Times New Roman" w:eastAsia="Times New Roman" w:hAnsi="Times New Roman" w:cs="Times New Roman"/>
                <w:sz w:val="18"/>
                <w:szCs w:val="18"/>
              </w:rPr>
              <w:t>Redução do c</w:t>
            </w:r>
            <w:r w:rsidRPr="000E34C0">
              <w:rPr>
                <w:rFonts w:ascii="Times New Roman" w:hAnsi="Times New Roman" w:cs="Times New Roman"/>
                <w:sz w:val="18"/>
                <w:szCs w:val="18"/>
                <w:lang w:eastAsia="pt-BR"/>
              </w:rPr>
              <w:t>usto da administração fazendária em relação à arrecadação própria</w:t>
            </w:r>
          </w:p>
        </w:tc>
      </w:tr>
      <w:tr w:rsidR="00325697" w:rsidRPr="000E34C0" w:rsidTr="000A175D">
        <w:trPr>
          <w:jc w:val="center"/>
        </w:trPr>
        <w:tc>
          <w:tcPr>
            <w:tcW w:w="2458" w:type="dxa"/>
            <w:vMerge w:val="restart"/>
            <w:tcBorders>
              <w:left w:val="single" w:sz="4" w:space="0" w:color="auto"/>
            </w:tcBorders>
            <w:shd w:val="clear" w:color="auto" w:fill="auto"/>
            <w:vAlign w:val="center"/>
          </w:tcPr>
          <w:p w:rsidR="00325697" w:rsidRPr="000E34C0" w:rsidRDefault="00325697" w:rsidP="009C7A21">
            <w:pPr>
              <w:spacing w:after="120" w:line="240" w:lineRule="auto"/>
              <w:rPr>
                <w:rFonts w:ascii="Times New Roman" w:eastAsia="Times New Roman" w:hAnsi="Times New Roman" w:cs="Times New Roman"/>
                <w:sz w:val="18"/>
                <w:szCs w:val="18"/>
              </w:rPr>
            </w:pPr>
            <w:r w:rsidRPr="000E34C0">
              <w:rPr>
                <w:rFonts w:ascii="Times New Roman" w:eastAsia="Times New Roman" w:hAnsi="Times New Roman" w:cs="Times New Roman"/>
                <w:b/>
                <w:sz w:val="18"/>
                <w:szCs w:val="18"/>
              </w:rPr>
              <w:t>Indicador</w:t>
            </w:r>
            <w:r w:rsidRPr="000E34C0">
              <w:rPr>
                <w:rFonts w:ascii="Times New Roman" w:eastAsia="Times New Roman" w:hAnsi="Times New Roman" w:cs="Times New Roman"/>
                <w:sz w:val="18"/>
                <w:szCs w:val="18"/>
              </w:rPr>
              <w:t xml:space="preserve">: </w:t>
            </w:r>
            <w:r w:rsidRPr="000E34C0">
              <w:rPr>
                <w:rFonts w:ascii="Times New Roman" w:hAnsi="Times New Roman" w:cs="Times New Roman"/>
                <w:sz w:val="18"/>
                <w:szCs w:val="18"/>
              </w:rPr>
              <w:t>Custo da administração fazendária em relação à arrecadação própria</w:t>
            </w:r>
          </w:p>
        </w:tc>
        <w:tc>
          <w:tcPr>
            <w:tcW w:w="1353" w:type="dxa"/>
            <w:vMerge w:val="restart"/>
            <w:shd w:val="clear" w:color="auto" w:fill="auto"/>
            <w:vAlign w:val="center"/>
          </w:tcPr>
          <w:p w:rsidR="00325697" w:rsidRPr="000E34C0" w:rsidRDefault="00325697" w:rsidP="009C7A21">
            <w:pPr>
              <w:spacing w:after="120" w:line="240" w:lineRule="auto"/>
              <w:jc w:val="center"/>
              <w:rPr>
                <w:rFonts w:ascii="Times New Roman" w:eastAsia="Times New Roman" w:hAnsi="Times New Roman" w:cs="Times New Roman"/>
                <w:sz w:val="18"/>
                <w:szCs w:val="18"/>
              </w:rPr>
            </w:pPr>
            <w:r w:rsidRPr="000E34C0">
              <w:rPr>
                <w:rFonts w:ascii="Times New Roman" w:eastAsia="Times New Roman" w:hAnsi="Times New Roman" w:cs="Times New Roman"/>
                <w:sz w:val="18"/>
                <w:szCs w:val="18"/>
              </w:rPr>
              <w:t>%</w:t>
            </w:r>
          </w:p>
        </w:tc>
        <w:tc>
          <w:tcPr>
            <w:tcW w:w="1333" w:type="dxa"/>
            <w:vMerge w:val="restart"/>
            <w:shd w:val="clear" w:color="auto" w:fill="auto"/>
            <w:vAlign w:val="center"/>
          </w:tcPr>
          <w:p w:rsidR="00325697" w:rsidRPr="000E34C0" w:rsidRDefault="00325697" w:rsidP="009C7A21">
            <w:pPr>
              <w:spacing w:after="120" w:line="240" w:lineRule="auto"/>
              <w:jc w:val="center"/>
              <w:rPr>
                <w:rFonts w:ascii="Times New Roman" w:eastAsia="Times New Roman" w:hAnsi="Times New Roman" w:cs="Times New Roman"/>
                <w:sz w:val="18"/>
                <w:szCs w:val="18"/>
              </w:rPr>
            </w:pPr>
            <w:r w:rsidRPr="000E34C0">
              <w:rPr>
                <w:rFonts w:ascii="Times New Roman" w:hAnsi="Times New Roman" w:cs="Times New Roman"/>
                <w:sz w:val="18"/>
                <w:szCs w:val="18"/>
              </w:rPr>
              <w:t>0,0325</w:t>
            </w:r>
          </w:p>
        </w:tc>
        <w:tc>
          <w:tcPr>
            <w:tcW w:w="1332" w:type="dxa"/>
            <w:vMerge w:val="restart"/>
            <w:shd w:val="clear" w:color="auto" w:fill="auto"/>
            <w:vAlign w:val="center"/>
          </w:tcPr>
          <w:p w:rsidR="00325697" w:rsidRPr="000E34C0" w:rsidRDefault="00325697" w:rsidP="009C7A21">
            <w:pPr>
              <w:spacing w:after="120" w:line="240" w:lineRule="auto"/>
              <w:jc w:val="center"/>
              <w:rPr>
                <w:rFonts w:ascii="Times New Roman" w:eastAsia="Times New Roman" w:hAnsi="Times New Roman" w:cs="Times New Roman"/>
                <w:sz w:val="18"/>
                <w:szCs w:val="18"/>
              </w:rPr>
            </w:pPr>
            <w:r w:rsidRPr="000E34C0">
              <w:rPr>
                <w:rFonts w:ascii="Times New Roman" w:eastAsia="Times New Roman" w:hAnsi="Times New Roman" w:cs="Times New Roman"/>
                <w:sz w:val="18"/>
                <w:szCs w:val="18"/>
              </w:rPr>
              <w:t>2009</w:t>
            </w:r>
          </w:p>
        </w:tc>
        <w:tc>
          <w:tcPr>
            <w:tcW w:w="1686" w:type="dxa"/>
            <w:vMerge w:val="restart"/>
            <w:shd w:val="clear" w:color="auto" w:fill="auto"/>
            <w:vAlign w:val="center"/>
          </w:tcPr>
          <w:p w:rsidR="00325697" w:rsidRPr="000E34C0" w:rsidRDefault="00325697" w:rsidP="009C7A21">
            <w:pPr>
              <w:spacing w:after="120" w:line="240" w:lineRule="auto"/>
              <w:rPr>
                <w:rFonts w:ascii="Times New Roman" w:eastAsia="Times New Roman" w:hAnsi="Times New Roman" w:cs="Times New Roman"/>
                <w:sz w:val="18"/>
                <w:szCs w:val="18"/>
              </w:rPr>
            </w:pPr>
            <w:r w:rsidRPr="000E34C0">
              <w:rPr>
                <w:rFonts w:ascii="Times New Roman" w:eastAsia="Times New Roman" w:hAnsi="Times New Roman" w:cs="Times New Roman"/>
                <w:sz w:val="18"/>
                <w:szCs w:val="18"/>
              </w:rPr>
              <w:t xml:space="preserve">Relatório do Sistema SIAFEM </w:t>
            </w:r>
          </w:p>
        </w:tc>
        <w:tc>
          <w:tcPr>
            <w:tcW w:w="1423" w:type="dxa"/>
            <w:shd w:val="clear" w:color="auto" w:fill="auto"/>
            <w:vAlign w:val="center"/>
          </w:tcPr>
          <w:p w:rsidR="00325697" w:rsidRPr="000E34C0" w:rsidRDefault="00325697" w:rsidP="009C7A21">
            <w:pPr>
              <w:spacing w:after="120" w:line="240" w:lineRule="auto"/>
              <w:rPr>
                <w:rFonts w:ascii="Times New Roman" w:eastAsia="Times New Roman" w:hAnsi="Times New Roman" w:cs="Times New Roman"/>
                <w:sz w:val="18"/>
                <w:szCs w:val="18"/>
              </w:rPr>
            </w:pPr>
            <w:r w:rsidRPr="000E34C0">
              <w:rPr>
                <w:rFonts w:ascii="Times New Roman" w:eastAsia="Times New Roman" w:hAnsi="Times New Roman" w:cs="Times New Roman"/>
                <w:sz w:val="18"/>
                <w:szCs w:val="18"/>
              </w:rPr>
              <w:t>Valor original</w:t>
            </w:r>
          </w:p>
        </w:tc>
        <w:tc>
          <w:tcPr>
            <w:tcW w:w="866" w:type="dxa"/>
            <w:shd w:val="clear" w:color="auto" w:fill="D9D9D9"/>
            <w:vAlign w:val="center"/>
          </w:tcPr>
          <w:p w:rsidR="00325697" w:rsidRPr="000E34C0" w:rsidRDefault="00325697" w:rsidP="009C7A21">
            <w:pPr>
              <w:spacing w:after="120" w:line="240" w:lineRule="auto"/>
              <w:jc w:val="center"/>
              <w:rPr>
                <w:rFonts w:ascii="Times New Roman" w:eastAsia="Times New Roman" w:hAnsi="Times New Roman" w:cs="Times New Roman"/>
                <w:b/>
                <w:sz w:val="18"/>
                <w:szCs w:val="18"/>
              </w:rPr>
            </w:pPr>
          </w:p>
        </w:tc>
        <w:tc>
          <w:tcPr>
            <w:tcW w:w="1260" w:type="dxa"/>
            <w:vMerge w:val="restart"/>
            <w:tcBorders>
              <w:right w:val="single" w:sz="4" w:space="0" w:color="auto"/>
            </w:tcBorders>
            <w:shd w:val="clear" w:color="auto" w:fill="auto"/>
            <w:vAlign w:val="center"/>
          </w:tcPr>
          <w:p w:rsidR="00325697" w:rsidRPr="000E34C0" w:rsidRDefault="00325697" w:rsidP="009C7A21">
            <w:pPr>
              <w:spacing w:after="120" w:line="240" w:lineRule="auto"/>
              <w:rPr>
                <w:rFonts w:ascii="Times New Roman" w:eastAsia="Times New Roman" w:hAnsi="Times New Roman" w:cs="Times New Roman"/>
                <w:sz w:val="18"/>
                <w:szCs w:val="18"/>
              </w:rPr>
            </w:pPr>
            <w:r w:rsidRPr="000E34C0">
              <w:rPr>
                <w:rFonts w:ascii="Times New Roman" w:eastAsia="Times New Roman" w:hAnsi="Times New Roman" w:cs="Times New Roman"/>
                <w:sz w:val="18"/>
                <w:szCs w:val="18"/>
              </w:rPr>
              <w:t>Dezembro de 2014</w:t>
            </w:r>
          </w:p>
        </w:tc>
        <w:tc>
          <w:tcPr>
            <w:tcW w:w="2192" w:type="dxa"/>
            <w:vMerge w:val="restart"/>
            <w:tcBorders>
              <w:left w:val="single" w:sz="4" w:space="0" w:color="auto"/>
              <w:right w:val="single" w:sz="4" w:space="0" w:color="auto"/>
            </w:tcBorders>
            <w:shd w:val="clear" w:color="auto" w:fill="auto"/>
          </w:tcPr>
          <w:p w:rsidR="00325697" w:rsidRPr="000E34C0"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jc w:val="center"/>
        </w:trPr>
        <w:tc>
          <w:tcPr>
            <w:tcW w:w="2458" w:type="dxa"/>
            <w:vMerge/>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1353"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1333"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1332"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1686" w:type="dxa"/>
            <w:vMerge/>
            <w:shd w:val="clear" w:color="auto" w:fill="auto"/>
            <w:vAlign w:val="center"/>
          </w:tcPr>
          <w:p w:rsidR="00325697" w:rsidRPr="000E34C0" w:rsidRDefault="00325697" w:rsidP="009C7A21">
            <w:pPr>
              <w:spacing w:after="120" w:line="240" w:lineRule="auto"/>
              <w:rPr>
                <w:rFonts w:ascii="Times New Roman" w:eastAsia="Times New Roman" w:hAnsi="Times New Roman" w:cs="Times New Roman"/>
                <w:color w:val="FF0000"/>
                <w:sz w:val="18"/>
                <w:szCs w:val="18"/>
              </w:rPr>
            </w:pPr>
          </w:p>
        </w:tc>
        <w:tc>
          <w:tcPr>
            <w:tcW w:w="1423" w:type="dxa"/>
            <w:shd w:val="clear" w:color="auto" w:fill="auto"/>
            <w:vAlign w:val="center"/>
          </w:tcPr>
          <w:p w:rsidR="00325697" w:rsidRPr="000E34C0" w:rsidRDefault="00325697" w:rsidP="009C7A21">
            <w:pPr>
              <w:spacing w:after="120" w:line="240" w:lineRule="auto"/>
              <w:rPr>
                <w:rFonts w:ascii="Times New Roman" w:eastAsia="Times New Roman" w:hAnsi="Times New Roman" w:cs="Times New Roman"/>
                <w:sz w:val="18"/>
                <w:szCs w:val="18"/>
              </w:rPr>
            </w:pPr>
            <w:r w:rsidRPr="000E34C0">
              <w:rPr>
                <w:rFonts w:ascii="Times New Roman" w:eastAsia="Times New Roman" w:hAnsi="Times New Roman" w:cs="Times New Roman"/>
                <w:sz w:val="18"/>
                <w:szCs w:val="18"/>
              </w:rPr>
              <w:t xml:space="preserve">Valor revisado </w:t>
            </w:r>
          </w:p>
        </w:tc>
        <w:tc>
          <w:tcPr>
            <w:tcW w:w="866" w:type="dxa"/>
            <w:shd w:val="clear" w:color="auto" w:fill="auto"/>
            <w:vAlign w:val="center"/>
          </w:tcPr>
          <w:p w:rsidR="00325697" w:rsidRPr="000E34C0" w:rsidRDefault="000E34C0" w:rsidP="009C7A21">
            <w:pPr>
              <w:spacing w:after="120" w:line="240" w:lineRule="auto"/>
              <w:jc w:val="center"/>
              <w:rPr>
                <w:rFonts w:ascii="Times New Roman" w:eastAsia="Times New Roman" w:hAnsi="Times New Roman" w:cs="Times New Roman"/>
                <w:sz w:val="18"/>
                <w:szCs w:val="18"/>
              </w:rPr>
            </w:pPr>
            <w:r w:rsidRPr="000E34C0">
              <w:rPr>
                <w:rFonts w:ascii="Times New Roman" w:hAnsi="Times New Roman" w:cs="Times New Roman"/>
                <w:sz w:val="18"/>
                <w:szCs w:val="18"/>
              </w:rPr>
              <w:t>0,037</w:t>
            </w:r>
          </w:p>
        </w:tc>
        <w:tc>
          <w:tcPr>
            <w:tcW w:w="1260" w:type="dxa"/>
            <w:vMerge/>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2192" w:type="dxa"/>
            <w:vMerge/>
            <w:tcBorders>
              <w:left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r>
      <w:tr w:rsidR="00325697" w:rsidRPr="00046243" w:rsidTr="000A175D">
        <w:trPr>
          <w:jc w:val="center"/>
        </w:trPr>
        <w:tc>
          <w:tcPr>
            <w:tcW w:w="2458" w:type="dxa"/>
            <w:vMerge/>
            <w:tcBorders>
              <w:left w:val="single" w:sz="4" w:space="0" w:color="auto"/>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1353"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1333"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1332"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1686"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1423" w:type="dxa"/>
            <w:tcBorders>
              <w:bottom w:val="single" w:sz="4" w:space="0" w:color="auto"/>
            </w:tcBorders>
            <w:shd w:val="clear" w:color="auto" w:fill="auto"/>
            <w:vAlign w:val="center"/>
          </w:tcPr>
          <w:p w:rsidR="00325697" w:rsidRPr="000E34C0" w:rsidRDefault="00325697" w:rsidP="009C7A21">
            <w:pPr>
              <w:spacing w:after="120" w:line="240" w:lineRule="auto"/>
              <w:rPr>
                <w:rFonts w:ascii="Times New Roman" w:eastAsia="Times New Roman" w:hAnsi="Times New Roman" w:cs="Times New Roman"/>
                <w:sz w:val="18"/>
                <w:szCs w:val="18"/>
              </w:rPr>
            </w:pPr>
            <w:r w:rsidRPr="000E34C0">
              <w:rPr>
                <w:rFonts w:ascii="Times New Roman" w:eastAsia="Times New Roman" w:hAnsi="Times New Roman" w:cs="Times New Roman"/>
                <w:sz w:val="18"/>
                <w:szCs w:val="18"/>
              </w:rPr>
              <w:t>Valor alcançado</w:t>
            </w:r>
          </w:p>
        </w:tc>
        <w:tc>
          <w:tcPr>
            <w:tcW w:w="866" w:type="dxa"/>
            <w:tcBorders>
              <w:bottom w:val="single" w:sz="4" w:space="0" w:color="auto"/>
            </w:tcBorders>
            <w:shd w:val="clear" w:color="auto" w:fill="auto"/>
            <w:vAlign w:val="center"/>
          </w:tcPr>
          <w:p w:rsidR="00325697" w:rsidRPr="000E34C0" w:rsidRDefault="000E34C0" w:rsidP="009C7A21">
            <w:pPr>
              <w:spacing w:after="120" w:line="240" w:lineRule="auto"/>
              <w:jc w:val="center"/>
              <w:rPr>
                <w:rFonts w:ascii="Times New Roman" w:eastAsia="Times New Roman" w:hAnsi="Times New Roman" w:cs="Times New Roman"/>
                <w:sz w:val="18"/>
                <w:szCs w:val="18"/>
              </w:rPr>
            </w:pPr>
            <w:r w:rsidRPr="000E34C0">
              <w:rPr>
                <w:rFonts w:ascii="Times New Roman" w:eastAsia="Times New Roman" w:hAnsi="Times New Roman" w:cs="Times New Roman"/>
                <w:sz w:val="18"/>
                <w:szCs w:val="18"/>
              </w:rPr>
              <w:t>0,0321</w:t>
            </w:r>
          </w:p>
        </w:tc>
        <w:tc>
          <w:tcPr>
            <w:tcW w:w="1260" w:type="dxa"/>
            <w:vMerge/>
            <w:tcBorders>
              <w:bottom w:val="single" w:sz="4" w:space="0" w:color="auto"/>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2192" w:type="dxa"/>
            <w:vMerge/>
            <w:tcBorders>
              <w:left w:val="single" w:sz="4" w:space="0" w:color="auto"/>
              <w:bottom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r>
      <w:tr w:rsidR="00325697" w:rsidRPr="00046243" w:rsidTr="000A175D">
        <w:trPr>
          <w:jc w:val="center"/>
        </w:trPr>
        <w:tc>
          <w:tcPr>
            <w:tcW w:w="11711" w:type="dxa"/>
            <w:gridSpan w:val="8"/>
            <w:tcBorders>
              <w:left w:val="single" w:sz="4" w:space="0" w:color="auto"/>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b/>
                <w:sz w:val="18"/>
                <w:szCs w:val="18"/>
              </w:rPr>
            </w:pPr>
            <w:r w:rsidRPr="00046243">
              <w:rPr>
                <w:rFonts w:ascii="Times New Roman" w:eastAsia="Times New Roman" w:hAnsi="Times New Roman" w:cs="Times New Roman"/>
                <w:b/>
                <w:sz w:val="18"/>
                <w:szCs w:val="18"/>
              </w:rPr>
              <w:t xml:space="preserve">Resultado 2 – </w:t>
            </w:r>
            <w:r w:rsidRPr="00046243">
              <w:rPr>
                <w:rFonts w:ascii="Times New Roman" w:hAnsi="Times New Roman" w:cs="Times New Roman"/>
                <w:sz w:val="18"/>
                <w:szCs w:val="18"/>
              </w:rPr>
              <w:t>Incremento da arrecadação proveniente do segmento de comércio varejista</w:t>
            </w:r>
          </w:p>
        </w:tc>
        <w:tc>
          <w:tcPr>
            <w:tcW w:w="2192" w:type="dxa"/>
            <w:tcBorders>
              <w:left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b/>
                <w:color w:val="FF0000"/>
                <w:sz w:val="18"/>
                <w:szCs w:val="18"/>
              </w:rPr>
            </w:pPr>
          </w:p>
        </w:tc>
      </w:tr>
      <w:tr w:rsidR="00325697" w:rsidRPr="00046243" w:rsidTr="000A175D">
        <w:trPr>
          <w:jc w:val="center"/>
        </w:trPr>
        <w:tc>
          <w:tcPr>
            <w:tcW w:w="2458" w:type="dxa"/>
            <w:vMerge w:val="restart"/>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b/>
                <w:sz w:val="18"/>
                <w:szCs w:val="18"/>
              </w:rPr>
              <w:t>Indicador</w:t>
            </w:r>
            <w:r w:rsidRPr="00046243">
              <w:rPr>
                <w:rFonts w:ascii="Times New Roman" w:eastAsia="Times New Roman" w:hAnsi="Times New Roman" w:cs="Times New Roman"/>
                <w:sz w:val="18"/>
                <w:szCs w:val="18"/>
              </w:rPr>
              <w:t xml:space="preserve">: </w:t>
            </w:r>
            <w:r w:rsidRPr="00046243">
              <w:rPr>
                <w:rFonts w:ascii="Times New Roman" w:hAnsi="Times New Roman" w:cs="Times New Roman"/>
                <w:sz w:val="18"/>
                <w:szCs w:val="18"/>
              </w:rPr>
              <w:t xml:space="preserve">Arrecadação proveniente do segmento de comércio varejista </w:t>
            </w:r>
          </w:p>
        </w:tc>
        <w:tc>
          <w:tcPr>
            <w:tcW w:w="1353"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R$ milhões</w:t>
            </w:r>
          </w:p>
        </w:tc>
        <w:tc>
          <w:tcPr>
            <w:tcW w:w="1333"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511</w:t>
            </w:r>
          </w:p>
        </w:tc>
        <w:tc>
          <w:tcPr>
            <w:tcW w:w="1332"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2009</w:t>
            </w:r>
          </w:p>
        </w:tc>
        <w:tc>
          <w:tcPr>
            <w:tcW w:w="1686" w:type="dxa"/>
            <w:vMerge w:val="restart"/>
            <w:shd w:val="clear" w:color="auto" w:fill="auto"/>
            <w:vAlign w:val="center"/>
          </w:tcPr>
          <w:p w:rsidR="00325697" w:rsidRPr="000E34C0" w:rsidRDefault="00325697" w:rsidP="009C7A21">
            <w:pPr>
              <w:spacing w:after="120" w:line="240" w:lineRule="auto"/>
              <w:rPr>
                <w:rFonts w:ascii="Times New Roman" w:eastAsia="Times New Roman" w:hAnsi="Times New Roman" w:cs="Times New Roman"/>
                <w:sz w:val="18"/>
                <w:szCs w:val="18"/>
              </w:rPr>
            </w:pPr>
            <w:r w:rsidRPr="000E34C0">
              <w:rPr>
                <w:rFonts w:ascii="Times New Roman" w:eastAsia="Times New Roman" w:hAnsi="Times New Roman" w:cs="Times New Roman"/>
                <w:sz w:val="18"/>
                <w:szCs w:val="18"/>
              </w:rPr>
              <w:t xml:space="preserve">Balanço Geral do Estado. </w:t>
            </w:r>
          </w:p>
        </w:tc>
        <w:tc>
          <w:tcPr>
            <w:tcW w:w="1423" w:type="dxa"/>
            <w:shd w:val="clear" w:color="auto" w:fill="auto"/>
            <w:vAlign w:val="center"/>
          </w:tcPr>
          <w:p w:rsidR="00325697" w:rsidRPr="000E34C0" w:rsidRDefault="00325697" w:rsidP="009C7A21">
            <w:pPr>
              <w:spacing w:after="120" w:line="240" w:lineRule="auto"/>
              <w:rPr>
                <w:rFonts w:ascii="Times New Roman" w:eastAsia="Times New Roman" w:hAnsi="Times New Roman" w:cs="Times New Roman"/>
                <w:sz w:val="18"/>
                <w:szCs w:val="18"/>
              </w:rPr>
            </w:pPr>
            <w:r w:rsidRPr="000E34C0">
              <w:rPr>
                <w:rFonts w:ascii="Times New Roman" w:eastAsia="Times New Roman" w:hAnsi="Times New Roman" w:cs="Times New Roman"/>
                <w:sz w:val="18"/>
                <w:szCs w:val="18"/>
              </w:rPr>
              <w:t>Valor original</w:t>
            </w:r>
          </w:p>
        </w:tc>
        <w:tc>
          <w:tcPr>
            <w:tcW w:w="866" w:type="dxa"/>
            <w:shd w:val="clear" w:color="auto" w:fill="D9D9D9"/>
            <w:vAlign w:val="center"/>
          </w:tcPr>
          <w:p w:rsidR="00325697" w:rsidRPr="000E34C0" w:rsidRDefault="00325697" w:rsidP="009C7A21">
            <w:pPr>
              <w:spacing w:after="120" w:line="240" w:lineRule="auto"/>
              <w:jc w:val="center"/>
              <w:rPr>
                <w:rFonts w:ascii="Times New Roman" w:eastAsia="Times New Roman" w:hAnsi="Times New Roman" w:cs="Times New Roman"/>
                <w:sz w:val="18"/>
                <w:szCs w:val="18"/>
              </w:rPr>
            </w:pPr>
          </w:p>
        </w:tc>
        <w:tc>
          <w:tcPr>
            <w:tcW w:w="1260" w:type="dxa"/>
            <w:vMerge w:val="restart"/>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Dezembro de 2014</w:t>
            </w:r>
          </w:p>
        </w:tc>
        <w:tc>
          <w:tcPr>
            <w:tcW w:w="2192" w:type="dxa"/>
            <w:vMerge w:val="restart"/>
            <w:tcBorders>
              <w:right w:val="single" w:sz="4" w:space="0" w:color="auto"/>
            </w:tcBorders>
            <w:shd w:val="clear" w:color="auto" w:fill="auto"/>
            <w:vAlign w:val="center"/>
          </w:tcPr>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 xml:space="preserve">Nota Técnica. </w:t>
            </w:r>
            <w:r w:rsidRPr="00E97E1F">
              <w:rPr>
                <w:rFonts w:ascii="Times New Roman" w:hAnsi="Times New Roman" w:cs="Times New Roman"/>
                <w:sz w:val="18"/>
                <w:szCs w:val="18"/>
              </w:rPr>
              <w:t>DAIF - Diretoria de Arrecadação e Informações Fazendárias e CAFE - Coordenação de Assuntos Fazendários Estratégicos/Programa Nota Fiscal Cidadã</w:t>
            </w:r>
          </w:p>
        </w:tc>
      </w:tr>
      <w:tr w:rsidR="00325697" w:rsidRPr="00046243" w:rsidTr="000A175D">
        <w:trPr>
          <w:jc w:val="center"/>
        </w:trPr>
        <w:tc>
          <w:tcPr>
            <w:tcW w:w="2458" w:type="dxa"/>
            <w:vMerge/>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53"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33"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32"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686" w:type="dxa"/>
            <w:vMerge/>
            <w:shd w:val="clear" w:color="auto" w:fill="auto"/>
            <w:vAlign w:val="center"/>
          </w:tcPr>
          <w:p w:rsidR="00325697" w:rsidRPr="000E34C0" w:rsidRDefault="00325697" w:rsidP="009C7A21">
            <w:pPr>
              <w:spacing w:after="120" w:line="240" w:lineRule="auto"/>
              <w:rPr>
                <w:rFonts w:ascii="Times New Roman" w:eastAsia="Times New Roman" w:hAnsi="Times New Roman" w:cs="Times New Roman"/>
                <w:sz w:val="18"/>
                <w:szCs w:val="18"/>
              </w:rPr>
            </w:pPr>
          </w:p>
        </w:tc>
        <w:tc>
          <w:tcPr>
            <w:tcW w:w="1423" w:type="dxa"/>
            <w:shd w:val="clear" w:color="auto" w:fill="auto"/>
            <w:vAlign w:val="center"/>
          </w:tcPr>
          <w:p w:rsidR="00325697" w:rsidRPr="000E34C0" w:rsidRDefault="00325697" w:rsidP="009C7A21">
            <w:pPr>
              <w:spacing w:after="120" w:line="240" w:lineRule="auto"/>
              <w:rPr>
                <w:rFonts w:ascii="Times New Roman" w:eastAsia="Times New Roman" w:hAnsi="Times New Roman" w:cs="Times New Roman"/>
                <w:sz w:val="18"/>
                <w:szCs w:val="18"/>
              </w:rPr>
            </w:pPr>
            <w:r w:rsidRPr="000E34C0">
              <w:rPr>
                <w:rFonts w:ascii="Times New Roman" w:eastAsia="Times New Roman" w:hAnsi="Times New Roman" w:cs="Times New Roman"/>
                <w:sz w:val="18"/>
                <w:szCs w:val="18"/>
              </w:rPr>
              <w:t xml:space="preserve">Valor revisado </w:t>
            </w:r>
          </w:p>
        </w:tc>
        <w:tc>
          <w:tcPr>
            <w:tcW w:w="866" w:type="dxa"/>
            <w:shd w:val="clear" w:color="auto" w:fill="auto"/>
            <w:vAlign w:val="center"/>
          </w:tcPr>
          <w:p w:rsidR="00325697" w:rsidRPr="000E34C0" w:rsidRDefault="00325697" w:rsidP="009C7A21">
            <w:pPr>
              <w:spacing w:after="120" w:line="240" w:lineRule="auto"/>
              <w:jc w:val="center"/>
              <w:rPr>
                <w:rFonts w:ascii="Times New Roman" w:eastAsia="Times New Roman" w:hAnsi="Times New Roman" w:cs="Times New Roman"/>
                <w:sz w:val="18"/>
                <w:szCs w:val="18"/>
              </w:rPr>
            </w:pPr>
            <w:r w:rsidRPr="000E34C0">
              <w:rPr>
                <w:rFonts w:ascii="Times New Roman" w:hAnsi="Times New Roman" w:cs="Times New Roman"/>
                <w:sz w:val="18"/>
                <w:szCs w:val="18"/>
              </w:rPr>
              <w:t>870</w:t>
            </w:r>
          </w:p>
        </w:tc>
        <w:tc>
          <w:tcPr>
            <w:tcW w:w="1260" w:type="dxa"/>
            <w:vMerge/>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2192" w:type="dxa"/>
            <w:vMerge/>
            <w:tcBorders>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jc w:val="center"/>
        </w:trPr>
        <w:tc>
          <w:tcPr>
            <w:tcW w:w="2458" w:type="dxa"/>
            <w:vMerge/>
            <w:tcBorders>
              <w:left w:val="single" w:sz="4" w:space="0" w:color="auto"/>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53"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33"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32"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686" w:type="dxa"/>
            <w:vMerge/>
            <w:tcBorders>
              <w:bottom w:val="single" w:sz="4" w:space="0" w:color="auto"/>
            </w:tcBorders>
            <w:shd w:val="clear" w:color="auto" w:fill="auto"/>
            <w:vAlign w:val="center"/>
          </w:tcPr>
          <w:p w:rsidR="00325697" w:rsidRPr="000E34C0" w:rsidRDefault="00325697" w:rsidP="009C7A21">
            <w:pPr>
              <w:spacing w:after="120" w:line="240" w:lineRule="auto"/>
              <w:rPr>
                <w:rFonts w:ascii="Times New Roman" w:eastAsia="Times New Roman" w:hAnsi="Times New Roman" w:cs="Times New Roman"/>
                <w:sz w:val="18"/>
                <w:szCs w:val="18"/>
              </w:rPr>
            </w:pPr>
          </w:p>
        </w:tc>
        <w:tc>
          <w:tcPr>
            <w:tcW w:w="1423" w:type="dxa"/>
            <w:tcBorders>
              <w:bottom w:val="single" w:sz="4" w:space="0" w:color="auto"/>
            </w:tcBorders>
            <w:shd w:val="clear" w:color="auto" w:fill="auto"/>
            <w:vAlign w:val="center"/>
          </w:tcPr>
          <w:p w:rsidR="00325697" w:rsidRPr="000E34C0" w:rsidRDefault="00325697" w:rsidP="009C7A21">
            <w:pPr>
              <w:spacing w:after="120" w:line="240" w:lineRule="auto"/>
              <w:rPr>
                <w:rFonts w:ascii="Times New Roman" w:eastAsia="Times New Roman" w:hAnsi="Times New Roman" w:cs="Times New Roman"/>
                <w:sz w:val="18"/>
                <w:szCs w:val="18"/>
              </w:rPr>
            </w:pPr>
            <w:r w:rsidRPr="000E34C0">
              <w:rPr>
                <w:rFonts w:ascii="Times New Roman" w:eastAsia="Times New Roman" w:hAnsi="Times New Roman" w:cs="Times New Roman"/>
                <w:sz w:val="18"/>
                <w:szCs w:val="18"/>
              </w:rPr>
              <w:t>Valor alcançado</w:t>
            </w:r>
          </w:p>
        </w:tc>
        <w:tc>
          <w:tcPr>
            <w:tcW w:w="866" w:type="dxa"/>
            <w:tcBorders>
              <w:bottom w:val="single" w:sz="4" w:space="0" w:color="auto"/>
            </w:tcBorders>
            <w:shd w:val="clear" w:color="auto" w:fill="auto"/>
            <w:vAlign w:val="center"/>
          </w:tcPr>
          <w:p w:rsidR="00325697" w:rsidRPr="000E34C0" w:rsidRDefault="00325697" w:rsidP="009C7A21">
            <w:pPr>
              <w:spacing w:after="120" w:line="240" w:lineRule="auto"/>
              <w:jc w:val="center"/>
              <w:rPr>
                <w:rFonts w:ascii="Times New Roman" w:eastAsia="Times New Roman" w:hAnsi="Times New Roman" w:cs="Times New Roman"/>
                <w:sz w:val="18"/>
                <w:szCs w:val="18"/>
              </w:rPr>
            </w:pPr>
            <w:r w:rsidRPr="000E34C0">
              <w:rPr>
                <w:rFonts w:ascii="Times New Roman" w:eastAsia="Times New Roman" w:hAnsi="Times New Roman" w:cs="Times New Roman"/>
                <w:sz w:val="18"/>
                <w:szCs w:val="18"/>
              </w:rPr>
              <w:t>901</w:t>
            </w:r>
          </w:p>
        </w:tc>
        <w:tc>
          <w:tcPr>
            <w:tcW w:w="1260" w:type="dxa"/>
            <w:vMerge/>
            <w:tcBorders>
              <w:bottom w:val="single" w:sz="4" w:space="0" w:color="auto"/>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2192" w:type="dxa"/>
            <w:vMerge/>
            <w:tcBorders>
              <w:bottom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D78FF" w:rsidTr="000A175D">
        <w:trPr>
          <w:jc w:val="center"/>
        </w:trPr>
        <w:tc>
          <w:tcPr>
            <w:tcW w:w="11711" w:type="dxa"/>
            <w:gridSpan w:val="8"/>
            <w:tcBorders>
              <w:left w:val="single" w:sz="4" w:space="0" w:color="auto"/>
              <w:right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b/>
                <w:sz w:val="18"/>
                <w:szCs w:val="18"/>
              </w:rPr>
            </w:pPr>
            <w:r w:rsidRPr="000D78FF">
              <w:rPr>
                <w:rFonts w:ascii="Times New Roman" w:eastAsia="Times New Roman" w:hAnsi="Times New Roman" w:cs="Times New Roman"/>
                <w:b/>
                <w:sz w:val="18"/>
                <w:szCs w:val="18"/>
              </w:rPr>
              <w:t xml:space="preserve">Resultado 3 – </w:t>
            </w:r>
            <w:r w:rsidRPr="000D78FF">
              <w:rPr>
                <w:rFonts w:ascii="Times New Roman" w:hAnsi="Times New Roman" w:cs="Times New Roman"/>
                <w:bCs/>
                <w:iCs/>
                <w:sz w:val="18"/>
                <w:szCs w:val="18"/>
              </w:rPr>
              <w:t xml:space="preserve">Aumento do número de serviços conclusivos disponibilizados ao contribuinte, via WEB </w:t>
            </w:r>
          </w:p>
        </w:tc>
        <w:tc>
          <w:tcPr>
            <w:tcW w:w="2192" w:type="dxa"/>
            <w:tcBorders>
              <w:left w:val="single" w:sz="4" w:space="0" w:color="auto"/>
              <w:right w:val="single" w:sz="4" w:space="0" w:color="auto"/>
            </w:tcBorders>
            <w:shd w:val="clear" w:color="auto" w:fill="auto"/>
          </w:tcPr>
          <w:p w:rsidR="00325697" w:rsidRPr="000D78FF" w:rsidRDefault="00325697" w:rsidP="009C7A21">
            <w:pPr>
              <w:spacing w:after="120" w:line="240" w:lineRule="auto"/>
              <w:rPr>
                <w:rFonts w:ascii="Times New Roman" w:eastAsia="Times New Roman" w:hAnsi="Times New Roman" w:cs="Times New Roman"/>
                <w:b/>
                <w:sz w:val="18"/>
                <w:szCs w:val="18"/>
              </w:rPr>
            </w:pPr>
          </w:p>
        </w:tc>
      </w:tr>
      <w:tr w:rsidR="00325697" w:rsidRPr="000D78FF" w:rsidTr="000A175D">
        <w:trPr>
          <w:jc w:val="center"/>
        </w:trPr>
        <w:tc>
          <w:tcPr>
            <w:tcW w:w="2458" w:type="dxa"/>
            <w:vMerge w:val="restart"/>
            <w:tcBorders>
              <w:left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b/>
                <w:sz w:val="18"/>
                <w:szCs w:val="18"/>
              </w:rPr>
              <w:t>Indicador</w:t>
            </w:r>
            <w:r w:rsidRPr="000D78FF">
              <w:rPr>
                <w:rFonts w:ascii="Times New Roman" w:eastAsia="Times New Roman" w:hAnsi="Times New Roman" w:cs="Times New Roman"/>
                <w:sz w:val="18"/>
                <w:szCs w:val="18"/>
              </w:rPr>
              <w:t xml:space="preserve">: </w:t>
            </w:r>
            <w:r w:rsidRPr="000D78FF">
              <w:rPr>
                <w:rFonts w:ascii="Times New Roman" w:hAnsi="Times New Roman" w:cs="Times New Roman"/>
                <w:bCs/>
                <w:iCs/>
                <w:sz w:val="18"/>
                <w:szCs w:val="18"/>
              </w:rPr>
              <w:t>Número de serviços conclusivos disponibilizados aos contribuintes via WEB</w:t>
            </w:r>
          </w:p>
        </w:tc>
        <w:tc>
          <w:tcPr>
            <w:tcW w:w="1353" w:type="dxa"/>
            <w:vMerge w:val="restart"/>
            <w:shd w:val="clear" w:color="auto" w:fill="auto"/>
            <w:vAlign w:val="center"/>
          </w:tcPr>
          <w:p w:rsidR="00325697" w:rsidRPr="000D78FF" w:rsidRDefault="00325697" w:rsidP="009C7A21">
            <w:pPr>
              <w:spacing w:after="120" w:line="240" w:lineRule="auto"/>
              <w:jc w:val="center"/>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Número de serviços</w:t>
            </w:r>
          </w:p>
        </w:tc>
        <w:tc>
          <w:tcPr>
            <w:tcW w:w="1333" w:type="dxa"/>
            <w:vMerge w:val="restart"/>
            <w:shd w:val="clear" w:color="auto" w:fill="auto"/>
            <w:vAlign w:val="center"/>
          </w:tcPr>
          <w:p w:rsidR="00325697" w:rsidRPr="000D78FF" w:rsidRDefault="00325697" w:rsidP="009C7A21">
            <w:pPr>
              <w:spacing w:after="120" w:line="240" w:lineRule="auto"/>
              <w:jc w:val="center"/>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63</w:t>
            </w:r>
          </w:p>
        </w:tc>
        <w:tc>
          <w:tcPr>
            <w:tcW w:w="1332" w:type="dxa"/>
            <w:vMerge w:val="restart"/>
            <w:shd w:val="clear" w:color="auto" w:fill="auto"/>
            <w:vAlign w:val="center"/>
          </w:tcPr>
          <w:p w:rsidR="00325697" w:rsidRPr="000D78FF" w:rsidRDefault="00325697" w:rsidP="009C7A21">
            <w:pPr>
              <w:spacing w:after="120" w:line="240" w:lineRule="auto"/>
              <w:jc w:val="center"/>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2010</w:t>
            </w:r>
          </w:p>
        </w:tc>
        <w:tc>
          <w:tcPr>
            <w:tcW w:w="1686" w:type="dxa"/>
            <w:vMerge w:val="restart"/>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Apresentação dos resultados do atendimento da CAFE</w:t>
            </w:r>
          </w:p>
        </w:tc>
        <w:tc>
          <w:tcPr>
            <w:tcW w:w="1423" w:type="dxa"/>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Valor original</w:t>
            </w:r>
          </w:p>
        </w:tc>
        <w:tc>
          <w:tcPr>
            <w:tcW w:w="866" w:type="dxa"/>
            <w:shd w:val="clear" w:color="auto" w:fill="D9D9D9"/>
            <w:vAlign w:val="center"/>
          </w:tcPr>
          <w:p w:rsidR="00325697" w:rsidRPr="000D78FF" w:rsidRDefault="00325697" w:rsidP="009C7A21">
            <w:pPr>
              <w:spacing w:after="120" w:line="240" w:lineRule="auto"/>
              <w:jc w:val="center"/>
              <w:rPr>
                <w:rFonts w:ascii="Times New Roman" w:eastAsia="Times New Roman" w:hAnsi="Times New Roman" w:cs="Times New Roman"/>
                <w:b/>
                <w:sz w:val="18"/>
                <w:szCs w:val="18"/>
              </w:rPr>
            </w:pPr>
          </w:p>
        </w:tc>
        <w:tc>
          <w:tcPr>
            <w:tcW w:w="1260" w:type="dxa"/>
            <w:vMerge w:val="restart"/>
            <w:tcBorders>
              <w:bottom w:val="nil"/>
              <w:right w:val="single" w:sz="4" w:space="0" w:color="auto"/>
            </w:tcBorders>
            <w:shd w:val="clear" w:color="auto" w:fill="FFFFFF"/>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Abril de 2015</w:t>
            </w:r>
          </w:p>
        </w:tc>
        <w:tc>
          <w:tcPr>
            <w:tcW w:w="2192" w:type="dxa"/>
            <w:vMerge w:val="restart"/>
            <w:tcBorders>
              <w:right w:val="single" w:sz="4" w:space="0" w:color="auto"/>
            </w:tcBorders>
            <w:shd w:val="clear" w:color="auto" w:fill="auto"/>
            <w:vAlign w:val="center"/>
          </w:tcPr>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bCs/>
                <w:sz w:val="18"/>
                <w:szCs w:val="18"/>
              </w:rPr>
              <w:t>Apresentação ppt. CAFE/</w:t>
            </w:r>
            <w:r w:rsidRPr="00E97E1F">
              <w:rPr>
                <w:rFonts w:ascii="Times New Roman" w:hAnsi="Times New Roman" w:cs="Times New Roman"/>
                <w:sz w:val="18"/>
                <w:szCs w:val="18"/>
              </w:rPr>
              <w:t xml:space="preserve"> Programa Atendimento ao Contribuinte</w:t>
            </w:r>
            <w:r w:rsidRPr="00E97E1F">
              <w:rPr>
                <w:rFonts w:ascii="Times New Roman" w:eastAsia="Times New Roman" w:hAnsi="Times New Roman" w:cs="Times New Roman"/>
                <w:bCs/>
                <w:sz w:val="18"/>
                <w:szCs w:val="18"/>
              </w:rPr>
              <w:t>. Serviços portal de acesso público - livre</w:t>
            </w:r>
            <w:r w:rsidRPr="00E97E1F">
              <w:rPr>
                <w:rFonts w:ascii="Times New Roman" w:eastAsia="Times New Roman" w:hAnsi="Times New Roman" w:cs="Times New Roman"/>
                <w:sz w:val="18"/>
                <w:szCs w:val="18"/>
              </w:rPr>
              <w:t xml:space="preserve"> = 24; </w:t>
            </w:r>
            <w:r w:rsidRPr="00E97E1F">
              <w:rPr>
                <w:rFonts w:ascii="Times New Roman" w:eastAsia="Times New Roman" w:hAnsi="Times New Roman" w:cs="Times New Roman"/>
                <w:bCs/>
                <w:sz w:val="18"/>
                <w:szCs w:val="18"/>
              </w:rPr>
              <w:t>Serviços portal de acesso privado – restrito, ou seja, mediante senha ou certificado digital = 63</w:t>
            </w:r>
          </w:p>
        </w:tc>
      </w:tr>
      <w:tr w:rsidR="00325697" w:rsidRPr="000D78FF" w:rsidTr="000A175D">
        <w:trPr>
          <w:jc w:val="center"/>
        </w:trPr>
        <w:tc>
          <w:tcPr>
            <w:tcW w:w="2458" w:type="dxa"/>
            <w:vMerge/>
            <w:tcBorders>
              <w:left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353" w:type="dxa"/>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333" w:type="dxa"/>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332" w:type="dxa"/>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686" w:type="dxa"/>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423" w:type="dxa"/>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 xml:space="preserve">Valor revisado </w:t>
            </w:r>
          </w:p>
        </w:tc>
        <w:tc>
          <w:tcPr>
            <w:tcW w:w="866" w:type="dxa"/>
            <w:shd w:val="clear" w:color="auto" w:fill="auto"/>
            <w:vAlign w:val="center"/>
          </w:tcPr>
          <w:p w:rsidR="00325697" w:rsidRPr="000D78FF" w:rsidRDefault="000E34C0" w:rsidP="009C7A21">
            <w:pPr>
              <w:spacing w:after="120" w:line="240" w:lineRule="auto"/>
              <w:jc w:val="center"/>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63</w:t>
            </w:r>
          </w:p>
        </w:tc>
        <w:tc>
          <w:tcPr>
            <w:tcW w:w="1260" w:type="dxa"/>
            <w:vMerge/>
            <w:tcBorders>
              <w:bottom w:val="nil"/>
              <w:right w:val="single" w:sz="4" w:space="0" w:color="auto"/>
            </w:tcBorders>
            <w:shd w:val="clear" w:color="auto" w:fill="FFFF00"/>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2192" w:type="dxa"/>
            <w:vMerge/>
            <w:tcBorders>
              <w:right w:val="single" w:sz="4" w:space="0" w:color="auto"/>
            </w:tcBorders>
            <w:shd w:val="clear" w:color="auto" w:fill="auto"/>
          </w:tcPr>
          <w:p w:rsidR="00325697" w:rsidRPr="000D78FF" w:rsidRDefault="00325697" w:rsidP="009C7A21">
            <w:pPr>
              <w:spacing w:after="120" w:line="240" w:lineRule="auto"/>
              <w:rPr>
                <w:rFonts w:ascii="Times New Roman" w:eastAsia="Times New Roman" w:hAnsi="Times New Roman" w:cs="Times New Roman"/>
                <w:sz w:val="18"/>
                <w:szCs w:val="18"/>
              </w:rPr>
            </w:pPr>
          </w:p>
        </w:tc>
      </w:tr>
      <w:tr w:rsidR="00325697" w:rsidRPr="000D78FF" w:rsidTr="000A175D">
        <w:trPr>
          <w:jc w:val="center"/>
        </w:trPr>
        <w:tc>
          <w:tcPr>
            <w:tcW w:w="2458" w:type="dxa"/>
            <w:vMerge/>
            <w:tcBorders>
              <w:left w:val="single" w:sz="4" w:space="0" w:color="auto"/>
              <w:bottom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353" w:type="dxa"/>
            <w:vMerge/>
            <w:tcBorders>
              <w:bottom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333" w:type="dxa"/>
            <w:vMerge/>
            <w:tcBorders>
              <w:bottom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332" w:type="dxa"/>
            <w:vMerge/>
            <w:tcBorders>
              <w:bottom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686" w:type="dxa"/>
            <w:vMerge/>
            <w:tcBorders>
              <w:bottom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423" w:type="dxa"/>
            <w:tcBorders>
              <w:bottom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Valor alcançado</w:t>
            </w:r>
          </w:p>
        </w:tc>
        <w:tc>
          <w:tcPr>
            <w:tcW w:w="866" w:type="dxa"/>
            <w:tcBorders>
              <w:bottom w:val="single" w:sz="4" w:space="0" w:color="auto"/>
              <w:right w:val="single" w:sz="4" w:space="0" w:color="auto"/>
            </w:tcBorders>
            <w:shd w:val="clear" w:color="auto" w:fill="auto"/>
            <w:vAlign w:val="center"/>
          </w:tcPr>
          <w:p w:rsidR="00325697" w:rsidRPr="000D78FF" w:rsidRDefault="000E34C0" w:rsidP="009C7A21">
            <w:pPr>
              <w:spacing w:after="120" w:line="240" w:lineRule="auto"/>
              <w:jc w:val="center"/>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85</w:t>
            </w:r>
          </w:p>
        </w:tc>
        <w:tc>
          <w:tcPr>
            <w:tcW w:w="1260" w:type="dxa"/>
            <w:vMerge/>
            <w:tcBorders>
              <w:bottom w:val="nil"/>
              <w:right w:val="single" w:sz="4" w:space="0" w:color="auto"/>
            </w:tcBorders>
            <w:shd w:val="clear" w:color="auto" w:fill="FFFF00"/>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2192" w:type="dxa"/>
            <w:vMerge/>
            <w:tcBorders>
              <w:bottom w:val="single" w:sz="4" w:space="0" w:color="auto"/>
              <w:right w:val="single" w:sz="4" w:space="0" w:color="auto"/>
            </w:tcBorders>
            <w:shd w:val="clear" w:color="auto" w:fill="auto"/>
          </w:tcPr>
          <w:p w:rsidR="00325697" w:rsidRPr="000D78FF"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jc w:val="center"/>
        </w:trPr>
        <w:tc>
          <w:tcPr>
            <w:tcW w:w="11711" w:type="dxa"/>
            <w:gridSpan w:val="8"/>
            <w:tcBorders>
              <w:left w:val="single" w:sz="4" w:space="0" w:color="auto"/>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b/>
                <w:sz w:val="18"/>
                <w:szCs w:val="18"/>
              </w:rPr>
            </w:pPr>
            <w:r w:rsidRPr="00046243">
              <w:rPr>
                <w:rFonts w:ascii="Times New Roman" w:hAnsi="Times New Roman" w:cs="Times New Roman"/>
                <w:sz w:val="18"/>
                <w:szCs w:val="18"/>
              </w:rPr>
              <w:br w:type="page"/>
            </w:r>
            <w:r w:rsidRPr="00046243">
              <w:rPr>
                <w:rFonts w:ascii="Times New Roman" w:eastAsia="Times New Roman" w:hAnsi="Times New Roman" w:cs="Times New Roman"/>
                <w:b/>
                <w:sz w:val="18"/>
                <w:szCs w:val="18"/>
              </w:rPr>
              <w:t xml:space="preserve">Resultado 4 – </w:t>
            </w:r>
            <w:r w:rsidRPr="00046243">
              <w:rPr>
                <w:rFonts w:ascii="Times New Roman" w:hAnsi="Times New Roman" w:cs="Times New Roman"/>
                <w:sz w:val="18"/>
                <w:szCs w:val="18"/>
              </w:rPr>
              <w:t>Aumento do nível de satisfação dos usuários dos serviços da SEFA no critério: facilidade para conseguir o serviço</w:t>
            </w:r>
          </w:p>
        </w:tc>
        <w:tc>
          <w:tcPr>
            <w:tcW w:w="2192" w:type="dxa"/>
            <w:tcBorders>
              <w:left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b/>
                <w:sz w:val="18"/>
                <w:szCs w:val="18"/>
              </w:rPr>
            </w:pPr>
          </w:p>
        </w:tc>
      </w:tr>
      <w:tr w:rsidR="00325697" w:rsidRPr="00046243" w:rsidTr="000A175D">
        <w:trPr>
          <w:jc w:val="center"/>
        </w:trPr>
        <w:tc>
          <w:tcPr>
            <w:tcW w:w="2458" w:type="dxa"/>
            <w:vMerge w:val="restart"/>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b/>
                <w:sz w:val="18"/>
                <w:szCs w:val="18"/>
              </w:rPr>
              <w:t>Indicador</w:t>
            </w:r>
            <w:r w:rsidRPr="00046243">
              <w:rPr>
                <w:rFonts w:ascii="Times New Roman" w:eastAsia="Times New Roman" w:hAnsi="Times New Roman" w:cs="Times New Roman"/>
                <w:sz w:val="18"/>
                <w:szCs w:val="18"/>
              </w:rPr>
              <w:t xml:space="preserve">: </w:t>
            </w:r>
            <w:r w:rsidRPr="00046243">
              <w:rPr>
                <w:rFonts w:ascii="Times New Roman" w:hAnsi="Times New Roman" w:cs="Times New Roman"/>
                <w:sz w:val="18"/>
                <w:szCs w:val="18"/>
              </w:rPr>
              <w:t xml:space="preserve">Pontuação do </w:t>
            </w:r>
            <w:r w:rsidRPr="00046243">
              <w:rPr>
                <w:rFonts w:ascii="Times New Roman" w:hAnsi="Times New Roman" w:cs="Times New Roman"/>
                <w:sz w:val="18"/>
                <w:szCs w:val="18"/>
              </w:rPr>
              <w:lastRenderedPageBreak/>
              <w:t>critério: facilidade para conseguir o serviço</w:t>
            </w:r>
          </w:p>
        </w:tc>
        <w:tc>
          <w:tcPr>
            <w:tcW w:w="1353"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lastRenderedPageBreak/>
              <w:t>%</w:t>
            </w:r>
          </w:p>
        </w:tc>
        <w:tc>
          <w:tcPr>
            <w:tcW w:w="1333"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z w:val="18"/>
                <w:szCs w:val="18"/>
              </w:rPr>
              <w:t>85,4</w:t>
            </w:r>
          </w:p>
        </w:tc>
        <w:tc>
          <w:tcPr>
            <w:tcW w:w="1332"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2009</w:t>
            </w:r>
          </w:p>
        </w:tc>
        <w:tc>
          <w:tcPr>
            <w:tcW w:w="1686" w:type="dxa"/>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i/>
                <w:sz w:val="18"/>
                <w:szCs w:val="18"/>
              </w:rPr>
            </w:pPr>
            <w:r w:rsidRPr="00046243">
              <w:rPr>
                <w:rFonts w:ascii="Times New Roman" w:eastAsia="Times New Roman" w:hAnsi="Times New Roman" w:cs="Times New Roman"/>
                <w:sz w:val="18"/>
                <w:szCs w:val="18"/>
              </w:rPr>
              <w:t xml:space="preserve">Apresentação dos </w:t>
            </w:r>
            <w:r w:rsidRPr="00046243">
              <w:rPr>
                <w:rFonts w:ascii="Times New Roman" w:eastAsia="Times New Roman" w:hAnsi="Times New Roman" w:cs="Times New Roman"/>
                <w:sz w:val="18"/>
                <w:szCs w:val="18"/>
              </w:rPr>
              <w:lastRenderedPageBreak/>
              <w:t>resultados do atendimento da CAFE</w:t>
            </w:r>
            <w:r w:rsidRPr="00046243">
              <w:rPr>
                <w:rFonts w:ascii="Times New Roman" w:eastAsia="Times New Roman" w:hAnsi="Times New Roman" w:cs="Times New Roman"/>
                <w:b/>
                <w:sz w:val="18"/>
                <w:szCs w:val="18"/>
              </w:rPr>
              <w:t xml:space="preserve"> </w:t>
            </w:r>
            <w:r w:rsidRPr="00046243">
              <w:rPr>
                <w:rFonts w:ascii="Times New Roman" w:eastAsia="Times New Roman" w:hAnsi="Times New Roman" w:cs="Times New Roman"/>
                <w:sz w:val="18"/>
                <w:szCs w:val="18"/>
              </w:rPr>
              <w:t>e Relatórios da Pesquisa de satisfação de clientes</w:t>
            </w:r>
          </w:p>
        </w:tc>
        <w:tc>
          <w:tcPr>
            <w:tcW w:w="1423" w:type="dxa"/>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lastRenderedPageBreak/>
              <w:t>Valor original</w:t>
            </w:r>
          </w:p>
        </w:tc>
        <w:tc>
          <w:tcPr>
            <w:tcW w:w="866" w:type="dxa"/>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b/>
                <w:sz w:val="18"/>
                <w:szCs w:val="18"/>
              </w:rPr>
            </w:pPr>
          </w:p>
        </w:tc>
        <w:tc>
          <w:tcPr>
            <w:tcW w:w="1260" w:type="dxa"/>
            <w:vMerge w:val="restart"/>
            <w:tcBorders>
              <w:right w:val="single" w:sz="4" w:space="0" w:color="auto"/>
            </w:tcBorders>
            <w:shd w:val="clear" w:color="auto" w:fill="FFFFFF"/>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Setembro de </w:t>
            </w:r>
            <w:r w:rsidRPr="00046243">
              <w:rPr>
                <w:rFonts w:ascii="Times New Roman" w:eastAsia="Times New Roman" w:hAnsi="Times New Roman" w:cs="Times New Roman"/>
                <w:sz w:val="18"/>
                <w:szCs w:val="18"/>
              </w:rPr>
              <w:lastRenderedPageBreak/>
              <w:t>2014</w:t>
            </w:r>
          </w:p>
        </w:tc>
        <w:tc>
          <w:tcPr>
            <w:tcW w:w="2192" w:type="dxa"/>
            <w:vMerge w:val="restart"/>
            <w:tcBorders>
              <w:right w:val="single" w:sz="4" w:space="0" w:color="auto"/>
            </w:tcBorders>
            <w:shd w:val="clear" w:color="auto" w:fill="auto"/>
            <w:vAlign w:val="center"/>
          </w:tcPr>
          <w:p w:rsidR="00325697" w:rsidRPr="00E97E1F" w:rsidRDefault="00325697" w:rsidP="009C7A21">
            <w:pPr>
              <w:spacing w:after="120" w:line="240" w:lineRule="auto"/>
              <w:rPr>
                <w:rFonts w:ascii="Times New Roman" w:eastAsia="Times New Roman" w:hAnsi="Times New Roman" w:cs="Times New Roman"/>
                <w:bCs/>
                <w:sz w:val="18"/>
                <w:szCs w:val="18"/>
              </w:rPr>
            </w:pPr>
            <w:r w:rsidRPr="00E97E1F">
              <w:rPr>
                <w:rFonts w:ascii="Times New Roman" w:eastAsia="Times New Roman" w:hAnsi="Times New Roman" w:cs="Times New Roman"/>
                <w:bCs/>
                <w:sz w:val="18"/>
                <w:szCs w:val="18"/>
              </w:rPr>
              <w:lastRenderedPageBreak/>
              <w:t>Apresentação ppt. CAFE/</w:t>
            </w:r>
            <w:r w:rsidRPr="00E97E1F">
              <w:rPr>
                <w:rFonts w:ascii="Times New Roman" w:hAnsi="Times New Roman" w:cs="Times New Roman"/>
                <w:sz w:val="18"/>
                <w:szCs w:val="18"/>
              </w:rPr>
              <w:t xml:space="preserve"> </w:t>
            </w:r>
            <w:r w:rsidRPr="00E97E1F">
              <w:rPr>
                <w:rFonts w:ascii="Times New Roman" w:hAnsi="Times New Roman" w:cs="Times New Roman"/>
                <w:sz w:val="18"/>
                <w:szCs w:val="18"/>
              </w:rPr>
              <w:lastRenderedPageBreak/>
              <w:t>Programa Atendimento ao Contribuinte</w:t>
            </w:r>
            <w:r w:rsidRPr="00E97E1F">
              <w:rPr>
                <w:rFonts w:ascii="Times New Roman" w:eastAsia="Times New Roman" w:hAnsi="Times New Roman" w:cs="Times New Roman"/>
                <w:bCs/>
                <w:sz w:val="18"/>
                <w:szCs w:val="18"/>
              </w:rPr>
              <w:t>.</w:t>
            </w:r>
          </w:p>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Pesquisa de satisfação realizada pelo Instituto Veritá Pesquisa, no período de 10 a 26 de setembro de 2014. Avaliação da opinião dos usuários da SEFA, sobre o nível de satisfação com relação aos serviços (presencial, remoto e virtual)</w:t>
            </w:r>
          </w:p>
        </w:tc>
      </w:tr>
      <w:tr w:rsidR="00325697" w:rsidRPr="00046243" w:rsidTr="000A175D">
        <w:trPr>
          <w:jc w:val="center"/>
        </w:trPr>
        <w:tc>
          <w:tcPr>
            <w:tcW w:w="2458" w:type="dxa"/>
            <w:vMerge/>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53"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33"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32"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686"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green"/>
              </w:rPr>
            </w:pPr>
          </w:p>
        </w:tc>
        <w:tc>
          <w:tcPr>
            <w:tcW w:w="1423" w:type="dxa"/>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866" w:type="dxa"/>
            <w:shd w:val="clear" w:color="auto" w:fill="auto"/>
            <w:vAlign w:val="center"/>
          </w:tcPr>
          <w:p w:rsidR="00325697" w:rsidRPr="000D78FF" w:rsidRDefault="00325697" w:rsidP="009C7A21">
            <w:pPr>
              <w:spacing w:after="120" w:line="240" w:lineRule="auto"/>
              <w:jc w:val="center"/>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88,0</w:t>
            </w:r>
          </w:p>
        </w:tc>
        <w:tc>
          <w:tcPr>
            <w:tcW w:w="1260" w:type="dxa"/>
            <w:vMerge/>
            <w:tcBorders>
              <w:right w:val="single" w:sz="4" w:space="0" w:color="auto"/>
            </w:tcBorders>
            <w:shd w:val="clear" w:color="auto" w:fill="FFFF00"/>
            <w:vAlign w:val="center"/>
          </w:tcPr>
          <w:p w:rsidR="00325697" w:rsidRPr="00046243" w:rsidRDefault="00325697" w:rsidP="009C7A21">
            <w:pPr>
              <w:spacing w:after="120" w:line="240" w:lineRule="auto"/>
              <w:rPr>
                <w:rFonts w:ascii="Times New Roman" w:eastAsia="Times New Roman" w:hAnsi="Times New Roman" w:cs="Times New Roman"/>
                <w:b/>
                <w:sz w:val="18"/>
                <w:szCs w:val="18"/>
              </w:rPr>
            </w:pPr>
          </w:p>
        </w:tc>
        <w:tc>
          <w:tcPr>
            <w:tcW w:w="2192" w:type="dxa"/>
            <w:vMerge/>
            <w:tcBorders>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jc w:val="center"/>
        </w:trPr>
        <w:tc>
          <w:tcPr>
            <w:tcW w:w="2458" w:type="dxa"/>
            <w:vMerge/>
            <w:tcBorders>
              <w:left w:val="single" w:sz="4" w:space="0" w:color="auto"/>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53"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33"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332"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686"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green"/>
              </w:rPr>
            </w:pPr>
          </w:p>
        </w:tc>
        <w:tc>
          <w:tcPr>
            <w:tcW w:w="1423" w:type="dxa"/>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866" w:type="dxa"/>
            <w:tcBorders>
              <w:bottom w:val="single" w:sz="4" w:space="0" w:color="auto"/>
              <w:right w:val="single" w:sz="4" w:space="0" w:color="auto"/>
            </w:tcBorders>
            <w:shd w:val="clear" w:color="auto" w:fill="auto"/>
            <w:vAlign w:val="center"/>
          </w:tcPr>
          <w:p w:rsidR="00325697" w:rsidRPr="000D78FF" w:rsidRDefault="00325697" w:rsidP="009C7A21">
            <w:pPr>
              <w:spacing w:after="120" w:line="240" w:lineRule="auto"/>
              <w:jc w:val="center"/>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94,97</w:t>
            </w:r>
          </w:p>
        </w:tc>
        <w:tc>
          <w:tcPr>
            <w:tcW w:w="1260" w:type="dxa"/>
            <w:vMerge/>
            <w:tcBorders>
              <w:bottom w:val="single" w:sz="4" w:space="0" w:color="auto"/>
              <w:right w:val="single" w:sz="4" w:space="0" w:color="auto"/>
            </w:tcBorders>
            <w:shd w:val="clear" w:color="auto" w:fill="FFFF00"/>
            <w:vAlign w:val="center"/>
          </w:tcPr>
          <w:p w:rsidR="00325697" w:rsidRPr="00046243" w:rsidRDefault="00325697" w:rsidP="009C7A21">
            <w:pPr>
              <w:spacing w:after="120" w:line="240" w:lineRule="auto"/>
              <w:rPr>
                <w:rFonts w:ascii="Times New Roman" w:eastAsia="Times New Roman" w:hAnsi="Times New Roman" w:cs="Times New Roman"/>
                <w:b/>
                <w:sz w:val="18"/>
                <w:szCs w:val="18"/>
              </w:rPr>
            </w:pPr>
          </w:p>
        </w:tc>
        <w:tc>
          <w:tcPr>
            <w:tcW w:w="2192" w:type="dxa"/>
            <w:vMerge/>
            <w:tcBorders>
              <w:bottom w:val="single" w:sz="4" w:space="0" w:color="auto"/>
              <w:right w:val="single" w:sz="4" w:space="0" w:color="auto"/>
            </w:tcBorders>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D78FF" w:rsidTr="000A175D">
        <w:trPr>
          <w:jc w:val="center"/>
        </w:trPr>
        <w:tc>
          <w:tcPr>
            <w:tcW w:w="11711" w:type="dxa"/>
            <w:gridSpan w:val="8"/>
            <w:tcBorders>
              <w:left w:val="single" w:sz="4" w:space="0" w:color="auto"/>
              <w:right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b/>
                <w:sz w:val="18"/>
                <w:szCs w:val="18"/>
              </w:rPr>
            </w:pPr>
            <w:r w:rsidRPr="000D78FF">
              <w:rPr>
                <w:rFonts w:ascii="Times New Roman" w:hAnsi="Times New Roman" w:cs="Times New Roman"/>
                <w:sz w:val="18"/>
                <w:szCs w:val="18"/>
              </w:rPr>
              <w:br w:type="page"/>
            </w:r>
            <w:r w:rsidRPr="000D78FF">
              <w:rPr>
                <w:rFonts w:ascii="Times New Roman" w:eastAsia="Times New Roman" w:hAnsi="Times New Roman" w:cs="Times New Roman"/>
                <w:b/>
                <w:sz w:val="18"/>
                <w:szCs w:val="18"/>
              </w:rPr>
              <w:t xml:space="preserve">Resultado 5 – </w:t>
            </w:r>
            <w:r w:rsidRPr="000D78FF">
              <w:rPr>
                <w:rFonts w:ascii="Times New Roman" w:hAnsi="Times New Roman" w:cs="Times New Roman"/>
                <w:bCs/>
                <w:iCs/>
                <w:sz w:val="18"/>
                <w:szCs w:val="18"/>
              </w:rPr>
              <w:t xml:space="preserve">Aumento da oferta de capacitação aos servidores fazendários </w:t>
            </w:r>
          </w:p>
        </w:tc>
        <w:tc>
          <w:tcPr>
            <w:tcW w:w="2192" w:type="dxa"/>
            <w:tcBorders>
              <w:left w:val="single" w:sz="4" w:space="0" w:color="auto"/>
              <w:right w:val="single" w:sz="4" w:space="0" w:color="auto"/>
            </w:tcBorders>
            <w:shd w:val="clear" w:color="auto" w:fill="auto"/>
          </w:tcPr>
          <w:p w:rsidR="00325697" w:rsidRPr="000D78FF" w:rsidRDefault="00325697" w:rsidP="009C7A21">
            <w:pPr>
              <w:spacing w:after="120" w:line="240" w:lineRule="auto"/>
              <w:rPr>
                <w:rFonts w:ascii="Times New Roman" w:eastAsia="Times New Roman" w:hAnsi="Times New Roman" w:cs="Times New Roman"/>
                <w:b/>
                <w:sz w:val="18"/>
                <w:szCs w:val="18"/>
              </w:rPr>
            </w:pPr>
          </w:p>
        </w:tc>
      </w:tr>
      <w:tr w:rsidR="00325697" w:rsidRPr="000D78FF" w:rsidTr="000A175D">
        <w:trPr>
          <w:jc w:val="center"/>
        </w:trPr>
        <w:tc>
          <w:tcPr>
            <w:tcW w:w="2458" w:type="dxa"/>
            <w:vMerge w:val="restart"/>
            <w:tcBorders>
              <w:left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highlight w:val="yellow"/>
              </w:rPr>
            </w:pPr>
            <w:r w:rsidRPr="000D78FF">
              <w:rPr>
                <w:rFonts w:ascii="Times New Roman" w:eastAsia="Times New Roman" w:hAnsi="Times New Roman" w:cs="Times New Roman"/>
                <w:b/>
                <w:sz w:val="18"/>
                <w:szCs w:val="18"/>
              </w:rPr>
              <w:t>Indicador</w:t>
            </w:r>
            <w:r w:rsidRPr="000D78FF">
              <w:rPr>
                <w:rFonts w:ascii="Times New Roman" w:eastAsia="Times New Roman" w:hAnsi="Times New Roman" w:cs="Times New Roman"/>
                <w:sz w:val="18"/>
                <w:szCs w:val="18"/>
              </w:rPr>
              <w:t>: Oferta de capacitação aos servidores fazendários</w:t>
            </w:r>
          </w:p>
        </w:tc>
        <w:tc>
          <w:tcPr>
            <w:tcW w:w="1353" w:type="dxa"/>
            <w:vMerge w:val="restart"/>
            <w:shd w:val="clear" w:color="auto" w:fill="auto"/>
            <w:vAlign w:val="center"/>
          </w:tcPr>
          <w:p w:rsidR="00325697" w:rsidRPr="000D78FF" w:rsidRDefault="00325697" w:rsidP="009C7A21">
            <w:pPr>
              <w:spacing w:after="120" w:line="240" w:lineRule="auto"/>
              <w:jc w:val="center"/>
              <w:rPr>
                <w:rFonts w:ascii="Times New Roman" w:eastAsia="Times New Roman" w:hAnsi="Times New Roman" w:cs="Times New Roman"/>
                <w:sz w:val="18"/>
                <w:szCs w:val="18"/>
              </w:rPr>
            </w:pPr>
            <w:r w:rsidRPr="000D78FF">
              <w:rPr>
                <w:rFonts w:ascii="Times New Roman" w:hAnsi="Times New Roman" w:cs="Times New Roman"/>
                <w:bCs/>
                <w:iCs/>
                <w:sz w:val="18"/>
                <w:szCs w:val="18"/>
              </w:rPr>
              <w:t>Oportunidades capacitação</w:t>
            </w:r>
          </w:p>
        </w:tc>
        <w:tc>
          <w:tcPr>
            <w:tcW w:w="1333" w:type="dxa"/>
            <w:vMerge w:val="restart"/>
            <w:shd w:val="clear" w:color="auto" w:fill="auto"/>
            <w:vAlign w:val="center"/>
          </w:tcPr>
          <w:p w:rsidR="00325697" w:rsidRPr="000D78FF" w:rsidRDefault="00325697" w:rsidP="009C7A21">
            <w:pPr>
              <w:spacing w:after="120" w:line="240" w:lineRule="auto"/>
              <w:jc w:val="center"/>
              <w:rPr>
                <w:rFonts w:ascii="Times New Roman" w:eastAsia="Times New Roman" w:hAnsi="Times New Roman" w:cs="Times New Roman"/>
                <w:sz w:val="18"/>
                <w:szCs w:val="18"/>
              </w:rPr>
            </w:pPr>
            <w:r w:rsidRPr="000D78FF">
              <w:rPr>
                <w:rFonts w:ascii="Times New Roman" w:hAnsi="Times New Roman" w:cs="Times New Roman"/>
                <w:bCs/>
                <w:iCs/>
                <w:sz w:val="18"/>
                <w:szCs w:val="18"/>
              </w:rPr>
              <w:t>668</w:t>
            </w:r>
          </w:p>
        </w:tc>
        <w:tc>
          <w:tcPr>
            <w:tcW w:w="1332" w:type="dxa"/>
            <w:vMerge w:val="restart"/>
            <w:shd w:val="clear" w:color="auto" w:fill="auto"/>
            <w:vAlign w:val="center"/>
          </w:tcPr>
          <w:p w:rsidR="00325697" w:rsidRPr="000D78FF" w:rsidRDefault="00325697" w:rsidP="009C7A21">
            <w:pPr>
              <w:spacing w:after="120" w:line="240" w:lineRule="auto"/>
              <w:jc w:val="center"/>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2011</w:t>
            </w:r>
          </w:p>
        </w:tc>
        <w:tc>
          <w:tcPr>
            <w:tcW w:w="1686" w:type="dxa"/>
            <w:vMerge w:val="restart"/>
            <w:shd w:val="clear" w:color="auto" w:fill="auto"/>
            <w:vAlign w:val="center"/>
          </w:tcPr>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Relatório de Gestão da Escola Fazendária</w:t>
            </w:r>
          </w:p>
        </w:tc>
        <w:tc>
          <w:tcPr>
            <w:tcW w:w="1423" w:type="dxa"/>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Valor original</w:t>
            </w:r>
          </w:p>
        </w:tc>
        <w:tc>
          <w:tcPr>
            <w:tcW w:w="866" w:type="dxa"/>
            <w:shd w:val="clear" w:color="auto" w:fill="D9D9D9"/>
            <w:vAlign w:val="center"/>
          </w:tcPr>
          <w:p w:rsidR="00325697" w:rsidRPr="000D78FF" w:rsidRDefault="00325697" w:rsidP="009C7A21">
            <w:pPr>
              <w:spacing w:after="120" w:line="240" w:lineRule="auto"/>
              <w:jc w:val="center"/>
              <w:rPr>
                <w:rFonts w:ascii="Times New Roman" w:eastAsia="Times New Roman" w:hAnsi="Times New Roman" w:cs="Times New Roman"/>
                <w:b/>
                <w:sz w:val="18"/>
                <w:szCs w:val="18"/>
              </w:rPr>
            </w:pPr>
          </w:p>
        </w:tc>
        <w:tc>
          <w:tcPr>
            <w:tcW w:w="1260" w:type="dxa"/>
            <w:vMerge w:val="restart"/>
            <w:tcBorders>
              <w:right w:val="single" w:sz="4" w:space="0" w:color="auto"/>
            </w:tcBorders>
            <w:shd w:val="clear" w:color="auto" w:fill="FFFFFF"/>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Dezembro de 2014</w:t>
            </w:r>
          </w:p>
        </w:tc>
        <w:tc>
          <w:tcPr>
            <w:tcW w:w="2192" w:type="dxa"/>
            <w:vMerge w:val="restart"/>
            <w:tcBorders>
              <w:right w:val="single" w:sz="4" w:space="0" w:color="auto"/>
            </w:tcBorders>
            <w:shd w:val="clear" w:color="auto" w:fill="auto"/>
            <w:vAlign w:val="center"/>
          </w:tcPr>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Nota Técnica. EFAZ – Escola Fazendária. Esta Nota não apresenta essas quantidades. Ajustar a Nota.</w:t>
            </w:r>
          </w:p>
        </w:tc>
      </w:tr>
      <w:tr w:rsidR="00325697" w:rsidRPr="000D78FF" w:rsidTr="000A175D">
        <w:trPr>
          <w:jc w:val="center"/>
        </w:trPr>
        <w:tc>
          <w:tcPr>
            <w:tcW w:w="2458" w:type="dxa"/>
            <w:vMerge/>
            <w:tcBorders>
              <w:left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highlight w:val="yellow"/>
              </w:rPr>
            </w:pPr>
          </w:p>
        </w:tc>
        <w:tc>
          <w:tcPr>
            <w:tcW w:w="1353" w:type="dxa"/>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highlight w:val="yellow"/>
              </w:rPr>
            </w:pPr>
          </w:p>
        </w:tc>
        <w:tc>
          <w:tcPr>
            <w:tcW w:w="1333" w:type="dxa"/>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332" w:type="dxa"/>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686" w:type="dxa"/>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423" w:type="dxa"/>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 xml:space="preserve">Valor revisado </w:t>
            </w:r>
          </w:p>
        </w:tc>
        <w:tc>
          <w:tcPr>
            <w:tcW w:w="866" w:type="dxa"/>
            <w:shd w:val="clear" w:color="auto" w:fill="auto"/>
            <w:vAlign w:val="center"/>
          </w:tcPr>
          <w:p w:rsidR="00325697" w:rsidRPr="00E97E1F" w:rsidRDefault="00325697" w:rsidP="009C7A21">
            <w:pPr>
              <w:spacing w:after="120" w:line="240" w:lineRule="auto"/>
              <w:jc w:val="center"/>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960</w:t>
            </w:r>
          </w:p>
        </w:tc>
        <w:tc>
          <w:tcPr>
            <w:tcW w:w="1260" w:type="dxa"/>
            <w:vMerge/>
            <w:tcBorders>
              <w:right w:val="single" w:sz="4" w:space="0" w:color="auto"/>
            </w:tcBorders>
            <w:shd w:val="clear" w:color="auto" w:fill="FFFF00"/>
            <w:vAlign w:val="center"/>
          </w:tcPr>
          <w:p w:rsidR="00325697" w:rsidRPr="000D78FF" w:rsidRDefault="00325697" w:rsidP="009C7A21">
            <w:pPr>
              <w:spacing w:after="120" w:line="240" w:lineRule="auto"/>
              <w:rPr>
                <w:rFonts w:ascii="Times New Roman" w:eastAsia="Times New Roman" w:hAnsi="Times New Roman" w:cs="Times New Roman"/>
                <w:b/>
                <w:sz w:val="18"/>
                <w:szCs w:val="18"/>
              </w:rPr>
            </w:pPr>
          </w:p>
        </w:tc>
        <w:tc>
          <w:tcPr>
            <w:tcW w:w="2192" w:type="dxa"/>
            <w:vMerge/>
            <w:tcBorders>
              <w:right w:val="single" w:sz="4" w:space="0" w:color="auto"/>
            </w:tcBorders>
            <w:shd w:val="clear" w:color="auto" w:fill="auto"/>
          </w:tcPr>
          <w:p w:rsidR="00325697" w:rsidRPr="000D78FF" w:rsidRDefault="00325697" w:rsidP="009C7A21">
            <w:pPr>
              <w:spacing w:after="120" w:line="240" w:lineRule="auto"/>
              <w:rPr>
                <w:rFonts w:ascii="Times New Roman" w:eastAsia="Times New Roman" w:hAnsi="Times New Roman" w:cs="Times New Roman"/>
                <w:sz w:val="18"/>
                <w:szCs w:val="18"/>
              </w:rPr>
            </w:pPr>
          </w:p>
        </w:tc>
      </w:tr>
      <w:tr w:rsidR="00325697" w:rsidRPr="000D78FF" w:rsidTr="000A175D">
        <w:trPr>
          <w:jc w:val="center"/>
        </w:trPr>
        <w:tc>
          <w:tcPr>
            <w:tcW w:w="2458" w:type="dxa"/>
            <w:vMerge/>
            <w:tcBorders>
              <w:left w:val="single" w:sz="4" w:space="0" w:color="auto"/>
              <w:bottom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highlight w:val="yellow"/>
              </w:rPr>
            </w:pPr>
          </w:p>
        </w:tc>
        <w:tc>
          <w:tcPr>
            <w:tcW w:w="1353" w:type="dxa"/>
            <w:vMerge/>
            <w:tcBorders>
              <w:bottom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highlight w:val="yellow"/>
              </w:rPr>
            </w:pPr>
          </w:p>
        </w:tc>
        <w:tc>
          <w:tcPr>
            <w:tcW w:w="1333" w:type="dxa"/>
            <w:vMerge/>
            <w:tcBorders>
              <w:bottom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332" w:type="dxa"/>
            <w:vMerge/>
            <w:tcBorders>
              <w:bottom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686" w:type="dxa"/>
            <w:vMerge/>
            <w:tcBorders>
              <w:bottom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423" w:type="dxa"/>
            <w:tcBorders>
              <w:bottom w:val="single" w:sz="4" w:space="0" w:color="auto"/>
            </w:tcBorders>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Valor alcançado</w:t>
            </w:r>
          </w:p>
        </w:tc>
        <w:tc>
          <w:tcPr>
            <w:tcW w:w="866" w:type="dxa"/>
            <w:tcBorders>
              <w:bottom w:val="single" w:sz="4" w:space="0" w:color="auto"/>
              <w:right w:val="single" w:sz="4" w:space="0" w:color="auto"/>
            </w:tcBorders>
            <w:shd w:val="clear" w:color="auto" w:fill="auto"/>
            <w:vAlign w:val="center"/>
          </w:tcPr>
          <w:p w:rsidR="00325697" w:rsidRPr="00E97E1F" w:rsidRDefault="00325697" w:rsidP="009C7A21">
            <w:pPr>
              <w:spacing w:after="120" w:line="240" w:lineRule="auto"/>
              <w:jc w:val="center"/>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1557</w:t>
            </w:r>
          </w:p>
        </w:tc>
        <w:tc>
          <w:tcPr>
            <w:tcW w:w="1260" w:type="dxa"/>
            <w:vMerge/>
            <w:tcBorders>
              <w:bottom w:val="single" w:sz="4" w:space="0" w:color="auto"/>
              <w:right w:val="single" w:sz="4" w:space="0" w:color="auto"/>
            </w:tcBorders>
            <w:shd w:val="clear" w:color="auto" w:fill="FFFF00"/>
            <w:vAlign w:val="center"/>
          </w:tcPr>
          <w:p w:rsidR="00325697" w:rsidRPr="000D78FF" w:rsidRDefault="00325697" w:rsidP="009C7A21">
            <w:pPr>
              <w:spacing w:after="120" w:line="240" w:lineRule="auto"/>
              <w:rPr>
                <w:rFonts w:ascii="Times New Roman" w:eastAsia="Times New Roman" w:hAnsi="Times New Roman" w:cs="Times New Roman"/>
                <w:b/>
                <w:sz w:val="18"/>
                <w:szCs w:val="18"/>
              </w:rPr>
            </w:pPr>
          </w:p>
        </w:tc>
        <w:tc>
          <w:tcPr>
            <w:tcW w:w="2192" w:type="dxa"/>
            <w:vMerge/>
            <w:tcBorders>
              <w:bottom w:val="single" w:sz="4" w:space="0" w:color="auto"/>
              <w:right w:val="single" w:sz="4" w:space="0" w:color="auto"/>
            </w:tcBorders>
            <w:shd w:val="clear" w:color="auto" w:fill="auto"/>
          </w:tcPr>
          <w:p w:rsidR="00325697" w:rsidRPr="000D78FF" w:rsidRDefault="00325697" w:rsidP="009C7A21">
            <w:pPr>
              <w:spacing w:after="120" w:line="240" w:lineRule="auto"/>
              <w:rPr>
                <w:rFonts w:ascii="Times New Roman" w:eastAsia="Times New Roman" w:hAnsi="Times New Roman" w:cs="Times New Roman"/>
                <w:sz w:val="18"/>
                <w:szCs w:val="18"/>
              </w:rPr>
            </w:pPr>
          </w:p>
        </w:tc>
      </w:tr>
    </w:tbl>
    <w:p w:rsidR="00325697" w:rsidRPr="00046243" w:rsidRDefault="00325697" w:rsidP="009C7A21">
      <w:pPr>
        <w:spacing w:after="240" w:line="240" w:lineRule="auto"/>
        <w:jc w:val="center"/>
        <w:rPr>
          <w:rFonts w:ascii="Times New Roman" w:hAnsi="Times New Roman" w:cs="Times New Roman"/>
          <w:b/>
          <w:sz w:val="24"/>
          <w:szCs w:val="24"/>
        </w:rPr>
      </w:pPr>
      <w:r w:rsidRPr="00046243">
        <w:rPr>
          <w:rFonts w:ascii="Times New Roman" w:hAnsi="Times New Roman" w:cs="Times New Roman"/>
          <w:b/>
          <w:sz w:val="24"/>
          <w:szCs w:val="24"/>
        </w:rPr>
        <w:br w:type="page"/>
      </w:r>
      <w:r w:rsidRPr="00046243">
        <w:rPr>
          <w:rFonts w:ascii="Times New Roman" w:hAnsi="Times New Roman" w:cs="Times New Roman"/>
          <w:b/>
          <w:sz w:val="24"/>
          <w:szCs w:val="24"/>
        </w:rPr>
        <w:lastRenderedPageBreak/>
        <w:t xml:space="preserve">PRODUTOS </w:t>
      </w:r>
    </w:p>
    <w:tbl>
      <w:tblPr>
        <w:tblW w:w="1350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2595"/>
        <w:gridCol w:w="35"/>
        <w:gridCol w:w="1225"/>
        <w:gridCol w:w="40"/>
        <w:gridCol w:w="11"/>
        <w:gridCol w:w="1407"/>
        <w:gridCol w:w="10"/>
        <w:gridCol w:w="1055"/>
        <w:gridCol w:w="22"/>
        <w:gridCol w:w="9"/>
        <w:gridCol w:w="1845"/>
        <w:gridCol w:w="13"/>
        <w:gridCol w:w="1408"/>
        <w:gridCol w:w="32"/>
        <w:gridCol w:w="9"/>
        <w:gridCol w:w="713"/>
        <w:gridCol w:w="1276"/>
        <w:gridCol w:w="1779"/>
        <w:gridCol w:w="16"/>
      </w:tblGrid>
      <w:tr w:rsidR="00325697" w:rsidRPr="00046243" w:rsidTr="000A175D">
        <w:trPr>
          <w:gridBefore w:val="1"/>
          <w:wBefore w:w="9" w:type="dxa"/>
          <w:trHeight w:val="999"/>
          <w:tblHeader/>
        </w:trPr>
        <w:tc>
          <w:tcPr>
            <w:tcW w:w="2630" w:type="dxa"/>
            <w:gridSpan w:val="2"/>
            <w:tcBorders>
              <w:left w:val="single" w:sz="4" w:space="0" w:color="auto"/>
            </w:tcBorders>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Produto/Indicador</w:t>
            </w:r>
          </w:p>
        </w:tc>
        <w:tc>
          <w:tcPr>
            <w:tcW w:w="1276" w:type="dxa"/>
            <w:gridSpan w:val="3"/>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Unidade de Medida</w:t>
            </w:r>
          </w:p>
        </w:tc>
        <w:tc>
          <w:tcPr>
            <w:tcW w:w="1417"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da Linha de Base</w:t>
            </w:r>
          </w:p>
        </w:tc>
        <w:tc>
          <w:tcPr>
            <w:tcW w:w="1086" w:type="dxa"/>
            <w:gridSpan w:val="3"/>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Ano da Linha de Base</w:t>
            </w:r>
          </w:p>
        </w:tc>
        <w:tc>
          <w:tcPr>
            <w:tcW w:w="1845"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Meio de Verificação</w:t>
            </w:r>
          </w:p>
        </w:tc>
        <w:tc>
          <w:tcPr>
            <w:tcW w:w="2175" w:type="dxa"/>
            <w:gridSpan w:val="5"/>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Metas (2014) e Resultados Alcançados</w:t>
            </w:r>
          </w:p>
        </w:tc>
        <w:tc>
          <w:tcPr>
            <w:tcW w:w="1276" w:type="dxa"/>
            <w:tcBorders>
              <w:right w:val="single" w:sz="4" w:space="0" w:color="auto"/>
            </w:tcBorders>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Data em que as metas foram alcançadas (mês/ano)</w:t>
            </w:r>
          </w:p>
        </w:tc>
        <w:tc>
          <w:tcPr>
            <w:tcW w:w="1795" w:type="dxa"/>
            <w:gridSpan w:val="2"/>
            <w:tcBorders>
              <w:right w:val="single" w:sz="4" w:space="0" w:color="auto"/>
            </w:tcBorders>
            <w:shd w:val="clear" w:color="auto" w:fill="auto"/>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b/>
                <w:sz w:val="18"/>
                <w:szCs w:val="18"/>
              </w:rPr>
              <w:t>Comentário</w:t>
            </w:r>
          </w:p>
        </w:tc>
      </w:tr>
      <w:tr w:rsidR="00325697" w:rsidRPr="00046243" w:rsidTr="000A175D">
        <w:trPr>
          <w:gridBefore w:val="1"/>
          <w:wBefore w:w="9" w:type="dxa"/>
          <w:trHeight w:val="190"/>
        </w:trPr>
        <w:tc>
          <w:tcPr>
            <w:tcW w:w="13500" w:type="dxa"/>
            <w:gridSpan w:val="19"/>
            <w:tcBorders>
              <w:left w:val="single" w:sz="4" w:space="0" w:color="auto"/>
              <w:right w:val="single" w:sz="4" w:space="0" w:color="auto"/>
            </w:tcBorders>
            <w:shd w:val="clear" w:color="auto" w:fill="BFBFBF"/>
            <w:vAlign w:val="center"/>
          </w:tcPr>
          <w:p w:rsidR="00325697" w:rsidRPr="00046243" w:rsidRDefault="00325697" w:rsidP="009C7A21">
            <w:pPr>
              <w:spacing w:after="120" w:line="240" w:lineRule="auto"/>
              <w:rPr>
                <w:rFonts w:ascii="Times New Roman" w:eastAsia="Times New Roman" w:hAnsi="Times New Roman" w:cs="Times New Roman"/>
                <w:b/>
                <w:sz w:val="18"/>
                <w:szCs w:val="18"/>
              </w:rPr>
            </w:pPr>
            <w:r w:rsidRPr="00046243">
              <w:rPr>
                <w:rFonts w:ascii="Times New Roman" w:eastAsia="Times New Roman" w:hAnsi="Times New Roman" w:cs="Times New Roman"/>
                <w:b/>
                <w:sz w:val="18"/>
                <w:szCs w:val="18"/>
              </w:rPr>
              <w:t>COMPONENTE I - GESTÃO ESTRATÉGICA INTEGRADA</w:t>
            </w:r>
          </w:p>
        </w:tc>
      </w:tr>
      <w:tr w:rsidR="00325697" w:rsidRPr="00AB0F9F" w:rsidTr="00AB0F9F">
        <w:trPr>
          <w:gridBefore w:val="1"/>
          <w:wBefore w:w="9" w:type="dxa"/>
          <w:trHeight w:val="214"/>
        </w:trPr>
        <w:tc>
          <w:tcPr>
            <w:tcW w:w="2630" w:type="dxa"/>
            <w:gridSpan w:val="2"/>
            <w:vMerge w:val="restart"/>
            <w:tcBorders>
              <w:left w:val="single" w:sz="4" w:space="0" w:color="auto"/>
            </w:tcBorders>
            <w:shd w:val="clear" w:color="auto" w:fill="auto"/>
            <w:vAlign w:val="center"/>
          </w:tcPr>
          <w:p w:rsidR="00325697" w:rsidRPr="00AB0F9F" w:rsidRDefault="00325697" w:rsidP="009C7A21">
            <w:pPr>
              <w:pStyle w:val="PargrafodaLista"/>
              <w:numPr>
                <w:ilvl w:val="0"/>
                <w:numId w:val="6"/>
              </w:numPr>
              <w:spacing w:after="120" w:line="240" w:lineRule="auto"/>
              <w:rPr>
                <w:rFonts w:ascii="Times New Roman" w:hAnsi="Times New Roman" w:cs="Times New Roman"/>
                <w:bCs/>
                <w:iCs/>
                <w:sz w:val="18"/>
                <w:szCs w:val="18"/>
              </w:rPr>
            </w:pPr>
            <w:r w:rsidRPr="00AB0F9F">
              <w:rPr>
                <w:rFonts w:ascii="Times New Roman" w:hAnsi="Times New Roman" w:cs="Times New Roman"/>
                <w:bCs/>
                <w:iCs/>
                <w:sz w:val="18"/>
                <w:szCs w:val="18"/>
              </w:rPr>
              <w:t>Modelo de planejamento e gestão das políticas de fazenda implantado</w:t>
            </w:r>
          </w:p>
        </w:tc>
        <w:tc>
          <w:tcPr>
            <w:tcW w:w="1276" w:type="dxa"/>
            <w:gridSpan w:val="3"/>
            <w:vMerge w:val="restart"/>
            <w:shd w:val="clear" w:color="auto" w:fill="auto"/>
            <w:vAlign w:val="center"/>
          </w:tcPr>
          <w:p w:rsidR="00325697" w:rsidRPr="00AB0F9F" w:rsidRDefault="00325697" w:rsidP="009C7A21">
            <w:pPr>
              <w:spacing w:after="120" w:line="240" w:lineRule="auto"/>
              <w:jc w:val="center"/>
              <w:rPr>
                <w:rFonts w:ascii="Times New Roman" w:hAnsi="Times New Roman" w:cs="Times New Roman"/>
                <w:sz w:val="18"/>
                <w:szCs w:val="18"/>
              </w:rPr>
            </w:pPr>
            <w:r w:rsidRPr="00AB0F9F">
              <w:rPr>
                <w:rFonts w:ascii="Times New Roman" w:hAnsi="Times New Roman" w:cs="Times New Roman"/>
                <w:sz w:val="18"/>
                <w:szCs w:val="18"/>
              </w:rPr>
              <w:t>Servidores capacitados</w:t>
            </w:r>
          </w:p>
        </w:tc>
        <w:tc>
          <w:tcPr>
            <w:tcW w:w="1417" w:type="dxa"/>
            <w:gridSpan w:val="2"/>
            <w:vMerge w:val="restart"/>
            <w:shd w:val="clear" w:color="auto" w:fill="auto"/>
            <w:vAlign w:val="center"/>
          </w:tcPr>
          <w:p w:rsidR="00325697" w:rsidRPr="00AB0F9F" w:rsidRDefault="00325697" w:rsidP="009C7A21">
            <w:pPr>
              <w:spacing w:after="120" w:line="240" w:lineRule="auto"/>
              <w:jc w:val="center"/>
              <w:rPr>
                <w:rFonts w:ascii="Times New Roman" w:eastAsia="Times New Roman" w:hAnsi="Times New Roman" w:cs="Times New Roman"/>
                <w:sz w:val="18"/>
                <w:szCs w:val="18"/>
              </w:rPr>
            </w:pPr>
            <w:r w:rsidRPr="00AB0F9F">
              <w:rPr>
                <w:rFonts w:ascii="Times New Roman" w:eastAsia="Times New Roman" w:hAnsi="Times New Roman" w:cs="Times New Roman"/>
                <w:sz w:val="18"/>
                <w:szCs w:val="18"/>
              </w:rPr>
              <w:t>0</w:t>
            </w:r>
          </w:p>
        </w:tc>
        <w:tc>
          <w:tcPr>
            <w:tcW w:w="1086" w:type="dxa"/>
            <w:gridSpan w:val="3"/>
            <w:vMerge w:val="restart"/>
            <w:shd w:val="clear" w:color="auto" w:fill="auto"/>
            <w:vAlign w:val="center"/>
          </w:tcPr>
          <w:p w:rsidR="00325697" w:rsidRPr="00AB0F9F" w:rsidRDefault="00325697" w:rsidP="009C7A21">
            <w:pPr>
              <w:spacing w:after="120" w:line="240" w:lineRule="auto"/>
              <w:jc w:val="center"/>
              <w:rPr>
                <w:rFonts w:ascii="Times New Roman" w:eastAsia="Times New Roman" w:hAnsi="Times New Roman" w:cs="Times New Roman"/>
                <w:sz w:val="18"/>
                <w:szCs w:val="18"/>
              </w:rPr>
            </w:pPr>
            <w:r w:rsidRPr="00AB0F9F">
              <w:rPr>
                <w:rFonts w:ascii="Times New Roman" w:eastAsia="Times New Roman" w:hAnsi="Times New Roman" w:cs="Times New Roman"/>
                <w:sz w:val="18"/>
                <w:szCs w:val="18"/>
              </w:rPr>
              <w:t>2001</w:t>
            </w:r>
          </w:p>
        </w:tc>
        <w:tc>
          <w:tcPr>
            <w:tcW w:w="1845" w:type="dxa"/>
            <w:vMerge w:val="restart"/>
            <w:shd w:val="clear" w:color="auto" w:fill="auto"/>
            <w:vAlign w:val="center"/>
          </w:tcPr>
          <w:p w:rsidR="00325697" w:rsidRPr="00AB0F9F" w:rsidRDefault="00325697" w:rsidP="009C7A21">
            <w:pPr>
              <w:spacing w:after="120" w:line="240" w:lineRule="auto"/>
              <w:rPr>
                <w:rFonts w:ascii="Times New Roman" w:hAnsi="Times New Roman" w:cs="Times New Roman"/>
                <w:sz w:val="18"/>
                <w:szCs w:val="18"/>
              </w:rPr>
            </w:pPr>
            <w:r w:rsidRPr="00AB0F9F">
              <w:rPr>
                <w:rFonts w:ascii="Times New Roman" w:hAnsi="Times New Roman" w:cs="Times New Roman"/>
                <w:sz w:val="18"/>
                <w:szCs w:val="18"/>
              </w:rPr>
              <w:t>Relatório da capacitação</w:t>
            </w:r>
          </w:p>
        </w:tc>
        <w:tc>
          <w:tcPr>
            <w:tcW w:w="1421" w:type="dxa"/>
            <w:gridSpan w:val="2"/>
            <w:shd w:val="clear" w:color="auto" w:fill="auto"/>
            <w:vAlign w:val="center"/>
          </w:tcPr>
          <w:p w:rsidR="00325697" w:rsidRPr="00AB0F9F" w:rsidRDefault="00325697" w:rsidP="009C7A21">
            <w:pPr>
              <w:spacing w:after="120" w:line="240" w:lineRule="auto"/>
              <w:rPr>
                <w:rFonts w:ascii="Times New Roman" w:eastAsia="Times New Roman" w:hAnsi="Times New Roman" w:cs="Times New Roman"/>
                <w:sz w:val="18"/>
                <w:szCs w:val="18"/>
              </w:rPr>
            </w:pPr>
            <w:r w:rsidRPr="00AB0F9F">
              <w:rPr>
                <w:rFonts w:ascii="Times New Roman" w:eastAsia="Times New Roman" w:hAnsi="Times New Roman" w:cs="Times New Roman"/>
                <w:sz w:val="18"/>
                <w:szCs w:val="18"/>
              </w:rPr>
              <w:t>Valor original</w:t>
            </w:r>
          </w:p>
        </w:tc>
        <w:tc>
          <w:tcPr>
            <w:tcW w:w="754" w:type="dxa"/>
            <w:gridSpan w:val="3"/>
            <w:shd w:val="clear" w:color="auto" w:fill="D9D9D9" w:themeFill="background1" w:themeFillShade="D9"/>
            <w:vAlign w:val="center"/>
          </w:tcPr>
          <w:p w:rsidR="00325697" w:rsidRPr="00AB0F9F"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val="restart"/>
            <w:tcBorders>
              <w:right w:val="single" w:sz="4" w:space="0" w:color="auto"/>
            </w:tcBorders>
            <w:shd w:val="clear" w:color="auto" w:fill="auto"/>
            <w:vAlign w:val="center"/>
          </w:tcPr>
          <w:p w:rsidR="00325697" w:rsidRPr="00AB0F9F" w:rsidRDefault="00AB0F9F" w:rsidP="009C7A21">
            <w:pPr>
              <w:spacing w:after="120" w:line="240" w:lineRule="auto"/>
              <w:rPr>
                <w:rFonts w:ascii="Times New Roman" w:eastAsia="Times New Roman" w:hAnsi="Times New Roman" w:cs="Times New Roman"/>
                <w:sz w:val="18"/>
                <w:szCs w:val="18"/>
              </w:rPr>
            </w:pPr>
            <w:r w:rsidRPr="00AB0F9F">
              <w:rPr>
                <w:rFonts w:ascii="Times New Roman" w:eastAsia="Times New Roman" w:hAnsi="Times New Roman" w:cs="Times New Roman"/>
                <w:sz w:val="18"/>
                <w:szCs w:val="18"/>
              </w:rPr>
              <w:t>Novembro de 2010</w:t>
            </w:r>
          </w:p>
        </w:tc>
        <w:tc>
          <w:tcPr>
            <w:tcW w:w="1795" w:type="dxa"/>
            <w:gridSpan w:val="2"/>
            <w:vMerge w:val="restart"/>
            <w:tcBorders>
              <w:right w:val="single" w:sz="4" w:space="0" w:color="auto"/>
            </w:tcBorders>
            <w:shd w:val="clear" w:color="auto" w:fill="auto"/>
            <w:vAlign w:val="center"/>
          </w:tcPr>
          <w:p w:rsidR="00325697" w:rsidRPr="00AB0F9F" w:rsidRDefault="00325697" w:rsidP="00AB0F9F">
            <w:pPr>
              <w:spacing w:after="120" w:line="240" w:lineRule="auto"/>
              <w:rPr>
                <w:rFonts w:ascii="Times New Roman" w:eastAsia="Times New Roman" w:hAnsi="Times New Roman" w:cs="Times New Roman"/>
                <w:sz w:val="18"/>
                <w:szCs w:val="18"/>
              </w:rPr>
            </w:pPr>
            <w:r w:rsidRPr="00AB0F9F">
              <w:rPr>
                <w:rFonts w:ascii="Times New Roman" w:eastAsia="Times New Roman" w:hAnsi="Times New Roman" w:cs="Times New Roman"/>
                <w:sz w:val="18"/>
                <w:szCs w:val="18"/>
              </w:rPr>
              <w:t xml:space="preserve">Nota </w:t>
            </w:r>
            <w:r w:rsidR="00AB0F9F" w:rsidRPr="00AB0F9F">
              <w:rPr>
                <w:rFonts w:ascii="Times New Roman" w:eastAsia="Times New Roman" w:hAnsi="Times New Roman" w:cs="Times New Roman"/>
                <w:sz w:val="18"/>
                <w:szCs w:val="18"/>
              </w:rPr>
              <w:t xml:space="preserve">técnica </w:t>
            </w:r>
            <w:r w:rsidR="00AB0F9F">
              <w:rPr>
                <w:rFonts w:ascii="Times New Roman" w:eastAsia="Times New Roman" w:hAnsi="Times New Roman" w:cs="Times New Roman"/>
                <w:sz w:val="18"/>
                <w:szCs w:val="18"/>
              </w:rPr>
              <w:t xml:space="preserve">- Coordenação do Projeto - </w:t>
            </w:r>
            <w:r w:rsidR="00AB0F9F" w:rsidRPr="00AB0F9F">
              <w:rPr>
                <w:rFonts w:ascii="Times New Roman" w:eastAsia="Times New Roman" w:hAnsi="Times New Roman" w:cs="Times New Roman"/>
                <w:sz w:val="18"/>
                <w:szCs w:val="18"/>
              </w:rPr>
              <w:t xml:space="preserve"> especifica quando e quantos servidores </w:t>
            </w:r>
            <w:r w:rsidRPr="00AB0F9F">
              <w:rPr>
                <w:rFonts w:ascii="Times New Roman" w:eastAsia="Times New Roman" w:hAnsi="Times New Roman" w:cs="Times New Roman"/>
                <w:sz w:val="18"/>
                <w:szCs w:val="18"/>
              </w:rPr>
              <w:t>participaram dos cursos (</w:t>
            </w:r>
            <w:r w:rsidRPr="00AB0F9F">
              <w:rPr>
                <w:rFonts w:ascii="Times New Roman" w:hAnsi="Times New Roman" w:cs="Times New Roman"/>
                <w:bCs/>
                <w:sz w:val="18"/>
                <w:szCs w:val="18"/>
              </w:rPr>
              <w:t>Interpretação dos Critérios de Avaliação e de Avaliador do PGQP</w:t>
            </w:r>
            <w:r w:rsidRPr="00AB0F9F">
              <w:rPr>
                <w:rFonts w:ascii="Times New Roman" w:eastAsia="Times New Roman" w:hAnsi="Times New Roman" w:cs="Times New Roman"/>
                <w:sz w:val="18"/>
                <w:szCs w:val="18"/>
              </w:rPr>
              <w:t xml:space="preserve"> e </w:t>
            </w:r>
            <w:r w:rsidRPr="00AB0F9F">
              <w:rPr>
                <w:rFonts w:ascii="Times New Roman" w:hAnsi="Times New Roman" w:cs="Times New Roman"/>
                <w:bCs/>
                <w:sz w:val="18"/>
                <w:szCs w:val="18"/>
              </w:rPr>
              <w:t xml:space="preserve">Formação Executiva em </w:t>
            </w:r>
            <w:r w:rsidRPr="00AB0F9F">
              <w:rPr>
                <w:rFonts w:ascii="Times New Roman" w:hAnsi="Times New Roman" w:cs="Times New Roman"/>
                <w:bCs/>
                <w:i/>
                <w:sz w:val="18"/>
                <w:szCs w:val="18"/>
              </w:rPr>
              <w:t>BPM - Busisness Process Management</w:t>
            </w:r>
            <w:r w:rsidRPr="00AB0F9F">
              <w:rPr>
                <w:rFonts w:ascii="Times New Roman" w:eastAsia="Times New Roman" w:hAnsi="Times New Roman" w:cs="Times New Roman"/>
                <w:sz w:val="18"/>
                <w:szCs w:val="18"/>
              </w:rPr>
              <w:t>)</w:t>
            </w:r>
          </w:p>
        </w:tc>
      </w:tr>
      <w:tr w:rsidR="00325697" w:rsidRPr="00AB0F9F" w:rsidTr="000A175D">
        <w:trPr>
          <w:gridBefore w:val="1"/>
          <w:wBefore w:w="9" w:type="dxa"/>
          <w:trHeight w:val="214"/>
        </w:trPr>
        <w:tc>
          <w:tcPr>
            <w:tcW w:w="2630" w:type="dxa"/>
            <w:gridSpan w:val="2"/>
            <w:vMerge/>
            <w:tcBorders>
              <w:left w:val="single" w:sz="4" w:space="0" w:color="auto"/>
            </w:tcBorders>
            <w:shd w:val="clear" w:color="auto" w:fill="auto"/>
            <w:vAlign w:val="center"/>
          </w:tcPr>
          <w:p w:rsidR="00325697" w:rsidRPr="00AB0F9F" w:rsidRDefault="00325697" w:rsidP="009C7A21">
            <w:pPr>
              <w:pStyle w:val="PargrafodaLista"/>
              <w:numPr>
                <w:ilvl w:val="0"/>
                <w:numId w:val="6"/>
              </w:numPr>
              <w:spacing w:after="120" w:line="240" w:lineRule="auto"/>
              <w:rPr>
                <w:rFonts w:ascii="Times New Roman" w:hAnsi="Times New Roman" w:cs="Times New Roman"/>
                <w:bCs/>
                <w:iCs/>
                <w:sz w:val="18"/>
                <w:szCs w:val="18"/>
              </w:rPr>
            </w:pPr>
          </w:p>
        </w:tc>
        <w:tc>
          <w:tcPr>
            <w:tcW w:w="1276" w:type="dxa"/>
            <w:gridSpan w:val="3"/>
            <w:vMerge/>
            <w:shd w:val="clear" w:color="auto" w:fill="auto"/>
            <w:vAlign w:val="center"/>
          </w:tcPr>
          <w:p w:rsidR="00325697" w:rsidRPr="00AB0F9F" w:rsidRDefault="00325697" w:rsidP="009C7A21">
            <w:pPr>
              <w:spacing w:after="120" w:line="240" w:lineRule="auto"/>
              <w:jc w:val="center"/>
              <w:rPr>
                <w:rFonts w:ascii="Times New Roman" w:hAnsi="Times New Roman" w:cs="Times New Roman"/>
                <w:sz w:val="18"/>
                <w:szCs w:val="18"/>
              </w:rPr>
            </w:pPr>
          </w:p>
        </w:tc>
        <w:tc>
          <w:tcPr>
            <w:tcW w:w="1417" w:type="dxa"/>
            <w:gridSpan w:val="2"/>
            <w:vMerge/>
            <w:shd w:val="clear" w:color="auto" w:fill="auto"/>
            <w:vAlign w:val="center"/>
          </w:tcPr>
          <w:p w:rsidR="00325697" w:rsidRPr="00AB0F9F" w:rsidRDefault="00325697" w:rsidP="009C7A21">
            <w:pPr>
              <w:spacing w:after="120" w:line="240" w:lineRule="auto"/>
              <w:jc w:val="center"/>
              <w:rPr>
                <w:rFonts w:ascii="Times New Roman" w:eastAsia="Times New Roman" w:hAnsi="Times New Roman" w:cs="Times New Roman"/>
                <w:sz w:val="18"/>
                <w:szCs w:val="18"/>
              </w:rPr>
            </w:pPr>
          </w:p>
        </w:tc>
        <w:tc>
          <w:tcPr>
            <w:tcW w:w="1086" w:type="dxa"/>
            <w:gridSpan w:val="3"/>
            <w:vMerge/>
            <w:shd w:val="clear" w:color="auto" w:fill="auto"/>
            <w:vAlign w:val="center"/>
          </w:tcPr>
          <w:p w:rsidR="00325697" w:rsidRPr="00AB0F9F" w:rsidRDefault="00325697" w:rsidP="009C7A21">
            <w:pPr>
              <w:spacing w:after="120" w:line="240" w:lineRule="auto"/>
              <w:jc w:val="center"/>
              <w:rPr>
                <w:rFonts w:ascii="Times New Roman" w:eastAsia="Times New Roman" w:hAnsi="Times New Roman" w:cs="Times New Roman"/>
                <w:sz w:val="18"/>
                <w:szCs w:val="18"/>
              </w:rPr>
            </w:pPr>
          </w:p>
        </w:tc>
        <w:tc>
          <w:tcPr>
            <w:tcW w:w="1845" w:type="dxa"/>
            <w:vMerge/>
            <w:shd w:val="clear" w:color="auto" w:fill="auto"/>
            <w:vAlign w:val="center"/>
          </w:tcPr>
          <w:p w:rsidR="00325697" w:rsidRPr="00AB0F9F" w:rsidRDefault="00325697" w:rsidP="009C7A21">
            <w:pPr>
              <w:spacing w:after="120" w:line="240" w:lineRule="auto"/>
              <w:rPr>
                <w:rFonts w:ascii="Times New Roman" w:hAnsi="Times New Roman" w:cs="Times New Roman"/>
                <w:sz w:val="18"/>
                <w:szCs w:val="18"/>
              </w:rPr>
            </w:pPr>
          </w:p>
        </w:tc>
        <w:tc>
          <w:tcPr>
            <w:tcW w:w="1421" w:type="dxa"/>
            <w:gridSpan w:val="2"/>
            <w:shd w:val="clear" w:color="auto" w:fill="auto"/>
            <w:vAlign w:val="center"/>
          </w:tcPr>
          <w:p w:rsidR="00325697" w:rsidRPr="00AB0F9F" w:rsidRDefault="00325697" w:rsidP="009C7A21">
            <w:pPr>
              <w:spacing w:after="120" w:line="240" w:lineRule="auto"/>
              <w:rPr>
                <w:rFonts w:ascii="Times New Roman" w:eastAsia="Times New Roman" w:hAnsi="Times New Roman" w:cs="Times New Roman"/>
                <w:sz w:val="18"/>
                <w:szCs w:val="18"/>
              </w:rPr>
            </w:pPr>
            <w:r w:rsidRPr="00AB0F9F">
              <w:rPr>
                <w:rFonts w:ascii="Times New Roman" w:eastAsia="Times New Roman" w:hAnsi="Times New Roman" w:cs="Times New Roman"/>
                <w:sz w:val="18"/>
                <w:szCs w:val="18"/>
              </w:rPr>
              <w:t xml:space="preserve">Valor revisado </w:t>
            </w:r>
          </w:p>
        </w:tc>
        <w:tc>
          <w:tcPr>
            <w:tcW w:w="754" w:type="dxa"/>
            <w:gridSpan w:val="3"/>
            <w:shd w:val="clear" w:color="auto" w:fill="auto"/>
            <w:vAlign w:val="center"/>
          </w:tcPr>
          <w:p w:rsidR="00325697" w:rsidRPr="00AB0F9F" w:rsidRDefault="00AB0F9F" w:rsidP="009C7A21">
            <w:pPr>
              <w:spacing w:after="120" w:line="240" w:lineRule="auto"/>
              <w:jc w:val="center"/>
              <w:rPr>
                <w:rFonts w:ascii="Times New Roman" w:eastAsia="Times New Roman" w:hAnsi="Times New Roman" w:cs="Times New Roman"/>
                <w:sz w:val="18"/>
                <w:szCs w:val="18"/>
              </w:rPr>
            </w:pPr>
            <w:r w:rsidRPr="00AB0F9F">
              <w:rPr>
                <w:rFonts w:ascii="Times New Roman" w:eastAsia="Times New Roman" w:hAnsi="Times New Roman" w:cs="Times New Roman"/>
                <w:sz w:val="18"/>
                <w:szCs w:val="18"/>
              </w:rPr>
              <w:t>4</w:t>
            </w:r>
          </w:p>
        </w:tc>
        <w:tc>
          <w:tcPr>
            <w:tcW w:w="1276" w:type="dxa"/>
            <w:vMerge/>
            <w:tcBorders>
              <w:right w:val="single" w:sz="4" w:space="0" w:color="auto"/>
            </w:tcBorders>
            <w:shd w:val="clear" w:color="auto" w:fill="auto"/>
            <w:vAlign w:val="center"/>
          </w:tcPr>
          <w:p w:rsidR="00325697" w:rsidRPr="00AB0F9F"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tcBorders>
              <w:right w:val="single" w:sz="4" w:space="0" w:color="auto"/>
            </w:tcBorders>
            <w:shd w:val="clear" w:color="auto" w:fill="auto"/>
            <w:vAlign w:val="center"/>
          </w:tcPr>
          <w:p w:rsidR="00325697" w:rsidRPr="00AB0F9F" w:rsidRDefault="00325697" w:rsidP="009C7A21">
            <w:pPr>
              <w:spacing w:after="120" w:line="240" w:lineRule="auto"/>
              <w:rPr>
                <w:rFonts w:ascii="Times New Roman" w:eastAsia="Times New Roman" w:hAnsi="Times New Roman" w:cs="Times New Roman"/>
                <w:sz w:val="18"/>
                <w:szCs w:val="18"/>
                <w:highlight w:val="green"/>
              </w:rPr>
            </w:pPr>
          </w:p>
        </w:tc>
      </w:tr>
      <w:tr w:rsidR="00325697" w:rsidRPr="00AB0F9F" w:rsidTr="000A175D">
        <w:trPr>
          <w:gridBefore w:val="1"/>
          <w:wBefore w:w="9" w:type="dxa"/>
          <w:trHeight w:val="214"/>
        </w:trPr>
        <w:tc>
          <w:tcPr>
            <w:tcW w:w="2630" w:type="dxa"/>
            <w:gridSpan w:val="2"/>
            <w:vMerge/>
            <w:tcBorders>
              <w:left w:val="single" w:sz="4" w:space="0" w:color="auto"/>
            </w:tcBorders>
            <w:shd w:val="clear" w:color="auto" w:fill="auto"/>
            <w:vAlign w:val="center"/>
          </w:tcPr>
          <w:p w:rsidR="00325697" w:rsidRPr="00AB0F9F" w:rsidRDefault="00325697" w:rsidP="009C7A21">
            <w:pPr>
              <w:pStyle w:val="PargrafodaLista"/>
              <w:numPr>
                <w:ilvl w:val="0"/>
                <w:numId w:val="6"/>
              </w:numPr>
              <w:spacing w:after="120" w:line="240" w:lineRule="auto"/>
              <w:rPr>
                <w:rFonts w:ascii="Times New Roman" w:hAnsi="Times New Roman" w:cs="Times New Roman"/>
                <w:bCs/>
                <w:iCs/>
                <w:sz w:val="18"/>
                <w:szCs w:val="18"/>
              </w:rPr>
            </w:pPr>
          </w:p>
        </w:tc>
        <w:tc>
          <w:tcPr>
            <w:tcW w:w="1276" w:type="dxa"/>
            <w:gridSpan w:val="3"/>
            <w:vMerge/>
            <w:shd w:val="clear" w:color="auto" w:fill="auto"/>
            <w:vAlign w:val="center"/>
          </w:tcPr>
          <w:p w:rsidR="00325697" w:rsidRPr="00AB0F9F" w:rsidRDefault="00325697" w:rsidP="009C7A21">
            <w:pPr>
              <w:spacing w:after="120" w:line="240" w:lineRule="auto"/>
              <w:jc w:val="center"/>
              <w:rPr>
                <w:rFonts w:ascii="Times New Roman" w:hAnsi="Times New Roman" w:cs="Times New Roman"/>
                <w:sz w:val="18"/>
                <w:szCs w:val="18"/>
              </w:rPr>
            </w:pPr>
          </w:p>
        </w:tc>
        <w:tc>
          <w:tcPr>
            <w:tcW w:w="1417" w:type="dxa"/>
            <w:gridSpan w:val="2"/>
            <w:vMerge/>
            <w:shd w:val="clear" w:color="auto" w:fill="auto"/>
            <w:vAlign w:val="center"/>
          </w:tcPr>
          <w:p w:rsidR="00325697" w:rsidRPr="00AB0F9F" w:rsidRDefault="00325697" w:rsidP="009C7A21">
            <w:pPr>
              <w:spacing w:after="120" w:line="240" w:lineRule="auto"/>
              <w:jc w:val="center"/>
              <w:rPr>
                <w:rFonts w:ascii="Times New Roman" w:eastAsia="Times New Roman" w:hAnsi="Times New Roman" w:cs="Times New Roman"/>
                <w:sz w:val="18"/>
                <w:szCs w:val="18"/>
              </w:rPr>
            </w:pPr>
          </w:p>
        </w:tc>
        <w:tc>
          <w:tcPr>
            <w:tcW w:w="1086" w:type="dxa"/>
            <w:gridSpan w:val="3"/>
            <w:vMerge/>
            <w:shd w:val="clear" w:color="auto" w:fill="auto"/>
            <w:vAlign w:val="center"/>
          </w:tcPr>
          <w:p w:rsidR="00325697" w:rsidRPr="00AB0F9F" w:rsidRDefault="00325697" w:rsidP="009C7A21">
            <w:pPr>
              <w:spacing w:after="120" w:line="240" w:lineRule="auto"/>
              <w:jc w:val="center"/>
              <w:rPr>
                <w:rFonts w:ascii="Times New Roman" w:eastAsia="Times New Roman" w:hAnsi="Times New Roman" w:cs="Times New Roman"/>
                <w:sz w:val="18"/>
                <w:szCs w:val="18"/>
              </w:rPr>
            </w:pPr>
          </w:p>
        </w:tc>
        <w:tc>
          <w:tcPr>
            <w:tcW w:w="1845" w:type="dxa"/>
            <w:vMerge/>
            <w:shd w:val="clear" w:color="auto" w:fill="auto"/>
            <w:vAlign w:val="center"/>
          </w:tcPr>
          <w:p w:rsidR="00325697" w:rsidRPr="00AB0F9F" w:rsidRDefault="00325697" w:rsidP="009C7A21">
            <w:pPr>
              <w:spacing w:after="120" w:line="240" w:lineRule="auto"/>
              <w:rPr>
                <w:rFonts w:ascii="Times New Roman" w:hAnsi="Times New Roman" w:cs="Times New Roman"/>
                <w:sz w:val="18"/>
                <w:szCs w:val="18"/>
              </w:rPr>
            </w:pPr>
          </w:p>
        </w:tc>
        <w:tc>
          <w:tcPr>
            <w:tcW w:w="1421" w:type="dxa"/>
            <w:gridSpan w:val="2"/>
            <w:shd w:val="clear" w:color="auto" w:fill="auto"/>
            <w:vAlign w:val="center"/>
          </w:tcPr>
          <w:p w:rsidR="00325697" w:rsidRPr="00AB0F9F" w:rsidRDefault="00325697" w:rsidP="009C7A21">
            <w:pPr>
              <w:spacing w:after="120" w:line="240" w:lineRule="auto"/>
              <w:rPr>
                <w:rFonts w:ascii="Times New Roman" w:eastAsia="Times New Roman" w:hAnsi="Times New Roman" w:cs="Times New Roman"/>
                <w:sz w:val="18"/>
                <w:szCs w:val="18"/>
              </w:rPr>
            </w:pPr>
            <w:r w:rsidRPr="00AB0F9F">
              <w:rPr>
                <w:rFonts w:ascii="Times New Roman" w:eastAsia="Times New Roman" w:hAnsi="Times New Roman" w:cs="Times New Roman"/>
                <w:sz w:val="18"/>
                <w:szCs w:val="18"/>
              </w:rPr>
              <w:t>Valor alcançado</w:t>
            </w:r>
          </w:p>
        </w:tc>
        <w:tc>
          <w:tcPr>
            <w:tcW w:w="754" w:type="dxa"/>
            <w:gridSpan w:val="3"/>
            <w:shd w:val="clear" w:color="auto" w:fill="auto"/>
            <w:vAlign w:val="center"/>
          </w:tcPr>
          <w:p w:rsidR="00325697" w:rsidRPr="00AB0F9F" w:rsidRDefault="00AB0F9F" w:rsidP="009C7A21">
            <w:pPr>
              <w:spacing w:after="120" w:line="240" w:lineRule="auto"/>
              <w:jc w:val="center"/>
              <w:rPr>
                <w:rFonts w:ascii="Times New Roman" w:eastAsia="Times New Roman" w:hAnsi="Times New Roman" w:cs="Times New Roman"/>
                <w:sz w:val="18"/>
                <w:szCs w:val="18"/>
              </w:rPr>
            </w:pPr>
            <w:r w:rsidRPr="00AB0F9F">
              <w:rPr>
                <w:rFonts w:ascii="Times New Roman" w:eastAsia="Times New Roman" w:hAnsi="Times New Roman" w:cs="Times New Roman"/>
                <w:sz w:val="18"/>
                <w:szCs w:val="18"/>
              </w:rPr>
              <w:t>4</w:t>
            </w:r>
          </w:p>
        </w:tc>
        <w:tc>
          <w:tcPr>
            <w:tcW w:w="1276" w:type="dxa"/>
            <w:vMerge/>
            <w:tcBorders>
              <w:right w:val="single" w:sz="4" w:space="0" w:color="auto"/>
            </w:tcBorders>
            <w:shd w:val="clear" w:color="auto" w:fill="auto"/>
            <w:vAlign w:val="center"/>
          </w:tcPr>
          <w:p w:rsidR="00325697" w:rsidRPr="00AB0F9F"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tcBorders>
              <w:right w:val="single" w:sz="4" w:space="0" w:color="auto"/>
            </w:tcBorders>
            <w:shd w:val="clear" w:color="auto" w:fill="auto"/>
            <w:vAlign w:val="center"/>
          </w:tcPr>
          <w:p w:rsidR="00325697" w:rsidRPr="00AB0F9F" w:rsidRDefault="00325697" w:rsidP="009C7A21">
            <w:pPr>
              <w:spacing w:after="120" w:line="240" w:lineRule="auto"/>
              <w:rPr>
                <w:rFonts w:ascii="Times New Roman" w:eastAsia="Times New Roman" w:hAnsi="Times New Roman" w:cs="Times New Roman"/>
                <w:sz w:val="18"/>
                <w:szCs w:val="18"/>
                <w:highlight w:val="green"/>
              </w:rPr>
            </w:pPr>
          </w:p>
        </w:tc>
      </w:tr>
      <w:tr w:rsidR="00325697" w:rsidRPr="00046243" w:rsidTr="000A175D">
        <w:trPr>
          <w:gridBefore w:val="1"/>
          <w:wBefore w:w="9" w:type="dxa"/>
          <w:trHeight w:val="214"/>
        </w:trPr>
        <w:tc>
          <w:tcPr>
            <w:tcW w:w="2630" w:type="dxa"/>
            <w:gridSpan w:val="2"/>
            <w:vMerge w:val="restart"/>
            <w:tcBorders>
              <w:left w:val="single" w:sz="4" w:space="0" w:color="auto"/>
            </w:tcBorders>
            <w:shd w:val="clear" w:color="auto" w:fill="auto"/>
            <w:vAlign w:val="center"/>
          </w:tcPr>
          <w:p w:rsidR="00325697" w:rsidRPr="00046243" w:rsidRDefault="00325697" w:rsidP="009C7A21">
            <w:pPr>
              <w:pStyle w:val="PargrafodaLista"/>
              <w:numPr>
                <w:ilvl w:val="0"/>
                <w:numId w:val="6"/>
              </w:numPr>
              <w:spacing w:after="120" w:line="240" w:lineRule="auto"/>
              <w:rPr>
                <w:rFonts w:ascii="Times New Roman" w:eastAsia="Times New Roman" w:hAnsi="Times New Roman" w:cs="Times New Roman"/>
                <w:sz w:val="18"/>
                <w:szCs w:val="18"/>
              </w:rPr>
            </w:pPr>
            <w:r w:rsidRPr="00046243">
              <w:rPr>
                <w:rFonts w:ascii="Times New Roman" w:hAnsi="Times New Roman" w:cs="Times New Roman"/>
                <w:bCs/>
                <w:iCs/>
                <w:sz w:val="18"/>
                <w:szCs w:val="18"/>
              </w:rPr>
              <w:t>Estrutura Organizacional e Processos Administrativos implantados</w:t>
            </w:r>
          </w:p>
        </w:tc>
        <w:tc>
          <w:tcPr>
            <w:tcW w:w="1276" w:type="dxa"/>
            <w:gridSpan w:val="3"/>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z w:val="18"/>
                <w:szCs w:val="18"/>
              </w:rPr>
              <w:t>Unidades da SEFA na faixa ouro do PQGFAZ</w:t>
            </w:r>
          </w:p>
        </w:tc>
        <w:tc>
          <w:tcPr>
            <w:tcW w:w="1417"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8</w:t>
            </w:r>
          </w:p>
        </w:tc>
        <w:tc>
          <w:tcPr>
            <w:tcW w:w="1086" w:type="dxa"/>
            <w:gridSpan w:val="3"/>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2012</w:t>
            </w:r>
          </w:p>
        </w:tc>
        <w:tc>
          <w:tcPr>
            <w:tcW w:w="1845" w:type="dxa"/>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b/>
                <w:sz w:val="18"/>
                <w:szCs w:val="18"/>
              </w:rPr>
            </w:pPr>
            <w:r w:rsidRPr="00046243">
              <w:rPr>
                <w:rFonts w:ascii="Times New Roman" w:hAnsi="Times New Roman" w:cs="Times New Roman"/>
                <w:sz w:val="18"/>
                <w:szCs w:val="18"/>
              </w:rPr>
              <w:t>Prêmio Inovação e Qualidade da Gestão Fazendária – PQGFAZ</w:t>
            </w: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754" w:type="dxa"/>
            <w:gridSpan w:val="3"/>
            <w:shd w:val="clear" w:color="auto" w:fill="D9D9D9"/>
            <w:vAlign w:val="center"/>
          </w:tcPr>
          <w:p w:rsidR="00325697" w:rsidRPr="00E97E1F"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val="restart"/>
            <w:tcBorders>
              <w:right w:val="single" w:sz="4" w:space="0" w:color="auto"/>
            </w:tcBorders>
            <w:shd w:val="clear" w:color="auto" w:fill="auto"/>
            <w:vAlign w:val="center"/>
          </w:tcPr>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Maio de 2014</w:t>
            </w:r>
          </w:p>
        </w:tc>
        <w:tc>
          <w:tcPr>
            <w:tcW w:w="1795" w:type="dxa"/>
            <w:gridSpan w:val="2"/>
            <w:vMerge w:val="restart"/>
            <w:tcBorders>
              <w:right w:val="single" w:sz="4" w:space="0" w:color="auto"/>
            </w:tcBorders>
            <w:shd w:val="clear" w:color="auto" w:fill="auto"/>
            <w:vAlign w:val="center"/>
          </w:tcPr>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 xml:space="preserve">Nota técnica. </w:t>
            </w:r>
            <w:r w:rsidRPr="00E97E1F">
              <w:rPr>
                <w:rFonts w:ascii="Times New Roman" w:eastAsia="Times New Roman" w:hAnsi="Times New Roman" w:cs="Times New Roman"/>
                <w:color w:val="000000"/>
                <w:sz w:val="18"/>
                <w:szCs w:val="18"/>
              </w:rPr>
              <w:t xml:space="preserve">CMGF – Coordenação de Modernização e Gestão Fazendária e Síntese dos relatórios do </w:t>
            </w:r>
            <w:r w:rsidRPr="00E97E1F">
              <w:rPr>
                <w:rFonts w:ascii="Times New Roman" w:hAnsi="Times New Roman" w:cs="Times New Roman"/>
                <w:sz w:val="18"/>
                <w:szCs w:val="18"/>
              </w:rPr>
              <w:t xml:space="preserve">PQGFAZ. </w:t>
            </w:r>
            <w:r w:rsidRPr="00E97E1F">
              <w:rPr>
                <w:rFonts w:ascii="Times New Roman" w:hAnsi="Times New Roman" w:cs="Times New Roman"/>
                <w:bCs/>
                <w:color w:val="000000"/>
                <w:sz w:val="18"/>
                <w:szCs w:val="18"/>
              </w:rPr>
              <w:t>Na categoria prata 09 em 2012 e 12 em 2013. Na categoria bronze 05 em 2012 e 03 em 2013.</w:t>
            </w:r>
          </w:p>
        </w:tc>
      </w:tr>
      <w:tr w:rsidR="00325697" w:rsidRPr="00046243" w:rsidTr="000A175D">
        <w:trPr>
          <w:gridBefore w:val="1"/>
          <w:wBefore w:w="9" w:type="dxa"/>
          <w:trHeight w:val="143"/>
        </w:trPr>
        <w:tc>
          <w:tcPr>
            <w:tcW w:w="2630" w:type="dxa"/>
            <w:gridSpan w:val="2"/>
            <w:vMerge/>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27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17"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08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84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754" w:type="dxa"/>
            <w:gridSpan w:val="3"/>
            <w:shd w:val="clear" w:color="auto" w:fill="auto"/>
            <w:vAlign w:val="center"/>
          </w:tcPr>
          <w:p w:rsidR="00325697" w:rsidRPr="00E97E1F" w:rsidRDefault="00325697" w:rsidP="009C7A21">
            <w:pPr>
              <w:spacing w:after="120" w:line="240" w:lineRule="auto"/>
              <w:jc w:val="center"/>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10</w:t>
            </w:r>
          </w:p>
        </w:tc>
        <w:tc>
          <w:tcPr>
            <w:tcW w:w="1276" w:type="dxa"/>
            <w:vMerge/>
            <w:tcBorders>
              <w:right w:val="single" w:sz="4" w:space="0" w:color="auto"/>
            </w:tcBorders>
            <w:shd w:val="clear" w:color="auto" w:fill="92D050"/>
            <w:vAlign w:val="center"/>
          </w:tcPr>
          <w:p w:rsidR="00325697" w:rsidRPr="00E97E1F"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tcBorders>
              <w:right w:val="single" w:sz="4" w:space="0" w:color="auto"/>
            </w:tcBorders>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Height w:val="143"/>
        </w:trPr>
        <w:tc>
          <w:tcPr>
            <w:tcW w:w="2630" w:type="dxa"/>
            <w:gridSpan w:val="2"/>
            <w:vMerge/>
            <w:tcBorders>
              <w:left w:val="single" w:sz="4" w:space="0" w:color="auto"/>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276" w:type="dxa"/>
            <w:gridSpan w:val="3"/>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17" w:type="dxa"/>
            <w:gridSpan w:val="2"/>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086" w:type="dxa"/>
            <w:gridSpan w:val="3"/>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845"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21" w:type="dxa"/>
            <w:gridSpan w:val="2"/>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754" w:type="dxa"/>
            <w:gridSpan w:val="3"/>
            <w:tcBorders>
              <w:bottom w:val="single" w:sz="4" w:space="0" w:color="auto"/>
            </w:tcBorders>
            <w:shd w:val="clear" w:color="auto" w:fill="auto"/>
            <w:vAlign w:val="center"/>
          </w:tcPr>
          <w:p w:rsidR="00325697" w:rsidRPr="00E97E1F" w:rsidRDefault="00325697" w:rsidP="009C7A21">
            <w:pPr>
              <w:spacing w:after="120" w:line="240" w:lineRule="auto"/>
              <w:jc w:val="center"/>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8</w:t>
            </w:r>
          </w:p>
        </w:tc>
        <w:tc>
          <w:tcPr>
            <w:tcW w:w="1276" w:type="dxa"/>
            <w:vMerge/>
            <w:tcBorders>
              <w:bottom w:val="single" w:sz="4" w:space="0" w:color="auto"/>
              <w:right w:val="single" w:sz="4" w:space="0" w:color="auto"/>
            </w:tcBorders>
            <w:shd w:val="clear" w:color="auto" w:fill="92D050"/>
            <w:vAlign w:val="center"/>
          </w:tcPr>
          <w:p w:rsidR="00325697" w:rsidRPr="00E97E1F"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tcBorders>
              <w:bottom w:val="single" w:sz="4" w:space="0" w:color="auto"/>
              <w:right w:val="single" w:sz="4" w:space="0" w:color="auto"/>
            </w:tcBorders>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Height w:val="190"/>
        </w:trPr>
        <w:tc>
          <w:tcPr>
            <w:tcW w:w="2630" w:type="dxa"/>
            <w:gridSpan w:val="2"/>
            <w:vMerge w:val="restart"/>
            <w:shd w:val="clear" w:color="auto" w:fill="auto"/>
            <w:vAlign w:val="center"/>
          </w:tcPr>
          <w:p w:rsidR="00325697" w:rsidRPr="00046243" w:rsidRDefault="00325697" w:rsidP="009C7A21">
            <w:pPr>
              <w:pStyle w:val="PargrafodaLista"/>
              <w:numPr>
                <w:ilvl w:val="0"/>
                <w:numId w:val="6"/>
              </w:numPr>
              <w:spacing w:after="120" w:line="240" w:lineRule="auto"/>
              <w:rPr>
                <w:rFonts w:ascii="Times New Roman" w:eastAsia="Times New Roman" w:hAnsi="Times New Roman" w:cs="Times New Roman"/>
                <w:sz w:val="18"/>
                <w:szCs w:val="18"/>
              </w:rPr>
            </w:pPr>
            <w:r w:rsidRPr="00046243">
              <w:rPr>
                <w:rFonts w:ascii="Times New Roman" w:hAnsi="Times New Roman" w:cs="Times New Roman"/>
                <w:bCs/>
                <w:iCs/>
                <w:sz w:val="18"/>
                <w:szCs w:val="18"/>
              </w:rPr>
              <w:t>Programa de Reestruturação física da SEFA</w:t>
            </w:r>
            <w:r w:rsidRPr="00046243">
              <w:rPr>
                <w:rFonts w:ascii="Times New Roman" w:hAnsi="Times New Roman" w:cs="Times New Roman"/>
                <w:bCs/>
                <w:sz w:val="18"/>
                <w:szCs w:val="18"/>
              </w:rPr>
              <w:t xml:space="preserve"> implementado</w:t>
            </w:r>
          </w:p>
        </w:tc>
        <w:tc>
          <w:tcPr>
            <w:tcW w:w="1276" w:type="dxa"/>
            <w:gridSpan w:val="3"/>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z w:val="18"/>
                <w:szCs w:val="18"/>
              </w:rPr>
              <w:t>Unidades construída e/ou reformada e aparelhada</w:t>
            </w:r>
          </w:p>
        </w:tc>
        <w:tc>
          <w:tcPr>
            <w:tcW w:w="1417"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0</w:t>
            </w:r>
          </w:p>
        </w:tc>
        <w:tc>
          <w:tcPr>
            <w:tcW w:w="1086" w:type="dxa"/>
            <w:gridSpan w:val="3"/>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2009</w:t>
            </w:r>
          </w:p>
        </w:tc>
        <w:tc>
          <w:tcPr>
            <w:tcW w:w="1845" w:type="dxa"/>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Relatório do Sistema de Gerenciamento de Projetos (GESPRO) e Relatório Semestral de Progresso</w:t>
            </w: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754" w:type="dxa"/>
            <w:gridSpan w:val="3"/>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val="restart"/>
            <w:shd w:val="clear" w:color="auto" w:fill="FFFFFF"/>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Abril de 2015</w:t>
            </w:r>
          </w:p>
        </w:tc>
        <w:tc>
          <w:tcPr>
            <w:tcW w:w="1795" w:type="dxa"/>
            <w:gridSpan w:val="2"/>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Unidades reformadas</w:t>
            </w:r>
            <w:r w:rsidRPr="00046243">
              <w:rPr>
                <w:rStyle w:val="Refdenotaderodap"/>
                <w:rFonts w:ascii="Times New Roman" w:eastAsia="Times New Roman" w:hAnsi="Times New Roman" w:cs="Times New Roman"/>
                <w:sz w:val="18"/>
                <w:szCs w:val="18"/>
              </w:rPr>
              <w:footnoteReference w:id="14"/>
            </w:r>
            <w:r w:rsidRPr="00046243">
              <w:rPr>
                <w:rFonts w:ascii="Times New Roman" w:eastAsia="Times New Roman" w:hAnsi="Times New Roman" w:cs="Times New Roman"/>
                <w:sz w:val="18"/>
                <w:szCs w:val="18"/>
              </w:rPr>
              <w:t xml:space="preserve">: (1) CERAT/Marabá; (2) UECOMT / Jarbas Passarinho; (3) CERAT / Breves; (4) </w:t>
            </w:r>
            <w:r w:rsidRPr="00046243">
              <w:rPr>
                <w:rFonts w:ascii="Times New Roman" w:eastAsia="Times New Roman" w:hAnsi="Times New Roman" w:cs="Times New Roman"/>
                <w:sz w:val="18"/>
                <w:szCs w:val="18"/>
              </w:rPr>
              <w:lastRenderedPageBreak/>
              <w:t>OEAT / Igarapé Miri; (5) CERAT / Paragominas; (6) OEAT / Óbidos; (7) CECOMT / Serra do Cachimbo</w:t>
            </w:r>
          </w:p>
        </w:tc>
      </w:tr>
      <w:tr w:rsidR="00325697" w:rsidRPr="00046243" w:rsidTr="000A175D">
        <w:trPr>
          <w:gridBefore w:val="1"/>
          <w:wBefore w:w="9" w:type="dxa"/>
          <w:trHeight w:val="143"/>
        </w:trPr>
        <w:tc>
          <w:tcPr>
            <w:tcW w:w="263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27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17"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08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84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754" w:type="dxa"/>
            <w:gridSpan w:val="3"/>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7</w:t>
            </w:r>
          </w:p>
        </w:tc>
        <w:tc>
          <w:tcPr>
            <w:tcW w:w="1276" w:type="dxa"/>
            <w:vMerge/>
            <w:shd w:val="clear" w:color="auto" w:fill="FFFFFF"/>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Height w:val="143"/>
        </w:trPr>
        <w:tc>
          <w:tcPr>
            <w:tcW w:w="263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27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17"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08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84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754" w:type="dxa"/>
            <w:gridSpan w:val="3"/>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b/>
                <w:sz w:val="18"/>
                <w:szCs w:val="18"/>
              </w:rPr>
            </w:pPr>
            <w:r w:rsidRPr="00046243">
              <w:rPr>
                <w:rFonts w:ascii="Times New Roman" w:eastAsia="Times New Roman" w:hAnsi="Times New Roman" w:cs="Times New Roman"/>
                <w:b/>
                <w:sz w:val="18"/>
                <w:szCs w:val="18"/>
              </w:rPr>
              <w:t>7</w:t>
            </w:r>
          </w:p>
        </w:tc>
        <w:tc>
          <w:tcPr>
            <w:tcW w:w="1276" w:type="dxa"/>
            <w:vMerge/>
            <w:shd w:val="clear" w:color="auto" w:fill="92D050"/>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Height w:val="190"/>
        </w:trPr>
        <w:tc>
          <w:tcPr>
            <w:tcW w:w="13500" w:type="dxa"/>
            <w:gridSpan w:val="19"/>
            <w:tcBorders>
              <w:left w:val="single" w:sz="4" w:space="0" w:color="auto"/>
              <w:right w:val="single" w:sz="4" w:space="0" w:color="auto"/>
            </w:tcBorders>
            <w:shd w:val="clear" w:color="auto" w:fill="BFBFBF"/>
            <w:vAlign w:val="center"/>
          </w:tcPr>
          <w:p w:rsidR="00325697" w:rsidRPr="00046243" w:rsidRDefault="00325697" w:rsidP="009C7A21">
            <w:pPr>
              <w:spacing w:after="120" w:line="240" w:lineRule="auto"/>
              <w:rPr>
                <w:rFonts w:ascii="Times New Roman" w:eastAsia="Times New Roman" w:hAnsi="Times New Roman" w:cs="Times New Roman"/>
                <w:b/>
                <w:sz w:val="18"/>
                <w:szCs w:val="18"/>
              </w:rPr>
            </w:pPr>
            <w:r w:rsidRPr="00046243">
              <w:rPr>
                <w:rFonts w:ascii="Times New Roman" w:eastAsia="Times New Roman" w:hAnsi="Times New Roman" w:cs="Times New Roman"/>
                <w:b/>
                <w:sz w:val="18"/>
                <w:szCs w:val="18"/>
              </w:rPr>
              <w:lastRenderedPageBreak/>
              <w:t>COMPONENTE II – ADMINISTRAÇÃO TRIBUTÁRIA E CONTENCIOSO FISCAL</w:t>
            </w:r>
          </w:p>
        </w:tc>
      </w:tr>
      <w:tr w:rsidR="00325697" w:rsidRPr="00046243" w:rsidTr="000A175D">
        <w:trPr>
          <w:gridBefore w:val="1"/>
          <w:wBefore w:w="9" w:type="dxa"/>
        </w:trPr>
        <w:tc>
          <w:tcPr>
            <w:tcW w:w="2595" w:type="dxa"/>
            <w:vMerge w:val="restart"/>
            <w:shd w:val="clear" w:color="auto" w:fill="auto"/>
            <w:vAlign w:val="center"/>
          </w:tcPr>
          <w:p w:rsidR="00325697" w:rsidRPr="00046243" w:rsidRDefault="00325697" w:rsidP="009C7A21">
            <w:pPr>
              <w:pStyle w:val="PargrafodaLista"/>
              <w:numPr>
                <w:ilvl w:val="0"/>
                <w:numId w:val="7"/>
              </w:numPr>
              <w:spacing w:after="120" w:line="240" w:lineRule="auto"/>
              <w:rPr>
                <w:rFonts w:ascii="Times New Roman" w:eastAsia="Times New Roman" w:hAnsi="Times New Roman" w:cs="Times New Roman"/>
                <w:sz w:val="18"/>
                <w:szCs w:val="18"/>
              </w:rPr>
            </w:pPr>
            <w:r w:rsidRPr="00046243">
              <w:rPr>
                <w:rFonts w:ascii="Times New Roman" w:hAnsi="Times New Roman" w:cs="Times New Roman"/>
                <w:bCs/>
                <w:iCs/>
                <w:sz w:val="18"/>
                <w:szCs w:val="18"/>
              </w:rPr>
              <w:t>Modelo de Controle de Benefícios Fiscais Concedidos</w:t>
            </w:r>
          </w:p>
        </w:tc>
        <w:tc>
          <w:tcPr>
            <w:tcW w:w="1260"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z w:val="18"/>
                <w:szCs w:val="18"/>
              </w:rPr>
              <w:t>Sistema de controle de benefícios fiscais</w:t>
            </w:r>
          </w:p>
        </w:tc>
        <w:tc>
          <w:tcPr>
            <w:tcW w:w="1468" w:type="dxa"/>
            <w:gridSpan w:val="4"/>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0</w:t>
            </w:r>
          </w:p>
        </w:tc>
        <w:tc>
          <w:tcPr>
            <w:tcW w:w="1055"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2009</w:t>
            </w:r>
          </w:p>
        </w:tc>
        <w:tc>
          <w:tcPr>
            <w:tcW w:w="1889" w:type="dxa"/>
            <w:gridSpan w:val="4"/>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Sistema disponível na web da SEFA</w:t>
            </w: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722" w:type="dxa"/>
            <w:gridSpan w:val="2"/>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val="restart"/>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Maio de 2013</w:t>
            </w:r>
          </w:p>
        </w:tc>
        <w:tc>
          <w:tcPr>
            <w:tcW w:w="1795" w:type="dxa"/>
            <w:gridSpan w:val="2"/>
            <w:vMerge w:val="restart"/>
            <w:shd w:val="clear" w:color="auto" w:fill="D9D9D9"/>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Pr>
        <w:tc>
          <w:tcPr>
            <w:tcW w:w="259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green"/>
              </w:rPr>
            </w:pPr>
          </w:p>
        </w:tc>
        <w:tc>
          <w:tcPr>
            <w:tcW w:w="126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green"/>
              </w:rPr>
            </w:pPr>
          </w:p>
        </w:tc>
        <w:tc>
          <w:tcPr>
            <w:tcW w:w="1468"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green"/>
              </w:rPr>
            </w:pPr>
          </w:p>
        </w:tc>
        <w:tc>
          <w:tcPr>
            <w:tcW w:w="105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green"/>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green"/>
              </w:rPr>
            </w:pP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722"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1</w:t>
            </w:r>
          </w:p>
        </w:tc>
        <w:tc>
          <w:tcPr>
            <w:tcW w:w="1276"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shd w:val="clear" w:color="auto" w:fill="D9D9D9"/>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Pr>
        <w:tc>
          <w:tcPr>
            <w:tcW w:w="259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green"/>
              </w:rPr>
            </w:pPr>
          </w:p>
        </w:tc>
        <w:tc>
          <w:tcPr>
            <w:tcW w:w="126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green"/>
              </w:rPr>
            </w:pPr>
          </w:p>
        </w:tc>
        <w:tc>
          <w:tcPr>
            <w:tcW w:w="1468"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green"/>
              </w:rPr>
            </w:pPr>
          </w:p>
        </w:tc>
        <w:tc>
          <w:tcPr>
            <w:tcW w:w="105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green"/>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green"/>
              </w:rPr>
            </w:pP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722"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1</w:t>
            </w:r>
          </w:p>
        </w:tc>
        <w:tc>
          <w:tcPr>
            <w:tcW w:w="1276"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shd w:val="clear" w:color="auto" w:fill="D9D9D9"/>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Pr>
        <w:tc>
          <w:tcPr>
            <w:tcW w:w="2595" w:type="dxa"/>
            <w:vMerge w:val="restart"/>
            <w:shd w:val="clear" w:color="auto" w:fill="auto"/>
            <w:vAlign w:val="center"/>
          </w:tcPr>
          <w:p w:rsidR="00325697" w:rsidRPr="00046243" w:rsidRDefault="00325697" w:rsidP="009C7A21">
            <w:pPr>
              <w:pStyle w:val="PargrafodaLista"/>
              <w:numPr>
                <w:ilvl w:val="0"/>
                <w:numId w:val="7"/>
              </w:numPr>
              <w:spacing w:after="120" w:line="240" w:lineRule="auto"/>
              <w:rPr>
                <w:rFonts w:ascii="Times New Roman" w:eastAsia="Times New Roman" w:hAnsi="Times New Roman" w:cs="Times New Roman"/>
                <w:sz w:val="18"/>
                <w:szCs w:val="18"/>
              </w:rPr>
            </w:pPr>
            <w:r w:rsidRPr="00046243">
              <w:rPr>
                <w:rFonts w:ascii="Times New Roman" w:hAnsi="Times New Roman" w:cs="Times New Roman"/>
                <w:bCs/>
                <w:iCs/>
                <w:sz w:val="18"/>
                <w:szCs w:val="18"/>
              </w:rPr>
              <w:t xml:space="preserve">Modelo de fiscalização de trânsito </w:t>
            </w:r>
          </w:p>
        </w:tc>
        <w:tc>
          <w:tcPr>
            <w:tcW w:w="1260"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Veículos fiscalizados</w:t>
            </w:r>
          </w:p>
        </w:tc>
        <w:tc>
          <w:tcPr>
            <w:tcW w:w="1468" w:type="dxa"/>
            <w:gridSpan w:val="4"/>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0</w:t>
            </w:r>
          </w:p>
        </w:tc>
        <w:tc>
          <w:tcPr>
            <w:tcW w:w="1055"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2009</w:t>
            </w:r>
          </w:p>
        </w:tc>
        <w:tc>
          <w:tcPr>
            <w:tcW w:w="1889" w:type="dxa"/>
            <w:gridSpan w:val="4"/>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Informação das unidades de fronteira</w:t>
            </w: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722" w:type="dxa"/>
            <w:gridSpan w:val="2"/>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Dezembro de 2014</w:t>
            </w:r>
          </w:p>
        </w:tc>
        <w:tc>
          <w:tcPr>
            <w:tcW w:w="1795" w:type="dxa"/>
            <w:gridSpan w:val="2"/>
            <w:vMerge w:val="restart"/>
            <w:shd w:val="clear" w:color="auto" w:fill="auto"/>
            <w:vAlign w:val="center"/>
          </w:tcPr>
          <w:p w:rsidR="00325697" w:rsidRPr="00E97E1F" w:rsidRDefault="00325697" w:rsidP="009C7A21">
            <w:pPr>
              <w:spacing w:after="120" w:line="240" w:lineRule="auto"/>
              <w:rPr>
                <w:rFonts w:ascii="Times New Roman" w:eastAsia="Times New Roman" w:hAnsi="Times New Roman" w:cs="Times New Roman"/>
                <w:sz w:val="18"/>
                <w:szCs w:val="18"/>
                <w:highlight w:val="yellow"/>
              </w:rPr>
            </w:pPr>
            <w:r w:rsidRPr="00E97E1F">
              <w:rPr>
                <w:rFonts w:ascii="Times New Roman" w:hAnsi="Times New Roman" w:cs="Times New Roman"/>
                <w:color w:val="000000"/>
                <w:sz w:val="18"/>
                <w:szCs w:val="18"/>
              </w:rPr>
              <w:t>Nota técnica. CECOMT – Coordenadoria Executiva de Controle de Mercadorias em Trânsito</w:t>
            </w:r>
          </w:p>
        </w:tc>
      </w:tr>
      <w:tr w:rsidR="00325697" w:rsidRPr="00046243" w:rsidTr="000A175D">
        <w:trPr>
          <w:gridBefore w:val="1"/>
          <w:wBefore w:w="9" w:type="dxa"/>
        </w:trPr>
        <w:tc>
          <w:tcPr>
            <w:tcW w:w="259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26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68"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05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722"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5.000</w:t>
            </w:r>
          </w:p>
        </w:tc>
        <w:tc>
          <w:tcPr>
            <w:tcW w:w="1276" w:type="dxa"/>
            <w:vMerge/>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p>
        </w:tc>
        <w:tc>
          <w:tcPr>
            <w:tcW w:w="1795" w:type="dxa"/>
            <w:gridSpan w:val="2"/>
            <w:vMerge/>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Pr>
        <w:tc>
          <w:tcPr>
            <w:tcW w:w="259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26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68"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05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722"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6.570</w:t>
            </w:r>
          </w:p>
        </w:tc>
        <w:tc>
          <w:tcPr>
            <w:tcW w:w="1276" w:type="dxa"/>
            <w:vMerge/>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p>
        </w:tc>
        <w:tc>
          <w:tcPr>
            <w:tcW w:w="1795" w:type="dxa"/>
            <w:gridSpan w:val="2"/>
            <w:vMerge/>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Pr>
        <w:tc>
          <w:tcPr>
            <w:tcW w:w="2595" w:type="dxa"/>
            <w:vMerge w:val="restart"/>
            <w:shd w:val="clear" w:color="auto" w:fill="auto"/>
            <w:vAlign w:val="center"/>
          </w:tcPr>
          <w:p w:rsidR="00325697" w:rsidRPr="00046243" w:rsidRDefault="00325697" w:rsidP="009C7A21">
            <w:pPr>
              <w:pStyle w:val="PargrafodaLista"/>
              <w:numPr>
                <w:ilvl w:val="0"/>
                <w:numId w:val="7"/>
              </w:numPr>
              <w:spacing w:after="120" w:line="240" w:lineRule="auto"/>
              <w:rPr>
                <w:rFonts w:ascii="Times New Roman" w:eastAsia="Times New Roman" w:hAnsi="Times New Roman" w:cs="Times New Roman"/>
                <w:sz w:val="18"/>
                <w:szCs w:val="18"/>
              </w:rPr>
            </w:pPr>
            <w:r w:rsidRPr="00046243">
              <w:rPr>
                <w:rFonts w:ascii="Times New Roman" w:hAnsi="Times New Roman" w:cs="Times New Roman"/>
                <w:bCs/>
                <w:iCs/>
                <w:sz w:val="18"/>
                <w:szCs w:val="18"/>
              </w:rPr>
              <w:t>Nota Fiscal Cidadã implantada</w:t>
            </w:r>
          </w:p>
        </w:tc>
        <w:tc>
          <w:tcPr>
            <w:tcW w:w="1260"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bCs/>
                <w:iCs/>
                <w:sz w:val="18"/>
                <w:szCs w:val="18"/>
              </w:rPr>
              <w:t>Segmentos econômicos</w:t>
            </w:r>
          </w:p>
        </w:tc>
        <w:tc>
          <w:tcPr>
            <w:tcW w:w="1468" w:type="dxa"/>
            <w:gridSpan w:val="4"/>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0</w:t>
            </w:r>
          </w:p>
        </w:tc>
        <w:tc>
          <w:tcPr>
            <w:tcW w:w="1055"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2009</w:t>
            </w:r>
          </w:p>
        </w:tc>
        <w:tc>
          <w:tcPr>
            <w:tcW w:w="1889" w:type="dxa"/>
            <w:gridSpan w:val="4"/>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Nota técnica CAFE</w:t>
            </w: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722" w:type="dxa"/>
            <w:gridSpan w:val="2"/>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3</w:t>
            </w:r>
          </w:p>
        </w:tc>
        <w:tc>
          <w:tcPr>
            <w:tcW w:w="1276" w:type="dxa"/>
            <w:vMerge w:val="restart"/>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Março de 2015</w:t>
            </w:r>
          </w:p>
        </w:tc>
        <w:tc>
          <w:tcPr>
            <w:tcW w:w="1795" w:type="dxa"/>
            <w:gridSpan w:val="2"/>
            <w:vMerge w:val="restart"/>
            <w:shd w:val="clear" w:color="auto" w:fill="auto"/>
            <w:vAlign w:val="center"/>
          </w:tcPr>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hAnsi="Times New Roman" w:cs="Times New Roman"/>
                <w:color w:val="000000"/>
                <w:sz w:val="18"/>
                <w:szCs w:val="18"/>
              </w:rPr>
              <w:t xml:space="preserve">Nota técnica. </w:t>
            </w:r>
            <w:r w:rsidRPr="00E97E1F">
              <w:rPr>
                <w:rFonts w:ascii="Times New Roman" w:hAnsi="Times New Roman" w:cs="Times New Roman"/>
                <w:sz w:val="18"/>
                <w:szCs w:val="18"/>
              </w:rPr>
              <w:t>CAFE - Coordenação de Assuntos Fazendários Estratégicos/Programa Nota Fiscal Cidadã. Mais de 190 mil estabelecimentos.</w:t>
            </w:r>
          </w:p>
        </w:tc>
      </w:tr>
      <w:tr w:rsidR="00325697" w:rsidRPr="00046243" w:rsidTr="000A175D">
        <w:trPr>
          <w:gridBefore w:val="1"/>
          <w:wBefore w:w="9" w:type="dxa"/>
        </w:trPr>
        <w:tc>
          <w:tcPr>
            <w:tcW w:w="259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26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68"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05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722"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17</w:t>
            </w:r>
          </w:p>
        </w:tc>
        <w:tc>
          <w:tcPr>
            <w:tcW w:w="1276"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795" w:type="dxa"/>
            <w:gridSpan w:val="2"/>
            <w:vMerge/>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highlight w:val="yellow"/>
              </w:rPr>
            </w:pPr>
          </w:p>
        </w:tc>
      </w:tr>
      <w:tr w:rsidR="00325697" w:rsidRPr="00046243" w:rsidTr="000A175D">
        <w:trPr>
          <w:gridBefore w:val="1"/>
          <w:wBefore w:w="9" w:type="dxa"/>
        </w:trPr>
        <w:tc>
          <w:tcPr>
            <w:tcW w:w="259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26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68"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05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722"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w:t>
            </w:r>
          </w:p>
        </w:tc>
        <w:tc>
          <w:tcPr>
            <w:tcW w:w="1276"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Pr>
        <w:tc>
          <w:tcPr>
            <w:tcW w:w="2595" w:type="dxa"/>
            <w:vMerge w:val="restart"/>
            <w:shd w:val="clear" w:color="auto" w:fill="auto"/>
            <w:vAlign w:val="center"/>
          </w:tcPr>
          <w:p w:rsidR="00325697" w:rsidRPr="00046243" w:rsidRDefault="00325697" w:rsidP="009C7A21">
            <w:pPr>
              <w:pStyle w:val="PargrafodaLista"/>
              <w:numPr>
                <w:ilvl w:val="0"/>
                <w:numId w:val="7"/>
              </w:numPr>
              <w:spacing w:after="120" w:line="240" w:lineRule="auto"/>
              <w:rPr>
                <w:rFonts w:ascii="Times New Roman" w:eastAsia="Times New Roman" w:hAnsi="Times New Roman" w:cs="Times New Roman"/>
                <w:sz w:val="18"/>
                <w:szCs w:val="18"/>
              </w:rPr>
            </w:pPr>
            <w:r w:rsidRPr="00046243">
              <w:rPr>
                <w:rFonts w:ascii="Times New Roman" w:hAnsi="Times New Roman" w:cs="Times New Roman"/>
                <w:bCs/>
                <w:iCs/>
                <w:sz w:val="18"/>
                <w:szCs w:val="18"/>
              </w:rPr>
              <w:t>Nota Fiscal Eletrônica implantada</w:t>
            </w:r>
          </w:p>
        </w:tc>
        <w:tc>
          <w:tcPr>
            <w:tcW w:w="1260"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z w:val="18"/>
                <w:szCs w:val="18"/>
              </w:rPr>
              <w:t>Atividades econômicas de incidência do ICMS com NF-e</w:t>
            </w:r>
          </w:p>
        </w:tc>
        <w:tc>
          <w:tcPr>
            <w:tcW w:w="1468" w:type="dxa"/>
            <w:gridSpan w:val="4"/>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476</w:t>
            </w:r>
          </w:p>
        </w:tc>
        <w:tc>
          <w:tcPr>
            <w:tcW w:w="1055"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2009</w:t>
            </w:r>
          </w:p>
        </w:tc>
        <w:tc>
          <w:tcPr>
            <w:tcW w:w="1889" w:type="dxa"/>
            <w:gridSpan w:val="4"/>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Nota Técnica </w:t>
            </w:r>
            <w:r w:rsidRPr="00046243">
              <w:rPr>
                <w:rFonts w:ascii="Times New Roman" w:hAnsi="Times New Roman" w:cs="Times New Roman"/>
                <w:sz w:val="18"/>
                <w:szCs w:val="18"/>
              </w:rPr>
              <w:t>CCOA</w:t>
            </w:r>
            <w:r w:rsidRPr="00046243">
              <w:rPr>
                <w:rFonts w:ascii="Times New Roman" w:eastAsia="Times New Roman" w:hAnsi="Times New Roman" w:cs="Times New Roman"/>
                <w:sz w:val="18"/>
                <w:szCs w:val="18"/>
              </w:rPr>
              <w:t xml:space="preserve"> </w:t>
            </w: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722" w:type="dxa"/>
            <w:gridSpan w:val="2"/>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784</w:t>
            </w:r>
          </w:p>
        </w:tc>
        <w:tc>
          <w:tcPr>
            <w:tcW w:w="1276" w:type="dxa"/>
            <w:vMerge w:val="restart"/>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Dezembro de 2013</w:t>
            </w:r>
          </w:p>
        </w:tc>
        <w:tc>
          <w:tcPr>
            <w:tcW w:w="1795" w:type="dxa"/>
            <w:gridSpan w:val="2"/>
            <w:vMerge w:val="restart"/>
            <w:shd w:val="clear" w:color="auto" w:fill="auto"/>
            <w:vAlign w:val="center"/>
          </w:tcPr>
          <w:p w:rsidR="00325697" w:rsidRPr="00E97E1F" w:rsidRDefault="00325697" w:rsidP="009C7A21">
            <w:pPr>
              <w:spacing w:after="120" w:line="240" w:lineRule="auto"/>
              <w:rPr>
                <w:rFonts w:ascii="Times New Roman" w:eastAsia="Times New Roman" w:hAnsi="Times New Roman" w:cs="Times New Roman"/>
                <w:sz w:val="18"/>
                <w:szCs w:val="18"/>
                <w:highlight w:val="green"/>
              </w:rPr>
            </w:pPr>
            <w:r w:rsidRPr="00E97E1F">
              <w:rPr>
                <w:rFonts w:ascii="Times New Roman" w:eastAsia="Times New Roman" w:hAnsi="Times New Roman" w:cs="Times New Roman"/>
                <w:sz w:val="18"/>
                <w:szCs w:val="18"/>
              </w:rPr>
              <w:t xml:space="preserve">Nota Técnica. </w:t>
            </w:r>
            <w:r w:rsidRPr="00E97E1F">
              <w:rPr>
                <w:rFonts w:ascii="Times New Roman" w:hAnsi="Times New Roman" w:cs="Times New Roman"/>
                <w:sz w:val="18"/>
                <w:szCs w:val="18"/>
              </w:rPr>
              <w:t xml:space="preserve">CCOA - Célula de Análise e Controle das Obrigações Acessórias. O número de códigos do CNAE foi reduzido pelo IBGE de 784 para 664 conforme Decreto nº </w:t>
            </w:r>
            <w:r w:rsidRPr="00E97E1F">
              <w:rPr>
                <w:rFonts w:ascii="Times New Roman" w:hAnsi="Times New Roman" w:cs="Times New Roman"/>
                <w:sz w:val="18"/>
                <w:szCs w:val="18"/>
              </w:rPr>
              <w:lastRenderedPageBreak/>
              <w:t>7.553/2011</w:t>
            </w:r>
          </w:p>
        </w:tc>
      </w:tr>
      <w:tr w:rsidR="00325697" w:rsidRPr="00046243" w:rsidTr="000A175D">
        <w:trPr>
          <w:gridBefore w:val="1"/>
          <w:wBefore w:w="9" w:type="dxa"/>
        </w:trPr>
        <w:tc>
          <w:tcPr>
            <w:tcW w:w="259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26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68"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05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722"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664</w:t>
            </w:r>
          </w:p>
        </w:tc>
        <w:tc>
          <w:tcPr>
            <w:tcW w:w="1276"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Pr>
        <w:tc>
          <w:tcPr>
            <w:tcW w:w="259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26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68"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05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722"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664</w:t>
            </w:r>
          </w:p>
        </w:tc>
        <w:tc>
          <w:tcPr>
            <w:tcW w:w="1276"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D78FF" w:rsidTr="000A175D">
        <w:trPr>
          <w:gridBefore w:val="1"/>
          <w:wBefore w:w="9" w:type="dxa"/>
        </w:trPr>
        <w:tc>
          <w:tcPr>
            <w:tcW w:w="2595" w:type="dxa"/>
            <w:vMerge w:val="restart"/>
            <w:shd w:val="clear" w:color="auto" w:fill="auto"/>
            <w:vAlign w:val="center"/>
          </w:tcPr>
          <w:p w:rsidR="00325697" w:rsidRPr="000D78FF" w:rsidRDefault="00325697" w:rsidP="009C7A21">
            <w:pPr>
              <w:pStyle w:val="PargrafodaLista"/>
              <w:numPr>
                <w:ilvl w:val="0"/>
                <w:numId w:val="7"/>
              </w:numPr>
              <w:spacing w:after="120" w:line="240" w:lineRule="auto"/>
              <w:rPr>
                <w:rFonts w:ascii="Times New Roman" w:eastAsia="Times New Roman" w:hAnsi="Times New Roman" w:cs="Times New Roman"/>
                <w:sz w:val="18"/>
                <w:szCs w:val="18"/>
              </w:rPr>
            </w:pPr>
            <w:r w:rsidRPr="000D78FF">
              <w:rPr>
                <w:rFonts w:ascii="Times New Roman" w:hAnsi="Times New Roman" w:cs="Times New Roman"/>
                <w:bCs/>
                <w:iCs/>
                <w:sz w:val="18"/>
                <w:szCs w:val="18"/>
              </w:rPr>
              <w:lastRenderedPageBreak/>
              <w:t>Modelo</w:t>
            </w:r>
            <w:r w:rsidRPr="000D78FF">
              <w:rPr>
                <w:rFonts w:ascii="Times New Roman" w:eastAsia="Times New Roman" w:hAnsi="Times New Roman" w:cs="Times New Roman"/>
                <w:sz w:val="18"/>
                <w:szCs w:val="18"/>
              </w:rPr>
              <w:t xml:space="preserve"> de fiscalização de estabelecimentos.</w:t>
            </w:r>
          </w:p>
        </w:tc>
        <w:tc>
          <w:tcPr>
            <w:tcW w:w="1260" w:type="dxa"/>
            <w:gridSpan w:val="2"/>
            <w:vMerge w:val="restart"/>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Auditores que utilizam o sistema de auditoria.</w:t>
            </w:r>
          </w:p>
        </w:tc>
        <w:tc>
          <w:tcPr>
            <w:tcW w:w="1468" w:type="dxa"/>
            <w:gridSpan w:val="4"/>
            <w:vMerge w:val="restart"/>
            <w:shd w:val="clear" w:color="auto" w:fill="auto"/>
            <w:vAlign w:val="center"/>
          </w:tcPr>
          <w:p w:rsidR="00325697" w:rsidRPr="000D78FF" w:rsidRDefault="00325697" w:rsidP="009C7A21">
            <w:pPr>
              <w:spacing w:after="120" w:line="240" w:lineRule="auto"/>
              <w:jc w:val="center"/>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0</w:t>
            </w:r>
          </w:p>
        </w:tc>
        <w:tc>
          <w:tcPr>
            <w:tcW w:w="1055" w:type="dxa"/>
            <w:vMerge w:val="restart"/>
            <w:shd w:val="clear" w:color="auto" w:fill="auto"/>
            <w:vAlign w:val="center"/>
          </w:tcPr>
          <w:p w:rsidR="00325697" w:rsidRPr="000D78FF" w:rsidRDefault="00325697" w:rsidP="009C7A21">
            <w:pPr>
              <w:spacing w:after="120" w:line="240" w:lineRule="auto"/>
              <w:jc w:val="center"/>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2009</w:t>
            </w:r>
          </w:p>
        </w:tc>
        <w:tc>
          <w:tcPr>
            <w:tcW w:w="1889" w:type="dxa"/>
            <w:gridSpan w:val="4"/>
            <w:vMerge w:val="restart"/>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Auditor eletrônico</w:t>
            </w:r>
          </w:p>
        </w:tc>
        <w:tc>
          <w:tcPr>
            <w:tcW w:w="1440" w:type="dxa"/>
            <w:gridSpan w:val="2"/>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Valor original</w:t>
            </w:r>
          </w:p>
        </w:tc>
        <w:tc>
          <w:tcPr>
            <w:tcW w:w="722" w:type="dxa"/>
            <w:gridSpan w:val="2"/>
            <w:shd w:val="clear" w:color="auto" w:fill="D9D9D9"/>
            <w:vAlign w:val="center"/>
          </w:tcPr>
          <w:p w:rsidR="00325697" w:rsidRPr="000D78FF"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val="restart"/>
            <w:shd w:val="clear" w:color="auto" w:fill="auto"/>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Abril de 2015</w:t>
            </w:r>
          </w:p>
        </w:tc>
        <w:tc>
          <w:tcPr>
            <w:tcW w:w="1795" w:type="dxa"/>
            <w:gridSpan w:val="2"/>
            <w:vMerge w:val="restart"/>
            <w:shd w:val="clear" w:color="auto" w:fill="auto"/>
          </w:tcPr>
          <w:p w:rsidR="00325697" w:rsidRPr="00E97E1F" w:rsidRDefault="00325697" w:rsidP="000D78FF">
            <w:pPr>
              <w:spacing w:after="120" w:line="240" w:lineRule="auto"/>
              <w:rPr>
                <w:rFonts w:ascii="Times New Roman" w:eastAsia="Times New Roman" w:hAnsi="Times New Roman" w:cs="Times New Roman"/>
                <w:sz w:val="18"/>
                <w:szCs w:val="18"/>
                <w:highlight w:val="yellow"/>
              </w:rPr>
            </w:pPr>
            <w:r w:rsidRPr="00E97E1F">
              <w:rPr>
                <w:rFonts w:ascii="Times New Roman" w:eastAsia="Times New Roman" w:hAnsi="Times New Roman" w:cs="Times New Roman"/>
                <w:sz w:val="18"/>
                <w:szCs w:val="18"/>
              </w:rPr>
              <w:t xml:space="preserve">Nota Técnica do </w:t>
            </w:r>
            <w:r w:rsidRPr="00E97E1F">
              <w:rPr>
                <w:rFonts w:ascii="Times New Roman" w:hAnsi="Times New Roman" w:cs="Times New Roman"/>
                <w:bCs/>
                <w:iCs/>
                <w:sz w:val="18"/>
                <w:szCs w:val="18"/>
              </w:rPr>
              <w:t>Modelo</w:t>
            </w:r>
            <w:r w:rsidRPr="00E97E1F">
              <w:rPr>
                <w:rFonts w:ascii="Times New Roman" w:eastAsia="Times New Roman" w:hAnsi="Times New Roman" w:cs="Times New Roman"/>
                <w:sz w:val="18"/>
                <w:szCs w:val="18"/>
              </w:rPr>
              <w:t xml:space="preserve"> de fiscalização de estabelecimentos </w:t>
            </w:r>
          </w:p>
        </w:tc>
      </w:tr>
      <w:tr w:rsidR="00325697" w:rsidRPr="000D78FF" w:rsidTr="000A175D">
        <w:trPr>
          <w:gridBefore w:val="1"/>
          <w:wBefore w:w="9" w:type="dxa"/>
        </w:trPr>
        <w:tc>
          <w:tcPr>
            <w:tcW w:w="2595" w:type="dxa"/>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260" w:type="dxa"/>
            <w:gridSpan w:val="2"/>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468" w:type="dxa"/>
            <w:gridSpan w:val="4"/>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055" w:type="dxa"/>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889" w:type="dxa"/>
            <w:gridSpan w:val="4"/>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440" w:type="dxa"/>
            <w:gridSpan w:val="2"/>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 xml:space="preserve">Valor revisado </w:t>
            </w:r>
          </w:p>
        </w:tc>
        <w:tc>
          <w:tcPr>
            <w:tcW w:w="722" w:type="dxa"/>
            <w:gridSpan w:val="2"/>
            <w:shd w:val="clear" w:color="auto" w:fill="auto"/>
            <w:vAlign w:val="center"/>
          </w:tcPr>
          <w:p w:rsidR="00325697" w:rsidRPr="000D78FF" w:rsidRDefault="00325697" w:rsidP="009C7A21">
            <w:pPr>
              <w:spacing w:after="120" w:line="240" w:lineRule="auto"/>
              <w:jc w:val="center"/>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350</w:t>
            </w:r>
          </w:p>
        </w:tc>
        <w:tc>
          <w:tcPr>
            <w:tcW w:w="1276" w:type="dxa"/>
            <w:vMerge/>
            <w:shd w:val="clear" w:color="auto" w:fill="auto"/>
          </w:tcPr>
          <w:p w:rsidR="00325697" w:rsidRPr="000D78FF" w:rsidRDefault="00325697" w:rsidP="009C7A21">
            <w:pPr>
              <w:spacing w:after="120" w:line="240" w:lineRule="auto"/>
              <w:rPr>
                <w:rFonts w:ascii="Times New Roman" w:eastAsia="Times New Roman" w:hAnsi="Times New Roman" w:cs="Times New Roman"/>
                <w:sz w:val="18"/>
                <w:szCs w:val="18"/>
                <w:highlight w:val="yellow"/>
              </w:rPr>
            </w:pPr>
          </w:p>
        </w:tc>
        <w:tc>
          <w:tcPr>
            <w:tcW w:w="1795" w:type="dxa"/>
            <w:gridSpan w:val="2"/>
            <w:vMerge/>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highlight w:val="yellow"/>
              </w:rPr>
            </w:pPr>
          </w:p>
        </w:tc>
      </w:tr>
      <w:tr w:rsidR="00325697" w:rsidRPr="000D78FF" w:rsidTr="000A175D">
        <w:trPr>
          <w:gridBefore w:val="1"/>
          <w:wBefore w:w="9" w:type="dxa"/>
        </w:trPr>
        <w:tc>
          <w:tcPr>
            <w:tcW w:w="2595" w:type="dxa"/>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260" w:type="dxa"/>
            <w:gridSpan w:val="2"/>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468" w:type="dxa"/>
            <w:gridSpan w:val="4"/>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055" w:type="dxa"/>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889" w:type="dxa"/>
            <w:gridSpan w:val="4"/>
            <w:vMerge/>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440" w:type="dxa"/>
            <w:gridSpan w:val="2"/>
            <w:shd w:val="clear" w:color="auto" w:fill="auto"/>
            <w:vAlign w:val="center"/>
          </w:tcPr>
          <w:p w:rsidR="00325697" w:rsidRPr="000D78FF" w:rsidRDefault="00325697" w:rsidP="009C7A21">
            <w:pPr>
              <w:spacing w:after="120" w:line="240" w:lineRule="auto"/>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Valor alcançado</w:t>
            </w:r>
          </w:p>
        </w:tc>
        <w:tc>
          <w:tcPr>
            <w:tcW w:w="722" w:type="dxa"/>
            <w:gridSpan w:val="2"/>
            <w:shd w:val="clear" w:color="auto" w:fill="auto"/>
            <w:vAlign w:val="center"/>
          </w:tcPr>
          <w:p w:rsidR="00325697" w:rsidRPr="000D78FF" w:rsidRDefault="00325697" w:rsidP="009C7A21">
            <w:pPr>
              <w:spacing w:after="120" w:line="240" w:lineRule="auto"/>
              <w:jc w:val="center"/>
              <w:rPr>
                <w:rFonts w:ascii="Times New Roman" w:eastAsia="Times New Roman" w:hAnsi="Times New Roman" w:cs="Times New Roman"/>
                <w:sz w:val="18"/>
                <w:szCs w:val="18"/>
              </w:rPr>
            </w:pPr>
            <w:r w:rsidRPr="000D78FF">
              <w:rPr>
                <w:rFonts w:ascii="Times New Roman" w:eastAsia="Times New Roman" w:hAnsi="Times New Roman" w:cs="Times New Roman"/>
                <w:sz w:val="18"/>
                <w:szCs w:val="18"/>
              </w:rPr>
              <w:t>105</w:t>
            </w:r>
          </w:p>
        </w:tc>
        <w:tc>
          <w:tcPr>
            <w:tcW w:w="1276" w:type="dxa"/>
            <w:vMerge/>
            <w:shd w:val="clear" w:color="auto" w:fill="auto"/>
          </w:tcPr>
          <w:p w:rsidR="00325697" w:rsidRPr="000D78FF"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Pr>
        <w:tc>
          <w:tcPr>
            <w:tcW w:w="2595" w:type="dxa"/>
            <w:vMerge w:val="restart"/>
            <w:shd w:val="clear" w:color="auto" w:fill="auto"/>
            <w:vAlign w:val="center"/>
          </w:tcPr>
          <w:p w:rsidR="00325697" w:rsidRPr="00046243" w:rsidRDefault="00325697" w:rsidP="009C7A21">
            <w:pPr>
              <w:pStyle w:val="PargrafodaLista"/>
              <w:numPr>
                <w:ilvl w:val="0"/>
                <w:numId w:val="7"/>
              </w:numPr>
              <w:spacing w:after="120" w:line="240" w:lineRule="auto"/>
              <w:rPr>
                <w:rFonts w:ascii="Times New Roman" w:eastAsia="Times New Roman" w:hAnsi="Times New Roman" w:cs="Times New Roman"/>
                <w:sz w:val="18"/>
                <w:szCs w:val="18"/>
              </w:rPr>
            </w:pPr>
            <w:r w:rsidRPr="00046243">
              <w:rPr>
                <w:rFonts w:ascii="Times New Roman" w:hAnsi="Times New Roman" w:cs="Times New Roman"/>
                <w:bCs/>
                <w:iCs/>
                <w:sz w:val="18"/>
                <w:szCs w:val="18"/>
              </w:rPr>
              <w:t>Modelo</w:t>
            </w:r>
            <w:r w:rsidRPr="00046243">
              <w:rPr>
                <w:rFonts w:ascii="Times New Roman" w:eastAsia="Times New Roman" w:hAnsi="Times New Roman" w:cs="Times New Roman"/>
                <w:sz w:val="18"/>
                <w:szCs w:val="18"/>
              </w:rPr>
              <w:t xml:space="preserve"> de pesquisas, investigações e análises de ilícitos fiscais.</w:t>
            </w:r>
          </w:p>
        </w:tc>
        <w:tc>
          <w:tcPr>
            <w:tcW w:w="1260" w:type="dxa"/>
            <w:gridSpan w:val="2"/>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Ações</w:t>
            </w:r>
            <w:r w:rsidRPr="00046243">
              <w:rPr>
                <w:rFonts w:ascii="Times New Roman" w:eastAsia="Times New Roman" w:hAnsi="Times New Roman" w:cs="Times New Roman"/>
                <w:b/>
                <w:sz w:val="18"/>
                <w:szCs w:val="18"/>
              </w:rPr>
              <w:t xml:space="preserve"> </w:t>
            </w:r>
            <w:r w:rsidRPr="00046243">
              <w:rPr>
                <w:rFonts w:ascii="Times New Roman" w:eastAsia="Times New Roman" w:hAnsi="Times New Roman" w:cs="Times New Roman"/>
                <w:sz w:val="18"/>
                <w:szCs w:val="18"/>
              </w:rPr>
              <w:t>estruturadas de fiscalização.</w:t>
            </w:r>
          </w:p>
        </w:tc>
        <w:tc>
          <w:tcPr>
            <w:tcW w:w="1468" w:type="dxa"/>
            <w:gridSpan w:val="4"/>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0</w:t>
            </w:r>
          </w:p>
        </w:tc>
        <w:tc>
          <w:tcPr>
            <w:tcW w:w="1055"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2009</w:t>
            </w:r>
          </w:p>
        </w:tc>
        <w:tc>
          <w:tcPr>
            <w:tcW w:w="1889" w:type="dxa"/>
            <w:gridSpan w:val="4"/>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Relatórios de inteligência</w:t>
            </w: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722" w:type="dxa"/>
            <w:gridSpan w:val="2"/>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Dezembro de 2014</w:t>
            </w:r>
          </w:p>
        </w:tc>
        <w:tc>
          <w:tcPr>
            <w:tcW w:w="1795" w:type="dxa"/>
            <w:gridSpan w:val="2"/>
            <w:vMerge w:val="restart"/>
            <w:shd w:val="clear" w:color="auto" w:fill="auto"/>
            <w:vAlign w:val="center"/>
          </w:tcPr>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 xml:space="preserve">Nota Técnica. </w:t>
            </w:r>
            <w:r w:rsidRPr="00E97E1F">
              <w:rPr>
                <w:rFonts w:ascii="Times New Roman" w:hAnsi="Times New Roman" w:cs="Times New Roman"/>
                <w:sz w:val="18"/>
                <w:szCs w:val="18"/>
              </w:rPr>
              <w:t>CPAF – Centro de Pesquisas e Análise Fiscal</w:t>
            </w:r>
          </w:p>
        </w:tc>
      </w:tr>
      <w:tr w:rsidR="00325697" w:rsidRPr="00046243" w:rsidTr="000A175D">
        <w:trPr>
          <w:gridBefore w:val="1"/>
          <w:wBefore w:w="9" w:type="dxa"/>
        </w:trPr>
        <w:tc>
          <w:tcPr>
            <w:tcW w:w="259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26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68"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05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722"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3</w:t>
            </w:r>
          </w:p>
        </w:tc>
        <w:tc>
          <w:tcPr>
            <w:tcW w:w="1276"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highlight w:val="yellow"/>
              </w:rPr>
            </w:pPr>
          </w:p>
        </w:tc>
      </w:tr>
      <w:tr w:rsidR="00325697" w:rsidRPr="00046243" w:rsidTr="000A175D">
        <w:trPr>
          <w:gridBefore w:val="1"/>
          <w:wBefore w:w="9" w:type="dxa"/>
        </w:trPr>
        <w:tc>
          <w:tcPr>
            <w:tcW w:w="259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26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68"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05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722"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17</w:t>
            </w:r>
          </w:p>
        </w:tc>
        <w:tc>
          <w:tcPr>
            <w:tcW w:w="1276"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Pr>
        <w:tc>
          <w:tcPr>
            <w:tcW w:w="2595" w:type="dxa"/>
            <w:vMerge w:val="restart"/>
            <w:shd w:val="clear" w:color="auto" w:fill="auto"/>
            <w:vAlign w:val="center"/>
          </w:tcPr>
          <w:p w:rsidR="00325697" w:rsidRPr="00046243" w:rsidRDefault="00325697" w:rsidP="009C7A21">
            <w:pPr>
              <w:pStyle w:val="PargrafodaLista"/>
              <w:numPr>
                <w:ilvl w:val="0"/>
                <w:numId w:val="7"/>
              </w:numPr>
              <w:spacing w:after="120" w:line="240" w:lineRule="auto"/>
              <w:rPr>
                <w:rFonts w:ascii="Times New Roman" w:eastAsia="Times New Roman" w:hAnsi="Times New Roman" w:cs="Times New Roman"/>
                <w:sz w:val="18"/>
                <w:szCs w:val="18"/>
              </w:rPr>
            </w:pPr>
            <w:r w:rsidRPr="00046243">
              <w:rPr>
                <w:rFonts w:ascii="Times New Roman" w:hAnsi="Times New Roman" w:cs="Times New Roman"/>
                <w:bCs/>
                <w:iCs/>
                <w:sz w:val="18"/>
                <w:szCs w:val="18"/>
              </w:rPr>
              <w:t>Sistema</w:t>
            </w:r>
            <w:r w:rsidRPr="00046243">
              <w:rPr>
                <w:rFonts w:ascii="Times New Roman" w:eastAsia="Times New Roman" w:hAnsi="Times New Roman" w:cs="Times New Roman"/>
                <w:sz w:val="18"/>
                <w:szCs w:val="18"/>
              </w:rPr>
              <w:t xml:space="preserve"> público de escrituração digital - SPED.</w:t>
            </w:r>
          </w:p>
        </w:tc>
        <w:tc>
          <w:tcPr>
            <w:tcW w:w="1260" w:type="dxa"/>
            <w:gridSpan w:val="2"/>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Percentual da arrecadação proveniente de contribuintes obrigados a utilizar o SPED (EFD).</w:t>
            </w:r>
          </w:p>
        </w:tc>
        <w:tc>
          <w:tcPr>
            <w:tcW w:w="1468" w:type="dxa"/>
            <w:gridSpan w:val="4"/>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0</w:t>
            </w:r>
          </w:p>
        </w:tc>
        <w:tc>
          <w:tcPr>
            <w:tcW w:w="1055"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2009</w:t>
            </w:r>
          </w:p>
        </w:tc>
        <w:tc>
          <w:tcPr>
            <w:tcW w:w="1889" w:type="dxa"/>
            <w:gridSpan w:val="4"/>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Nota Técnica </w:t>
            </w:r>
            <w:r w:rsidRPr="00046243">
              <w:rPr>
                <w:rFonts w:ascii="Times New Roman" w:hAnsi="Times New Roman" w:cs="Times New Roman"/>
                <w:sz w:val="18"/>
                <w:szCs w:val="18"/>
              </w:rPr>
              <w:t>CAAF</w:t>
            </w: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722" w:type="dxa"/>
            <w:gridSpan w:val="2"/>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Dezembro de 2014</w:t>
            </w:r>
          </w:p>
        </w:tc>
        <w:tc>
          <w:tcPr>
            <w:tcW w:w="1795" w:type="dxa"/>
            <w:gridSpan w:val="2"/>
            <w:vMerge w:val="restart"/>
            <w:shd w:val="clear" w:color="auto" w:fill="auto"/>
            <w:vAlign w:val="center"/>
          </w:tcPr>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 xml:space="preserve">Nota Técnica. </w:t>
            </w:r>
            <w:r w:rsidRPr="00E97E1F">
              <w:rPr>
                <w:rFonts w:ascii="Times New Roman" w:hAnsi="Times New Roman" w:cs="Times New Roman"/>
                <w:sz w:val="18"/>
                <w:szCs w:val="18"/>
              </w:rPr>
              <w:t xml:space="preserve">CAAF – Célula de Avaliação e Controle de Automação Fiscal. Em 2014. </w:t>
            </w:r>
            <w:r w:rsidRPr="00E97E1F">
              <w:rPr>
                <w:rFonts w:ascii="Times New Roman" w:eastAsia="Times New Roman" w:hAnsi="Times New Roman" w:cs="Times New Roman"/>
                <w:bCs/>
                <w:sz w:val="18"/>
                <w:szCs w:val="18"/>
                <w:lang w:eastAsia="pt-BR"/>
              </w:rPr>
              <w:t>Imposto Arrecadado pelos obrigados à EFD (</w:t>
            </w:r>
            <w:r w:rsidRPr="00E97E1F">
              <w:rPr>
                <w:rFonts w:ascii="Times New Roman" w:eastAsia="Times New Roman" w:hAnsi="Times New Roman" w:cs="Times New Roman"/>
                <w:sz w:val="18"/>
                <w:szCs w:val="18"/>
                <w:lang w:eastAsia="pt-BR"/>
              </w:rPr>
              <w:t xml:space="preserve">5.089.714.453,72) / </w:t>
            </w:r>
            <w:r w:rsidRPr="00E97E1F">
              <w:rPr>
                <w:rFonts w:ascii="Times New Roman" w:eastAsia="Times New Roman" w:hAnsi="Times New Roman" w:cs="Times New Roman"/>
                <w:bCs/>
                <w:sz w:val="18"/>
                <w:szCs w:val="18"/>
                <w:lang w:eastAsia="pt-BR"/>
              </w:rPr>
              <w:t>Total do Imposto Arrecadado (</w:t>
            </w:r>
            <w:r w:rsidRPr="00E97E1F">
              <w:rPr>
                <w:rFonts w:ascii="Times New Roman" w:eastAsia="Times New Roman" w:hAnsi="Times New Roman" w:cs="Times New Roman"/>
                <w:sz w:val="18"/>
                <w:szCs w:val="18"/>
                <w:lang w:eastAsia="pt-BR"/>
              </w:rPr>
              <w:t>5.288.839.138,06)</w:t>
            </w:r>
          </w:p>
        </w:tc>
      </w:tr>
      <w:tr w:rsidR="00325697" w:rsidRPr="00046243" w:rsidTr="000A175D">
        <w:trPr>
          <w:gridBefore w:val="1"/>
          <w:wBefore w:w="9" w:type="dxa"/>
        </w:trPr>
        <w:tc>
          <w:tcPr>
            <w:tcW w:w="259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26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68"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05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722"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80</w:t>
            </w:r>
          </w:p>
        </w:tc>
        <w:tc>
          <w:tcPr>
            <w:tcW w:w="1276"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Pr>
        <w:tc>
          <w:tcPr>
            <w:tcW w:w="259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26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68"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05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40"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722" w:type="dxa"/>
            <w:gridSpan w:val="2"/>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96,2</w:t>
            </w:r>
          </w:p>
        </w:tc>
        <w:tc>
          <w:tcPr>
            <w:tcW w:w="1276"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Height w:val="190"/>
        </w:trPr>
        <w:tc>
          <w:tcPr>
            <w:tcW w:w="13500" w:type="dxa"/>
            <w:gridSpan w:val="19"/>
            <w:tcBorders>
              <w:left w:val="single" w:sz="4" w:space="0" w:color="auto"/>
              <w:right w:val="single" w:sz="4" w:space="0" w:color="auto"/>
            </w:tcBorders>
            <w:shd w:val="clear" w:color="auto" w:fill="BFBFBF"/>
            <w:vAlign w:val="center"/>
          </w:tcPr>
          <w:p w:rsidR="00325697" w:rsidRPr="00046243" w:rsidRDefault="00325697" w:rsidP="009C7A21">
            <w:pPr>
              <w:spacing w:after="120" w:line="240" w:lineRule="auto"/>
              <w:rPr>
                <w:rFonts w:ascii="Times New Roman" w:eastAsia="Times New Roman" w:hAnsi="Times New Roman" w:cs="Times New Roman"/>
                <w:b/>
                <w:sz w:val="18"/>
                <w:szCs w:val="18"/>
              </w:rPr>
            </w:pPr>
            <w:r w:rsidRPr="00046243">
              <w:rPr>
                <w:rFonts w:ascii="Times New Roman" w:eastAsia="Times New Roman" w:hAnsi="Times New Roman" w:cs="Times New Roman"/>
                <w:b/>
                <w:sz w:val="18"/>
                <w:szCs w:val="18"/>
              </w:rPr>
              <w:t xml:space="preserve">COMPONENTE III – ADMINISTRAÇÃO FINANCEIRA, </w:t>
            </w:r>
            <w:r w:rsidR="00C86767" w:rsidRPr="00046243">
              <w:rPr>
                <w:rFonts w:ascii="Times New Roman" w:eastAsia="Times New Roman" w:hAnsi="Times New Roman" w:cs="Times New Roman"/>
                <w:b/>
                <w:sz w:val="18"/>
                <w:szCs w:val="18"/>
              </w:rPr>
              <w:t>PATRIMÔNIO</w:t>
            </w:r>
            <w:r w:rsidRPr="00046243">
              <w:rPr>
                <w:rFonts w:ascii="Times New Roman" w:eastAsia="Times New Roman" w:hAnsi="Times New Roman" w:cs="Times New Roman"/>
                <w:b/>
                <w:sz w:val="18"/>
                <w:szCs w:val="18"/>
              </w:rPr>
              <w:t xml:space="preserve"> E CONTROLE INTERNO</w:t>
            </w:r>
          </w:p>
        </w:tc>
      </w:tr>
      <w:tr w:rsidR="00325697" w:rsidRPr="00046243" w:rsidTr="000A175D">
        <w:trPr>
          <w:gridAfter w:val="1"/>
          <w:wAfter w:w="16" w:type="dxa"/>
        </w:trPr>
        <w:tc>
          <w:tcPr>
            <w:tcW w:w="2639" w:type="dxa"/>
            <w:gridSpan w:val="3"/>
            <w:vMerge w:val="restart"/>
            <w:shd w:val="clear" w:color="auto" w:fill="auto"/>
            <w:vAlign w:val="center"/>
          </w:tcPr>
          <w:p w:rsidR="00325697" w:rsidRPr="00046243" w:rsidRDefault="00325697" w:rsidP="009C7A21">
            <w:pPr>
              <w:pStyle w:val="PargrafodaLista"/>
              <w:numPr>
                <w:ilvl w:val="0"/>
                <w:numId w:val="8"/>
              </w:numPr>
              <w:spacing w:after="120" w:line="240" w:lineRule="auto"/>
              <w:rPr>
                <w:rFonts w:ascii="Times New Roman" w:eastAsia="Times New Roman" w:hAnsi="Times New Roman" w:cs="Times New Roman"/>
                <w:sz w:val="18"/>
                <w:szCs w:val="18"/>
              </w:rPr>
            </w:pPr>
            <w:r w:rsidRPr="00046243">
              <w:rPr>
                <w:rFonts w:ascii="Times New Roman" w:hAnsi="Times New Roman" w:cs="Times New Roman"/>
                <w:bCs/>
                <w:iCs/>
                <w:sz w:val="18"/>
                <w:szCs w:val="18"/>
              </w:rPr>
              <w:t>Modelo de gestão do controle interno implantado</w:t>
            </w:r>
          </w:p>
        </w:tc>
        <w:tc>
          <w:tcPr>
            <w:tcW w:w="1276" w:type="dxa"/>
            <w:gridSpan w:val="3"/>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z w:val="18"/>
                <w:szCs w:val="18"/>
              </w:rPr>
              <w:t>Modelo de gestão do Controle Interno</w:t>
            </w:r>
          </w:p>
        </w:tc>
        <w:tc>
          <w:tcPr>
            <w:tcW w:w="1417"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0</w:t>
            </w:r>
          </w:p>
        </w:tc>
        <w:tc>
          <w:tcPr>
            <w:tcW w:w="1055"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2009</w:t>
            </w:r>
          </w:p>
        </w:tc>
        <w:tc>
          <w:tcPr>
            <w:tcW w:w="1889" w:type="dxa"/>
            <w:gridSpan w:val="4"/>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Nota técnica UCI</w:t>
            </w:r>
          </w:p>
        </w:tc>
        <w:tc>
          <w:tcPr>
            <w:tcW w:w="1449" w:type="dxa"/>
            <w:gridSpan w:val="3"/>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713" w:type="dxa"/>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val="restart"/>
            <w:shd w:val="clear" w:color="auto" w:fill="FFFFFF"/>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Dezembro de 2014</w:t>
            </w:r>
          </w:p>
        </w:tc>
        <w:tc>
          <w:tcPr>
            <w:tcW w:w="1779" w:type="dxa"/>
            <w:vMerge w:val="restart"/>
            <w:shd w:val="clear" w:color="auto" w:fill="auto"/>
            <w:vAlign w:val="center"/>
          </w:tcPr>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 xml:space="preserve">Nota Técnica. </w:t>
            </w:r>
            <w:r w:rsidRPr="00E97E1F">
              <w:rPr>
                <w:rFonts w:ascii="Times New Roman" w:hAnsi="Times New Roman" w:cs="Times New Roman"/>
                <w:sz w:val="18"/>
                <w:szCs w:val="18"/>
              </w:rPr>
              <w:t>UCI - Unidade de Controle Interno</w:t>
            </w:r>
          </w:p>
        </w:tc>
      </w:tr>
      <w:tr w:rsidR="00325697" w:rsidRPr="00046243" w:rsidTr="000A175D">
        <w:trPr>
          <w:gridAfter w:val="1"/>
          <w:wAfter w:w="16" w:type="dxa"/>
        </w:trPr>
        <w:tc>
          <w:tcPr>
            <w:tcW w:w="2639"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highlight w:val="yellow"/>
              </w:rPr>
            </w:pPr>
          </w:p>
        </w:tc>
        <w:tc>
          <w:tcPr>
            <w:tcW w:w="127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highlight w:val="yellow"/>
              </w:rPr>
            </w:pPr>
          </w:p>
        </w:tc>
        <w:tc>
          <w:tcPr>
            <w:tcW w:w="1417" w:type="dxa"/>
            <w:gridSpan w:val="2"/>
            <w:vMerge/>
            <w:shd w:val="clear" w:color="auto" w:fill="auto"/>
          </w:tcPr>
          <w:p w:rsidR="00325697" w:rsidRPr="00046243" w:rsidRDefault="00325697" w:rsidP="009C7A21">
            <w:pPr>
              <w:spacing w:after="120" w:line="240" w:lineRule="auto"/>
              <w:rPr>
                <w:rFonts w:ascii="Times New Roman" w:eastAsia="Times New Roman" w:hAnsi="Times New Roman" w:cs="Times New Roman"/>
                <w:color w:val="FF0000"/>
                <w:sz w:val="18"/>
                <w:szCs w:val="18"/>
                <w:highlight w:val="yellow"/>
              </w:rPr>
            </w:pPr>
          </w:p>
        </w:tc>
        <w:tc>
          <w:tcPr>
            <w:tcW w:w="1055"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color w:val="FF0000"/>
                <w:sz w:val="18"/>
                <w:szCs w:val="18"/>
                <w:highlight w:val="yellow"/>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highlight w:val="yellow"/>
              </w:rPr>
            </w:pPr>
          </w:p>
        </w:tc>
        <w:tc>
          <w:tcPr>
            <w:tcW w:w="1449" w:type="dxa"/>
            <w:gridSpan w:val="3"/>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revisado</w:t>
            </w:r>
          </w:p>
        </w:tc>
        <w:tc>
          <w:tcPr>
            <w:tcW w:w="713"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1</w:t>
            </w:r>
          </w:p>
        </w:tc>
        <w:tc>
          <w:tcPr>
            <w:tcW w:w="1276" w:type="dxa"/>
            <w:vMerge/>
            <w:shd w:val="clear" w:color="auto" w:fill="FFFFFF"/>
          </w:tcPr>
          <w:p w:rsidR="00325697" w:rsidRPr="00046243" w:rsidRDefault="00325697" w:rsidP="009C7A21">
            <w:pPr>
              <w:spacing w:after="120" w:line="240" w:lineRule="auto"/>
              <w:jc w:val="center"/>
              <w:rPr>
                <w:rFonts w:ascii="Times New Roman" w:eastAsia="Times New Roman" w:hAnsi="Times New Roman" w:cs="Times New Roman"/>
                <w:color w:val="FF0000"/>
                <w:sz w:val="18"/>
                <w:szCs w:val="18"/>
              </w:rPr>
            </w:pPr>
          </w:p>
        </w:tc>
        <w:tc>
          <w:tcPr>
            <w:tcW w:w="1779" w:type="dxa"/>
            <w:vMerge/>
            <w:shd w:val="clear" w:color="auto" w:fill="auto"/>
          </w:tcPr>
          <w:p w:rsidR="00325697" w:rsidRPr="00E97E1F" w:rsidRDefault="00325697" w:rsidP="009C7A21">
            <w:pPr>
              <w:spacing w:after="120" w:line="240" w:lineRule="auto"/>
              <w:rPr>
                <w:rFonts w:ascii="Times New Roman" w:eastAsia="Times New Roman" w:hAnsi="Times New Roman" w:cs="Times New Roman"/>
                <w:color w:val="FF0000"/>
                <w:sz w:val="18"/>
                <w:szCs w:val="18"/>
              </w:rPr>
            </w:pPr>
          </w:p>
        </w:tc>
      </w:tr>
      <w:tr w:rsidR="00325697" w:rsidRPr="00046243" w:rsidTr="000A175D">
        <w:trPr>
          <w:gridAfter w:val="1"/>
          <w:wAfter w:w="16" w:type="dxa"/>
        </w:trPr>
        <w:tc>
          <w:tcPr>
            <w:tcW w:w="2639"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highlight w:val="yellow"/>
              </w:rPr>
            </w:pPr>
          </w:p>
        </w:tc>
        <w:tc>
          <w:tcPr>
            <w:tcW w:w="127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highlight w:val="yellow"/>
              </w:rPr>
            </w:pPr>
          </w:p>
        </w:tc>
        <w:tc>
          <w:tcPr>
            <w:tcW w:w="1417" w:type="dxa"/>
            <w:gridSpan w:val="2"/>
            <w:vMerge/>
            <w:shd w:val="clear" w:color="auto" w:fill="auto"/>
          </w:tcPr>
          <w:p w:rsidR="00325697" w:rsidRPr="00046243" w:rsidRDefault="00325697" w:rsidP="009C7A21">
            <w:pPr>
              <w:spacing w:after="120" w:line="240" w:lineRule="auto"/>
              <w:rPr>
                <w:rFonts w:ascii="Times New Roman" w:eastAsia="Times New Roman" w:hAnsi="Times New Roman" w:cs="Times New Roman"/>
                <w:color w:val="FF0000"/>
                <w:sz w:val="18"/>
                <w:szCs w:val="18"/>
                <w:highlight w:val="yellow"/>
              </w:rPr>
            </w:pPr>
          </w:p>
        </w:tc>
        <w:tc>
          <w:tcPr>
            <w:tcW w:w="1055"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color w:val="FF0000"/>
                <w:sz w:val="18"/>
                <w:szCs w:val="18"/>
                <w:highlight w:val="yellow"/>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highlight w:val="yellow"/>
              </w:rPr>
            </w:pPr>
          </w:p>
        </w:tc>
        <w:tc>
          <w:tcPr>
            <w:tcW w:w="1449" w:type="dxa"/>
            <w:gridSpan w:val="3"/>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713"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b/>
                <w:sz w:val="18"/>
                <w:szCs w:val="18"/>
              </w:rPr>
            </w:pPr>
            <w:r w:rsidRPr="00046243">
              <w:rPr>
                <w:rFonts w:ascii="Times New Roman" w:eastAsia="Times New Roman" w:hAnsi="Times New Roman" w:cs="Times New Roman"/>
                <w:b/>
                <w:sz w:val="18"/>
                <w:szCs w:val="18"/>
              </w:rPr>
              <w:t>1</w:t>
            </w:r>
          </w:p>
        </w:tc>
        <w:tc>
          <w:tcPr>
            <w:tcW w:w="1276" w:type="dxa"/>
            <w:vMerge/>
            <w:shd w:val="clear" w:color="auto" w:fill="92D050"/>
            <w:vAlign w:val="center"/>
          </w:tcPr>
          <w:p w:rsidR="00325697" w:rsidRPr="00046243" w:rsidRDefault="00325697" w:rsidP="009C7A21">
            <w:pPr>
              <w:spacing w:after="120" w:line="240" w:lineRule="auto"/>
              <w:jc w:val="center"/>
              <w:rPr>
                <w:rFonts w:ascii="Times New Roman" w:eastAsia="Times New Roman" w:hAnsi="Times New Roman" w:cs="Times New Roman"/>
                <w:color w:val="FF0000"/>
                <w:sz w:val="18"/>
                <w:szCs w:val="18"/>
              </w:rPr>
            </w:pPr>
          </w:p>
        </w:tc>
        <w:tc>
          <w:tcPr>
            <w:tcW w:w="1779" w:type="dxa"/>
            <w:vMerge/>
            <w:shd w:val="clear" w:color="auto" w:fill="auto"/>
          </w:tcPr>
          <w:p w:rsidR="00325697" w:rsidRPr="00E97E1F" w:rsidRDefault="00325697" w:rsidP="009C7A21">
            <w:pPr>
              <w:spacing w:after="120" w:line="240" w:lineRule="auto"/>
              <w:rPr>
                <w:rFonts w:ascii="Times New Roman" w:eastAsia="Times New Roman" w:hAnsi="Times New Roman" w:cs="Times New Roman"/>
                <w:color w:val="FF0000"/>
                <w:sz w:val="18"/>
                <w:szCs w:val="18"/>
              </w:rPr>
            </w:pPr>
          </w:p>
        </w:tc>
      </w:tr>
      <w:tr w:rsidR="00325697" w:rsidRPr="00046243" w:rsidTr="000A175D">
        <w:trPr>
          <w:gridAfter w:val="1"/>
          <w:wAfter w:w="16" w:type="dxa"/>
        </w:trPr>
        <w:tc>
          <w:tcPr>
            <w:tcW w:w="2639" w:type="dxa"/>
            <w:gridSpan w:val="3"/>
            <w:vMerge w:val="restart"/>
            <w:shd w:val="clear" w:color="auto" w:fill="auto"/>
            <w:vAlign w:val="center"/>
          </w:tcPr>
          <w:p w:rsidR="00325697" w:rsidRPr="00046243" w:rsidRDefault="00325697" w:rsidP="009C7A21">
            <w:pPr>
              <w:pStyle w:val="PargrafodaLista"/>
              <w:numPr>
                <w:ilvl w:val="0"/>
                <w:numId w:val="8"/>
              </w:numPr>
              <w:spacing w:after="120" w:line="240" w:lineRule="auto"/>
              <w:rPr>
                <w:rFonts w:ascii="Times New Roman" w:eastAsia="Times New Roman" w:hAnsi="Times New Roman" w:cs="Times New Roman"/>
                <w:sz w:val="18"/>
                <w:szCs w:val="18"/>
              </w:rPr>
            </w:pPr>
            <w:r w:rsidRPr="00046243">
              <w:rPr>
                <w:rFonts w:ascii="Times New Roman" w:hAnsi="Times New Roman" w:cs="Times New Roman"/>
                <w:bCs/>
                <w:iCs/>
                <w:sz w:val="18"/>
                <w:szCs w:val="18"/>
              </w:rPr>
              <w:t>Novo</w:t>
            </w:r>
            <w:r w:rsidRPr="00046243">
              <w:rPr>
                <w:rFonts w:ascii="Times New Roman" w:eastAsia="Times New Roman" w:hAnsi="Times New Roman" w:cs="Times New Roman"/>
                <w:sz w:val="18"/>
                <w:szCs w:val="18"/>
              </w:rPr>
              <w:t xml:space="preserve"> sistema de controle da dívida pública implementado.</w:t>
            </w:r>
          </w:p>
        </w:tc>
        <w:tc>
          <w:tcPr>
            <w:tcW w:w="1276" w:type="dxa"/>
            <w:gridSpan w:val="3"/>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Sistema</w:t>
            </w:r>
          </w:p>
        </w:tc>
        <w:tc>
          <w:tcPr>
            <w:tcW w:w="1417"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0</w:t>
            </w:r>
          </w:p>
        </w:tc>
        <w:tc>
          <w:tcPr>
            <w:tcW w:w="1055" w:type="dxa"/>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2009</w:t>
            </w:r>
          </w:p>
        </w:tc>
        <w:tc>
          <w:tcPr>
            <w:tcW w:w="1889" w:type="dxa"/>
            <w:gridSpan w:val="4"/>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r w:rsidRPr="00046243">
              <w:rPr>
                <w:rFonts w:ascii="Times New Roman" w:eastAsia="Times New Roman" w:hAnsi="Times New Roman" w:cs="Times New Roman"/>
                <w:sz w:val="18"/>
                <w:szCs w:val="18"/>
              </w:rPr>
              <w:t>Relatório do sistema de dívida com contratos cadastrados</w:t>
            </w:r>
          </w:p>
        </w:tc>
        <w:tc>
          <w:tcPr>
            <w:tcW w:w="1449" w:type="dxa"/>
            <w:gridSpan w:val="3"/>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713" w:type="dxa"/>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b/>
                <w:sz w:val="18"/>
                <w:szCs w:val="18"/>
              </w:rPr>
            </w:pPr>
          </w:p>
        </w:tc>
        <w:tc>
          <w:tcPr>
            <w:tcW w:w="1276" w:type="dxa"/>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Dezembro de 2014</w:t>
            </w:r>
          </w:p>
        </w:tc>
        <w:tc>
          <w:tcPr>
            <w:tcW w:w="1779" w:type="dxa"/>
            <w:vMerge w:val="restart"/>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Nota Técnica. DITES – Diretoria do Tesouro e SATES – Secretaria Adjunta do Tesouro</w:t>
            </w:r>
            <w:r w:rsidRPr="00E97E1F">
              <w:rPr>
                <w:rFonts w:ascii="Times New Roman" w:hAnsi="Times New Roman" w:cs="Times New Roman"/>
                <w:sz w:val="18"/>
                <w:szCs w:val="18"/>
              </w:rPr>
              <w:t xml:space="preserve"> - </w:t>
            </w:r>
            <w:r w:rsidRPr="00E97E1F">
              <w:rPr>
                <w:rFonts w:ascii="Times New Roman" w:eastAsia="Times New Roman" w:hAnsi="Times New Roman" w:cs="Times New Roman"/>
                <w:sz w:val="18"/>
                <w:szCs w:val="18"/>
              </w:rPr>
              <w:t xml:space="preserve">Apresentação ppt e Relatório dos contratos cadastrados </w:t>
            </w:r>
          </w:p>
        </w:tc>
      </w:tr>
      <w:tr w:rsidR="00325697" w:rsidRPr="00046243" w:rsidTr="000A175D">
        <w:trPr>
          <w:gridAfter w:val="1"/>
          <w:wAfter w:w="16" w:type="dxa"/>
        </w:trPr>
        <w:tc>
          <w:tcPr>
            <w:tcW w:w="2639"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highlight w:val="yellow"/>
              </w:rPr>
            </w:pPr>
          </w:p>
        </w:tc>
        <w:tc>
          <w:tcPr>
            <w:tcW w:w="127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highlight w:val="yellow"/>
              </w:rPr>
            </w:pPr>
          </w:p>
        </w:tc>
        <w:tc>
          <w:tcPr>
            <w:tcW w:w="1417" w:type="dxa"/>
            <w:gridSpan w:val="2"/>
            <w:vMerge/>
            <w:shd w:val="clear" w:color="auto" w:fill="auto"/>
          </w:tcPr>
          <w:p w:rsidR="00325697" w:rsidRPr="00046243" w:rsidRDefault="00325697" w:rsidP="009C7A21">
            <w:pPr>
              <w:spacing w:after="120" w:line="240" w:lineRule="auto"/>
              <w:rPr>
                <w:rFonts w:ascii="Times New Roman" w:eastAsia="Times New Roman" w:hAnsi="Times New Roman" w:cs="Times New Roman"/>
                <w:color w:val="FF0000"/>
                <w:sz w:val="18"/>
                <w:szCs w:val="18"/>
                <w:highlight w:val="yellow"/>
              </w:rPr>
            </w:pPr>
          </w:p>
        </w:tc>
        <w:tc>
          <w:tcPr>
            <w:tcW w:w="1055"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color w:val="FF0000"/>
                <w:sz w:val="18"/>
                <w:szCs w:val="18"/>
                <w:highlight w:val="yellow"/>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highlight w:val="yellow"/>
              </w:rPr>
            </w:pPr>
          </w:p>
        </w:tc>
        <w:tc>
          <w:tcPr>
            <w:tcW w:w="1449" w:type="dxa"/>
            <w:gridSpan w:val="3"/>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revisado</w:t>
            </w:r>
          </w:p>
        </w:tc>
        <w:tc>
          <w:tcPr>
            <w:tcW w:w="713"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b/>
                <w:sz w:val="18"/>
                <w:szCs w:val="18"/>
              </w:rPr>
            </w:pPr>
            <w:r w:rsidRPr="00046243">
              <w:rPr>
                <w:rFonts w:ascii="Times New Roman" w:eastAsia="Times New Roman" w:hAnsi="Times New Roman" w:cs="Times New Roman"/>
                <w:b/>
                <w:sz w:val="18"/>
                <w:szCs w:val="18"/>
              </w:rPr>
              <w:t>1</w:t>
            </w:r>
          </w:p>
        </w:tc>
        <w:tc>
          <w:tcPr>
            <w:tcW w:w="1276" w:type="dxa"/>
            <w:vMerge/>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color w:val="FF0000"/>
                <w:sz w:val="18"/>
                <w:szCs w:val="18"/>
              </w:rPr>
            </w:pPr>
          </w:p>
        </w:tc>
        <w:tc>
          <w:tcPr>
            <w:tcW w:w="1779"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r>
      <w:tr w:rsidR="00325697" w:rsidRPr="00046243" w:rsidTr="000A175D">
        <w:trPr>
          <w:gridAfter w:val="1"/>
          <w:wAfter w:w="16" w:type="dxa"/>
        </w:trPr>
        <w:tc>
          <w:tcPr>
            <w:tcW w:w="2639"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127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1417" w:type="dxa"/>
            <w:gridSpan w:val="2"/>
            <w:vMerge/>
            <w:shd w:val="clear" w:color="auto" w:fill="auto"/>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1055"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1889" w:type="dxa"/>
            <w:gridSpan w:val="4"/>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c>
          <w:tcPr>
            <w:tcW w:w="1449" w:type="dxa"/>
            <w:gridSpan w:val="3"/>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713" w:type="dxa"/>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b/>
                <w:sz w:val="18"/>
                <w:szCs w:val="18"/>
              </w:rPr>
            </w:pPr>
            <w:r w:rsidRPr="00046243">
              <w:rPr>
                <w:rFonts w:ascii="Times New Roman" w:eastAsia="Times New Roman" w:hAnsi="Times New Roman" w:cs="Times New Roman"/>
                <w:b/>
                <w:sz w:val="18"/>
                <w:szCs w:val="18"/>
              </w:rPr>
              <w:t>1</w:t>
            </w:r>
          </w:p>
        </w:tc>
        <w:tc>
          <w:tcPr>
            <w:tcW w:w="1276" w:type="dxa"/>
            <w:vMerge/>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color w:val="FF0000"/>
                <w:sz w:val="18"/>
                <w:szCs w:val="18"/>
              </w:rPr>
            </w:pPr>
          </w:p>
        </w:tc>
        <w:tc>
          <w:tcPr>
            <w:tcW w:w="1779" w:type="dxa"/>
            <w:vMerge/>
            <w:shd w:val="clear" w:color="auto" w:fill="auto"/>
          </w:tcPr>
          <w:p w:rsidR="00325697" w:rsidRPr="00046243" w:rsidRDefault="00325697" w:rsidP="009C7A21">
            <w:pPr>
              <w:spacing w:after="120" w:line="240" w:lineRule="auto"/>
              <w:rPr>
                <w:rFonts w:ascii="Times New Roman" w:eastAsia="Times New Roman" w:hAnsi="Times New Roman" w:cs="Times New Roman"/>
                <w:color w:val="FF0000"/>
                <w:sz w:val="18"/>
                <w:szCs w:val="18"/>
              </w:rPr>
            </w:pPr>
          </w:p>
        </w:tc>
      </w:tr>
      <w:tr w:rsidR="00325697" w:rsidRPr="00046243" w:rsidTr="000A175D">
        <w:trPr>
          <w:gridBefore w:val="1"/>
          <w:wBefore w:w="9" w:type="dxa"/>
          <w:trHeight w:val="190"/>
        </w:trPr>
        <w:tc>
          <w:tcPr>
            <w:tcW w:w="13500" w:type="dxa"/>
            <w:gridSpan w:val="19"/>
            <w:tcBorders>
              <w:left w:val="single" w:sz="4" w:space="0" w:color="auto"/>
              <w:right w:val="single" w:sz="4" w:space="0" w:color="auto"/>
            </w:tcBorders>
            <w:shd w:val="clear" w:color="auto" w:fill="BFBFBF"/>
            <w:vAlign w:val="center"/>
          </w:tcPr>
          <w:p w:rsidR="00325697" w:rsidRPr="00046243" w:rsidRDefault="00325697" w:rsidP="009C7A21">
            <w:pPr>
              <w:spacing w:after="120" w:line="240" w:lineRule="auto"/>
              <w:rPr>
                <w:rFonts w:ascii="Times New Roman" w:eastAsia="Times New Roman" w:hAnsi="Times New Roman" w:cs="Times New Roman"/>
                <w:b/>
                <w:sz w:val="18"/>
                <w:szCs w:val="18"/>
              </w:rPr>
            </w:pPr>
            <w:r w:rsidRPr="00046243">
              <w:rPr>
                <w:rFonts w:ascii="Times New Roman" w:eastAsia="Times New Roman" w:hAnsi="Times New Roman" w:cs="Times New Roman"/>
                <w:b/>
                <w:sz w:val="18"/>
                <w:szCs w:val="18"/>
              </w:rPr>
              <w:lastRenderedPageBreak/>
              <w:t>COMPONENTE IV - GESTÃO DE RECURSOS ESTRATÉGICOS - CORPORATIVOS</w:t>
            </w:r>
          </w:p>
        </w:tc>
      </w:tr>
      <w:tr w:rsidR="00325697" w:rsidRPr="00046243" w:rsidTr="000A175D">
        <w:trPr>
          <w:gridBefore w:val="1"/>
          <w:wBefore w:w="9" w:type="dxa"/>
          <w:trHeight w:val="214"/>
        </w:trPr>
        <w:tc>
          <w:tcPr>
            <w:tcW w:w="2630" w:type="dxa"/>
            <w:gridSpan w:val="2"/>
            <w:vMerge w:val="restart"/>
            <w:tcBorders>
              <w:left w:val="single" w:sz="4" w:space="0" w:color="auto"/>
            </w:tcBorders>
            <w:shd w:val="clear" w:color="auto" w:fill="auto"/>
            <w:vAlign w:val="center"/>
          </w:tcPr>
          <w:p w:rsidR="00325697" w:rsidRPr="00046243" w:rsidRDefault="00325697" w:rsidP="009C7A21">
            <w:pPr>
              <w:pStyle w:val="PargrafodaLista"/>
              <w:numPr>
                <w:ilvl w:val="0"/>
                <w:numId w:val="9"/>
              </w:numPr>
              <w:spacing w:after="120" w:line="240" w:lineRule="auto"/>
              <w:rPr>
                <w:rFonts w:ascii="Times New Roman" w:eastAsia="Times New Roman" w:hAnsi="Times New Roman" w:cs="Times New Roman"/>
                <w:sz w:val="18"/>
                <w:szCs w:val="18"/>
              </w:rPr>
            </w:pPr>
            <w:r w:rsidRPr="00046243">
              <w:rPr>
                <w:rFonts w:ascii="Times New Roman" w:hAnsi="Times New Roman" w:cs="Times New Roman"/>
                <w:bCs/>
                <w:iCs/>
                <w:sz w:val="18"/>
                <w:szCs w:val="18"/>
              </w:rPr>
              <w:t>Modelo de qualidade para o atendimento ao contribuinte implementado</w:t>
            </w:r>
          </w:p>
        </w:tc>
        <w:tc>
          <w:tcPr>
            <w:tcW w:w="1276" w:type="dxa"/>
            <w:gridSpan w:val="3"/>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z w:val="18"/>
                <w:szCs w:val="18"/>
              </w:rPr>
              <w:t>Postos de autoatendimento</w:t>
            </w:r>
          </w:p>
        </w:tc>
        <w:tc>
          <w:tcPr>
            <w:tcW w:w="1417"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3</w:t>
            </w:r>
          </w:p>
        </w:tc>
        <w:tc>
          <w:tcPr>
            <w:tcW w:w="1086" w:type="dxa"/>
            <w:gridSpan w:val="3"/>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2009</w:t>
            </w:r>
          </w:p>
        </w:tc>
        <w:tc>
          <w:tcPr>
            <w:tcW w:w="1845" w:type="dxa"/>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Relatório da CAFE</w:t>
            </w: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754" w:type="dxa"/>
            <w:gridSpan w:val="3"/>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val="restart"/>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Abril de 2015</w:t>
            </w:r>
          </w:p>
        </w:tc>
        <w:tc>
          <w:tcPr>
            <w:tcW w:w="1795" w:type="dxa"/>
            <w:gridSpan w:val="2"/>
            <w:vMerge w:val="restart"/>
            <w:tcBorders>
              <w:right w:val="single" w:sz="4" w:space="0" w:color="auto"/>
            </w:tcBorders>
            <w:shd w:val="clear" w:color="auto" w:fill="auto"/>
            <w:vAlign w:val="center"/>
          </w:tcPr>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bCs/>
                <w:sz w:val="18"/>
                <w:szCs w:val="18"/>
              </w:rPr>
              <w:t>Apresentação ppt. CAFE. 01 Unidade com defeito deverá ser substituída</w:t>
            </w:r>
          </w:p>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bCs/>
                <w:sz w:val="18"/>
                <w:szCs w:val="18"/>
              </w:rPr>
              <w:t>01 Unidade aguardando para ser padronização visual</w:t>
            </w:r>
          </w:p>
        </w:tc>
      </w:tr>
      <w:tr w:rsidR="00325697" w:rsidRPr="00046243" w:rsidTr="000A175D">
        <w:trPr>
          <w:gridBefore w:val="1"/>
          <w:wBefore w:w="9" w:type="dxa"/>
          <w:trHeight w:val="143"/>
        </w:trPr>
        <w:tc>
          <w:tcPr>
            <w:tcW w:w="2630" w:type="dxa"/>
            <w:gridSpan w:val="2"/>
            <w:vMerge/>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27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17"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08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84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754" w:type="dxa"/>
            <w:gridSpan w:val="3"/>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22</w:t>
            </w:r>
          </w:p>
        </w:tc>
        <w:tc>
          <w:tcPr>
            <w:tcW w:w="1276" w:type="dxa"/>
            <w:vMerge/>
            <w:tcBorders>
              <w:right w:val="single" w:sz="4" w:space="0" w:color="auto"/>
            </w:tcBorders>
            <w:shd w:val="clear" w:color="auto" w:fill="92D050"/>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tcBorders>
              <w:right w:val="single" w:sz="4" w:space="0" w:color="auto"/>
            </w:tcBorders>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highlight w:val="green"/>
              </w:rPr>
            </w:pPr>
          </w:p>
        </w:tc>
      </w:tr>
      <w:tr w:rsidR="00325697" w:rsidRPr="00046243" w:rsidTr="000A175D">
        <w:trPr>
          <w:gridBefore w:val="1"/>
          <w:wBefore w:w="9" w:type="dxa"/>
          <w:trHeight w:val="143"/>
        </w:trPr>
        <w:tc>
          <w:tcPr>
            <w:tcW w:w="2630" w:type="dxa"/>
            <w:gridSpan w:val="2"/>
            <w:vMerge/>
            <w:tcBorders>
              <w:left w:val="single" w:sz="4" w:space="0" w:color="auto"/>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276" w:type="dxa"/>
            <w:gridSpan w:val="3"/>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17" w:type="dxa"/>
            <w:gridSpan w:val="2"/>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086" w:type="dxa"/>
            <w:gridSpan w:val="3"/>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845" w:type="dxa"/>
            <w:vMerge/>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21" w:type="dxa"/>
            <w:gridSpan w:val="2"/>
            <w:tcBorders>
              <w:bottom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754" w:type="dxa"/>
            <w:gridSpan w:val="3"/>
            <w:tcBorders>
              <w:bottom w:val="single" w:sz="4" w:space="0" w:color="auto"/>
            </w:tcBorders>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b/>
                <w:sz w:val="18"/>
                <w:szCs w:val="18"/>
              </w:rPr>
            </w:pPr>
            <w:r w:rsidRPr="00046243">
              <w:rPr>
                <w:rFonts w:ascii="Times New Roman" w:eastAsia="Times New Roman" w:hAnsi="Times New Roman" w:cs="Times New Roman"/>
                <w:b/>
                <w:sz w:val="18"/>
                <w:szCs w:val="18"/>
              </w:rPr>
              <w:t>22</w:t>
            </w:r>
          </w:p>
        </w:tc>
        <w:tc>
          <w:tcPr>
            <w:tcW w:w="1276" w:type="dxa"/>
            <w:vMerge/>
            <w:tcBorders>
              <w:bottom w:val="single" w:sz="4" w:space="0" w:color="auto"/>
              <w:right w:val="single" w:sz="4" w:space="0" w:color="auto"/>
            </w:tcBorders>
            <w:shd w:val="clear" w:color="auto" w:fill="92D050"/>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tcBorders>
              <w:bottom w:val="single" w:sz="4" w:space="0" w:color="auto"/>
              <w:right w:val="single" w:sz="4" w:space="0" w:color="auto"/>
            </w:tcBorders>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Height w:val="190"/>
        </w:trPr>
        <w:tc>
          <w:tcPr>
            <w:tcW w:w="2630" w:type="dxa"/>
            <w:gridSpan w:val="2"/>
            <w:vMerge w:val="restart"/>
            <w:shd w:val="clear" w:color="auto" w:fill="auto"/>
            <w:vAlign w:val="center"/>
          </w:tcPr>
          <w:p w:rsidR="00325697" w:rsidRPr="00046243" w:rsidRDefault="00325697" w:rsidP="009C7A21">
            <w:pPr>
              <w:pStyle w:val="PargrafodaLista"/>
              <w:numPr>
                <w:ilvl w:val="0"/>
                <w:numId w:val="9"/>
              </w:numPr>
              <w:spacing w:after="120" w:line="240" w:lineRule="auto"/>
              <w:rPr>
                <w:rFonts w:ascii="Times New Roman" w:eastAsia="Times New Roman" w:hAnsi="Times New Roman" w:cs="Times New Roman"/>
                <w:sz w:val="18"/>
                <w:szCs w:val="18"/>
              </w:rPr>
            </w:pPr>
            <w:r w:rsidRPr="00046243">
              <w:rPr>
                <w:rFonts w:ascii="Times New Roman" w:hAnsi="Times New Roman" w:cs="Times New Roman"/>
                <w:sz w:val="18"/>
                <w:szCs w:val="18"/>
              </w:rPr>
              <w:t>Sistema e aplicativos de apoio à gestão administrativa e tributária implementados</w:t>
            </w:r>
          </w:p>
        </w:tc>
        <w:tc>
          <w:tcPr>
            <w:tcW w:w="1276" w:type="dxa"/>
            <w:gridSpan w:val="3"/>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pacing w:val="-4"/>
                <w:sz w:val="18"/>
                <w:szCs w:val="18"/>
              </w:rPr>
              <w:t>Módulos do SIAT operando em plataforma web</w:t>
            </w:r>
          </w:p>
        </w:tc>
        <w:tc>
          <w:tcPr>
            <w:tcW w:w="1417"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0</w:t>
            </w:r>
          </w:p>
        </w:tc>
        <w:tc>
          <w:tcPr>
            <w:tcW w:w="1086" w:type="dxa"/>
            <w:gridSpan w:val="3"/>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2009</w:t>
            </w:r>
          </w:p>
        </w:tc>
        <w:tc>
          <w:tcPr>
            <w:tcW w:w="1845" w:type="dxa"/>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Relatório preliminar de diagnóstico do </w:t>
            </w:r>
            <w:r w:rsidRPr="00046243">
              <w:rPr>
                <w:rFonts w:ascii="Times New Roman" w:hAnsi="Times New Roman" w:cs="Times New Roman"/>
                <w:color w:val="000000"/>
                <w:sz w:val="18"/>
                <w:szCs w:val="18"/>
              </w:rPr>
              <w:t>Sistema de Administração Tributária (</w:t>
            </w:r>
            <w:r w:rsidRPr="00046243">
              <w:rPr>
                <w:rFonts w:ascii="Times New Roman" w:eastAsia="Times New Roman" w:hAnsi="Times New Roman" w:cs="Times New Roman"/>
                <w:sz w:val="18"/>
                <w:szCs w:val="18"/>
              </w:rPr>
              <w:t>SIAT)</w:t>
            </w: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754" w:type="dxa"/>
            <w:gridSpan w:val="3"/>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val="restart"/>
            <w:shd w:val="clear" w:color="auto" w:fill="FFFFFF"/>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Abril de 2015</w:t>
            </w:r>
          </w:p>
        </w:tc>
        <w:tc>
          <w:tcPr>
            <w:tcW w:w="1795" w:type="dxa"/>
            <w:gridSpan w:val="2"/>
            <w:vMerge w:val="restart"/>
            <w:shd w:val="clear" w:color="auto" w:fill="auto"/>
            <w:vAlign w:val="center"/>
          </w:tcPr>
          <w:p w:rsidR="00325697" w:rsidRPr="00E97E1F" w:rsidRDefault="00325697" w:rsidP="009C7A21">
            <w:pPr>
              <w:spacing w:after="120" w:line="240" w:lineRule="auto"/>
              <w:rPr>
                <w:rFonts w:ascii="Times New Roman" w:hAnsi="Times New Roman" w:cs="Times New Roman"/>
                <w:color w:val="000000"/>
                <w:sz w:val="18"/>
                <w:szCs w:val="18"/>
              </w:rPr>
            </w:pPr>
            <w:r w:rsidRPr="00E97E1F">
              <w:rPr>
                <w:rFonts w:ascii="Times New Roman" w:eastAsia="Times New Roman" w:hAnsi="Times New Roman" w:cs="Times New Roman"/>
                <w:sz w:val="18"/>
                <w:szCs w:val="18"/>
              </w:rPr>
              <w:t>Nota Técnica. DTI-</w:t>
            </w:r>
            <w:r w:rsidRPr="00E97E1F">
              <w:rPr>
                <w:rFonts w:ascii="Times New Roman" w:hAnsi="Times New Roman" w:cs="Times New Roman"/>
                <w:sz w:val="18"/>
                <w:szCs w:val="18"/>
              </w:rPr>
              <w:t xml:space="preserve">CGPS - Coordenadora de Projetos e Sistemas. </w:t>
            </w:r>
          </w:p>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hAnsi="Times New Roman" w:cs="Times New Roman"/>
                <w:color w:val="000000"/>
                <w:sz w:val="18"/>
                <w:szCs w:val="18"/>
              </w:rPr>
              <w:t>Implantados os módulos de Recursos Humanos e Controle de Acesso. Módulo de Cadastro não foi desenvolvido em razão do Projeto REDESIM e o Sistema de Protocolo foi desenvolvido e ainda não implantado</w:t>
            </w:r>
          </w:p>
        </w:tc>
      </w:tr>
      <w:tr w:rsidR="00325697" w:rsidRPr="00046243" w:rsidTr="000A175D">
        <w:trPr>
          <w:gridBefore w:val="1"/>
          <w:wBefore w:w="9" w:type="dxa"/>
          <w:trHeight w:val="143"/>
        </w:trPr>
        <w:tc>
          <w:tcPr>
            <w:tcW w:w="263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27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17"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08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84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754" w:type="dxa"/>
            <w:gridSpan w:val="3"/>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4</w:t>
            </w:r>
          </w:p>
        </w:tc>
        <w:tc>
          <w:tcPr>
            <w:tcW w:w="1276" w:type="dxa"/>
            <w:vMerge/>
            <w:shd w:val="clear" w:color="auto" w:fill="FFFFFF"/>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gridBefore w:val="1"/>
          <w:wBefore w:w="9" w:type="dxa"/>
          <w:trHeight w:val="143"/>
        </w:trPr>
        <w:tc>
          <w:tcPr>
            <w:tcW w:w="2630"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27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17"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086"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845" w:type="dxa"/>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754" w:type="dxa"/>
            <w:gridSpan w:val="3"/>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b/>
                <w:sz w:val="18"/>
                <w:szCs w:val="18"/>
              </w:rPr>
            </w:pPr>
            <w:r w:rsidRPr="00046243">
              <w:rPr>
                <w:rFonts w:ascii="Times New Roman" w:eastAsia="Times New Roman" w:hAnsi="Times New Roman" w:cs="Times New Roman"/>
                <w:b/>
                <w:sz w:val="18"/>
                <w:szCs w:val="18"/>
              </w:rPr>
              <w:t>2</w:t>
            </w:r>
          </w:p>
        </w:tc>
        <w:tc>
          <w:tcPr>
            <w:tcW w:w="1276" w:type="dxa"/>
            <w:vMerge/>
            <w:shd w:val="clear" w:color="auto" w:fill="92D050"/>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shd w:val="clear" w:color="auto" w:fill="auto"/>
          </w:tcPr>
          <w:p w:rsidR="00325697" w:rsidRPr="00046243"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trHeight w:val="214"/>
        </w:trPr>
        <w:tc>
          <w:tcPr>
            <w:tcW w:w="2639" w:type="dxa"/>
            <w:gridSpan w:val="3"/>
            <w:vMerge w:val="restart"/>
            <w:tcBorders>
              <w:left w:val="single" w:sz="4" w:space="0" w:color="auto"/>
            </w:tcBorders>
            <w:shd w:val="clear" w:color="auto" w:fill="auto"/>
            <w:vAlign w:val="center"/>
          </w:tcPr>
          <w:p w:rsidR="00325697" w:rsidRPr="00046243" w:rsidRDefault="00325697" w:rsidP="009C7A21">
            <w:pPr>
              <w:pStyle w:val="PargrafodaLista"/>
              <w:numPr>
                <w:ilvl w:val="0"/>
                <w:numId w:val="9"/>
              </w:numPr>
              <w:spacing w:after="120" w:line="240" w:lineRule="auto"/>
              <w:rPr>
                <w:rFonts w:ascii="Times New Roman" w:eastAsia="Times New Roman" w:hAnsi="Times New Roman" w:cs="Times New Roman"/>
                <w:sz w:val="18"/>
                <w:szCs w:val="18"/>
              </w:rPr>
            </w:pPr>
            <w:r w:rsidRPr="00046243">
              <w:rPr>
                <w:rFonts w:ascii="Times New Roman" w:hAnsi="Times New Roman" w:cs="Times New Roman"/>
                <w:bCs/>
                <w:iCs/>
                <w:sz w:val="18"/>
                <w:szCs w:val="18"/>
              </w:rPr>
              <w:t>Programa de educação fiscal implementado</w:t>
            </w:r>
          </w:p>
        </w:tc>
        <w:tc>
          <w:tcPr>
            <w:tcW w:w="1265"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Municípios</w:t>
            </w:r>
          </w:p>
        </w:tc>
        <w:tc>
          <w:tcPr>
            <w:tcW w:w="1418"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6</w:t>
            </w:r>
          </w:p>
        </w:tc>
        <w:tc>
          <w:tcPr>
            <w:tcW w:w="1087" w:type="dxa"/>
            <w:gridSpan w:val="3"/>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2009</w:t>
            </w:r>
          </w:p>
        </w:tc>
        <w:tc>
          <w:tcPr>
            <w:tcW w:w="1854" w:type="dxa"/>
            <w:gridSpan w:val="2"/>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b/>
                <w:sz w:val="18"/>
                <w:szCs w:val="18"/>
              </w:rPr>
            </w:pP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754" w:type="dxa"/>
            <w:gridSpan w:val="3"/>
            <w:shd w:val="clear" w:color="auto" w:fill="D9D9D9"/>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val="restart"/>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Dezembro de 2014</w:t>
            </w:r>
          </w:p>
        </w:tc>
        <w:tc>
          <w:tcPr>
            <w:tcW w:w="1795" w:type="dxa"/>
            <w:gridSpan w:val="2"/>
            <w:vMerge w:val="restart"/>
            <w:tcBorders>
              <w:right w:val="single" w:sz="4" w:space="0" w:color="auto"/>
            </w:tcBorders>
            <w:shd w:val="clear" w:color="auto" w:fill="auto"/>
            <w:vAlign w:val="center"/>
          </w:tcPr>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Nota Técnica. EFAZ/ Programa de Educação Fiscal</w:t>
            </w:r>
          </w:p>
        </w:tc>
      </w:tr>
      <w:tr w:rsidR="00325697" w:rsidRPr="00046243" w:rsidTr="000A175D">
        <w:trPr>
          <w:trHeight w:val="143"/>
        </w:trPr>
        <w:tc>
          <w:tcPr>
            <w:tcW w:w="2639" w:type="dxa"/>
            <w:gridSpan w:val="3"/>
            <w:vMerge/>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265"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18"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087"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854"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754" w:type="dxa"/>
            <w:gridSpan w:val="3"/>
            <w:shd w:val="clear" w:color="auto" w:fill="auto"/>
            <w:vAlign w:val="center"/>
          </w:tcPr>
          <w:p w:rsidR="00325697" w:rsidRPr="00E97E1F" w:rsidRDefault="00325697" w:rsidP="009C7A21">
            <w:pPr>
              <w:spacing w:after="120" w:line="240" w:lineRule="auto"/>
              <w:jc w:val="center"/>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90</w:t>
            </w:r>
          </w:p>
        </w:tc>
        <w:tc>
          <w:tcPr>
            <w:tcW w:w="1276" w:type="dxa"/>
            <w:vMerge/>
            <w:tcBorders>
              <w:right w:val="single" w:sz="4" w:space="0" w:color="auto"/>
            </w:tcBorders>
            <w:shd w:val="clear" w:color="auto" w:fill="92D050"/>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tcBorders>
              <w:right w:val="single" w:sz="4" w:space="0" w:color="auto"/>
            </w:tcBorders>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trHeight w:val="143"/>
        </w:trPr>
        <w:tc>
          <w:tcPr>
            <w:tcW w:w="2639" w:type="dxa"/>
            <w:gridSpan w:val="3"/>
            <w:vMerge/>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265"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18"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087"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854"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754" w:type="dxa"/>
            <w:gridSpan w:val="3"/>
            <w:shd w:val="clear" w:color="auto" w:fill="auto"/>
            <w:vAlign w:val="center"/>
          </w:tcPr>
          <w:p w:rsidR="00325697" w:rsidRPr="00E97E1F" w:rsidRDefault="00325697" w:rsidP="009C7A21">
            <w:pPr>
              <w:spacing w:after="120" w:line="240" w:lineRule="auto"/>
              <w:jc w:val="center"/>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108</w:t>
            </w:r>
          </w:p>
        </w:tc>
        <w:tc>
          <w:tcPr>
            <w:tcW w:w="1276" w:type="dxa"/>
            <w:vMerge/>
            <w:tcBorders>
              <w:right w:val="single" w:sz="4" w:space="0" w:color="auto"/>
            </w:tcBorders>
            <w:shd w:val="clear" w:color="auto" w:fill="92D050"/>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tcBorders>
              <w:right w:val="single" w:sz="4" w:space="0" w:color="auto"/>
            </w:tcBorders>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trHeight w:val="143"/>
        </w:trPr>
        <w:tc>
          <w:tcPr>
            <w:tcW w:w="2639" w:type="dxa"/>
            <w:gridSpan w:val="3"/>
            <w:vMerge w:val="restart"/>
            <w:tcBorders>
              <w:left w:val="single" w:sz="4" w:space="0" w:color="auto"/>
            </w:tcBorders>
            <w:shd w:val="clear" w:color="auto" w:fill="auto"/>
            <w:vAlign w:val="center"/>
          </w:tcPr>
          <w:p w:rsidR="00325697" w:rsidRPr="00046243" w:rsidRDefault="00325697" w:rsidP="009C7A21">
            <w:pPr>
              <w:pStyle w:val="PargrafodaLista"/>
              <w:numPr>
                <w:ilvl w:val="0"/>
                <w:numId w:val="9"/>
              </w:numPr>
              <w:spacing w:after="120" w:line="240" w:lineRule="auto"/>
              <w:rPr>
                <w:rFonts w:ascii="Times New Roman" w:eastAsia="Times New Roman" w:hAnsi="Times New Roman" w:cs="Times New Roman"/>
                <w:sz w:val="18"/>
                <w:szCs w:val="18"/>
              </w:rPr>
            </w:pPr>
            <w:r w:rsidRPr="00046243">
              <w:rPr>
                <w:rFonts w:ascii="Times New Roman" w:hAnsi="Times New Roman" w:cs="Times New Roman"/>
                <w:bCs/>
                <w:iCs/>
                <w:sz w:val="18"/>
                <w:szCs w:val="18"/>
              </w:rPr>
              <w:t>Política</w:t>
            </w:r>
            <w:r w:rsidRPr="00046243">
              <w:rPr>
                <w:rFonts w:ascii="Times New Roman" w:eastAsia="Times New Roman" w:hAnsi="Times New Roman" w:cs="Times New Roman"/>
                <w:sz w:val="18"/>
                <w:szCs w:val="18"/>
              </w:rPr>
              <w:t xml:space="preserve"> de capacitação implementada.</w:t>
            </w:r>
          </w:p>
        </w:tc>
        <w:tc>
          <w:tcPr>
            <w:tcW w:w="1265"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Servidores capacitadas</w:t>
            </w:r>
          </w:p>
        </w:tc>
        <w:tc>
          <w:tcPr>
            <w:tcW w:w="1418" w:type="dxa"/>
            <w:gridSpan w:val="2"/>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hAnsi="Times New Roman" w:cs="Times New Roman"/>
                <w:sz w:val="18"/>
                <w:szCs w:val="18"/>
              </w:rPr>
              <w:t xml:space="preserve">478 </w:t>
            </w:r>
          </w:p>
        </w:tc>
        <w:tc>
          <w:tcPr>
            <w:tcW w:w="1087" w:type="dxa"/>
            <w:gridSpan w:val="3"/>
            <w:vMerge w:val="restart"/>
            <w:shd w:val="clear" w:color="auto" w:fill="auto"/>
            <w:vAlign w:val="center"/>
          </w:tcPr>
          <w:p w:rsidR="00325697" w:rsidRPr="00046243" w:rsidRDefault="00325697" w:rsidP="009C7A21">
            <w:pPr>
              <w:spacing w:after="120" w:line="240" w:lineRule="auto"/>
              <w:jc w:val="center"/>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2006</w:t>
            </w:r>
          </w:p>
        </w:tc>
        <w:tc>
          <w:tcPr>
            <w:tcW w:w="1854" w:type="dxa"/>
            <w:gridSpan w:val="2"/>
            <w:vMerge w:val="restart"/>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original</w:t>
            </w:r>
          </w:p>
        </w:tc>
        <w:tc>
          <w:tcPr>
            <w:tcW w:w="754" w:type="dxa"/>
            <w:gridSpan w:val="3"/>
            <w:shd w:val="clear" w:color="auto" w:fill="D9D9D9"/>
            <w:vAlign w:val="center"/>
          </w:tcPr>
          <w:p w:rsidR="00325697" w:rsidRPr="00E97E1F"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val="restart"/>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Dezembro de 2014</w:t>
            </w:r>
          </w:p>
        </w:tc>
        <w:tc>
          <w:tcPr>
            <w:tcW w:w="1795" w:type="dxa"/>
            <w:gridSpan w:val="2"/>
            <w:vMerge w:val="restart"/>
            <w:tcBorders>
              <w:right w:val="single" w:sz="4" w:space="0" w:color="auto"/>
            </w:tcBorders>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Nota Técnica. EFAZ/Capacitação</w:t>
            </w:r>
          </w:p>
        </w:tc>
      </w:tr>
      <w:tr w:rsidR="00325697" w:rsidRPr="00046243" w:rsidTr="000A175D">
        <w:trPr>
          <w:trHeight w:val="143"/>
        </w:trPr>
        <w:tc>
          <w:tcPr>
            <w:tcW w:w="2639" w:type="dxa"/>
            <w:gridSpan w:val="3"/>
            <w:vMerge/>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265"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18"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087"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854"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 xml:space="preserve">Valor revisado </w:t>
            </w:r>
          </w:p>
        </w:tc>
        <w:tc>
          <w:tcPr>
            <w:tcW w:w="754" w:type="dxa"/>
            <w:gridSpan w:val="3"/>
            <w:shd w:val="clear" w:color="auto" w:fill="auto"/>
            <w:vAlign w:val="center"/>
          </w:tcPr>
          <w:p w:rsidR="00325697" w:rsidRPr="00E97E1F" w:rsidRDefault="00325697" w:rsidP="009C7A21">
            <w:pPr>
              <w:spacing w:after="120" w:line="240" w:lineRule="auto"/>
              <w:jc w:val="center"/>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960</w:t>
            </w:r>
          </w:p>
        </w:tc>
        <w:tc>
          <w:tcPr>
            <w:tcW w:w="1276" w:type="dxa"/>
            <w:vMerge/>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tcBorders>
              <w:right w:val="single" w:sz="4" w:space="0" w:color="auto"/>
            </w:tcBorders>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rPr>
            </w:pPr>
          </w:p>
        </w:tc>
      </w:tr>
      <w:tr w:rsidR="00325697" w:rsidRPr="00046243" w:rsidTr="000A175D">
        <w:trPr>
          <w:trHeight w:val="143"/>
        </w:trPr>
        <w:tc>
          <w:tcPr>
            <w:tcW w:w="2639" w:type="dxa"/>
            <w:gridSpan w:val="3"/>
            <w:vMerge/>
            <w:tcBorders>
              <w:lef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265"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18"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087" w:type="dxa"/>
            <w:gridSpan w:val="3"/>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854" w:type="dxa"/>
            <w:gridSpan w:val="2"/>
            <w:vMerge/>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highlight w:val="yellow"/>
              </w:rPr>
            </w:pPr>
          </w:p>
        </w:tc>
        <w:tc>
          <w:tcPr>
            <w:tcW w:w="1421" w:type="dxa"/>
            <w:gridSpan w:val="2"/>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r w:rsidRPr="00046243">
              <w:rPr>
                <w:rFonts w:ascii="Times New Roman" w:eastAsia="Times New Roman" w:hAnsi="Times New Roman" w:cs="Times New Roman"/>
                <w:sz w:val="18"/>
                <w:szCs w:val="18"/>
              </w:rPr>
              <w:t>Valor alcançado</w:t>
            </w:r>
          </w:p>
        </w:tc>
        <w:tc>
          <w:tcPr>
            <w:tcW w:w="754" w:type="dxa"/>
            <w:gridSpan w:val="3"/>
            <w:shd w:val="clear" w:color="auto" w:fill="auto"/>
            <w:vAlign w:val="center"/>
          </w:tcPr>
          <w:p w:rsidR="00325697" w:rsidRPr="00E97E1F" w:rsidRDefault="00325697" w:rsidP="009C7A21">
            <w:pPr>
              <w:spacing w:after="120" w:line="240" w:lineRule="auto"/>
              <w:jc w:val="center"/>
              <w:rPr>
                <w:rFonts w:ascii="Times New Roman" w:eastAsia="Times New Roman" w:hAnsi="Times New Roman" w:cs="Times New Roman"/>
                <w:sz w:val="18"/>
                <w:szCs w:val="18"/>
              </w:rPr>
            </w:pPr>
            <w:r w:rsidRPr="00E97E1F">
              <w:rPr>
                <w:rFonts w:ascii="Times New Roman" w:eastAsia="Times New Roman" w:hAnsi="Times New Roman" w:cs="Times New Roman"/>
                <w:sz w:val="18"/>
                <w:szCs w:val="18"/>
              </w:rPr>
              <w:t>1498</w:t>
            </w:r>
          </w:p>
        </w:tc>
        <w:tc>
          <w:tcPr>
            <w:tcW w:w="1276" w:type="dxa"/>
            <w:vMerge/>
            <w:tcBorders>
              <w:right w:val="single" w:sz="4" w:space="0" w:color="auto"/>
            </w:tcBorders>
            <w:shd w:val="clear" w:color="auto" w:fill="auto"/>
            <w:vAlign w:val="center"/>
          </w:tcPr>
          <w:p w:rsidR="00325697" w:rsidRPr="00046243"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tcBorders>
              <w:right w:val="single" w:sz="4" w:space="0" w:color="auto"/>
            </w:tcBorders>
            <w:shd w:val="clear" w:color="auto" w:fill="auto"/>
          </w:tcPr>
          <w:p w:rsidR="00325697" w:rsidRPr="00E97E1F" w:rsidRDefault="00325697" w:rsidP="009C7A21">
            <w:pPr>
              <w:spacing w:after="120" w:line="240" w:lineRule="auto"/>
              <w:rPr>
                <w:rFonts w:ascii="Times New Roman" w:eastAsia="Times New Roman" w:hAnsi="Times New Roman" w:cs="Times New Roman"/>
                <w:sz w:val="18"/>
                <w:szCs w:val="18"/>
              </w:rPr>
            </w:pPr>
          </w:p>
        </w:tc>
      </w:tr>
      <w:tr w:rsidR="00325697" w:rsidRPr="00F50FE7" w:rsidTr="000A175D">
        <w:trPr>
          <w:trHeight w:val="143"/>
        </w:trPr>
        <w:tc>
          <w:tcPr>
            <w:tcW w:w="2639" w:type="dxa"/>
            <w:gridSpan w:val="3"/>
            <w:vMerge w:val="restart"/>
            <w:tcBorders>
              <w:top w:val="single" w:sz="4" w:space="0" w:color="auto"/>
              <w:left w:val="single" w:sz="4" w:space="0" w:color="auto"/>
              <w:right w:val="single" w:sz="4" w:space="0" w:color="auto"/>
            </w:tcBorders>
            <w:shd w:val="clear" w:color="auto" w:fill="auto"/>
            <w:vAlign w:val="center"/>
          </w:tcPr>
          <w:p w:rsidR="00325697" w:rsidRPr="00F50FE7" w:rsidRDefault="00325697" w:rsidP="009C7A21">
            <w:pPr>
              <w:pStyle w:val="PargrafodaLista"/>
              <w:numPr>
                <w:ilvl w:val="0"/>
                <w:numId w:val="9"/>
              </w:numPr>
              <w:spacing w:after="120" w:line="240" w:lineRule="auto"/>
              <w:rPr>
                <w:rFonts w:ascii="Times New Roman" w:eastAsia="Times New Roman" w:hAnsi="Times New Roman" w:cs="Times New Roman"/>
                <w:sz w:val="18"/>
                <w:szCs w:val="18"/>
              </w:rPr>
            </w:pPr>
            <w:r w:rsidRPr="00F50FE7">
              <w:rPr>
                <w:rFonts w:ascii="Times New Roman" w:hAnsi="Times New Roman" w:cs="Times New Roman"/>
                <w:bCs/>
                <w:iCs/>
                <w:sz w:val="18"/>
                <w:szCs w:val="18"/>
              </w:rPr>
              <w:t>Infraestrutura</w:t>
            </w:r>
            <w:r w:rsidRPr="00F50FE7">
              <w:rPr>
                <w:rFonts w:ascii="Times New Roman" w:eastAsia="Times New Roman" w:hAnsi="Times New Roman" w:cs="Times New Roman"/>
                <w:sz w:val="18"/>
                <w:szCs w:val="18"/>
              </w:rPr>
              <w:t xml:space="preserve"> de tecnologia para suporte e apoio à gestão fiscal implementada </w:t>
            </w:r>
            <w:r w:rsidRPr="00F50FE7">
              <w:rPr>
                <w:rFonts w:ascii="Times New Roman" w:eastAsia="Times New Roman" w:hAnsi="Times New Roman" w:cs="Times New Roman"/>
                <w:sz w:val="18"/>
                <w:szCs w:val="18"/>
              </w:rPr>
              <w:lastRenderedPageBreak/>
              <w:t>(Ressarcimento).</w:t>
            </w:r>
          </w:p>
        </w:tc>
        <w:tc>
          <w:tcPr>
            <w:tcW w:w="1265" w:type="dxa"/>
            <w:gridSpan w:val="2"/>
            <w:vMerge w:val="restart"/>
            <w:tcBorders>
              <w:top w:val="single" w:sz="4" w:space="0" w:color="auto"/>
              <w:left w:val="single" w:sz="4" w:space="0" w:color="auto"/>
              <w:right w:val="single" w:sz="4" w:space="0" w:color="auto"/>
            </w:tcBorders>
            <w:shd w:val="clear" w:color="auto" w:fill="D9D9D9"/>
            <w:vAlign w:val="center"/>
          </w:tcPr>
          <w:p w:rsidR="00325697" w:rsidRPr="00F50FE7" w:rsidRDefault="00325697" w:rsidP="009C7A21">
            <w:pPr>
              <w:spacing w:after="120" w:line="240" w:lineRule="auto"/>
              <w:rPr>
                <w:rFonts w:ascii="Times New Roman" w:eastAsia="Times New Roman" w:hAnsi="Times New Roman" w:cs="Times New Roman"/>
                <w:sz w:val="18"/>
                <w:szCs w:val="18"/>
                <w:highlight w:val="yellow"/>
              </w:rPr>
            </w:pPr>
          </w:p>
        </w:tc>
        <w:tc>
          <w:tcPr>
            <w:tcW w:w="1418" w:type="dxa"/>
            <w:gridSpan w:val="2"/>
            <w:vMerge w:val="restart"/>
            <w:tcBorders>
              <w:top w:val="single" w:sz="4" w:space="0" w:color="auto"/>
              <w:left w:val="single" w:sz="4" w:space="0" w:color="auto"/>
              <w:right w:val="single" w:sz="4" w:space="0" w:color="auto"/>
            </w:tcBorders>
            <w:shd w:val="clear" w:color="auto" w:fill="D9D9D9"/>
            <w:vAlign w:val="center"/>
          </w:tcPr>
          <w:p w:rsidR="00325697" w:rsidRPr="00F50FE7" w:rsidRDefault="00325697" w:rsidP="009C7A21">
            <w:pPr>
              <w:spacing w:after="120" w:line="240" w:lineRule="auto"/>
              <w:rPr>
                <w:rFonts w:ascii="Times New Roman" w:eastAsia="Times New Roman" w:hAnsi="Times New Roman" w:cs="Times New Roman"/>
                <w:sz w:val="18"/>
                <w:szCs w:val="18"/>
                <w:highlight w:val="yellow"/>
              </w:rPr>
            </w:pPr>
          </w:p>
        </w:tc>
        <w:tc>
          <w:tcPr>
            <w:tcW w:w="1087" w:type="dxa"/>
            <w:gridSpan w:val="3"/>
            <w:vMerge w:val="restart"/>
            <w:tcBorders>
              <w:top w:val="single" w:sz="4" w:space="0" w:color="auto"/>
              <w:left w:val="single" w:sz="4" w:space="0" w:color="auto"/>
              <w:right w:val="single" w:sz="4" w:space="0" w:color="auto"/>
            </w:tcBorders>
            <w:shd w:val="clear" w:color="auto" w:fill="D9D9D9"/>
            <w:vAlign w:val="center"/>
          </w:tcPr>
          <w:p w:rsidR="00325697" w:rsidRPr="00F50FE7" w:rsidRDefault="00325697" w:rsidP="009C7A21">
            <w:pPr>
              <w:spacing w:after="120" w:line="240" w:lineRule="auto"/>
              <w:rPr>
                <w:rFonts w:ascii="Times New Roman" w:eastAsia="Times New Roman" w:hAnsi="Times New Roman" w:cs="Times New Roman"/>
                <w:sz w:val="18"/>
                <w:szCs w:val="18"/>
                <w:highlight w:val="yellow"/>
              </w:rPr>
            </w:pPr>
          </w:p>
        </w:tc>
        <w:tc>
          <w:tcPr>
            <w:tcW w:w="1854" w:type="dxa"/>
            <w:gridSpan w:val="2"/>
            <w:vMerge w:val="restart"/>
            <w:tcBorders>
              <w:top w:val="single" w:sz="4" w:space="0" w:color="auto"/>
              <w:left w:val="single" w:sz="4" w:space="0" w:color="auto"/>
              <w:right w:val="single" w:sz="4" w:space="0" w:color="auto"/>
            </w:tcBorders>
            <w:shd w:val="clear" w:color="auto" w:fill="D9D9D9"/>
            <w:vAlign w:val="center"/>
          </w:tcPr>
          <w:p w:rsidR="00325697" w:rsidRPr="00F50FE7" w:rsidRDefault="00325697" w:rsidP="009C7A21">
            <w:pPr>
              <w:spacing w:after="120" w:line="240" w:lineRule="auto"/>
              <w:rPr>
                <w:rFonts w:ascii="Times New Roman" w:eastAsia="Times New Roman" w:hAnsi="Times New Roman" w:cs="Times New Roman"/>
                <w:sz w:val="18"/>
                <w:szCs w:val="18"/>
                <w:highlight w:val="yellow"/>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97" w:rsidRPr="00F50FE7" w:rsidRDefault="00325697" w:rsidP="009C7A21">
            <w:pPr>
              <w:spacing w:after="120" w:line="240" w:lineRule="auto"/>
              <w:rPr>
                <w:rFonts w:ascii="Times New Roman" w:eastAsia="Times New Roman" w:hAnsi="Times New Roman" w:cs="Times New Roman"/>
                <w:sz w:val="18"/>
                <w:szCs w:val="18"/>
              </w:rPr>
            </w:pPr>
            <w:r w:rsidRPr="00F50FE7">
              <w:rPr>
                <w:rFonts w:ascii="Times New Roman" w:eastAsia="Times New Roman" w:hAnsi="Times New Roman" w:cs="Times New Roman"/>
                <w:sz w:val="18"/>
                <w:szCs w:val="18"/>
              </w:rPr>
              <w:t>Valor original</w:t>
            </w:r>
          </w:p>
        </w:tc>
        <w:tc>
          <w:tcPr>
            <w:tcW w:w="75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25697" w:rsidRPr="00F50FE7"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val="restart"/>
            <w:tcBorders>
              <w:top w:val="single" w:sz="4" w:space="0" w:color="auto"/>
              <w:left w:val="single" w:sz="4" w:space="0" w:color="auto"/>
              <w:right w:val="single" w:sz="4" w:space="0" w:color="auto"/>
            </w:tcBorders>
            <w:shd w:val="clear" w:color="auto" w:fill="D9D9D9"/>
            <w:vAlign w:val="center"/>
          </w:tcPr>
          <w:p w:rsidR="00325697" w:rsidRPr="00F50FE7"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val="restart"/>
            <w:tcBorders>
              <w:top w:val="single" w:sz="4" w:space="0" w:color="auto"/>
              <w:left w:val="single" w:sz="4" w:space="0" w:color="auto"/>
              <w:right w:val="single" w:sz="4" w:space="0" w:color="auto"/>
            </w:tcBorders>
            <w:shd w:val="clear" w:color="auto" w:fill="auto"/>
          </w:tcPr>
          <w:p w:rsidR="00325697" w:rsidRPr="00E97E1F" w:rsidRDefault="00325697" w:rsidP="00F50FE7">
            <w:pPr>
              <w:spacing w:after="120" w:line="240" w:lineRule="auto"/>
              <w:rPr>
                <w:rFonts w:ascii="Times New Roman" w:eastAsia="Times New Roman" w:hAnsi="Times New Roman" w:cs="Times New Roman"/>
                <w:sz w:val="18"/>
                <w:szCs w:val="18"/>
                <w:highlight w:val="green"/>
              </w:rPr>
            </w:pPr>
            <w:r w:rsidRPr="00E97E1F">
              <w:rPr>
                <w:rFonts w:ascii="Times New Roman" w:eastAsia="Times New Roman" w:hAnsi="Times New Roman" w:cs="Times New Roman"/>
                <w:sz w:val="18"/>
                <w:szCs w:val="18"/>
              </w:rPr>
              <w:t xml:space="preserve">A Nota técnica da DTI especifica esses </w:t>
            </w:r>
            <w:r w:rsidRPr="00E97E1F">
              <w:rPr>
                <w:rFonts w:ascii="Times New Roman" w:eastAsia="Times New Roman" w:hAnsi="Times New Roman" w:cs="Times New Roman"/>
                <w:sz w:val="18"/>
                <w:szCs w:val="18"/>
              </w:rPr>
              <w:lastRenderedPageBreak/>
              <w:t>investimentos</w:t>
            </w:r>
          </w:p>
        </w:tc>
      </w:tr>
      <w:tr w:rsidR="00325697" w:rsidRPr="00F50FE7" w:rsidTr="000A175D">
        <w:trPr>
          <w:trHeight w:val="143"/>
        </w:trPr>
        <w:tc>
          <w:tcPr>
            <w:tcW w:w="2639" w:type="dxa"/>
            <w:gridSpan w:val="3"/>
            <w:vMerge/>
            <w:tcBorders>
              <w:left w:val="single" w:sz="4" w:space="0" w:color="auto"/>
              <w:right w:val="single" w:sz="4" w:space="0" w:color="auto"/>
            </w:tcBorders>
            <w:shd w:val="clear" w:color="auto" w:fill="auto"/>
            <w:vAlign w:val="center"/>
          </w:tcPr>
          <w:p w:rsidR="00325697" w:rsidRPr="00F50FE7" w:rsidRDefault="00325697" w:rsidP="009C7A21">
            <w:pPr>
              <w:spacing w:after="120" w:line="240" w:lineRule="auto"/>
              <w:rPr>
                <w:rFonts w:ascii="Times New Roman" w:eastAsia="Times New Roman" w:hAnsi="Times New Roman" w:cs="Times New Roman"/>
                <w:sz w:val="18"/>
                <w:szCs w:val="18"/>
                <w:highlight w:val="yellow"/>
              </w:rPr>
            </w:pPr>
          </w:p>
        </w:tc>
        <w:tc>
          <w:tcPr>
            <w:tcW w:w="1265" w:type="dxa"/>
            <w:gridSpan w:val="2"/>
            <w:vMerge/>
            <w:tcBorders>
              <w:left w:val="single" w:sz="4" w:space="0" w:color="auto"/>
              <w:right w:val="single" w:sz="4" w:space="0" w:color="auto"/>
            </w:tcBorders>
            <w:shd w:val="clear" w:color="auto" w:fill="D9D9D9"/>
            <w:vAlign w:val="center"/>
          </w:tcPr>
          <w:p w:rsidR="00325697" w:rsidRPr="00F50FE7" w:rsidRDefault="00325697" w:rsidP="009C7A21">
            <w:pPr>
              <w:spacing w:after="120" w:line="240" w:lineRule="auto"/>
              <w:rPr>
                <w:rFonts w:ascii="Times New Roman" w:eastAsia="Times New Roman" w:hAnsi="Times New Roman" w:cs="Times New Roman"/>
                <w:sz w:val="18"/>
                <w:szCs w:val="18"/>
                <w:highlight w:val="yellow"/>
              </w:rPr>
            </w:pPr>
          </w:p>
        </w:tc>
        <w:tc>
          <w:tcPr>
            <w:tcW w:w="1418" w:type="dxa"/>
            <w:gridSpan w:val="2"/>
            <w:vMerge/>
            <w:tcBorders>
              <w:left w:val="single" w:sz="4" w:space="0" w:color="auto"/>
              <w:right w:val="single" w:sz="4" w:space="0" w:color="auto"/>
            </w:tcBorders>
            <w:shd w:val="clear" w:color="auto" w:fill="D9D9D9"/>
            <w:vAlign w:val="center"/>
          </w:tcPr>
          <w:p w:rsidR="00325697" w:rsidRPr="00F50FE7" w:rsidRDefault="00325697" w:rsidP="009C7A21">
            <w:pPr>
              <w:spacing w:after="120" w:line="240" w:lineRule="auto"/>
              <w:rPr>
                <w:rFonts w:ascii="Times New Roman" w:eastAsia="Times New Roman" w:hAnsi="Times New Roman" w:cs="Times New Roman"/>
                <w:sz w:val="18"/>
                <w:szCs w:val="18"/>
                <w:highlight w:val="yellow"/>
              </w:rPr>
            </w:pPr>
          </w:p>
        </w:tc>
        <w:tc>
          <w:tcPr>
            <w:tcW w:w="1087" w:type="dxa"/>
            <w:gridSpan w:val="3"/>
            <w:vMerge/>
            <w:tcBorders>
              <w:left w:val="single" w:sz="4" w:space="0" w:color="auto"/>
              <w:right w:val="single" w:sz="4" w:space="0" w:color="auto"/>
            </w:tcBorders>
            <w:shd w:val="clear" w:color="auto" w:fill="D9D9D9"/>
            <w:vAlign w:val="center"/>
          </w:tcPr>
          <w:p w:rsidR="00325697" w:rsidRPr="00F50FE7" w:rsidRDefault="00325697" w:rsidP="009C7A21">
            <w:pPr>
              <w:spacing w:after="120" w:line="240" w:lineRule="auto"/>
              <w:rPr>
                <w:rFonts w:ascii="Times New Roman" w:eastAsia="Times New Roman" w:hAnsi="Times New Roman" w:cs="Times New Roman"/>
                <w:sz w:val="18"/>
                <w:szCs w:val="18"/>
                <w:highlight w:val="yellow"/>
              </w:rPr>
            </w:pPr>
          </w:p>
        </w:tc>
        <w:tc>
          <w:tcPr>
            <w:tcW w:w="1854" w:type="dxa"/>
            <w:gridSpan w:val="2"/>
            <w:vMerge/>
            <w:tcBorders>
              <w:left w:val="single" w:sz="4" w:space="0" w:color="auto"/>
              <w:right w:val="single" w:sz="4" w:space="0" w:color="auto"/>
            </w:tcBorders>
            <w:shd w:val="clear" w:color="auto" w:fill="D9D9D9"/>
            <w:vAlign w:val="center"/>
          </w:tcPr>
          <w:p w:rsidR="00325697" w:rsidRPr="00F50FE7" w:rsidRDefault="00325697" w:rsidP="009C7A21">
            <w:pPr>
              <w:spacing w:after="120" w:line="240" w:lineRule="auto"/>
              <w:rPr>
                <w:rFonts w:ascii="Times New Roman" w:eastAsia="Times New Roman" w:hAnsi="Times New Roman" w:cs="Times New Roman"/>
                <w:sz w:val="18"/>
                <w:szCs w:val="18"/>
                <w:highlight w:val="yellow"/>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97" w:rsidRPr="00F50FE7" w:rsidRDefault="00325697" w:rsidP="009C7A21">
            <w:pPr>
              <w:spacing w:after="120" w:line="240" w:lineRule="auto"/>
              <w:rPr>
                <w:rFonts w:ascii="Times New Roman" w:eastAsia="Times New Roman" w:hAnsi="Times New Roman" w:cs="Times New Roman"/>
                <w:sz w:val="18"/>
                <w:szCs w:val="18"/>
              </w:rPr>
            </w:pPr>
            <w:r w:rsidRPr="00F50FE7">
              <w:rPr>
                <w:rFonts w:ascii="Times New Roman" w:eastAsia="Times New Roman" w:hAnsi="Times New Roman" w:cs="Times New Roman"/>
                <w:sz w:val="18"/>
                <w:szCs w:val="18"/>
              </w:rPr>
              <w:t xml:space="preserve">Valor revisado </w:t>
            </w:r>
          </w:p>
        </w:tc>
        <w:tc>
          <w:tcPr>
            <w:tcW w:w="75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25697" w:rsidRPr="00F50FE7"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tcBorders>
              <w:left w:val="single" w:sz="4" w:space="0" w:color="auto"/>
              <w:right w:val="single" w:sz="4" w:space="0" w:color="auto"/>
            </w:tcBorders>
            <w:shd w:val="clear" w:color="auto" w:fill="D9D9D9"/>
            <w:vAlign w:val="center"/>
          </w:tcPr>
          <w:p w:rsidR="00325697" w:rsidRPr="00F50FE7"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tcBorders>
              <w:left w:val="single" w:sz="4" w:space="0" w:color="auto"/>
              <w:right w:val="single" w:sz="4" w:space="0" w:color="auto"/>
            </w:tcBorders>
            <w:shd w:val="clear" w:color="auto" w:fill="auto"/>
          </w:tcPr>
          <w:p w:rsidR="00325697" w:rsidRPr="00F50FE7" w:rsidRDefault="00325697" w:rsidP="009C7A21">
            <w:pPr>
              <w:spacing w:after="120" w:line="240" w:lineRule="auto"/>
              <w:rPr>
                <w:rFonts w:ascii="Times New Roman" w:eastAsia="Times New Roman" w:hAnsi="Times New Roman" w:cs="Times New Roman"/>
                <w:sz w:val="18"/>
                <w:szCs w:val="18"/>
              </w:rPr>
            </w:pPr>
          </w:p>
        </w:tc>
      </w:tr>
      <w:tr w:rsidR="00325697" w:rsidRPr="00F50FE7" w:rsidTr="000A175D">
        <w:trPr>
          <w:trHeight w:val="143"/>
        </w:trPr>
        <w:tc>
          <w:tcPr>
            <w:tcW w:w="2639" w:type="dxa"/>
            <w:gridSpan w:val="3"/>
            <w:vMerge/>
            <w:tcBorders>
              <w:left w:val="single" w:sz="4" w:space="0" w:color="auto"/>
              <w:bottom w:val="single" w:sz="4" w:space="0" w:color="auto"/>
              <w:right w:val="single" w:sz="4" w:space="0" w:color="auto"/>
            </w:tcBorders>
            <w:shd w:val="clear" w:color="auto" w:fill="auto"/>
            <w:vAlign w:val="center"/>
          </w:tcPr>
          <w:p w:rsidR="00325697" w:rsidRPr="00F50FE7" w:rsidRDefault="00325697" w:rsidP="009C7A21">
            <w:pPr>
              <w:spacing w:after="120" w:line="240" w:lineRule="auto"/>
              <w:rPr>
                <w:rFonts w:ascii="Times New Roman" w:eastAsia="Times New Roman" w:hAnsi="Times New Roman" w:cs="Times New Roman"/>
                <w:sz w:val="18"/>
                <w:szCs w:val="18"/>
                <w:highlight w:val="yellow"/>
              </w:rPr>
            </w:pPr>
          </w:p>
        </w:tc>
        <w:tc>
          <w:tcPr>
            <w:tcW w:w="1265" w:type="dxa"/>
            <w:gridSpan w:val="2"/>
            <w:vMerge/>
            <w:tcBorders>
              <w:left w:val="single" w:sz="4" w:space="0" w:color="auto"/>
              <w:bottom w:val="single" w:sz="4" w:space="0" w:color="auto"/>
              <w:right w:val="single" w:sz="4" w:space="0" w:color="auto"/>
            </w:tcBorders>
            <w:shd w:val="clear" w:color="auto" w:fill="D9D9D9"/>
            <w:vAlign w:val="center"/>
          </w:tcPr>
          <w:p w:rsidR="00325697" w:rsidRPr="00F50FE7" w:rsidRDefault="00325697" w:rsidP="009C7A21">
            <w:pPr>
              <w:spacing w:after="120" w:line="240" w:lineRule="auto"/>
              <w:rPr>
                <w:rFonts w:ascii="Times New Roman" w:eastAsia="Times New Roman" w:hAnsi="Times New Roman" w:cs="Times New Roman"/>
                <w:sz w:val="18"/>
                <w:szCs w:val="18"/>
                <w:highlight w:val="yellow"/>
              </w:rPr>
            </w:pPr>
          </w:p>
        </w:tc>
        <w:tc>
          <w:tcPr>
            <w:tcW w:w="1418" w:type="dxa"/>
            <w:gridSpan w:val="2"/>
            <w:vMerge/>
            <w:tcBorders>
              <w:left w:val="single" w:sz="4" w:space="0" w:color="auto"/>
              <w:bottom w:val="single" w:sz="4" w:space="0" w:color="auto"/>
              <w:right w:val="single" w:sz="4" w:space="0" w:color="auto"/>
            </w:tcBorders>
            <w:shd w:val="clear" w:color="auto" w:fill="D9D9D9"/>
            <w:vAlign w:val="center"/>
          </w:tcPr>
          <w:p w:rsidR="00325697" w:rsidRPr="00F50FE7" w:rsidRDefault="00325697" w:rsidP="009C7A21">
            <w:pPr>
              <w:spacing w:after="120" w:line="240" w:lineRule="auto"/>
              <w:rPr>
                <w:rFonts w:ascii="Times New Roman" w:eastAsia="Times New Roman" w:hAnsi="Times New Roman" w:cs="Times New Roman"/>
                <w:sz w:val="18"/>
                <w:szCs w:val="18"/>
                <w:highlight w:val="yellow"/>
              </w:rPr>
            </w:pPr>
          </w:p>
        </w:tc>
        <w:tc>
          <w:tcPr>
            <w:tcW w:w="1087" w:type="dxa"/>
            <w:gridSpan w:val="3"/>
            <w:vMerge/>
            <w:tcBorders>
              <w:left w:val="single" w:sz="4" w:space="0" w:color="auto"/>
              <w:bottom w:val="single" w:sz="4" w:space="0" w:color="auto"/>
              <w:right w:val="single" w:sz="4" w:space="0" w:color="auto"/>
            </w:tcBorders>
            <w:shd w:val="clear" w:color="auto" w:fill="D9D9D9"/>
            <w:vAlign w:val="center"/>
          </w:tcPr>
          <w:p w:rsidR="00325697" w:rsidRPr="00F50FE7" w:rsidRDefault="00325697" w:rsidP="009C7A21">
            <w:pPr>
              <w:spacing w:after="120" w:line="240" w:lineRule="auto"/>
              <w:rPr>
                <w:rFonts w:ascii="Times New Roman" w:eastAsia="Times New Roman" w:hAnsi="Times New Roman" w:cs="Times New Roman"/>
                <w:sz w:val="18"/>
                <w:szCs w:val="18"/>
                <w:highlight w:val="yellow"/>
              </w:rPr>
            </w:pPr>
          </w:p>
        </w:tc>
        <w:tc>
          <w:tcPr>
            <w:tcW w:w="1854" w:type="dxa"/>
            <w:gridSpan w:val="2"/>
            <w:vMerge/>
            <w:tcBorders>
              <w:left w:val="single" w:sz="4" w:space="0" w:color="auto"/>
              <w:bottom w:val="single" w:sz="4" w:space="0" w:color="auto"/>
              <w:right w:val="single" w:sz="4" w:space="0" w:color="auto"/>
            </w:tcBorders>
            <w:shd w:val="clear" w:color="auto" w:fill="D9D9D9"/>
            <w:vAlign w:val="center"/>
          </w:tcPr>
          <w:p w:rsidR="00325697" w:rsidRPr="00F50FE7" w:rsidRDefault="00325697" w:rsidP="009C7A21">
            <w:pPr>
              <w:spacing w:after="120" w:line="240" w:lineRule="auto"/>
              <w:rPr>
                <w:rFonts w:ascii="Times New Roman" w:eastAsia="Times New Roman" w:hAnsi="Times New Roman" w:cs="Times New Roman"/>
                <w:sz w:val="18"/>
                <w:szCs w:val="18"/>
                <w:highlight w:val="yellow"/>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97" w:rsidRPr="00F50FE7" w:rsidRDefault="00325697" w:rsidP="009C7A21">
            <w:pPr>
              <w:spacing w:after="120" w:line="240" w:lineRule="auto"/>
              <w:rPr>
                <w:rFonts w:ascii="Times New Roman" w:eastAsia="Times New Roman" w:hAnsi="Times New Roman" w:cs="Times New Roman"/>
                <w:sz w:val="18"/>
                <w:szCs w:val="18"/>
              </w:rPr>
            </w:pPr>
            <w:r w:rsidRPr="00F50FE7">
              <w:rPr>
                <w:rFonts w:ascii="Times New Roman" w:eastAsia="Times New Roman" w:hAnsi="Times New Roman" w:cs="Times New Roman"/>
                <w:sz w:val="18"/>
                <w:szCs w:val="18"/>
              </w:rPr>
              <w:t>Valor alcançado</w:t>
            </w:r>
          </w:p>
        </w:tc>
        <w:tc>
          <w:tcPr>
            <w:tcW w:w="75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25697" w:rsidRPr="00F50FE7" w:rsidRDefault="00325697" w:rsidP="009C7A21">
            <w:pPr>
              <w:spacing w:after="120" w:line="240" w:lineRule="auto"/>
              <w:jc w:val="center"/>
              <w:rPr>
                <w:rFonts w:ascii="Times New Roman" w:eastAsia="Times New Roman" w:hAnsi="Times New Roman" w:cs="Times New Roman"/>
                <w:sz w:val="18"/>
                <w:szCs w:val="18"/>
              </w:rPr>
            </w:pPr>
          </w:p>
        </w:tc>
        <w:tc>
          <w:tcPr>
            <w:tcW w:w="1276" w:type="dxa"/>
            <w:vMerge/>
            <w:tcBorders>
              <w:left w:val="single" w:sz="4" w:space="0" w:color="auto"/>
              <w:bottom w:val="single" w:sz="4" w:space="0" w:color="auto"/>
              <w:right w:val="single" w:sz="4" w:space="0" w:color="auto"/>
            </w:tcBorders>
            <w:shd w:val="clear" w:color="auto" w:fill="D9D9D9"/>
            <w:vAlign w:val="center"/>
          </w:tcPr>
          <w:p w:rsidR="00325697" w:rsidRPr="00F50FE7" w:rsidRDefault="00325697" w:rsidP="009C7A21">
            <w:pPr>
              <w:spacing w:after="120" w:line="240" w:lineRule="auto"/>
              <w:rPr>
                <w:rFonts w:ascii="Times New Roman" w:eastAsia="Times New Roman" w:hAnsi="Times New Roman" w:cs="Times New Roman"/>
                <w:sz w:val="18"/>
                <w:szCs w:val="18"/>
              </w:rPr>
            </w:pPr>
          </w:p>
        </w:tc>
        <w:tc>
          <w:tcPr>
            <w:tcW w:w="1795" w:type="dxa"/>
            <w:gridSpan w:val="2"/>
            <w:vMerge/>
            <w:tcBorders>
              <w:left w:val="single" w:sz="4" w:space="0" w:color="auto"/>
              <w:bottom w:val="single" w:sz="4" w:space="0" w:color="auto"/>
              <w:right w:val="single" w:sz="4" w:space="0" w:color="auto"/>
            </w:tcBorders>
            <w:shd w:val="clear" w:color="auto" w:fill="auto"/>
          </w:tcPr>
          <w:p w:rsidR="00325697" w:rsidRPr="00F50FE7" w:rsidRDefault="00325697" w:rsidP="009C7A21">
            <w:pPr>
              <w:spacing w:after="120" w:line="240" w:lineRule="auto"/>
              <w:rPr>
                <w:rFonts w:ascii="Times New Roman" w:eastAsia="Times New Roman" w:hAnsi="Times New Roman" w:cs="Times New Roman"/>
                <w:sz w:val="18"/>
                <w:szCs w:val="18"/>
              </w:rPr>
            </w:pPr>
          </w:p>
        </w:tc>
      </w:tr>
    </w:tbl>
    <w:p w:rsidR="0049081D" w:rsidRPr="00046243" w:rsidRDefault="0049081D" w:rsidP="009C7A21">
      <w:pPr>
        <w:spacing w:after="240" w:line="240" w:lineRule="auto"/>
        <w:jc w:val="both"/>
        <w:rPr>
          <w:rFonts w:ascii="Times New Roman" w:hAnsi="Times New Roman" w:cs="Times New Roman"/>
          <w:sz w:val="24"/>
          <w:szCs w:val="24"/>
        </w:rPr>
      </w:pPr>
    </w:p>
    <w:p w:rsidR="00D41459" w:rsidRPr="00046243" w:rsidRDefault="00D41459" w:rsidP="009C7A21">
      <w:pPr>
        <w:spacing w:after="240" w:line="240" w:lineRule="auto"/>
        <w:rPr>
          <w:rFonts w:ascii="Times New Roman" w:hAnsi="Times New Roman" w:cs="Times New Roman"/>
          <w:sz w:val="24"/>
          <w:szCs w:val="24"/>
        </w:rPr>
        <w:sectPr w:rsidR="00D41459" w:rsidRPr="00046243" w:rsidSect="00D41459">
          <w:pgSz w:w="15840" w:h="12240" w:orient="landscape"/>
          <w:pgMar w:top="1440" w:right="1440" w:bottom="1440" w:left="1440" w:header="720" w:footer="720" w:gutter="0"/>
          <w:cols w:space="720"/>
          <w:docGrid w:linePitch="360"/>
        </w:sectPr>
      </w:pPr>
    </w:p>
    <w:p w:rsidR="00150CAF" w:rsidRPr="00046243" w:rsidRDefault="00150CAF" w:rsidP="009C7A21">
      <w:pPr>
        <w:spacing w:after="240" w:line="240" w:lineRule="auto"/>
        <w:rPr>
          <w:rFonts w:ascii="Times New Roman" w:hAnsi="Times New Roman" w:cs="Times New Roman"/>
          <w:sz w:val="24"/>
          <w:szCs w:val="24"/>
        </w:rPr>
      </w:pPr>
    </w:p>
    <w:p w:rsidR="007D46B3" w:rsidRPr="002F4F97" w:rsidRDefault="002F4F97" w:rsidP="002F4F97">
      <w:pPr>
        <w:pStyle w:val="Ttulo3"/>
        <w:spacing w:after="240" w:line="240" w:lineRule="auto"/>
        <w:ind w:left="1800"/>
        <w:rPr>
          <w:rFonts w:ascii="Times New Roman" w:hAnsi="Times New Roman" w:cs="Times New Roman"/>
          <w:color w:val="auto"/>
          <w:sz w:val="24"/>
          <w:szCs w:val="24"/>
        </w:rPr>
      </w:pPr>
      <w:bookmarkStart w:id="10" w:name="_Toc431190862"/>
      <w:r>
        <w:rPr>
          <w:rFonts w:ascii="Times New Roman" w:hAnsi="Times New Roman" w:cs="Times New Roman"/>
          <w:color w:val="auto"/>
          <w:sz w:val="24"/>
          <w:szCs w:val="24"/>
        </w:rPr>
        <w:t xml:space="preserve">c. </w:t>
      </w:r>
      <w:r w:rsidR="007D46B3" w:rsidRPr="002F4F97">
        <w:rPr>
          <w:rFonts w:ascii="Times New Roman" w:hAnsi="Times New Roman" w:cs="Times New Roman"/>
          <w:color w:val="auto"/>
          <w:sz w:val="24"/>
          <w:szCs w:val="24"/>
        </w:rPr>
        <w:t>Situação dos produtos emblemáticos</w:t>
      </w:r>
      <w:bookmarkEnd w:id="10"/>
      <w:r w:rsidR="007D46B3" w:rsidRPr="002F4F97">
        <w:rPr>
          <w:rFonts w:ascii="Times New Roman" w:hAnsi="Times New Roman" w:cs="Times New Roman"/>
          <w:color w:val="auto"/>
          <w:sz w:val="24"/>
          <w:szCs w:val="24"/>
        </w:rPr>
        <w:t xml:space="preserve"> </w:t>
      </w:r>
    </w:p>
    <w:p w:rsidR="00031BD5" w:rsidRPr="002F4F97" w:rsidRDefault="00031BD5" w:rsidP="00FC2907">
      <w:pPr>
        <w:spacing w:before="120" w:after="240" w:line="240" w:lineRule="auto"/>
        <w:ind w:right="4"/>
        <w:jc w:val="both"/>
        <w:rPr>
          <w:rFonts w:ascii="Times New Roman" w:eastAsia="Times New Roman" w:hAnsi="Times New Roman" w:cs="Times New Roman"/>
          <w:sz w:val="24"/>
          <w:szCs w:val="24"/>
        </w:rPr>
      </w:pPr>
      <w:r w:rsidRPr="002F4F97">
        <w:rPr>
          <w:rFonts w:ascii="Times New Roman" w:eastAsia="Times New Roman" w:hAnsi="Times New Roman" w:cs="Times New Roman"/>
          <w:sz w:val="24"/>
          <w:szCs w:val="24"/>
        </w:rPr>
        <w:t xml:space="preserve">Este capítulo analisa a situação do PROGEFAZ em relação aos 20 produtos emblemáticos selecionados pela metodologia </w:t>
      </w:r>
      <w:r w:rsidRPr="00A82BCE">
        <w:rPr>
          <w:rFonts w:ascii="Times New Roman" w:eastAsia="Times New Roman" w:hAnsi="Times New Roman" w:cs="Times New Roman"/>
          <w:sz w:val="24"/>
          <w:szCs w:val="24"/>
        </w:rPr>
        <w:t>ARP e</w:t>
      </w:r>
      <w:r w:rsidRPr="002F4F97">
        <w:rPr>
          <w:rFonts w:ascii="Times New Roman" w:eastAsia="Times New Roman" w:hAnsi="Times New Roman" w:cs="Times New Roman"/>
          <w:sz w:val="24"/>
          <w:szCs w:val="24"/>
        </w:rPr>
        <w:t xml:space="preserve"> analisados no Relatório de Avaliação Intermediária II do PROFISCO</w:t>
      </w:r>
      <w:r w:rsidR="006D0257">
        <w:rPr>
          <w:rFonts w:ascii="Times New Roman" w:eastAsia="Times New Roman" w:hAnsi="Times New Roman" w:cs="Times New Roman"/>
          <w:sz w:val="24"/>
          <w:szCs w:val="24"/>
        </w:rPr>
        <w:t xml:space="preserve">, </w:t>
      </w:r>
      <w:r w:rsidRPr="002F4F97">
        <w:rPr>
          <w:rFonts w:ascii="Times New Roman" w:eastAsia="Times New Roman" w:hAnsi="Times New Roman" w:cs="Times New Roman"/>
          <w:sz w:val="24"/>
          <w:szCs w:val="24"/>
        </w:rPr>
        <w:t>a saber:</w:t>
      </w:r>
    </w:p>
    <w:p w:rsidR="00031BD5" w:rsidRPr="002F4F97" w:rsidRDefault="00031BD5" w:rsidP="00FC2907">
      <w:pPr>
        <w:spacing w:before="120" w:after="240" w:line="240" w:lineRule="auto"/>
        <w:ind w:right="4"/>
        <w:jc w:val="both"/>
        <w:rPr>
          <w:rFonts w:ascii="Times New Roman" w:eastAsia="Times New Roman" w:hAnsi="Times New Roman" w:cs="Times New Roman"/>
          <w:sz w:val="24"/>
          <w:szCs w:val="24"/>
        </w:rPr>
      </w:pPr>
      <w:r w:rsidRPr="002F4F97">
        <w:rPr>
          <w:rFonts w:ascii="Times New Roman" w:eastAsia="Times New Roman" w:hAnsi="Times New Roman" w:cs="Times New Roman"/>
          <w:b/>
          <w:sz w:val="24"/>
          <w:szCs w:val="24"/>
        </w:rPr>
        <w:t>Produtos associados ao aumento da arrecadação:</w:t>
      </w:r>
      <w:r w:rsidRPr="002F4F97">
        <w:rPr>
          <w:rFonts w:ascii="Times New Roman" w:eastAsia="Times New Roman" w:hAnsi="Times New Roman" w:cs="Times New Roman"/>
          <w:sz w:val="24"/>
          <w:szCs w:val="24"/>
        </w:rPr>
        <w:t xml:space="preserve"> (1) Cadastro de contribuintes na Rede Nacional para a Simplificação do Registro e da Legalização de Empresas e Negócios (REDESIM); (2) Utilização de dados do Sistema Público de Escrituração Digital (SPED); (3) Modelo de fiscalização de estabelecimentos; (4) Modelo de fiscalização do trânsito de mercadorias; (5) Modelo de inteligência fiscal; (6) Implantação dos projetos do SPED – Nota fiscal eletrônica (NF-e), Escrituração Fiscal Digital (EFD) e Escrituração Contábil Digital (ECD); (7) Modelo de julgamento do contencioso e cobrança administrativa do crédito tributário; e (8) Projeção de Variáveis Econômico-Fiscais.</w:t>
      </w:r>
    </w:p>
    <w:p w:rsidR="00031BD5" w:rsidRPr="002F4F97" w:rsidRDefault="00031BD5" w:rsidP="00FC2907">
      <w:pPr>
        <w:spacing w:before="120" w:after="240" w:line="240" w:lineRule="auto"/>
        <w:ind w:right="4"/>
        <w:jc w:val="both"/>
        <w:rPr>
          <w:rFonts w:ascii="Times New Roman" w:eastAsia="Times New Roman" w:hAnsi="Times New Roman" w:cs="Times New Roman"/>
          <w:sz w:val="24"/>
          <w:szCs w:val="24"/>
        </w:rPr>
      </w:pPr>
      <w:r w:rsidRPr="002F4F97">
        <w:rPr>
          <w:rFonts w:ascii="Times New Roman" w:eastAsia="Times New Roman" w:hAnsi="Times New Roman" w:cs="Times New Roman"/>
          <w:b/>
          <w:sz w:val="24"/>
          <w:szCs w:val="24"/>
        </w:rPr>
        <w:t>Produtos associados à contenção das despesas:</w:t>
      </w:r>
      <w:r w:rsidRPr="002F4F97">
        <w:rPr>
          <w:rFonts w:ascii="Times New Roman" w:eastAsia="Times New Roman" w:hAnsi="Times New Roman" w:cs="Times New Roman"/>
          <w:sz w:val="24"/>
          <w:szCs w:val="24"/>
        </w:rPr>
        <w:t xml:space="preserve"> (1) Gestão de riscos aplicada à administração fiscal; (2) Novo modelo de contabilidade pública; (3) Apropriação de custos públicos; (4) Gestão de controle interno; e (5) Sistema de planejamento e finanças públicas.</w:t>
      </w:r>
    </w:p>
    <w:p w:rsidR="00031BD5" w:rsidRPr="002F4F97" w:rsidRDefault="00031BD5" w:rsidP="00FC2907">
      <w:pPr>
        <w:spacing w:before="120" w:after="240" w:line="240" w:lineRule="auto"/>
        <w:ind w:right="4"/>
        <w:jc w:val="both"/>
        <w:rPr>
          <w:rFonts w:ascii="Times New Roman" w:eastAsia="Times New Roman" w:hAnsi="Times New Roman" w:cs="Times New Roman"/>
          <w:sz w:val="24"/>
          <w:szCs w:val="24"/>
        </w:rPr>
      </w:pPr>
      <w:r w:rsidRPr="002F4F97">
        <w:rPr>
          <w:rFonts w:ascii="Times New Roman" w:eastAsia="Times New Roman" w:hAnsi="Times New Roman" w:cs="Times New Roman"/>
          <w:b/>
          <w:sz w:val="24"/>
          <w:szCs w:val="24"/>
        </w:rPr>
        <w:t>Produtos associados à melhoria da qualidade e aumento da oferta de serviços ao contribuinte:</w:t>
      </w:r>
      <w:r w:rsidRPr="002F4F97">
        <w:rPr>
          <w:rFonts w:ascii="Times New Roman" w:eastAsia="Times New Roman" w:hAnsi="Times New Roman" w:cs="Times New Roman"/>
          <w:sz w:val="24"/>
          <w:szCs w:val="24"/>
        </w:rPr>
        <w:t xml:space="preserve"> (1) Transparência fiscal; (2) Desenvolvimento de pessoal; (3) Gestão do conhecimento; (4) Gestão de Tecnologia de Informação e comunicação (TIC); (5) Gestão por competências e por resultados; (6) Modelo de atendimento ao contribuinte; e (7) Redesenho de processos.</w:t>
      </w:r>
    </w:p>
    <w:p w:rsidR="00090245" w:rsidRPr="00046243" w:rsidRDefault="006D672A" w:rsidP="009C7A21">
      <w:pPr>
        <w:spacing w:after="240" w:line="240" w:lineRule="auto"/>
        <w:jc w:val="both"/>
        <w:rPr>
          <w:rFonts w:ascii="Times New Roman" w:hAnsi="Times New Roman" w:cs="Times New Roman"/>
          <w:sz w:val="24"/>
          <w:szCs w:val="24"/>
        </w:rPr>
      </w:pPr>
      <w:r w:rsidRPr="002F4F97">
        <w:rPr>
          <w:rFonts w:ascii="Times New Roman" w:hAnsi="Times New Roman" w:cs="Times New Roman"/>
          <w:sz w:val="24"/>
          <w:szCs w:val="24"/>
        </w:rPr>
        <w:t>D</w:t>
      </w:r>
      <w:r w:rsidR="00571036" w:rsidRPr="002F4F97">
        <w:rPr>
          <w:rFonts w:ascii="Times New Roman" w:hAnsi="Times New Roman" w:cs="Times New Roman"/>
          <w:sz w:val="24"/>
          <w:szCs w:val="24"/>
        </w:rPr>
        <w:t>os 20</w:t>
      </w:r>
      <w:r w:rsidR="00DA128F" w:rsidRPr="002F4F97">
        <w:rPr>
          <w:rFonts w:ascii="Times New Roman" w:hAnsi="Times New Roman" w:cs="Times New Roman"/>
          <w:sz w:val="24"/>
          <w:szCs w:val="24"/>
        </w:rPr>
        <w:t xml:space="preserve"> </w:t>
      </w:r>
      <w:r w:rsidR="00571036" w:rsidRPr="002F4F97">
        <w:rPr>
          <w:rFonts w:ascii="Times New Roman" w:hAnsi="Times New Roman" w:cs="Times New Roman"/>
          <w:sz w:val="24"/>
          <w:szCs w:val="24"/>
        </w:rPr>
        <w:t>produtos emblemáticos</w:t>
      </w:r>
      <w:r w:rsidRPr="002F4F97">
        <w:rPr>
          <w:rFonts w:ascii="Times New Roman" w:hAnsi="Times New Roman" w:cs="Times New Roman"/>
          <w:sz w:val="24"/>
          <w:szCs w:val="24"/>
        </w:rPr>
        <w:t xml:space="preserve"> definidos para o PROFISCO</w:t>
      </w:r>
      <w:r w:rsidR="00EC24D6" w:rsidRPr="002F4F97">
        <w:rPr>
          <w:rFonts w:ascii="Times New Roman" w:hAnsi="Times New Roman" w:cs="Times New Roman"/>
          <w:sz w:val="24"/>
          <w:szCs w:val="24"/>
        </w:rPr>
        <w:t xml:space="preserve">, 13 produtos </w:t>
      </w:r>
      <w:r w:rsidR="00571036" w:rsidRPr="002F4F97">
        <w:rPr>
          <w:rFonts w:ascii="Times New Roman" w:hAnsi="Times New Roman" w:cs="Times New Roman"/>
          <w:sz w:val="24"/>
          <w:szCs w:val="24"/>
        </w:rPr>
        <w:t>fazem parte do PROGEFAZ</w:t>
      </w:r>
      <w:r w:rsidR="00031BD5" w:rsidRPr="002F4F97">
        <w:rPr>
          <w:rFonts w:ascii="Times New Roman" w:hAnsi="Times New Roman" w:cs="Times New Roman"/>
          <w:sz w:val="24"/>
          <w:szCs w:val="24"/>
        </w:rPr>
        <w:t xml:space="preserve"> e foram implantados </w:t>
      </w:r>
      <w:r w:rsidR="00EC24D6" w:rsidRPr="002F4F97">
        <w:rPr>
          <w:rFonts w:ascii="Times New Roman" w:hAnsi="Times New Roman" w:cs="Times New Roman"/>
          <w:sz w:val="24"/>
          <w:szCs w:val="24"/>
        </w:rPr>
        <w:t>são eles</w:t>
      </w:r>
      <w:r w:rsidR="00DA128F" w:rsidRPr="002F4F97">
        <w:rPr>
          <w:rFonts w:ascii="Times New Roman" w:hAnsi="Times New Roman" w:cs="Times New Roman"/>
          <w:sz w:val="24"/>
          <w:szCs w:val="24"/>
        </w:rPr>
        <w:t>:</w:t>
      </w:r>
      <w:r w:rsidR="00090245" w:rsidRPr="002F4F97">
        <w:rPr>
          <w:rFonts w:ascii="Times New Roman" w:hAnsi="Times New Roman" w:cs="Times New Roman"/>
          <w:sz w:val="24"/>
          <w:szCs w:val="24"/>
        </w:rPr>
        <w:t xml:space="preserve"> (i) Modelo de gestão de Controle Interno; (ii) SPED (NFe, EFD, e ECD), incluindo soluções de hardware, software para auditoria, estatística e segurança de dados; (iii) Modelo de gestão baseado em metodologias de planejamento, gestão por competências e por resultados; (iv</w:t>
      </w:r>
      <w:r w:rsidR="007806FC" w:rsidRPr="002F4F97">
        <w:rPr>
          <w:rFonts w:ascii="Times New Roman" w:hAnsi="Times New Roman" w:cs="Times New Roman"/>
          <w:sz w:val="24"/>
          <w:szCs w:val="24"/>
        </w:rPr>
        <w:t xml:space="preserve"> </w:t>
      </w:r>
      <w:r w:rsidR="00090245" w:rsidRPr="002F4F97">
        <w:rPr>
          <w:rFonts w:ascii="Times New Roman" w:hAnsi="Times New Roman" w:cs="Times New Roman"/>
          <w:sz w:val="24"/>
          <w:szCs w:val="24"/>
        </w:rPr>
        <w:t>) Modelo de inteligência fiscal; (v)  Modelo de gestão de fiscalização de estabelecimentos; (vi) Modelo de tratamento e utilização de dados do SPED: Sistemática de cruzamento de dados; Modelo de gestão de informações econômico-fiscais; Sistemática para a captura e tratamento de informações fiscais oriunda de outras fontes; BI - business intelligence; Sistemática de busca e seleção de dados (data mining); DW – datawarehouse; (vii) Modelo de Contabilidade, incluindo o novo Plano de Contas Nacional</w:t>
      </w:r>
      <w:r w:rsidR="00CF18B3" w:rsidRPr="002F4F97">
        <w:rPr>
          <w:rFonts w:ascii="Times New Roman" w:hAnsi="Times New Roman" w:cs="Times New Roman"/>
          <w:sz w:val="24"/>
          <w:szCs w:val="24"/>
        </w:rPr>
        <w:t xml:space="preserve">; (viii) </w:t>
      </w:r>
      <w:r w:rsidR="00090245" w:rsidRPr="002F4F97">
        <w:rPr>
          <w:rFonts w:ascii="Times New Roman" w:hAnsi="Times New Roman" w:cs="Times New Roman"/>
          <w:sz w:val="24"/>
          <w:szCs w:val="24"/>
        </w:rPr>
        <w:t xml:space="preserve">Modelo de atendimento ao contribuinte; </w:t>
      </w:r>
      <w:r w:rsidR="00CF18B3" w:rsidRPr="002F4F97">
        <w:rPr>
          <w:rFonts w:ascii="Times New Roman" w:hAnsi="Times New Roman" w:cs="Times New Roman"/>
          <w:sz w:val="24"/>
          <w:szCs w:val="24"/>
        </w:rPr>
        <w:t xml:space="preserve">(ix) </w:t>
      </w:r>
      <w:r w:rsidR="00090245" w:rsidRPr="002F4F97">
        <w:rPr>
          <w:rFonts w:ascii="Times New Roman" w:hAnsi="Times New Roman" w:cs="Times New Roman"/>
          <w:sz w:val="24"/>
          <w:szCs w:val="24"/>
        </w:rPr>
        <w:t xml:space="preserve">Modelo de gestão de fiscalização de trânsito de mercadorias; </w:t>
      </w:r>
      <w:r w:rsidR="00CF18B3" w:rsidRPr="002F4F97">
        <w:rPr>
          <w:rFonts w:ascii="Times New Roman" w:hAnsi="Times New Roman" w:cs="Times New Roman"/>
          <w:sz w:val="24"/>
          <w:szCs w:val="24"/>
        </w:rPr>
        <w:t xml:space="preserve">(x) </w:t>
      </w:r>
      <w:r w:rsidR="00090245" w:rsidRPr="002F4F97">
        <w:rPr>
          <w:rFonts w:ascii="Times New Roman" w:hAnsi="Times New Roman" w:cs="Times New Roman"/>
          <w:sz w:val="24"/>
          <w:szCs w:val="24"/>
        </w:rPr>
        <w:t>Programa de capacitação, gerenciamento de talentos e desenvolvimento de pessoal continuado</w:t>
      </w:r>
      <w:r w:rsidR="00CF18B3" w:rsidRPr="002F4F97">
        <w:rPr>
          <w:rFonts w:ascii="Times New Roman" w:hAnsi="Times New Roman" w:cs="Times New Roman"/>
          <w:sz w:val="24"/>
          <w:szCs w:val="24"/>
        </w:rPr>
        <w:t xml:space="preserve">. </w:t>
      </w:r>
      <w:r w:rsidR="00090245" w:rsidRPr="002F4F97">
        <w:rPr>
          <w:rFonts w:ascii="Times New Roman" w:hAnsi="Times New Roman" w:cs="Times New Roman"/>
          <w:b/>
          <w:sz w:val="24"/>
          <w:szCs w:val="24"/>
        </w:rPr>
        <w:t>Não foram iniciados</w:t>
      </w:r>
      <w:r w:rsidR="00090245" w:rsidRPr="002F4F97">
        <w:rPr>
          <w:rFonts w:ascii="Times New Roman" w:hAnsi="Times New Roman" w:cs="Times New Roman"/>
          <w:sz w:val="24"/>
          <w:szCs w:val="24"/>
        </w:rPr>
        <w:t xml:space="preserve"> os produtos: (i) Redesenho de processos organizacionais da gestão fiscal (tributário e/ou financeiro); (ii) Cadastro de contribuintes (REDESIN); e (iii) Portal / Sistemática de transparência fiscal;</w:t>
      </w:r>
    </w:p>
    <w:p w:rsidR="00102424" w:rsidRPr="00046243" w:rsidRDefault="008F2B8D" w:rsidP="008F2B8D">
      <w:pPr>
        <w:pStyle w:val="Ttulo3"/>
        <w:spacing w:after="240" w:line="240" w:lineRule="auto"/>
        <w:ind w:left="1800"/>
        <w:rPr>
          <w:rFonts w:ascii="Times New Roman" w:hAnsi="Times New Roman" w:cs="Times New Roman"/>
          <w:color w:val="auto"/>
          <w:sz w:val="24"/>
          <w:szCs w:val="24"/>
        </w:rPr>
      </w:pPr>
      <w:bookmarkStart w:id="11" w:name="_Toc431190863"/>
      <w:r>
        <w:rPr>
          <w:rFonts w:ascii="Times New Roman" w:hAnsi="Times New Roman" w:cs="Times New Roman"/>
          <w:color w:val="auto"/>
          <w:sz w:val="24"/>
          <w:szCs w:val="24"/>
        </w:rPr>
        <w:t xml:space="preserve">d. </w:t>
      </w:r>
      <w:r w:rsidR="00102424" w:rsidRPr="00046243">
        <w:rPr>
          <w:rFonts w:ascii="Times New Roman" w:hAnsi="Times New Roman" w:cs="Times New Roman"/>
          <w:color w:val="auto"/>
          <w:sz w:val="24"/>
          <w:szCs w:val="24"/>
        </w:rPr>
        <w:t xml:space="preserve">Contribuição do </w:t>
      </w:r>
      <w:r w:rsidR="00CF18B3" w:rsidRPr="00046243">
        <w:rPr>
          <w:rFonts w:ascii="Times New Roman" w:hAnsi="Times New Roman" w:cs="Times New Roman"/>
          <w:color w:val="auto"/>
          <w:sz w:val="24"/>
          <w:szCs w:val="24"/>
        </w:rPr>
        <w:t xml:space="preserve">PROGEFAZ </w:t>
      </w:r>
      <w:r w:rsidR="00102424" w:rsidRPr="00046243">
        <w:rPr>
          <w:rFonts w:ascii="Times New Roman" w:hAnsi="Times New Roman" w:cs="Times New Roman"/>
          <w:color w:val="auto"/>
          <w:sz w:val="24"/>
          <w:szCs w:val="24"/>
        </w:rPr>
        <w:t>para os Resultados do PROFISCO</w:t>
      </w:r>
      <w:bookmarkEnd w:id="11"/>
    </w:p>
    <w:p w:rsidR="00CF18B3" w:rsidRPr="008F2B8D" w:rsidRDefault="005131A8" w:rsidP="009C7A21">
      <w:pPr>
        <w:spacing w:after="240" w:line="240" w:lineRule="auto"/>
        <w:jc w:val="both"/>
        <w:rPr>
          <w:rFonts w:ascii="Times New Roman" w:hAnsi="Times New Roman" w:cs="Times New Roman"/>
          <w:sz w:val="24"/>
          <w:szCs w:val="24"/>
        </w:rPr>
      </w:pPr>
      <w:r w:rsidRPr="008F2B8D">
        <w:rPr>
          <w:rFonts w:ascii="Times New Roman" w:hAnsi="Times New Roman" w:cs="Times New Roman"/>
          <w:sz w:val="24"/>
          <w:szCs w:val="24"/>
        </w:rPr>
        <w:t>Ao t</w:t>
      </w:r>
      <w:r w:rsidR="006D0257">
        <w:rPr>
          <w:rFonts w:ascii="Times New Roman" w:hAnsi="Times New Roman" w:cs="Times New Roman"/>
          <w:sz w:val="24"/>
          <w:szCs w:val="24"/>
        </w:rPr>
        <w:t>é</w:t>
      </w:r>
      <w:r w:rsidRPr="008F2B8D">
        <w:rPr>
          <w:rFonts w:ascii="Times New Roman" w:hAnsi="Times New Roman" w:cs="Times New Roman"/>
          <w:sz w:val="24"/>
          <w:szCs w:val="24"/>
        </w:rPr>
        <w:t>rmino deste projeto, observa-se que o</w:t>
      </w:r>
      <w:r w:rsidR="00CF18B3" w:rsidRPr="008F2B8D">
        <w:rPr>
          <w:rFonts w:ascii="Times New Roman" w:hAnsi="Times New Roman" w:cs="Times New Roman"/>
          <w:sz w:val="24"/>
          <w:szCs w:val="24"/>
        </w:rPr>
        <w:t>s produtos do PROGEFAZ/PROFISCO</w:t>
      </w:r>
      <w:r w:rsidRPr="008F2B8D">
        <w:rPr>
          <w:rFonts w:ascii="Times New Roman" w:hAnsi="Times New Roman" w:cs="Times New Roman"/>
          <w:sz w:val="24"/>
          <w:szCs w:val="24"/>
        </w:rPr>
        <w:t xml:space="preserve"> contribuíram </w:t>
      </w:r>
      <w:r w:rsidR="00CF18B3" w:rsidRPr="008F2B8D">
        <w:rPr>
          <w:rFonts w:ascii="Times New Roman" w:hAnsi="Times New Roman" w:cs="Times New Roman"/>
          <w:sz w:val="24"/>
          <w:szCs w:val="24"/>
        </w:rPr>
        <w:t>para os seguintes resultados esperados do Programa PROFISCO:</w:t>
      </w:r>
    </w:p>
    <w:p w:rsidR="008C1515" w:rsidRPr="008F2B8D" w:rsidRDefault="00CF18B3" w:rsidP="009C7A21">
      <w:pPr>
        <w:spacing w:after="240" w:line="240" w:lineRule="auto"/>
        <w:jc w:val="both"/>
        <w:rPr>
          <w:rFonts w:ascii="Times New Roman" w:hAnsi="Times New Roman" w:cs="Times New Roman"/>
          <w:sz w:val="24"/>
          <w:szCs w:val="24"/>
        </w:rPr>
      </w:pPr>
      <w:r w:rsidRPr="008F2B8D">
        <w:rPr>
          <w:rFonts w:ascii="Times New Roman" w:hAnsi="Times New Roman" w:cs="Times New Roman"/>
          <w:b/>
          <w:sz w:val="24"/>
          <w:szCs w:val="24"/>
        </w:rPr>
        <w:lastRenderedPageBreak/>
        <w:t>Aumento da receita tributária.</w:t>
      </w:r>
      <w:r w:rsidRPr="008F2B8D">
        <w:rPr>
          <w:rFonts w:ascii="Times New Roman" w:hAnsi="Times New Roman" w:cs="Times New Roman"/>
          <w:sz w:val="24"/>
          <w:szCs w:val="24"/>
        </w:rPr>
        <w:t xml:space="preserve"> </w:t>
      </w:r>
      <w:r w:rsidR="005131A8" w:rsidRPr="008F2B8D">
        <w:rPr>
          <w:rFonts w:ascii="Times New Roman" w:hAnsi="Times New Roman" w:cs="Times New Roman"/>
          <w:sz w:val="24"/>
          <w:szCs w:val="24"/>
        </w:rPr>
        <w:t xml:space="preserve">Para contribui com o aumento da receita tributária o PROGEFAZ implantou: </w:t>
      </w:r>
      <w:r w:rsidR="008C1515" w:rsidRPr="008F2B8D">
        <w:rPr>
          <w:rFonts w:ascii="Times New Roman" w:hAnsi="Times New Roman" w:cs="Times New Roman"/>
          <w:sz w:val="24"/>
          <w:szCs w:val="24"/>
        </w:rPr>
        <w:t xml:space="preserve">(i) </w:t>
      </w:r>
      <w:r w:rsidR="008C1515" w:rsidRPr="008F2B8D">
        <w:rPr>
          <w:rFonts w:ascii="Times New Roman" w:hAnsi="Times New Roman" w:cs="Times New Roman"/>
          <w:bCs/>
          <w:sz w:val="24"/>
          <w:szCs w:val="24"/>
        </w:rPr>
        <w:t xml:space="preserve">O </w:t>
      </w:r>
      <w:r w:rsidR="008C1515" w:rsidRPr="008F2B8D">
        <w:rPr>
          <w:rFonts w:ascii="Times New Roman" w:hAnsi="Times New Roman" w:cs="Times New Roman"/>
          <w:b/>
          <w:bCs/>
          <w:sz w:val="24"/>
          <w:szCs w:val="24"/>
        </w:rPr>
        <w:t>Novo modelo de fiscalização do trânsito de mercadorias</w:t>
      </w:r>
      <w:r w:rsidR="008C1515" w:rsidRPr="008F2B8D">
        <w:rPr>
          <w:rFonts w:ascii="Times New Roman" w:hAnsi="Times New Roman" w:cs="Times New Roman"/>
          <w:bCs/>
          <w:sz w:val="24"/>
          <w:szCs w:val="24"/>
        </w:rPr>
        <w:t xml:space="preserve"> foi iniciado em 2012, com o aparelhamento das unidades, e foi fortalecido em 2014 com a alocação de 10 auditores e 45 fiscais</w:t>
      </w:r>
      <w:r w:rsidR="008C1515" w:rsidRPr="008F2B8D">
        <w:rPr>
          <w:rStyle w:val="Refdenotaderodap"/>
          <w:rFonts w:ascii="Times New Roman" w:hAnsi="Times New Roman" w:cs="Times New Roman"/>
          <w:bCs/>
          <w:sz w:val="24"/>
          <w:szCs w:val="24"/>
        </w:rPr>
        <w:footnoteReference w:id="15"/>
      </w:r>
      <w:r w:rsidR="008C1515" w:rsidRPr="008F2B8D">
        <w:rPr>
          <w:rFonts w:ascii="Times New Roman" w:hAnsi="Times New Roman" w:cs="Times New Roman"/>
          <w:bCs/>
          <w:sz w:val="24"/>
          <w:szCs w:val="24"/>
        </w:rPr>
        <w:t xml:space="preserve">, proporcionando mais rapidez, aumento no número de ações fiscais e melhoria das condições de realização de operações planejadas para cidades do interior do Estado. (ii) O </w:t>
      </w:r>
      <w:r w:rsidR="008C1515" w:rsidRPr="008F2B8D">
        <w:rPr>
          <w:rFonts w:ascii="Times New Roman" w:hAnsi="Times New Roman" w:cs="Times New Roman"/>
          <w:b/>
          <w:bCs/>
          <w:sz w:val="24"/>
          <w:szCs w:val="24"/>
        </w:rPr>
        <w:t>Programa Nota Fiscal Cidadã</w:t>
      </w:r>
      <w:r w:rsidR="008C1515" w:rsidRPr="008F2B8D">
        <w:rPr>
          <w:rStyle w:val="Refdenotaderodap"/>
          <w:rFonts w:ascii="Times New Roman" w:hAnsi="Times New Roman" w:cs="Times New Roman"/>
          <w:bCs/>
          <w:sz w:val="24"/>
          <w:szCs w:val="24"/>
        </w:rPr>
        <w:footnoteReference w:id="16"/>
      </w:r>
      <w:r w:rsidR="008C1515" w:rsidRPr="008F2B8D">
        <w:rPr>
          <w:rFonts w:ascii="Times New Roman" w:hAnsi="Times New Roman" w:cs="Times New Roman"/>
          <w:bCs/>
          <w:sz w:val="24"/>
          <w:szCs w:val="24"/>
        </w:rPr>
        <w:t xml:space="preserve"> foi concebido com base em programas similares desenvolvidos por outras unidades da Federação e tem como objetivo estimular a cidadania fiscal no Estado. No período compreendido entre 2012 a 2014 alcançou todos os estabelecimentos varejistas do Estado. Na primeira fase (setembro/2012 a março/2013) foram enquadrados, para fins de participação no Programa, 17.958 estabelecimentos comerciais das atividades econômicas de alimentação, vestuário e acessórios, lojas de departamentos ou magazines e comércio varejista de móveis. A partir de janeiro de 2013 foram incluídos estabelecimentos comerciais de todos os municípios paraenses. Atualmente </w:t>
      </w:r>
      <w:r w:rsidR="008C1515" w:rsidRPr="008F2B8D">
        <w:rPr>
          <w:rFonts w:ascii="Times New Roman" w:hAnsi="Times New Roman" w:cs="Times New Roman"/>
          <w:sz w:val="24"/>
          <w:szCs w:val="24"/>
        </w:rPr>
        <w:t xml:space="preserve">202.388 </w:t>
      </w:r>
      <w:r w:rsidR="008C1515" w:rsidRPr="008F2B8D">
        <w:rPr>
          <w:rFonts w:ascii="Times New Roman" w:hAnsi="Times New Roman" w:cs="Times New Roman"/>
          <w:bCs/>
          <w:sz w:val="24"/>
          <w:szCs w:val="24"/>
        </w:rPr>
        <w:t xml:space="preserve">mil fornecedores e </w:t>
      </w:r>
      <w:r w:rsidR="008C1515" w:rsidRPr="008F2B8D">
        <w:rPr>
          <w:rFonts w:ascii="Times New Roman" w:hAnsi="Times New Roman" w:cs="Times New Roman"/>
          <w:sz w:val="24"/>
          <w:szCs w:val="24"/>
        </w:rPr>
        <w:t>138.054 mil consumidores estão cadastrados no Programa (</w:t>
      </w:r>
      <w:hyperlink r:id="rId11" w:history="1">
        <w:r w:rsidR="008C1515" w:rsidRPr="008F2B8D">
          <w:rPr>
            <w:rStyle w:val="Hyperlink"/>
            <w:rFonts w:ascii="Times New Roman" w:hAnsi="Times New Roman" w:cs="Times New Roman"/>
            <w:bCs/>
            <w:sz w:val="24"/>
            <w:szCs w:val="24"/>
          </w:rPr>
          <w:t>http://nfc.sefa.pa.gov.br</w:t>
        </w:r>
      </w:hyperlink>
      <w:r w:rsidR="008C1515" w:rsidRPr="008F2B8D">
        <w:rPr>
          <w:rFonts w:ascii="Times New Roman" w:hAnsi="Times New Roman" w:cs="Times New Roman"/>
          <w:bCs/>
          <w:sz w:val="24"/>
          <w:szCs w:val="24"/>
        </w:rPr>
        <w:t xml:space="preserve">); (iii) </w:t>
      </w:r>
      <w:r w:rsidR="008C1515" w:rsidRPr="008F2B8D">
        <w:rPr>
          <w:rFonts w:ascii="Times New Roman" w:hAnsi="Times New Roman" w:cs="Times New Roman"/>
          <w:b/>
          <w:sz w:val="24"/>
          <w:szCs w:val="24"/>
        </w:rPr>
        <w:t>Nota Fiscal eletrônica (NF-e).</w:t>
      </w:r>
      <w:r w:rsidR="008C1515" w:rsidRPr="008F2B8D">
        <w:rPr>
          <w:rFonts w:ascii="Times New Roman" w:hAnsi="Times New Roman" w:cs="Times New Roman"/>
          <w:sz w:val="24"/>
          <w:szCs w:val="24"/>
        </w:rPr>
        <w:t xml:space="preserve"> Desde 2010</w:t>
      </w:r>
      <w:r w:rsidR="008C1515" w:rsidRPr="008F2B8D">
        <w:rPr>
          <w:rStyle w:val="Refdenotaderodap"/>
          <w:rFonts w:ascii="Times New Roman" w:hAnsi="Times New Roman" w:cs="Times New Roman"/>
          <w:sz w:val="24"/>
          <w:szCs w:val="24"/>
        </w:rPr>
        <w:footnoteReference w:id="17"/>
      </w:r>
      <w:r w:rsidR="008C1515" w:rsidRPr="008F2B8D">
        <w:rPr>
          <w:rFonts w:ascii="Times New Roman" w:hAnsi="Times New Roman" w:cs="Times New Roman"/>
          <w:sz w:val="24"/>
          <w:szCs w:val="24"/>
        </w:rPr>
        <w:t xml:space="preserve"> a sua emissão deixou de estar relacionada à atividade econômica exercida. Atualmente, todos os contribuintes ativos do ICMS (exceção do Microempreendedor Individual - MEI e Produtor Rural, pessoa física) utilizam a NF-e (12.427 em 2014). </w:t>
      </w:r>
    </w:p>
    <w:p w:rsidR="00384AA1" w:rsidRPr="008F2B8D" w:rsidRDefault="00CF18B3" w:rsidP="009C7A21">
      <w:pPr>
        <w:spacing w:after="240" w:line="240" w:lineRule="auto"/>
        <w:jc w:val="both"/>
        <w:rPr>
          <w:rFonts w:ascii="Times New Roman" w:hAnsi="Times New Roman" w:cs="Times New Roman"/>
          <w:sz w:val="24"/>
          <w:szCs w:val="24"/>
        </w:rPr>
      </w:pPr>
      <w:r w:rsidRPr="008F2B8D">
        <w:rPr>
          <w:rFonts w:ascii="Times New Roman" w:hAnsi="Times New Roman" w:cs="Times New Roman"/>
          <w:b/>
          <w:sz w:val="24"/>
          <w:szCs w:val="24"/>
        </w:rPr>
        <w:t>Aumento da eficiência e melhoria o controle do gasto público</w:t>
      </w:r>
      <w:r w:rsidRPr="008F2B8D">
        <w:rPr>
          <w:rFonts w:ascii="Times New Roman" w:hAnsi="Times New Roman" w:cs="Times New Roman"/>
          <w:sz w:val="24"/>
          <w:szCs w:val="24"/>
        </w:rPr>
        <w:t xml:space="preserve">. </w:t>
      </w:r>
      <w:r w:rsidR="00384AA1" w:rsidRPr="008F2B8D">
        <w:rPr>
          <w:rFonts w:ascii="Times New Roman" w:hAnsi="Times New Roman" w:cs="Times New Roman"/>
          <w:sz w:val="24"/>
          <w:szCs w:val="24"/>
        </w:rPr>
        <w:t xml:space="preserve">A principal contribuição do </w:t>
      </w:r>
      <w:r w:rsidR="008C1515" w:rsidRPr="008F2B8D">
        <w:rPr>
          <w:rFonts w:ascii="Times New Roman" w:hAnsi="Times New Roman" w:cs="Times New Roman"/>
          <w:sz w:val="24"/>
          <w:szCs w:val="24"/>
        </w:rPr>
        <w:t xml:space="preserve">PROGEFAZ </w:t>
      </w:r>
      <w:r w:rsidR="00384AA1" w:rsidRPr="008F2B8D">
        <w:rPr>
          <w:rFonts w:ascii="Times New Roman" w:hAnsi="Times New Roman" w:cs="Times New Roman"/>
          <w:sz w:val="24"/>
          <w:szCs w:val="24"/>
        </w:rPr>
        <w:t xml:space="preserve">para este tema foi a implantação do </w:t>
      </w:r>
      <w:r w:rsidR="00384AA1" w:rsidRPr="008F2B8D">
        <w:rPr>
          <w:rFonts w:ascii="Times New Roman" w:hAnsi="Times New Roman" w:cs="Times New Roman"/>
          <w:b/>
          <w:sz w:val="24"/>
          <w:szCs w:val="24"/>
        </w:rPr>
        <w:t>Modelo de Controle Interno</w:t>
      </w:r>
      <w:r w:rsidR="00384AA1" w:rsidRPr="008F2B8D">
        <w:rPr>
          <w:rFonts w:ascii="Times New Roman" w:hAnsi="Times New Roman" w:cs="Times New Roman"/>
          <w:sz w:val="24"/>
          <w:szCs w:val="24"/>
        </w:rPr>
        <w:t xml:space="preserve"> orientado para a melhoria da qualidade do gasto público, tanto na observância dos padrões de previsão e execução da despesa, como e, principalmente, no fornecimento de informações aos gestores, que permita aprimorar o planejamento da ação e da sua execução foi objeto de apoio do PROFISCO. </w:t>
      </w:r>
    </w:p>
    <w:p w:rsidR="00384AA1" w:rsidRPr="00046243" w:rsidRDefault="00CF18B3" w:rsidP="009C7A21">
      <w:pPr>
        <w:spacing w:after="240" w:line="240" w:lineRule="auto"/>
        <w:jc w:val="both"/>
        <w:rPr>
          <w:rFonts w:ascii="Times New Roman" w:eastAsia="Arial Unicode MS" w:hAnsi="Times New Roman" w:cs="Times New Roman"/>
          <w:sz w:val="24"/>
          <w:szCs w:val="24"/>
        </w:rPr>
      </w:pPr>
      <w:r w:rsidRPr="008F2B8D">
        <w:rPr>
          <w:rFonts w:ascii="Times New Roman" w:hAnsi="Times New Roman" w:cs="Times New Roman"/>
          <w:b/>
          <w:sz w:val="24"/>
          <w:szCs w:val="24"/>
        </w:rPr>
        <w:t>Prover melhores serviços ao cidadão.</w:t>
      </w:r>
      <w:r w:rsidRPr="008F2B8D">
        <w:rPr>
          <w:rFonts w:ascii="Times New Roman" w:hAnsi="Times New Roman" w:cs="Times New Roman"/>
          <w:sz w:val="24"/>
          <w:szCs w:val="24"/>
        </w:rPr>
        <w:t xml:space="preserve"> </w:t>
      </w:r>
      <w:r w:rsidR="00384AA1" w:rsidRPr="008F2B8D">
        <w:rPr>
          <w:rFonts w:ascii="Times New Roman" w:eastAsia="Arial Unicode MS" w:hAnsi="Times New Roman" w:cs="Times New Roman"/>
          <w:bCs/>
          <w:sz w:val="24"/>
          <w:szCs w:val="24"/>
        </w:rPr>
        <w:t>A implantação dos</w:t>
      </w:r>
      <w:r w:rsidR="00384AA1" w:rsidRPr="008F2B8D">
        <w:rPr>
          <w:rFonts w:ascii="Times New Roman" w:eastAsia="Arial Unicode MS" w:hAnsi="Times New Roman" w:cs="Times New Roman"/>
          <w:b/>
          <w:bCs/>
          <w:sz w:val="24"/>
          <w:szCs w:val="24"/>
        </w:rPr>
        <w:t xml:space="preserve"> novos terminais de autoatendimento </w:t>
      </w:r>
      <w:r w:rsidR="00384AA1" w:rsidRPr="008F2B8D">
        <w:rPr>
          <w:rFonts w:ascii="Times New Roman" w:eastAsia="Arial Unicode MS" w:hAnsi="Times New Roman" w:cs="Times New Roman"/>
          <w:bCs/>
          <w:sz w:val="24"/>
          <w:szCs w:val="24"/>
        </w:rPr>
        <w:t>possibilitou</w:t>
      </w:r>
      <w:r w:rsidR="00384AA1" w:rsidRPr="008F2B8D">
        <w:rPr>
          <w:rFonts w:ascii="Times New Roman" w:eastAsia="Arial Unicode MS" w:hAnsi="Times New Roman" w:cs="Times New Roman"/>
          <w:b/>
          <w:bCs/>
          <w:sz w:val="24"/>
          <w:szCs w:val="24"/>
        </w:rPr>
        <w:t xml:space="preserve">: </w:t>
      </w:r>
      <w:r w:rsidR="00384AA1" w:rsidRPr="008F2B8D">
        <w:rPr>
          <w:rFonts w:ascii="Times New Roman" w:eastAsia="Arial Unicode MS" w:hAnsi="Times New Roman" w:cs="Times New Roman"/>
          <w:sz w:val="24"/>
          <w:szCs w:val="24"/>
        </w:rPr>
        <w:t>maior acessibilidade aos serviços constantes no portal SEFA, em especial aos usuários dos municípios com expressiva distância da capital e dificuldades de conexão; maior comodidade e facilidade ao usuário para o cumprimento de obrigações tributárias; aumento da satisfação dos usuários com os serviços da SEFA; e, criação de parcerias com órgãos como Detran-PA, SEFIN, Junta Comercial, PROCON e Estação Cidadania de Santarém. Duas unidades estão em processo de instalação (CERAT/Breves e Estação da Cidadania/Marabá).</w:t>
      </w:r>
      <w:r w:rsidR="00384AA1" w:rsidRPr="00046243">
        <w:rPr>
          <w:rFonts w:ascii="Times New Roman" w:eastAsia="Arial Unicode MS" w:hAnsi="Times New Roman" w:cs="Times New Roman"/>
          <w:sz w:val="24"/>
          <w:szCs w:val="24"/>
        </w:rPr>
        <w:t xml:space="preserve"> </w:t>
      </w:r>
    </w:p>
    <w:p w:rsidR="007F6601" w:rsidRPr="00046243" w:rsidRDefault="00592D65" w:rsidP="00592D65">
      <w:pPr>
        <w:pStyle w:val="Ttulo3"/>
        <w:spacing w:after="240" w:line="240" w:lineRule="auto"/>
        <w:ind w:left="1800"/>
        <w:rPr>
          <w:rFonts w:ascii="Times New Roman" w:hAnsi="Times New Roman" w:cs="Times New Roman"/>
          <w:color w:val="auto"/>
          <w:sz w:val="24"/>
          <w:szCs w:val="24"/>
        </w:rPr>
      </w:pPr>
      <w:bookmarkStart w:id="12" w:name="_Toc431190864"/>
      <w:r>
        <w:rPr>
          <w:rFonts w:ascii="Times New Roman" w:hAnsi="Times New Roman" w:cs="Times New Roman"/>
          <w:color w:val="auto"/>
          <w:sz w:val="24"/>
          <w:szCs w:val="24"/>
        </w:rPr>
        <w:t xml:space="preserve">e. </w:t>
      </w:r>
      <w:r w:rsidR="00CB1713" w:rsidRPr="00046243">
        <w:rPr>
          <w:rFonts w:ascii="Times New Roman" w:hAnsi="Times New Roman" w:cs="Times New Roman"/>
          <w:color w:val="auto"/>
          <w:sz w:val="24"/>
          <w:szCs w:val="24"/>
        </w:rPr>
        <w:t>Resultados Imprevistos</w:t>
      </w:r>
      <w:bookmarkEnd w:id="12"/>
      <w:r w:rsidR="00014471" w:rsidRPr="00046243">
        <w:rPr>
          <w:rFonts w:ascii="Times New Roman" w:hAnsi="Times New Roman" w:cs="Times New Roman"/>
          <w:color w:val="auto"/>
          <w:sz w:val="24"/>
          <w:szCs w:val="24"/>
        </w:rPr>
        <w:t xml:space="preserve"> </w:t>
      </w:r>
    </w:p>
    <w:p w:rsidR="00E0064C" w:rsidRPr="00046243" w:rsidRDefault="00E0064C" w:rsidP="009C7A21">
      <w:pPr>
        <w:spacing w:before="120" w:after="240" w:line="240" w:lineRule="auto"/>
        <w:ind w:right="-446"/>
        <w:jc w:val="both"/>
        <w:rPr>
          <w:rFonts w:ascii="Times New Roman" w:eastAsia="Times New Roman" w:hAnsi="Times New Roman" w:cs="Times New Roman"/>
          <w:sz w:val="24"/>
          <w:szCs w:val="24"/>
        </w:rPr>
      </w:pPr>
      <w:r w:rsidRPr="00592D65">
        <w:rPr>
          <w:rFonts w:ascii="Times New Roman" w:eastAsia="Times New Roman" w:hAnsi="Times New Roman" w:cs="Times New Roman"/>
          <w:sz w:val="24"/>
          <w:szCs w:val="24"/>
        </w:rPr>
        <w:t>Os resultados alcançados com a implantação do Programa estão dentro do esperado, não foi identificado nenhum imprevisto relacionado com os indicadores apurados.</w:t>
      </w:r>
      <w:r w:rsidRPr="00046243">
        <w:rPr>
          <w:rFonts w:ascii="Times New Roman" w:eastAsia="Times New Roman" w:hAnsi="Times New Roman" w:cs="Times New Roman"/>
          <w:sz w:val="24"/>
          <w:szCs w:val="24"/>
        </w:rPr>
        <w:t xml:space="preserve"> </w:t>
      </w:r>
    </w:p>
    <w:p w:rsidR="007F6601" w:rsidRPr="00046243" w:rsidRDefault="00DE5AD2" w:rsidP="009C7A21">
      <w:pPr>
        <w:pStyle w:val="Ttulo2"/>
        <w:numPr>
          <w:ilvl w:val="1"/>
          <w:numId w:val="2"/>
        </w:numPr>
        <w:spacing w:after="240" w:line="240" w:lineRule="auto"/>
        <w:rPr>
          <w:rFonts w:ascii="Times New Roman" w:hAnsi="Times New Roman" w:cs="Times New Roman"/>
          <w:color w:val="auto"/>
          <w:sz w:val="24"/>
          <w:szCs w:val="24"/>
        </w:rPr>
      </w:pPr>
      <w:bookmarkStart w:id="13" w:name="_Toc431190865"/>
      <w:r w:rsidRPr="00046243">
        <w:rPr>
          <w:rFonts w:ascii="Times New Roman" w:hAnsi="Times New Roman" w:cs="Times New Roman"/>
          <w:color w:val="auto"/>
          <w:sz w:val="24"/>
          <w:szCs w:val="24"/>
        </w:rPr>
        <w:t>Eficiê</w:t>
      </w:r>
      <w:r w:rsidR="00CB1713" w:rsidRPr="00046243">
        <w:rPr>
          <w:rFonts w:ascii="Times New Roman" w:hAnsi="Times New Roman" w:cs="Times New Roman"/>
          <w:color w:val="auto"/>
          <w:sz w:val="24"/>
          <w:szCs w:val="24"/>
        </w:rPr>
        <w:t>ncia</w:t>
      </w:r>
      <w:bookmarkEnd w:id="13"/>
    </w:p>
    <w:p w:rsidR="00613192" w:rsidRPr="00592D65" w:rsidRDefault="00613192" w:rsidP="009C7A21">
      <w:pPr>
        <w:spacing w:after="240" w:line="240" w:lineRule="auto"/>
        <w:jc w:val="both"/>
        <w:rPr>
          <w:rFonts w:ascii="Times New Roman" w:hAnsi="Times New Roman" w:cs="Times New Roman"/>
          <w:sz w:val="24"/>
          <w:szCs w:val="24"/>
        </w:rPr>
      </w:pPr>
      <w:r w:rsidRPr="00592D65">
        <w:rPr>
          <w:rFonts w:ascii="Times New Roman" w:hAnsi="Times New Roman" w:cs="Times New Roman"/>
          <w:sz w:val="24"/>
          <w:szCs w:val="24"/>
        </w:rPr>
        <w:t xml:space="preserve">Não foi prevista para o PROGEFAZ uma avaliação </w:t>
      </w:r>
      <w:r w:rsidRPr="00592D65">
        <w:rPr>
          <w:rFonts w:ascii="Times New Roman" w:hAnsi="Times New Roman" w:cs="Times New Roman"/>
          <w:i/>
          <w:sz w:val="24"/>
          <w:szCs w:val="24"/>
        </w:rPr>
        <w:t>ex</w:t>
      </w:r>
      <w:r w:rsidR="00A82BCE">
        <w:rPr>
          <w:rFonts w:ascii="Times New Roman" w:hAnsi="Times New Roman" w:cs="Times New Roman"/>
          <w:i/>
          <w:sz w:val="24"/>
          <w:szCs w:val="24"/>
        </w:rPr>
        <w:t>-</w:t>
      </w:r>
      <w:r w:rsidRPr="00592D65">
        <w:rPr>
          <w:rFonts w:ascii="Times New Roman" w:hAnsi="Times New Roman" w:cs="Times New Roman"/>
          <w:i/>
          <w:sz w:val="24"/>
          <w:szCs w:val="24"/>
        </w:rPr>
        <w:t>post</w:t>
      </w:r>
      <w:r w:rsidRPr="00592D65">
        <w:rPr>
          <w:rFonts w:ascii="Times New Roman" w:hAnsi="Times New Roman" w:cs="Times New Roman"/>
          <w:sz w:val="24"/>
          <w:szCs w:val="24"/>
        </w:rPr>
        <w:t xml:space="preserve"> de impactos do Projeto. No entanto, considerando que durante o seu desenho foi elaborada uma estimativa de retorno do investimento, com base em metodologia de análise de custo-benefício, este capítulo relata os </w:t>
      </w:r>
      <w:r w:rsidRPr="00592D65">
        <w:rPr>
          <w:rFonts w:ascii="Times New Roman" w:hAnsi="Times New Roman" w:cs="Times New Roman"/>
          <w:sz w:val="24"/>
          <w:szCs w:val="24"/>
        </w:rPr>
        <w:lastRenderedPageBreak/>
        <w:t>achados iniciais constantes do documento da operação e os resultados apurados durante o processo de encerramento do Projeto, conforme a seguir descrito.</w:t>
      </w:r>
    </w:p>
    <w:p w:rsidR="00613192" w:rsidRPr="00592D65" w:rsidRDefault="00613192" w:rsidP="009C7A21">
      <w:pPr>
        <w:pStyle w:val="Default"/>
        <w:spacing w:before="240" w:after="240"/>
        <w:jc w:val="both"/>
        <w:rPr>
          <w:rFonts w:ascii="Times New Roman" w:hAnsi="Times New Roman"/>
          <w:lang w:val="pt-BR"/>
        </w:rPr>
      </w:pPr>
      <w:r w:rsidRPr="00592D65">
        <w:rPr>
          <w:rFonts w:ascii="Times New Roman" w:hAnsi="Times New Roman"/>
          <w:b/>
          <w:bCs/>
          <w:lang w:val="pt-BR"/>
        </w:rPr>
        <w:t xml:space="preserve">Análise Financeira </w:t>
      </w:r>
      <w:r w:rsidRPr="00592D65">
        <w:rPr>
          <w:rFonts w:ascii="Times New Roman" w:hAnsi="Times New Roman"/>
          <w:b/>
          <w:bCs/>
          <w:i/>
          <w:lang w:val="pt-BR"/>
        </w:rPr>
        <w:t>ex</w:t>
      </w:r>
      <w:r w:rsidR="00592D65">
        <w:rPr>
          <w:rFonts w:ascii="Times New Roman" w:hAnsi="Times New Roman"/>
          <w:b/>
          <w:bCs/>
          <w:i/>
          <w:lang w:val="pt-BR"/>
        </w:rPr>
        <w:t>-</w:t>
      </w:r>
      <w:r w:rsidRPr="00592D65">
        <w:rPr>
          <w:rFonts w:ascii="Times New Roman" w:hAnsi="Times New Roman"/>
          <w:b/>
          <w:bCs/>
          <w:i/>
          <w:lang w:val="pt-BR"/>
        </w:rPr>
        <w:t>ante</w:t>
      </w:r>
      <w:r w:rsidRPr="00592D65">
        <w:rPr>
          <w:rFonts w:ascii="Times New Roman" w:hAnsi="Times New Roman"/>
          <w:b/>
          <w:bCs/>
          <w:lang w:val="pt-BR"/>
        </w:rPr>
        <w:t xml:space="preserve">. </w:t>
      </w:r>
      <w:r w:rsidR="006D0257">
        <w:rPr>
          <w:rFonts w:ascii="Times New Roman" w:hAnsi="Times New Roman"/>
          <w:lang w:val="pt-BR"/>
        </w:rPr>
        <w:t xml:space="preserve">Considerando o </w:t>
      </w:r>
      <w:r w:rsidRPr="00592D65">
        <w:rPr>
          <w:rFonts w:ascii="Times New Roman" w:hAnsi="Times New Roman"/>
          <w:lang w:val="pt-BR"/>
        </w:rPr>
        <w:t xml:space="preserve">porte da operação, a equipe de Projeto optou pela realização de uma simples análise comparativa entre os custos financeiros incrementais e os benefícios relacionados com a implementação de apenas alguns dos produtos do Projeto. Assim, na análise financeira foram considerados: (i) redução dos custos fazendários; (ii) aumento da receita do IPVA e do ITCD; e (iii) aumento da receita de recuperação de créditos administrativos e judiciais. </w:t>
      </w:r>
    </w:p>
    <w:p w:rsidR="00613192" w:rsidRPr="00592D65" w:rsidRDefault="00613192" w:rsidP="009C7A21">
      <w:pPr>
        <w:pStyle w:val="Default"/>
        <w:spacing w:after="240"/>
        <w:jc w:val="both"/>
        <w:rPr>
          <w:rFonts w:ascii="Times New Roman" w:hAnsi="Times New Roman"/>
          <w:lang w:val="pt-BR"/>
        </w:rPr>
      </w:pPr>
      <w:r w:rsidRPr="00592D65">
        <w:rPr>
          <w:rFonts w:ascii="Times New Roman" w:hAnsi="Times New Roman"/>
          <w:lang w:val="pt-BR"/>
        </w:rPr>
        <w:t>Nessas condições</w:t>
      </w:r>
      <w:r w:rsidR="005C54A9">
        <w:rPr>
          <w:rFonts w:ascii="Times New Roman" w:hAnsi="Times New Roman"/>
          <w:lang w:val="pt-BR"/>
        </w:rPr>
        <w:t>,</w:t>
      </w:r>
      <w:r w:rsidRPr="00592D65">
        <w:rPr>
          <w:rFonts w:ascii="Times New Roman" w:hAnsi="Times New Roman"/>
          <w:lang w:val="pt-BR"/>
        </w:rPr>
        <w:t xml:space="preserve"> foi estimado que no quarto ano de desembolso dos recursos do financiamento para o Projeto (2012) este já apresentaria um benefício financeiro líquido acumulado em valor presente de US$15,1 milhões. Estimou-se ainda que seis anos após o término de sua execução (2018) haveria um benefício financeiro líquido acumulado em valor presente de US$</w:t>
      </w:r>
      <w:r w:rsidR="005C54A9">
        <w:rPr>
          <w:rFonts w:ascii="Times New Roman" w:hAnsi="Times New Roman"/>
          <w:lang w:val="pt-BR"/>
        </w:rPr>
        <w:t>58,5</w:t>
      </w:r>
      <w:r w:rsidRPr="00592D65">
        <w:rPr>
          <w:rFonts w:ascii="Times New Roman" w:hAnsi="Times New Roman"/>
          <w:lang w:val="pt-BR"/>
        </w:rPr>
        <w:t xml:space="preserve"> milhões. Portanto, sob o ponto de vista financeiro o projeto se justificava.</w:t>
      </w:r>
    </w:p>
    <w:p w:rsidR="00613192" w:rsidRPr="00046243" w:rsidRDefault="00613192" w:rsidP="009C7A21">
      <w:pPr>
        <w:tabs>
          <w:tab w:val="left" w:pos="900"/>
        </w:tabs>
        <w:spacing w:after="240" w:line="240" w:lineRule="auto"/>
        <w:jc w:val="both"/>
        <w:rPr>
          <w:rFonts w:ascii="Times New Roman" w:hAnsi="Times New Roman" w:cs="Times New Roman"/>
          <w:sz w:val="24"/>
          <w:szCs w:val="24"/>
        </w:rPr>
      </w:pPr>
      <w:r w:rsidRPr="00592D65">
        <w:rPr>
          <w:rFonts w:ascii="Times New Roman" w:hAnsi="Times New Roman" w:cs="Times New Roman"/>
          <w:b/>
          <w:bCs/>
          <w:sz w:val="24"/>
          <w:szCs w:val="24"/>
        </w:rPr>
        <w:t xml:space="preserve">Análise Financeira </w:t>
      </w:r>
      <w:r w:rsidRPr="00592D65">
        <w:rPr>
          <w:rFonts w:ascii="Times New Roman" w:hAnsi="Times New Roman" w:cs="Times New Roman"/>
          <w:b/>
          <w:bCs/>
          <w:i/>
          <w:sz w:val="24"/>
          <w:szCs w:val="24"/>
        </w:rPr>
        <w:t>ex</w:t>
      </w:r>
      <w:r w:rsidR="00592D65">
        <w:rPr>
          <w:rFonts w:ascii="Times New Roman" w:hAnsi="Times New Roman" w:cs="Times New Roman"/>
          <w:b/>
          <w:bCs/>
          <w:i/>
          <w:sz w:val="24"/>
          <w:szCs w:val="24"/>
        </w:rPr>
        <w:t>-</w:t>
      </w:r>
      <w:r w:rsidRPr="00592D65">
        <w:rPr>
          <w:rFonts w:ascii="Times New Roman" w:hAnsi="Times New Roman" w:cs="Times New Roman"/>
          <w:b/>
          <w:bCs/>
          <w:i/>
          <w:sz w:val="24"/>
          <w:szCs w:val="24"/>
        </w:rPr>
        <w:t>post</w:t>
      </w:r>
      <w:r w:rsidRPr="00592D65">
        <w:rPr>
          <w:rFonts w:ascii="Times New Roman" w:hAnsi="Times New Roman" w:cs="Times New Roman"/>
          <w:b/>
          <w:bCs/>
          <w:sz w:val="24"/>
          <w:szCs w:val="24"/>
        </w:rPr>
        <w:t xml:space="preserve">. </w:t>
      </w:r>
      <w:r w:rsidRPr="00592D65">
        <w:rPr>
          <w:rFonts w:ascii="Times New Roman" w:hAnsi="Times New Roman" w:cs="Times New Roman"/>
          <w:sz w:val="24"/>
          <w:szCs w:val="24"/>
        </w:rPr>
        <w:t xml:space="preserve">A avaliação </w:t>
      </w:r>
      <w:r w:rsidRPr="00592D65">
        <w:rPr>
          <w:rFonts w:ascii="Times New Roman" w:hAnsi="Times New Roman" w:cs="Times New Roman"/>
          <w:i/>
          <w:sz w:val="24"/>
          <w:szCs w:val="24"/>
        </w:rPr>
        <w:t>ex-post</w:t>
      </w:r>
      <w:r w:rsidRPr="00592D65">
        <w:rPr>
          <w:rFonts w:ascii="Times New Roman" w:hAnsi="Times New Roman" w:cs="Times New Roman"/>
          <w:sz w:val="24"/>
          <w:szCs w:val="24"/>
        </w:rPr>
        <w:t xml:space="preserve"> utilizou a mesma metodologia da avaliação </w:t>
      </w:r>
      <w:r w:rsidRPr="00592D65">
        <w:rPr>
          <w:rFonts w:ascii="Times New Roman" w:hAnsi="Times New Roman" w:cs="Times New Roman"/>
          <w:i/>
          <w:sz w:val="24"/>
          <w:szCs w:val="24"/>
        </w:rPr>
        <w:t>ex-ante,</w:t>
      </w:r>
      <w:r w:rsidRPr="00592D65">
        <w:rPr>
          <w:rFonts w:ascii="Times New Roman" w:hAnsi="Times New Roman" w:cs="Times New Roman"/>
          <w:sz w:val="24"/>
          <w:szCs w:val="24"/>
        </w:rPr>
        <w:t xml:space="preserve"> entretanto, em razão da priorização dos produtos mais estratégicos para a aplicação de recursos do financiamento foram considerados apenas os seguintes resultados: (i) redução dos custos fazendários. A composição das despesas de custeio inclui o consumo de energia elétrica das unidades reformadas e construídas, uso da tecnologia VOIP na área de telecomunicações e implantação da nota fiscal eletrônica, com redução no custo de digitação, manuseio e arquivamento; e (ii) incremento da receita do ICMS proveniente do comércio varejista, considerando a Nota Fiscal Cidadã e a Nota Fiscal do Consumidor eletrônica (NFC-e). A análise comparativa dos benefícios </w:t>
      </w:r>
      <w:r w:rsidRPr="00592D65">
        <w:rPr>
          <w:rFonts w:ascii="Times New Roman" w:hAnsi="Times New Roman" w:cs="Times New Roman"/>
          <w:i/>
          <w:sz w:val="24"/>
          <w:szCs w:val="24"/>
        </w:rPr>
        <w:t>ex-ante</w:t>
      </w:r>
      <w:r w:rsidRPr="00592D65">
        <w:rPr>
          <w:rFonts w:ascii="Times New Roman" w:hAnsi="Times New Roman" w:cs="Times New Roman"/>
          <w:sz w:val="24"/>
          <w:szCs w:val="24"/>
        </w:rPr>
        <w:t xml:space="preserve"> e </w:t>
      </w:r>
      <w:r w:rsidRPr="00592D65">
        <w:rPr>
          <w:rFonts w:ascii="Times New Roman" w:hAnsi="Times New Roman" w:cs="Times New Roman"/>
          <w:i/>
          <w:sz w:val="24"/>
          <w:szCs w:val="24"/>
        </w:rPr>
        <w:t>ex-post</w:t>
      </w:r>
      <w:r w:rsidRPr="00592D65">
        <w:rPr>
          <w:rFonts w:ascii="Times New Roman" w:hAnsi="Times New Roman" w:cs="Times New Roman"/>
          <w:sz w:val="24"/>
          <w:szCs w:val="24"/>
        </w:rPr>
        <w:t xml:space="preserve"> está sintetizada no quadro abaixo:</w:t>
      </w:r>
    </w:p>
    <w:tbl>
      <w:tblPr>
        <w:tblW w:w="5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992"/>
        <w:gridCol w:w="1170"/>
        <w:gridCol w:w="1417"/>
      </w:tblGrid>
      <w:tr w:rsidR="00613192" w:rsidRPr="00592D65" w:rsidTr="00592D65">
        <w:trPr>
          <w:trHeight w:val="897"/>
          <w:jc w:val="center"/>
        </w:trPr>
        <w:tc>
          <w:tcPr>
            <w:tcW w:w="1134" w:type="dxa"/>
            <w:shd w:val="clear" w:color="auto" w:fill="auto"/>
          </w:tcPr>
          <w:p w:rsidR="00613192" w:rsidRPr="00592D65" w:rsidRDefault="00613192" w:rsidP="009C7A21">
            <w:pPr>
              <w:pStyle w:val="PargrafodaLista"/>
              <w:tabs>
                <w:tab w:val="left" w:pos="900"/>
              </w:tabs>
              <w:spacing w:after="240" w:line="240" w:lineRule="auto"/>
              <w:ind w:left="0"/>
              <w:contextualSpacing w:val="0"/>
              <w:jc w:val="center"/>
              <w:rPr>
                <w:rFonts w:ascii="Times New Roman" w:hAnsi="Times New Roman" w:cs="Times New Roman"/>
                <w:b/>
                <w:sz w:val="18"/>
                <w:szCs w:val="18"/>
              </w:rPr>
            </w:pPr>
            <w:r w:rsidRPr="00592D65">
              <w:rPr>
                <w:rFonts w:ascii="Times New Roman" w:hAnsi="Times New Roman" w:cs="Times New Roman"/>
                <w:b/>
                <w:sz w:val="18"/>
                <w:szCs w:val="18"/>
              </w:rPr>
              <w:t>Tipo de Análise</w:t>
            </w:r>
          </w:p>
        </w:tc>
        <w:tc>
          <w:tcPr>
            <w:tcW w:w="1276" w:type="dxa"/>
            <w:shd w:val="clear" w:color="auto" w:fill="auto"/>
          </w:tcPr>
          <w:p w:rsidR="00613192" w:rsidRPr="00592D65" w:rsidRDefault="00613192" w:rsidP="009C7A21">
            <w:pPr>
              <w:pStyle w:val="PargrafodaLista"/>
              <w:tabs>
                <w:tab w:val="left" w:pos="900"/>
              </w:tabs>
              <w:spacing w:after="240" w:line="240" w:lineRule="auto"/>
              <w:ind w:left="0"/>
              <w:contextualSpacing w:val="0"/>
              <w:jc w:val="center"/>
              <w:rPr>
                <w:rFonts w:ascii="Times New Roman" w:hAnsi="Times New Roman" w:cs="Times New Roman"/>
                <w:b/>
                <w:sz w:val="18"/>
                <w:szCs w:val="18"/>
              </w:rPr>
            </w:pPr>
            <w:r w:rsidRPr="00592D65">
              <w:rPr>
                <w:rFonts w:ascii="Times New Roman" w:hAnsi="Times New Roman" w:cs="Times New Roman"/>
                <w:b/>
                <w:sz w:val="18"/>
                <w:szCs w:val="18"/>
              </w:rPr>
              <w:t>Número de resultados considerados</w:t>
            </w:r>
          </w:p>
        </w:tc>
        <w:tc>
          <w:tcPr>
            <w:tcW w:w="992" w:type="dxa"/>
            <w:shd w:val="clear" w:color="auto" w:fill="auto"/>
          </w:tcPr>
          <w:p w:rsidR="00613192" w:rsidRPr="00592D65" w:rsidRDefault="00613192" w:rsidP="009C7A21">
            <w:pPr>
              <w:pStyle w:val="PargrafodaLista"/>
              <w:tabs>
                <w:tab w:val="left" w:pos="900"/>
              </w:tabs>
              <w:spacing w:after="240" w:line="240" w:lineRule="auto"/>
              <w:ind w:left="0"/>
              <w:contextualSpacing w:val="0"/>
              <w:jc w:val="center"/>
              <w:rPr>
                <w:rFonts w:ascii="Times New Roman" w:hAnsi="Times New Roman" w:cs="Times New Roman"/>
                <w:b/>
                <w:sz w:val="18"/>
                <w:szCs w:val="18"/>
              </w:rPr>
            </w:pPr>
            <w:r w:rsidRPr="00592D65">
              <w:rPr>
                <w:rFonts w:ascii="Times New Roman" w:hAnsi="Times New Roman" w:cs="Times New Roman"/>
                <w:b/>
                <w:sz w:val="18"/>
                <w:szCs w:val="18"/>
              </w:rPr>
              <w:t xml:space="preserve">Taxa de cambio US$/Real </w:t>
            </w:r>
          </w:p>
        </w:tc>
        <w:tc>
          <w:tcPr>
            <w:tcW w:w="1170" w:type="dxa"/>
            <w:shd w:val="clear" w:color="auto" w:fill="auto"/>
          </w:tcPr>
          <w:p w:rsidR="00613192" w:rsidRPr="00592D65" w:rsidRDefault="00613192" w:rsidP="009C7A21">
            <w:pPr>
              <w:pStyle w:val="PargrafodaLista"/>
              <w:tabs>
                <w:tab w:val="left" w:pos="900"/>
              </w:tabs>
              <w:spacing w:after="240" w:line="240" w:lineRule="auto"/>
              <w:ind w:left="0"/>
              <w:contextualSpacing w:val="0"/>
              <w:jc w:val="center"/>
              <w:rPr>
                <w:rFonts w:ascii="Times New Roman" w:hAnsi="Times New Roman" w:cs="Times New Roman"/>
                <w:b/>
                <w:sz w:val="18"/>
                <w:szCs w:val="18"/>
              </w:rPr>
            </w:pPr>
            <w:r w:rsidRPr="00592D65">
              <w:rPr>
                <w:rFonts w:ascii="Times New Roman" w:hAnsi="Times New Roman" w:cs="Times New Roman"/>
                <w:b/>
                <w:sz w:val="18"/>
                <w:szCs w:val="18"/>
              </w:rPr>
              <w:t xml:space="preserve">Ano de início do retorno financeiro </w:t>
            </w:r>
          </w:p>
        </w:tc>
        <w:tc>
          <w:tcPr>
            <w:tcW w:w="1417" w:type="dxa"/>
            <w:shd w:val="clear" w:color="auto" w:fill="auto"/>
          </w:tcPr>
          <w:p w:rsidR="00613192" w:rsidRPr="00592D65" w:rsidRDefault="00613192" w:rsidP="009C7A21">
            <w:pPr>
              <w:pStyle w:val="PargrafodaLista"/>
              <w:tabs>
                <w:tab w:val="left" w:pos="900"/>
              </w:tabs>
              <w:spacing w:after="240" w:line="240" w:lineRule="auto"/>
              <w:ind w:left="0"/>
              <w:contextualSpacing w:val="0"/>
              <w:jc w:val="center"/>
              <w:rPr>
                <w:rFonts w:ascii="Times New Roman" w:hAnsi="Times New Roman" w:cs="Times New Roman"/>
                <w:b/>
                <w:sz w:val="18"/>
                <w:szCs w:val="18"/>
              </w:rPr>
            </w:pPr>
            <w:r w:rsidRPr="00592D65">
              <w:rPr>
                <w:rFonts w:ascii="Times New Roman" w:hAnsi="Times New Roman" w:cs="Times New Roman"/>
                <w:b/>
                <w:sz w:val="18"/>
                <w:szCs w:val="18"/>
              </w:rPr>
              <w:t xml:space="preserve">Valor Presente Líquido (VPL) acumulado em 2018 </w:t>
            </w:r>
          </w:p>
        </w:tc>
      </w:tr>
      <w:tr w:rsidR="00613192" w:rsidRPr="00592D65" w:rsidTr="00E97E1F">
        <w:trPr>
          <w:trHeight w:val="233"/>
          <w:jc w:val="center"/>
        </w:trPr>
        <w:tc>
          <w:tcPr>
            <w:tcW w:w="1134" w:type="dxa"/>
            <w:shd w:val="clear" w:color="auto" w:fill="auto"/>
            <w:vAlign w:val="center"/>
          </w:tcPr>
          <w:p w:rsidR="00613192" w:rsidRPr="00592D65" w:rsidRDefault="00613192" w:rsidP="00E97E1F">
            <w:pPr>
              <w:pStyle w:val="PargrafodaLista"/>
              <w:tabs>
                <w:tab w:val="left" w:pos="900"/>
              </w:tabs>
              <w:spacing w:after="240" w:line="240" w:lineRule="auto"/>
              <w:ind w:left="0"/>
              <w:contextualSpacing w:val="0"/>
              <w:jc w:val="center"/>
              <w:rPr>
                <w:rFonts w:ascii="Times New Roman" w:hAnsi="Times New Roman" w:cs="Times New Roman"/>
                <w:b/>
                <w:i/>
                <w:sz w:val="18"/>
                <w:szCs w:val="18"/>
              </w:rPr>
            </w:pPr>
            <w:r w:rsidRPr="00592D65">
              <w:rPr>
                <w:rFonts w:ascii="Times New Roman" w:hAnsi="Times New Roman" w:cs="Times New Roman"/>
                <w:b/>
                <w:i/>
                <w:sz w:val="18"/>
                <w:szCs w:val="18"/>
              </w:rPr>
              <w:t>Ex-ante</w:t>
            </w:r>
          </w:p>
        </w:tc>
        <w:tc>
          <w:tcPr>
            <w:tcW w:w="1276" w:type="dxa"/>
            <w:shd w:val="clear" w:color="auto" w:fill="auto"/>
            <w:vAlign w:val="center"/>
          </w:tcPr>
          <w:p w:rsidR="00613192" w:rsidRPr="00592D65" w:rsidRDefault="00613192" w:rsidP="00E97E1F">
            <w:pPr>
              <w:pStyle w:val="PargrafodaLista"/>
              <w:tabs>
                <w:tab w:val="left" w:pos="900"/>
              </w:tabs>
              <w:spacing w:after="240" w:line="240" w:lineRule="auto"/>
              <w:ind w:left="0"/>
              <w:contextualSpacing w:val="0"/>
              <w:jc w:val="center"/>
              <w:rPr>
                <w:rFonts w:ascii="Times New Roman" w:hAnsi="Times New Roman" w:cs="Times New Roman"/>
                <w:sz w:val="18"/>
                <w:szCs w:val="18"/>
              </w:rPr>
            </w:pPr>
            <w:r w:rsidRPr="00592D65">
              <w:rPr>
                <w:rFonts w:ascii="Times New Roman" w:hAnsi="Times New Roman" w:cs="Times New Roman"/>
                <w:sz w:val="18"/>
                <w:szCs w:val="18"/>
              </w:rPr>
              <w:t>3</w:t>
            </w:r>
          </w:p>
        </w:tc>
        <w:tc>
          <w:tcPr>
            <w:tcW w:w="992" w:type="dxa"/>
            <w:shd w:val="clear" w:color="auto" w:fill="auto"/>
            <w:vAlign w:val="center"/>
          </w:tcPr>
          <w:p w:rsidR="00613192" w:rsidRPr="00592D65" w:rsidRDefault="00613192" w:rsidP="00E97E1F">
            <w:pPr>
              <w:pStyle w:val="PargrafodaLista"/>
              <w:tabs>
                <w:tab w:val="left" w:pos="900"/>
              </w:tabs>
              <w:spacing w:after="240" w:line="240" w:lineRule="auto"/>
              <w:ind w:left="0"/>
              <w:contextualSpacing w:val="0"/>
              <w:jc w:val="center"/>
              <w:rPr>
                <w:rFonts w:ascii="Times New Roman" w:hAnsi="Times New Roman" w:cs="Times New Roman"/>
                <w:sz w:val="18"/>
                <w:szCs w:val="18"/>
              </w:rPr>
            </w:pPr>
            <w:r w:rsidRPr="00592D65">
              <w:rPr>
                <w:rFonts w:ascii="Times New Roman" w:hAnsi="Times New Roman" w:cs="Times New Roman"/>
                <w:sz w:val="18"/>
                <w:szCs w:val="18"/>
              </w:rPr>
              <w:t>2,0</w:t>
            </w:r>
          </w:p>
        </w:tc>
        <w:tc>
          <w:tcPr>
            <w:tcW w:w="1170" w:type="dxa"/>
            <w:shd w:val="clear" w:color="auto" w:fill="auto"/>
            <w:vAlign w:val="center"/>
          </w:tcPr>
          <w:p w:rsidR="00613192" w:rsidRPr="00592D65" w:rsidRDefault="00613192" w:rsidP="00E97E1F">
            <w:pPr>
              <w:pStyle w:val="PargrafodaLista"/>
              <w:tabs>
                <w:tab w:val="left" w:pos="900"/>
              </w:tabs>
              <w:spacing w:after="240" w:line="240" w:lineRule="auto"/>
              <w:ind w:left="0"/>
              <w:contextualSpacing w:val="0"/>
              <w:jc w:val="center"/>
              <w:rPr>
                <w:rFonts w:ascii="Times New Roman" w:hAnsi="Times New Roman" w:cs="Times New Roman"/>
                <w:sz w:val="18"/>
                <w:szCs w:val="18"/>
              </w:rPr>
            </w:pPr>
            <w:r w:rsidRPr="00592D65">
              <w:rPr>
                <w:rFonts w:ascii="Times New Roman" w:hAnsi="Times New Roman" w:cs="Times New Roman"/>
                <w:sz w:val="18"/>
                <w:szCs w:val="18"/>
              </w:rPr>
              <w:t>2012</w:t>
            </w:r>
          </w:p>
        </w:tc>
        <w:tc>
          <w:tcPr>
            <w:tcW w:w="1417" w:type="dxa"/>
            <w:shd w:val="clear" w:color="auto" w:fill="auto"/>
            <w:vAlign w:val="center"/>
          </w:tcPr>
          <w:p w:rsidR="00613192" w:rsidRPr="00592D65" w:rsidRDefault="00C2602F" w:rsidP="00E97E1F">
            <w:pPr>
              <w:pStyle w:val="PargrafodaLista"/>
              <w:tabs>
                <w:tab w:val="left" w:pos="900"/>
              </w:tabs>
              <w:spacing w:after="240" w:line="240" w:lineRule="auto"/>
              <w:ind w:left="0"/>
              <w:contextualSpacing w:val="0"/>
              <w:jc w:val="center"/>
              <w:rPr>
                <w:rFonts w:ascii="Times New Roman" w:hAnsi="Times New Roman" w:cs="Times New Roman"/>
                <w:sz w:val="18"/>
                <w:szCs w:val="18"/>
              </w:rPr>
            </w:pPr>
            <w:r w:rsidRPr="00DE0912">
              <w:rPr>
                <w:rFonts w:ascii="Times New Roman" w:hAnsi="Times New Roman" w:cs="Times New Roman"/>
                <w:sz w:val="18"/>
                <w:szCs w:val="18"/>
              </w:rPr>
              <w:t>58.555</w:t>
            </w:r>
          </w:p>
        </w:tc>
      </w:tr>
      <w:tr w:rsidR="00613192" w:rsidRPr="00046243" w:rsidTr="00E97E1F">
        <w:trPr>
          <w:jc w:val="center"/>
        </w:trPr>
        <w:tc>
          <w:tcPr>
            <w:tcW w:w="1134" w:type="dxa"/>
            <w:shd w:val="clear" w:color="auto" w:fill="auto"/>
            <w:vAlign w:val="center"/>
          </w:tcPr>
          <w:p w:rsidR="00613192" w:rsidRPr="00592D65" w:rsidRDefault="00613192" w:rsidP="00E97E1F">
            <w:pPr>
              <w:pStyle w:val="PargrafodaLista"/>
              <w:tabs>
                <w:tab w:val="left" w:pos="900"/>
              </w:tabs>
              <w:spacing w:after="240" w:line="240" w:lineRule="auto"/>
              <w:ind w:left="0"/>
              <w:contextualSpacing w:val="0"/>
              <w:jc w:val="center"/>
              <w:rPr>
                <w:rFonts w:ascii="Times New Roman" w:hAnsi="Times New Roman" w:cs="Times New Roman"/>
                <w:b/>
                <w:i/>
                <w:sz w:val="18"/>
                <w:szCs w:val="18"/>
              </w:rPr>
            </w:pPr>
            <w:r w:rsidRPr="00592D65">
              <w:rPr>
                <w:rFonts w:ascii="Times New Roman" w:hAnsi="Times New Roman" w:cs="Times New Roman"/>
                <w:b/>
                <w:i/>
                <w:sz w:val="18"/>
                <w:szCs w:val="18"/>
              </w:rPr>
              <w:t>Ex-post</w:t>
            </w:r>
          </w:p>
        </w:tc>
        <w:tc>
          <w:tcPr>
            <w:tcW w:w="1276" w:type="dxa"/>
            <w:shd w:val="clear" w:color="auto" w:fill="auto"/>
            <w:vAlign w:val="center"/>
          </w:tcPr>
          <w:p w:rsidR="00613192" w:rsidRPr="00592D65" w:rsidRDefault="00613192" w:rsidP="00E97E1F">
            <w:pPr>
              <w:pStyle w:val="PargrafodaLista"/>
              <w:tabs>
                <w:tab w:val="left" w:pos="900"/>
              </w:tabs>
              <w:spacing w:after="240" w:line="240" w:lineRule="auto"/>
              <w:ind w:left="0"/>
              <w:contextualSpacing w:val="0"/>
              <w:jc w:val="center"/>
              <w:rPr>
                <w:rFonts w:ascii="Times New Roman" w:hAnsi="Times New Roman" w:cs="Times New Roman"/>
                <w:sz w:val="18"/>
                <w:szCs w:val="18"/>
              </w:rPr>
            </w:pPr>
            <w:r w:rsidRPr="00592D65">
              <w:rPr>
                <w:rFonts w:ascii="Times New Roman" w:hAnsi="Times New Roman" w:cs="Times New Roman"/>
                <w:sz w:val="18"/>
                <w:szCs w:val="18"/>
              </w:rPr>
              <w:t>2</w:t>
            </w:r>
          </w:p>
        </w:tc>
        <w:tc>
          <w:tcPr>
            <w:tcW w:w="992" w:type="dxa"/>
            <w:shd w:val="clear" w:color="auto" w:fill="auto"/>
            <w:vAlign w:val="center"/>
          </w:tcPr>
          <w:p w:rsidR="00613192" w:rsidRPr="00592D65" w:rsidRDefault="00613192" w:rsidP="00E97E1F">
            <w:pPr>
              <w:pStyle w:val="PargrafodaLista"/>
              <w:tabs>
                <w:tab w:val="left" w:pos="900"/>
              </w:tabs>
              <w:spacing w:after="240" w:line="240" w:lineRule="auto"/>
              <w:ind w:left="0"/>
              <w:contextualSpacing w:val="0"/>
              <w:jc w:val="center"/>
              <w:rPr>
                <w:rFonts w:ascii="Times New Roman" w:hAnsi="Times New Roman" w:cs="Times New Roman"/>
                <w:sz w:val="18"/>
                <w:szCs w:val="18"/>
              </w:rPr>
            </w:pPr>
            <w:r w:rsidRPr="00592D65">
              <w:rPr>
                <w:rFonts w:ascii="Times New Roman" w:hAnsi="Times New Roman" w:cs="Times New Roman"/>
                <w:sz w:val="18"/>
                <w:szCs w:val="18"/>
              </w:rPr>
              <w:t>3,2</w:t>
            </w:r>
          </w:p>
        </w:tc>
        <w:tc>
          <w:tcPr>
            <w:tcW w:w="1170" w:type="dxa"/>
            <w:shd w:val="clear" w:color="auto" w:fill="auto"/>
            <w:vAlign w:val="center"/>
          </w:tcPr>
          <w:p w:rsidR="00613192" w:rsidRPr="00592D65" w:rsidRDefault="00613192" w:rsidP="00E97E1F">
            <w:pPr>
              <w:pStyle w:val="PargrafodaLista"/>
              <w:tabs>
                <w:tab w:val="left" w:pos="900"/>
              </w:tabs>
              <w:spacing w:after="240" w:line="240" w:lineRule="auto"/>
              <w:ind w:left="0"/>
              <w:contextualSpacing w:val="0"/>
              <w:jc w:val="center"/>
              <w:rPr>
                <w:rFonts w:ascii="Times New Roman" w:hAnsi="Times New Roman" w:cs="Times New Roman"/>
                <w:sz w:val="18"/>
                <w:szCs w:val="18"/>
              </w:rPr>
            </w:pPr>
            <w:r w:rsidRPr="00592D65">
              <w:rPr>
                <w:rFonts w:ascii="Times New Roman" w:hAnsi="Times New Roman" w:cs="Times New Roman"/>
                <w:sz w:val="18"/>
                <w:szCs w:val="18"/>
              </w:rPr>
              <w:t>2012</w:t>
            </w:r>
          </w:p>
        </w:tc>
        <w:tc>
          <w:tcPr>
            <w:tcW w:w="1417" w:type="dxa"/>
            <w:shd w:val="clear" w:color="auto" w:fill="auto"/>
            <w:vAlign w:val="center"/>
          </w:tcPr>
          <w:p w:rsidR="00613192" w:rsidRPr="00592D65" w:rsidRDefault="00613192" w:rsidP="00E97E1F">
            <w:pPr>
              <w:pStyle w:val="PargrafodaLista"/>
              <w:tabs>
                <w:tab w:val="left" w:pos="900"/>
                <w:tab w:val="left" w:pos="1162"/>
              </w:tabs>
              <w:spacing w:after="240" w:line="240" w:lineRule="auto"/>
              <w:ind w:left="0"/>
              <w:contextualSpacing w:val="0"/>
              <w:jc w:val="center"/>
              <w:rPr>
                <w:rFonts w:ascii="Times New Roman" w:hAnsi="Times New Roman" w:cs="Times New Roman"/>
                <w:sz w:val="18"/>
                <w:szCs w:val="18"/>
              </w:rPr>
            </w:pPr>
            <w:r w:rsidRPr="00592D65">
              <w:rPr>
                <w:rFonts w:ascii="Times New Roman" w:hAnsi="Times New Roman" w:cs="Times New Roman"/>
                <w:sz w:val="18"/>
                <w:szCs w:val="18"/>
              </w:rPr>
              <w:t>86.654</w:t>
            </w:r>
          </w:p>
        </w:tc>
      </w:tr>
    </w:tbl>
    <w:p w:rsidR="00613192" w:rsidRPr="00046243" w:rsidRDefault="00613192" w:rsidP="009C7A21">
      <w:pPr>
        <w:tabs>
          <w:tab w:val="left" w:pos="900"/>
        </w:tabs>
        <w:spacing w:before="120" w:after="240" w:line="240" w:lineRule="auto"/>
        <w:jc w:val="both"/>
        <w:rPr>
          <w:rFonts w:ascii="Times New Roman" w:hAnsi="Times New Roman" w:cs="Times New Roman"/>
          <w:sz w:val="24"/>
          <w:szCs w:val="24"/>
        </w:rPr>
      </w:pPr>
      <w:r w:rsidRPr="00592D65">
        <w:rPr>
          <w:rFonts w:ascii="Times New Roman" w:hAnsi="Times New Roman" w:cs="Times New Roman"/>
          <w:sz w:val="24"/>
          <w:szCs w:val="24"/>
        </w:rPr>
        <w:t xml:space="preserve">A comparação entre os resultados estimados e os realizados permite concluir que: (i) a diferença na variação cambial, em razão da desvalorização do real no período, atuou de forma desfavorável no cálculo dos benefícios em dólares; (ii) o Projeto produziu os resultados de aumento de receita e economia de gastos a partir de 2012, mesmo ano estimado avaliação </w:t>
      </w:r>
      <w:r w:rsidRPr="00592D65">
        <w:rPr>
          <w:rFonts w:ascii="Times New Roman" w:hAnsi="Times New Roman" w:cs="Times New Roman"/>
          <w:i/>
          <w:sz w:val="24"/>
          <w:szCs w:val="24"/>
        </w:rPr>
        <w:t>ex-ante</w:t>
      </w:r>
      <w:r w:rsidRPr="00592D65">
        <w:rPr>
          <w:rFonts w:ascii="Times New Roman" w:hAnsi="Times New Roman" w:cs="Times New Roman"/>
          <w:sz w:val="24"/>
          <w:szCs w:val="24"/>
        </w:rPr>
        <w:t xml:space="preserve">; (iii) o valor do retorno financeiro inicial projetado para 2018 foi de US$58.555 milhões, quando o benefício estimado na avaliação </w:t>
      </w:r>
      <w:r w:rsidRPr="00592D65">
        <w:rPr>
          <w:rFonts w:ascii="Times New Roman" w:hAnsi="Times New Roman" w:cs="Times New Roman"/>
          <w:i/>
          <w:sz w:val="24"/>
          <w:szCs w:val="24"/>
        </w:rPr>
        <w:t>ex-post</w:t>
      </w:r>
      <w:r w:rsidRPr="00592D65">
        <w:rPr>
          <w:rFonts w:ascii="Times New Roman" w:hAnsi="Times New Roman" w:cs="Times New Roman"/>
          <w:sz w:val="24"/>
          <w:szCs w:val="24"/>
        </w:rPr>
        <w:t xml:space="preserve"> na mesma data foi de US$86.654 milhões.</w:t>
      </w:r>
    </w:p>
    <w:p w:rsidR="00613192" w:rsidRPr="00046243" w:rsidRDefault="00613192" w:rsidP="009C7A21">
      <w:pPr>
        <w:spacing w:after="240" w:line="240" w:lineRule="auto"/>
        <w:jc w:val="both"/>
        <w:rPr>
          <w:rFonts w:ascii="Times New Roman" w:hAnsi="Times New Roman" w:cs="Times New Roman"/>
          <w:sz w:val="24"/>
          <w:szCs w:val="24"/>
        </w:rPr>
      </w:pPr>
      <w:r w:rsidRPr="00592D65">
        <w:rPr>
          <w:rFonts w:ascii="Times New Roman" w:hAnsi="Times New Roman" w:cs="Times New Roman"/>
          <w:sz w:val="24"/>
          <w:szCs w:val="24"/>
        </w:rPr>
        <w:t>A equipe de avaliação considera que os benefícios apresentados pelo Projeto foram mais robustos em razão da substituição dos produtos relacionados com o aumento da receita do IPVA e do ITCMD pela NFC-e vinculada à Nota Fiscal Cidadã, relacionada com o aumento da arrecadação do ICMS.</w:t>
      </w:r>
    </w:p>
    <w:p w:rsidR="00102424" w:rsidRPr="00046243" w:rsidRDefault="007D46B3" w:rsidP="009C7A21">
      <w:pPr>
        <w:pStyle w:val="Ttulo2"/>
        <w:numPr>
          <w:ilvl w:val="1"/>
          <w:numId w:val="2"/>
        </w:numPr>
        <w:spacing w:after="240" w:line="240" w:lineRule="auto"/>
        <w:rPr>
          <w:rFonts w:ascii="Times New Roman" w:hAnsi="Times New Roman" w:cs="Times New Roman"/>
          <w:color w:val="auto"/>
          <w:sz w:val="24"/>
          <w:szCs w:val="24"/>
        </w:rPr>
      </w:pPr>
      <w:bookmarkStart w:id="14" w:name="_Toc431190866"/>
      <w:r w:rsidRPr="00046243">
        <w:rPr>
          <w:rFonts w:ascii="Times New Roman" w:hAnsi="Times New Roman" w:cs="Times New Roman"/>
          <w:color w:val="auto"/>
          <w:sz w:val="24"/>
          <w:szCs w:val="24"/>
        </w:rPr>
        <w:lastRenderedPageBreak/>
        <w:t xml:space="preserve">Situação </w:t>
      </w:r>
      <w:r w:rsidR="00102424" w:rsidRPr="00046243">
        <w:rPr>
          <w:rFonts w:ascii="Times New Roman" w:hAnsi="Times New Roman" w:cs="Times New Roman"/>
          <w:color w:val="auto"/>
          <w:sz w:val="24"/>
          <w:szCs w:val="24"/>
        </w:rPr>
        <w:t>dos desembolsos do Projeto</w:t>
      </w:r>
      <w:bookmarkEnd w:id="14"/>
    </w:p>
    <w:p w:rsidR="00613192" w:rsidRPr="00B07803" w:rsidRDefault="00C34E66" w:rsidP="009C7A21">
      <w:pPr>
        <w:spacing w:before="240" w:after="240" w:line="240" w:lineRule="auto"/>
        <w:jc w:val="both"/>
        <w:rPr>
          <w:rFonts w:ascii="Times New Roman" w:hAnsi="Times New Roman" w:cs="Times New Roman"/>
          <w:sz w:val="24"/>
          <w:szCs w:val="24"/>
        </w:rPr>
      </w:pPr>
      <w:r w:rsidRPr="00B07803">
        <w:rPr>
          <w:rFonts w:ascii="Times New Roman" w:eastAsia="Times New Roman" w:hAnsi="Times New Roman" w:cs="Times New Roman"/>
          <w:sz w:val="24"/>
          <w:szCs w:val="24"/>
        </w:rPr>
        <w:t>O custo total do Projeto é de US$</w:t>
      </w:r>
      <w:r w:rsidRPr="00B07803">
        <w:rPr>
          <w:rFonts w:ascii="Times New Roman" w:hAnsi="Times New Roman" w:cs="Times New Roman"/>
          <w:sz w:val="24"/>
          <w:szCs w:val="24"/>
        </w:rPr>
        <w:t>1</w:t>
      </w:r>
      <w:r w:rsidRPr="00B07803">
        <w:rPr>
          <w:rFonts w:ascii="Times New Roman" w:eastAsia="Times New Roman" w:hAnsi="Times New Roman" w:cs="Times New Roman"/>
          <w:sz w:val="24"/>
          <w:szCs w:val="24"/>
        </w:rPr>
        <w:t>4,0 milhões (</w:t>
      </w:r>
      <w:r w:rsidR="00406667" w:rsidRPr="00B07803">
        <w:rPr>
          <w:rFonts w:ascii="Times New Roman" w:hAnsi="Times New Roman" w:cs="Times New Roman"/>
          <w:sz w:val="24"/>
          <w:szCs w:val="24"/>
        </w:rPr>
        <w:t>qu</w:t>
      </w:r>
      <w:r w:rsidRPr="00B07803">
        <w:rPr>
          <w:rFonts w:ascii="Times New Roman" w:hAnsi="Times New Roman" w:cs="Times New Roman"/>
          <w:sz w:val="24"/>
          <w:szCs w:val="24"/>
        </w:rPr>
        <w:t xml:space="preserve">atorze </w:t>
      </w:r>
      <w:r w:rsidRPr="00B07803">
        <w:rPr>
          <w:rFonts w:ascii="Times New Roman" w:eastAsia="Times New Roman" w:hAnsi="Times New Roman" w:cs="Times New Roman"/>
          <w:sz w:val="24"/>
          <w:szCs w:val="24"/>
        </w:rPr>
        <w:t xml:space="preserve">milhões de dólares), sendo </w:t>
      </w:r>
      <w:r w:rsidRPr="00B07803">
        <w:rPr>
          <w:rFonts w:ascii="Times New Roman" w:hAnsi="Times New Roman" w:cs="Times New Roman"/>
          <w:sz w:val="24"/>
          <w:szCs w:val="24"/>
        </w:rPr>
        <w:t>US$1</w:t>
      </w:r>
      <w:r w:rsidRPr="00B07803">
        <w:rPr>
          <w:rFonts w:ascii="Times New Roman" w:eastAsia="Times New Roman" w:hAnsi="Times New Roman" w:cs="Times New Roman"/>
          <w:sz w:val="24"/>
          <w:szCs w:val="24"/>
        </w:rPr>
        <w:t>0,0 milhões (</w:t>
      </w:r>
      <w:r w:rsidRPr="00B07803">
        <w:rPr>
          <w:rFonts w:ascii="Times New Roman" w:hAnsi="Times New Roman" w:cs="Times New Roman"/>
          <w:sz w:val="24"/>
          <w:szCs w:val="24"/>
        </w:rPr>
        <w:t>dez</w:t>
      </w:r>
      <w:r w:rsidRPr="00B07803">
        <w:rPr>
          <w:rFonts w:ascii="Times New Roman" w:eastAsia="Times New Roman" w:hAnsi="Times New Roman" w:cs="Times New Roman"/>
          <w:sz w:val="24"/>
          <w:szCs w:val="24"/>
        </w:rPr>
        <w:t xml:space="preserve"> milhões de dólares) de financiamento e US$4,0 milhões (quatro milhões de dólares) de contrapartida local do Estado d</w:t>
      </w:r>
      <w:r w:rsidRPr="00B07803">
        <w:rPr>
          <w:rFonts w:ascii="Times New Roman" w:hAnsi="Times New Roman" w:cs="Times New Roman"/>
          <w:sz w:val="24"/>
          <w:szCs w:val="24"/>
        </w:rPr>
        <w:t>o Pará</w:t>
      </w:r>
      <w:r w:rsidRPr="00B07803">
        <w:rPr>
          <w:rFonts w:ascii="Times New Roman" w:eastAsia="Times New Roman" w:hAnsi="Times New Roman" w:cs="Times New Roman"/>
          <w:sz w:val="24"/>
          <w:szCs w:val="24"/>
        </w:rPr>
        <w:t xml:space="preserve">. </w:t>
      </w:r>
      <w:r w:rsidR="00E75E30" w:rsidRPr="00B07803">
        <w:rPr>
          <w:rFonts w:ascii="Times New Roman" w:eastAsia="Times New Roman" w:hAnsi="Times New Roman" w:cs="Times New Roman"/>
          <w:sz w:val="24"/>
          <w:szCs w:val="24"/>
        </w:rPr>
        <w:t xml:space="preserve">O prazo para desembolso dos recursos do Financiamento, inicialmente fixado em </w:t>
      </w:r>
      <w:r w:rsidR="00E75E30" w:rsidRPr="00B07803">
        <w:rPr>
          <w:rFonts w:ascii="Times New Roman" w:hAnsi="Times New Roman" w:cs="Times New Roman"/>
          <w:sz w:val="24"/>
          <w:szCs w:val="24"/>
        </w:rPr>
        <w:t>4</w:t>
      </w:r>
      <w:r w:rsidR="00E75E30" w:rsidRPr="00B07803">
        <w:rPr>
          <w:rFonts w:ascii="Times New Roman" w:eastAsia="Times New Roman" w:hAnsi="Times New Roman" w:cs="Times New Roman"/>
          <w:sz w:val="24"/>
          <w:szCs w:val="24"/>
        </w:rPr>
        <w:t xml:space="preserve"> (</w:t>
      </w:r>
      <w:r w:rsidR="00E75E30" w:rsidRPr="00B07803">
        <w:rPr>
          <w:rFonts w:ascii="Times New Roman" w:hAnsi="Times New Roman" w:cs="Times New Roman"/>
          <w:sz w:val="24"/>
          <w:szCs w:val="24"/>
        </w:rPr>
        <w:t>quatro</w:t>
      </w:r>
      <w:r w:rsidR="00E75E30" w:rsidRPr="00B07803">
        <w:rPr>
          <w:rFonts w:ascii="Times New Roman" w:eastAsia="Times New Roman" w:hAnsi="Times New Roman" w:cs="Times New Roman"/>
          <w:sz w:val="24"/>
          <w:szCs w:val="24"/>
        </w:rPr>
        <w:t xml:space="preserve">) anos, foi prorrogado por mais </w:t>
      </w:r>
      <w:r w:rsidR="00B96E79" w:rsidRPr="00B07803">
        <w:rPr>
          <w:rFonts w:ascii="Times New Roman" w:hAnsi="Times New Roman" w:cs="Times New Roman"/>
          <w:sz w:val="24"/>
          <w:szCs w:val="24"/>
        </w:rPr>
        <w:t>2</w:t>
      </w:r>
      <w:r w:rsidR="00613192" w:rsidRPr="00B07803">
        <w:rPr>
          <w:rFonts w:ascii="Times New Roman" w:eastAsia="Times New Roman" w:hAnsi="Times New Roman" w:cs="Times New Roman"/>
          <w:sz w:val="24"/>
          <w:szCs w:val="24"/>
        </w:rPr>
        <w:t xml:space="preserve"> (dois) anos devido </w:t>
      </w:r>
      <w:r w:rsidR="005C54A9">
        <w:rPr>
          <w:rFonts w:ascii="Times New Roman" w:eastAsia="Times New Roman" w:hAnsi="Times New Roman" w:cs="Times New Roman"/>
          <w:sz w:val="24"/>
          <w:szCs w:val="24"/>
        </w:rPr>
        <w:t>à</w:t>
      </w:r>
      <w:r w:rsidR="00613192" w:rsidRPr="00B07803">
        <w:rPr>
          <w:rFonts w:ascii="Times New Roman" w:eastAsia="Times New Roman" w:hAnsi="Times New Roman" w:cs="Times New Roman"/>
          <w:sz w:val="24"/>
          <w:szCs w:val="24"/>
        </w:rPr>
        <w:t>s dificuldades enfrentadas pela equipe</w:t>
      </w:r>
      <w:r w:rsidR="00DE0912">
        <w:rPr>
          <w:rFonts w:ascii="Times New Roman" w:eastAsia="Times New Roman" w:hAnsi="Times New Roman" w:cs="Times New Roman"/>
          <w:sz w:val="24"/>
          <w:szCs w:val="24"/>
        </w:rPr>
        <w:t xml:space="preserve"> </w:t>
      </w:r>
      <w:r w:rsidR="005C54A9">
        <w:rPr>
          <w:rFonts w:ascii="Times New Roman" w:eastAsia="Times New Roman" w:hAnsi="Times New Roman" w:cs="Times New Roman"/>
          <w:sz w:val="24"/>
          <w:szCs w:val="24"/>
        </w:rPr>
        <w:t xml:space="preserve"> decorrentes de</w:t>
      </w:r>
      <w:r w:rsidR="00E75E30" w:rsidRPr="00B07803">
        <w:rPr>
          <w:rFonts w:ascii="Times New Roman" w:eastAsia="Times New Roman" w:hAnsi="Times New Roman" w:cs="Times New Roman"/>
          <w:sz w:val="24"/>
          <w:szCs w:val="24"/>
        </w:rPr>
        <w:t>:</w:t>
      </w:r>
      <w:r w:rsidR="00613192" w:rsidRPr="00B07803">
        <w:rPr>
          <w:rFonts w:ascii="Times New Roman" w:eastAsia="Times New Roman" w:hAnsi="Times New Roman" w:cs="Times New Roman"/>
          <w:sz w:val="24"/>
          <w:szCs w:val="24"/>
        </w:rPr>
        <w:t xml:space="preserve"> </w:t>
      </w:r>
      <w:r w:rsidR="00613192" w:rsidRPr="00B07803">
        <w:rPr>
          <w:rFonts w:ascii="Times New Roman" w:hAnsi="Times New Roman" w:cs="Times New Roman"/>
          <w:sz w:val="24"/>
          <w:szCs w:val="24"/>
        </w:rPr>
        <w:t xml:space="preserve">(i) </w:t>
      </w:r>
      <w:r w:rsidR="005C54A9">
        <w:rPr>
          <w:rFonts w:ascii="Times New Roman" w:hAnsi="Times New Roman" w:cs="Times New Roman"/>
          <w:sz w:val="24"/>
          <w:szCs w:val="24"/>
        </w:rPr>
        <w:t>p</w:t>
      </w:r>
      <w:r w:rsidR="00613192" w:rsidRPr="00B07803">
        <w:rPr>
          <w:rFonts w:ascii="Times New Roman" w:hAnsi="Times New Roman" w:cs="Times New Roman"/>
          <w:sz w:val="24"/>
          <w:szCs w:val="24"/>
        </w:rPr>
        <w:t xml:space="preserve">ulverização dos produtos na preparação e até o início da execução; (ii) </w:t>
      </w:r>
      <w:r w:rsidR="005C54A9">
        <w:rPr>
          <w:rFonts w:ascii="Times New Roman" w:hAnsi="Times New Roman" w:cs="Times New Roman"/>
          <w:sz w:val="24"/>
          <w:szCs w:val="24"/>
        </w:rPr>
        <w:t xml:space="preserve">pouca </w:t>
      </w:r>
      <w:r w:rsidR="00613192" w:rsidRPr="00B07803">
        <w:rPr>
          <w:rFonts w:ascii="Times New Roman" w:hAnsi="Times New Roman" w:cs="Times New Roman"/>
          <w:sz w:val="24"/>
          <w:szCs w:val="24"/>
        </w:rPr>
        <w:t xml:space="preserve">capacidade institucional para executar o projeto no tempo planejado; (iii) </w:t>
      </w:r>
      <w:r w:rsidR="005C54A9">
        <w:rPr>
          <w:rFonts w:ascii="Times New Roman" w:hAnsi="Times New Roman" w:cs="Times New Roman"/>
          <w:sz w:val="24"/>
          <w:szCs w:val="24"/>
        </w:rPr>
        <w:t>p</w:t>
      </w:r>
      <w:r w:rsidR="00613192" w:rsidRPr="00B07803">
        <w:rPr>
          <w:rFonts w:ascii="Times New Roman" w:hAnsi="Times New Roman" w:cs="Times New Roman"/>
          <w:sz w:val="24"/>
          <w:szCs w:val="24"/>
        </w:rPr>
        <w:t xml:space="preserve">ouca experiência da Consultoria Jurídica com projetos financiados com recursos internacionais; e (iv) </w:t>
      </w:r>
      <w:r w:rsidR="005C54A9">
        <w:rPr>
          <w:rFonts w:ascii="Times New Roman" w:hAnsi="Times New Roman" w:cs="Times New Roman"/>
          <w:sz w:val="24"/>
          <w:szCs w:val="24"/>
        </w:rPr>
        <w:t>d</w:t>
      </w:r>
      <w:r w:rsidR="00613192" w:rsidRPr="00B07803">
        <w:rPr>
          <w:rFonts w:ascii="Times New Roman" w:hAnsi="Times New Roman" w:cs="Times New Roman"/>
          <w:sz w:val="24"/>
          <w:szCs w:val="24"/>
        </w:rPr>
        <w:t>ificuldade das áreas técnicas para elaboração dos Termos de Referência (TdR) para contratação de consultorias.</w:t>
      </w:r>
    </w:p>
    <w:p w:rsidR="00613192" w:rsidRPr="00B07803" w:rsidRDefault="00613192" w:rsidP="00FC2907">
      <w:pPr>
        <w:spacing w:before="120" w:after="240" w:line="240" w:lineRule="auto"/>
        <w:ind w:right="4"/>
        <w:jc w:val="both"/>
        <w:rPr>
          <w:rFonts w:ascii="Times New Roman" w:hAnsi="Times New Roman" w:cs="Times New Roman"/>
          <w:sz w:val="24"/>
          <w:szCs w:val="24"/>
        </w:rPr>
      </w:pPr>
      <w:r w:rsidRPr="00B07803">
        <w:rPr>
          <w:rFonts w:ascii="Times New Roman" w:hAnsi="Times New Roman" w:cs="Times New Roman"/>
          <w:b/>
          <w:sz w:val="24"/>
          <w:szCs w:val="24"/>
        </w:rPr>
        <w:t>Desembolsos -</w:t>
      </w:r>
      <w:r w:rsidRPr="00B07803">
        <w:rPr>
          <w:rFonts w:ascii="Times New Roman" w:hAnsi="Times New Roman" w:cs="Times New Roman"/>
          <w:sz w:val="24"/>
          <w:szCs w:val="24"/>
        </w:rPr>
        <w:t xml:space="preserve"> </w:t>
      </w:r>
      <w:r w:rsidR="00A45EAA" w:rsidRPr="00B07803">
        <w:rPr>
          <w:rFonts w:ascii="Times New Roman" w:hAnsi="Times New Roman" w:cs="Times New Roman"/>
          <w:sz w:val="24"/>
          <w:szCs w:val="24"/>
        </w:rPr>
        <w:t>Conforme demonstrado na tabela abaixo, no</w:t>
      </w:r>
      <w:r w:rsidR="00D559B9" w:rsidRPr="00B07803">
        <w:rPr>
          <w:rFonts w:ascii="Times New Roman" w:hAnsi="Times New Roman" w:cs="Times New Roman"/>
          <w:sz w:val="24"/>
          <w:szCs w:val="24"/>
        </w:rPr>
        <w:t xml:space="preserve"> período de 30/12/20</w:t>
      </w:r>
      <w:r w:rsidR="00B07803" w:rsidRPr="00B07803">
        <w:rPr>
          <w:rFonts w:ascii="Times New Roman" w:hAnsi="Times New Roman" w:cs="Times New Roman"/>
          <w:sz w:val="24"/>
          <w:szCs w:val="24"/>
        </w:rPr>
        <w:t>0</w:t>
      </w:r>
      <w:r w:rsidR="00D559B9" w:rsidRPr="00B07803">
        <w:rPr>
          <w:rFonts w:ascii="Times New Roman" w:hAnsi="Times New Roman" w:cs="Times New Roman"/>
          <w:sz w:val="24"/>
          <w:szCs w:val="24"/>
        </w:rPr>
        <w:t>9 até 10/04/20</w:t>
      </w:r>
      <w:r w:rsidR="00C82EAC" w:rsidRPr="00B07803">
        <w:rPr>
          <w:rFonts w:ascii="Times New Roman" w:hAnsi="Times New Roman" w:cs="Times New Roman"/>
          <w:sz w:val="24"/>
          <w:szCs w:val="24"/>
        </w:rPr>
        <w:t>1</w:t>
      </w:r>
      <w:r w:rsidR="00D559B9" w:rsidRPr="00B07803">
        <w:rPr>
          <w:rFonts w:ascii="Times New Roman" w:hAnsi="Times New Roman" w:cs="Times New Roman"/>
          <w:sz w:val="24"/>
          <w:szCs w:val="24"/>
        </w:rPr>
        <w:t>5 foram realizados 15 desembolsos</w:t>
      </w:r>
      <w:r w:rsidR="00C82EAC" w:rsidRPr="00B07803">
        <w:rPr>
          <w:rFonts w:ascii="Times New Roman" w:hAnsi="Times New Roman" w:cs="Times New Roman"/>
          <w:sz w:val="24"/>
          <w:szCs w:val="24"/>
        </w:rPr>
        <w:t xml:space="preserve"> </w:t>
      </w:r>
      <w:r w:rsidR="00146F9E" w:rsidRPr="00B07803">
        <w:rPr>
          <w:rFonts w:ascii="Times New Roman" w:hAnsi="Times New Roman" w:cs="Times New Roman"/>
          <w:sz w:val="24"/>
          <w:szCs w:val="24"/>
        </w:rPr>
        <w:t>d</w:t>
      </w:r>
      <w:r w:rsidR="00B96E79" w:rsidRPr="00B07803">
        <w:rPr>
          <w:rFonts w:ascii="Times New Roman" w:hAnsi="Times New Roman" w:cs="Times New Roman"/>
          <w:sz w:val="24"/>
          <w:szCs w:val="24"/>
        </w:rPr>
        <w:t xml:space="preserve">os recursos do </w:t>
      </w:r>
      <w:r w:rsidR="00146F9E" w:rsidRPr="00B07803">
        <w:rPr>
          <w:rFonts w:ascii="Times New Roman" w:hAnsi="Times New Roman" w:cs="Times New Roman"/>
          <w:sz w:val="24"/>
          <w:szCs w:val="24"/>
        </w:rPr>
        <w:t xml:space="preserve">financiamento BID para o POGEFAZ </w:t>
      </w:r>
      <w:r w:rsidR="00C82EAC" w:rsidRPr="00B07803">
        <w:rPr>
          <w:rFonts w:ascii="Times New Roman" w:hAnsi="Times New Roman" w:cs="Times New Roman"/>
          <w:sz w:val="24"/>
          <w:szCs w:val="24"/>
        </w:rPr>
        <w:t>(</w:t>
      </w:r>
      <w:r w:rsidR="00D559B9" w:rsidRPr="00B07803">
        <w:rPr>
          <w:rFonts w:ascii="Times New Roman" w:hAnsi="Times New Roman" w:cs="Times New Roman"/>
          <w:sz w:val="24"/>
          <w:szCs w:val="24"/>
        </w:rPr>
        <w:t>2009</w:t>
      </w:r>
      <w:r w:rsidR="00C82EAC" w:rsidRPr="00B07803">
        <w:rPr>
          <w:rFonts w:ascii="Times New Roman" w:hAnsi="Times New Roman" w:cs="Times New Roman"/>
          <w:sz w:val="24"/>
          <w:szCs w:val="24"/>
        </w:rPr>
        <w:t xml:space="preserve"> =1</w:t>
      </w:r>
      <w:r w:rsidR="00D559B9" w:rsidRPr="00B07803">
        <w:rPr>
          <w:rFonts w:ascii="Times New Roman" w:hAnsi="Times New Roman" w:cs="Times New Roman"/>
          <w:sz w:val="24"/>
          <w:szCs w:val="24"/>
        </w:rPr>
        <w:t>, 2011</w:t>
      </w:r>
      <w:r w:rsidR="00C82EAC" w:rsidRPr="00B07803">
        <w:rPr>
          <w:rFonts w:ascii="Times New Roman" w:hAnsi="Times New Roman" w:cs="Times New Roman"/>
          <w:sz w:val="24"/>
          <w:szCs w:val="24"/>
        </w:rPr>
        <w:t xml:space="preserve"> = 1</w:t>
      </w:r>
      <w:r w:rsidR="00D559B9" w:rsidRPr="00B07803">
        <w:rPr>
          <w:rFonts w:ascii="Times New Roman" w:hAnsi="Times New Roman" w:cs="Times New Roman"/>
          <w:sz w:val="24"/>
          <w:szCs w:val="24"/>
        </w:rPr>
        <w:t>, 2012</w:t>
      </w:r>
      <w:r w:rsidR="00C82EAC" w:rsidRPr="00B07803">
        <w:rPr>
          <w:rFonts w:ascii="Times New Roman" w:hAnsi="Times New Roman" w:cs="Times New Roman"/>
          <w:sz w:val="24"/>
          <w:szCs w:val="24"/>
        </w:rPr>
        <w:t xml:space="preserve"> = 4</w:t>
      </w:r>
      <w:r w:rsidR="00D559B9" w:rsidRPr="00B07803">
        <w:rPr>
          <w:rFonts w:ascii="Times New Roman" w:hAnsi="Times New Roman" w:cs="Times New Roman"/>
          <w:sz w:val="24"/>
          <w:szCs w:val="24"/>
        </w:rPr>
        <w:t>, 2013</w:t>
      </w:r>
      <w:r w:rsidR="00C82EAC" w:rsidRPr="00B07803">
        <w:rPr>
          <w:rFonts w:ascii="Times New Roman" w:hAnsi="Times New Roman" w:cs="Times New Roman"/>
          <w:sz w:val="24"/>
          <w:szCs w:val="24"/>
        </w:rPr>
        <w:t xml:space="preserve"> = 3</w:t>
      </w:r>
      <w:r w:rsidR="00D559B9" w:rsidRPr="00B07803">
        <w:rPr>
          <w:rFonts w:ascii="Times New Roman" w:hAnsi="Times New Roman" w:cs="Times New Roman"/>
          <w:sz w:val="24"/>
          <w:szCs w:val="24"/>
        </w:rPr>
        <w:t xml:space="preserve">, </w:t>
      </w:r>
      <w:r w:rsidR="00C82EAC" w:rsidRPr="00B07803">
        <w:rPr>
          <w:rFonts w:ascii="Times New Roman" w:hAnsi="Times New Roman" w:cs="Times New Roman"/>
          <w:sz w:val="24"/>
          <w:szCs w:val="24"/>
        </w:rPr>
        <w:t xml:space="preserve">2014 = 4, </w:t>
      </w:r>
      <w:r w:rsidR="00D559B9" w:rsidRPr="00B07803">
        <w:rPr>
          <w:rFonts w:ascii="Times New Roman" w:hAnsi="Times New Roman" w:cs="Times New Roman"/>
          <w:sz w:val="24"/>
          <w:szCs w:val="24"/>
        </w:rPr>
        <w:t>2015</w:t>
      </w:r>
      <w:r w:rsidR="00C82EAC" w:rsidRPr="00B07803">
        <w:rPr>
          <w:rFonts w:ascii="Times New Roman" w:hAnsi="Times New Roman" w:cs="Times New Roman"/>
          <w:sz w:val="24"/>
          <w:szCs w:val="24"/>
        </w:rPr>
        <w:t xml:space="preserve"> = 2). Na oportunidade</w:t>
      </w:r>
      <w:r w:rsidR="005C54A9">
        <w:rPr>
          <w:rFonts w:ascii="Times New Roman" w:hAnsi="Times New Roman" w:cs="Times New Roman"/>
          <w:sz w:val="24"/>
          <w:szCs w:val="24"/>
        </w:rPr>
        <w:t>,</w:t>
      </w:r>
      <w:r w:rsidR="00C82EAC" w:rsidRPr="00B07803">
        <w:rPr>
          <w:rFonts w:ascii="Times New Roman" w:hAnsi="Times New Roman" w:cs="Times New Roman"/>
          <w:sz w:val="24"/>
          <w:szCs w:val="24"/>
        </w:rPr>
        <w:t xml:space="preserve"> o executor informou que apesar do segundo desembolso só ter sido efetuado após 799 dias </w:t>
      </w:r>
      <w:r w:rsidR="000A19BC" w:rsidRPr="00B07803">
        <w:rPr>
          <w:rFonts w:ascii="Times New Roman" w:hAnsi="Times New Roman" w:cs="Times New Roman"/>
          <w:sz w:val="24"/>
          <w:szCs w:val="24"/>
        </w:rPr>
        <w:t xml:space="preserve">após </w:t>
      </w:r>
      <w:r w:rsidR="005C54A9">
        <w:rPr>
          <w:rFonts w:ascii="Times New Roman" w:hAnsi="Times New Roman" w:cs="Times New Roman"/>
          <w:sz w:val="24"/>
          <w:szCs w:val="24"/>
        </w:rPr>
        <w:t xml:space="preserve">o </w:t>
      </w:r>
      <w:r w:rsidR="00C82EAC" w:rsidRPr="00B07803">
        <w:rPr>
          <w:rFonts w:ascii="Times New Roman" w:hAnsi="Times New Roman" w:cs="Times New Roman"/>
          <w:sz w:val="24"/>
          <w:szCs w:val="24"/>
        </w:rPr>
        <w:t>primeiro, o</w:t>
      </w:r>
      <w:r w:rsidR="00146F9E" w:rsidRPr="00B07803">
        <w:rPr>
          <w:rFonts w:ascii="Times New Roman" w:hAnsi="Times New Roman" w:cs="Times New Roman"/>
          <w:sz w:val="24"/>
          <w:szCs w:val="24"/>
        </w:rPr>
        <w:t xml:space="preserve">s investimentos na SEFA </w:t>
      </w:r>
      <w:r w:rsidR="00B96E79" w:rsidRPr="00B07803">
        <w:rPr>
          <w:rFonts w:ascii="Times New Roman" w:hAnsi="Times New Roman" w:cs="Times New Roman"/>
          <w:sz w:val="24"/>
          <w:szCs w:val="24"/>
        </w:rPr>
        <w:t xml:space="preserve">em modernização </w:t>
      </w:r>
      <w:r w:rsidR="00146F9E" w:rsidRPr="00B07803">
        <w:rPr>
          <w:rFonts w:ascii="Times New Roman" w:hAnsi="Times New Roman" w:cs="Times New Roman"/>
          <w:sz w:val="24"/>
          <w:szCs w:val="24"/>
        </w:rPr>
        <w:t xml:space="preserve">não ficaram parados devidos a realização de outros projetos com outras fontes de financiamento. </w:t>
      </w:r>
      <w:r w:rsidR="00C2602F" w:rsidRPr="00C2602F">
        <w:rPr>
          <w:rFonts w:ascii="Times New Roman" w:hAnsi="Times New Roman" w:cs="Times New Roman"/>
          <w:sz w:val="24"/>
          <w:szCs w:val="24"/>
        </w:rPr>
        <w:t xml:space="preserve">A fim de melhorar o </w:t>
      </w:r>
      <w:r w:rsidR="005C54A9">
        <w:rPr>
          <w:rFonts w:ascii="Times New Roman" w:hAnsi="Times New Roman" w:cs="Times New Roman"/>
          <w:sz w:val="24"/>
          <w:szCs w:val="24"/>
        </w:rPr>
        <w:t>fluxo</w:t>
      </w:r>
      <w:r w:rsidR="00C2602F" w:rsidRPr="00C2602F">
        <w:rPr>
          <w:rFonts w:ascii="Times New Roman" w:hAnsi="Times New Roman" w:cs="Times New Roman"/>
          <w:sz w:val="24"/>
          <w:szCs w:val="24"/>
        </w:rPr>
        <w:t xml:space="preserve"> dos </w:t>
      </w:r>
      <w:r w:rsidR="00B96E79" w:rsidRPr="005C54A9">
        <w:rPr>
          <w:rFonts w:ascii="Times New Roman" w:hAnsi="Times New Roman" w:cs="Times New Roman"/>
          <w:sz w:val="24"/>
          <w:szCs w:val="24"/>
        </w:rPr>
        <w:t>desembolso</w:t>
      </w:r>
      <w:r w:rsidR="005C54A9" w:rsidRPr="005C54A9">
        <w:rPr>
          <w:rFonts w:ascii="Times New Roman" w:hAnsi="Times New Roman" w:cs="Times New Roman"/>
          <w:sz w:val="24"/>
          <w:szCs w:val="24"/>
        </w:rPr>
        <w:t>s</w:t>
      </w:r>
      <w:r w:rsidR="005C54A9">
        <w:rPr>
          <w:rFonts w:ascii="Times New Roman" w:hAnsi="Times New Roman" w:cs="Times New Roman"/>
          <w:sz w:val="24"/>
          <w:szCs w:val="24"/>
        </w:rPr>
        <w:t>,</w:t>
      </w:r>
      <w:r w:rsidR="00B96E79" w:rsidRPr="00B07803">
        <w:rPr>
          <w:rFonts w:ascii="Times New Roman" w:hAnsi="Times New Roman" w:cs="Times New Roman"/>
          <w:sz w:val="24"/>
          <w:szCs w:val="24"/>
        </w:rPr>
        <w:t xml:space="preserve"> foram realizadas </w:t>
      </w:r>
      <w:r w:rsidR="00EE1FEA" w:rsidRPr="00B07803">
        <w:rPr>
          <w:rFonts w:ascii="Times New Roman" w:hAnsi="Times New Roman" w:cs="Times New Roman"/>
          <w:sz w:val="24"/>
          <w:szCs w:val="24"/>
        </w:rPr>
        <w:t xml:space="preserve">capacitações </w:t>
      </w:r>
      <w:r w:rsidR="00B96E79" w:rsidRPr="00B07803">
        <w:rPr>
          <w:rFonts w:ascii="Times New Roman" w:hAnsi="Times New Roman" w:cs="Times New Roman"/>
          <w:sz w:val="24"/>
          <w:szCs w:val="24"/>
        </w:rPr>
        <w:t xml:space="preserve">nas políticas e regras do Banco,  </w:t>
      </w:r>
      <w:r w:rsidR="005C54A9">
        <w:rPr>
          <w:rFonts w:ascii="Times New Roman" w:hAnsi="Times New Roman" w:cs="Times New Roman"/>
          <w:sz w:val="24"/>
          <w:szCs w:val="24"/>
        </w:rPr>
        <w:t xml:space="preserve">bem como </w:t>
      </w:r>
      <w:r w:rsidR="00B96E79" w:rsidRPr="00B07803">
        <w:rPr>
          <w:rFonts w:ascii="Times New Roman" w:hAnsi="Times New Roman" w:cs="Times New Roman"/>
          <w:sz w:val="24"/>
          <w:szCs w:val="24"/>
        </w:rPr>
        <w:t>visitas técnicas</w:t>
      </w:r>
      <w:r w:rsidR="005C54A9">
        <w:rPr>
          <w:rFonts w:ascii="Times New Roman" w:hAnsi="Times New Roman" w:cs="Times New Roman"/>
          <w:sz w:val="24"/>
          <w:szCs w:val="24"/>
        </w:rPr>
        <w:t xml:space="preserve"> do Banco</w:t>
      </w:r>
      <w:r w:rsidR="00B96E79" w:rsidRPr="00B07803">
        <w:rPr>
          <w:rFonts w:ascii="Times New Roman" w:hAnsi="Times New Roman" w:cs="Times New Roman"/>
          <w:sz w:val="24"/>
          <w:szCs w:val="24"/>
        </w:rPr>
        <w:t xml:space="preserve"> para apoiar e orientar a equipe do executor. Com adoção destas medidas</w:t>
      </w:r>
      <w:r w:rsidR="005C54A9">
        <w:rPr>
          <w:rFonts w:ascii="Times New Roman" w:hAnsi="Times New Roman" w:cs="Times New Roman"/>
          <w:sz w:val="24"/>
          <w:szCs w:val="24"/>
        </w:rPr>
        <w:t>,</w:t>
      </w:r>
      <w:r w:rsidR="00B96E79" w:rsidRPr="00B07803">
        <w:rPr>
          <w:rFonts w:ascii="Times New Roman" w:hAnsi="Times New Roman" w:cs="Times New Roman"/>
          <w:sz w:val="24"/>
          <w:szCs w:val="24"/>
        </w:rPr>
        <w:t xml:space="preserve"> </w:t>
      </w:r>
      <w:r w:rsidR="00EE1FEA" w:rsidRPr="00B07803">
        <w:rPr>
          <w:rFonts w:ascii="Times New Roman" w:hAnsi="Times New Roman" w:cs="Times New Roman"/>
          <w:sz w:val="24"/>
          <w:szCs w:val="24"/>
        </w:rPr>
        <w:t xml:space="preserve">os desembolso a partir de 2012 entraram no seu fluxo normal. </w:t>
      </w:r>
      <w:r w:rsidR="00944C50" w:rsidRPr="00B07803">
        <w:rPr>
          <w:rFonts w:ascii="Times New Roman" w:hAnsi="Times New Roman" w:cs="Times New Roman"/>
          <w:sz w:val="24"/>
          <w:szCs w:val="24"/>
        </w:rPr>
        <w:t xml:space="preserve">  </w:t>
      </w:r>
    </w:p>
    <w:p w:rsidR="00146F9E" w:rsidRDefault="00AE1F37" w:rsidP="00D24860">
      <w:pPr>
        <w:spacing w:before="120" w:after="120" w:line="240" w:lineRule="auto"/>
        <w:ind w:right="-448"/>
        <w:jc w:val="center"/>
        <w:rPr>
          <w:rFonts w:ascii="Times New Roman" w:hAnsi="Times New Roman" w:cs="Times New Roman"/>
          <w:sz w:val="20"/>
          <w:szCs w:val="20"/>
        </w:rPr>
      </w:pPr>
      <w:r>
        <w:rPr>
          <w:rFonts w:ascii="Times New Roman" w:hAnsi="Times New Roman" w:cs="Times New Roman"/>
          <w:sz w:val="20"/>
          <w:szCs w:val="20"/>
        </w:rPr>
        <w:t xml:space="preserve">Fluxo dos </w:t>
      </w:r>
      <w:r w:rsidR="00613192" w:rsidRPr="00B07803">
        <w:rPr>
          <w:rFonts w:ascii="Times New Roman" w:hAnsi="Times New Roman" w:cs="Times New Roman"/>
          <w:sz w:val="20"/>
          <w:szCs w:val="20"/>
        </w:rPr>
        <w:t>Desembolsos</w:t>
      </w:r>
    </w:p>
    <w:bookmarkStart w:id="15" w:name="_MON_1491465663"/>
    <w:bookmarkEnd w:id="15"/>
    <w:p w:rsidR="00D559B9" w:rsidRPr="00046243" w:rsidRDefault="00025BA3" w:rsidP="00D24860">
      <w:pPr>
        <w:spacing w:before="240" w:after="240" w:line="240" w:lineRule="auto"/>
        <w:ind w:right="-446"/>
        <w:jc w:val="center"/>
        <w:rPr>
          <w:rFonts w:ascii="Times New Roman" w:hAnsi="Times New Roman" w:cs="Times New Roman"/>
          <w:sz w:val="24"/>
          <w:szCs w:val="24"/>
        </w:rPr>
      </w:pPr>
      <w:r w:rsidRPr="00046243">
        <w:rPr>
          <w:rFonts w:ascii="Times New Roman" w:hAnsi="Times New Roman" w:cs="Times New Roman"/>
          <w:sz w:val="24"/>
          <w:szCs w:val="24"/>
        </w:rPr>
        <w:object w:dxaOrig="6533" w:dyaOrig="4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45pt;height:221.3pt" o:ole="">
            <v:imagedata r:id="rId12" o:title=""/>
          </v:shape>
          <o:OLEObject Type="Embed" ProgID="Excel.Sheet.12" ShapeID="_x0000_i1025" DrawAspect="Content" ObjectID="_1510741640" r:id="rId13"/>
        </w:object>
      </w:r>
    </w:p>
    <w:p w:rsidR="00D559B9" w:rsidRPr="00046243" w:rsidRDefault="00D559B9" w:rsidP="009C7A21">
      <w:pPr>
        <w:spacing w:before="120" w:after="240" w:line="240" w:lineRule="auto"/>
        <w:ind w:right="-446"/>
        <w:jc w:val="both"/>
        <w:rPr>
          <w:rFonts w:ascii="Times New Roman" w:hAnsi="Times New Roman" w:cs="Times New Roman"/>
          <w:sz w:val="24"/>
          <w:szCs w:val="24"/>
        </w:rPr>
      </w:pPr>
    </w:p>
    <w:p w:rsidR="00A45EAA" w:rsidRPr="00046243" w:rsidRDefault="00A45EAA" w:rsidP="009C7A21">
      <w:pPr>
        <w:spacing w:before="120" w:after="240" w:line="240" w:lineRule="auto"/>
        <w:ind w:right="-446"/>
        <w:jc w:val="both"/>
        <w:rPr>
          <w:rFonts w:ascii="Times New Roman" w:hAnsi="Times New Roman" w:cs="Times New Roman"/>
          <w:sz w:val="24"/>
          <w:szCs w:val="24"/>
        </w:rPr>
        <w:sectPr w:rsidR="00A45EAA" w:rsidRPr="00046243" w:rsidSect="00D41459">
          <w:footerReference w:type="default" r:id="rId14"/>
          <w:pgSz w:w="12240" w:h="15840"/>
          <w:pgMar w:top="1440" w:right="1440" w:bottom="1440" w:left="1440" w:header="720" w:footer="720" w:gutter="0"/>
          <w:cols w:space="720"/>
          <w:docGrid w:linePitch="360"/>
        </w:sectPr>
      </w:pPr>
    </w:p>
    <w:p w:rsidR="00102424" w:rsidRPr="00046243" w:rsidRDefault="00A61F23" w:rsidP="009C7A21">
      <w:pPr>
        <w:spacing w:after="240" w:line="240" w:lineRule="auto"/>
        <w:jc w:val="center"/>
        <w:rPr>
          <w:rFonts w:ascii="Times New Roman" w:hAnsi="Times New Roman" w:cs="Times New Roman"/>
          <w:b/>
          <w:sz w:val="24"/>
          <w:szCs w:val="24"/>
        </w:rPr>
      </w:pPr>
      <w:r w:rsidRPr="00046243">
        <w:rPr>
          <w:rFonts w:ascii="Times New Roman" w:hAnsi="Times New Roman" w:cs="Times New Roman"/>
          <w:b/>
          <w:sz w:val="24"/>
          <w:szCs w:val="24"/>
        </w:rPr>
        <w:lastRenderedPageBreak/>
        <w:t>Tab</w:t>
      </w:r>
      <w:r w:rsidR="00102424" w:rsidRPr="00046243">
        <w:rPr>
          <w:rFonts w:ascii="Times New Roman" w:hAnsi="Times New Roman" w:cs="Times New Roman"/>
          <w:b/>
          <w:sz w:val="24"/>
          <w:szCs w:val="24"/>
        </w:rPr>
        <w:t>e</w:t>
      </w:r>
      <w:r w:rsidRPr="00046243">
        <w:rPr>
          <w:rFonts w:ascii="Times New Roman" w:hAnsi="Times New Roman" w:cs="Times New Roman"/>
          <w:b/>
          <w:sz w:val="24"/>
          <w:szCs w:val="24"/>
        </w:rPr>
        <w:t>la</w:t>
      </w:r>
      <w:r w:rsidR="00925806" w:rsidRPr="00046243">
        <w:rPr>
          <w:rFonts w:ascii="Times New Roman" w:hAnsi="Times New Roman" w:cs="Times New Roman"/>
          <w:b/>
          <w:sz w:val="24"/>
          <w:szCs w:val="24"/>
        </w:rPr>
        <w:t xml:space="preserve"> 3</w:t>
      </w:r>
      <w:r w:rsidR="00057FA9" w:rsidRPr="00046243">
        <w:rPr>
          <w:rFonts w:ascii="Times New Roman" w:hAnsi="Times New Roman" w:cs="Times New Roman"/>
          <w:b/>
          <w:sz w:val="24"/>
          <w:szCs w:val="24"/>
        </w:rPr>
        <w:t xml:space="preserve"> </w:t>
      </w:r>
    </w:p>
    <w:p w:rsidR="00925806" w:rsidRPr="00046243" w:rsidRDefault="00DE5AD2" w:rsidP="009C7A21">
      <w:pPr>
        <w:spacing w:after="240" w:line="240" w:lineRule="auto"/>
        <w:jc w:val="center"/>
        <w:rPr>
          <w:rFonts w:ascii="Times New Roman" w:hAnsi="Times New Roman" w:cs="Times New Roman"/>
          <w:b/>
          <w:sz w:val="24"/>
          <w:szCs w:val="24"/>
        </w:rPr>
      </w:pPr>
      <w:r w:rsidRPr="00046243">
        <w:rPr>
          <w:rFonts w:ascii="Times New Roman" w:hAnsi="Times New Roman" w:cs="Times New Roman"/>
          <w:b/>
          <w:sz w:val="24"/>
          <w:szCs w:val="24"/>
        </w:rPr>
        <w:t>Cu</w:t>
      </w:r>
      <w:r w:rsidR="00A61F23" w:rsidRPr="00046243">
        <w:rPr>
          <w:rFonts w:ascii="Times New Roman" w:hAnsi="Times New Roman" w:cs="Times New Roman"/>
          <w:b/>
          <w:sz w:val="24"/>
          <w:szCs w:val="24"/>
        </w:rPr>
        <w:t>stos d</w:t>
      </w:r>
      <w:r w:rsidRPr="00046243">
        <w:rPr>
          <w:rFonts w:ascii="Times New Roman" w:hAnsi="Times New Roman" w:cs="Times New Roman"/>
          <w:b/>
          <w:sz w:val="24"/>
          <w:szCs w:val="24"/>
        </w:rPr>
        <w:t>o</w:t>
      </w:r>
      <w:r w:rsidR="00A61F23" w:rsidRPr="00046243">
        <w:rPr>
          <w:rFonts w:ascii="Times New Roman" w:hAnsi="Times New Roman" w:cs="Times New Roman"/>
          <w:b/>
          <w:sz w:val="24"/>
          <w:szCs w:val="24"/>
        </w:rPr>
        <w:t xml:space="preserve"> Pro</w:t>
      </w:r>
      <w:r w:rsidR="00102424" w:rsidRPr="00046243">
        <w:rPr>
          <w:rFonts w:ascii="Times New Roman" w:hAnsi="Times New Roman" w:cs="Times New Roman"/>
          <w:b/>
          <w:sz w:val="24"/>
          <w:szCs w:val="24"/>
        </w:rPr>
        <w:t>je</w:t>
      </w:r>
      <w:r w:rsidR="00A61F23" w:rsidRPr="00046243">
        <w:rPr>
          <w:rFonts w:ascii="Times New Roman" w:hAnsi="Times New Roman" w:cs="Times New Roman"/>
          <w:b/>
          <w:sz w:val="24"/>
          <w:szCs w:val="24"/>
        </w:rPr>
        <w:t>to</w:t>
      </w:r>
      <w:bookmarkStart w:id="16" w:name="_GoBack"/>
      <w:bookmarkEnd w:id="16"/>
    </w:p>
    <w:p w:rsidR="00925806" w:rsidRPr="00046243" w:rsidRDefault="000E4FB3" w:rsidP="009C7A21">
      <w:pPr>
        <w:spacing w:after="240" w:line="240" w:lineRule="auto"/>
        <w:jc w:val="both"/>
        <w:rPr>
          <w:rFonts w:ascii="Times New Roman" w:hAnsi="Times New Roman" w:cs="Times New Roman"/>
          <w:sz w:val="24"/>
          <w:szCs w:val="24"/>
        </w:rPr>
      </w:pPr>
      <w:r w:rsidRPr="000E4FB3">
        <w:drawing>
          <wp:inline distT="0" distB="0" distL="0" distR="0">
            <wp:extent cx="8229295" cy="266466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49105" cy="2671077"/>
                    </a:xfrm>
                    <a:prstGeom prst="rect">
                      <a:avLst/>
                    </a:prstGeom>
                    <a:noFill/>
                    <a:ln>
                      <a:noFill/>
                    </a:ln>
                  </pic:spPr>
                </pic:pic>
              </a:graphicData>
            </a:graphic>
          </wp:inline>
        </w:drawing>
      </w:r>
    </w:p>
    <w:p w:rsidR="00F31FC6" w:rsidRPr="00046243" w:rsidRDefault="00F31FC6" w:rsidP="009C7A21">
      <w:pPr>
        <w:spacing w:after="240" w:line="240" w:lineRule="auto"/>
        <w:ind w:right="-180"/>
        <w:jc w:val="both"/>
        <w:rPr>
          <w:rFonts w:ascii="Times New Roman" w:hAnsi="Times New Roman" w:cs="Times New Roman"/>
          <w:sz w:val="24"/>
          <w:szCs w:val="24"/>
        </w:rPr>
      </w:pPr>
    </w:p>
    <w:p w:rsidR="00F31FC6" w:rsidRPr="00046243" w:rsidRDefault="00F31FC6" w:rsidP="009C7A21">
      <w:pPr>
        <w:pStyle w:val="Ttulo2"/>
        <w:numPr>
          <w:ilvl w:val="1"/>
          <w:numId w:val="2"/>
        </w:numPr>
        <w:spacing w:after="240" w:line="240" w:lineRule="auto"/>
        <w:rPr>
          <w:rFonts w:ascii="Times New Roman" w:hAnsi="Times New Roman" w:cs="Times New Roman"/>
          <w:color w:val="auto"/>
          <w:sz w:val="24"/>
          <w:szCs w:val="24"/>
        </w:rPr>
        <w:sectPr w:rsidR="00F31FC6" w:rsidRPr="00046243" w:rsidSect="00F31FC6">
          <w:pgSz w:w="15840" w:h="12240" w:orient="landscape"/>
          <w:pgMar w:top="1440" w:right="1440" w:bottom="1440" w:left="1440" w:header="720" w:footer="720" w:gutter="0"/>
          <w:cols w:space="720"/>
          <w:docGrid w:linePitch="360"/>
        </w:sectPr>
      </w:pPr>
    </w:p>
    <w:p w:rsidR="00C347B1" w:rsidRPr="00046243" w:rsidRDefault="00C85B78" w:rsidP="009C7A21">
      <w:pPr>
        <w:pStyle w:val="Ttulo2"/>
        <w:numPr>
          <w:ilvl w:val="1"/>
          <w:numId w:val="2"/>
        </w:numPr>
        <w:spacing w:after="240" w:line="240" w:lineRule="auto"/>
        <w:rPr>
          <w:rFonts w:ascii="Times New Roman" w:hAnsi="Times New Roman" w:cs="Times New Roman"/>
          <w:color w:val="auto"/>
          <w:sz w:val="24"/>
          <w:szCs w:val="24"/>
        </w:rPr>
      </w:pPr>
      <w:bookmarkStart w:id="17" w:name="_Toc431190867"/>
      <w:r w:rsidRPr="00046243">
        <w:rPr>
          <w:rFonts w:ascii="Times New Roman" w:hAnsi="Times New Roman" w:cs="Times New Roman"/>
          <w:color w:val="auto"/>
          <w:sz w:val="24"/>
          <w:szCs w:val="24"/>
        </w:rPr>
        <w:lastRenderedPageBreak/>
        <w:t>Relevâ</w:t>
      </w:r>
      <w:r w:rsidR="00C347B1" w:rsidRPr="00046243">
        <w:rPr>
          <w:rFonts w:ascii="Times New Roman" w:hAnsi="Times New Roman" w:cs="Times New Roman"/>
          <w:color w:val="auto"/>
          <w:sz w:val="24"/>
          <w:szCs w:val="24"/>
        </w:rPr>
        <w:t>n</w:t>
      </w:r>
      <w:r w:rsidR="00290E52" w:rsidRPr="00046243">
        <w:rPr>
          <w:rFonts w:ascii="Times New Roman" w:hAnsi="Times New Roman" w:cs="Times New Roman"/>
          <w:color w:val="auto"/>
          <w:sz w:val="24"/>
          <w:szCs w:val="24"/>
        </w:rPr>
        <w:t>cia</w:t>
      </w:r>
      <w:bookmarkEnd w:id="17"/>
    </w:p>
    <w:p w:rsidR="00276B5D" w:rsidRPr="00963015" w:rsidRDefault="00276B5D" w:rsidP="009C7A21">
      <w:pPr>
        <w:spacing w:after="240" w:line="240" w:lineRule="auto"/>
        <w:jc w:val="both"/>
        <w:rPr>
          <w:rFonts w:ascii="Times New Roman" w:hAnsi="Times New Roman" w:cs="Times New Roman"/>
          <w:sz w:val="24"/>
          <w:szCs w:val="24"/>
        </w:rPr>
      </w:pPr>
      <w:r w:rsidRPr="00963015">
        <w:rPr>
          <w:rFonts w:ascii="Times New Roman" w:hAnsi="Times New Roman" w:cs="Times New Roman"/>
          <w:sz w:val="24"/>
          <w:szCs w:val="24"/>
        </w:rPr>
        <w:t>As condições que atribuíam relevância ao projeto no momento de sua aprovação não apresentam variações significativas para as partes envo</w:t>
      </w:r>
      <w:r w:rsidR="00765BA7" w:rsidRPr="00963015">
        <w:rPr>
          <w:rFonts w:ascii="Times New Roman" w:hAnsi="Times New Roman" w:cs="Times New Roman"/>
          <w:sz w:val="24"/>
          <w:szCs w:val="24"/>
        </w:rPr>
        <w:t>lvidas na operação, ou seja, o e</w:t>
      </w:r>
      <w:r w:rsidRPr="00963015">
        <w:rPr>
          <w:rFonts w:ascii="Times New Roman" w:hAnsi="Times New Roman" w:cs="Times New Roman"/>
          <w:sz w:val="24"/>
          <w:szCs w:val="24"/>
        </w:rPr>
        <w:t>stado d</w:t>
      </w:r>
      <w:r w:rsidR="00765BA7" w:rsidRPr="00963015">
        <w:rPr>
          <w:rFonts w:ascii="Times New Roman" w:hAnsi="Times New Roman" w:cs="Times New Roman"/>
          <w:sz w:val="24"/>
          <w:szCs w:val="24"/>
        </w:rPr>
        <w:t xml:space="preserve">o Pará </w:t>
      </w:r>
      <w:r w:rsidRPr="00963015">
        <w:rPr>
          <w:rFonts w:ascii="Times New Roman" w:hAnsi="Times New Roman" w:cs="Times New Roman"/>
          <w:sz w:val="24"/>
          <w:szCs w:val="24"/>
        </w:rPr>
        <w:t xml:space="preserve">e o Banco. </w:t>
      </w:r>
      <w:r w:rsidR="005C54A9">
        <w:rPr>
          <w:rFonts w:ascii="Times New Roman" w:hAnsi="Times New Roman" w:cs="Times New Roman"/>
          <w:sz w:val="24"/>
          <w:szCs w:val="24"/>
        </w:rPr>
        <w:t>A</w:t>
      </w:r>
      <w:r w:rsidR="00493725" w:rsidRPr="00963015">
        <w:rPr>
          <w:rFonts w:ascii="Times New Roman" w:hAnsi="Times New Roman" w:cs="Times New Roman"/>
          <w:sz w:val="24"/>
          <w:szCs w:val="24"/>
        </w:rPr>
        <w:t xml:space="preserve"> área fiscal o Banco apoia ações voltadas para a redução das disparidades institucionais entre as administrações tributárias, o aumento da cooperação e integração dos fiscos nos três níveis de governo, a promoção do equilíbrio fiscal sustentável, a ampliação dos programas de educação e transparência fiscal.</w:t>
      </w:r>
      <w:r w:rsidR="00963015">
        <w:rPr>
          <w:rFonts w:ascii="Times New Roman" w:hAnsi="Times New Roman" w:cs="Times New Roman"/>
          <w:sz w:val="24"/>
          <w:szCs w:val="24"/>
        </w:rPr>
        <w:t xml:space="preserve"> </w:t>
      </w:r>
      <w:r w:rsidRPr="00963015">
        <w:rPr>
          <w:rFonts w:ascii="Times New Roman" w:hAnsi="Times New Roman" w:cs="Times New Roman"/>
          <w:sz w:val="24"/>
          <w:szCs w:val="24"/>
        </w:rPr>
        <w:t>Os objetivos e resultados alcançados pelo Projeto voltados para o incremento da receita própria e a melhoria do gasto público no nível sub-nacional, contribuem efetivamente para os objetivos da estratégia para o desenvolvimento do BID, assim como para os objetivos de desenvolvimento da estratégia para o Brasil, ao promover o equilíbrio fiscal sustentável e apoiar as iniciativas de melhoria dos serviços ao cidadão e tra</w:t>
      </w:r>
      <w:r w:rsidR="00765BA7" w:rsidRPr="00963015">
        <w:rPr>
          <w:rFonts w:ascii="Times New Roman" w:hAnsi="Times New Roman" w:cs="Times New Roman"/>
          <w:sz w:val="24"/>
          <w:szCs w:val="24"/>
        </w:rPr>
        <w:t xml:space="preserve">nsparência da gestão fiscal do </w:t>
      </w:r>
      <w:r w:rsidR="005C54A9">
        <w:rPr>
          <w:rFonts w:ascii="Times New Roman" w:hAnsi="Times New Roman" w:cs="Times New Roman"/>
          <w:sz w:val="24"/>
          <w:szCs w:val="24"/>
        </w:rPr>
        <w:t>E</w:t>
      </w:r>
      <w:r w:rsidRPr="00963015">
        <w:rPr>
          <w:rFonts w:ascii="Times New Roman" w:hAnsi="Times New Roman" w:cs="Times New Roman"/>
          <w:sz w:val="24"/>
          <w:szCs w:val="24"/>
        </w:rPr>
        <w:t>stado d</w:t>
      </w:r>
      <w:r w:rsidR="00765BA7" w:rsidRPr="00963015">
        <w:rPr>
          <w:rFonts w:ascii="Times New Roman" w:hAnsi="Times New Roman" w:cs="Times New Roman"/>
          <w:sz w:val="24"/>
          <w:szCs w:val="24"/>
        </w:rPr>
        <w:t>o Pará</w:t>
      </w:r>
      <w:r w:rsidRPr="00963015">
        <w:rPr>
          <w:rFonts w:ascii="Times New Roman" w:hAnsi="Times New Roman" w:cs="Times New Roman"/>
          <w:sz w:val="24"/>
          <w:szCs w:val="24"/>
        </w:rPr>
        <w:t>.</w:t>
      </w:r>
    </w:p>
    <w:p w:rsidR="00887935" w:rsidRPr="007D1BAC" w:rsidRDefault="001B5C31" w:rsidP="009C7A21">
      <w:pPr>
        <w:pStyle w:val="Ttulo2"/>
        <w:numPr>
          <w:ilvl w:val="1"/>
          <w:numId w:val="2"/>
        </w:numPr>
        <w:spacing w:after="240" w:line="240" w:lineRule="auto"/>
        <w:rPr>
          <w:rFonts w:ascii="Times New Roman" w:hAnsi="Times New Roman" w:cs="Times New Roman"/>
          <w:color w:val="auto"/>
          <w:sz w:val="24"/>
          <w:szCs w:val="24"/>
        </w:rPr>
      </w:pPr>
      <w:bookmarkStart w:id="18" w:name="_Toc431190868"/>
      <w:r w:rsidRPr="007D1BAC">
        <w:rPr>
          <w:rFonts w:ascii="Times New Roman" w:hAnsi="Times New Roman" w:cs="Times New Roman"/>
          <w:color w:val="auto"/>
          <w:sz w:val="24"/>
          <w:szCs w:val="24"/>
        </w:rPr>
        <w:t>S</w:t>
      </w:r>
      <w:r w:rsidR="00C85B78" w:rsidRPr="007D1BAC">
        <w:rPr>
          <w:rFonts w:ascii="Times New Roman" w:hAnsi="Times New Roman" w:cs="Times New Roman"/>
          <w:color w:val="auto"/>
          <w:sz w:val="24"/>
          <w:szCs w:val="24"/>
        </w:rPr>
        <w:t>u</w:t>
      </w:r>
      <w:r w:rsidR="00290E52" w:rsidRPr="007D1BAC">
        <w:rPr>
          <w:rFonts w:ascii="Times New Roman" w:hAnsi="Times New Roman" w:cs="Times New Roman"/>
          <w:color w:val="auto"/>
          <w:sz w:val="24"/>
          <w:szCs w:val="24"/>
        </w:rPr>
        <w:t>sten</w:t>
      </w:r>
      <w:r w:rsidR="00C85B78" w:rsidRPr="007D1BAC">
        <w:rPr>
          <w:rFonts w:ascii="Times New Roman" w:hAnsi="Times New Roman" w:cs="Times New Roman"/>
          <w:color w:val="auto"/>
          <w:sz w:val="24"/>
          <w:szCs w:val="24"/>
        </w:rPr>
        <w:t>ta</w:t>
      </w:r>
      <w:r w:rsidR="00290E52" w:rsidRPr="007D1BAC">
        <w:rPr>
          <w:rFonts w:ascii="Times New Roman" w:hAnsi="Times New Roman" w:cs="Times New Roman"/>
          <w:color w:val="auto"/>
          <w:sz w:val="24"/>
          <w:szCs w:val="24"/>
        </w:rPr>
        <w:t>bilidad</w:t>
      </w:r>
      <w:r w:rsidR="00C85B78" w:rsidRPr="007D1BAC">
        <w:rPr>
          <w:rFonts w:ascii="Times New Roman" w:hAnsi="Times New Roman" w:cs="Times New Roman"/>
          <w:color w:val="auto"/>
          <w:sz w:val="24"/>
          <w:szCs w:val="24"/>
        </w:rPr>
        <w:t>e</w:t>
      </w:r>
      <w:bookmarkEnd w:id="18"/>
    </w:p>
    <w:p w:rsidR="00493725" w:rsidRPr="007D1BAC" w:rsidRDefault="00493725" w:rsidP="00FC2907">
      <w:pPr>
        <w:spacing w:before="120" w:after="240" w:line="240" w:lineRule="auto"/>
        <w:ind w:right="4"/>
        <w:jc w:val="both"/>
        <w:rPr>
          <w:rFonts w:ascii="Times New Roman" w:hAnsi="Times New Roman" w:cs="Times New Roman"/>
          <w:sz w:val="24"/>
          <w:szCs w:val="24"/>
        </w:rPr>
      </w:pPr>
      <w:r w:rsidRPr="007D1BAC">
        <w:rPr>
          <w:rFonts w:ascii="Times New Roman" w:hAnsi="Times New Roman" w:cs="Times New Roman"/>
          <w:sz w:val="24"/>
          <w:szCs w:val="24"/>
        </w:rPr>
        <w:t xml:space="preserve">Considerando os resultados alcançados pelo projeto e a confirmação de sua relevância, a análise de sustentabilidade avalia os riscos de que mudanças eventuais possam interferir na continuidade dos resultados já alcançados ou no alcance de outros resultados planejados. </w:t>
      </w:r>
    </w:p>
    <w:p w:rsidR="00493725" w:rsidRPr="007D1BAC" w:rsidRDefault="00493725" w:rsidP="00FC2907">
      <w:pPr>
        <w:spacing w:before="120" w:after="240" w:line="240" w:lineRule="auto"/>
        <w:ind w:right="4"/>
        <w:jc w:val="both"/>
        <w:rPr>
          <w:rFonts w:ascii="Times New Roman" w:hAnsi="Times New Roman" w:cs="Times New Roman"/>
          <w:sz w:val="24"/>
          <w:szCs w:val="24"/>
        </w:rPr>
      </w:pPr>
      <w:r w:rsidRPr="007D1BAC">
        <w:rPr>
          <w:rFonts w:ascii="Times New Roman" w:hAnsi="Times New Roman" w:cs="Times New Roman"/>
          <w:sz w:val="24"/>
          <w:szCs w:val="24"/>
        </w:rPr>
        <w:t xml:space="preserve">A Matriz de Riscos do Projeto, elaborada em decorrência da aplicação de metodologia adotada pelo Banco para avaliação da Gestão de Riscos em Projetos (GrP), identificou como principais riscos: (1) insuficiente experiência do executor na utilização das políticas de aquisição do Banco; e (2) a possibilidade de alteração na equipe do órgão executor ou nas prioridades do Projeto como resultado de mudanças na administração do Estado. </w:t>
      </w:r>
    </w:p>
    <w:p w:rsidR="00493725" w:rsidRPr="007D1BAC" w:rsidRDefault="00493725" w:rsidP="00FC2907">
      <w:pPr>
        <w:spacing w:before="120" w:after="240" w:line="240" w:lineRule="auto"/>
        <w:ind w:right="4"/>
        <w:jc w:val="both"/>
        <w:rPr>
          <w:rFonts w:ascii="Times New Roman" w:hAnsi="Times New Roman" w:cs="Times New Roman"/>
        </w:rPr>
      </w:pPr>
      <w:r w:rsidRPr="007D1BAC">
        <w:rPr>
          <w:rFonts w:ascii="Times New Roman" w:hAnsi="Times New Roman" w:cs="Times New Roman"/>
          <w:sz w:val="24"/>
          <w:szCs w:val="24"/>
        </w:rPr>
        <w:t xml:space="preserve">Esses riscos de fato se concretizaram e foram mitigados na forma proposta durante o desenho da operação e ainda: (1) ampla e contínua capacitação dos gestores e técnicos da SEFA e dos órgãos envolvidos nos processos de aquisições, inclusive da área jurídica, associada à intensificação da atividade de supervisão pelo Especialista do Banco, suportado por consultorias, em especial nas políticas de aquisições do </w:t>
      </w:r>
      <w:r w:rsidR="007D1BAC">
        <w:rPr>
          <w:rFonts w:ascii="Times New Roman" w:hAnsi="Times New Roman" w:cs="Times New Roman"/>
          <w:sz w:val="24"/>
          <w:szCs w:val="24"/>
        </w:rPr>
        <w:t xml:space="preserve">Banco; e (2) equipe da UCP foi </w:t>
      </w:r>
      <w:r w:rsidRPr="007D1BAC">
        <w:rPr>
          <w:rFonts w:ascii="Times New Roman" w:hAnsi="Times New Roman" w:cs="Times New Roman"/>
          <w:sz w:val="24"/>
          <w:szCs w:val="24"/>
        </w:rPr>
        <w:t>formada com funcionários do Estado e da SEFA, com apoio de consultoria especializada em processos de fortalecimento institucional</w:t>
      </w:r>
    </w:p>
    <w:p w:rsidR="00BC3451" w:rsidRPr="007D1BAC" w:rsidRDefault="003F341D" w:rsidP="00FC2907">
      <w:pPr>
        <w:spacing w:before="120" w:after="240" w:line="240" w:lineRule="auto"/>
        <w:ind w:right="4"/>
        <w:jc w:val="both"/>
        <w:rPr>
          <w:rFonts w:ascii="Times New Roman" w:hAnsi="Times New Roman" w:cs="Times New Roman"/>
          <w:sz w:val="24"/>
          <w:szCs w:val="24"/>
        </w:rPr>
      </w:pPr>
      <w:r w:rsidRPr="007D1BAC">
        <w:rPr>
          <w:rFonts w:ascii="Times New Roman" w:hAnsi="Times New Roman" w:cs="Times New Roman"/>
          <w:sz w:val="24"/>
          <w:szCs w:val="24"/>
        </w:rPr>
        <w:t>Após o encerramento do Programa ações de continuidade já estão sendo</w:t>
      </w:r>
      <w:r w:rsidR="00150A89" w:rsidRPr="007D1BAC">
        <w:rPr>
          <w:rFonts w:ascii="Times New Roman" w:hAnsi="Times New Roman" w:cs="Times New Roman"/>
          <w:sz w:val="24"/>
          <w:szCs w:val="24"/>
        </w:rPr>
        <w:t xml:space="preserve"> implementadas </w:t>
      </w:r>
      <w:r w:rsidRPr="007D1BAC">
        <w:rPr>
          <w:rFonts w:ascii="Times New Roman" w:hAnsi="Times New Roman" w:cs="Times New Roman"/>
          <w:sz w:val="24"/>
          <w:szCs w:val="24"/>
        </w:rPr>
        <w:t xml:space="preserve">para garantir que os resultados sejam mantidos e/ou melhorados como: </w:t>
      </w:r>
    </w:p>
    <w:p w:rsidR="00BC3451" w:rsidRPr="007D1BAC" w:rsidRDefault="00BC3451" w:rsidP="009C7A21">
      <w:pPr>
        <w:spacing w:after="240" w:line="240" w:lineRule="auto"/>
        <w:jc w:val="both"/>
        <w:rPr>
          <w:rFonts w:ascii="Times New Roman" w:hAnsi="Times New Roman" w:cs="Times New Roman"/>
          <w:sz w:val="24"/>
          <w:szCs w:val="24"/>
        </w:rPr>
      </w:pPr>
      <w:r w:rsidRPr="007D1BAC">
        <w:rPr>
          <w:rFonts w:ascii="Times New Roman" w:hAnsi="Times New Roman" w:cs="Times New Roman"/>
          <w:b/>
          <w:sz w:val="24"/>
          <w:szCs w:val="24"/>
        </w:rPr>
        <w:t xml:space="preserve">Controle de benefícios fiscais. </w:t>
      </w:r>
      <w:r w:rsidRPr="007D1BAC">
        <w:rPr>
          <w:rFonts w:ascii="Times New Roman" w:hAnsi="Times New Roman" w:cs="Times New Roman"/>
          <w:sz w:val="24"/>
          <w:szCs w:val="24"/>
        </w:rPr>
        <w:t>Os módulos do sistema informatizado estão sendo desenvolvidos com a equipe de TI da SEFA e a mesma não tem condições de oferecer o suporte de manutenção e expansão que o sistema exige. Para mitigar este risco foi negociado um aporte financeiro por meio do FIPAT</w:t>
      </w:r>
      <w:r w:rsidRPr="007D1BAC">
        <w:rPr>
          <w:rStyle w:val="Refdenotaderodap"/>
          <w:rFonts w:ascii="Times New Roman" w:hAnsi="Times New Roman" w:cs="Times New Roman"/>
          <w:sz w:val="24"/>
          <w:szCs w:val="24"/>
        </w:rPr>
        <w:footnoteReference w:id="18"/>
      </w:r>
      <w:r w:rsidRPr="007D1BAC">
        <w:rPr>
          <w:rFonts w:ascii="Times New Roman" w:hAnsi="Times New Roman" w:cs="Times New Roman"/>
          <w:sz w:val="24"/>
          <w:szCs w:val="24"/>
        </w:rPr>
        <w:t>, que está viabilizando a contratação de uma consultoria para desenvolver novos módulos, juntamente com a equipe da SEFA.</w:t>
      </w:r>
    </w:p>
    <w:p w:rsidR="00BC3451" w:rsidRPr="007D1BAC" w:rsidRDefault="00BC3451" w:rsidP="009C7A21">
      <w:pPr>
        <w:spacing w:after="240" w:line="240" w:lineRule="auto"/>
        <w:jc w:val="both"/>
        <w:rPr>
          <w:rFonts w:ascii="Times New Roman" w:hAnsi="Times New Roman" w:cs="Times New Roman"/>
          <w:sz w:val="24"/>
          <w:szCs w:val="24"/>
        </w:rPr>
      </w:pPr>
      <w:r w:rsidRPr="007D1BAC">
        <w:rPr>
          <w:rFonts w:ascii="Times New Roman" w:hAnsi="Times New Roman" w:cs="Times New Roman"/>
          <w:b/>
          <w:sz w:val="24"/>
          <w:szCs w:val="24"/>
        </w:rPr>
        <w:t xml:space="preserve">Modelo de fiscalização de trânsito. </w:t>
      </w:r>
      <w:r w:rsidRPr="007D1BAC">
        <w:rPr>
          <w:rFonts w:ascii="Times New Roman" w:hAnsi="Times New Roman" w:cs="Times New Roman"/>
          <w:sz w:val="24"/>
          <w:szCs w:val="24"/>
        </w:rPr>
        <w:t xml:space="preserve">A aquisição das lanchas e do Posto Fiscal Móvel (carreta) criou melhores condições de trabalho para os servidores e mais segurança nas operações. Ainda, com a realização de concurso, novos servidores foram alocados na Unidade de Fiscalização de </w:t>
      </w:r>
      <w:r w:rsidRPr="007D1BAC">
        <w:rPr>
          <w:rFonts w:ascii="Times New Roman" w:hAnsi="Times New Roman" w:cs="Times New Roman"/>
          <w:sz w:val="24"/>
          <w:szCs w:val="24"/>
        </w:rPr>
        <w:lastRenderedPageBreak/>
        <w:t>Mercadoria em Trânsito gerando um ganho significativo na produtividade da unidade e no aumento do número de operações. O principal risco está relacionado com as deficiências do sistema de comunicação (internet), uma vez que não atende às necessidades das operações realizadas no interior do Estado. Para mitigar este risco estão sendo realizados testes com sinal via satélite, entretanto ainda não foi confirmada a viabilidade dessa alternativa.</w:t>
      </w:r>
    </w:p>
    <w:p w:rsidR="00BC3451" w:rsidRPr="007D1BAC" w:rsidRDefault="00BC3451" w:rsidP="009C7A21">
      <w:pPr>
        <w:spacing w:after="240" w:line="240" w:lineRule="auto"/>
        <w:jc w:val="both"/>
        <w:rPr>
          <w:rFonts w:ascii="Times New Roman" w:hAnsi="Times New Roman" w:cs="Times New Roman"/>
          <w:sz w:val="24"/>
          <w:szCs w:val="24"/>
        </w:rPr>
      </w:pPr>
      <w:r w:rsidRPr="007D1BAC">
        <w:rPr>
          <w:rFonts w:ascii="Times New Roman" w:hAnsi="Times New Roman" w:cs="Times New Roman"/>
          <w:b/>
          <w:sz w:val="24"/>
          <w:szCs w:val="24"/>
        </w:rPr>
        <w:t xml:space="preserve">Modelo de gestão do controle interno. </w:t>
      </w:r>
      <w:r w:rsidRPr="007D1BAC">
        <w:rPr>
          <w:rFonts w:ascii="Times New Roman" w:hAnsi="Times New Roman" w:cs="Times New Roman"/>
          <w:sz w:val="24"/>
          <w:szCs w:val="24"/>
        </w:rPr>
        <w:t>Foram realizados treinamentos na área contábil e de controle para a Unidade de Controle Interno, bem como investimentos na estrutura física da unidade, com a aquisição dos arquivos deslizantes, que proporcionaram ganho na organização do estoque de processos e consequentemente facilidade de acesso aos documentos. Um possível risco de sustentabilidade da solução implantada seria o desligamento da SEFA das pessoas que foram treinadas. Para mitigar este risco estão sendo desenvolvidos os manuais operacionais dos processos.</w:t>
      </w:r>
    </w:p>
    <w:p w:rsidR="00BC3451" w:rsidRPr="007D1BAC" w:rsidRDefault="00BC3451" w:rsidP="009C7A21">
      <w:pPr>
        <w:spacing w:after="240" w:line="240" w:lineRule="auto"/>
        <w:jc w:val="both"/>
        <w:rPr>
          <w:rFonts w:ascii="Times New Roman" w:hAnsi="Times New Roman" w:cs="Times New Roman"/>
          <w:sz w:val="24"/>
          <w:szCs w:val="24"/>
        </w:rPr>
      </w:pPr>
      <w:r w:rsidRPr="007D1BAC">
        <w:rPr>
          <w:rFonts w:ascii="Times New Roman" w:hAnsi="Times New Roman" w:cs="Times New Roman"/>
          <w:b/>
          <w:sz w:val="24"/>
          <w:szCs w:val="24"/>
        </w:rPr>
        <w:t xml:space="preserve">Nota fiscal cidadã. </w:t>
      </w:r>
      <w:r w:rsidRPr="007D1BAC">
        <w:rPr>
          <w:rFonts w:ascii="Times New Roman" w:hAnsi="Times New Roman" w:cs="Times New Roman"/>
          <w:sz w:val="24"/>
          <w:szCs w:val="24"/>
        </w:rPr>
        <w:t>A resistência do consumidor em colocar o número do Cadastro Pessoa Física na Nota, com receio de monitoramento fiscal, constitui o principal risco dessa ação. A sustentabilidade requer o fortalecimento das ações de conscientização da sociedade e da realização de campanhas de divulgação do Programa da Secretaria de Estado de Comunicação (SECOM). Duas ações estão em andamento: (1) Lançamento de revista eletrônica e (2) Intensificação da divulgação do Programa no interior do Estado.</w:t>
      </w:r>
    </w:p>
    <w:p w:rsidR="00BC3451" w:rsidRPr="007D1BAC" w:rsidRDefault="00BC3451" w:rsidP="009C7A21">
      <w:pPr>
        <w:spacing w:after="240" w:line="240" w:lineRule="auto"/>
        <w:jc w:val="both"/>
        <w:rPr>
          <w:rFonts w:ascii="Times New Roman" w:hAnsi="Times New Roman" w:cs="Times New Roman"/>
          <w:sz w:val="24"/>
          <w:szCs w:val="24"/>
        </w:rPr>
      </w:pPr>
      <w:r w:rsidRPr="007D1BAC">
        <w:rPr>
          <w:rFonts w:ascii="Times New Roman" w:hAnsi="Times New Roman" w:cs="Times New Roman"/>
          <w:b/>
          <w:sz w:val="24"/>
          <w:szCs w:val="24"/>
        </w:rPr>
        <w:t>Política de Capacitação e Programa de Formação Profissional Continuada</w:t>
      </w:r>
      <w:r w:rsidRPr="007D1BAC">
        <w:rPr>
          <w:rFonts w:ascii="Times New Roman" w:hAnsi="Times New Roman" w:cs="Times New Roman"/>
          <w:sz w:val="24"/>
          <w:szCs w:val="24"/>
        </w:rPr>
        <w:t xml:space="preserve">. A contratação da Universidade do Estado do Pará (UEPA), da Escola de Administração Fazendária (ESAF) e da Escola Nacional de Administração Pública (ENAP) permitiu o desenvolvimento do Programa. As metas de capacitação previstas para o projeto foram todas superadas. No entanto, considerando a realidade geográfica das unidades descentralizadas nos Municípios, ainda se verifica um descompasso de conhecimento entre os servidores da capital e do interior, uma vez que a capacitação presencial representa um custo elevado de passagens e diárias. Como ação de mitigação de riscos a equipe sugere uma maior alocação de recursos do orçamento para capacitação, a ampliação do quadro da EFAZ e, em especial, a implantação do Ensino a Distância (EAD). </w:t>
      </w:r>
    </w:p>
    <w:p w:rsidR="00BC3451" w:rsidRPr="00046243" w:rsidRDefault="00BC3451" w:rsidP="009C7A21">
      <w:pPr>
        <w:spacing w:after="240" w:line="240" w:lineRule="auto"/>
        <w:jc w:val="both"/>
        <w:rPr>
          <w:rFonts w:ascii="Times New Roman" w:hAnsi="Times New Roman" w:cs="Times New Roman"/>
          <w:sz w:val="24"/>
          <w:szCs w:val="24"/>
        </w:rPr>
      </w:pPr>
      <w:r w:rsidRPr="007D1BAC">
        <w:rPr>
          <w:rFonts w:ascii="Times New Roman" w:hAnsi="Times New Roman" w:cs="Times New Roman"/>
          <w:b/>
          <w:sz w:val="24"/>
          <w:szCs w:val="24"/>
        </w:rPr>
        <w:t>Sistema SIAT-Web</w:t>
      </w:r>
      <w:r w:rsidRPr="007D1BAC">
        <w:rPr>
          <w:rFonts w:ascii="Times New Roman" w:hAnsi="Times New Roman" w:cs="Times New Roman"/>
          <w:sz w:val="24"/>
          <w:szCs w:val="24"/>
        </w:rPr>
        <w:t>. O desenvolvimento de outros módulos está previsto no projeto Modernização da Plataforma de Sistemas que está sendo elaborado na DTI. O sistema será construído a partir dos módulos de maior para o de menor nível de integração com substituição gradativa do sistema atual. O prazo de implementação previsto é de aproximadamente quatro anos e até o momento não há recursos financeiros definidos para custear a contratação dos módulos restantes. Como mitigação a equipe propõe a captação de recursos para a continuidade do programa de modernização da SEFA.</w:t>
      </w:r>
    </w:p>
    <w:p w:rsidR="00C76A1C" w:rsidRPr="00046243" w:rsidRDefault="00C85B78" w:rsidP="009C7A21">
      <w:pPr>
        <w:pStyle w:val="Ttulo1"/>
        <w:spacing w:after="240" w:line="240" w:lineRule="auto"/>
        <w:rPr>
          <w:rFonts w:ascii="Times New Roman" w:hAnsi="Times New Roman" w:cs="Times New Roman"/>
          <w:color w:val="auto"/>
          <w:sz w:val="24"/>
          <w:szCs w:val="24"/>
        </w:rPr>
      </w:pPr>
      <w:bookmarkStart w:id="19" w:name="_Toc431190869"/>
      <w:r w:rsidRPr="00046243">
        <w:rPr>
          <w:rFonts w:ascii="Times New Roman" w:hAnsi="Times New Roman" w:cs="Times New Roman"/>
          <w:color w:val="auto"/>
          <w:sz w:val="24"/>
          <w:szCs w:val="24"/>
        </w:rPr>
        <w:t>Critérios não</w:t>
      </w:r>
      <w:r w:rsidR="00290E52" w:rsidRPr="00046243">
        <w:rPr>
          <w:rFonts w:ascii="Times New Roman" w:hAnsi="Times New Roman" w:cs="Times New Roman"/>
          <w:color w:val="auto"/>
          <w:sz w:val="24"/>
          <w:szCs w:val="24"/>
        </w:rPr>
        <w:t xml:space="preserve"> </w:t>
      </w:r>
      <w:r w:rsidRPr="00046243">
        <w:rPr>
          <w:rFonts w:ascii="Times New Roman" w:hAnsi="Times New Roman" w:cs="Times New Roman"/>
          <w:color w:val="auto"/>
          <w:sz w:val="24"/>
          <w:szCs w:val="24"/>
        </w:rPr>
        <w:t>centrais</w:t>
      </w:r>
      <w:bookmarkEnd w:id="19"/>
    </w:p>
    <w:p w:rsidR="00C64902" w:rsidRPr="00046243" w:rsidRDefault="00C85B78" w:rsidP="009C7A21">
      <w:pPr>
        <w:pStyle w:val="Ttulo2"/>
        <w:numPr>
          <w:ilvl w:val="1"/>
          <w:numId w:val="2"/>
        </w:numPr>
        <w:spacing w:after="240" w:line="240" w:lineRule="auto"/>
        <w:rPr>
          <w:rFonts w:ascii="Times New Roman" w:hAnsi="Times New Roman" w:cs="Times New Roman"/>
          <w:color w:val="auto"/>
          <w:sz w:val="24"/>
          <w:szCs w:val="24"/>
        </w:rPr>
      </w:pPr>
      <w:bookmarkStart w:id="20" w:name="_Toc431190870"/>
      <w:r w:rsidRPr="00046243">
        <w:rPr>
          <w:rFonts w:ascii="Times New Roman" w:hAnsi="Times New Roman" w:cs="Times New Roman"/>
          <w:color w:val="auto"/>
          <w:sz w:val="24"/>
          <w:szCs w:val="24"/>
        </w:rPr>
        <w:t>Monitoramento e</w:t>
      </w:r>
      <w:r w:rsidR="00290E52" w:rsidRPr="00046243">
        <w:rPr>
          <w:rFonts w:ascii="Times New Roman" w:hAnsi="Times New Roman" w:cs="Times New Roman"/>
          <w:color w:val="auto"/>
          <w:sz w:val="24"/>
          <w:szCs w:val="24"/>
        </w:rPr>
        <w:t xml:space="preserve"> </w:t>
      </w:r>
      <w:r w:rsidRPr="00046243">
        <w:rPr>
          <w:rFonts w:ascii="Times New Roman" w:hAnsi="Times New Roman" w:cs="Times New Roman"/>
          <w:color w:val="auto"/>
          <w:sz w:val="24"/>
          <w:szCs w:val="24"/>
        </w:rPr>
        <w:t>Avaliação</w:t>
      </w:r>
      <w:bookmarkEnd w:id="20"/>
      <w:r w:rsidR="005B1793" w:rsidRPr="00046243">
        <w:rPr>
          <w:rFonts w:ascii="Times New Roman" w:hAnsi="Times New Roman" w:cs="Times New Roman"/>
          <w:color w:val="auto"/>
          <w:sz w:val="24"/>
          <w:szCs w:val="24"/>
        </w:rPr>
        <w:t xml:space="preserve"> </w:t>
      </w:r>
    </w:p>
    <w:p w:rsidR="00D054DC" w:rsidRPr="007D1BAC" w:rsidRDefault="00D054DC" w:rsidP="009C7A21">
      <w:pPr>
        <w:spacing w:after="240" w:line="240" w:lineRule="auto"/>
        <w:jc w:val="both"/>
        <w:rPr>
          <w:rFonts w:ascii="Times New Roman" w:hAnsi="Times New Roman" w:cs="Times New Roman"/>
          <w:sz w:val="24"/>
          <w:szCs w:val="24"/>
        </w:rPr>
      </w:pPr>
      <w:r w:rsidRPr="007D1BAC">
        <w:rPr>
          <w:rFonts w:ascii="Times New Roman" w:hAnsi="Times New Roman" w:cs="Times New Roman"/>
          <w:b/>
          <w:sz w:val="24"/>
          <w:szCs w:val="24"/>
        </w:rPr>
        <w:t>Monitoramento</w:t>
      </w:r>
      <w:r w:rsidRPr="007D1BAC">
        <w:rPr>
          <w:rFonts w:ascii="Times New Roman" w:hAnsi="Times New Roman" w:cs="Times New Roman"/>
          <w:sz w:val="24"/>
          <w:szCs w:val="24"/>
        </w:rPr>
        <w:t xml:space="preserve">. O monitoramento do Projeto está baseado na programação das atividades e no detalhamento físico e financeiros dos </w:t>
      </w:r>
      <w:r w:rsidRPr="007D1BAC">
        <w:rPr>
          <w:rFonts w:ascii="Times New Roman" w:hAnsi="Times New Roman" w:cs="Times New Roman"/>
          <w:b/>
          <w:sz w:val="24"/>
          <w:szCs w:val="24"/>
        </w:rPr>
        <w:t>produtos</w:t>
      </w:r>
      <w:r w:rsidRPr="007D1BAC">
        <w:rPr>
          <w:rFonts w:ascii="Times New Roman" w:hAnsi="Times New Roman" w:cs="Times New Roman"/>
          <w:sz w:val="24"/>
          <w:szCs w:val="24"/>
        </w:rPr>
        <w:t xml:space="preserve"> que constam do Plano de Ação e de Investimentos (PAI), do Relatório Semestral de Progresso (RP) e das descrições das aquisições e </w:t>
      </w:r>
      <w:r w:rsidRPr="007D1BAC">
        <w:rPr>
          <w:rFonts w:ascii="Times New Roman" w:hAnsi="Times New Roman" w:cs="Times New Roman"/>
          <w:sz w:val="24"/>
          <w:szCs w:val="24"/>
        </w:rPr>
        <w:lastRenderedPageBreak/>
        <w:t>contratações que constam do Plano de Aquis</w:t>
      </w:r>
      <w:r w:rsidR="007D1BAC">
        <w:rPr>
          <w:rFonts w:ascii="Times New Roman" w:hAnsi="Times New Roman" w:cs="Times New Roman"/>
          <w:sz w:val="24"/>
          <w:szCs w:val="24"/>
        </w:rPr>
        <w:t>ições (PA). Para tanto o Banco realiz</w:t>
      </w:r>
      <w:r w:rsidR="00B73EE7">
        <w:rPr>
          <w:rFonts w:ascii="Times New Roman" w:hAnsi="Times New Roman" w:cs="Times New Roman"/>
          <w:sz w:val="24"/>
          <w:szCs w:val="24"/>
        </w:rPr>
        <w:t xml:space="preserve">a </w:t>
      </w:r>
      <w:r w:rsidRPr="007D1BAC">
        <w:rPr>
          <w:rFonts w:ascii="Times New Roman" w:hAnsi="Times New Roman" w:cs="Times New Roman"/>
          <w:sz w:val="24"/>
          <w:szCs w:val="24"/>
        </w:rPr>
        <w:t xml:space="preserve">visitas técnicas semestrais, </w:t>
      </w:r>
      <w:r w:rsidR="007D1BAC">
        <w:rPr>
          <w:rFonts w:ascii="Times New Roman" w:hAnsi="Times New Roman" w:cs="Times New Roman"/>
          <w:sz w:val="24"/>
          <w:szCs w:val="24"/>
        </w:rPr>
        <w:t>assim como aport</w:t>
      </w:r>
      <w:r w:rsidR="00B73EE7">
        <w:rPr>
          <w:rFonts w:ascii="Times New Roman" w:hAnsi="Times New Roman" w:cs="Times New Roman"/>
          <w:sz w:val="24"/>
          <w:szCs w:val="24"/>
        </w:rPr>
        <w:t>a</w:t>
      </w:r>
      <w:r w:rsidR="007D1BAC">
        <w:rPr>
          <w:rFonts w:ascii="Times New Roman" w:hAnsi="Times New Roman" w:cs="Times New Roman"/>
          <w:sz w:val="24"/>
          <w:szCs w:val="24"/>
        </w:rPr>
        <w:t xml:space="preserve"> </w:t>
      </w:r>
      <w:r w:rsidRPr="007D1BAC">
        <w:rPr>
          <w:rFonts w:ascii="Times New Roman" w:hAnsi="Times New Roman" w:cs="Times New Roman"/>
          <w:sz w:val="24"/>
          <w:szCs w:val="24"/>
        </w:rPr>
        <w:t xml:space="preserve">apoio de consultorias, conforme demandado pela equipe da </w:t>
      </w:r>
      <w:r w:rsidR="007D1BAC">
        <w:rPr>
          <w:rFonts w:ascii="Times New Roman" w:hAnsi="Times New Roman" w:cs="Times New Roman"/>
          <w:sz w:val="24"/>
          <w:szCs w:val="24"/>
        </w:rPr>
        <w:t>SEFA</w:t>
      </w:r>
      <w:r w:rsidRPr="007D1BAC">
        <w:rPr>
          <w:rFonts w:ascii="Times New Roman" w:hAnsi="Times New Roman" w:cs="Times New Roman"/>
          <w:sz w:val="24"/>
          <w:szCs w:val="24"/>
        </w:rPr>
        <w:t>.</w:t>
      </w:r>
    </w:p>
    <w:p w:rsidR="00D054DC" w:rsidRPr="007D1BAC" w:rsidRDefault="00D054DC" w:rsidP="009C7A21">
      <w:pPr>
        <w:autoSpaceDE w:val="0"/>
        <w:autoSpaceDN w:val="0"/>
        <w:adjustRightInd w:val="0"/>
        <w:spacing w:after="240" w:line="240" w:lineRule="auto"/>
        <w:jc w:val="both"/>
        <w:rPr>
          <w:rFonts w:ascii="Times New Roman" w:hAnsi="Times New Roman" w:cs="Times New Roman"/>
          <w:color w:val="000000"/>
          <w:sz w:val="24"/>
          <w:szCs w:val="24"/>
        </w:rPr>
      </w:pPr>
      <w:r w:rsidRPr="007D1BAC">
        <w:rPr>
          <w:rFonts w:ascii="Times New Roman" w:hAnsi="Times New Roman" w:cs="Times New Roman"/>
          <w:b/>
          <w:bCs/>
          <w:color w:val="000000"/>
          <w:sz w:val="24"/>
          <w:szCs w:val="24"/>
        </w:rPr>
        <w:t xml:space="preserve">Avaliação. </w:t>
      </w:r>
      <w:r w:rsidRPr="007D1BAC">
        <w:rPr>
          <w:rFonts w:ascii="Times New Roman" w:hAnsi="Times New Roman" w:cs="Times New Roman"/>
          <w:bCs/>
          <w:color w:val="000000"/>
          <w:sz w:val="24"/>
          <w:szCs w:val="24"/>
        </w:rPr>
        <w:t xml:space="preserve">A avaliação do Projeto deverá ser realizada nos termos do Plano de Monitoramento e Avaliação </w:t>
      </w:r>
      <w:r w:rsidR="00F121C0" w:rsidRPr="007D1BAC">
        <w:rPr>
          <w:rFonts w:ascii="Times New Roman" w:hAnsi="Times New Roman" w:cs="Times New Roman"/>
          <w:bCs/>
          <w:color w:val="000000"/>
          <w:sz w:val="24"/>
          <w:szCs w:val="24"/>
        </w:rPr>
        <w:t xml:space="preserve">(PM&amp;A) </w:t>
      </w:r>
      <w:r w:rsidRPr="007D1BAC">
        <w:rPr>
          <w:rFonts w:ascii="Times New Roman" w:hAnsi="Times New Roman" w:cs="Times New Roman"/>
          <w:bCs/>
          <w:color w:val="000000"/>
          <w:sz w:val="24"/>
          <w:szCs w:val="24"/>
        </w:rPr>
        <w:t>elaborado durante a preparação da operação. Para fins de elaboração do Relatório de Encerramento do Projeto (</w:t>
      </w:r>
      <w:r w:rsidRPr="007D1BAC">
        <w:rPr>
          <w:rFonts w:ascii="Times New Roman" w:hAnsi="Times New Roman" w:cs="Times New Roman"/>
          <w:bCs/>
          <w:i/>
          <w:color w:val="000000"/>
          <w:sz w:val="24"/>
          <w:szCs w:val="24"/>
        </w:rPr>
        <w:t>Project Completion Report</w:t>
      </w:r>
      <w:r w:rsidRPr="007D1BAC">
        <w:rPr>
          <w:rFonts w:ascii="Times New Roman" w:hAnsi="Times New Roman" w:cs="Times New Roman"/>
          <w:bCs/>
          <w:color w:val="000000"/>
          <w:sz w:val="24"/>
          <w:szCs w:val="24"/>
        </w:rPr>
        <w:t xml:space="preserve"> – </w:t>
      </w:r>
      <w:r w:rsidRPr="007D1BAC">
        <w:rPr>
          <w:rFonts w:ascii="Times New Roman" w:hAnsi="Times New Roman" w:cs="Times New Roman"/>
          <w:bCs/>
          <w:i/>
          <w:color w:val="000000"/>
          <w:sz w:val="24"/>
          <w:szCs w:val="24"/>
        </w:rPr>
        <w:t>PCR</w:t>
      </w:r>
      <w:r w:rsidRPr="007D1BAC">
        <w:rPr>
          <w:rFonts w:ascii="Times New Roman" w:hAnsi="Times New Roman" w:cs="Times New Roman"/>
          <w:bCs/>
          <w:color w:val="000000"/>
          <w:sz w:val="24"/>
          <w:szCs w:val="24"/>
        </w:rPr>
        <w:t xml:space="preserve">) utilizará uma metodologia reflexiva para verificar os resultados alcançados em relação à situação anterior do Projeto, considerando </w:t>
      </w:r>
      <w:r w:rsidRPr="007D1BAC">
        <w:rPr>
          <w:rFonts w:ascii="Times New Roman" w:hAnsi="Times New Roman" w:cs="Times New Roman"/>
          <w:color w:val="000000"/>
          <w:sz w:val="24"/>
          <w:szCs w:val="24"/>
        </w:rPr>
        <w:t>as metas e indicadores constantes do Marco de Resultados.</w:t>
      </w:r>
    </w:p>
    <w:p w:rsidR="00D054DC" w:rsidRPr="00046243" w:rsidRDefault="00D054DC" w:rsidP="009C7A21">
      <w:pPr>
        <w:autoSpaceDE w:val="0"/>
        <w:autoSpaceDN w:val="0"/>
        <w:adjustRightInd w:val="0"/>
        <w:spacing w:after="240" w:line="240" w:lineRule="auto"/>
        <w:jc w:val="both"/>
        <w:rPr>
          <w:rStyle w:val="hps"/>
          <w:rFonts w:ascii="Times New Roman" w:hAnsi="Times New Roman" w:cs="Times New Roman"/>
          <w:i/>
          <w:sz w:val="24"/>
          <w:szCs w:val="24"/>
        </w:rPr>
      </w:pPr>
      <w:r w:rsidRPr="00B73EE7">
        <w:rPr>
          <w:rFonts w:ascii="Times New Roman" w:hAnsi="Times New Roman" w:cs="Times New Roman"/>
          <w:color w:val="000000"/>
          <w:sz w:val="24"/>
          <w:szCs w:val="24"/>
        </w:rPr>
        <w:t>Ao final da operação também serão aplicadas metodologia de avaliação de impactos e de custo-benefício, nos termos descritos no PM&amp;A</w:t>
      </w:r>
      <w:r w:rsidR="00F121C0" w:rsidRPr="00B73EE7">
        <w:rPr>
          <w:rFonts w:ascii="Times New Roman" w:hAnsi="Times New Roman" w:cs="Times New Roman"/>
          <w:color w:val="000000"/>
          <w:sz w:val="24"/>
          <w:szCs w:val="24"/>
        </w:rPr>
        <w:t xml:space="preserve">. Como a </w:t>
      </w:r>
      <w:r w:rsidRPr="00B73EE7">
        <w:rPr>
          <w:rFonts w:ascii="Times New Roman" w:hAnsi="Times New Roman" w:cs="Times New Roman"/>
          <w:i/>
          <w:color w:val="000000"/>
          <w:sz w:val="24"/>
          <w:szCs w:val="24"/>
        </w:rPr>
        <w:t xml:space="preserve">Avaliação de impactos </w:t>
      </w:r>
      <w:r w:rsidR="00F121C0" w:rsidRPr="00B73EE7">
        <w:rPr>
          <w:rFonts w:ascii="Times New Roman" w:hAnsi="Times New Roman" w:cs="Times New Roman"/>
          <w:color w:val="000000"/>
          <w:sz w:val="24"/>
          <w:szCs w:val="24"/>
        </w:rPr>
        <w:t xml:space="preserve">não foi prevista para este projeto, será feita apenas uma </w:t>
      </w:r>
      <w:r w:rsidRPr="00B73EE7">
        <w:rPr>
          <w:rFonts w:ascii="Times New Roman" w:hAnsi="Times New Roman" w:cs="Times New Roman"/>
          <w:i/>
          <w:color w:val="000000"/>
          <w:sz w:val="24"/>
          <w:szCs w:val="24"/>
        </w:rPr>
        <w:t>Avaliação econômica ex</w:t>
      </w:r>
      <w:r w:rsidR="00B73EE7">
        <w:rPr>
          <w:rFonts w:ascii="Times New Roman" w:hAnsi="Times New Roman" w:cs="Times New Roman"/>
          <w:i/>
          <w:color w:val="000000"/>
          <w:sz w:val="24"/>
          <w:szCs w:val="24"/>
        </w:rPr>
        <w:t>-</w:t>
      </w:r>
      <w:r w:rsidRPr="00B73EE7">
        <w:rPr>
          <w:rFonts w:ascii="Times New Roman" w:hAnsi="Times New Roman" w:cs="Times New Roman"/>
          <w:i/>
          <w:color w:val="000000"/>
          <w:sz w:val="24"/>
          <w:szCs w:val="24"/>
        </w:rPr>
        <w:t>post do Projeto</w:t>
      </w:r>
      <w:r w:rsidRPr="00B73EE7">
        <w:rPr>
          <w:rFonts w:ascii="Times New Roman" w:hAnsi="Times New Roman" w:cs="Times New Roman"/>
          <w:color w:val="000000"/>
          <w:sz w:val="24"/>
          <w:szCs w:val="24"/>
        </w:rPr>
        <w:t xml:space="preserve"> – esta avaliação fará uma análise de custo-benefício </w:t>
      </w:r>
      <w:r w:rsidRPr="00B73EE7">
        <w:rPr>
          <w:rFonts w:ascii="Times New Roman" w:hAnsi="Times New Roman" w:cs="Times New Roman"/>
          <w:i/>
          <w:color w:val="000000"/>
          <w:sz w:val="24"/>
          <w:szCs w:val="24"/>
        </w:rPr>
        <w:t>ex</w:t>
      </w:r>
      <w:r w:rsidR="00B73EE7">
        <w:rPr>
          <w:rFonts w:ascii="Times New Roman" w:hAnsi="Times New Roman" w:cs="Times New Roman"/>
          <w:i/>
          <w:color w:val="000000"/>
          <w:sz w:val="24"/>
          <w:szCs w:val="24"/>
        </w:rPr>
        <w:t>-</w:t>
      </w:r>
      <w:r w:rsidRPr="00B73EE7">
        <w:rPr>
          <w:rFonts w:ascii="Times New Roman" w:hAnsi="Times New Roman" w:cs="Times New Roman"/>
          <w:i/>
          <w:color w:val="000000"/>
          <w:sz w:val="24"/>
          <w:szCs w:val="24"/>
        </w:rPr>
        <w:t>post</w:t>
      </w:r>
      <w:r w:rsidRPr="00B73EE7">
        <w:rPr>
          <w:rFonts w:ascii="Times New Roman" w:hAnsi="Times New Roman" w:cs="Times New Roman"/>
          <w:color w:val="000000"/>
          <w:sz w:val="24"/>
          <w:szCs w:val="24"/>
        </w:rPr>
        <w:t xml:space="preserve"> para verificar o rendimento financeiro do Projeto e compará-lo com o estimado durante a sua preparação. Essa avaliação também poderá identificar outros benefícios econômicos que não tenham quantificado na avaliação </w:t>
      </w:r>
      <w:r w:rsidRPr="00B73EE7">
        <w:rPr>
          <w:rFonts w:ascii="Times New Roman" w:hAnsi="Times New Roman" w:cs="Times New Roman"/>
          <w:i/>
          <w:color w:val="000000"/>
          <w:sz w:val="24"/>
          <w:szCs w:val="24"/>
        </w:rPr>
        <w:t>ex ante.</w:t>
      </w:r>
    </w:p>
    <w:p w:rsidR="00D9004D" w:rsidRPr="00B73EE7" w:rsidRDefault="00D9004D" w:rsidP="009C7A21">
      <w:pPr>
        <w:pStyle w:val="Ttulo2"/>
        <w:numPr>
          <w:ilvl w:val="1"/>
          <w:numId w:val="2"/>
        </w:numPr>
        <w:spacing w:after="240" w:line="240" w:lineRule="auto"/>
        <w:rPr>
          <w:rFonts w:ascii="Times New Roman" w:hAnsi="Times New Roman" w:cs="Times New Roman"/>
          <w:color w:val="auto"/>
          <w:sz w:val="24"/>
          <w:szCs w:val="24"/>
        </w:rPr>
      </w:pPr>
      <w:bookmarkStart w:id="21" w:name="_Toc402348387"/>
      <w:bookmarkStart w:id="22" w:name="_Toc431190871"/>
      <w:r w:rsidRPr="00B73EE7">
        <w:rPr>
          <w:rFonts w:ascii="Times New Roman" w:hAnsi="Times New Roman" w:cs="Times New Roman"/>
          <w:color w:val="auto"/>
          <w:sz w:val="24"/>
          <w:szCs w:val="24"/>
        </w:rPr>
        <w:t>Uso dos Sistemas Nacionais</w:t>
      </w:r>
      <w:bookmarkEnd w:id="21"/>
      <w:bookmarkEnd w:id="22"/>
    </w:p>
    <w:p w:rsidR="00477905" w:rsidRPr="00B73EE7" w:rsidRDefault="00706776" w:rsidP="009C7A21">
      <w:pPr>
        <w:spacing w:after="240" w:line="240" w:lineRule="auto"/>
        <w:jc w:val="both"/>
        <w:rPr>
          <w:rStyle w:val="hps"/>
          <w:rFonts w:ascii="Times New Roman" w:hAnsi="Times New Roman" w:cs="Times New Roman"/>
          <w:sz w:val="24"/>
          <w:szCs w:val="24"/>
        </w:rPr>
      </w:pPr>
      <w:r w:rsidRPr="00B73EE7">
        <w:rPr>
          <w:rStyle w:val="hps"/>
          <w:rFonts w:ascii="Times New Roman" w:hAnsi="Times New Roman" w:cs="Times New Roman"/>
          <w:sz w:val="24"/>
          <w:szCs w:val="24"/>
        </w:rPr>
        <w:t xml:space="preserve">Esta avaliação mede em que grau o PROGEFAZ </w:t>
      </w:r>
      <w:r w:rsidR="00477905" w:rsidRPr="00B73EE7">
        <w:rPr>
          <w:rStyle w:val="hps"/>
          <w:rFonts w:ascii="Times New Roman" w:hAnsi="Times New Roman" w:cs="Times New Roman"/>
          <w:sz w:val="24"/>
          <w:szCs w:val="24"/>
        </w:rPr>
        <w:t xml:space="preserve">contribuiu para o fortalecimento da cultura de definição e acompanhamento de metas fiscais e gerenciais, com repercussão no equilíbrio fiscal do Estado. Contribuiu, ainda, para o fortalecimento dos sistemas nacionais, em razão dos novos processos definidos para viabilizar as contratações e aquisições para o </w:t>
      </w:r>
      <w:r w:rsidR="00D03DAA" w:rsidRPr="00B73EE7">
        <w:rPr>
          <w:rStyle w:val="hps"/>
          <w:rFonts w:ascii="Times New Roman" w:hAnsi="Times New Roman" w:cs="Times New Roman"/>
          <w:sz w:val="24"/>
          <w:szCs w:val="24"/>
        </w:rPr>
        <w:t>Projeto.</w:t>
      </w:r>
    </w:p>
    <w:p w:rsidR="00706776" w:rsidRPr="00B73EE7" w:rsidRDefault="00706776" w:rsidP="00FC2907">
      <w:pPr>
        <w:spacing w:before="120" w:after="240" w:line="240" w:lineRule="auto"/>
        <w:ind w:right="4"/>
        <w:jc w:val="both"/>
        <w:rPr>
          <w:rFonts w:ascii="Times New Roman" w:hAnsi="Times New Roman" w:cs="Times New Roman"/>
          <w:sz w:val="24"/>
          <w:szCs w:val="24"/>
        </w:rPr>
      </w:pPr>
      <w:r w:rsidRPr="00B73EE7">
        <w:rPr>
          <w:rFonts w:ascii="Times New Roman" w:eastAsia="Times New Roman" w:hAnsi="Times New Roman" w:cs="Times New Roman"/>
          <w:b/>
          <w:sz w:val="24"/>
          <w:szCs w:val="24"/>
        </w:rPr>
        <w:t xml:space="preserve">Planejamento e Orçamento </w:t>
      </w:r>
      <w:r w:rsidRPr="00B73EE7">
        <w:rPr>
          <w:rFonts w:ascii="Times New Roman" w:eastAsia="Times New Roman" w:hAnsi="Times New Roman" w:cs="Times New Roman"/>
          <w:sz w:val="24"/>
          <w:szCs w:val="24"/>
        </w:rPr>
        <w:t xml:space="preserve">– </w:t>
      </w:r>
      <w:r w:rsidR="00FE7571" w:rsidRPr="00B73EE7">
        <w:rPr>
          <w:rFonts w:ascii="Times New Roman" w:eastAsia="Times New Roman" w:hAnsi="Times New Roman" w:cs="Times New Roman"/>
          <w:sz w:val="24"/>
          <w:szCs w:val="24"/>
        </w:rPr>
        <w:t>Com relação a planejamento, a U</w:t>
      </w:r>
      <w:r w:rsidRPr="00B73EE7">
        <w:rPr>
          <w:rFonts w:ascii="Times New Roman" w:eastAsia="Times New Roman" w:hAnsi="Times New Roman" w:cs="Times New Roman"/>
          <w:sz w:val="24"/>
          <w:szCs w:val="24"/>
        </w:rPr>
        <w:t xml:space="preserve">CP é parte integrante da </w:t>
      </w:r>
      <w:r w:rsidR="00FE7571" w:rsidRPr="00B73EE7">
        <w:rPr>
          <w:rFonts w:ascii="Times New Roman" w:eastAsia="Times New Roman" w:hAnsi="Times New Roman" w:cs="Times New Roman"/>
          <w:sz w:val="24"/>
          <w:szCs w:val="24"/>
        </w:rPr>
        <w:t xml:space="preserve">estrutura organizacional da Diretoria de </w:t>
      </w:r>
      <w:r w:rsidRPr="00B73EE7">
        <w:rPr>
          <w:rFonts w:ascii="Times New Roman" w:eastAsia="Times New Roman" w:hAnsi="Times New Roman" w:cs="Times New Roman"/>
          <w:sz w:val="24"/>
          <w:szCs w:val="24"/>
        </w:rPr>
        <w:t>Planejamento e O</w:t>
      </w:r>
      <w:r w:rsidR="00FE7571" w:rsidRPr="00B73EE7">
        <w:rPr>
          <w:rFonts w:ascii="Times New Roman" w:eastAsia="Times New Roman" w:hAnsi="Times New Roman" w:cs="Times New Roman"/>
          <w:sz w:val="24"/>
          <w:szCs w:val="24"/>
        </w:rPr>
        <w:t xml:space="preserve">rçamento da SEFA </w:t>
      </w:r>
      <w:r w:rsidRPr="00B73EE7">
        <w:rPr>
          <w:rFonts w:ascii="Times New Roman" w:eastAsia="Times New Roman" w:hAnsi="Times New Roman" w:cs="Times New Roman"/>
          <w:sz w:val="24"/>
          <w:szCs w:val="24"/>
        </w:rPr>
        <w:t>e os projetos do PROGEFAZ fazem parte do Planejamento Estratégico</w:t>
      </w:r>
      <w:r w:rsidR="00FE7571" w:rsidRPr="00B73EE7">
        <w:rPr>
          <w:rFonts w:ascii="Times New Roman" w:eastAsia="Times New Roman" w:hAnsi="Times New Roman" w:cs="Times New Roman"/>
          <w:sz w:val="24"/>
          <w:szCs w:val="24"/>
        </w:rPr>
        <w:t>. Com relação ao orçamento</w:t>
      </w:r>
      <w:r w:rsidRPr="00B73EE7">
        <w:rPr>
          <w:rFonts w:ascii="Times New Roman" w:eastAsia="Times New Roman" w:hAnsi="Times New Roman" w:cs="Times New Roman"/>
          <w:sz w:val="24"/>
          <w:szCs w:val="24"/>
        </w:rPr>
        <w:t xml:space="preserve">, as estimativas de desembolso do </w:t>
      </w:r>
      <w:r w:rsidR="00FE7571" w:rsidRPr="00B73EE7">
        <w:rPr>
          <w:rFonts w:ascii="Times New Roman" w:eastAsia="Times New Roman" w:hAnsi="Times New Roman" w:cs="Times New Roman"/>
          <w:sz w:val="24"/>
          <w:szCs w:val="24"/>
        </w:rPr>
        <w:t xml:space="preserve">PROGEFAZ </w:t>
      </w:r>
      <w:r w:rsidRPr="00B73EE7">
        <w:rPr>
          <w:rFonts w:ascii="Times New Roman" w:eastAsia="Times New Roman" w:hAnsi="Times New Roman" w:cs="Times New Roman"/>
          <w:sz w:val="24"/>
          <w:szCs w:val="24"/>
        </w:rPr>
        <w:t xml:space="preserve">foram </w:t>
      </w:r>
      <w:r w:rsidR="00F121C0" w:rsidRPr="00B73EE7">
        <w:rPr>
          <w:rFonts w:ascii="Times New Roman" w:eastAsia="Times New Roman" w:hAnsi="Times New Roman" w:cs="Times New Roman"/>
          <w:sz w:val="24"/>
          <w:szCs w:val="24"/>
        </w:rPr>
        <w:t xml:space="preserve">todas </w:t>
      </w:r>
      <w:r w:rsidRPr="00B73EE7">
        <w:rPr>
          <w:rFonts w:ascii="Times New Roman" w:eastAsia="Times New Roman" w:hAnsi="Times New Roman" w:cs="Times New Roman"/>
          <w:sz w:val="24"/>
          <w:szCs w:val="24"/>
        </w:rPr>
        <w:t xml:space="preserve">previstas no orçamento da SEFA. </w:t>
      </w:r>
    </w:p>
    <w:p w:rsidR="00706776" w:rsidRPr="00B73EE7" w:rsidRDefault="00706776" w:rsidP="00FC2907">
      <w:pPr>
        <w:spacing w:before="120" w:after="240" w:line="240" w:lineRule="auto"/>
        <w:ind w:right="4"/>
        <w:jc w:val="both"/>
        <w:rPr>
          <w:rFonts w:ascii="Times New Roman" w:hAnsi="Times New Roman" w:cs="Times New Roman"/>
          <w:sz w:val="24"/>
          <w:szCs w:val="24"/>
        </w:rPr>
      </w:pPr>
      <w:r w:rsidRPr="00B73EE7">
        <w:rPr>
          <w:rFonts w:ascii="Times New Roman" w:eastAsia="Times New Roman" w:hAnsi="Times New Roman" w:cs="Times New Roman"/>
          <w:b/>
          <w:sz w:val="24"/>
          <w:szCs w:val="24"/>
        </w:rPr>
        <w:t>Sistemas de Compras Governamentais</w:t>
      </w:r>
      <w:r w:rsidRPr="00B73EE7">
        <w:rPr>
          <w:rFonts w:ascii="Times New Roman" w:eastAsia="Times New Roman" w:hAnsi="Times New Roman" w:cs="Times New Roman"/>
          <w:sz w:val="24"/>
          <w:szCs w:val="24"/>
        </w:rPr>
        <w:t xml:space="preserve"> – Durante a execução do Programa</w:t>
      </w:r>
      <w:r w:rsidR="003E0A25">
        <w:rPr>
          <w:rFonts w:ascii="Times New Roman" w:eastAsia="Times New Roman" w:hAnsi="Times New Roman" w:cs="Times New Roman"/>
          <w:sz w:val="24"/>
          <w:szCs w:val="24"/>
        </w:rPr>
        <w:t>,</w:t>
      </w:r>
      <w:r w:rsidRPr="00B73EE7">
        <w:rPr>
          <w:rFonts w:ascii="Times New Roman" w:eastAsia="Times New Roman" w:hAnsi="Times New Roman" w:cs="Times New Roman"/>
          <w:sz w:val="24"/>
          <w:szCs w:val="24"/>
        </w:rPr>
        <w:t xml:space="preserve"> as compras da SEFA foram realizadas por meio de Pregão Eletrônico, as consultorias e as aquisições para desenvolvimento de sistemas informatizados utilizaram as regras e políticas do Banco. </w:t>
      </w:r>
      <w:r w:rsidR="00545155">
        <w:rPr>
          <w:rFonts w:ascii="Times New Roman" w:eastAsia="Times New Roman" w:hAnsi="Times New Roman" w:cs="Times New Roman"/>
          <w:sz w:val="24"/>
          <w:szCs w:val="24"/>
        </w:rPr>
        <w:t xml:space="preserve">O </w:t>
      </w:r>
      <w:r w:rsidR="00D97B1A">
        <w:rPr>
          <w:rFonts w:ascii="Times New Roman" w:eastAsia="Times New Roman" w:hAnsi="Times New Roman" w:cs="Times New Roman"/>
          <w:sz w:val="24"/>
          <w:szCs w:val="24"/>
        </w:rPr>
        <w:t>S</w:t>
      </w:r>
      <w:r w:rsidRPr="00B73EE7">
        <w:rPr>
          <w:rFonts w:ascii="Times New Roman" w:eastAsia="Times New Roman" w:hAnsi="Times New Roman" w:cs="Times New Roman"/>
          <w:sz w:val="24"/>
          <w:szCs w:val="24"/>
        </w:rPr>
        <w:t xml:space="preserve">istema </w:t>
      </w:r>
      <w:r w:rsidR="00FB4ED4">
        <w:rPr>
          <w:rFonts w:ascii="Times New Roman" w:eastAsia="Times New Roman" w:hAnsi="Times New Roman" w:cs="Times New Roman"/>
          <w:sz w:val="24"/>
          <w:szCs w:val="24"/>
        </w:rPr>
        <w:t xml:space="preserve">de </w:t>
      </w:r>
      <w:r w:rsidR="00D97B1A">
        <w:rPr>
          <w:rFonts w:ascii="Times New Roman" w:eastAsia="Times New Roman" w:hAnsi="Times New Roman" w:cs="Times New Roman"/>
          <w:sz w:val="24"/>
          <w:szCs w:val="24"/>
        </w:rPr>
        <w:t>Informações de Materiais (</w:t>
      </w:r>
      <w:r w:rsidRPr="00B73EE7">
        <w:rPr>
          <w:rFonts w:ascii="Times New Roman" w:eastAsia="Times New Roman" w:hAnsi="Times New Roman" w:cs="Times New Roman"/>
          <w:sz w:val="24"/>
          <w:szCs w:val="24"/>
        </w:rPr>
        <w:t>SIMA</w:t>
      </w:r>
      <w:r w:rsidR="00D97B1A">
        <w:rPr>
          <w:rFonts w:ascii="Times New Roman" w:eastAsia="Times New Roman" w:hAnsi="Times New Roman" w:cs="Times New Roman"/>
          <w:sz w:val="24"/>
          <w:szCs w:val="24"/>
        </w:rPr>
        <w:t>)</w:t>
      </w:r>
      <w:r w:rsidRPr="00B73EE7">
        <w:rPr>
          <w:rFonts w:ascii="Times New Roman" w:eastAsia="Times New Roman" w:hAnsi="Times New Roman" w:cs="Times New Roman"/>
          <w:sz w:val="24"/>
          <w:szCs w:val="24"/>
        </w:rPr>
        <w:t xml:space="preserve"> do Governo do Estado foi utilizado para realizar as pesquisa de preços como referência para os processos de aquisições.</w:t>
      </w:r>
    </w:p>
    <w:p w:rsidR="00706776" w:rsidRPr="00046243" w:rsidRDefault="00706776" w:rsidP="00FC2907">
      <w:pPr>
        <w:spacing w:before="120" w:after="240" w:line="240" w:lineRule="auto"/>
        <w:ind w:right="4"/>
        <w:jc w:val="both"/>
        <w:rPr>
          <w:rFonts w:ascii="Times New Roman" w:hAnsi="Times New Roman" w:cs="Times New Roman"/>
          <w:sz w:val="24"/>
          <w:szCs w:val="24"/>
        </w:rPr>
      </w:pPr>
      <w:r w:rsidRPr="00B73EE7">
        <w:rPr>
          <w:rFonts w:ascii="Times New Roman" w:eastAsia="Times New Roman" w:hAnsi="Times New Roman" w:cs="Times New Roman"/>
          <w:b/>
          <w:sz w:val="24"/>
          <w:szCs w:val="24"/>
        </w:rPr>
        <w:t>Compras eletrônicas</w:t>
      </w:r>
      <w:r w:rsidRPr="00B73EE7">
        <w:rPr>
          <w:rFonts w:ascii="Times New Roman" w:eastAsia="Times New Roman" w:hAnsi="Times New Roman" w:cs="Times New Roman"/>
          <w:sz w:val="24"/>
          <w:szCs w:val="24"/>
        </w:rPr>
        <w:t xml:space="preserve"> – O sistema de compras eletrônicas utilizado pela SEFA foi o COMPRANET. O Estado do Pará não possui sistema próprio de compras eletrônica.</w:t>
      </w:r>
    </w:p>
    <w:p w:rsidR="00477905" w:rsidRPr="00046243" w:rsidRDefault="00477905" w:rsidP="00FC2907">
      <w:pPr>
        <w:spacing w:before="120" w:after="240" w:line="240" w:lineRule="auto"/>
        <w:ind w:right="4"/>
        <w:jc w:val="both"/>
        <w:rPr>
          <w:rFonts w:ascii="Times New Roman" w:eastAsia="Times New Roman" w:hAnsi="Times New Roman" w:cs="Times New Roman"/>
          <w:sz w:val="24"/>
          <w:szCs w:val="24"/>
        </w:rPr>
      </w:pPr>
      <w:r w:rsidRPr="00670D4E">
        <w:rPr>
          <w:rFonts w:ascii="Times New Roman" w:eastAsia="Times New Roman" w:hAnsi="Times New Roman" w:cs="Times New Roman"/>
          <w:b/>
          <w:sz w:val="24"/>
          <w:szCs w:val="24"/>
        </w:rPr>
        <w:t>Administração financeira</w:t>
      </w:r>
      <w:r w:rsidR="00641085" w:rsidRPr="00670D4E">
        <w:rPr>
          <w:rFonts w:ascii="Times New Roman" w:eastAsia="Times New Roman" w:hAnsi="Times New Roman" w:cs="Times New Roman"/>
          <w:sz w:val="24"/>
          <w:szCs w:val="24"/>
        </w:rPr>
        <w:t xml:space="preserve"> – </w:t>
      </w:r>
      <w:r w:rsidRPr="00670D4E">
        <w:rPr>
          <w:rFonts w:ascii="Times New Roman" w:eastAsia="Times New Roman" w:hAnsi="Times New Roman" w:cs="Times New Roman"/>
          <w:sz w:val="24"/>
          <w:szCs w:val="24"/>
        </w:rPr>
        <w:t xml:space="preserve">No inicio da execução do projeto o Estado </w:t>
      </w:r>
      <w:r w:rsidR="00FE7571" w:rsidRPr="00670D4E">
        <w:rPr>
          <w:rFonts w:ascii="Times New Roman" w:eastAsia="Times New Roman" w:hAnsi="Times New Roman" w:cs="Times New Roman"/>
          <w:sz w:val="24"/>
          <w:szCs w:val="24"/>
        </w:rPr>
        <w:t xml:space="preserve">realizava </w:t>
      </w:r>
      <w:r w:rsidR="00D03DAA" w:rsidRPr="00670D4E">
        <w:rPr>
          <w:rFonts w:ascii="Times New Roman" w:eastAsia="Times New Roman" w:hAnsi="Times New Roman" w:cs="Times New Roman"/>
          <w:sz w:val="24"/>
          <w:szCs w:val="24"/>
        </w:rPr>
        <w:t>c</w:t>
      </w:r>
      <w:r w:rsidR="00FE7571" w:rsidRPr="00670D4E">
        <w:rPr>
          <w:rFonts w:ascii="Times New Roman" w:eastAsia="Times New Roman" w:hAnsi="Times New Roman" w:cs="Times New Roman"/>
          <w:sz w:val="24"/>
          <w:szCs w:val="24"/>
        </w:rPr>
        <w:t>ontroles financeiros em p</w:t>
      </w:r>
      <w:r w:rsidRPr="00670D4E">
        <w:rPr>
          <w:rFonts w:ascii="Times New Roman" w:eastAsia="Times New Roman" w:hAnsi="Times New Roman" w:cs="Times New Roman"/>
          <w:sz w:val="24"/>
          <w:szCs w:val="24"/>
        </w:rPr>
        <w:t xml:space="preserve">lanilhas Excel. </w:t>
      </w:r>
      <w:r w:rsidR="00FE7571" w:rsidRPr="00670D4E">
        <w:rPr>
          <w:rFonts w:ascii="Times New Roman" w:eastAsia="Times New Roman" w:hAnsi="Times New Roman" w:cs="Times New Roman"/>
          <w:sz w:val="24"/>
          <w:szCs w:val="24"/>
        </w:rPr>
        <w:t>A partir de 2</w:t>
      </w:r>
      <w:r w:rsidRPr="00670D4E">
        <w:rPr>
          <w:rFonts w:ascii="Times New Roman" w:eastAsia="Times New Roman" w:hAnsi="Times New Roman" w:cs="Times New Roman"/>
          <w:sz w:val="24"/>
          <w:szCs w:val="24"/>
        </w:rPr>
        <w:t>014 foi elaborada a primeira prestação de contas por meio do sistema GESPRO – Gestão de Projeto.</w:t>
      </w:r>
      <w:r w:rsidR="008804BA" w:rsidRPr="00670D4E">
        <w:rPr>
          <w:rFonts w:ascii="Times New Roman" w:eastAsia="Times New Roman" w:hAnsi="Times New Roman" w:cs="Times New Roman"/>
          <w:sz w:val="24"/>
          <w:szCs w:val="24"/>
        </w:rPr>
        <w:t xml:space="preserve"> As d</w:t>
      </w:r>
      <w:r w:rsidRPr="00670D4E">
        <w:rPr>
          <w:rFonts w:ascii="Times New Roman" w:eastAsia="Times New Roman" w:hAnsi="Times New Roman" w:cs="Times New Roman"/>
          <w:sz w:val="24"/>
          <w:szCs w:val="24"/>
        </w:rPr>
        <w:t>ificuldades enfrentadas</w:t>
      </w:r>
      <w:r w:rsidR="008804BA" w:rsidRPr="00670D4E">
        <w:rPr>
          <w:rFonts w:ascii="Times New Roman" w:eastAsia="Times New Roman" w:hAnsi="Times New Roman" w:cs="Times New Roman"/>
          <w:sz w:val="24"/>
          <w:szCs w:val="24"/>
        </w:rPr>
        <w:t xml:space="preserve"> foram</w:t>
      </w:r>
      <w:r w:rsidR="00FE7571" w:rsidRPr="00670D4E">
        <w:rPr>
          <w:rFonts w:ascii="Times New Roman" w:eastAsia="Times New Roman" w:hAnsi="Times New Roman" w:cs="Times New Roman"/>
          <w:sz w:val="24"/>
          <w:szCs w:val="24"/>
        </w:rPr>
        <w:t xml:space="preserve">: (1) Sistema </w:t>
      </w:r>
      <w:r w:rsidRPr="00670D4E">
        <w:rPr>
          <w:rFonts w:ascii="Times New Roman" w:eastAsia="Times New Roman" w:hAnsi="Times New Roman" w:cs="Times New Roman"/>
          <w:sz w:val="24"/>
          <w:szCs w:val="24"/>
        </w:rPr>
        <w:t>implantado em linguagem não compatível com o modelo adotado pela SEFA, para garantir atendimento aos prazos estabelecidos pelo BID; (2) Posteriormente o sistema teve que ser customizado para a plataforma Oracle (período sem utilização – 18 meses); (3) Em seguida foi iniciado o processo de implantação que de 2011 a 2014 possibilit</w:t>
      </w:r>
      <w:r w:rsidR="00FE7571" w:rsidRPr="00670D4E">
        <w:rPr>
          <w:rFonts w:ascii="Times New Roman" w:eastAsia="Times New Roman" w:hAnsi="Times New Roman" w:cs="Times New Roman"/>
          <w:sz w:val="24"/>
          <w:szCs w:val="24"/>
        </w:rPr>
        <w:t xml:space="preserve">ou </w:t>
      </w:r>
      <w:r w:rsidRPr="00670D4E">
        <w:rPr>
          <w:rFonts w:ascii="Times New Roman" w:eastAsia="Times New Roman" w:hAnsi="Times New Roman" w:cs="Times New Roman"/>
          <w:sz w:val="24"/>
          <w:szCs w:val="24"/>
        </w:rPr>
        <w:t>a elaboração da prestação de contas para o BID a partir de dados digitados dos processos do sistema financeiro (SIAFEM), com conciliação para eliminação de erros em 2014.</w:t>
      </w:r>
    </w:p>
    <w:p w:rsidR="00477905" w:rsidRPr="00046243" w:rsidRDefault="00477905" w:rsidP="00FC2907">
      <w:pPr>
        <w:spacing w:before="120" w:after="240" w:line="240" w:lineRule="auto"/>
        <w:ind w:right="4"/>
        <w:jc w:val="both"/>
        <w:rPr>
          <w:rFonts w:ascii="Times New Roman" w:hAnsi="Times New Roman" w:cs="Times New Roman"/>
          <w:sz w:val="24"/>
          <w:szCs w:val="24"/>
        </w:rPr>
      </w:pPr>
      <w:r w:rsidRPr="00046243">
        <w:rPr>
          <w:rFonts w:ascii="Times New Roman" w:eastAsia="Times New Roman" w:hAnsi="Times New Roman" w:cs="Times New Roman"/>
          <w:sz w:val="24"/>
          <w:szCs w:val="24"/>
        </w:rPr>
        <w:lastRenderedPageBreak/>
        <w:t xml:space="preserve">OBS: (1) Os módulos de licitações e contratos não estão alimentados. (2) Foi necessário contratar um consultor individual para garantir os ajustes do sistema.  </w:t>
      </w:r>
    </w:p>
    <w:p w:rsidR="00477905" w:rsidRPr="00670D4E" w:rsidRDefault="00477905" w:rsidP="00FC2907">
      <w:pPr>
        <w:spacing w:before="120" w:after="240" w:line="240" w:lineRule="auto"/>
        <w:ind w:right="4"/>
        <w:jc w:val="both"/>
        <w:rPr>
          <w:rFonts w:ascii="Times New Roman" w:eastAsia="Times New Roman" w:hAnsi="Times New Roman" w:cs="Times New Roman"/>
          <w:sz w:val="24"/>
          <w:szCs w:val="24"/>
        </w:rPr>
      </w:pPr>
      <w:r w:rsidRPr="00670D4E">
        <w:rPr>
          <w:rFonts w:ascii="Times New Roman" w:eastAsia="Times New Roman" w:hAnsi="Times New Roman" w:cs="Times New Roman"/>
          <w:b/>
          <w:sz w:val="24"/>
          <w:szCs w:val="24"/>
        </w:rPr>
        <w:t>Contabilidade e tesouraria</w:t>
      </w:r>
      <w:r w:rsidR="00706776" w:rsidRPr="00670D4E">
        <w:rPr>
          <w:rFonts w:ascii="Times New Roman" w:eastAsia="Times New Roman" w:hAnsi="Times New Roman" w:cs="Times New Roman"/>
          <w:sz w:val="24"/>
          <w:szCs w:val="24"/>
        </w:rPr>
        <w:t xml:space="preserve"> – Foi definido um fluxo de execução financeira entre a UCP, Administração Financeira e a Unidade de Controle Interno da SEFA</w:t>
      </w:r>
      <w:r w:rsidR="005F4EC3" w:rsidRPr="00670D4E">
        <w:rPr>
          <w:rFonts w:ascii="Times New Roman" w:eastAsia="Times New Roman" w:hAnsi="Times New Roman" w:cs="Times New Roman"/>
          <w:sz w:val="24"/>
          <w:szCs w:val="24"/>
        </w:rPr>
        <w:t xml:space="preserve">, tendo como uma das </w:t>
      </w:r>
      <w:r w:rsidR="00706776" w:rsidRPr="00670D4E">
        <w:rPr>
          <w:rFonts w:ascii="Times New Roman" w:eastAsia="Times New Roman" w:hAnsi="Times New Roman" w:cs="Times New Roman"/>
          <w:sz w:val="24"/>
          <w:szCs w:val="24"/>
        </w:rPr>
        <w:t xml:space="preserve">características </w:t>
      </w:r>
      <w:r w:rsidR="005F4EC3" w:rsidRPr="00670D4E">
        <w:rPr>
          <w:rFonts w:ascii="Times New Roman" w:eastAsia="Times New Roman" w:hAnsi="Times New Roman" w:cs="Times New Roman"/>
          <w:sz w:val="24"/>
          <w:szCs w:val="24"/>
        </w:rPr>
        <w:t xml:space="preserve">os </w:t>
      </w:r>
      <w:r w:rsidR="00706776" w:rsidRPr="00670D4E">
        <w:rPr>
          <w:rFonts w:ascii="Times New Roman" w:eastAsia="Times New Roman" w:hAnsi="Times New Roman" w:cs="Times New Roman"/>
          <w:sz w:val="24"/>
          <w:szCs w:val="24"/>
        </w:rPr>
        <w:t>pagamentos realizados mediante a exigência de dois ordenadores de despesas</w:t>
      </w:r>
      <w:r w:rsidR="005F4EC3" w:rsidRPr="00670D4E">
        <w:rPr>
          <w:rFonts w:ascii="Times New Roman" w:eastAsia="Times New Roman" w:hAnsi="Times New Roman" w:cs="Times New Roman"/>
          <w:sz w:val="24"/>
          <w:szCs w:val="24"/>
        </w:rPr>
        <w:t xml:space="preserve">. As prestações de contas dos recursos do financiamento foram </w:t>
      </w:r>
      <w:r w:rsidRPr="00670D4E">
        <w:rPr>
          <w:rFonts w:ascii="Times New Roman" w:eastAsia="Times New Roman" w:hAnsi="Times New Roman" w:cs="Times New Roman"/>
          <w:sz w:val="24"/>
          <w:szCs w:val="24"/>
        </w:rPr>
        <w:t>integr</w:t>
      </w:r>
      <w:r w:rsidR="00FE7571" w:rsidRPr="00670D4E">
        <w:rPr>
          <w:rFonts w:ascii="Times New Roman" w:eastAsia="Times New Roman" w:hAnsi="Times New Roman" w:cs="Times New Roman"/>
          <w:sz w:val="24"/>
          <w:szCs w:val="24"/>
        </w:rPr>
        <w:t xml:space="preserve">adas e </w:t>
      </w:r>
      <w:r w:rsidR="005F4EC3" w:rsidRPr="00670D4E">
        <w:rPr>
          <w:rFonts w:ascii="Times New Roman" w:eastAsia="Times New Roman" w:hAnsi="Times New Roman" w:cs="Times New Roman"/>
          <w:sz w:val="24"/>
          <w:szCs w:val="24"/>
        </w:rPr>
        <w:t xml:space="preserve">adaptadas </w:t>
      </w:r>
      <w:r w:rsidRPr="00670D4E">
        <w:rPr>
          <w:rFonts w:ascii="Times New Roman" w:eastAsia="Times New Roman" w:hAnsi="Times New Roman" w:cs="Times New Roman"/>
          <w:sz w:val="24"/>
          <w:szCs w:val="24"/>
        </w:rPr>
        <w:t xml:space="preserve">a </w:t>
      </w:r>
      <w:r w:rsidR="005F4EC3" w:rsidRPr="00670D4E">
        <w:rPr>
          <w:rFonts w:ascii="Times New Roman" w:eastAsia="Times New Roman" w:hAnsi="Times New Roman" w:cs="Times New Roman"/>
          <w:sz w:val="24"/>
          <w:szCs w:val="24"/>
        </w:rPr>
        <w:t xml:space="preserve">este modelo. </w:t>
      </w:r>
    </w:p>
    <w:p w:rsidR="00477905" w:rsidRPr="00046243" w:rsidRDefault="00477905" w:rsidP="00FC2907">
      <w:pPr>
        <w:spacing w:before="120" w:after="240" w:line="240" w:lineRule="auto"/>
        <w:ind w:right="4"/>
        <w:jc w:val="both"/>
        <w:rPr>
          <w:rFonts w:ascii="Times New Roman" w:hAnsi="Times New Roman" w:cs="Times New Roman"/>
          <w:sz w:val="24"/>
          <w:szCs w:val="24"/>
        </w:rPr>
      </w:pPr>
      <w:r w:rsidRPr="00670D4E">
        <w:rPr>
          <w:rFonts w:ascii="Times New Roman" w:eastAsia="Times New Roman" w:hAnsi="Times New Roman" w:cs="Times New Roman"/>
          <w:b/>
          <w:sz w:val="24"/>
          <w:szCs w:val="24"/>
        </w:rPr>
        <w:t>Controle interno e controle externo</w:t>
      </w:r>
      <w:r w:rsidR="005F4EC3" w:rsidRPr="00670D4E">
        <w:rPr>
          <w:rFonts w:ascii="Times New Roman" w:eastAsia="Times New Roman" w:hAnsi="Times New Roman" w:cs="Times New Roman"/>
          <w:b/>
          <w:sz w:val="24"/>
          <w:szCs w:val="24"/>
        </w:rPr>
        <w:t xml:space="preserve"> –</w:t>
      </w:r>
      <w:r w:rsidR="00FE7571" w:rsidRPr="00670D4E">
        <w:rPr>
          <w:rFonts w:ascii="Times New Roman" w:eastAsia="Times New Roman" w:hAnsi="Times New Roman" w:cs="Times New Roman"/>
          <w:b/>
          <w:sz w:val="24"/>
          <w:szCs w:val="24"/>
        </w:rPr>
        <w:t xml:space="preserve"> </w:t>
      </w:r>
      <w:r w:rsidR="00762342" w:rsidRPr="00670D4E">
        <w:rPr>
          <w:rFonts w:ascii="Times New Roman" w:eastAsia="Times New Roman" w:hAnsi="Times New Roman" w:cs="Times New Roman"/>
          <w:sz w:val="24"/>
          <w:szCs w:val="24"/>
        </w:rPr>
        <w:t xml:space="preserve">A </w:t>
      </w:r>
      <w:r w:rsidRPr="00670D4E">
        <w:rPr>
          <w:rFonts w:ascii="Times New Roman" w:eastAsia="Times New Roman" w:hAnsi="Times New Roman" w:cs="Times New Roman"/>
          <w:sz w:val="24"/>
          <w:szCs w:val="24"/>
        </w:rPr>
        <w:t xml:space="preserve">Unidade de Controle Interno </w:t>
      </w:r>
      <w:r w:rsidR="00762342" w:rsidRPr="00670D4E">
        <w:rPr>
          <w:rFonts w:ascii="Times New Roman" w:eastAsia="Times New Roman" w:hAnsi="Times New Roman" w:cs="Times New Roman"/>
          <w:sz w:val="24"/>
          <w:szCs w:val="24"/>
        </w:rPr>
        <w:t xml:space="preserve">(UCI) </w:t>
      </w:r>
      <w:r w:rsidRPr="00670D4E">
        <w:rPr>
          <w:rFonts w:ascii="Times New Roman" w:eastAsia="Times New Roman" w:hAnsi="Times New Roman" w:cs="Times New Roman"/>
          <w:sz w:val="24"/>
          <w:szCs w:val="24"/>
        </w:rPr>
        <w:t>realiza acompanham</w:t>
      </w:r>
      <w:r w:rsidR="00706776" w:rsidRPr="00670D4E">
        <w:rPr>
          <w:rFonts w:ascii="Times New Roman" w:eastAsia="Times New Roman" w:hAnsi="Times New Roman" w:cs="Times New Roman"/>
          <w:sz w:val="24"/>
          <w:szCs w:val="24"/>
        </w:rPr>
        <w:t xml:space="preserve">ento concomitante dos processos, </w:t>
      </w:r>
      <w:r w:rsidR="000C133F" w:rsidRPr="00670D4E">
        <w:rPr>
          <w:rFonts w:ascii="Times New Roman" w:eastAsia="Times New Roman" w:hAnsi="Times New Roman" w:cs="Times New Roman"/>
          <w:sz w:val="24"/>
          <w:szCs w:val="24"/>
        </w:rPr>
        <w:t>o</w:t>
      </w:r>
      <w:r w:rsidRPr="00670D4E">
        <w:rPr>
          <w:rFonts w:ascii="Times New Roman" w:eastAsia="Times New Roman" w:hAnsi="Times New Roman" w:cs="Times New Roman"/>
          <w:sz w:val="24"/>
          <w:szCs w:val="24"/>
        </w:rPr>
        <w:t xml:space="preserve"> T</w:t>
      </w:r>
      <w:r w:rsidR="00706776" w:rsidRPr="00670D4E">
        <w:rPr>
          <w:rFonts w:ascii="Times New Roman" w:eastAsia="Times New Roman" w:hAnsi="Times New Roman" w:cs="Times New Roman"/>
          <w:sz w:val="24"/>
          <w:szCs w:val="24"/>
        </w:rPr>
        <w:t>ribunal de Contas do Estado a</w:t>
      </w:r>
      <w:r w:rsidRPr="00670D4E">
        <w:rPr>
          <w:rFonts w:ascii="Times New Roman" w:eastAsia="Times New Roman" w:hAnsi="Times New Roman" w:cs="Times New Roman"/>
          <w:sz w:val="24"/>
          <w:szCs w:val="24"/>
        </w:rPr>
        <w:t>udita todos os recursos de contrapartida do</w:t>
      </w:r>
      <w:r w:rsidR="00706776" w:rsidRPr="00670D4E">
        <w:rPr>
          <w:rFonts w:ascii="Times New Roman" w:eastAsia="Times New Roman" w:hAnsi="Times New Roman" w:cs="Times New Roman"/>
          <w:sz w:val="24"/>
          <w:szCs w:val="24"/>
        </w:rPr>
        <w:t xml:space="preserve"> PROGEFAZ e os recursos do financiamento </w:t>
      </w:r>
      <w:r w:rsidRPr="00670D4E">
        <w:rPr>
          <w:rFonts w:ascii="Times New Roman" w:eastAsia="Times New Roman" w:hAnsi="Times New Roman" w:cs="Times New Roman"/>
          <w:sz w:val="24"/>
          <w:szCs w:val="24"/>
        </w:rPr>
        <w:t>são auditados por empresa de auditoria independente</w:t>
      </w:r>
      <w:r w:rsidR="00706776" w:rsidRPr="00670D4E">
        <w:rPr>
          <w:rFonts w:ascii="Times New Roman" w:eastAsia="Times New Roman" w:hAnsi="Times New Roman" w:cs="Times New Roman"/>
          <w:sz w:val="24"/>
          <w:szCs w:val="24"/>
        </w:rPr>
        <w:t xml:space="preserve"> selecionada pelas regras do Banco</w:t>
      </w:r>
      <w:r w:rsidRPr="00670D4E">
        <w:rPr>
          <w:rFonts w:ascii="Times New Roman" w:eastAsia="Times New Roman" w:hAnsi="Times New Roman" w:cs="Times New Roman"/>
          <w:sz w:val="24"/>
          <w:szCs w:val="24"/>
        </w:rPr>
        <w:t>.</w:t>
      </w:r>
    </w:p>
    <w:p w:rsidR="00D9004D" w:rsidRPr="00670D4E" w:rsidRDefault="00D9004D" w:rsidP="009C7A21">
      <w:pPr>
        <w:pStyle w:val="Ttulo1"/>
        <w:spacing w:after="240" w:line="240" w:lineRule="auto"/>
        <w:rPr>
          <w:rFonts w:ascii="Times New Roman" w:hAnsi="Times New Roman" w:cs="Times New Roman"/>
          <w:color w:val="auto"/>
          <w:sz w:val="24"/>
          <w:szCs w:val="24"/>
        </w:rPr>
      </w:pPr>
      <w:bookmarkStart w:id="23" w:name="_Toc402348389"/>
      <w:bookmarkStart w:id="24" w:name="_Toc431190872"/>
      <w:r w:rsidRPr="00670D4E">
        <w:rPr>
          <w:rFonts w:ascii="Times New Roman" w:hAnsi="Times New Roman" w:cs="Times New Roman"/>
          <w:color w:val="auto"/>
          <w:sz w:val="24"/>
          <w:szCs w:val="24"/>
        </w:rPr>
        <w:t>Conclusões e Recomendações</w:t>
      </w:r>
      <w:bookmarkEnd w:id="23"/>
      <w:bookmarkEnd w:id="24"/>
    </w:p>
    <w:p w:rsidR="007A782C" w:rsidRPr="00046243" w:rsidRDefault="007A782C" w:rsidP="009C7A21">
      <w:pPr>
        <w:spacing w:before="240" w:after="240" w:line="240" w:lineRule="auto"/>
        <w:jc w:val="both"/>
        <w:rPr>
          <w:rStyle w:val="hps"/>
          <w:rFonts w:ascii="Times New Roman" w:hAnsi="Times New Roman" w:cs="Times New Roman"/>
          <w:i/>
          <w:sz w:val="24"/>
          <w:szCs w:val="24"/>
        </w:rPr>
      </w:pPr>
      <w:r w:rsidRPr="00670D4E">
        <w:rPr>
          <w:rFonts w:ascii="Times New Roman" w:hAnsi="Times New Roman" w:cs="Times New Roman"/>
          <w:sz w:val="24"/>
          <w:szCs w:val="24"/>
        </w:rPr>
        <w:t>As conclusões e recomendações que integram essa seção incluem as principais referências e sugestões coletadas durante as visitas técnicas e missões de supervisão</w:t>
      </w:r>
      <w:r w:rsidRPr="00670D4E">
        <w:rPr>
          <w:rStyle w:val="hps"/>
          <w:rFonts w:ascii="Times New Roman" w:hAnsi="Times New Roman" w:cs="Times New Roman"/>
          <w:i/>
          <w:sz w:val="24"/>
          <w:szCs w:val="24"/>
        </w:rPr>
        <w:t>.</w:t>
      </w:r>
      <w:r w:rsidRPr="00046243">
        <w:rPr>
          <w:rStyle w:val="hps"/>
          <w:rFonts w:ascii="Times New Roman" w:hAnsi="Times New Roman" w:cs="Times New Roman"/>
          <w:i/>
          <w:sz w:val="24"/>
          <w:szCs w:val="24"/>
        </w:rPr>
        <w:t xml:space="preserve"> </w:t>
      </w:r>
    </w:p>
    <w:p w:rsidR="007A782C" w:rsidRPr="00046243" w:rsidRDefault="007A782C" w:rsidP="009C7A21">
      <w:pPr>
        <w:spacing w:after="240" w:line="240" w:lineRule="auto"/>
        <w:jc w:val="center"/>
        <w:rPr>
          <w:rFonts w:ascii="Times New Roman" w:hAnsi="Times New Roman" w:cs="Times New Roman"/>
          <w:b/>
        </w:rPr>
      </w:pPr>
      <w:r w:rsidRPr="00046243">
        <w:rPr>
          <w:rFonts w:ascii="Times New Roman" w:hAnsi="Times New Roman" w:cs="Times New Roman"/>
          <w:b/>
        </w:rPr>
        <w:t>Tabela 4. Conclusões e Recomendações</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417"/>
      </w:tblGrid>
      <w:tr w:rsidR="007A782C" w:rsidRPr="00AE1F37" w:rsidTr="00AE1F37">
        <w:trPr>
          <w:trHeight w:val="249"/>
          <w:tblHeader/>
          <w:jc w:val="center"/>
        </w:trPr>
        <w:tc>
          <w:tcPr>
            <w:tcW w:w="4678" w:type="dxa"/>
            <w:shd w:val="clear" w:color="auto" w:fill="auto"/>
            <w:noWrap/>
            <w:vAlign w:val="center"/>
            <w:hideMark/>
          </w:tcPr>
          <w:p w:rsidR="007A782C" w:rsidRPr="00AE1F37" w:rsidRDefault="007A782C" w:rsidP="009C7A21">
            <w:pPr>
              <w:spacing w:after="240" w:line="240" w:lineRule="auto"/>
              <w:jc w:val="center"/>
              <w:rPr>
                <w:rFonts w:ascii="Times New Roman" w:eastAsia="Times New Roman" w:hAnsi="Times New Roman" w:cs="Times New Roman"/>
                <w:b/>
                <w:color w:val="000000"/>
                <w:sz w:val="20"/>
                <w:szCs w:val="20"/>
              </w:rPr>
            </w:pPr>
            <w:r w:rsidRPr="00AE1F37">
              <w:rPr>
                <w:rFonts w:ascii="Times New Roman" w:eastAsia="Times New Roman" w:hAnsi="Times New Roman" w:cs="Times New Roman"/>
                <w:b/>
                <w:color w:val="000000"/>
                <w:sz w:val="20"/>
                <w:szCs w:val="20"/>
              </w:rPr>
              <w:t>Conclusões</w:t>
            </w:r>
          </w:p>
        </w:tc>
        <w:tc>
          <w:tcPr>
            <w:tcW w:w="4417" w:type="dxa"/>
            <w:shd w:val="clear" w:color="auto" w:fill="auto"/>
            <w:noWrap/>
            <w:vAlign w:val="center"/>
            <w:hideMark/>
          </w:tcPr>
          <w:p w:rsidR="007A782C" w:rsidRPr="00AE1F37" w:rsidRDefault="007A782C" w:rsidP="009C7A21">
            <w:pPr>
              <w:spacing w:after="240" w:line="240" w:lineRule="auto"/>
              <w:jc w:val="center"/>
              <w:rPr>
                <w:rFonts w:ascii="Times New Roman" w:eastAsia="Times New Roman" w:hAnsi="Times New Roman" w:cs="Times New Roman"/>
                <w:b/>
                <w:color w:val="000000"/>
                <w:sz w:val="20"/>
                <w:szCs w:val="20"/>
              </w:rPr>
            </w:pPr>
            <w:r w:rsidRPr="00AE1F37">
              <w:rPr>
                <w:rFonts w:ascii="Times New Roman" w:eastAsia="Times New Roman" w:hAnsi="Times New Roman" w:cs="Times New Roman"/>
                <w:b/>
                <w:color w:val="000000"/>
                <w:sz w:val="20"/>
                <w:szCs w:val="20"/>
              </w:rPr>
              <w:t>Recomendações</w:t>
            </w:r>
          </w:p>
        </w:tc>
      </w:tr>
      <w:tr w:rsidR="007A782C" w:rsidRPr="00AE1F37" w:rsidTr="004D7537">
        <w:trPr>
          <w:trHeight w:val="377"/>
          <w:jc w:val="center"/>
        </w:trPr>
        <w:tc>
          <w:tcPr>
            <w:tcW w:w="4678" w:type="dxa"/>
            <w:shd w:val="clear" w:color="auto" w:fill="auto"/>
            <w:vAlign w:val="center"/>
            <w:hideMark/>
          </w:tcPr>
          <w:p w:rsidR="007A782C" w:rsidRPr="00AE1F37" w:rsidRDefault="007A782C" w:rsidP="009C7A21">
            <w:pPr>
              <w:spacing w:after="240" w:line="240" w:lineRule="auto"/>
              <w:jc w:val="both"/>
              <w:rPr>
                <w:rFonts w:ascii="Times New Roman" w:eastAsia="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Conclusão </w:t>
            </w:r>
            <w:r w:rsidRPr="00AE1F37">
              <w:rPr>
                <w:rFonts w:ascii="Times New Roman" w:hAnsi="Times New Roman" w:cs="Times New Roman"/>
                <w:color w:val="000000"/>
                <w:sz w:val="20"/>
                <w:szCs w:val="20"/>
              </w:rPr>
              <w:t xml:space="preserve"># 1 - </w:t>
            </w:r>
            <w:r w:rsidRPr="00AE1F37">
              <w:rPr>
                <w:rFonts w:ascii="Times New Roman" w:eastAsia="Times New Roman" w:hAnsi="Times New Roman" w:cs="Times New Roman"/>
                <w:color w:val="000000"/>
                <w:sz w:val="20"/>
                <w:szCs w:val="20"/>
              </w:rPr>
              <w:t xml:space="preserve">As dificuldades do contexto macroeconômico e fiscal do País </w:t>
            </w:r>
            <w:r w:rsidRPr="00AE1F37">
              <w:rPr>
                <w:rFonts w:ascii="Times New Roman" w:hAnsi="Times New Roman" w:cs="Times New Roman"/>
                <w:color w:val="000000"/>
                <w:sz w:val="20"/>
                <w:szCs w:val="20"/>
              </w:rPr>
              <w:t xml:space="preserve">repercutem </w:t>
            </w:r>
            <w:r w:rsidRPr="00AE1F37">
              <w:rPr>
                <w:rFonts w:ascii="Times New Roman" w:eastAsia="Times New Roman" w:hAnsi="Times New Roman" w:cs="Times New Roman"/>
                <w:color w:val="000000"/>
                <w:sz w:val="20"/>
                <w:szCs w:val="20"/>
              </w:rPr>
              <w:t>diretamente na execução da operação, em especial no que se refere ao contingenciamento de recursos.</w:t>
            </w:r>
          </w:p>
        </w:tc>
        <w:tc>
          <w:tcPr>
            <w:tcW w:w="4417" w:type="dxa"/>
            <w:shd w:val="clear" w:color="auto" w:fill="auto"/>
            <w:vAlign w:val="center"/>
            <w:hideMark/>
          </w:tcPr>
          <w:p w:rsidR="007A782C" w:rsidRPr="00AE1F37" w:rsidRDefault="007A782C" w:rsidP="009C7A21">
            <w:pPr>
              <w:spacing w:after="240" w:line="240" w:lineRule="auto"/>
              <w:jc w:val="both"/>
              <w:rPr>
                <w:rFonts w:ascii="Times New Roman" w:eastAsia="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Recomendação </w:t>
            </w:r>
            <w:r w:rsidRPr="00AE1F37">
              <w:rPr>
                <w:rFonts w:ascii="Times New Roman" w:hAnsi="Times New Roman" w:cs="Times New Roman"/>
                <w:color w:val="000000"/>
                <w:sz w:val="20"/>
                <w:szCs w:val="20"/>
              </w:rPr>
              <w:t xml:space="preserve"># 1 - </w:t>
            </w:r>
            <w:r w:rsidRPr="00AE1F37">
              <w:rPr>
                <w:rFonts w:ascii="Times New Roman" w:eastAsia="Times New Roman" w:hAnsi="Times New Roman" w:cs="Times New Roman"/>
                <w:color w:val="000000"/>
                <w:sz w:val="20"/>
                <w:szCs w:val="20"/>
              </w:rPr>
              <w:t>Realizar avaliações macroeconômicas e fiscais durante a preparação que permitam mapear os distintos cenários onde o projeto será executado.</w:t>
            </w:r>
          </w:p>
        </w:tc>
      </w:tr>
      <w:tr w:rsidR="007A782C" w:rsidRPr="00AE1F37" w:rsidTr="004D7537">
        <w:trPr>
          <w:trHeight w:val="377"/>
          <w:jc w:val="center"/>
        </w:trPr>
        <w:tc>
          <w:tcPr>
            <w:tcW w:w="4678" w:type="dxa"/>
            <w:shd w:val="clear" w:color="auto" w:fill="auto"/>
            <w:vAlign w:val="center"/>
          </w:tcPr>
          <w:p w:rsidR="007A782C" w:rsidRPr="00AE1F37" w:rsidRDefault="007A782C" w:rsidP="009C7A21">
            <w:pPr>
              <w:spacing w:after="240" w:line="240" w:lineRule="auto"/>
              <w:jc w:val="both"/>
              <w:rPr>
                <w:rFonts w:ascii="Times New Roman" w:eastAsia="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Conclusão </w:t>
            </w:r>
            <w:r w:rsidRPr="00AE1F37">
              <w:rPr>
                <w:rFonts w:ascii="Times New Roman" w:hAnsi="Times New Roman" w:cs="Times New Roman"/>
                <w:color w:val="000000"/>
                <w:sz w:val="20"/>
                <w:szCs w:val="20"/>
              </w:rPr>
              <w:t xml:space="preserve"># 2 - </w:t>
            </w:r>
            <w:r w:rsidRPr="00AE1F37">
              <w:rPr>
                <w:rFonts w:ascii="Times New Roman" w:eastAsia="Times New Roman" w:hAnsi="Times New Roman" w:cs="Times New Roman"/>
                <w:color w:val="000000"/>
                <w:sz w:val="20"/>
                <w:szCs w:val="20"/>
              </w:rPr>
              <w:t>A frequência na realização de visitas e missões de supervisão ajudou na análise de propostas de aperfeiçoamento do desenho da operação</w:t>
            </w:r>
          </w:p>
        </w:tc>
        <w:tc>
          <w:tcPr>
            <w:tcW w:w="4417" w:type="dxa"/>
            <w:shd w:val="clear" w:color="auto" w:fill="auto"/>
            <w:vAlign w:val="center"/>
          </w:tcPr>
          <w:p w:rsidR="007A782C" w:rsidRPr="00AE1F37" w:rsidRDefault="007A782C" w:rsidP="009C7A21">
            <w:pPr>
              <w:spacing w:after="240" w:line="240" w:lineRule="auto"/>
              <w:jc w:val="both"/>
              <w:rPr>
                <w:rFonts w:ascii="Times New Roman" w:eastAsia="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Recomendação # </w:t>
            </w:r>
            <w:r w:rsidRPr="00AE1F37">
              <w:rPr>
                <w:rFonts w:ascii="Times New Roman" w:hAnsi="Times New Roman" w:cs="Times New Roman"/>
                <w:color w:val="000000"/>
                <w:sz w:val="20"/>
                <w:szCs w:val="20"/>
              </w:rPr>
              <w:t xml:space="preserve">2 - </w:t>
            </w:r>
            <w:r w:rsidRPr="00AE1F37">
              <w:rPr>
                <w:rFonts w:ascii="Times New Roman" w:eastAsia="Times New Roman" w:hAnsi="Times New Roman" w:cs="Times New Roman"/>
                <w:color w:val="000000"/>
                <w:sz w:val="20"/>
                <w:szCs w:val="20"/>
              </w:rPr>
              <w:t>Acordar com o executor um calendário de visitas e missões sistemáticas de apoio à execução</w:t>
            </w:r>
          </w:p>
        </w:tc>
      </w:tr>
      <w:tr w:rsidR="007A782C" w:rsidRPr="00AE1F37" w:rsidTr="004D7537">
        <w:trPr>
          <w:trHeight w:val="377"/>
          <w:jc w:val="center"/>
        </w:trPr>
        <w:tc>
          <w:tcPr>
            <w:tcW w:w="4678" w:type="dxa"/>
            <w:vMerge w:val="restart"/>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Conclusão # 3 </w:t>
            </w:r>
            <w:r w:rsidRPr="00AE1F37">
              <w:rPr>
                <w:rFonts w:ascii="Times New Roman" w:hAnsi="Times New Roman" w:cs="Times New Roman"/>
                <w:color w:val="000000"/>
                <w:sz w:val="20"/>
                <w:szCs w:val="20"/>
              </w:rPr>
              <w:t xml:space="preserve">- Se faz necessário identificar os fatores de sucesso para uma boa execução </w:t>
            </w:r>
          </w:p>
        </w:tc>
        <w:tc>
          <w:tcPr>
            <w:tcW w:w="4417" w:type="dxa"/>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r w:rsidRPr="00AE1F37">
              <w:rPr>
                <w:rFonts w:ascii="Times New Roman" w:eastAsia="Times New Roman" w:hAnsi="Times New Roman" w:cs="Times New Roman"/>
                <w:color w:val="000000"/>
                <w:sz w:val="20"/>
                <w:szCs w:val="20"/>
              </w:rPr>
              <w:t>Recomendação # 3</w:t>
            </w:r>
            <w:r w:rsidRPr="00AE1F37">
              <w:rPr>
                <w:rFonts w:ascii="Times New Roman" w:hAnsi="Times New Roman" w:cs="Times New Roman"/>
                <w:color w:val="000000"/>
                <w:sz w:val="20"/>
                <w:szCs w:val="20"/>
              </w:rPr>
              <w:t xml:space="preserve"> - Buscar o patrocínio da alta administração é fundamental para imprimir bom ritmo na execução do Projeto e apoiar as funções da unidade de coordenação.</w:t>
            </w:r>
          </w:p>
        </w:tc>
      </w:tr>
      <w:tr w:rsidR="007A782C" w:rsidRPr="00AE1F37" w:rsidTr="004D7537">
        <w:trPr>
          <w:trHeight w:val="377"/>
          <w:jc w:val="center"/>
        </w:trPr>
        <w:tc>
          <w:tcPr>
            <w:tcW w:w="4678" w:type="dxa"/>
            <w:vMerge/>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p>
        </w:tc>
        <w:tc>
          <w:tcPr>
            <w:tcW w:w="4417" w:type="dxa"/>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Recomendação # </w:t>
            </w:r>
            <w:r w:rsidRPr="00AE1F37">
              <w:rPr>
                <w:rFonts w:ascii="Times New Roman" w:hAnsi="Times New Roman" w:cs="Times New Roman"/>
                <w:color w:val="000000"/>
                <w:sz w:val="20"/>
                <w:szCs w:val="20"/>
              </w:rPr>
              <w:t>4 - Formular um plano estratégico para o beneficiário é determinante na priorização dos produtos a serem financiados pelo projeto.</w:t>
            </w:r>
          </w:p>
        </w:tc>
      </w:tr>
      <w:tr w:rsidR="007A782C" w:rsidRPr="00AE1F37" w:rsidTr="004D7537">
        <w:trPr>
          <w:trHeight w:val="377"/>
          <w:jc w:val="center"/>
        </w:trPr>
        <w:tc>
          <w:tcPr>
            <w:tcW w:w="4678" w:type="dxa"/>
            <w:vMerge/>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p>
        </w:tc>
        <w:tc>
          <w:tcPr>
            <w:tcW w:w="4417" w:type="dxa"/>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Recomendação # </w:t>
            </w:r>
            <w:r w:rsidRPr="00AE1F37">
              <w:rPr>
                <w:rFonts w:ascii="Times New Roman" w:hAnsi="Times New Roman" w:cs="Times New Roman"/>
                <w:color w:val="000000"/>
                <w:sz w:val="20"/>
                <w:szCs w:val="20"/>
              </w:rPr>
              <w:t>5 - Contratação de consultores individuais para apoiar a execução do Projeto oferece agilidade no desenvolvimento das ações e no alcance das metas.</w:t>
            </w:r>
          </w:p>
        </w:tc>
      </w:tr>
      <w:tr w:rsidR="007A782C" w:rsidRPr="00AE1F37" w:rsidTr="004D7537">
        <w:trPr>
          <w:trHeight w:val="377"/>
          <w:jc w:val="center"/>
        </w:trPr>
        <w:tc>
          <w:tcPr>
            <w:tcW w:w="4678" w:type="dxa"/>
            <w:vMerge/>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p>
        </w:tc>
        <w:tc>
          <w:tcPr>
            <w:tcW w:w="4417" w:type="dxa"/>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Recomendação # </w:t>
            </w:r>
            <w:r w:rsidRPr="00AE1F37">
              <w:rPr>
                <w:rFonts w:ascii="Times New Roman" w:hAnsi="Times New Roman" w:cs="Times New Roman"/>
                <w:color w:val="000000"/>
                <w:sz w:val="20"/>
                <w:szCs w:val="20"/>
              </w:rPr>
              <w:t xml:space="preserve">6 - A realização de auditorias por empresa independente favorece a identificação e correção dos problemas durante a execução do Projeto, especialmente se realizadas </w:t>
            </w:r>
            <w:r w:rsidRPr="00AE1F37">
              <w:rPr>
                <w:rFonts w:ascii="Times New Roman" w:hAnsi="Times New Roman" w:cs="Times New Roman"/>
                <w:color w:val="000000"/>
                <w:sz w:val="20"/>
                <w:szCs w:val="20"/>
              </w:rPr>
              <w:lastRenderedPageBreak/>
              <w:t>semestralmente.</w:t>
            </w:r>
          </w:p>
        </w:tc>
      </w:tr>
      <w:tr w:rsidR="007A782C" w:rsidRPr="00AE1F37" w:rsidTr="004D7537">
        <w:trPr>
          <w:trHeight w:val="377"/>
          <w:jc w:val="center"/>
        </w:trPr>
        <w:tc>
          <w:tcPr>
            <w:tcW w:w="4678" w:type="dxa"/>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r w:rsidRPr="00AE1F37">
              <w:rPr>
                <w:rFonts w:ascii="Times New Roman" w:eastAsia="Times New Roman" w:hAnsi="Times New Roman" w:cs="Times New Roman"/>
                <w:color w:val="000000"/>
                <w:sz w:val="20"/>
                <w:szCs w:val="20"/>
              </w:rPr>
              <w:lastRenderedPageBreak/>
              <w:t xml:space="preserve">Conclusão </w:t>
            </w:r>
            <w:r w:rsidRPr="00AE1F37">
              <w:rPr>
                <w:rFonts w:ascii="Times New Roman" w:hAnsi="Times New Roman" w:cs="Times New Roman"/>
                <w:color w:val="000000"/>
                <w:sz w:val="20"/>
                <w:szCs w:val="20"/>
              </w:rPr>
              <w:t xml:space="preserve"># 4 - A participação e a Gestão dos Recursos Humanos é de fundamental importância para o comprometimento da equipe com os resultados do projeto. </w:t>
            </w:r>
          </w:p>
        </w:tc>
        <w:tc>
          <w:tcPr>
            <w:tcW w:w="4417" w:type="dxa"/>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Recomendação </w:t>
            </w:r>
            <w:r w:rsidRPr="00AE1F37">
              <w:rPr>
                <w:rFonts w:ascii="Times New Roman" w:hAnsi="Times New Roman" w:cs="Times New Roman"/>
                <w:color w:val="000000"/>
                <w:sz w:val="20"/>
                <w:szCs w:val="20"/>
              </w:rPr>
              <w:t># 7 - Buscar formas de engajamento e dedicação das equipes técnicas no desenvolvimento das soluções propostas pelo Projeto e na sua implementação.</w:t>
            </w:r>
          </w:p>
        </w:tc>
      </w:tr>
      <w:tr w:rsidR="007A782C" w:rsidRPr="00AE1F37" w:rsidTr="004D7537">
        <w:trPr>
          <w:trHeight w:val="377"/>
          <w:jc w:val="center"/>
        </w:trPr>
        <w:tc>
          <w:tcPr>
            <w:tcW w:w="4678" w:type="dxa"/>
            <w:vMerge w:val="restart"/>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Conclusão </w:t>
            </w:r>
            <w:r w:rsidRPr="00AE1F37">
              <w:rPr>
                <w:rFonts w:ascii="Times New Roman" w:hAnsi="Times New Roman" w:cs="Times New Roman"/>
                <w:color w:val="000000"/>
                <w:sz w:val="20"/>
                <w:szCs w:val="20"/>
              </w:rPr>
              <w:t># 5 - É preciso ter clareza de  propósito, objetivos e metas compartilhados.</w:t>
            </w:r>
          </w:p>
        </w:tc>
        <w:tc>
          <w:tcPr>
            <w:tcW w:w="4417" w:type="dxa"/>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Recomendação # </w:t>
            </w:r>
            <w:r w:rsidRPr="00AE1F37">
              <w:rPr>
                <w:rFonts w:ascii="Times New Roman" w:hAnsi="Times New Roman" w:cs="Times New Roman"/>
                <w:color w:val="000000"/>
                <w:sz w:val="20"/>
                <w:szCs w:val="20"/>
              </w:rPr>
              <w:t>8 - Definir objetivos e metas claras e compartilhar com todas as áreas envolvidas no Projeto favorece uma execução mais rápida e segura.</w:t>
            </w:r>
          </w:p>
        </w:tc>
      </w:tr>
      <w:tr w:rsidR="007A782C" w:rsidRPr="00AE1F37" w:rsidTr="004D7537">
        <w:trPr>
          <w:trHeight w:val="377"/>
          <w:jc w:val="center"/>
        </w:trPr>
        <w:tc>
          <w:tcPr>
            <w:tcW w:w="4678" w:type="dxa"/>
            <w:vMerge/>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p>
        </w:tc>
        <w:tc>
          <w:tcPr>
            <w:tcW w:w="4417" w:type="dxa"/>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Recomendação # </w:t>
            </w:r>
            <w:r w:rsidRPr="00AE1F37">
              <w:rPr>
                <w:rFonts w:ascii="Times New Roman" w:hAnsi="Times New Roman" w:cs="Times New Roman"/>
                <w:color w:val="000000"/>
                <w:sz w:val="20"/>
                <w:szCs w:val="20"/>
              </w:rPr>
              <w:t>9 - Selecionar e priorizar os produtos mais relevantes e evitar pulverização, a fim de garantir foco para o trabalho do executor e menor volume de processos licitatórios.</w:t>
            </w:r>
          </w:p>
        </w:tc>
      </w:tr>
      <w:tr w:rsidR="007A782C" w:rsidRPr="00AE1F37" w:rsidTr="004D7537">
        <w:trPr>
          <w:trHeight w:val="377"/>
          <w:jc w:val="center"/>
        </w:trPr>
        <w:tc>
          <w:tcPr>
            <w:tcW w:w="4678" w:type="dxa"/>
            <w:vMerge w:val="restart"/>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Conclusão </w:t>
            </w:r>
            <w:r w:rsidRPr="00AE1F37">
              <w:rPr>
                <w:rFonts w:ascii="Times New Roman" w:hAnsi="Times New Roman" w:cs="Times New Roman"/>
                <w:color w:val="000000"/>
                <w:sz w:val="20"/>
                <w:szCs w:val="20"/>
              </w:rPr>
              <w:t># 6 - A frequência de Vistas técnicas a outros executores e participações na COGEF</w:t>
            </w:r>
          </w:p>
          <w:p w:rsidR="007A782C" w:rsidRPr="00AE1F37" w:rsidRDefault="007A782C" w:rsidP="009C7A21">
            <w:pPr>
              <w:spacing w:after="240" w:line="240" w:lineRule="auto"/>
              <w:jc w:val="both"/>
              <w:rPr>
                <w:rFonts w:ascii="Times New Roman" w:hAnsi="Times New Roman" w:cs="Times New Roman"/>
                <w:color w:val="000000"/>
                <w:sz w:val="20"/>
                <w:szCs w:val="20"/>
              </w:rPr>
            </w:pPr>
          </w:p>
        </w:tc>
        <w:tc>
          <w:tcPr>
            <w:tcW w:w="4417" w:type="dxa"/>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Recomendação # </w:t>
            </w:r>
            <w:r w:rsidRPr="00AE1F37">
              <w:rPr>
                <w:rFonts w:ascii="Times New Roman" w:hAnsi="Times New Roman" w:cs="Times New Roman"/>
                <w:color w:val="000000"/>
                <w:sz w:val="20"/>
                <w:szCs w:val="20"/>
              </w:rPr>
              <w:t xml:space="preserve">10 - Realizar visitas técnicas a outros Estados possibilita a troca de experiências e a incorporação de soluções já implantadas. </w:t>
            </w:r>
          </w:p>
        </w:tc>
      </w:tr>
      <w:tr w:rsidR="007A782C" w:rsidRPr="00AE1F37" w:rsidTr="004D7537">
        <w:trPr>
          <w:trHeight w:val="377"/>
          <w:jc w:val="center"/>
        </w:trPr>
        <w:tc>
          <w:tcPr>
            <w:tcW w:w="4678" w:type="dxa"/>
            <w:vMerge/>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p>
        </w:tc>
        <w:tc>
          <w:tcPr>
            <w:tcW w:w="4417" w:type="dxa"/>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Recomendação # </w:t>
            </w:r>
            <w:r w:rsidRPr="00AE1F37">
              <w:rPr>
                <w:rFonts w:ascii="Times New Roman" w:hAnsi="Times New Roman" w:cs="Times New Roman"/>
                <w:color w:val="000000"/>
                <w:sz w:val="20"/>
                <w:szCs w:val="20"/>
              </w:rPr>
              <w:t>11 - Participar nas reuniões trimestrais da Rede COGEF favorece a formatação e agilização das soluções propostas no Projeto</w:t>
            </w:r>
          </w:p>
        </w:tc>
      </w:tr>
      <w:tr w:rsidR="007A782C" w:rsidRPr="00AE1F37" w:rsidTr="004D7537">
        <w:trPr>
          <w:trHeight w:val="377"/>
          <w:jc w:val="center"/>
        </w:trPr>
        <w:tc>
          <w:tcPr>
            <w:tcW w:w="4678" w:type="dxa"/>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Conclusão </w:t>
            </w:r>
            <w:r w:rsidRPr="00AE1F37">
              <w:rPr>
                <w:rFonts w:ascii="Times New Roman" w:hAnsi="Times New Roman" w:cs="Times New Roman"/>
                <w:color w:val="000000"/>
                <w:sz w:val="20"/>
                <w:szCs w:val="20"/>
              </w:rPr>
              <w:t xml:space="preserve"># 7 - Gestão separada de projetos financiados com recursos externos </w:t>
            </w:r>
          </w:p>
        </w:tc>
        <w:tc>
          <w:tcPr>
            <w:tcW w:w="4417" w:type="dxa"/>
            <w:shd w:val="clear" w:color="auto" w:fill="auto"/>
            <w:vAlign w:val="center"/>
          </w:tcPr>
          <w:p w:rsidR="007A782C" w:rsidRPr="00AE1F37" w:rsidRDefault="007A782C" w:rsidP="009C7A21">
            <w:pPr>
              <w:spacing w:after="240" w:line="240" w:lineRule="auto"/>
              <w:jc w:val="both"/>
              <w:rPr>
                <w:rFonts w:ascii="Times New Roman" w:hAnsi="Times New Roman" w:cs="Times New Roman"/>
                <w:color w:val="000000"/>
                <w:sz w:val="20"/>
                <w:szCs w:val="20"/>
              </w:rPr>
            </w:pPr>
            <w:r w:rsidRPr="00AE1F37">
              <w:rPr>
                <w:rFonts w:ascii="Times New Roman" w:eastAsia="Times New Roman" w:hAnsi="Times New Roman" w:cs="Times New Roman"/>
                <w:color w:val="000000"/>
                <w:sz w:val="20"/>
                <w:szCs w:val="20"/>
              </w:rPr>
              <w:t xml:space="preserve">Recomendação # </w:t>
            </w:r>
            <w:r w:rsidRPr="00AE1F37">
              <w:rPr>
                <w:rFonts w:ascii="Times New Roman" w:hAnsi="Times New Roman" w:cs="Times New Roman"/>
                <w:color w:val="000000"/>
                <w:sz w:val="20"/>
                <w:szCs w:val="20"/>
              </w:rPr>
              <w:t>13 - Realizar gestão dos projetos com financiamento externo em separado de outros projetos possibilita observar as particularidades de suas políticas e o monitoramento de seus resultados</w:t>
            </w:r>
          </w:p>
        </w:tc>
      </w:tr>
    </w:tbl>
    <w:p w:rsidR="007A782C" w:rsidRPr="00046243" w:rsidRDefault="007A782C" w:rsidP="009C7A21">
      <w:pPr>
        <w:spacing w:after="240" w:line="240" w:lineRule="auto"/>
        <w:rPr>
          <w:rFonts w:ascii="Times New Roman" w:hAnsi="Times New Roman" w:cs="Times New Roman"/>
        </w:rPr>
      </w:pPr>
    </w:p>
    <w:p w:rsidR="00D9004D" w:rsidRPr="00046243" w:rsidRDefault="00D9004D" w:rsidP="009C7A21">
      <w:pPr>
        <w:autoSpaceDE w:val="0"/>
        <w:autoSpaceDN w:val="0"/>
        <w:adjustRightInd w:val="0"/>
        <w:spacing w:before="240" w:after="240" w:line="240" w:lineRule="auto"/>
        <w:jc w:val="both"/>
        <w:rPr>
          <w:rStyle w:val="hps"/>
          <w:rFonts w:ascii="Times New Roman" w:hAnsi="Times New Roman" w:cs="Times New Roman"/>
          <w:sz w:val="24"/>
          <w:szCs w:val="24"/>
        </w:rPr>
      </w:pPr>
    </w:p>
    <w:p w:rsidR="00E72EB5" w:rsidRPr="00046243" w:rsidRDefault="00E72EB5" w:rsidP="009C7A21">
      <w:pPr>
        <w:spacing w:after="240" w:line="240" w:lineRule="auto"/>
        <w:jc w:val="center"/>
        <w:rPr>
          <w:rFonts w:ascii="Times New Roman" w:hAnsi="Times New Roman" w:cs="Times New Roman"/>
          <w:b/>
          <w:sz w:val="24"/>
          <w:szCs w:val="24"/>
        </w:rPr>
        <w:sectPr w:rsidR="00E72EB5" w:rsidRPr="00046243" w:rsidSect="00F31FC6">
          <w:pgSz w:w="12240" w:h="15840"/>
          <w:pgMar w:top="1440" w:right="1440" w:bottom="1440" w:left="1440" w:header="720" w:footer="720" w:gutter="0"/>
          <w:cols w:space="720"/>
          <w:docGrid w:linePitch="360"/>
        </w:sectPr>
      </w:pPr>
    </w:p>
    <w:p w:rsidR="002A377A" w:rsidRPr="00046243" w:rsidRDefault="002A377A" w:rsidP="002A377A">
      <w:pPr>
        <w:spacing w:after="0" w:line="240" w:lineRule="auto"/>
        <w:jc w:val="center"/>
        <w:rPr>
          <w:rFonts w:ascii="Times New Roman" w:hAnsi="Times New Roman" w:cs="Times New Roman"/>
        </w:rPr>
      </w:pPr>
      <w:r w:rsidRPr="00046243">
        <w:rPr>
          <w:rFonts w:ascii="Times New Roman" w:hAnsi="Times New Roman" w:cs="Times New Roman"/>
          <w:b/>
        </w:rPr>
        <w:lastRenderedPageBreak/>
        <w:t>ARVORE DE OBJETIVOS, METAS ASSOCIADAS AOS RESULTADOS DO PROJETO</w:t>
      </w:r>
    </w:p>
    <w:p w:rsidR="009C4BA5" w:rsidRPr="00046243" w:rsidRDefault="009C4BA5" w:rsidP="009C4BA5">
      <w:pPr>
        <w:spacing w:after="240" w:line="240" w:lineRule="auto"/>
        <w:jc w:val="center"/>
        <w:rPr>
          <w:rFonts w:ascii="Times New Roman" w:hAnsi="Times New Roman" w:cs="Times New Roman"/>
          <w:b/>
          <w:sz w:val="24"/>
          <w:szCs w:val="24"/>
        </w:rPr>
      </w:pPr>
      <w:r w:rsidRPr="00046243">
        <w:rPr>
          <w:rFonts w:ascii="Times New Roman" w:hAnsi="Times New Roman" w:cs="Times New Roman"/>
          <w:noProof/>
          <w:szCs w:val="24"/>
          <w:lang w:eastAsia="pt-BR"/>
        </w:rPr>
        <w:drawing>
          <wp:inline distT="0" distB="0" distL="0" distR="0">
            <wp:extent cx="8239125" cy="4613952"/>
            <wp:effectExtent l="1905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8239125" cy="4613952"/>
                    </a:xfrm>
                    <a:prstGeom prst="rect">
                      <a:avLst/>
                    </a:prstGeom>
                    <a:noFill/>
                    <a:ln w="9525">
                      <a:noFill/>
                      <a:miter lim="800000"/>
                      <a:headEnd/>
                      <a:tailEnd/>
                    </a:ln>
                  </pic:spPr>
                </pic:pic>
              </a:graphicData>
            </a:graphic>
          </wp:inline>
        </w:drawing>
      </w:r>
    </w:p>
    <w:sectPr w:rsidR="009C4BA5" w:rsidRPr="00046243" w:rsidSect="00116A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1F4" w:rsidRDefault="006A01F4" w:rsidP="00404E6E">
      <w:pPr>
        <w:spacing w:after="0" w:line="240" w:lineRule="auto"/>
      </w:pPr>
      <w:r>
        <w:separator/>
      </w:r>
    </w:p>
  </w:endnote>
  <w:endnote w:type="continuationSeparator" w:id="0">
    <w:p w:rsidR="006A01F4" w:rsidRDefault="006A01F4" w:rsidP="0040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45514"/>
      <w:docPartObj>
        <w:docPartGallery w:val="Page Numbers (Bottom of Page)"/>
        <w:docPartUnique/>
      </w:docPartObj>
    </w:sdtPr>
    <w:sdtEndPr>
      <w:rPr>
        <w:noProof/>
      </w:rPr>
    </w:sdtEndPr>
    <w:sdtContent>
      <w:p w:rsidR="00B35B0A" w:rsidRDefault="00B35B0A">
        <w:pPr>
          <w:pStyle w:val="Rodap"/>
          <w:jc w:val="center"/>
        </w:pPr>
        <w:r>
          <w:fldChar w:fldCharType="begin"/>
        </w:r>
        <w:r>
          <w:instrText xml:space="preserve"> PAGE   \* MERGEFORMAT </w:instrText>
        </w:r>
        <w:r>
          <w:fldChar w:fldCharType="separate"/>
        </w:r>
        <w:r w:rsidR="000E4FB3">
          <w:rPr>
            <w:noProof/>
          </w:rPr>
          <w:t>34</w:t>
        </w:r>
        <w:r>
          <w:rPr>
            <w:noProof/>
          </w:rPr>
          <w:fldChar w:fldCharType="end"/>
        </w:r>
      </w:p>
    </w:sdtContent>
  </w:sdt>
  <w:p w:rsidR="00B35B0A" w:rsidRDefault="00B35B0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566362"/>
      <w:docPartObj>
        <w:docPartGallery w:val="Page Numbers (Bottom of Page)"/>
        <w:docPartUnique/>
      </w:docPartObj>
    </w:sdtPr>
    <w:sdtEndPr>
      <w:rPr>
        <w:noProof/>
      </w:rPr>
    </w:sdtEndPr>
    <w:sdtContent>
      <w:p w:rsidR="00B35B0A" w:rsidRDefault="00B35B0A">
        <w:pPr>
          <w:pStyle w:val="Rodap"/>
          <w:jc w:val="center"/>
        </w:pPr>
        <w:r>
          <w:fldChar w:fldCharType="begin"/>
        </w:r>
        <w:r>
          <w:instrText xml:space="preserve"> PAGE   \* MERGEFORMAT </w:instrText>
        </w:r>
        <w:r>
          <w:fldChar w:fldCharType="separate"/>
        </w:r>
        <w:r w:rsidR="000E4FB3">
          <w:rPr>
            <w:noProof/>
          </w:rPr>
          <w:t>38</w:t>
        </w:r>
        <w:r>
          <w:rPr>
            <w:noProof/>
          </w:rPr>
          <w:fldChar w:fldCharType="end"/>
        </w:r>
      </w:p>
    </w:sdtContent>
  </w:sdt>
  <w:p w:rsidR="00B35B0A" w:rsidRDefault="00B35B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1F4" w:rsidRDefault="006A01F4" w:rsidP="00404E6E">
      <w:pPr>
        <w:spacing w:after="0" w:line="240" w:lineRule="auto"/>
      </w:pPr>
      <w:r>
        <w:separator/>
      </w:r>
    </w:p>
  </w:footnote>
  <w:footnote w:type="continuationSeparator" w:id="0">
    <w:p w:rsidR="006A01F4" w:rsidRDefault="006A01F4" w:rsidP="00404E6E">
      <w:pPr>
        <w:spacing w:after="0" w:line="240" w:lineRule="auto"/>
      </w:pPr>
      <w:r>
        <w:continuationSeparator/>
      </w:r>
    </w:p>
  </w:footnote>
  <w:footnote w:id="1">
    <w:p w:rsidR="00B35B0A" w:rsidRPr="000F51E3" w:rsidRDefault="00B35B0A" w:rsidP="00721F05">
      <w:pPr>
        <w:pStyle w:val="Textodenotaderodap"/>
        <w:ind w:left="90" w:hanging="90"/>
        <w:rPr>
          <w:sz w:val="16"/>
          <w:szCs w:val="16"/>
          <w:lang w:val="pt-BR"/>
        </w:rPr>
      </w:pPr>
      <w:r w:rsidRPr="000F51E3">
        <w:rPr>
          <w:rStyle w:val="Refdenotaderodap"/>
          <w:sz w:val="16"/>
          <w:szCs w:val="16"/>
        </w:rPr>
        <w:footnoteRef/>
      </w:r>
      <w:r w:rsidRPr="000F51E3">
        <w:rPr>
          <w:sz w:val="16"/>
          <w:szCs w:val="16"/>
          <w:lang w:val="pt-BR"/>
        </w:rPr>
        <w:t xml:space="preserve"> Marco de Referência Linha de Crédito Condicional (CCLIP) – PROFISCO, aprovado por troca de cartas entre o Banco e o Governo Brasileiro (Ministério da Fazenda), em setembro de 2008.</w:t>
      </w:r>
    </w:p>
  </w:footnote>
  <w:footnote w:id="2">
    <w:p w:rsidR="00B35B0A" w:rsidRPr="00850A07" w:rsidRDefault="00B35B0A" w:rsidP="00185929">
      <w:pPr>
        <w:pStyle w:val="Textodenotaderodap"/>
        <w:rPr>
          <w:sz w:val="18"/>
          <w:szCs w:val="18"/>
          <w:lang w:val="pt-BR"/>
        </w:rPr>
      </w:pPr>
      <w:r w:rsidRPr="00850A07">
        <w:rPr>
          <w:rStyle w:val="Refdenotaderodap"/>
          <w:sz w:val="18"/>
          <w:szCs w:val="18"/>
        </w:rPr>
        <w:footnoteRef/>
      </w:r>
      <w:r w:rsidRPr="00850A07">
        <w:rPr>
          <w:sz w:val="18"/>
          <w:szCs w:val="18"/>
          <w:lang w:val="pt-BR"/>
        </w:rPr>
        <w:t xml:space="preserve"> Institui o Estatuto Nacional da Microempresa e da Empresa de Pequeno Porte</w:t>
      </w:r>
    </w:p>
  </w:footnote>
  <w:footnote w:id="3">
    <w:p w:rsidR="00B35B0A" w:rsidRPr="005B4A5F" w:rsidRDefault="00B35B0A" w:rsidP="00541B07">
      <w:pPr>
        <w:pStyle w:val="Default"/>
        <w:jc w:val="both"/>
        <w:rPr>
          <w:rFonts w:ascii="Times New Roman" w:hAnsi="Times New Roman"/>
          <w:sz w:val="18"/>
          <w:szCs w:val="18"/>
          <w:lang w:val="pt-BR"/>
        </w:rPr>
      </w:pPr>
      <w:r w:rsidRPr="005B4A5F">
        <w:rPr>
          <w:rStyle w:val="Refdenotaderodap"/>
          <w:rFonts w:ascii="Times New Roman" w:hAnsi="Times New Roman"/>
          <w:sz w:val="18"/>
          <w:szCs w:val="18"/>
        </w:rPr>
        <w:footnoteRef/>
      </w:r>
      <w:r w:rsidRPr="005B4A5F">
        <w:rPr>
          <w:rFonts w:ascii="Times New Roman" w:hAnsi="Times New Roman"/>
          <w:sz w:val="18"/>
          <w:szCs w:val="18"/>
          <w:lang w:val="pt-BR"/>
        </w:rPr>
        <w:t xml:space="preserve"> As prerrogativas fiscais em termos de autonomia político-administrativa para instituir impostos, taxas e contribuições de melhorias, bem como as características das transferências entre níveis de governo estão determinadas na Constituição de 1988. </w:t>
      </w:r>
    </w:p>
    <w:p w:rsidR="00B35B0A" w:rsidRPr="005B4A5F" w:rsidRDefault="00B35B0A" w:rsidP="00541B07">
      <w:pPr>
        <w:pStyle w:val="Textodenotaderodap"/>
        <w:rPr>
          <w:sz w:val="18"/>
          <w:szCs w:val="18"/>
          <w:lang w:val="pt-BR"/>
        </w:rPr>
      </w:pPr>
    </w:p>
  </w:footnote>
  <w:footnote w:id="4">
    <w:p w:rsidR="00B35B0A" w:rsidRPr="005B4A5F" w:rsidRDefault="00B35B0A" w:rsidP="00541B07">
      <w:pPr>
        <w:pStyle w:val="Default"/>
        <w:jc w:val="both"/>
        <w:rPr>
          <w:rFonts w:ascii="Times New Roman" w:hAnsi="Times New Roman"/>
          <w:sz w:val="18"/>
          <w:szCs w:val="18"/>
          <w:lang w:val="pt-BR"/>
        </w:rPr>
      </w:pPr>
      <w:r w:rsidRPr="005B4A5F">
        <w:rPr>
          <w:rFonts w:ascii="Times New Roman" w:hAnsi="Times New Roman"/>
          <w:sz w:val="18"/>
          <w:szCs w:val="18"/>
          <w:lang w:val="pt-BR"/>
        </w:rPr>
        <w:footnoteRef/>
      </w:r>
      <w:r w:rsidRPr="005B4A5F">
        <w:rPr>
          <w:rFonts w:ascii="Times New Roman" w:hAnsi="Times New Roman"/>
          <w:sz w:val="18"/>
          <w:szCs w:val="18"/>
          <w:lang w:val="pt-BR"/>
        </w:rPr>
        <w:t xml:space="preserve"> Considerando-se o Fundo de Participação dos Estados-FPE, IPI-Exportação, Salário-Educação, FUNDEF, Compensações Financeiras e Outras Transferências e Convênios. </w:t>
      </w:r>
    </w:p>
    <w:p w:rsidR="00B35B0A" w:rsidRPr="005B4A5F" w:rsidRDefault="00B35B0A" w:rsidP="00541B07">
      <w:pPr>
        <w:pStyle w:val="Textodenotaderodap"/>
        <w:rPr>
          <w:sz w:val="18"/>
          <w:szCs w:val="18"/>
          <w:lang w:val="pt-BR"/>
        </w:rPr>
      </w:pPr>
    </w:p>
  </w:footnote>
  <w:footnote w:id="5">
    <w:p w:rsidR="00B35B0A" w:rsidRPr="005B4A5F" w:rsidRDefault="00B35B0A" w:rsidP="00541B07">
      <w:pPr>
        <w:pStyle w:val="Default"/>
        <w:jc w:val="both"/>
        <w:rPr>
          <w:rFonts w:ascii="Times New Roman" w:hAnsi="Times New Roman"/>
          <w:sz w:val="18"/>
          <w:szCs w:val="18"/>
          <w:lang w:val="pt-BR"/>
        </w:rPr>
      </w:pPr>
      <w:r w:rsidRPr="005B4A5F">
        <w:rPr>
          <w:rStyle w:val="Refdenotaderodap"/>
          <w:rFonts w:ascii="Times New Roman" w:hAnsi="Times New Roman"/>
          <w:sz w:val="18"/>
          <w:szCs w:val="18"/>
        </w:rPr>
        <w:footnoteRef/>
      </w:r>
      <w:r w:rsidRPr="005B4A5F">
        <w:rPr>
          <w:rFonts w:ascii="Times New Roman" w:hAnsi="Times New Roman"/>
          <w:sz w:val="18"/>
          <w:szCs w:val="18"/>
          <w:lang w:val="pt-BR"/>
        </w:rPr>
        <w:t xml:space="preserve"> As quotas de transferência estão fixadas pelo Art. 158 da Constituição e correspondem a 25% da arrecadação de ICMS e a 50% da arrecadação de IPVA, considerando-se, ainda, a quota-parte do IPI-Exportação e da CIDE. </w:t>
      </w:r>
    </w:p>
    <w:p w:rsidR="00B35B0A" w:rsidRPr="005B4A5F" w:rsidRDefault="00B35B0A" w:rsidP="00541B07">
      <w:pPr>
        <w:pStyle w:val="Textodenotaderodap"/>
        <w:rPr>
          <w:sz w:val="18"/>
          <w:szCs w:val="18"/>
          <w:lang w:val="pt-BR"/>
        </w:rPr>
      </w:pPr>
    </w:p>
  </w:footnote>
  <w:footnote w:id="6">
    <w:p w:rsidR="00B35B0A" w:rsidRPr="005B4A5F" w:rsidRDefault="00B35B0A" w:rsidP="00541B07">
      <w:pPr>
        <w:pStyle w:val="Default"/>
        <w:jc w:val="both"/>
        <w:rPr>
          <w:rFonts w:ascii="Times New Roman" w:hAnsi="Times New Roman"/>
          <w:sz w:val="18"/>
          <w:szCs w:val="18"/>
          <w:lang w:val="pt-BR"/>
        </w:rPr>
      </w:pPr>
      <w:r w:rsidRPr="005B4A5F">
        <w:rPr>
          <w:rStyle w:val="Refdenotaderodap"/>
          <w:rFonts w:ascii="Times New Roman" w:hAnsi="Times New Roman"/>
          <w:sz w:val="18"/>
          <w:szCs w:val="18"/>
        </w:rPr>
        <w:footnoteRef/>
      </w:r>
      <w:r w:rsidRPr="005B4A5F">
        <w:rPr>
          <w:rFonts w:ascii="Times New Roman" w:hAnsi="Times New Roman"/>
          <w:sz w:val="18"/>
          <w:szCs w:val="18"/>
          <w:lang w:val="pt-BR"/>
        </w:rPr>
        <w:t xml:space="preserve"> A LRF (Lei Complementar Federal Nº. 101, de 4 de maio de 2000), que foi concebida como um instrumento de apoio ao ordenamento das finanças públicas, estabelece um marco de regras claras e de indicadores a serem observados por todos os níveis de governo. Essa Lei consagra, ainda, a transparência da gestão como mecanismo de controle social, mediante a publicação de relatórios e demonstrações da execução orçamentária. </w:t>
      </w:r>
    </w:p>
    <w:p w:rsidR="00B35B0A" w:rsidRPr="005B4A5F" w:rsidRDefault="00B35B0A" w:rsidP="00541B07">
      <w:pPr>
        <w:pStyle w:val="Textodenotaderodap"/>
        <w:rPr>
          <w:lang w:val="pt-BR"/>
        </w:rPr>
      </w:pPr>
    </w:p>
  </w:footnote>
  <w:footnote w:id="7">
    <w:p w:rsidR="00B35B0A" w:rsidRPr="009935F3" w:rsidRDefault="00B35B0A" w:rsidP="000F164C">
      <w:pPr>
        <w:pStyle w:val="Textodenotaderodap"/>
        <w:rPr>
          <w:rFonts w:ascii="Tahoma" w:hAnsi="Tahoma" w:cs="Tahoma"/>
          <w:sz w:val="14"/>
          <w:szCs w:val="14"/>
          <w:lang w:val="pt-BR"/>
        </w:rPr>
      </w:pPr>
      <w:r w:rsidRPr="009935F3">
        <w:rPr>
          <w:rStyle w:val="Refdenotaderodap"/>
          <w:rFonts w:ascii="Tahoma" w:hAnsi="Tahoma" w:cs="Tahoma"/>
          <w:sz w:val="14"/>
          <w:szCs w:val="14"/>
        </w:rPr>
        <w:footnoteRef/>
      </w:r>
      <w:r w:rsidRPr="009935F3">
        <w:rPr>
          <w:rFonts w:ascii="Tahoma" w:hAnsi="Tahoma" w:cs="Tahoma"/>
          <w:sz w:val="14"/>
          <w:szCs w:val="14"/>
          <w:lang w:val="pt-BR"/>
        </w:rPr>
        <w:t xml:space="preserve"> Apresentação. DITES – Diretoria do Tesouro e SATES – Secretaria Adjunta do Tesouro e Relatório dos contratos cadastrados</w:t>
      </w:r>
    </w:p>
  </w:footnote>
  <w:footnote w:id="8">
    <w:p w:rsidR="00B35B0A" w:rsidRPr="00894D4C" w:rsidRDefault="00B35B0A" w:rsidP="005E05FD">
      <w:pPr>
        <w:pStyle w:val="Textodenotaderodap"/>
        <w:rPr>
          <w:rFonts w:ascii="Tahoma" w:hAnsi="Tahoma" w:cs="Tahoma"/>
          <w:sz w:val="14"/>
          <w:szCs w:val="14"/>
          <w:lang w:val="pt-BR"/>
        </w:rPr>
      </w:pPr>
      <w:r w:rsidRPr="00894D4C">
        <w:rPr>
          <w:rStyle w:val="Refdenotaderodap"/>
          <w:rFonts w:ascii="Tahoma" w:hAnsi="Tahoma" w:cs="Tahoma"/>
          <w:sz w:val="14"/>
          <w:szCs w:val="14"/>
        </w:rPr>
        <w:footnoteRef/>
      </w:r>
      <w:r w:rsidRPr="00894D4C">
        <w:rPr>
          <w:rFonts w:ascii="Tahoma" w:hAnsi="Tahoma" w:cs="Tahoma"/>
          <w:sz w:val="14"/>
          <w:szCs w:val="14"/>
          <w:lang w:val="pt-BR"/>
        </w:rPr>
        <w:t xml:space="preserve"> Nota Técnica. DTI-CGPS - Coordenadora de Projetos e Sistemas.</w:t>
      </w:r>
    </w:p>
  </w:footnote>
  <w:footnote w:id="9">
    <w:p w:rsidR="00B35B0A" w:rsidRPr="00297240" w:rsidRDefault="00B35B0A" w:rsidP="008E3738">
      <w:pPr>
        <w:pStyle w:val="Textodenotaderodap"/>
        <w:rPr>
          <w:rFonts w:ascii="Tahoma" w:hAnsi="Tahoma" w:cs="Tahoma"/>
          <w:sz w:val="14"/>
          <w:szCs w:val="14"/>
          <w:lang w:val="pt-BR"/>
        </w:rPr>
      </w:pPr>
      <w:r w:rsidRPr="00297240">
        <w:rPr>
          <w:rStyle w:val="Refdenotaderodap"/>
          <w:rFonts w:ascii="Tahoma" w:hAnsi="Tahoma" w:cs="Tahoma"/>
          <w:sz w:val="14"/>
          <w:szCs w:val="14"/>
        </w:rPr>
        <w:footnoteRef/>
      </w:r>
      <w:r w:rsidRPr="00297240">
        <w:rPr>
          <w:rFonts w:ascii="Tahoma" w:hAnsi="Tahoma" w:cs="Tahoma"/>
          <w:sz w:val="14"/>
          <w:szCs w:val="14"/>
          <w:lang w:val="pt-BR"/>
        </w:rPr>
        <w:t xml:space="preserve"> </w:t>
      </w:r>
      <w:r w:rsidRPr="00297240">
        <w:rPr>
          <w:rFonts w:ascii="Tahoma" w:hAnsi="Tahoma" w:cs="Tahoma"/>
          <w:bCs/>
          <w:sz w:val="14"/>
          <w:szCs w:val="14"/>
          <w:lang w:val="pt-BR"/>
        </w:rPr>
        <w:t>Lei estadual nº 7.559 de 21 de setembro de 2011</w:t>
      </w:r>
    </w:p>
  </w:footnote>
  <w:footnote w:id="10">
    <w:p w:rsidR="00B35B0A" w:rsidRPr="00801772" w:rsidRDefault="00B35B0A" w:rsidP="008E3738">
      <w:pPr>
        <w:pStyle w:val="Textodenotaderodap"/>
        <w:rPr>
          <w:rFonts w:ascii="Tahoma" w:hAnsi="Tahoma" w:cs="Tahoma"/>
          <w:sz w:val="14"/>
          <w:szCs w:val="14"/>
          <w:lang w:val="pt-BR"/>
        </w:rPr>
      </w:pPr>
      <w:r w:rsidRPr="00801772">
        <w:rPr>
          <w:rStyle w:val="Refdenotaderodap"/>
          <w:rFonts w:ascii="Tahoma" w:hAnsi="Tahoma" w:cs="Tahoma"/>
          <w:sz w:val="14"/>
          <w:szCs w:val="14"/>
        </w:rPr>
        <w:footnoteRef/>
      </w:r>
      <w:r w:rsidRPr="00801772">
        <w:rPr>
          <w:rFonts w:ascii="Tahoma" w:hAnsi="Tahoma" w:cs="Tahoma"/>
          <w:sz w:val="14"/>
          <w:szCs w:val="14"/>
          <w:lang w:val="pt-BR"/>
        </w:rPr>
        <w:t xml:space="preserve"> Nota Técnica. EFAZ</w:t>
      </w:r>
      <w:r>
        <w:rPr>
          <w:rFonts w:ascii="Tahoma" w:hAnsi="Tahoma" w:cs="Tahoma"/>
          <w:sz w:val="14"/>
          <w:szCs w:val="14"/>
          <w:lang w:val="pt-BR"/>
        </w:rPr>
        <w:t xml:space="preserve"> </w:t>
      </w:r>
      <w:r w:rsidRPr="00801772">
        <w:rPr>
          <w:rFonts w:ascii="Tahoma" w:hAnsi="Tahoma" w:cs="Tahoma"/>
          <w:sz w:val="14"/>
          <w:szCs w:val="14"/>
          <w:lang w:val="pt-BR"/>
        </w:rPr>
        <w:t>/ Programa de Educação Fiscal</w:t>
      </w:r>
    </w:p>
  </w:footnote>
  <w:footnote w:id="11">
    <w:p w:rsidR="00B35B0A" w:rsidRPr="00447B6F" w:rsidRDefault="00B35B0A" w:rsidP="00325697">
      <w:pPr>
        <w:pStyle w:val="Textodenotaderodap"/>
        <w:rPr>
          <w:sz w:val="16"/>
          <w:szCs w:val="16"/>
          <w:lang w:val="pt-BR"/>
        </w:rPr>
      </w:pPr>
      <w:r w:rsidRPr="00447B6F">
        <w:rPr>
          <w:rStyle w:val="Refdenotaderodap"/>
          <w:sz w:val="16"/>
          <w:szCs w:val="16"/>
        </w:rPr>
        <w:footnoteRef/>
      </w:r>
      <w:r w:rsidRPr="00447B6F">
        <w:rPr>
          <w:sz w:val="16"/>
          <w:szCs w:val="16"/>
          <w:lang w:val="pt-BR"/>
        </w:rPr>
        <w:t xml:space="preserve"> Marco de Resultados original incluía as metas relacionadas com outras despesas correntes e investimentos. O PMR não considerou esses impactos</w:t>
      </w:r>
    </w:p>
  </w:footnote>
  <w:footnote w:id="12">
    <w:p w:rsidR="00B35B0A" w:rsidRPr="00447B6F" w:rsidRDefault="00B35B0A" w:rsidP="00325697">
      <w:pPr>
        <w:pStyle w:val="Textodenotaderodap"/>
        <w:rPr>
          <w:sz w:val="16"/>
          <w:szCs w:val="16"/>
          <w:lang w:val="pt-BR"/>
        </w:rPr>
      </w:pPr>
      <w:r w:rsidRPr="00447B6F">
        <w:rPr>
          <w:rStyle w:val="Refdenotaderodap"/>
          <w:sz w:val="16"/>
          <w:szCs w:val="16"/>
        </w:rPr>
        <w:footnoteRef/>
      </w:r>
      <w:r w:rsidRPr="00447B6F">
        <w:rPr>
          <w:sz w:val="16"/>
          <w:szCs w:val="16"/>
          <w:lang w:val="pt-BR"/>
        </w:rPr>
        <w:t xml:space="preserve"> O ano utilizado inicialmente como base para o Projeto foi o de 2006. Em 2013 passou-se a utilizar o ano de 2011 como base para os indicadores.</w:t>
      </w:r>
    </w:p>
  </w:footnote>
  <w:footnote w:id="13">
    <w:p w:rsidR="00B35B0A" w:rsidRPr="00447B6F" w:rsidRDefault="00B35B0A" w:rsidP="00325697">
      <w:pPr>
        <w:pStyle w:val="Textodenotaderodap"/>
        <w:rPr>
          <w:rStyle w:val="Refdenotaderodap"/>
          <w:sz w:val="16"/>
          <w:szCs w:val="16"/>
          <w:vertAlign w:val="baseline"/>
        </w:rPr>
      </w:pPr>
      <w:r w:rsidRPr="00447B6F">
        <w:rPr>
          <w:rStyle w:val="Refdenotaderodap"/>
          <w:sz w:val="16"/>
          <w:szCs w:val="16"/>
        </w:rPr>
        <w:footnoteRef/>
      </w:r>
      <w:r w:rsidRPr="00447B6F">
        <w:rPr>
          <w:rStyle w:val="Refdenotaderodap"/>
          <w:sz w:val="16"/>
          <w:szCs w:val="16"/>
        </w:rPr>
        <w:t xml:space="preserve"> </w:t>
      </w:r>
      <w:r w:rsidRPr="00447B6F">
        <w:rPr>
          <w:rStyle w:val="Refdenotaderodap"/>
          <w:sz w:val="16"/>
          <w:szCs w:val="16"/>
          <w:vertAlign w:val="baseline"/>
        </w:rPr>
        <w:t>Nota técnica apresentada pela DAIF - Diretoria de Arrecadação e Informações Fazendárias e CAFE - Coordenação de Assuntos Fazendários Estratégicos/Programa Nota Fiscal Cidadã, informa que “</w:t>
      </w:r>
      <w:r w:rsidRPr="00447B6F">
        <w:rPr>
          <w:rStyle w:val="Refdenotaderodap"/>
          <w:i/>
          <w:sz w:val="16"/>
          <w:szCs w:val="16"/>
          <w:vertAlign w:val="baseline"/>
        </w:rPr>
        <w:t>A</w:t>
      </w:r>
      <w:r w:rsidRPr="00447B6F">
        <w:rPr>
          <w:rStyle w:val="Refdenotaderodap"/>
          <w:i/>
          <w:sz w:val="16"/>
          <w:szCs w:val="16"/>
        </w:rPr>
        <w:t xml:space="preserve"> </w:t>
      </w:r>
      <w:r w:rsidRPr="00447B6F">
        <w:rPr>
          <w:rStyle w:val="Refdenotaderodap"/>
          <w:i/>
          <w:sz w:val="16"/>
          <w:szCs w:val="16"/>
          <w:vertAlign w:val="baseline"/>
        </w:rPr>
        <w:t>Arrecadação Própria do Estado cresceu 45,4% em valores reais no período de 2010 a 2014, passando em termos correntes de R$ 6,3 bilhões em 2010 para R$ 11,7 bilhões, em 2014</w:t>
      </w:r>
      <w:r w:rsidRPr="00447B6F">
        <w:rPr>
          <w:rStyle w:val="Refdenotaderodap"/>
          <w:sz w:val="16"/>
          <w:szCs w:val="16"/>
          <w:vertAlign w:val="baseline"/>
        </w:rPr>
        <w:t>”</w:t>
      </w:r>
    </w:p>
    <w:p w:rsidR="00B35B0A" w:rsidRPr="00447B6F" w:rsidRDefault="00B35B0A" w:rsidP="00325697">
      <w:pPr>
        <w:pStyle w:val="Textodenotaderodap"/>
        <w:rPr>
          <w:lang w:val="pt-BR"/>
        </w:rPr>
      </w:pPr>
    </w:p>
  </w:footnote>
  <w:footnote w:id="14">
    <w:p w:rsidR="00B35B0A" w:rsidRPr="00174BF3" w:rsidRDefault="00B35B0A" w:rsidP="00325697">
      <w:pPr>
        <w:pStyle w:val="Textodenotaderodap"/>
        <w:rPr>
          <w:sz w:val="16"/>
          <w:szCs w:val="16"/>
          <w:lang w:val="pt-BR"/>
        </w:rPr>
      </w:pPr>
      <w:r w:rsidRPr="00174BF3">
        <w:rPr>
          <w:rStyle w:val="Refdenotaderodap"/>
          <w:sz w:val="16"/>
          <w:szCs w:val="16"/>
        </w:rPr>
        <w:footnoteRef/>
      </w:r>
      <w:r w:rsidRPr="00174BF3">
        <w:rPr>
          <w:sz w:val="16"/>
          <w:szCs w:val="16"/>
          <w:lang w:val="pt-BR"/>
        </w:rPr>
        <w:t xml:space="preserve"> Coordenação Executiva Regional de Administração Tributária</w:t>
      </w:r>
      <w:r>
        <w:rPr>
          <w:sz w:val="16"/>
          <w:szCs w:val="16"/>
          <w:lang w:val="pt-BR"/>
        </w:rPr>
        <w:t xml:space="preserve"> e não Tributária </w:t>
      </w:r>
      <w:r w:rsidRPr="00174BF3">
        <w:rPr>
          <w:sz w:val="16"/>
          <w:szCs w:val="16"/>
          <w:lang w:val="pt-BR"/>
        </w:rPr>
        <w:t>(</w:t>
      </w:r>
      <w:r>
        <w:rPr>
          <w:sz w:val="16"/>
          <w:szCs w:val="16"/>
          <w:lang w:val="pt-BR"/>
        </w:rPr>
        <w:t>C</w:t>
      </w:r>
      <w:r w:rsidRPr="00174BF3">
        <w:rPr>
          <w:sz w:val="16"/>
          <w:szCs w:val="16"/>
          <w:lang w:val="pt-BR"/>
        </w:rPr>
        <w:t>ERAT</w:t>
      </w:r>
      <w:r>
        <w:rPr>
          <w:sz w:val="16"/>
          <w:szCs w:val="16"/>
          <w:lang w:val="pt-BR"/>
        </w:rPr>
        <w:t xml:space="preserve">); Órgão Executor da </w:t>
      </w:r>
      <w:r w:rsidRPr="00174BF3">
        <w:rPr>
          <w:sz w:val="16"/>
          <w:szCs w:val="16"/>
          <w:lang w:val="pt-BR"/>
        </w:rPr>
        <w:t>Administração Tributária</w:t>
      </w:r>
      <w:r>
        <w:rPr>
          <w:sz w:val="16"/>
          <w:szCs w:val="16"/>
          <w:lang w:val="pt-BR"/>
        </w:rPr>
        <w:t xml:space="preserve"> e não Tributária </w:t>
      </w:r>
      <w:r w:rsidRPr="00174BF3">
        <w:rPr>
          <w:sz w:val="16"/>
          <w:szCs w:val="16"/>
          <w:lang w:val="pt-BR"/>
        </w:rPr>
        <w:t>(</w:t>
      </w:r>
      <w:r>
        <w:rPr>
          <w:sz w:val="16"/>
          <w:szCs w:val="16"/>
          <w:lang w:val="pt-BR"/>
        </w:rPr>
        <w:t>OEAT); Coordenação Executiva de Controle de Mercadorias em Trânsito (CECOMT); Unidade Executiva de Controle de Mercadorias em Trânsito (UECOMT)</w:t>
      </w:r>
    </w:p>
  </w:footnote>
  <w:footnote w:id="15">
    <w:p w:rsidR="00B35B0A" w:rsidRPr="00D95350" w:rsidRDefault="00B35B0A" w:rsidP="008C1515">
      <w:pPr>
        <w:pStyle w:val="Textodenotaderodap"/>
        <w:jc w:val="both"/>
        <w:rPr>
          <w:rFonts w:ascii="Tahoma" w:hAnsi="Tahoma" w:cs="Tahoma"/>
          <w:sz w:val="14"/>
          <w:szCs w:val="14"/>
          <w:lang w:val="pt-BR"/>
        </w:rPr>
      </w:pPr>
      <w:r w:rsidRPr="00D95350">
        <w:rPr>
          <w:rStyle w:val="Refdenotaderodap"/>
          <w:rFonts w:ascii="Tahoma" w:hAnsi="Tahoma" w:cs="Tahoma"/>
          <w:sz w:val="14"/>
          <w:szCs w:val="14"/>
        </w:rPr>
        <w:footnoteRef/>
      </w:r>
      <w:r>
        <w:rPr>
          <w:rFonts w:ascii="Tahoma" w:hAnsi="Tahoma" w:cs="Tahoma"/>
          <w:sz w:val="14"/>
          <w:szCs w:val="14"/>
          <w:lang w:val="pt-BR"/>
        </w:rPr>
        <w:t xml:space="preserve"> </w:t>
      </w:r>
      <w:r w:rsidRPr="00D95350">
        <w:rPr>
          <w:rFonts w:ascii="Tahoma" w:hAnsi="Tahoma" w:cs="Tahoma"/>
          <w:sz w:val="14"/>
          <w:szCs w:val="14"/>
          <w:lang w:val="pt-BR"/>
        </w:rPr>
        <w:t>Portaria 0847, 29/08/2014 – Gabinete do Subsecretario da Administração Tributária - GSA</w:t>
      </w:r>
    </w:p>
  </w:footnote>
  <w:footnote w:id="16">
    <w:p w:rsidR="00B35B0A" w:rsidRPr="00D95350" w:rsidRDefault="00B35B0A" w:rsidP="008C1515">
      <w:pPr>
        <w:pStyle w:val="Textodenotaderodap"/>
        <w:jc w:val="both"/>
        <w:rPr>
          <w:rFonts w:ascii="Tahoma" w:hAnsi="Tahoma" w:cs="Tahoma"/>
          <w:sz w:val="14"/>
          <w:szCs w:val="14"/>
          <w:lang w:val="pt-BR"/>
        </w:rPr>
      </w:pPr>
      <w:r w:rsidRPr="00D95350">
        <w:rPr>
          <w:rStyle w:val="Refdenotaderodap"/>
          <w:rFonts w:ascii="Tahoma" w:hAnsi="Tahoma" w:cs="Tahoma"/>
          <w:sz w:val="14"/>
          <w:szCs w:val="14"/>
        </w:rPr>
        <w:footnoteRef/>
      </w:r>
      <w:r w:rsidRPr="00D95350">
        <w:rPr>
          <w:rFonts w:ascii="Tahoma" w:hAnsi="Tahoma" w:cs="Tahoma"/>
          <w:sz w:val="14"/>
          <w:szCs w:val="14"/>
          <w:lang w:val="pt-BR"/>
        </w:rPr>
        <w:t xml:space="preserve"> Programa </w:t>
      </w:r>
      <w:r w:rsidRPr="00D95350">
        <w:rPr>
          <w:rFonts w:ascii="Tahoma" w:hAnsi="Tahoma" w:cs="Tahoma"/>
          <w:bCs/>
          <w:sz w:val="14"/>
          <w:szCs w:val="14"/>
          <w:lang w:val="pt-BR"/>
        </w:rPr>
        <w:t>instituído pela Lei nº 7.632, de 22 de maio de 2012 e regulamentado pelo Decreto nº 490, de 1º de agosto de 2012</w:t>
      </w:r>
    </w:p>
  </w:footnote>
  <w:footnote w:id="17">
    <w:p w:rsidR="00B35B0A" w:rsidRPr="007F0897" w:rsidRDefault="00B35B0A" w:rsidP="008C1515">
      <w:pPr>
        <w:pStyle w:val="Textodenotaderodap"/>
        <w:rPr>
          <w:rFonts w:ascii="Tahoma" w:hAnsi="Tahoma" w:cs="Tahoma"/>
          <w:sz w:val="14"/>
          <w:szCs w:val="14"/>
          <w:lang w:val="pt-BR"/>
        </w:rPr>
      </w:pPr>
      <w:r w:rsidRPr="007F0897">
        <w:rPr>
          <w:rStyle w:val="Refdenotaderodap"/>
          <w:rFonts w:ascii="Tahoma" w:hAnsi="Tahoma" w:cs="Tahoma"/>
          <w:sz w:val="14"/>
          <w:szCs w:val="14"/>
        </w:rPr>
        <w:footnoteRef/>
      </w:r>
      <w:r w:rsidRPr="007F0897">
        <w:rPr>
          <w:rFonts w:ascii="Tahoma" w:hAnsi="Tahoma" w:cs="Tahoma"/>
          <w:sz w:val="14"/>
          <w:szCs w:val="14"/>
          <w:lang w:val="pt-BR"/>
        </w:rPr>
        <w:t xml:space="preserve"> Instrução Normativa nº 0003, de 19 de fevereiro de 2010</w:t>
      </w:r>
    </w:p>
  </w:footnote>
  <w:footnote w:id="18">
    <w:p w:rsidR="00B35B0A" w:rsidRPr="00B870C7" w:rsidRDefault="00B35B0A" w:rsidP="00BC3451">
      <w:pPr>
        <w:pStyle w:val="Default"/>
        <w:jc w:val="both"/>
        <w:rPr>
          <w:rFonts w:ascii="Tahoma" w:hAnsi="Tahoma" w:cs="Tahoma"/>
          <w:sz w:val="16"/>
          <w:szCs w:val="16"/>
          <w:lang w:val="pt-BR"/>
        </w:rPr>
      </w:pPr>
      <w:r w:rsidRPr="00475D7C">
        <w:rPr>
          <w:rStyle w:val="Refdenotaderodap"/>
          <w:rFonts w:ascii="Tahoma" w:hAnsi="Tahoma" w:cs="Tahoma"/>
          <w:sz w:val="16"/>
          <w:szCs w:val="16"/>
        </w:rPr>
        <w:footnoteRef/>
      </w:r>
      <w:r w:rsidRPr="00B870C7">
        <w:rPr>
          <w:rFonts w:ascii="Tahoma" w:hAnsi="Tahoma" w:cs="Tahoma"/>
          <w:sz w:val="16"/>
          <w:szCs w:val="16"/>
          <w:lang w:val="pt-BR"/>
        </w:rPr>
        <w:t xml:space="preserve"> Lei Complementar nº 078, de 28/12/2011, que institui a Lei Orgânica da Administração Tributária do Estado do Pará e Decreto Estadual 720/04/2013, que regulamenta o fundo.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63ED"/>
    <w:multiLevelType w:val="hybridMultilevel"/>
    <w:tmpl w:val="9EAC9B4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B2335C9"/>
    <w:multiLevelType w:val="hybridMultilevel"/>
    <w:tmpl w:val="A790AF32"/>
    <w:lvl w:ilvl="0" w:tplc="E29ACD30">
      <w:start w:val="1"/>
      <w:numFmt w:val="decimal"/>
      <w:lvlText w:val="%1."/>
      <w:lvlJc w:val="left"/>
      <w:pPr>
        <w:ind w:left="360" w:hanging="360"/>
      </w:pPr>
      <w:rPr>
        <w:rFonts w:hint="default"/>
      </w:rPr>
    </w:lvl>
    <w:lvl w:ilvl="1" w:tplc="2B747908" w:tentative="1">
      <w:start w:val="1"/>
      <w:numFmt w:val="lowerLetter"/>
      <w:lvlText w:val="%2."/>
      <w:lvlJc w:val="left"/>
      <w:pPr>
        <w:ind w:left="1080" w:hanging="360"/>
      </w:pPr>
    </w:lvl>
    <w:lvl w:ilvl="2" w:tplc="AF9C8D2A" w:tentative="1">
      <w:start w:val="1"/>
      <w:numFmt w:val="lowerRoman"/>
      <w:lvlText w:val="%3."/>
      <w:lvlJc w:val="right"/>
      <w:pPr>
        <w:ind w:left="1800" w:hanging="180"/>
      </w:pPr>
    </w:lvl>
    <w:lvl w:ilvl="3" w:tplc="E8D6F5DC" w:tentative="1">
      <w:start w:val="1"/>
      <w:numFmt w:val="decimal"/>
      <w:lvlText w:val="%4."/>
      <w:lvlJc w:val="left"/>
      <w:pPr>
        <w:ind w:left="2520" w:hanging="360"/>
      </w:pPr>
    </w:lvl>
    <w:lvl w:ilvl="4" w:tplc="9842914E" w:tentative="1">
      <w:start w:val="1"/>
      <w:numFmt w:val="lowerLetter"/>
      <w:lvlText w:val="%5."/>
      <w:lvlJc w:val="left"/>
      <w:pPr>
        <w:ind w:left="3240" w:hanging="360"/>
      </w:pPr>
    </w:lvl>
    <w:lvl w:ilvl="5" w:tplc="091CD286" w:tentative="1">
      <w:start w:val="1"/>
      <w:numFmt w:val="lowerRoman"/>
      <w:lvlText w:val="%6."/>
      <w:lvlJc w:val="right"/>
      <w:pPr>
        <w:ind w:left="3960" w:hanging="180"/>
      </w:pPr>
    </w:lvl>
    <w:lvl w:ilvl="6" w:tplc="04AA3AE6" w:tentative="1">
      <w:start w:val="1"/>
      <w:numFmt w:val="decimal"/>
      <w:lvlText w:val="%7."/>
      <w:lvlJc w:val="left"/>
      <w:pPr>
        <w:ind w:left="4680" w:hanging="360"/>
      </w:pPr>
    </w:lvl>
    <w:lvl w:ilvl="7" w:tplc="E54AE22C" w:tentative="1">
      <w:start w:val="1"/>
      <w:numFmt w:val="lowerLetter"/>
      <w:lvlText w:val="%8."/>
      <w:lvlJc w:val="left"/>
      <w:pPr>
        <w:ind w:left="5400" w:hanging="360"/>
      </w:pPr>
    </w:lvl>
    <w:lvl w:ilvl="8" w:tplc="57AA894C" w:tentative="1">
      <w:start w:val="1"/>
      <w:numFmt w:val="lowerRoman"/>
      <w:lvlText w:val="%9."/>
      <w:lvlJc w:val="right"/>
      <w:pPr>
        <w:ind w:left="6120" w:hanging="180"/>
      </w:pPr>
    </w:lvl>
  </w:abstractNum>
  <w:abstractNum w:abstractNumId="2" w15:restartNumberingAfterBreak="0">
    <w:nsid w:val="1E055DE7"/>
    <w:multiLevelType w:val="hybridMultilevel"/>
    <w:tmpl w:val="3D5A35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107771"/>
    <w:multiLevelType w:val="hybridMultilevel"/>
    <w:tmpl w:val="53E851F0"/>
    <w:lvl w:ilvl="0" w:tplc="0416000F">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27E52A3D"/>
    <w:multiLevelType w:val="multilevel"/>
    <w:tmpl w:val="5B262510"/>
    <w:lvl w:ilvl="0">
      <w:start w:val="2"/>
      <w:numFmt w:val="decimal"/>
      <w:lvlText w:val="%1"/>
      <w:lvlJc w:val="left"/>
      <w:pPr>
        <w:ind w:left="360" w:hanging="360"/>
      </w:pPr>
      <w:rPr>
        <w:rFonts w:cs="Times New Roman" w:hint="default"/>
        <w:sz w:val="15"/>
      </w:rPr>
    </w:lvl>
    <w:lvl w:ilvl="1">
      <w:start w:val="1"/>
      <w:numFmt w:val="decimal"/>
      <w:lvlText w:val="%1.%2"/>
      <w:lvlJc w:val="left"/>
      <w:pPr>
        <w:ind w:left="360" w:hanging="360"/>
      </w:pPr>
      <w:rPr>
        <w:rFonts w:cs="Times New Roman" w:hint="default"/>
        <w:sz w:val="15"/>
      </w:rPr>
    </w:lvl>
    <w:lvl w:ilvl="2">
      <w:start w:val="1"/>
      <w:numFmt w:val="decimal"/>
      <w:lvlText w:val="%1.%2.%3"/>
      <w:lvlJc w:val="left"/>
      <w:pPr>
        <w:ind w:left="360" w:hanging="360"/>
      </w:pPr>
      <w:rPr>
        <w:rFonts w:cs="Times New Roman" w:hint="default"/>
        <w:sz w:val="15"/>
      </w:rPr>
    </w:lvl>
    <w:lvl w:ilvl="3">
      <w:start w:val="1"/>
      <w:numFmt w:val="decimal"/>
      <w:lvlText w:val="%1.%2.%3.%4"/>
      <w:lvlJc w:val="left"/>
      <w:pPr>
        <w:ind w:left="720" w:hanging="720"/>
      </w:pPr>
      <w:rPr>
        <w:rFonts w:cs="Times New Roman" w:hint="default"/>
        <w:sz w:val="15"/>
      </w:rPr>
    </w:lvl>
    <w:lvl w:ilvl="4">
      <w:start w:val="1"/>
      <w:numFmt w:val="decimal"/>
      <w:lvlText w:val="%1.%2.%3.%4.%5"/>
      <w:lvlJc w:val="left"/>
      <w:pPr>
        <w:ind w:left="720" w:hanging="720"/>
      </w:pPr>
      <w:rPr>
        <w:rFonts w:cs="Times New Roman" w:hint="default"/>
        <w:sz w:val="15"/>
      </w:rPr>
    </w:lvl>
    <w:lvl w:ilvl="5">
      <w:start w:val="1"/>
      <w:numFmt w:val="decimal"/>
      <w:lvlText w:val="%1.%2.%3.%4.%5.%6"/>
      <w:lvlJc w:val="left"/>
      <w:pPr>
        <w:ind w:left="720" w:hanging="720"/>
      </w:pPr>
      <w:rPr>
        <w:rFonts w:cs="Times New Roman" w:hint="default"/>
        <w:sz w:val="15"/>
      </w:rPr>
    </w:lvl>
    <w:lvl w:ilvl="6">
      <w:start w:val="1"/>
      <w:numFmt w:val="decimal"/>
      <w:lvlText w:val="%1.%2.%3.%4.%5.%6.%7"/>
      <w:lvlJc w:val="left"/>
      <w:pPr>
        <w:ind w:left="1080" w:hanging="1080"/>
      </w:pPr>
      <w:rPr>
        <w:rFonts w:cs="Times New Roman" w:hint="default"/>
        <w:sz w:val="15"/>
      </w:rPr>
    </w:lvl>
    <w:lvl w:ilvl="7">
      <w:start w:val="1"/>
      <w:numFmt w:val="decimal"/>
      <w:lvlText w:val="%1.%2.%3.%4.%5.%6.%7.%8"/>
      <w:lvlJc w:val="left"/>
      <w:pPr>
        <w:ind w:left="1080" w:hanging="1080"/>
      </w:pPr>
      <w:rPr>
        <w:rFonts w:cs="Times New Roman" w:hint="default"/>
        <w:sz w:val="15"/>
      </w:rPr>
    </w:lvl>
    <w:lvl w:ilvl="8">
      <w:start w:val="1"/>
      <w:numFmt w:val="decimal"/>
      <w:lvlText w:val="%1.%2.%3.%4.%5.%6.%7.%8.%9"/>
      <w:lvlJc w:val="left"/>
      <w:pPr>
        <w:ind w:left="1080" w:hanging="1080"/>
      </w:pPr>
      <w:rPr>
        <w:rFonts w:cs="Times New Roman" w:hint="default"/>
        <w:sz w:val="15"/>
      </w:rPr>
    </w:lvl>
  </w:abstractNum>
  <w:abstractNum w:abstractNumId="5" w15:restartNumberingAfterBreak="0">
    <w:nsid w:val="29247EAC"/>
    <w:multiLevelType w:val="multilevel"/>
    <w:tmpl w:val="F7807F32"/>
    <w:lvl w:ilvl="0">
      <w:start w:val="1"/>
      <w:numFmt w:val="bullet"/>
      <w:lvlText w:val="o"/>
      <w:lvlJc w:val="left"/>
      <w:pPr>
        <w:tabs>
          <w:tab w:val="num" w:pos="1211"/>
        </w:tabs>
        <w:ind w:left="1041" w:hanging="190"/>
      </w:pPr>
      <w:rPr>
        <w:rFonts w:hint="default"/>
        <w:sz w:val="16"/>
      </w:rPr>
    </w:lvl>
    <w:lvl w:ilvl="1" w:tentative="1">
      <w:start w:val="1"/>
      <w:numFmt w:val="bullet"/>
      <w:pStyle w:val="Paragraph"/>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82DE1"/>
    <w:multiLevelType w:val="hybridMultilevel"/>
    <w:tmpl w:val="99F61F24"/>
    <w:lvl w:ilvl="0" w:tplc="43EAF76A">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8471D2"/>
    <w:multiLevelType w:val="hybridMultilevel"/>
    <w:tmpl w:val="B85AD0B0"/>
    <w:lvl w:ilvl="0" w:tplc="04090019">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F375A"/>
    <w:multiLevelType w:val="multilevel"/>
    <w:tmpl w:val="70866220"/>
    <w:lvl w:ilvl="0">
      <w:start w:val="1"/>
      <w:numFmt w:val="upperRoman"/>
      <w:pStyle w:val="Ttulo1"/>
      <w:lvlText w:val="%1."/>
      <w:lvlJc w:val="right"/>
      <w:pPr>
        <w:ind w:left="720" w:hanging="360"/>
      </w:pPr>
      <w:rPr>
        <w:lang w:val="es-MX"/>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15:restartNumberingAfterBreak="0">
    <w:nsid w:val="48867818"/>
    <w:multiLevelType w:val="hybridMultilevel"/>
    <w:tmpl w:val="DFF2F8BC"/>
    <w:lvl w:ilvl="0" w:tplc="0B783B62">
      <w:start w:val="1"/>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2D0556"/>
    <w:multiLevelType w:val="multilevel"/>
    <w:tmpl w:val="D512C6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F982025"/>
    <w:multiLevelType w:val="hybridMultilevel"/>
    <w:tmpl w:val="77FC6128"/>
    <w:lvl w:ilvl="0" w:tplc="136210BC">
      <w:start w:val="1"/>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6021185B"/>
    <w:multiLevelType w:val="hybridMultilevel"/>
    <w:tmpl w:val="2D42A9C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60212CF7"/>
    <w:multiLevelType w:val="hybridMultilevel"/>
    <w:tmpl w:val="EA68529A"/>
    <w:lvl w:ilvl="0" w:tplc="D7766CB6">
      <w:start w:val="1"/>
      <w:numFmt w:val="lowerRoman"/>
      <w:lvlText w:val="(%1)"/>
      <w:lvlJc w:val="left"/>
      <w:pPr>
        <w:ind w:left="720" w:hanging="72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685A06A4"/>
    <w:multiLevelType w:val="hybridMultilevel"/>
    <w:tmpl w:val="6D281E42"/>
    <w:lvl w:ilvl="0" w:tplc="04090019">
      <w:start w:val="1"/>
      <w:numFmt w:val="upperRoman"/>
      <w:pStyle w:val="Ttulo2"/>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9535EF"/>
    <w:multiLevelType w:val="hybridMultilevel"/>
    <w:tmpl w:val="89841C2E"/>
    <w:lvl w:ilvl="0" w:tplc="B8623778">
      <w:start w:val="1"/>
      <w:numFmt w:val="lowerLetter"/>
      <w:lvlText w:val="(%1)"/>
      <w:lvlJc w:val="left"/>
      <w:pPr>
        <w:ind w:left="928" w:hanging="360"/>
      </w:pPr>
      <w:rPr>
        <w:rFonts w:hint="default"/>
      </w:rPr>
    </w:lvl>
    <w:lvl w:ilvl="1" w:tplc="04160019">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6E28524C"/>
    <w:multiLevelType w:val="hybridMultilevel"/>
    <w:tmpl w:val="61E87C72"/>
    <w:lvl w:ilvl="0" w:tplc="5422F4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B67994"/>
    <w:multiLevelType w:val="multilevel"/>
    <w:tmpl w:val="0CF42CF8"/>
    <w:lvl w:ilvl="0">
      <w:start w:val="1"/>
      <w:numFmt w:val="decimal"/>
      <w:pStyle w:val="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F1F1F89"/>
    <w:multiLevelType w:val="hybridMultilevel"/>
    <w:tmpl w:val="2612C856"/>
    <w:lvl w:ilvl="0" w:tplc="04090019">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8"/>
  </w:num>
  <w:num w:numId="3">
    <w:abstractNumId w:val="3"/>
  </w:num>
  <w:num w:numId="4">
    <w:abstractNumId w:val="2"/>
  </w:num>
  <w:num w:numId="5">
    <w:abstractNumId w:val="5"/>
  </w:num>
  <w:num w:numId="6">
    <w:abstractNumId w:val="1"/>
  </w:num>
  <w:num w:numId="7">
    <w:abstractNumId w:val="18"/>
  </w:num>
  <w:num w:numId="8">
    <w:abstractNumId w:val="16"/>
  </w:num>
  <w:num w:numId="9">
    <w:abstractNumId w:val="7"/>
  </w:num>
  <w:num w:numId="10">
    <w:abstractNumId w:val="17"/>
  </w:num>
  <w:num w:numId="11">
    <w:abstractNumId w:val="15"/>
  </w:num>
  <w:num w:numId="12">
    <w:abstractNumId w:val="13"/>
  </w:num>
  <w:num w:numId="13">
    <w:abstractNumId w:val="9"/>
  </w:num>
  <w:num w:numId="14">
    <w:abstractNumId w:val="6"/>
  </w:num>
  <w:num w:numId="15">
    <w:abstractNumId w:val="12"/>
  </w:num>
  <w:num w:numId="16">
    <w:abstractNumId w:val="0"/>
  </w:num>
  <w:num w:numId="17">
    <w:abstractNumId w:val="10"/>
  </w:num>
  <w:num w:numId="18">
    <w:abstractNumId w:val="4"/>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64902"/>
    <w:rsid w:val="00010F6C"/>
    <w:rsid w:val="00014471"/>
    <w:rsid w:val="00017E27"/>
    <w:rsid w:val="00025BA3"/>
    <w:rsid w:val="00031BD5"/>
    <w:rsid w:val="000328CD"/>
    <w:rsid w:val="0003730E"/>
    <w:rsid w:val="0004081A"/>
    <w:rsid w:val="0004093E"/>
    <w:rsid w:val="00046243"/>
    <w:rsid w:val="000470D2"/>
    <w:rsid w:val="00057FA9"/>
    <w:rsid w:val="0006150D"/>
    <w:rsid w:val="00061E37"/>
    <w:rsid w:val="0006528D"/>
    <w:rsid w:val="00066CCE"/>
    <w:rsid w:val="0006728C"/>
    <w:rsid w:val="00082B5E"/>
    <w:rsid w:val="000841A4"/>
    <w:rsid w:val="00090245"/>
    <w:rsid w:val="00091842"/>
    <w:rsid w:val="000932CF"/>
    <w:rsid w:val="000979C1"/>
    <w:rsid w:val="000A175D"/>
    <w:rsid w:val="000A19BC"/>
    <w:rsid w:val="000B08BF"/>
    <w:rsid w:val="000B7342"/>
    <w:rsid w:val="000C05C1"/>
    <w:rsid w:val="000C133F"/>
    <w:rsid w:val="000C7BFB"/>
    <w:rsid w:val="000D129A"/>
    <w:rsid w:val="000D2569"/>
    <w:rsid w:val="000D5AFA"/>
    <w:rsid w:val="000D5C8A"/>
    <w:rsid w:val="000D71F4"/>
    <w:rsid w:val="000D78FF"/>
    <w:rsid w:val="000D7E07"/>
    <w:rsid w:val="000D7E94"/>
    <w:rsid w:val="000E10EF"/>
    <w:rsid w:val="000E1F10"/>
    <w:rsid w:val="000E34C0"/>
    <w:rsid w:val="000E4FB3"/>
    <w:rsid w:val="000E53DD"/>
    <w:rsid w:val="000E5C39"/>
    <w:rsid w:val="000E64CA"/>
    <w:rsid w:val="000E7501"/>
    <w:rsid w:val="000F164C"/>
    <w:rsid w:val="000F7777"/>
    <w:rsid w:val="00102424"/>
    <w:rsid w:val="00107D53"/>
    <w:rsid w:val="00111B8E"/>
    <w:rsid w:val="00112A87"/>
    <w:rsid w:val="00113EB5"/>
    <w:rsid w:val="00116AF1"/>
    <w:rsid w:val="001203D9"/>
    <w:rsid w:val="0012061D"/>
    <w:rsid w:val="00121DCE"/>
    <w:rsid w:val="001241BE"/>
    <w:rsid w:val="00135A3B"/>
    <w:rsid w:val="00137B90"/>
    <w:rsid w:val="00141FD4"/>
    <w:rsid w:val="00146F9E"/>
    <w:rsid w:val="0014747B"/>
    <w:rsid w:val="00150A89"/>
    <w:rsid w:val="00150CAF"/>
    <w:rsid w:val="001548A8"/>
    <w:rsid w:val="00154A9F"/>
    <w:rsid w:val="00156069"/>
    <w:rsid w:val="0016124C"/>
    <w:rsid w:val="001631C8"/>
    <w:rsid w:val="001847F8"/>
    <w:rsid w:val="00185929"/>
    <w:rsid w:val="001908B6"/>
    <w:rsid w:val="0019349B"/>
    <w:rsid w:val="001975E7"/>
    <w:rsid w:val="001A102A"/>
    <w:rsid w:val="001A1D6B"/>
    <w:rsid w:val="001A6E8B"/>
    <w:rsid w:val="001B05D4"/>
    <w:rsid w:val="001B0D0E"/>
    <w:rsid w:val="001B0EA8"/>
    <w:rsid w:val="001B2E6A"/>
    <w:rsid w:val="001B4DEB"/>
    <w:rsid w:val="001B5C31"/>
    <w:rsid w:val="001C2205"/>
    <w:rsid w:val="001C6AA3"/>
    <w:rsid w:val="001D06F8"/>
    <w:rsid w:val="001D3DB5"/>
    <w:rsid w:val="001E195F"/>
    <w:rsid w:val="001E24BD"/>
    <w:rsid w:val="001E4136"/>
    <w:rsid w:val="001E5322"/>
    <w:rsid w:val="00204B1C"/>
    <w:rsid w:val="00212849"/>
    <w:rsid w:val="00221BF9"/>
    <w:rsid w:val="00223F49"/>
    <w:rsid w:val="00232312"/>
    <w:rsid w:val="002334E3"/>
    <w:rsid w:val="00237326"/>
    <w:rsid w:val="00237D8F"/>
    <w:rsid w:val="0024057D"/>
    <w:rsid w:val="0024110A"/>
    <w:rsid w:val="00242AE2"/>
    <w:rsid w:val="00246C46"/>
    <w:rsid w:val="00257E72"/>
    <w:rsid w:val="0026073C"/>
    <w:rsid w:val="00264744"/>
    <w:rsid w:val="00271B0B"/>
    <w:rsid w:val="002753E2"/>
    <w:rsid w:val="00276B5D"/>
    <w:rsid w:val="00277BCC"/>
    <w:rsid w:val="0028212B"/>
    <w:rsid w:val="002822F0"/>
    <w:rsid w:val="00283599"/>
    <w:rsid w:val="00287ADA"/>
    <w:rsid w:val="00290E52"/>
    <w:rsid w:val="00294820"/>
    <w:rsid w:val="00297BC7"/>
    <w:rsid w:val="002A3324"/>
    <w:rsid w:val="002A3692"/>
    <w:rsid w:val="002A377A"/>
    <w:rsid w:val="002A6B7B"/>
    <w:rsid w:val="002B254D"/>
    <w:rsid w:val="002B31F2"/>
    <w:rsid w:val="002B3CE5"/>
    <w:rsid w:val="002B5D48"/>
    <w:rsid w:val="002C4B72"/>
    <w:rsid w:val="002C7EA9"/>
    <w:rsid w:val="002C7EE9"/>
    <w:rsid w:val="002D42D0"/>
    <w:rsid w:val="002F1842"/>
    <w:rsid w:val="002F4F97"/>
    <w:rsid w:val="002F65F2"/>
    <w:rsid w:val="00300939"/>
    <w:rsid w:val="00306627"/>
    <w:rsid w:val="00312FDC"/>
    <w:rsid w:val="00314430"/>
    <w:rsid w:val="0032228F"/>
    <w:rsid w:val="00325697"/>
    <w:rsid w:val="00325EFC"/>
    <w:rsid w:val="00326B67"/>
    <w:rsid w:val="0032722F"/>
    <w:rsid w:val="00331223"/>
    <w:rsid w:val="00336C07"/>
    <w:rsid w:val="003400E3"/>
    <w:rsid w:val="003411AD"/>
    <w:rsid w:val="00345DED"/>
    <w:rsid w:val="00351278"/>
    <w:rsid w:val="003641BA"/>
    <w:rsid w:val="00364882"/>
    <w:rsid w:val="003676B1"/>
    <w:rsid w:val="003677F1"/>
    <w:rsid w:val="00377075"/>
    <w:rsid w:val="00383C20"/>
    <w:rsid w:val="00384AA1"/>
    <w:rsid w:val="003852C7"/>
    <w:rsid w:val="003937D1"/>
    <w:rsid w:val="00396F6D"/>
    <w:rsid w:val="0039721A"/>
    <w:rsid w:val="003A00A2"/>
    <w:rsid w:val="003B3268"/>
    <w:rsid w:val="003B7DD0"/>
    <w:rsid w:val="003D1905"/>
    <w:rsid w:val="003D19CC"/>
    <w:rsid w:val="003E09D4"/>
    <w:rsid w:val="003E0A25"/>
    <w:rsid w:val="003E7C78"/>
    <w:rsid w:val="003F341D"/>
    <w:rsid w:val="004027A3"/>
    <w:rsid w:val="00404E6E"/>
    <w:rsid w:val="00406667"/>
    <w:rsid w:val="00414CFD"/>
    <w:rsid w:val="004170ED"/>
    <w:rsid w:val="004237AA"/>
    <w:rsid w:val="00427BE2"/>
    <w:rsid w:val="00447D2D"/>
    <w:rsid w:val="004541BC"/>
    <w:rsid w:val="004566AC"/>
    <w:rsid w:val="0046680B"/>
    <w:rsid w:val="004703B1"/>
    <w:rsid w:val="00472989"/>
    <w:rsid w:val="00477905"/>
    <w:rsid w:val="00483E8A"/>
    <w:rsid w:val="00484E54"/>
    <w:rsid w:val="0049081D"/>
    <w:rsid w:val="0049149C"/>
    <w:rsid w:val="0049315F"/>
    <w:rsid w:val="00493725"/>
    <w:rsid w:val="004943A8"/>
    <w:rsid w:val="004944E1"/>
    <w:rsid w:val="004962C7"/>
    <w:rsid w:val="00496D27"/>
    <w:rsid w:val="00497002"/>
    <w:rsid w:val="004979CE"/>
    <w:rsid w:val="004A11DC"/>
    <w:rsid w:val="004A2DD0"/>
    <w:rsid w:val="004A78AC"/>
    <w:rsid w:val="004B71C0"/>
    <w:rsid w:val="004C23D7"/>
    <w:rsid w:val="004D3D40"/>
    <w:rsid w:val="004D4A04"/>
    <w:rsid w:val="004D7537"/>
    <w:rsid w:val="004D76F7"/>
    <w:rsid w:val="004E0793"/>
    <w:rsid w:val="00512853"/>
    <w:rsid w:val="005131A8"/>
    <w:rsid w:val="00516511"/>
    <w:rsid w:val="00517A75"/>
    <w:rsid w:val="00517E8B"/>
    <w:rsid w:val="00526521"/>
    <w:rsid w:val="005274B7"/>
    <w:rsid w:val="005320EE"/>
    <w:rsid w:val="005376B3"/>
    <w:rsid w:val="00537A6B"/>
    <w:rsid w:val="00541B07"/>
    <w:rsid w:val="00545155"/>
    <w:rsid w:val="005518B6"/>
    <w:rsid w:val="005572AB"/>
    <w:rsid w:val="00557C9A"/>
    <w:rsid w:val="005638BA"/>
    <w:rsid w:val="00563D8E"/>
    <w:rsid w:val="00564363"/>
    <w:rsid w:val="00565152"/>
    <w:rsid w:val="005670EF"/>
    <w:rsid w:val="005679EF"/>
    <w:rsid w:val="00571036"/>
    <w:rsid w:val="00574647"/>
    <w:rsid w:val="005923D9"/>
    <w:rsid w:val="00592D65"/>
    <w:rsid w:val="00595A78"/>
    <w:rsid w:val="00596B30"/>
    <w:rsid w:val="005A1505"/>
    <w:rsid w:val="005A2E53"/>
    <w:rsid w:val="005A65B4"/>
    <w:rsid w:val="005B1793"/>
    <w:rsid w:val="005B4A5F"/>
    <w:rsid w:val="005C1CCA"/>
    <w:rsid w:val="005C54A9"/>
    <w:rsid w:val="005C5E99"/>
    <w:rsid w:val="005D4060"/>
    <w:rsid w:val="005D5CB8"/>
    <w:rsid w:val="005D7E51"/>
    <w:rsid w:val="005E05FD"/>
    <w:rsid w:val="005E0F50"/>
    <w:rsid w:val="005E6007"/>
    <w:rsid w:val="005F0937"/>
    <w:rsid w:val="005F42BE"/>
    <w:rsid w:val="005F4EC3"/>
    <w:rsid w:val="0060610B"/>
    <w:rsid w:val="00611E16"/>
    <w:rsid w:val="00613192"/>
    <w:rsid w:val="006168D6"/>
    <w:rsid w:val="00617CAC"/>
    <w:rsid w:val="00625D8E"/>
    <w:rsid w:val="006274D8"/>
    <w:rsid w:val="00631C40"/>
    <w:rsid w:val="00637459"/>
    <w:rsid w:val="00640F1D"/>
    <w:rsid w:val="00641085"/>
    <w:rsid w:val="00653747"/>
    <w:rsid w:val="00670D4E"/>
    <w:rsid w:val="00675331"/>
    <w:rsid w:val="006754CA"/>
    <w:rsid w:val="00680018"/>
    <w:rsid w:val="00681788"/>
    <w:rsid w:val="006877F6"/>
    <w:rsid w:val="00691548"/>
    <w:rsid w:val="006A01F4"/>
    <w:rsid w:val="006A3D8C"/>
    <w:rsid w:val="006C2002"/>
    <w:rsid w:val="006D0257"/>
    <w:rsid w:val="006D0BFA"/>
    <w:rsid w:val="006D2DDC"/>
    <w:rsid w:val="006D31A8"/>
    <w:rsid w:val="006D672A"/>
    <w:rsid w:val="006D7861"/>
    <w:rsid w:val="006E16A0"/>
    <w:rsid w:val="006E4BE4"/>
    <w:rsid w:val="006E4E84"/>
    <w:rsid w:val="006F1D13"/>
    <w:rsid w:val="006F523F"/>
    <w:rsid w:val="00706776"/>
    <w:rsid w:val="00712373"/>
    <w:rsid w:val="007212F4"/>
    <w:rsid w:val="00721F05"/>
    <w:rsid w:val="007337E6"/>
    <w:rsid w:val="00737F2F"/>
    <w:rsid w:val="007574EA"/>
    <w:rsid w:val="007622DE"/>
    <w:rsid w:val="00762342"/>
    <w:rsid w:val="007638BA"/>
    <w:rsid w:val="00765BA7"/>
    <w:rsid w:val="007702E9"/>
    <w:rsid w:val="0077034D"/>
    <w:rsid w:val="007710AB"/>
    <w:rsid w:val="00776ED2"/>
    <w:rsid w:val="007775FA"/>
    <w:rsid w:val="007806FC"/>
    <w:rsid w:val="00782E14"/>
    <w:rsid w:val="00782E72"/>
    <w:rsid w:val="007941F2"/>
    <w:rsid w:val="00797F15"/>
    <w:rsid w:val="007A0234"/>
    <w:rsid w:val="007A2541"/>
    <w:rsid w:val="007A782C"/>
    <w:rsid w:val="007B054B"/>
    <w:rsid w:val="007B50E7"/>
    <w:rsid w:val="007C13D2"/>
    <w:rsid w:val="007C146E"/>
    <w:rsid w:val="007D1BAC"/>
    <w:rsid w:val="007D46B3"/>
    <w:rsid w:val="007D6EAB"/>
    <w:rsid w:val="007D7918"/>
    <w:rsid w:val="007E1118"/>
    <w:rsid w:val="007E21A7"/>
    <w:rsid w:val="007E2E4C"/>
    <w:rsid w:val="007E42AE"/>
    <w:rsid w:val="007E75A5"/>
    <w:rsid w:val="007F6601"/>
    <w:rsid w:val="0081356E"/>
    <w:rsid w:val="008143C4"/>
    <w:rsid w:val="00817B07"/>
    <w:rsid w:val="008202B3"/>
    <w:rsid w:val="008239E5"/>
    <w:rsid w:val="008241B2"/>
    <w:rsid w:val="00827AB5"/>
    <w:rsid w:val="008421F4"/>
    <w:rsid w:val="00844D83"/>
    <w:rsid w:val="00850A07"/>
    <w:rsid w:val="008558B0"/>
    <w:rsid w:val="00857A05"/>
    <w:rsid w:val="00866AC9"/>
    <w:rsid w:val="00873678"/>
    <w:rsid w:val="008758E0"/>
    <w:rsid w:val="008804BA"/>
    <w:rsid w:val="00882639"/>
    <w:rsid w:val="00887935"/>
    <w:rsid w:val="00893603"/>
    <w:rsid w:val="00896A15"/>
    <w:rsid w:val="00897238"/>
    <w:rsid w:val="008A33CA"/>
    <w:rsid w:val="008A6D69"/>
    <w:rsid w:val="008A7868"/>
    <w:rsid w:val="008B10FD"/>
    <w:rsid w:val="008B2667"/>
    <w:rsid w:val="008B453A"/>
    <w:rsid w:val="008B4BFF"/>
    <w:rsid w:val="008B52A1"/>
    <w:rsid w:val="008C1515"/>
    <w:rsid w:val="008C27CF"/>
    <w:rsid w:val="008C6AFB"/>
    <w:rsid w:val="008D494B"/>
    <w:rsid w:val="008D52B5"/>
    <w:rsid w:val="008E1108"/>
    <w:rsid w:val="008E3738"/>
    <w:rsid w:val="008F2B8D"/>
    <w:rsid w:val="008F5333"/>
    <w:rsid w:val="008F655D"/>
    <w:rsid w:val="0090079C"/>
    <w:rsid w:val="00906782"/>
    <w:rsid w:val="009073B7"/>
    <w:rsid w:val="00907AE4"/>
    <w:rsid w:val="00916214"/>
    <w:rsid w:val="009220CF"/>
    <w:rsid w:val="00924982"/>
    <w:rsid w:val="00925207"/>
    <w:rsid w:val="00925806"/>
    <w:rsid w:val="0092729D"/>
    <w:rsid w:val="00930A10"/>
    <w:rsid w:val="00941FB7"/>
    <w:rsid w:val="0094214C"/>
    <w:rsid w:val="00944C50"/>
    <w:rsid w:val="00951634"/>
    <w:rsid w:val="00951A7A"/>
    <w:rsid w:val="00952F97"/>
    <w:rsid w:val="00953C69"/>
    <w:rsid w:val="009605D4"/>
    <w:rsid w:val="009626D9"/>
    <w:rsid w:val="00963015"/>
    <w:rsid w:val="00967258"/>
    <w:rsid w:val="00972F6F"/>
    <w:rsid w:val="009804DB"/>
    <w:rsid w:val="0098616A"/>
    <w:rsid w:val="00993CB1"/>
    <w:rsid w:val="009A10F7"/>
    <w:rsid w:val="009A4C65"/>
    <w:rsid w:val="009B0A2D"/>
    <w:rsid w:val="009B309E"/>
    <w:rsid w:val="009B49D9"/>
    <w:rsid w:val="009C2013"/>
    <w:rsid w:val="009C3F30"/>
    <w:rsid w:val="009C4AD7"/>
    <w:rsid w:val="009C4BA5"/>
    <w:rsid w:val="009C7A21"/>
    <w:rsid w:val="009D45ED"/>
    <w:rsid w:val="009D74C3"/>
    <w:rsid w:val="009E3B38"/>
    <w:rsid w:val="009F35DA"/>
    <w:rsid w:val="00A166C9"/>
    <w:rsid w:val="00A339CD"/>
    <w:rsid w:val="00A35F62"/>
    <w:rsid w:val="00A45EAA"/>
    <w:rsid w:val="00A50C2F"/>
    <w:rsid w:val="00A530B5"/>
    <w:rsid w:val="00A53F91"/>
    <w:rsid w:val="00A563E5"/>
    <w:rsid w:val="00A57911"/>
    <w:rsid w:val="00A61F23"/>
    <w:rsid w:val="00A64D7C"/>
    <w:rsid w:val="00A670CC"/>
    <w:rsid w:val="00A750CF"/>
    <w:rsid w:val="00A8228B"/>
    <w:rsid w:val="00A822B7"/>
    <w:rsid w:val="00A82BCE"/>
    <w:rsid w:val="00A82C93"/>
    <w:rsid w:val="00A87BEE"/>
    <w:rsid w:val="00A92D4C"/>
    <w:rsid w:val="00A97019"/>
    <w:rsid w:val="00AA1BAE"/>
    <w:rsid w:val="00AA5D57"/>
    <w:rsid w:val="00AB0F9F"/>
    <w:rsid w:val="00AB4100"/>
    <w:rsid w:val="00AC230E"/>
    <w:rsid w:val="00AC2EA4"/>
    <w:rsid w:val="00AC36DC"/>
    <w:rsid w:val="00AD3E1F"/>
    <w:rsid w:val="00AE056D"/>
    <w:rsid w:val="00AE1F37"/>
    <w:rsid w:val="00AE483F"/>
    <w:rsid w:val="00AE4D91"/>
    <w:rsid w:val="00AE5950"/>
    <w:rsid w:val="00AE5D8E"/>
    <w:rsid w:val="00AE637D"/>
    <w:rsid w:val="00B03A84"/>
    <w:rsid w:val="00B04382"/>
    <w:rsid w:val="00B07803"/>
    <w:rsid w:val="00B16D74"/>
    <w:rsid w:val="00B24103"/>
    <w:rsid w:val="00B35B0A"/>
    <w:rsid w:val="00B41F3C"/>
    <w:rsid w:val="00B43284"/>
    <w:rsid w:val="00B44BA3"/>
    <w:rsid w:val="00B47CAB"/>
    <w:rsid w:val="00B50E0A"/>
    <w:rsid w:val="00B604DA"/>
    <w:rsid w:val="00B73EE7"/>
    <w:rsid w:val="00B7401A"/>
    <w:rsid w:val="00B74F0C"/>
    <w:rsid w:val="00B75862"/>
    <w:rsid w:val="00B82F3E"/>
    <w:rsid w:val="00B85FF1"/>
    <w:rsid w:val="00B870C7"/>
    <w:rsid w:val="00B9085F"/>
    <w:rsid w:val="00B912FB"/>
    <w:rsid w:val="00B91D3A"/>
    <w:rsid w:val="00B944AD"/>
    <w:rsid w:val="00B96E79"/>
    <w:rsid w:val="00BA14CF"/>
    <w:rsid w:val="00BA3063"/>
    <w:rsid w:val="00BA312A"/>
    <w:rsid w:val="00BA5FFE"/>
    <w:rsid w:val="00BA7281"/>
    <w:rsid w:val="00BA7409"/>
    <w:rsid w:val="00BA7511"/>
    <w:rsid w:val="00BB266B"/>
    <w:rsid w:val="00BB70C1"/>
    <w:rsid w:val="00BC0B7B"/>
    <w:rsid w:val="00BC3451"/>
    <w:rsid w:val="00BC4234"/>
    <w:rsid w:val="00BC6989"/>
    <w:rsid w:val="00BD44D9"/>
    <w:rsid w:val="00BD59C1"/>
    <w:rsid w:val="00BD624A"/>
    <w:rsid w:val="00BD739C"/>
    <w:rsid w:val="00BE587F"/>
    <w:rsid w:val="00BF1CC6"/>
    <w:rsid w:val="00BF2AD9"/>
    <w:rsid w:val="00BF2E1A"/>
    <w:rsid w:val="00BF3430"/>
    <w:rsid w:val="00BF71FD"/>
    <w:rsid w:val="00BF7D20"/>
    <w:rsid w:val="00C041CB"/>
    <w:rsid w:val="00C06702"/>
    <w:rsid w:val="00C074DC"/>
    <w:rsid w:val="00C1279F"/>
    <w:rsid w:val="00C1553B"/>
    <w:rsid w:val="00C16AB8"/>
    <w:rsid w:val="00C25C25"/>
    <w:rsid w:val="00C2602F"/>
    <w:rsid w:val="00C270FF"/>
    <w:rsid w:val="00C30D48"/>
    <w:rsid w:val="00C32330"/>
    <w:rsid w:val="00C3348F"/>
    <w:rsid w:val="00C347B1"/>
    <w:rsid w:val="00C34E66"/>
    <w:rsid w:val="00C36A7E"/>
    <w:rsid w:val="00C40213"/>
    <w:rsid w:val="00C40FF9"/>
    <w:rsid w:val="00C50A4E"/>
    <w:rsid w:val="00C50B4D"/>
    <w:rsid w:val="00C51FFA"/>
    <w:rsid w:val="00C52A12"/>
    <w:rsid w:val="00C62581"/>
    <w:rsid w:val="00C62EFA"/>
    <w:rsid w:val="00C64902"/>
    <w:rsid w:val="00C64A48"/>
    <w:rsid w:val="00C66D2D"/>
    <w:rsid w:val="00C7173A"/>
    <w:rsid w:val="00C75A2D"/>
    <w:rsid w:val="00C76A1C"/>
    <w:rsid w:val="00C82EAC"/>
    <w:rsid w:val="00C85B78"/>
    <w:rsid w:val="00C86767"/>
    <w:rsid w:val="00C917FD"/>
    <w:rsid w:val="00C97244"/>
    <w:rsid w:val="00CA0B67"/>
    <w:rsid w:val="00CA4180"/>
    <w:rsid w:val="00CA4924"/>
    <w:rsid w:val="00CA5A53"/>
    <w:rsid w:val="00CA769E"/>
    <w:rsid w:val="00CB09C0"/>
    <w:rsid w:val="00CB1713"/>
    <w:rsid w:val="00CB4FD4"/>
    <w:rsid w:val="00CC0CD8"/>
    <w:rsid w:val="00CC21B7"/>
    <w:rsid w:val="00CC5F5F"/>
    <w:rsid w:val="00CC6BEF"/>
    <w:rsid w:val="00CD353C"/>
    <w:rsid w:val="00CD399C"/>
    <w:rsid w:val="00CD443D"/>
    <w:rsid w:val="00CD549E"/>
    <w:rsid w:val="00CE14E5"/>
    <w:rsid w:val="00CE6181"/>
    <w:rsid w:val="00CE6AE1"/>
    <w:rsid w:val="00CE715D"/>
    <w:rsid w:val="00CF093D"/>
    <w:rsid w:val="00CF18B3"/>
    <w:rsid w:val="00CF79C6"/>
    <w:rsid w:val="00D03DAA"/>
    <w:rsid w:val="00D05318"/>
    <w:rsid w:val="00D054DC"/>
    <w:rsid w:val="00D05950"/>
    <w:rsid w:val="00D07D8F"/>
    <w:rsid w:val="00D1213C"/>
    <w:rsid w:val="00D24792"/>
    <w:rsid w:val="00D24860"/>
    <w:rsid w:val="00D30B11"/>
    <w:rsid w:val="00D35311"/>
    <w:rsid w:val="00D3684E"/>
    <w:rsid w:val="00D378C9"/>
    <w:rsid w:val="00D41459"/>
    <w:rsid w:val="00D41C70"/>
    <w:rsid w:val="00D472FA"/>
    <w:rsid w:val="00D547DB"/>
    <w:rsid w:val="00D559B9"/>
    <w:rsid w:val="00D61252"/>
    <w:rsid w:val="00D629BF"/>
    <w:rsid w:val="00D7578B"/>
    <w:rsid w:val="00D861A0"/>
    <w:rsid w:val="00D86B24"/>
    <w:rsid w:val="00D9004D"/>
    <w:rsid w:val="00D9125B"/>
    <w:rsid w:val="00D97B1A"/>
    <w:rsid w:val="00DA128F"/>
    <w:rsid w:val="00DA1D2A"/>
    <w:rsid w:val="00DA59E9"/>
    <w:rsid w:val="00DB3A3A"/>
    <w:rsid w:val="00DB5F62"/>
    <w:rsid w:val="00DB727C"/>
    <w:rsid w:val="00DB7C3A"/>
    <w:rsid w:val="00DC7CAD"/>
    <w:rsid w:val="00DE071A"/>
    <w:rsid w:val="00DE0912"/>
    <w:rsid w:val="00DE5AD2"/>
    <w:rsid w:val="00DF591F"/>
    <w:rsid w:val="00E0064C"/>
    <w:rsid w:val="00E129ED"/>
    <w:rsid w:val="00E2126A"/>
    <w:rsid w:val="00E2542D"/>
    <w:rsid w:val="00E32F09"/>
    <w:rsid w:val="00E3397B"/>
    <w:rsid w:val="00E34753"/>
    <w:rsid w:val="00E42AF6"/>
    <w:rsid w:val="00E4305B"/>
    <w:rsid w:val="00E45D3C"/>
    <w:rsid w:val="00E56DE1"/>
    <w:rsid w:val="00E60EF6"/>
    <w:rsid w:val="00E6506C"/>
    <w:rsid w:val="00E66C4C"/>
    <w:rsid w:val="00E67F33"/>
    <w:rsid w:val="00E700AC"/>
    <w:rsid w:val="00E72EB5"/>
    <w:rsid w:val="00E75E30"/>
    <w:rsid w:val="00E83C2B"/>
    <w:rsid w:val="00E8563E"/>
    <w:rsid w:val="00E92D87"/>
    <w:rsid w:val="00E95F3E"/>
    <w:rsid w:val="00E97E1F"/>
    <w:rsid w:val="00EB48C6"/>
    <w:rsid w:val="00EC009D"/>
    <w:rsid w:val="00EC06DF"/>
    <w:rsid w:val="00EC24D6"/>
    <w:rsid w:val="00ED0D89"/>
    <w:rsid w:val="00ED4924"/>
    <w:rsid w:val="00ED609C"/>
    <w:rsid w:val="00EE1FEA"/>
    <w:rsid w:val="00EE6AC3"/>
    <w:rsid w:val="00F0147E"/>
    <w:rsid w:val="00F05C14"/>
    <w:rsid w:val="00F073B4"/>
    <w:rsid w:val="00F1159C"/>
    <w:rsid w:val="00F121C0"/>
    <w:rsid w:val="00F26F5E"/>
    <w:rsid w:val="00F2716C"/>
    <w:rsid w:val="00F31FC6"/>
    <w:rsid w:val="00F47E4A"/>
    <w:rsid w:val="00F50FE7"/>
    <w:rsid w:val="00F64F11"/>
    <w:rsid w:val="00F70A9E"/>
    <w:rsid w:val="00F800B5"/>
    <w:rsid w:val="00F81259"/>
    <w:rsid w:val="00F819F5"/>
    <w:rsid w:val="00F863DE"/>
    <w:rsid w:val="00F872EB"/>
    <w:rsid w:val="00F87383"/>
    <w:rsid w:val="00F90DA7"/>
    <w:rsid w:val="00F922BF"/>
    <w:rsid w:val="00F95056"/>
    <w:rsid w:val="00FA2C46"/>
    <w:rsid w:val="00FB3868"/>
    <w:rsid w:val="00FB4ED4"/>
    <w:rsid w:val="00FB5592"/>
    <w:rsid w:val="00FC2907"/>
    <w:rsid w:val="00FD0CA1"/>
    <w:rsid w:val="00FD34A4"/>
    <w:rsid w:val="00FE19D8"/>
    <w:rsid w:val="00FE1A1D"/>
    <w:rsid w:val="00FE75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84E3E58-8350-4535-A1B7-477C9898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8F"/>
    <w:rPr>
      <w:lang w:val="pt-BR"/>
    </w:rPr>
  </w:style>
  <w:style w:type="paragraph" w:styleId="Ttulo1">
    <w:name w:val="heading 1"/>
    <w:basedOn w:val="Normal"/>
    <w:next w:val="Normal"/>
    <w:link w:val="Ttulo1Char"/>
    <w:uiPriority w:val="9"/>
    <w:qFormat/>
    <w:rsid w:val="002F184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F1842"/>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F18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4902"/>
    <w:pPr>
      <w:ind w:left="720"/>
      <w:contextualSpacing/>
    </w:pPr>
  </w:style>
  <w:style w:type="paragraph" w:styleId="Ttulo">
    <w:name w:val="Title"/>
    <w:basedOn w:val="Normal"/>
    <w:next w:val="Normal"/>
    <w:link w:val="TtuloChar"/>
    <w:uiPriority w:val="10"/>
    <w:qFormat/>
    <w:rsid w:val="009A4C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9A4C65"/>
    <w:rPr>
      <w:rFonts w:asciiTheme="majorHAnsi" w:eastAsiaTheme="majorEastAsia" w:hAnsiTheme="majorHAnsi" w:cstheme="majorBidi"/>
      <w:color w:val="17365D" w:themeColor="text2" w:themeShade="BF"/>
      <w:spacing w:val="5"/>
      <w:kern w:val="28"/>
      <w:sz w:val="52"/>
      <w:szCs w:val="52"/>
    </w:rPr>
  </w:style>
  <w:style w:type="character" w:customStyle="1" w:styleId="Ttulo1Char">
    <w:name w:val="Título 1 Char"/>
    <w:basedOn w:val="Fontepargpadro"/>
    <w:link w:val="Ttulo1"/>
    <w:uiPriority w:val="9"/>
    <w:rsid w:val="002F1842"/>
    <w:rPr>
      <w:rFonts w:asciiTheme="majorHAnsi" w:eastAsiaTheme="majorEastAsia" w:hAnsiTheme="majorHAnsi" w:cstheme="majorBidi"/>
      <w:b/>
      <w:bCs/>
      <w:color w:val="365F91" w:themeColor="accent1" w:themeShade="BF"/>
      <w:sz w:val="28"/>
      <w:szCs w:val="28"/>
      <w:lang w:val="pt-BR"/>
    </w:rPr>
  </w:style>
  <w:style w:type="character" w:customStyle="1" w:styleId="Ttulo2Char">
    <w:name w:val="Título 2 Char"/>
    <w:basedOn w:val="Fontepargpadro"/>
    <w:link w:val="Ttulo2"/>
    <w:uiPriority w:val="9"/>
    <w:rsid w:val="002F1842"/>
    <w:rPr>
      <w:rFonts w:asciiTheme="majorHAnsi" w:eastAsiaTheme="majorEastAsia" w:hAnsiTheme="majorHAnsi" w:cstheme="majorBidi"/>
      <w:b/>
      <w:bCs/>
      <w:color w:val="4F81BD" w:themeColor="accent1"/>
      <w:sz w:val="26"/>
      <w:szCs w:val="26"/>
      <w:lang w:val="pt-BR"/>
    </w:rPr>
  </w:style>
  <w:style w:type="character" w:customStyle="1" w:styleId="Ttulo3Char">
    <w:name w:val="Título 3 Char"/>
    <w:basedOn w:val="Fontepargpadro"/>
    <w:link w:val="Ttulo3"/>
    <w:uiPriority w:val="9"/>
    <w:rsid w:val="002F1842"/>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semiHidden/>
    <w:unhideWhenUsed/>
    <w:qFormat/>
    <w:rsid w:val="00FB5592"/>
    <w:pPr>
      <w:numPr>
        <w:numId w:val="0"/>
      </w:numPr>
      <w:outlineLvl w:val="9"/>
    </w:pPr>
    <w:rPr>
      <w:lang w:eastAsia="ja-JP"/>
    </w:rPr>
  </w:style>
  <w:style w:type="paragraph" w:styleId="Sumrio1">
    <w:name w:val="toc 1"/>
    <w:basedOn w:val="Normal"/>
    <w:next w:val="Normal"/>
    <w:autoRedefine/>
    <w:uiPriority w:val="39"/>
    <w:unhideWhenUsed/>
    <w:rsid w:val="00FB5592"/>
    <w:pPr>
      <w:spacing w:after="100"/>
    </w:pPr>
  </w:style>
  <w:style w:type="paragraph" w:styleId="Sumrio2">
    <w:name w:val="toc 2"/>
    <w:basedOn w:val="Normal"/>
    <w:next w:val="Normal"/>
    <w:autoRedefine/>
    <w:uiPriority w:val="39"/>
    <w:unhideWhenUsed/>
    <w:rsid w:val="00FB5592"/>
    <w:pPr>
      <w:spacing w:after="100"/>
      <w:ind w:left="220"/>
    </w:pPr>
  </w:style>
  <w:style w:type="paragraph" w:styleId="Sumrio3">
    <w:name w:val="toc 3"/>
    <w:basedOn w:val="Normal"/>
    <w:next w:val="Normal"/>
    <w:autoRedefine/>
    <w:uiPriority w:val="39"/>
    <w:unhideWhenUsed/>
    <w:rsid w:val="00FB5592"/>
    <w:pPr>
      <w:spacing w:after="100"/>
      <w:ind w:left="440"/>
    </w:pPr>
  </w:style>
  <w:style w:type="character" w:styleId="Hyperlink">
    <w:name w:val="Hyperlink"/>
    <w:basedOn w:val="Fontepargpadro"/>
    <w:uiPriority w:val="99"/>
    <w:unhideWhenUsed/>
    <w:rsid w:val="00FB5592"/>
    <w:rPr>
      <w:color w:val="0000FF" w:themeColor="hyperlink"/>
      <w:u w:val="single"/>
    </w:rPr>
  </w:style>
  <w:style w:type="paragraph" w:styleId="Textodebalo">
    <w:name w:val="Balloon Text"/>
    <w:basedOn w:val="Normal"/>
    <w:link w:val="TextodebaloChar"/>
    <w:uiPriority w:val="99"/>
    <w:semiHidden/>
    <w:unhideWhenUsed/>
    <w:rsid w:val="00FB55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5592"/>
    <w:rPr>
      <w:rFonts w:ascii="Tahoma" w:hAnsi="Tahoma" w:cs="Tahoma"/>
      <w:sz w:val="16"/>
      <w:szCs w:val="16"/>
    </w:rPr>
  </w:style>
  <w:style w:type="paragraph" w:styleId="Textodenotaderodap">
    <w:name w:val="footnote text"/>
    <w:aliases w:val="fn,foottextfra,footnote,F,Texto nota pie Car Car,Footnote Text Char1 Char,Footnote Text Char Char Char,Footnote Text Char Char Char Char Char Char,Footnote Text Char,ADB,Footnote Text Char Char Char Char Char Char Char"/>
    <w:basedOn w:val="Normal"/>
    <w:link w:val="TextodenotaderodapChar"/>
    <w:uiPriority w:val="99"/>
    <w:rsid w:val="00404E6E"/>
    <w:pPr>
      <w:spacing w:after="0" w:line="240" w:lineRule="auto"/>
    </w:pPr>
    <w:rPr>
      <w:rFonts w:ascii="Times New Roman" w:eastAsia="Times New Roman" w:hAnsi="Times New Roman" w:cs="Times New Roman"/>
      <w:sz w:val="24"/>
      <w:szCs w:val="24"/>
      <w:lang w:val="es-ES"/>
    </w:rPr>
  </w:style>
  <w:style w:type="character" w:customStyle="1" w:styleId="TextodenotaderodapChar">
    <w:name w:val="Texto de nota de rodapé Char"/>
    <w:aliases w:val="fn Char,foottextfra Char,footnote Char,F Char,Texto nota pie Car Car Char,Footnote Text Char1 Char Char,Footnote Text Char Char Char Char,Footnote Text Char Char Char Char Char Char Char1,Footnote Text Char Char,ADB Char"/>
    <w:basedOn w:val="Fontepargpadro"/>
    <w:link w:val="Textodenotaderodap"/>
    <w:uiPriority w:val="99"/>
    <w:rsid w:val="00404E6E"/>
    <w:rPr>
      <w:rFonts w:ascii="Times New Roman" w:eastAsia="Times New Roman" w:hAnsi="Times New Roman" w:cs="Times New Roman"/>
      <w:sz w:val="24"/>
      <w:szCs w:val="24"/>
      <w:lang w:val="es-ES"/>
    </w:rPr>
  </w:style>
  <w:style w:type="character" w:styleId="Refdenotaderodap">
    <w:name w:val="footnote reference"/>
    <w:aliases w:val="FC,ftref,16 Point,Superscript 6 Point"/>
    <w:uiPriority w:val="99"/>
    <w:rsid w:val="00404E6E"/>
    <w:rPr>
      <w:vertAlign w:val="superscript"/>
    </w:rPr>
  </w:style>
  <w:style w:type="table" w:styleId="Tabelacomgrade">
    <w:name w:val="Table Grid"/>
    <w:basedOn w:val="Tabelanormal"/>
    <w:uiPriority w:val="59"/>
    <w:rsid w:val="009D45E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B52A1"/>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8B52A1"/>
  </w:style>
  <w:style w:type="paragraph" w:styleId="Rodap">
    <w:name w:val="footer"/>
    <w:basedOn w:val="Normal"/>
    <w:link w:val="RodapChar"/>
    <w:uiPriority w:val="99"/>
    <w:unhideWhenUsed/>
    <w:rsid w:val="008B52A1"/>
    <w:pPr>
      <w:tabs>
        <w:tab w:val="center" w:pos="4680"/>
        <w:tab w:val="right" w:pos="9360"/>
      </w:tabs>
      <w:spacing w:after="0" w:line="240" w:lineRule="auto"/>
    </w:pPr>
  </w:style>
  <w:style w:type="character" w:customStyle="1" w:styleId="RodapChar">
    <w:name w:val="Rodapé Char"/>
    <w:basedOn w:val="Fontepargpadro"/>
    <w:link w:val="Rodap"/>
    <w:uiPriority w:val="99"/>
    <w:rsid w:val="008B52A1"/>
  </w:style>
  <w:style w:type="paragraph" w:styleId="MapadoDocumento">
    <w:name w:val="Document Map"/>
    <w:basedOn w:val="Normal"/>
    <w:link w:val="MapadoDocumentoChar"/>
    <w:uiPriority w:val="99"/>
    <w:semiHidden/>
    <w:unhideWhenUsed/>
    <w:rsid w:val="00107D53"/>
    <w:pPr>
      <w:spacing w:after="0" w:line="240" w:lineRule="auto"/>
    </w:pPr>
    <w:rPr>
      <w:rFonts w:ascii="Lucida Grande" w:hAnsi="Lucida Grande" w:cs="Lucida Grande"/>
      <w:sz w:val="24"/>
      <w:szCs w:val="24"/>
    </w:rPr>
  </w:style>
  <w:style w:type="character" w:customStyle="1" w:styleId="MapadoDocumentoChar">
    <w:name w:val="Mapa do Documento Char"/>
    <w:basedOn w:val="Fontepargpadro"/>
    <w:link w:val="MapadoDocumento"/>
    <w:uiPriority w:val="99"/>
    <w:semiHidden/>
    <w:rsid w:val="00107D53"/>
    <w:rPr>
      <w:rFonts w:ascii="Lucida Grande" w:hAnsi="Lucida Grande" w:cs="Lucida Grande"/>
      <w:sz w:val="24"/>
      <w:szCs w:val="24"/>
    </w:rPr>
  </w:style>
  <w:style w:type="character" w:styleId="nfaseSutil">
    <w:name w:val="Subtle Emphasis"/>
    <w:basedOn w:val="Fontepargpadro"/>
    <w:uiPriority w:val="19"/>
    <w:qFormat/>
    <w:rsid w:val="00C50B4D"/>
    <w:rPr>
      <w:i/>
      <w:iCs/>
      <w:color w:val="808080" w:themeColor="text1" w:themeTint="7F"/>
    </w:rPr>
  </w:style>
  <w:style w:type="paragraph" w:customStyle="1" w:styleId="Default">
    <w:name w:val="Default"/>
    <w:rsid w:val="00925806"/>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Reviso">
    <w:name w:val="Revision"/>
    <w:hidden/>
    <w:uiPriority w:val="99"/>
    <w:semiHidden/>
    <w:rsid w:val="001B0EA8"/>
    <w:pPr>
      <w:spacing w:after="0" w:line="240" w:lineRule="auto"/>
    </w:pPr>
  </w:style>
  <w:style w:type="character" w:customStyle="1" w:styleId="hps">
    <w:name w:val="hps"/>
    <w:basedOn w:val="Fontepargpadro"/>
    <w:rsid w:val="007D46B3"/>
  </w:style>
  <w:style w:type="character" w:customStyle="1" w:styleId="atn">
    <w:name w:val="atn"/>
    <w:basedOn w:val="Fontepargpadro"/>
    <w:rsid w:val="007D46B3"/>
  </w:style>
  <w:style w:type="paragraph" w:customStyle="1" w:styleId="Paragraph">
    <w:name w:val="Paragraph"/>
    <w:basedOn w:val="Recuodecorpodetexto"/>
    <w:link w:val="ParagraphChar"/>
    <w:rsid w:val="00571036"/>
    <w:pPr>
      <w:numPr>
        <w:ilvl w:val="1"/>
        <w:numId w:val="5"/>
      </w:numPr>
      <w:tabs>
        <w:tab w:val="left" w:pos="720"/>
      </w:tabs>
      <w:spacing w:before="120" w:line="240" w:lineRule="auto"/>
      <w:jc w:val="both"/>
      <w:outlineLvl w:val="1"/>
    </w:pPr>
    <w:rPr>
      <w:rFonts w:ascii="Times New Roman" w:eastAsia="Times New Roman" w:hAnsi="Times New Roman" w:cs="Times New Roman"/>
      <w:sz w:val="24"/>
      <w:szCs w:val="20"/>
      <w:lang w:val="es-ES"/>
    </w:rPr>
  </w:style>
  <w:style w:type="paragraph" w:styleId="Recuodecorpodetexto">
    <w:name w:val="Body Text Indent"/>
    <w:basedOn w:val="Normal"/>
    <w:link w:val="RecuodecorpodetextoChar"/>
    <w:uiPriority w:val="99"/>
    <w:semiHidden/>
    <w:unhideWhenUsed/>
    <w:rsid w:val="00571036"/>
    <w:pPr>
      <w:spacing w:after="120"/>
      <w:ind w:left="283"/>
    </w:pPr>
  </w:style>
  <w:style w:type="character" w:customStyle="1" w:styleId="RecuodecorpodetextoChar">
    <w:name w:val="Recuo de corpo de texto Char"/>
    <w:basedOn w:val="Fontepargpadro"/>
    <w:link w:val="Recuodecorpodetexto"/>
    <w:uiPriority w:val="99"/>
    <w:semiHidden/>
    <w:rsid w:val="00571036"/>
  </w:style>
  <w:style w:type="paragraph" w:customStyle="1" w:styleId="Chapter">
    <w:name w:val="Chapter"/>
    <w:basedOn w:val="Normal"/>
    <w:next w:val="Normal"/>
    <w:autoRedefine/>
    <w:rsid w:val="00721F05"/>
    <w:pPr>
      <w:numPr>
        <w:numId w:val="10"/>
      </w:numPr>
      <w:tabs>
        <w:tab w:val="left" w:pos="1440"/>
      </w:tabs>
      <w:spacing w:before="240" w:after="240" w:line="240" w:lineRule="auto"/>
      <w:jc w:val="center"/>
    </w:pPr>
    <w:rPr>
      <w:rFonts w:ascii="Times New Roman" w:eastAsia="Times New Roman" w:hAnsi="Times New Roman" w:cs="Times New Roman"/>
      <w:b/>
      <w:smallCaps/>
      <w:noProof/>
      <w:sz w:val="24"/>
      <w:szCs w:val="20"/>
      <w:lang w:val="pt-PT"/>
    </w:rPr>
  </w:style>
  <w:style w:type="paragraph" w:customStyle="1" w:styleId="subpar">
    <w:name w:val="subpar"/>
    <w:basedOn w:val="Recuodecorpodetexto3"/>
    <w:rsid w:val="00721F05"/>
    <w:pPr>
      <w:tabs>
        <w:tab w:val="num" w:pos="1152"/>
      </w:tabs>
      <w:spacing w:before="120" w:line="240" w:lineRule="auto"/>
      <w:ind w:left="1152" w:hanging="432"/>
      <w:jc w:val="both"/>
      <w:outlineLvl w:val="2"/>
    </w:pPr>
    <w:rPr>
      <w:rFonts w:ascii="Times New Roman" w:eastAsia="Times New Roman" w:hAnsi="Times New Roman" w:cs="Times New Roman"/>
      <w:sz w:val="24"/>
      <w:szCs w:val="20"/>
      <w:lang w:val="pt-PT"/>
    </w:rPr>
  </w:style>
  <w:style w:type="paragraph" w:customStyle="1" w:styleId="SubSubPar">
    <w:name w:val="SubSubPar"/>
    <w:basedOn w:val="subpar"/>
    <w:rsid w:val="00721F05"/>
    <w:pPr>
      <w:tabs>
        <w:tab w:val="clear" w:pos="1152"/>
        <w:tab w:val="left" w:pos="0"/>
        <w:tab w:val="num" w:pos="1584"/>
      </w:tabs>
      <w:ind w:left="1584" w:hanging="288"/>
    </w:pPr>
  </w:style>
  <w:style w:type="character" w:customStyle="1" w:styleId="ParagraphChar">
    <w:name w:val="Paragraph Char"/>
    <w:link w:val="Paragraph"/>
    <w:rsid w:val="00721F05"/>
    <w:rPr>
      <w:rFonts w:ascii="Times New Roman" w:eastAsia="Times New Roman" w:hAnsi="Times New Roman" w:cs="Times New Roman"/>
      <w:sz w:val="24"/>
      <w:szCs w:val="20"/>
      <w:lang w:val="es-ES"/>
    </w:rPr>
  </w:style>
  <w:style w:type="paragraph" w:styleId="Recuodecorpodetexto3">
    <w:name w:val="Body Text Indent 3"/>
    <w:basedOn w:val="Normal"/>
    <w:link w:val="Recuodecorpodetexto3Char"/>
    <w:uiPriority w:val="99"/>
    <w:semiHidden/>
    <w:unhideWhenUsed/>
    <w:rsid w:val="00721F05"/>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721F05"/>
    <w:rPr>
      <w:sz w:val="16"/>
      <w:szCs w:val="16"/>
    </w:rPr>
  </w:style>
  <w:style w:type="paragraph" w:styleId="Corpodetexto2">
    <w:name w:val="Body Text 2"/>
    <w:basedOn w:val="Normal"/>
    <w:link w:val="Corpodetexto2Char"/>
    <w:uiPriority w:val="99"/>
    <w:semiHidden/>
    <w:unhideWhenUsed/>
    <w:rsid w:val="004E0793"/>
    <w:pPr>
      <w:spacing w:after="120" w:line="480" w:lineRule="auto"/>
    </w:pPr>
  </w:style>
  <w:style w:type="character" w:customStyle="1" w:styleId="Corpodetexto2Char">
    <w:name w:val="Corpo de texto 2 Char"/>
    <w:basedOn w:val="Fontepargpadro"/>
    <w:link w:val="Corpodetexto2"/>
    <w:uiPriority w:val="99"/>
    <w:semiHidden/>
    <w:rsid w:val="004E0793"/>
    <w:rPr>
      <w:lang w:val="pt-BR"/>
    </w:rPr>
  </w:style>
  <w:style w:type="character" w:customStyle="1" w:styleId="st1">
    <w:name w:val="st1"/>
    <w:rsid w:val="004D7537"/>
  </w:style>
  <w:style w:type="character" w:styleId="nfase">
    <w:name w:val="Emphasis"/>
    <w:uiPriority w:val="20"/>
    <w:qFormat/>
    <w:rsid w:val="004D753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9418">
      <w:bodyDiv w:val="1"/>
      <w:marLeft w:val="0"/>
      <w:marRight w:val="0"/>
      <w:marTop w:val="0"/>
      <w:marBottom w:val="0"/>
      <w:divBdr>
        <w:top w:val="none" w:sz="0" w:space="0" w:color="auto"/>
        <w:left w:val="none" w:sz="0" w:space="0" w:color="auto"/>
        <w:bottom w:val="none" w:sz="0" w:space="0" w:color="auto"/>
        <w:right w:val="none" w:sz="0" w:space="0" w:color="auto"/>
      </w:divBdr>
    </w:div>
    <w:div w:id="172108590">
      <w:bodyDiv w:val="1"/>
      <w:marLeft w:val="0"/>
      <w:marRight w:val="0"/>
      <w:marTop w:val="0"/>
      <w:marBottom w:val="0"/>
      <w:divBdr>
        <w:top w:val="none" w:sz="0" w:space="0" w:color="auto"/>
        <w:left w:val="none" w:sz="0" w:space="0" w:color="auto"/>
        <w:bottom w:val="none" w:sz="0" w:space="0" w:color="auto"/>
        <w:right w:val="none" w:sz="0" w:space="0" w:color="auto"/>
      </w:divBdr>
      <w:divsChild>
        <w:div w:id="1382904560">
          <w:marLeft w:val="0"/>
          <w:marRight w:val="0"/>
          <w:marTop w:val="0"/>
          <w:marBottom w:val="0"/>
          <w:divBdr>
            <w:top w:val="none" w:sz="0" w:space="0" w:color="auto"/>
            <w:left w:val="none" w:sz="0" w:space="0" w:color="auto"/>
            <w:bottom w:val="none" w:sz="0" w:space="0" w:color="auto"/>
            <w:right w:val="none" w:sz="0" w:space="0" w:color="auto"/>
          </w:divBdr>
          <w:divsChild>
            <w:div w:id="1907568132">
              <w:marLeft w:val="0"/>
              <w:marRight w:val="0"/>
              <w:marTop w:val="0"/>
              <w:marBottom w:val="0"/>
              <w:divBdr>
                <w:top w:val="none" w:sz="0" w:space="0" w:color="auto"/>
                <w:left w:val="none" w:sz="0" w:space="0" w:color="auto"/>
                <w:bottom w:val="none" w:sz="0" w:space="0" w:color="auto"/>
                <w:right w:val="none" w:sz="0" w:space="0" w:color="auto"/>
              </w:divBdr>
              <w:divsChild>
                <w:div w:id="1262370553">
                  <w:marLeft w:val="0"/>
                  <w:marRight w:val="0"/>
                  <w:marTop w:val="0"/>
                  <w:marBottom w:val="0"/>
                  <w:divBdr>
                    <w:top w:val="none" w:sz="0" w:space="0" w:color="auto"/>
                    <w:left w:val="none" w:sz="0" w:space="0" w:color="auto"/>
                    <w:bottom w:val="none" w:sz="0" w:space="0" w:color="auto"/>
                    <w:right w:val="none" w:sz="0" w:space="0" w:color="auto"/>
                  </w:divBdr>
                  <w:divsChild>
                    <w:div w:id="282272582">
                      <w:marLeft w:val="0"/>
                      <w:marRight w:val="0"/>
                      <w:marTop w:val="0"/>
                      <w:marBottom w:val="0"/>
                      <w:divBdr>
                        <w:top w:val="none" w:sz="0" w:space="0" w:color="auto"/>
                        <w:left w:val="none" w:sz="0" w:space="0" w:color="auto"/>
                        <w:bottom w:val="none" w:sz="0" w:space="0" w:color="auto"/>
                        <w:right w:val="none" w:sz="0" w:space="0" w:color="auto"/>
                      </w:divBdr>
                      <w:divsChild>
                        <w:div w:id="1728802541">
                          <w:marLeft w:val="0"/>
                          <w:marRight w:val="0"/>
                          <w:marTop w:val="0"/>
                          <w:marBottom w:val="0"/>
                          <w:divBdr>
                            <w:top w:val="none" w:sz="0" w:space="0" w:color="auto"/>
                            <w:left w:val="none" w:sz="0" w:space="0" w:color="auto"/>
                            <w:bottom w:val="none" w:sz="0" w:space="0" w:color="auto"/>
                            <w:right w:val="none" w:sz="0" w:space="0" w:color="auto"/>
                          </w:divBdr>
                          <w:divsChild>
                            <w:div w:id="1118262601">
                              <w:marLeft w:val="0"/>
                              <w:marRight w:val="0"/>
                              <w:marTop w:val="0"/>
                              <w:marBottom w:val="0"/>
                              <w:divBdr>
                                <w:top w:val="none" w:sz="0" w:space="0" w:color="auto"/>
                                <w:left w:val="none" w:sz="0" w:space="0" w:color="auto"/>
                                <w:bottom w:val="none" w:sz="0" w:space="0" w:color="auto"/>
                                <w:right w:val="none" w:sz="0" w:space="0" w:color="auto"/>
                              </w:divBdr>
                              <w:divsChild>
                                <w:div w:id="1896818899">
                                  <w:marLeft w:val="0"/>
                                  <w:marRight w:val="0"/>
                                  <w:marTop w:val="0"/>
                                  <w:marBottom w:val="0"/>
                                  <w:divBdr>
                                    <w:top w:val="none" w:sz="0" w:space="0" w:color="auto"/>
                                    <w:left w:val="none" w:sz="0" w:space="0" w:color="auto"/>
                                    <w:bottom w:val="none" w:sz="0" w:space="0" w:color="auto"/>
                                    <w:right w:val="none" w:sz="0" w:space="0" w:color="auto"/>
                                  </w:divBdr>
                                  <w:divsChild>
                                    <w:div w:id="1457484090">
                                      <w:marLeft w:val="60"/>
                                      <w:marRight w:val="0"/>
                                      <w:marTop w:val="0"/>
                                      <w:marBottom w:val="0"/>
                                      <w:divBdr>
                                        <w:top w:val="none" w:sz="0" w:space="0" w:color="auto"/>
                                        <w:left w:val="none" w:sz="0" w:space="0" w:color="auto"/>
                                        <w:bottom w:val="none" w:sz="0" w:space="0" w:color="auto"/>
                                        <w:right w:val="none" w:sz="0" w:space="0" w:color="auto"/>
                                      </w:divBdr>
                                      <w:divsChild>
                                        <w:div w:id="19086933">
                                          <w:marLeft w:val="0"/>
                                          <w:marRight w:val="0"/>
                                          <w:marTop w:val="0"/>
                                          <w:marBottom w:val="0"/>
                                          <w:divBdr>
                                            <w:top w:val="none" w:sz="0" w:space="0" w:color="auto"/>
                                            <w:left w:val="none" w:sz="0" w:space="0" w:color="auto"/>
                                            <w:bottom w:val="none" w:sz="0" w:space="0" w:color="auto"/>
                                            <w:right w:val="none" w:sz="0" w:space="0" w:color="auto"/>
                                          </w:divBdr>
                                          <w:divsChild>
                                            <w:div w:id="366419286">
                                              <w:marLeft w:val="0"/>
                                              <w:marRight w:val="0"/>
                                              <w:marTop w:val="0"/>
                                              <w:marBottom w:val="120"/>
                                              <w:divBdr>
                                                <w:top w:val="single" w:sz="6" w:space="0" w:color="F5F5F5"/>
                                                <w:left w:val="single" w:sz="6" w:space="0" w:color="F5F5F5"/>
                                                <w:bottom w:val="single" w:sz="6" w:space="0" w:color="F5F5F5"/>
                                                <w:right w:val="single" w:sz="6" w:space="0" w:color="F5F5F5"/>
                                              </w:divBdr>
                                              <w:divsChild>
                                                <w:div w:id="1650331142">
                                                  <w:marLeft w:val="0"/>
                                                  <w:marRight w:val="0"/>
                                                  <w:marTop w:val="0"/>
                                                  <w:marBottom w:val="0"/>
                                                  <w:divBdr>
                                                    <w:top w:val="none" w:sz="0" w:space="0" w:color="auto"/>
                                                    <w:left w:val="none" w:sz="0" w:space="0" w:color="auto"/>
                                                    <w:bottom w:val="none" w:sz="0" w:space="0" w:color="auto"/>
                                                    <w:right w:val="none" w:sz="0" w:space="0" w:color="auto"/>
                                                  </w:divBdr>
                                                  <w:divsChild>
                                                    <w:div w:id="940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473194">
      <w:bodyDiv w:val="1"/>
      <w:marLeft w:val="0"/>
      <w:marRight w:val="0"/>
      <w:marTop w:val="0"/>
      <w:marBottom w:val="0"/>
      <w:divBdr>
        <w:top w:val="none" w:sz="0" w:space="0" w:color="auto"/>
        <w:left w:val="none" w:sz="0" w:space="0" w:color="auto"/>
        <w:bottom w:val="none" w:sz="0" w:space="0" w:color="auto"/>
        <w:right w:val="none" w:sz="0" w:space="0" w:color="auto"/>
      </w:divBdr>
    </w:div>
    <w:div w:id="323318299">
      <w:bodyDiv w:val="1"/>
      <w:marLeft w:val="0"/>
      <w:marRight w:val="0"/>
      <w:marTop w:val="0"/>
      <w:marBottom w:val="0"/>
      <w:divBdr>
        <w:top w:val="none" w:sz="0" w:space="0" w:color="auto"/>
        <w:left w:val="none" w:sz="0" w:space="0" w:color="auto"/>
        <w:bottom w:val="none" w:sz="0" w:space="0" w:color="auto"/>
        <w:right w:val="none" w:sz="0" w:space="0" w:color="auto"/>
      </w:divBdr>
    </w:div>
    <w:div w:id="489709919">
      <w:bodyDiv w:val="1"/>
      <w:marLeft w:val="0"/>
      <w:marRight w:val="0"/>
      <w:marTop w:val="0"/>
      <w:marBottom w:val="0"/>
      <w:divBdr>
        <w:top w:val="none" w:sz="0" w:space="0" w:color="auto"/>
        <w:left w:val="none" w:sz="0" w:space="0" w:color="auto"/>
        <w:bottom w:val="none" w:sz="0" w:space="0" w:color="auto"/>
        <w:right w:val="none" w:sz="0" w:space="0" w:color="auto"/>
      </w:divBdr>
    </w:div>
    <w:div w:id="718746202">
      <w:bodyDiv w:val="1"/>
      <w:marLeft w:val="0"/>
      <w:marRight w:val="0"/>
      <w:marTop w:val="0"/>
      <w:marBottom w:val="0"/>
      <w:divBdr>
        <w:top w:val="none" w:sz="0" w:space="0" w:color="auto"/>
        <w:left w:val="none" w:sz="0" w:space="0" w:color="auto"/>
        <w:bottom w:val="none" w:sz="0" w:space="0" w:color="auto"/>
        <w:right w:val="none" w:sz="0" w:space="0" w:color="auto"/>
      </w:divBdr>
    </w:div>
    <w:div w:id="18572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5" Type="http://schemas.openxmlformats.org/officeDocument/2006/relationships/customXml" Target="../customXml/item8.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c.sefa.pa.gov.br" TargetMode="External"/><Relationship Id="rId24" Type="http://schemas.openxmlformats.org/officeDocument/2006/relationships/customXml" Target="../customXml/item7.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customXml" Target="../customXml/item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png@01D07E8A.F9795750" TargetMode="Externa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662674344DE0D64186FD665076CB71F3" ma:contentTypeVersion="22" ma:contentTypeDescription="The base project type from which other project content types inherit their information." ma:contentTypeScope="" ma:versionID="8bb6c458a56a6ecb0bd4f7a3bc4f8e34">
  <xsd:schema xmlns:xsd="http://www.w3.org/2001/XMLSchema" xmlns:xs="http://www.w3.org/2001/XMLSchema" xmlns:p="http://schemas.microsoft.com/office/2006/metadata/properties" xmlns:ns2="cdc7663a-08f0-4737-9e8c-148ce897a09c" targetNamespace="http://schemas.microsoft.com/office/2006/metadata/properties" ma:root="true" ma:fieldsID="897385b3f34e90f95ff30cda528b638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40114036</IDBDocs_x0020_Number>
    <TaxCatchAll xmlns="cdc7663a-08f0-4737-9e8c-148ce897a09c"/>
    <Phase xmlns="cdc7663a-08f0-4737-9e8c-148ce897a09c" xsi:nil="true"/>
    <SISCOR_x0020_Number xmlns="cdc7663a-08f0-4737-9e8c-148ce897a09c" xsi:nil="true"/>
    <Division_x0020_or_x0020_Unit xmlns="cdc7663a-08f0-4737-9e8c-148ce897a09c">IFD/FMM</Division_x0020_or_x0020_Unit>
    <Approval_x0020_Number xmlns="cdc7663a-08f0-4737-9e8c-148ce897a09c">2078/OC-BR</Approval_x0020_Number>
    <Document_x0020_Author xmlns="cdc7663a-08f0-4737-9e8c-148ce897a09c">Bakaj, Patricia Goes</Document_x0020_Author>
    <Fiscal_x0020_Year_x0020_IDB xmlns="cdc7663a-08f0-4737-9e8c-148ce897a09c">2016</Fiscal_x0020_Year_x0020_IDB>
    <Other_x0020_Author xmlns="cdc7663a-08f0-4737-9e8c-148ce897a09c" xsi:nil="true"/>
    <Project_x0020_Number xmlns="cdc7663a-08f0-4737-9e8c-148ce897a09c">BR-L1093</Project_x0020_Number>
    <Package_x0020_Code xmlns="cdc7663a-08f0-4737-9e8c-148ce897a09c" xsi:nil="true"/>
    <Key_x0020_Document xmlns="cdc7663a-08f0-4737-9e8c-148ce897a09c">false</Key_x0020_Document>
    <Migration_x0020_Info xmlns="cdc7663a-08f0-4737-9e8c-148ce897a09c">MS WORDPCRProject Completion Report0NPO-BR-L1093-Rpt-Perm98543070</Migration_x0020_Info>
    <Operation_x0020_Type xmlns="cdc7663a-08f0-4737-9e8c-148ce897a09c" xsi:nil="true"/>
    <Record_x0020_Number xmlns="cdc7663a-08f0-4737-9e8c-148ce897a09c" xsi:nil="true"/>
    <Document_x0020_Language_x0020_IDB xmlns="cdc7663a-08f0-4737-9e8c-148ce897a09c">Portuguese</Document_x0020_Language_x0020_IDB>
    <Identifier xmlns="cdc7663a-08f0-4737-9e8c-148ce897a09c"> TECFILE</Identifier>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_dlc_DocId xmlns="cdc7663a-08f0-4737-9e8c-148ce897a09c">EZSHARE-1190195958-436</_dlc_DocId>
    <From_x003a_ xmlns="cdc7663a-08f0-4737-9e8c-148ce897a09c" xsi:nil="true"/>
    <To_x003a_ xmlns="cdc7663a-08f0-4737-9e8c-148ce897a09c" xsi:nil="true"/>
    <_dlc_DocIdUrl xmlns="cdc7663a-08f0-4737-9e8c-148ce897a09c">
      <Url>https://idbg.sharepoint.com/teams/EZ-BR-LON/BR-L1093/_layouts/15/DocIdRedir.aspx?ID=EZSHARE-1190195958-436</Url>
      <Description>EZSHARE-1190195958-436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ae61f9b1-e23d-4f49-b3d7-56b991556c4b" ContentTypeId="0x010100ACF722E9F6B0B149B0CD8BE2560A6672" PreviousValue="false"/>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21A6DE2C-DE8E-45BF-B0EC-9D98CDE5684D}"/>
</file>

<file path=customXml/itemProps2.xml><?xml version="1.0" encoding="utf-8"?>
<ds:datastoreItem xmlns:ds="http://schemas.openxmlformats.org/officeDocument/2006/customXml" ds:itemID="{0E169F97-9F94-4984-8A5F-6B77E40EE717}"/>
</file>

<file path=customXml/itemProps3.xml><?xml version="1.0" encoding="utf-8"?>
<ds:datastoreItem xmlns:ds="http://schemas.openxmlformats.org/officeDocument/2006/customXml" ds:itemID="{6948338D-E4AD-4235-B3BE-AF832A60BE19}"/>
</file>

<file path=customXml/itemProps4.xml><?xml version="1.0" encoding="utf-8"?>
<ds:datastoreItem xmlns:ds="http://schemas.openxmlformats.org/officeDocument/2006/customXml" ds:itemID="{66A5454D-D1DA-4136-AB3D-116BAFB806FF}"/>
</file>

<file path=customXml/itemProps5.xml><?xml version="1.0" encoding="utf-8"?>
<ds:datastoreItem xmlns:ds="http://schemas.openxmlformats.org/officeDocument/2006/customXml" ds:itemID="{ADB57B05-6ED4-4D7E-BAE2-399D5F242F33}"/>
</file>

<file path=customXml/itemProps6.xml><?xml version="1.0" encoding="utf-8"?>
<ds:datastoreItem xmlns:ds="http://schemas.openxmlformats.org/officeDocument/2006/customXml" ds:itemID="{030E91BE-4959-432C-9152-EABE30B32018}"/>
</file>

<file path=customXml/itemProps7.xml><?xml version="1.0" encoding="utf-8"?>
<ds:datastoreItem xmlns:ds="http://schemas.openxmlformats.org/officeDocument/2006/customXml" ds:itemID="{FB46818C-BB3F-449D-8AAA-A30BF976F5A8}"/>
</file>

<file path=customXml/itemProps8.xml><?xml version="1.0" encoding="utf-8"?>
<ds:datastoreItem xmlns:ds="http://schemas.openxmlformats.org/officeDocument/2006/customXml" ds:itemID="{D84CA7AA-D91B-4F43-A30E-2A0128F72727}"/>
</file>

<file path=docProps/app.xml><?xml version="1.0" encoding="utf-8"?>
<Properties xmlns="http://schemas.openxmlformats.org/officeDocument/2006/extended-properties" xmlns:vt="http://schemas.openxmlformats.org/officeDocument/2006/docPropsVTypes">
  <Template>Normal</Template>
  <TotalTime>3326</TotalTime>
  <Pages>45</Pages>
  <Words>13602</Words>
  <Characters>73452</Characters>
  <Application>Microsoft Office Word</Application>
  <DocSecurity>0</DocSecurity>
  <Lines>612</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86881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Anual de Avanços</dc:title>
  <dc:creator>Test</dc:creator>
  <cp:lastModifiedBy>LUCIANA PIMENTEL</cp:lastModifiedBy>
  <cp:revision>63</cp:revision>
  <cp:lastPrinted>2015-09-30T14:26:00Z</cp:lastPrinted>
  <dcterms:created xsi:type="dcterms:W3CDTF">2015-02-04T09:27:00Z</dcterms:created>
  <dcterms:modified xsi:type="dcterms:W3CDTF">2015-12-04T15:41:00Z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0x010100ACF722E9F6B0B149B0CD8BE2560A667200662674344DE0D64186FD665076CB71F3</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25;#Report|873abde9-d18a-4026-95d4-5687f3b4d845</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25;#Report|873abde9-d18a-4026-95d4-5687f3b4d845</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
  </property>
  <property fmtid="{D5CDD505-2E9C-101B-9397-08002B2CF9AE}" pid="15" name="Sub-Sector">
    <vt:lpwstr/>
  </property>
  <property fmtid="{D5CDD505-2E9C-101B-9397-08002B2CF9AE}" pid="16" name="Order">
    <vt:r8>43600</vt:r8>
  </property>
  <property fmtid="{D5CDD505-2E9C-101B-9397-08002B2CF9AE}" pid="17" name="ATI Undisclose Document Workflow">
    <vt:lpwstr/>
  </property>
  <property fmtid="{D5CDD505-2E9C-101B-9397-08002B2CF9AE}" pid="18" name="ATI Disclose Document Workflow v5">
    <vt:lpwstr/>
  </property>
  <property fmtid="{D5CDD505-2E9C-101B-9397-08002B2CF9AE}" pid="20" name="Disclosure Activity">
    <vt:lpwstr>Project Completion Report</vt:lpwstr>
  </property>
  <property fmtid="{D5CDD505-2E9C-101B-9397-08002B2CF9AE}" pid="24" name="Webtopic">
    <vt:lpwstr>Urban Development</vt:lpwstr>
  </property>
  <property fmtid="{D5CDD505-2E9C-101B-9397-08002B2CF9AE}" pid="26" name="Disclosed">
    <vt:bool>false</vt:bool>
  </property>
  <property fmtid="{D5CDD505-2E9C-101B-9397-08002B2CF9AE}" pid="27" name="_dlc_DocIdItemGuid">
    <vt:lpwstr>f691f940-8ed9-438c-b625-13a247387b8b</vt:lpwstr>
  </property>
</Properties>
</file>