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52" w:rsidRPr="006003B1" w:rsidRDefault="003F5252" w:rsidP="003F5252">
      <w:pPr>
        <w:jc w:val="center"/>
        <w:rPr>
          <w:rFonts w:ascii="Arial" w:hAnsi="Arial" w:cs="Arial"/>
          <w:b/>
          <w:smallCaps/>
          <w:lang w:val="es-DO"/>
        </w:rPr>
      </w:pPr>
      <w:bookmarkStart w:id="0" w:name="_GoBack"/>
      <w:bookmarkEnd w:id="0"/>
      <w:r w:rsidRPr="006003B1">
        <w:rPr>
          <w:rFonts w:ascii="Arial" w:hAnsi="Arial" w:cs="Arial"/>
          <w:b/>
          <w:smallCaps/>
          <w:lang w:val="es-DO"/>
        </w:rPr>
        <w:t>Matriz de Medios de Verificación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615"/>
        <w:gridCol w:w="2669"/>
      </w:tblGrid>
      <w:tr w:rsidR="006003B1" w:rsidRPr="006003B1" w:rsidTr="00DF6458">
        <w:trPr>
          <w:tblHeader/>
        </w:trPr>
        <w:tc>
          <w:tcPr>
            <w:tcW w:w="4666" w:type="dxa"/>
            <w:shd w:val="clear" w:color="auto" w:fill="9CC2E5"/>
          </w:tcPr>
          <w:p w:rsidR="006003B1" w:rsidRPr="006003B1" w:rsidRDefault="006003B1" w:rsidP="00DF51C4">
            <w:pPr>
              <w:tabs>
                <w:tab w:val="left" w:pos="705"/>
                <w:tab w:val="center" w:pos="2223"/>
              </w:tabs>
              <w:spacing w:after="0" w:line="240" w:lineRule="auto"/>
              <w:rPr>
                <w:rFonts w:ascii="Arial" w:hAnsi="Arial" w:cs="Arial"/>
                <w:b/>
                <w:sz w:val="18"/>
                <w:szCs w:val="18"/>
                <w:lang w:val="es-DO"/>
              </w:rPr>
            </w:pPr>
            <w:r w:rsidRPr="006003B1">
              <w:rPr>
                <w:rFonts w:ascii="Arial" w:hAnsi="Arial" w:cs="Arial"/>
                <w:b/>
                <w:sz w:val="18"/>
                <w:szCs w:val="18"/>
                <w:lang w:val="es-DO"/>
              </w:rPr>
              <w:tab/>
            </w:r>
            <w:r w:rsidRPr="006003B1">
              <w:rPr>
                <w:rFonts w:ascii="Arial" w:hAnsi="Arial" w:cs="Arial"/>
                <w:b/>
                <w:sz w:val="18"/>
                <w:szCs w:val="18"/>
                <w:lang w:val="es-DO"/>
              </w:rPr>
              <w:tab/>
              <w:t>Medida de Política</w:t>
            </w:r>
            <w:r w:rsidR="00541E21">
              <w:rPr>
                <w:rFonts w:ascii="Arial" w:hAnsi="Arial" w:cs="Arial"/>
                <w:b/>
                <w:sz w:val="18"/>
                <w:szCs w:val="18"/>
                <w:lang w:val="es-DO"/>
              </w:rPr>
              <w:t xml:space="preserve"> PBP II</w:t>
            </w:r>
          </w:p>
        </w:tc>
        <w:tc>
          <w:tcPr>
            <w:tcW w:w="5615" w:type="dxa"/>
            <w:shd w:val="clear" w:color="auto" w:fill="9CC2E5"/>
          </w:tcPr>
          <w:p w:rsidR="006003B1" w:rsidRPr="006003B1" w:rsidRDefault="006003B1" w:rsidP="00DF51C4">
            <w:pPr>
              <w:spacing w:after="0" w:line="240" w:lineRule="auto"/>
              <w:jc w:val="center"/>
              <w:rPr>
                <w:rFonts w:ascii="Arial" w:hAnsi="Arial" w:cs="Arial"/>
                <w:b/>
                <w:sz w:val="18"/>
                <w:szCs w:val="18"/>
                <w:lang w:val="es-DO"/>
              </w:rPr>
            </w:pPr>
            <w:r w:rsidRPr="006003B1">
              <w:rPr>
                <w:rFonts w:ascii="Arial" w:hAnsi="Arial" w:cs="Arial"/>
                <w:b/>
                <w:sz w:val="18"/>
                <w:szCs w:val="18"/>
                <w:lang w:val="es-DO"/>
              </w:rPr>
              <w:t>Medio de Verificación</w:t>
            </w:r>
          </w:p>
        </w:tc>
        <w:tc>
          <w:tcPr>
            <w:tcW w:w="2669" w:type="dxa"/>
            <w:shd w:val="clear" w:color="auto" w:fill="9CC2E5"/>
          </w:tcPr>
          <w:p w:rsidR="006003B1" w:rsidRPr="006003B1" w:rsidRDefault="006003B1" w:rsidP="00DF51C4">
            <w:pPr>
              <w:spacing w:after="0" w:line="240" w:lineRule="auto"/>
              <w:jc w:val="center"/>
              <w:rPr>
                <w:rFonts w:ascii="Arial" w:hAnsi="Arial" w:cs="Arial"/>
                <w:b/>
                <w:sz w:val="18"/>
                <w:szCs w:val="18"/>
                <w:lang w:val="es-DO"/>
              </w:rPr>
            </w:pPr>
            <w:r w:rsidRPr="006003B1">
              <w:rPr>
                <w:rFonts w:ascii="Arial" w:hAnsi="Arial" w:cs="Arial"/>
                <w:b/>
                <w:sz w:val="18"/>
                <w:szCs w:val="18"/>
                <w:lang w:val="es-DO"/>
              </w:rPr>
              <w:t>Entidad Responsable</w:t>
            </w:r>
          </w:p>
        </w:tc>
      </w:tr>
      <w:tr w:rsidR="00D14BF0" w:rsidRPr="00EE23FC" w:rsidTr="00DF6458">
        <w:tc>
          <w:tcPr>
            <w:tcW w:w="12950" w:type="dxa"/>
            <w:gridSpan w:val="3"/>
            <w:shd w:val="clear" w:color="auto" w:fill="D9D9D9" w:themeFill="background1" w:themeFillShade="D9"/>
          </w:tcPr>
          <w:p w:rsidR="00D14BF0" w:rsidRPr="006003B1" w:rsidRDefault="00D14BF0" w:rsidP="00EE23FC">
            <w:pPr>
              <w:spacing w:after="0" w:line="240" w:lineRule="auto"/>
              <w:rPr>
                <w:rFonts w:ascii="Arial" w:hAnsi="Arial" w:cs="Arial"/>
                <w:b/>
                <w:sz w:val="18"/>
                <w:szCs w:val="18"/>
                <w:lang w:val="es-DO"/>
              </w:rPr>
            </w:pPr>
            <w:r w:rsidRPr="00D14BF0">
              <w:rPr>
                <w:rFonts w:ascii="Arial" w:hAnsi="Arial" w:cs="Arial"/>
                <w:b/>
                <w:sz w:val="18"/>
                <w:szCs w:val="18"/>
                <w:lang w:val="es-DO"/>
              </w:rPr>
              <w:t xml:space="preserve">Componente I. </w:t>
            </w:r>
            <w:r w:rsidR="00EE23FC">
              <w:rPr>
                <w:rFonts w:ascii="Arial" w:hAnsi="Arial" w:cs="Arial"/>
                <w:b/>
                <w:sz w:val="18"/>
                <w:szCs w:val="18"/>
                <w:lang w:val="es-DO"/>
              </w:rPr>
              <w:t>Estabilidad macroeconómica</w:t>
            </w:r>
          </w:p>
        </w:tc>
      </w:tr>
      <w:tr w:rsidR="00D14BF0" w:rsidRPr="00D14BF0" w:rsidTr="00DF6458">
        <w:tc>
          <w:tcPr>
            <w:tcW w:w="4666" w:type="dxa"/>
            <w:shd w:val="clear" w:color="auto" w:fill="auto"/>
          </w:tcPr>
          <w:p w:rsidR="00D14BF0" w:rsidRPr="00D14BF0" w:rsidRDefault="00EE23FC" w:rsidP="00D14BF0">
            <w:pPr>
              <w:pStyle w:val="ListParagraph"/>
              <w:numPr>
                <w:ilvl w:val="1"/>
                <w:numId w:val="3"/>
              </w:numPr>
              <w:spacing w:before="60" w:after="60" w:line="240" w:lineRule="auto"/>
              <w:rPr>
                <w:rFonts w:ascii="Arial" w:hAnsi="Arial" w:cs="Arial"/>
                <w:sz w:val="18"/>
                <w:szCs w:val="20"/>
                <w:lang w:val="es-ES_tradnl"/>
              </w:rPr>
            </w:pPr>
            <w:r w:rsidRPr="00EE23FC">
              <w:rPr>
                <w:rFonts w:ascii="Arial" w:hAnsi="Arial" w:cs="Arial"/>
                <w:sz w:val="18"/>
                <w:lang w:val="es-ES_tradnl"/>
              </w:rPr>
              <w:t>Mantener un marco macroeconómico estable y consistente con los objetivos del Programa y la Carta de Política</w:t>
            </w:r>
            <w:r>
              <w:rPr>
                <w:rFonts w:ascii="Arial" w:hAnsi="Arial" w:cs="Arial"/>
                <w:sz w:val="18"/>
                <w:lang w:val="es-ES_tradnl"/>
              </w:rPr>
              <w:t>.</w:t>
            </w:r>
          </w:p>
        </w:tc>
        <w:tc>
          <w:tcPr>
            <w:tcW w:w="5615" w:type="dxa"/>
            <w:shd w:val="clear" w:color="auto" w:fill="auto"/>
          </w:tcPr>
          <w:p w:rsidR="00D14BF0" w:rsidRPr="00D14BF0" w:rsidRDefault="00EE23FC" w:rsidP="00A31B79">
            <w:pPr>
              <w:spacing w:before="60" w:after="60" w:line="240" w:lineRule="auto"/>
              <w:rPr>
                <w:rFonts w:ascii="Arial" w:hAnsi="Arial" w:cs="Arial"/>
                <w:sz w:val="18"/>
                <w:szCs w:val="20"/>
                <w:lang w:val="es-ES_tradnl"/>
              </w:rPr>
            </w:pPr>
            <w:r w:rsidRPr="00EE23FC">
              <w:rPr>
                <w:rFonts w:ascii="Arial" w:hAnsi="Arial" w:cs="Arial"/>
                <w:sz w:val="18"/>
                <w:szCs w:val="20"/>
                <w:lang w:val="es-ES"/>
              </w:rPr>
              <w:t>Evaluación Independiente de Condiciones Macroeconómicas (IAMC) vigente al momento de solicitar el desembolso.</w:t>
            </w:r>
          </w:p>
        </w:tc>
        <w:tc>
          <w:tcPr>
            <w:tcW w:w="2669" w:type="dxa"/>
            <w:shd w:val="clear" w:color="auto" w:fill="auto"/>
          </w:tcPr>
          <w:p w:rsidR="00D14BF0" w:rsidRPr="00D14BF0" w:rsidRDefault="00D14BF0" w:rsidP="00D14BF0">
            <w:pPr>
              <w:spacing w:before="60" w:after="60" w:line="240" w:lineRule="auto"/>
              <w:rPr>
                <w:rFonts w:ascii="Arial" w:hAnsi="Arial" w:cs="Arial"/>
                <w:sz w:val="18"/>
                <w:szCs w:val="20"/>
                <w:lang w:val="es-ES_tradnl"/>
              </w:rPr>
            </w:pPr>
            <w:r w:rsidRPr="00D14BF0">
              <w:rPr>
                <w:rFonts w:ascii="Arial" w:hAnsi="Arial" w:cs="Arial"/>
                <w:sz w:val="18"/>
                <w:szCs w:val="20"/>
                <w:lang w:val="es-ES_tradnl"/>
              </w:rPr>
              <w:t>BID/RES</w:t>
            </w:r>
          </w:p>
        </w:tc>
      </w:tr>
      <w:tr w:rsidR="00D14BF0" w:rsidRPr="001D7A5C" w:rsidTr="00DF6458">
        <w:tc>
          <w:tcPr>
            <w:tcW w:w="12950" w:type="dxa"/>
            <w:gridSpan w:val="3"/>
            <w:shd w:val="clear" w:color="auto" w:fill="D9D9D9"/>
          </w:tcPr>
          <w:p w:rsidR="00D14BF0" w:rsidRPr="006003B1" w:rsidRDefault="00D14BF0" w:rsidP="00D14BF0">
            <w:pPr>
              <w:spacing w:after="0" w:line="240" w:lineRule="auto"/>
              <w:rPr>
                <w:rFonts w:ascii="Arial" w:hAnsi="Arial" w:cs="Arial"/>
                <w:b/>
                <w:sz w:val="18"/>
                <w:szCs w:val="18"/>
                <w:lang w:val="es-DO"/>
              </w:rPr>
            </w:pPr>
            <w:r w:rsidRPr="006003B1">
              <w:rPr>
                <w:rFonts w:ascii="Arial" w:hAnsi="Arial" w:cs="Arial"/>
                <w:b/>
                <w:sz w:val="18"/>
                <w:szCs w:val="18"/>
                <w:lang w:val="es-DO"/>
              </w:rPr>
              <w:t xml:space="preserve">Componente II. </w:t>
            </w:r>
            <w:r w:rsidR="00EE23FC" w:rsidRPr="00EE23FC">
              <w:rPr>
                <w:rFonts w:ascii="Arial" w:hAnsi="Arial" w:cs="Arial"/>
                <w:b/>
                <w:sz w:val="18"/>
                <w:szCs w:val="18"/>
                <w:lang w:val="es-ES_tradnl"/>
              </w:rPr>
              <w:t>Desarrollo del Marco Rector</w:t>
            </w:r>
          </w:p>
        </w:tc>
      </w:tr>
      <w:tr w:rsidR="00D14BF0" w:rsidRPr="006003B1" w:rsidTr="00DF6458">
        <w:tc>
          <w:tcPr>
            <w:tcW w:w="4666" w:type="dxa"/>
            <w:shd w:val="clear" w:color="auto" w:fill="auto"/>
          </w:tcPr>
          <w:p w:rsidR="00D14BF0" w:rsidRPr="00BC2889" w:rsidRDefault="00D14BF0" w:rsidP="00A31B79">
            <w:pPr>
              <w:tabs>
                <w:tab w:val="left" w:pos="630"/>
              </w:tabs>
              <w:spacing w:before="60" w:after="60" w:line="240" w:lineRule="auto"/>
              <w:ind w:left="630" w:hanging="630"/>
              <w:rPr>
                <w:rFonts w:ascii="Arial" w:eastAsia="Calibri" w:hAnsi="Arial" w:cs="Arial"/>
                <w:sz w:val="18"/>
                <w:szCs w:val="18"/>
                <w:lang w:val="es-ES"/>
              </w:rPr>
            </w:pPr>
            <w:r w:rsidRPr="006003B1">
              <w:rPr>
                <w:rFonts w:ascii="Arial" w:eastAsia="Calibri" w:hAnsi="Arial" w:cs="Arial"/>
                <w:sz w:val="18"/>
                <w:szCs w:val="18"/>
                <w:lang w:val="es-DO"/>
              </w:rPr>
              <w:t xml:space="preserve">(2.1) </w:t>
            </w:r>
            <w:r w:rsidRPr="006003B1">
              <w:rPr>
                <w:rFonts w:ascii="Arial" w:hAnsi="Arial" w:cs="Arial"/>
                <w:sz w:val="18"/>
                <w:szCs w:val="18"/>
                <w:lang w:val="es-DO"/>
              </w:rPr>
              <w:t xml:space="preserve">    </w:t>
            </w:r>
            <w:r w:rsidR="00BC2889" w:rsidRPr="00BC2889">
              <w:rPr>
                <w:rFonts w:ascii="Arial" w:eastAsia="Calibri" w:hAnsi="Arial" w:cs="Arial"/>
                <w:sz w:val="18"/>
                <w:szCs w:val="18"/>
                <w:lang w:val="es-ES"/>
              </w:rPr>
              <w:t>Habilitación de un fondo para el financi</w:t>
            </w:r>
            <w:r w:rsidR="00BC2889">
              <w:rPr>
                <w:rFonts w:ascii="Arial" w:eastAsia="Calibri" w:hAnsi="Arial" w:cs="Arial"/>
                <w:sz w:val="18"/>
                <w:szCs w:val="18"/>
                <w:lang w:val="es-ES"/>
              </w:rPr>
              <w:t xml:space="preserve">amiento de actividades de GRD. </w:t>
            </w:r>
          </w:p>
        </w:tc>
        <w:tc>
          <w:tcPr>
            <w:tcW w:w="5615" w:type="dxa"/>
            <w:shd w:val="clear" w:color="auto" w:fill="auto"/>
          </w:tcPr>
          <w:p w:rsidR="00D14BF0" w:rsidRPr="00BC2889" w:rsidDel="007A56F5" w:rsidRDefault="0052181F" w:rsidP="00A31B79">
            <w:pPr>
              <w:spacing w:before="60" w:after="60" w:line="240" w:lineRule="auto"/>
              <w:rPr>
                <w:rFonts w:ascii="Arial" w:hAnsi="Arial" w:cs="Arial"/>
                <w:sz w:val="18"/>
                <w:szCs w:val="18"/>
                <w:lang w:val="es-DO"/>
              </w:rPr>
            </w:pPr>
            <w:r>
              <w:rPr>
                <w:rFonts w:ascii="Arial" w:hAnsi="Arial" w:cs="Arial"/>
                <w:sz w:val="18"/>
                <w:szCs w:val="18"/>
                <w:lang w:val="es-ES"/>
              </w:rPr>
              <w:t xml:space="preserve">Certificación presupuestaria correspondiente a la asignación del 0.15% del Presupuesto </w:t>
            </w:r>
            <w:r w:rsidR="008D1B3A">
              <w:rPr>
                <w:rFonts w:ascii="Arial" w:hAnsi="Arial" w:cs="Arial"/>
                <w:sz w:val="18"/>
                <w:szCs w:val="18"/>
                <w:lang w:val="es-ES"/>
              </w:rPr>
              <w:t>General del E</w:t>
            </w:r>
            <w:r>
              <w:rPr>
                <w:rFonts w:ascii="Arial" w:hAnsi="Arial" w:cs="Arial"/>
                <w:sz w:val="18"/>
                <w:szCs w:val="18"/>
                <w:lang w:val="es-ES"/>
              </w:rPr>
              <w:t>stado Consolidado de gastos de 2016 para gestión de riesgos</w:t>
            </w:r>
          </w:p>
        </w:tc>
        <w:tc>
          <w:tcPr>
            <w:tcW w:w="2669" w:type="dxa"/>
            <w:shd w:val="clear" w:color="auto" w:fill="auto"/>
          </w:tcPr>
          <w:p w:rsidR="00D14BF0" w:rsidRPr="006003B1" w:rsidRDefault="00BC2889" w:rsidP="00BC2889">
            <w:pPr>
              <w:spacing w:before="60" w:after="0" w:line="240" w:lineRule="auto"/>
              <w:rPr>
                <w:rFonts w:ascii="Arial" w:hAnsi="Arial" w:cs="Arial"/>
                <w:sz w:val="18"/>
                <w:szCs w:val="18"/>
                <w:lang w:val="es-DO"/>
              </w:rPr>
            </w:pPr>
            <w:r>
              <w:rPr>
                <w:rFonts w:ascii="Arial" w:eastAsia="Calibri" w:hAnsi="Arial" w:cs="Arial"/>
                <w:sz w:val="18"/>
                <w:szCs w:val="18"/>
                <w:lang w:val="es-DO"/>
              </w:rPr>
              <w:t>Ministerio de Defensa (MD)</w:t>
            </w:r>
          </w:p>
        </w:tc>
      </w:tr>
      <w:tr w:rsidR="00BC2889" w:rsidRPr="001D7A5C" w:rsidTr="00DF6458">
        <w:tc>
          <w:tcPr>
            <w:tcW w:w="4666" w:type="dxa"/>
            <w:shd w:val="clear" w:color="auto" w:fill="auto"/>
          </w:tcPr>
          <w:p w:rsidR="00BC2889" w:rsidRPr="00BC2889" w:rsidRDefault="00BC2889" w:rsidP="00A31B79">
            <w:pPr>
              <w:tabs>
                <w:tab w:val="left" w:pos="630"/>
              </w:tabs>
              <w:spacing w:before="60" w:after="60" w:line="240" w:lineRule="auto"/>
              <w:ind w:left="630" w:hanging="630"/>
              <w:rPr>
                <w:rFonts w:ascii="Arial" w:eastAsia="Calibri" w:hAnsi="Arial" w:cs="Arial"/>
                <w:sz w:val="18"/>
                <w:szCs w:val="18"/>
                <w:lang w:val="es-ES"/>
              </w:rPr>
            </w:pPr>
            <w:r>
              <w:rPr>
                <w:rFonts w:ascii="Arial" w:eastAsia="Calibri" w:hAnsi="Arial" w:cs="Arial"/>
                <w:sz w:val="18"/>
                <w:szCs w:val="18"/>
                <w:lang w:val="es-DO"/>
              </w:rPr>
              <w:t>(2.2</w:t>
            </w:r>
            <w:r w:rsidRPr="006003B1">
              <w:rPr>
                <w:rFonts w:ascii="Arial" w:eastAsia="Calibri" w:hAnsi="Arial" w:cs="Arial"/>
                <w:sz w:val="18"/>
                <w:szCs w:val="18"/>
                <w:lang w:val="es-DO"/>
              </w:rPr>
              <w:t>)</w:t>
            </w:r>
            <w:r w:rsidRPr="006003B1">
              <w:rPr>
                <w:rFonts w:ascii="Arial" w:hAnsi="Arial" w:cs="Arial"/>
                <w:sz w:val="18"/>
                <w:szCs w:val="18"/>
                <w:lang w:val="es-DO"/>
              </w:rPr>
              <w:t xml:space="preserve">    </w:t>
            </w:r>
            <w:r w:rsidRPr="006003B1">
              <w:rPr>
                <w:rFonts w:ascii="Arial" w:eastAsia="Calibri" w:hAnsi="Arial" w:cs="Arial"/>
                <w:sz w:val="18"/>
                <w:szCs w:val="18"/>
                <w:lang w:val="es-DO"/>
              </w:rPr>
              <w:t xml:space="preserve"> </w:t>
            </w:r>
            <w:r w:rsidRPr="00BC2889">
              <w:rPr>
                <w:rFonts w:ascii="Arial" w:eastAsia="Calibri" w:hAnsi="Arial" w:cs="Arial"/>
                <w:sz w:val="18"/>
                <w:szCs w:val="18"/>
                <w:lang w:val="es-ES"/>
              </w:rPr>
              <w:t>Creación de incentivos económicos para que las unidades de gestión territorial y los distintos sectores (ministerios) implementen acciones en GRD.</w:t>
            </w:r>
          </w:p>
        </w:tc>
        <w:tc>
          <w:tcPr>
            <w:tcW w:w="5615" w:type="dxa"/>
            <w:shd w:val="clear" w:color="auto" w:fill="auto"/>
          </w:tcPr>
          <w:p w:rsidR="008D1B3A" w:rsidRPr="00163452" w:rsidDel="007A56F5" w:rsidRDefault="009821FC" w:rsidP="00A833CF">
            <w:pPr>
              <w:spacing w:before="60" w:after="60" w:line="240" w:lineRule="auto"/>
              <w:rPr>
                <w:rFonts w:ascii="Arial" w:hAnsi="Arial" w:cs="Arial"/>
                <w:sz w:val="18"/>
                <w:szCs w:val="18"/>
                <w:lang w:val="es-DO"/>
              </w:rPr>
            </w:pPr>
            <w:r>
              <w:rPr>
                <w:rFonts w:ascii="Arial" w:hAnsi="Arial" w:cs="Arial"/>
                <w:sz w:val="18"/>
                <w:szCs w:val="18"/>
                <w:lang w:val="es-ES"/>
              </w:rPr>
              <w:t>Directrices Presupuestarias G</w:t>
            </w:r>
            <w:r w:rsidR="00961D6D">
              <w:rPr>
                <w:rFonts w:ascii="Arial" w:hAnsi="Arial" w:cs="Arial"/>
                <w:sz w:val="18"/>
                <w:szCs w:val="18"/>
                <w:lang w:val="es-ES"/>
              </w:rPr>
              <w:t xml:space="preserve">estión 2016 </w:t>
            </w:r>
            <w:r w:rsidR="00EA653E">
              <w:rPr>
                <w:rFonts w:ascii="Arial" w:hAnsi="Arial" w:cs="Arial"/>
                <w:sz w:val="18"/>
                <w:szCs w:val="18"/>
                <w:lang w:val="es-ES"/>
              </w:rPr>
              <w:t xml:space="preserve">incluyendo </w:t>
            </w:r>
            <w:r w:rsidR="00961D6D">
              <w:rPr>
                <w:rFonts w:ascii="Arial" w:hAnsi="Arial" w:cs="Arial"/>
                <w:sz w:val="18"/>
                <w:szCs w:val="18"/>
                <w:lang w:val="es-ES"/>
              </w:rPr>
              <w:t xml:space="preserve">la gestión de riesgos como rubro </w:t>
            </w:r>
            <w:r w:rsidR="00A833CF">
              <w:rPr>
                <w:rFonts w:ascii="Arial" w:hAnsi="Arial" w:cs="Arial"/>
                <w:sz w:val="18"/>
                <w:szCs w:val="18"/>
                <w:lang w:val="es-ES"/>
              </w:rPr>
              <w:t xml:space="preserve">que incluye actividades de gestión integral del riesgo </w:t>
            </w:r>
            <w:r w:rsidR="00961D6D">
              <w:rPr>
                <w:rFonts w:ascii="Arial" w:hAnsi="Arial" w:cs="Arial"/>
                <w:sz w:val="18"/>
                <w:szCs w:val="18"/>
                <w:lang w:val="es-ES"/>
              </w:rPr>
              <w:t>en la estructura presupuestaria</w:t>
            </w:r>
            <w:r w:rsidR="00A833CF">
              <w:rPr>
                <w:rFonts w:ascii="Arial" w:hAnsi="Arial" w:cs="Arial"/>
                <w:sz w:val="18"/>
                <w:szCs w:val="18"/>
                <w:lang w:val="es-ES"/>
              </w:rPr>
              <w:t>.</w:t>
            </w:r>
          </w:p>
        </w:tc>
        <w:tc>
          <w:tcPr>
            <w:tcW w:w="2669" w:type="dxa"/>
            <w:shd w:val="clear" w:color="auto" w:fill="auto"/>
          </w:tcPr>
          <w:p w:rsidR="00BC2889" w:rsidRPr="006003B1" w:rsidRDefault="00DC0642" w:rsidP="008A52DB">
            <w:pPr>
              <w:spacing w:before="60" w:after="0" w:line="240" w:lineRule="auto"/>
              <w:rPr>
                <w:rFonts w:ascii="Arial" w:hAnsi="Arial" w:cs="Arial"/>
                <w:sz w:val="18"/>
                <w:szCs w:val="18"/>
                <w:lang w:val="es-DO"/>
              </w:rPr>
            </w:pPr>
            <w:r w:rsidRPr="00163452">
              <w:rPr>
                <w:rFonts w:ascii="Arial" w:eastAsia="Calibri" w:hAnsi="Arial" w:cs="Arial"/>
                <w:sz w:val="18"/>
                <w:szCs w:val="18"/>
                <w:lang w:val="es-DO"/>
              </w:rPr>
              <w:t xml:space="preserve">Ministerio de Planificación para el Desarrollo </w:t>
            </w:r>
            <w:r w:rsidR="00EA653E">
              <w:rPr>
                <w:rFonts w:ascii="Arial" w:eastAsia="Calibri" w:hAnsi="Arial" w:cs="Arial"/>
                <w:sz w:val="18"/>
                <w:szCs w:val="18"/>
                <w:lang w:val="es-DO"/>
              </w:rPr>
              <w:t>MPD/</w:t>
            </w:r>
            <w:r>
              <w:rPr>
                <w:rFonts w:ascii="Arial" w:eastAsia="Calibri" w:hAnsi="Arial" w:cs="Arial"/>
                <w:sz w:val="18"/>
                <w:szCs w:val="18"/>
                <w:lang w:val="es-DO"/>
              </w:rPr>
              <w:t xml:space="preserve"> Viceministerio de Inversión Pública y Financiamiento Externo (</w:t>
            </w:r>
            <w:r w:rsidR="00EA653E">
              <w:rPr>
                <w:rFonts w:ascii="Arial" w:eastAsia="Calibri" w:hAnsi="Arial" w:cs="Arial"/>
                <w:sz w:val="18"/>
                <w:szCs w:val="18"/>
                <w:lang w:val="es-DO"/>
              </w:rPr>
              <w:t>VIPFE</w:t>
            </w:r>
            <w:r>
              <w:rPr>
                <w:rFonts w:ascii="Arial" w:eastAsia="Calibri" w:hAnsi="Arial" w:cs="Arial"/>
                <w:sz w:val="18"/>
                <w:szCs w:val="18"/>
                <w:lang w:val="es-DO"/>
              </w:rPr>
              <w:t>)</w:t>
            </w:r>
          </w:p>
        </w:tc>
      </w:tr>
      <w:tr w:rsidR="00D14BF0" w:rsidRPr="001D7A5C" w:rsidTr="00DF6458">
        <w:tc>
          <w:tcPr>
            <w:tcW w:w="4666" w:type="dxa"/>
            <w:shd w:val="clear" w:color="auto" w:fill="auto"/>
          </w:tcPr>
          <w:p w:rsidR="00D14BF0" w:rsidRPr="00163452" w:rsidRDefault="00BC2889" w:rsidP="00A31B79">
            <w:pPr>
              <w:tabs>
                <w:tab w:val="left" w:pos="630"/>
              </w:tabs>
              <w:spacing w:before="60" w:after="60" w:line="240" w:lineRule="auto"/>
              <w:ind w:left="630" w:hanging="630"/>
              <w:rPr>
                <w:rFonts w:ascii="Arial" w:eastAsia="Calibri" w:hAnsi="Arial" w:cs="Arial"/>
                <w:sz w:val="18"/>
                <w:szCs w:val="18"/>
                <w:lang w:val="es-ES"/>
              </w:rPr>
            </w:pPr>
            <w:r w:rsidRPr="00163452">
              <w:rPr>
                <w:rFonts w:ascii="Arial" w:eastAsia="Calibri" w:hAnsi="Arial" w:cs="Arial"/>
                <w:sz w:val="18"/>
                <w:szCs w:val="18"/>
                <w:lang w:val="es-DO"/>
              </w:rPr>
              <w:t>(2.3</w:t>
            </w:r>
            <w:r w:rsidR="00D14BF0" w:rsidRPr="00163452">
              <w:rPr>
                <w:rFonts w:ascii="Arial" w:eastAsia="Calibri" w:hAnsi="Arial" w:cs="Arial"/>
                <w:sz w:val="18"/>
                <w:szCs w:val="18"/>
                <w:lang w:val="es-DO"/>
              </w:rPr>
              <w:t>)</w:t>
            </w:r>
            <w:r w:rsidR="00D14BF0" w:rsidRPr="00163452">
              <w:rPr>
                <w:rFonts w:ascii="Arial" w:hAnsi="Arial" w:cs="Arial"/>
                <w:sz w:val="18"/>
                <w:szCs w:val="18"/>
                <w:lang w:val="es-DO"/>
              </w:rPr>
              <w:t xml:space="preserve">    </w:t>
            </w:r>
            <w:r w:rsidR="00D14BF0" w:rsidRPr="00163452">
              <w:rPr>
                <w:rFonts w:ascii="Arial" w:eastAsia="Calibri" w:hAnsi="Arial" w:cs="Arial"/>
                <w:sz w:val="18"/>
                <w:szCs w:val="18"/>
                <w:lang w:val="es-DO"/>
              </w:rPr>
              <w:t xml:space="preserve"> </w:t>
            </w:r>
            <w:r w:rsidRPr="00163452">
              <w:rPr>
                <w:rFonts w:ascii="Arial" w:eastAsia="Calibri" w:hAnsi="Arial" w:cs="Arial"/>
                <w:sz w:val="18"/>
                <w:szCs w:val="18"/>
                <w:lang w:val="es-ES"/>
              </w:rPr>
              <w:t xml:space="preserve">Habilitación de un Fondo para mitigación y adaptación al  cambio climático (Fondo Plurinacional de la Madre Tierra). </w:t>
            </w:r>
          </w:p>
        </w:tc>
        <w:tc>
          <w:tcPr>
            <w:tcW w:w="5615" w:type="dxa"/>
            <w:shd w:val="clear" w:color="auto" w:fill="auto"/>
          </w:tcPr>
          <w:p w:rsidR="00EF199E" w:rsidRPr="00163452" w:rsidRDefault="00EF199E" w:rsidP="00A31B79">
            <w:pPr>
              <w:autoSpaceDE w:val="0"/>
              <w:autoSpaceDN w:val="0"/>
              <w:adjustRightInd w:val="0"/>
              <w:spacing w:before="60" w:after="60" w:line="240" w:lineRule="auto"/>
              <w:rPr>
                <w:rFonts w:ascii="Arial" w:hAnsi="Arial" w:cs="Arial"/>
                <w:sz w:val="18"/>
                <w:szCs w:val="18"/>
                <w:lang w:val="es-ES"/>
              </w:rPr>
            </w:pPr>
          </w:p>
          <w:p w:rsidR="00EF199E" w:rsidRPr="00163452" w:rsidRDefault="00BD288F" w:rsidP="00A31B79">
            <w:pPr>
              <w:autoSpaceDE w:val="0"/>
              <w:autoSpaceDN w:val="0"/>
              <w:adjustRightInd w:val="0"/>
              <w:spacing w:before="60" w:after="60" w:line="240" w:lineRule="auto"/>
              <w:rPr>
                <w:rFonts w:ascii="Arial" w:hAnsi="Arial" w:cs="Arial"/>
                <w:sz w:val="18"/>
                <w:szCs w:val="18"/>
                <w:lang w:val="es-ES"/>
              </w:rPr>
            </w:pPr>
            <w:r w:rsidRPr="00163452">
              <w:rPr>
                <w:rFonts w:ascii="Arial" w:hAnsi="Arial" w:cs="Arial"/>
                <w:sz w:val="18"/>
                <w:szCs w:val="18"/>
                <w:lang w:val="es-ES"/>
              </w:rPr>
              <w:t xml:space="preserve">Nota del MMAyA confirmando la transferencia de recursos a </w:t>
            </w:r>
            <w:r w:rsidR="00EF199E" w:rsidRPr="00163452">
              <w:rPr>
                <w:rFonts w:ascii="Arial" w:hAnsi="Arial" w:cs="Arial"/>
                <w:sz w:val="18"/>
                <w:szCs w:val="18"/>
                <w:lang w:val="es-ES"/>
              </w:rPr>
              <w:t>la cuenta correspondiente al Fondo</w:t>
            </w:r>
            <w:r w:rsidRPr="00163452">
              <w:rPr>
                <w:rFonts w:ascii="Arial" w:hAnsi="Arial" w:cs="Arial"/>
                <w:sz w:val="18"/>
                <w:szCs w:val="18"/>
                <w:lang w:val="es-ES"/>
              </w:rPr>
              <w:t xml:space="preserve"> adjuntando comprobante de la transferencia realizada</w:t>
            </w:r>
          </w:p>
        </w:tc>
        <w:tc>
          <w:tcPr>
            <w:tcW w:w="2669" w:type="dxa"/>
            <w:shd w:val="clear" w:color="auto" w:fill="auto"/>
          </w:tcPr>
          <w:p w:rsidR="00D14BF0" w:rsidRPr="00163452" w:rsidRDefault="00BC2889" w:rsidP="00D14BF0">
            <w:pPr>
              <w:spacing w:before="60" w:after="0" w:line="240" w:lineRule="auto"/>
              <w:rPr>
                <w:rFonts w:ascii="Arial" w:hAnsi="Arial" w:cs="Arial"/>
                <w:sz w:val="18"/>
                <w:szCs w:val="18"/>
                <w:lang w:val="es-DO"/>
              </w:rPr>
            </w:pPr>
            <w:r w:rsidRPr="00163452">
              <w:rPr>
                <w:rFonts w:ascii="Arial" w:eastAsia="Calibri" w:hAnsi="Arial" w:cs="Arial"/>
                <w:sz w:val="18"/>
                <w:szCs w:val="18"/>
                <w:lang w:val="es-DO"/>
              </w:rPr>
              <w:t>Autoridad Plurinacional de la Madre Tierra (APMT)</w:t>
            </w:r>
            <w:r w:rsidR="00BD288F" w:rsidRPr="00163452">
              <w:rPr>
                <w:rFonts w:ascii="Arial" w:eastAsia="Calibri" w:hAnsi="Arial" w:cs="Arial"/>
                <w:sz w:val="18"/>
                <w:szCs w:val="18"/>
                <w:lang w:val="es-DO"/>
              </w:rPr>
              <w:t xml:space="preserve"> y </w:t>
            </w:r>
            <w:r w:rsidR="00DC0642">
              <w:rPr>
                <w:rFonts w:ascii="Arial" w:eastAsia="Calibri" w:hAnsi="Arial" w:cs="Arial"/>
                <w:sz w:val="18"/>
                <w:szCs w:val="18"/>
                <w:lang w:val="es-DO"/>
              </w:rPr>
              <w:t>Ministerio de Medio Ambiemte y Agua (</w:t>
            </w:r>
            <w:r w:rsidR="00BD288F" w:rsidRPr="00163452">
              <w:rPr>
                <w:rFonts w:ascii="Arial" w:eastAsia="Calibri" w:hAnsi="Arial" w:cs="Arial"/>
                <w:sz w:val="18"/>
                <w:szCs w:val="18"/>
                <w:lang w:val="es-DO"/>
              </w:rPr>
              <w:t>MMAyA</w:t>
            </w:r>
            <w:r w:rsidR="00DC0642">
              <w:rPr>
                <w:rFonts w:ascii="Arial" w:eastAsia="Calibri" w:hAnsi="Arial" w:cs="Arial"/>
                <w:sz w:val="18"/>
                <w:szCs w:val="18"/>
                <w:lang w:val="es-DO"/>
              </w:rPr>
              <w:t>)</w:t>
            </w:r>
            <w:r w:rsidR="00BD288F" w:rsidRPr="00163452">
              <w:rPr>
                <w:rFonts w:ascii="Arial" w:eastAsia="Calibri" w:hAnsi="Arial" w:cs="Arial"/>
                <w:sz w:val="18"/>
                <w:szCs w:val="18"/>
                <w:lang w:val="es-DO"/>
              </w:rPr>
              <w:t>-V</w:t>
            </w:r>
            <w:r w:rsidR="007A37F6" w:rsidRPr="00163452">
              <w:rPr>
                <w:rFonts w:ascii="Arial" w:eastAsia="Calibri" w:hAnsi="Arial" w:cs="Arial"/>
                <w:sz w:val="18"/>
                <w:szCs w:val="18"/>
                <w:lang w:val="es-DO"/>
              </w:rPr>
              <w:t>iceministerio de Medio Ambiente, Biodiversidad, Cambios Climáticos y de Gestión y Desarrollo Forestal (V</w:t>
            </w:r>
            <w:r w:rsidR="00BD288F" w:rsidRPr="00163452">
              <w:rPr>
                <w:rFonts w:ascii="Arial" w:eastAsia="Calibri" w:hAnsi="Arial" w:cs="Arial"/>
                <w:sz w:val="18"/>
                <w:szCs w:val="18"/>
                <w:lang w:val="es-DO"/>
              </w:rPr>
              <w:t>MA</w:t>
            </w:r>
            <w:r w:rsidR="007A37F6" w:rsidRPr="00163452">
              <w:rPr>
                <w:rFonts w:ascii="Arial" w:eastAsia="Calibri" w:hAnsi="Arial" w:cs="Arial"/>
                <w:sz w:val="18"/>
                <w:szCs w:val="18"/>
                <w:lang w:val="es-DO"/>
              </w:rPr>
              <w:t>)</w:t>
            </w:r>
          </w:p>
        </w:tc>
      </w:tr>
      <w:tr w:rsidR="00BC2889" w:rsidRPr="001D7A5C" w:rsidTr="00DF6458">
        <w:tc>
          <w:tcPr>
            <w:tcW w:w="4666" w:type="dxa"/>
            <w:shd w:val="clear" w:color="auto" w:fill="auto"/>
          </w:tcPr>
          <w:p w:rsidR="00BC2889" w:rsidRPr="00163452" w:rsidRDefault="003D2545" w:rsidP="00A31B79">
            <w:pPr>
              <w:tabs>
                <w:tab w:val="left" w:pos="630"/>
              </w:tabs>
              <w:spacing w:before="60" w:after="60" w:line="240" w:lineRule="auto"/>
              <w:ind w:left="630" w:hanging="630"/>
              <w:rPr>
                <w:rFonts w:ascii="Arial" w:eastAsia="Calibri" w:hAnsi="Arial" w:cs="Arial"/>
                <w:sz w:val="18"/>
                <w:szCs w:val="18"/>
                <w:lang w:val="es-ES"/>
              </w:rPr>
            </w:pPr>
            <w:r w:rsidRPr="00163452">
              <w:rPr>
                <w:rFonts w:ascii="Arial" w:eastAsia="Calibri" w:hAnsi="Arial" w:cs="Arial"/>
                <w:sz w:val="18"/>
                <w:szCs w:val="18"/>
                <w:lang w:val="es-DO"/>
              </w:rPr>
              <w:t>(2.4</w:t>
            </w:r>
            <w:r w:rsidR="00BC2889" w:rsidRPr="00163452">
              <w:rPr>
                <w:rFonts w:ascii="Arial" w:eastAsia="Calibri" w:hAnsi="Arial" w:cs="Arial"/>
                <w:sz w:val="18"/>
                <w:szCs w:val="18"/>
                <w:lang w:val="es-DO"/>
              </w:rPr>
              <w:t xml:space="preserve">) </w:t>
            </w:r>
            <w:r w:rsidR="00BC2889" w:rsidRPr="00163452">
              <w:rPr>
                <w:rFonts w:ascii="Arial" w:hAnsi="Arial" w:cs="Arial"/>
                <w:sz w:val="18"/>
                <w:szCs w:val="18"/>
                <w:lang w:val="es-DO"/>
              </w:rPr>
              <w:t xml:space="preserve">    </w:t>
            </w:r>
            <w:r w:rsidR="00BC2889" w:rsidRPr="00163452">
              <w:rPr>
                <w:rFonts w:ascii="Arial" w:eastAsia="Calibri" w:hAnsi="Arial" w:cs="Arial"/>
                <w:sz w:val="18"/>
                <w:szCs w:val="18"/>
                <w:lang w:val="es-ES"/>
              </w:rPr>
              <w:t xml:space="preserve">Aprobación del Plan de Desarrollo Económico y Social (PDES) </w:t>
            </w:r>
            <w:r w:rsidR="004134E5" w:rsidRPr="00163452">
              <w:rPr>
                <w:rFonts w:ascii="Arial" w:eastAsia="Calibri" w:hAnsi="Arial" w:cs="Arial"/>
                <w:sz w:val="18"/>
                <w:szCs w:val="18"/>
                <w:lang w:val="es-ES"/>
              </w:rPr>
              <w:t xml:space="preserve">2016-2020 </w:t>
            </w:r>
            <w:r w:rsidR="00BC2889" w:rsidRPr="00163452">
              <w:rPr>
                <w:rFonts w:ascii="Arial" w:eastAsia="Calibri" w:hAnsi="Arial" w:cs="Arial"/>
                <w:sz w:val="18"/>
                <w:szCs w:val="18"/>
                <w:lang w:val="es-ES"/>
              </w:rPr>
              <w:t>que incorpora criterios de GRD.</w:t>
            </w:r>
          </w:p>
        </w:tc>
        <w:tc>
          <w:tcPr>
            <w:tcW w:w="5615" w:type="dxa"/>
            <w:shd w:val="clear" w:color="auto" w:fill="auto"/>
          </w:tcPr>
          <w:p w:rsidR="00BC2889" w:rsidRPr="00163452" w:rsidRDefault="00D1642E">
            <w:pPr>
              <w:autoSpaceDE w:val="0"/>
              <w:autoSpaceDN w:val="0"/>
              <w:adjustRightInd w:val="0"/>
              <w:spacing w:before="60" w:after="60" w:line="240" w:lineRule="auto"/>
              <w:rPr>
                <w:rFonts w:ascii="Arial" w:hAnsi="Arial" w:cs="Arial"/>
                <w:sz w:val="18"/>
                <w:szCs w:val="18"/>
                <w:lang w:val="es-DO"/>
              </w:rPr>
            </w:pPr>
            <w:r w:rsidRPr="00D1642E">
              <w:rPr>
                <w:rFonts w:ascii="Arial" w:eastAsia="Calibri" w:hAnsi="Arial" w:cs="Arial"/>
                <w:sz w:val="18"/>
                <w:szCs w:val="18"/>
                <w:lang w:val="es-ES"/>
              </w:rPr>
              <w:t>Ley No. 786 del 9 de marzo de 2016 que qprueba el Plan de Desarrollo Económico y Social 2016-2020.</w:t>
            </w:r>
          </w:p>
        </w:tc>
        <w:tc>
          <w:tcPr>
            <w:tcW w:w="2669" w:type="dxa"/>
            <w:shd w:val="clear" w:color="auto" w:fill="auto"/>
          </w:tcPr>
          <w:p w:rsidR="00BC2889" w:rsidRPr="00163452" w:rsidRDefault="00BC2889" w:rsidP="00D14BF0">
            <w:pPr>
              <w:spacing w:before="60" w:after="0" w:line="240" w:lineRule="auto"/>
              <w:rPr>
                <w:rFonts w:ascii="Arial" w:hAnsi="Arial" w:cs="Arial"/>
                <w:sz w:val="18"/>
                <w:szCs w:val="18"/>
                <w:lang w:val="es-DO"/>
              </w:rPr>
            </w:pPr>
            <w:r w:rsidRPr="00163452">
              <w:rPr>
                <w:rFonts w:ascii="Arial" w:eastAsia="Calibri" w:hAnsi="Arial" w:cs="Arial"/>
                <w:sz w:val="18"/>
                <w:szCs w:val="18"/>
                <w:lang w:val="es-DO"/>
              </w:rPr>
              <w:t xml:space="preserve"> (MPD)/Viceministerio de Planificación y Coordinación (VPC)</w:t>
            </w:r>
          </w:p>
        </w:tc>
      </w:tr>
      <w:tr w:rsidR="00BC2889" w:rsidRPr="006003B1" w:rsidTr="00DF6458">
        <w:tc>
          <w:tcPr>
            <w:tcW w:w="4666" w:type="dxa"/>
            <w:shd w:val="clear" w:color="auto" w:fill="auto"/>
          </w:tcPr>
          <w:p w:rsidR="00BC2889" w:rsidRPr="00163452" w:rsidRDefault="003D2545">
            <w:pPr>
              <w:tabs>
                <w:tab w:val="left" w:pos="630"/>
              </w:tabs>
              <w:spacing w:before="60" w:after="60" w:line="240" w:lineRule="auto"/>
              <w:ind w:left="630" w:hanging="630"/>
              <w:rPr>
                <w:rFonts w:ascii="Arial" w:eastAsia="Calibri" w:hAnsi="Arial" w:cs="Arial"/>
                <w:sz w:val="18"/>
                <w:szCs w:val="18"/>
                <w:lang w:val="es-ES"/>
              </w:rPr>
            </w:pPr>
            <w:r w:rsidRPr="00163452">
              <w:rPr>
                <w:rFonts w:ascii="Arial" w:eastAsia="Calibri" w:hAnsi="Arial" w:cs="Arial"/>
                <w:sz w:val="18"/>
                <w:szCs w:val="18"/>
                <w:lang w:val="es-DO"/>
              </w:rPr>
              <w:t>(2.5</w:t>
            </w:r>
            <w:r w:rsidR="00BC2889" w:rsidRPr="00163452">
              <w:rPr>
                <w:rFonts w:ascii="Arial" w:eastAsia="Calibri" w:hAnsi="Arial" w:cs="Arial"/>
                <w:sz w:val="18"/>
                <w:szCs w:val="18"/>
                <w:lang w:val="es-DO"/>
              </w:rPr>
              <w:t>)</w:t>
            </w:r>
            <w:r w:rsidR="00BC2889" w:rsidRPr="00163452">
              <w:rPr>
                <w:rFonts w:ascii="Arial" w:hAnsi="Arial" w:cs="Arial"/>
                <w:sz w:val="18"/>
                <w:szCs w:val="18"/>
                <w:lang w:val="es-DO"/>
              </w:rPr>
              <w:t xml:space="preserve">    </w:t>
            </w:r>
            <w:r w:rsidR="00BC2889" w:rsidRPr="00163452">
              <w:rPr>
                <w:rFonts w:ascii="Arial" w:eastAsia="Calibri" w:hAnsi="Arial" w:cs="Arial"/>
                <w:sz w:val="18"/>
                <w:szCs w:val="18"/>
                <w:lang w:val="es-DO"/>
              </w:rPr>
              <w:t xml:space="preserve"> </w:t>
            </w:r>
            <w:r w:rsidR="0006741A" w:rsidRPr="00163452">
              <w:rPr>
                <w:rFonts w:ascii="Arial" w:eastAsia="Calibri" w:hAnsi="Arial" w:cs="Arial"/>
                <w:sz w:val="18"/>
                <w:szCs w:val="18"/>
                <w:lang w:val="es-ES"/>
              </w:rPr>
              <w:t>Aprobación</w:t>
            </w:r>
            <w:r w:rsidR="00BC2889" w:rsidRPr="00163452">
              <w:rPr>
                <w:rFonts w:ascii="Arial" w:eastAsia="Calibri" w:hAnsi="Arial" w:cs="Arial"/>
                <w:sz w:val="18"/>
                <w:szCs w:val="18"/>
                <w:lang w:val="es-ES"/>
              </w:rPr>
              <w:t xml:space="preserve"> de Ley del Sistema de Planificación Integral del Estado (SPIE) que incorpora mandatos para la gestión del riesgo de desastres en el ámbito de sus competencias. </w:t>
            </w:r>
          </w:p>
        </w:tc>
        <w:tc>
          <w:tcPr>
            <w:tcW w:w="5615" w:type="dxa"/>
            <w:shd w:val="clear" w:color="auto" w:fill="auto"/>
          </w:tcPr>
          <w:p w:rsidR="00BC2889" w:rsidRPr="00163452" w:rsidRDefault="00207C3A">
            <w:pPr>
              <w:autoSpaceDE w:val="0"/>
              <w:autoSpaceDN w:val="0"/>
              <w:adjustRightInd w:val="0"/>
              <w:spacing w:before="60" w:after="60" w:line="240" w:lineRule="auto"/>
              <w:rPr>
                <w:rFonts w:ascii="Arial" w:hAnsi="Arial" w:cs="Arial"/>
                <w:sz w:val="18"/>
                <w:szCs w:val="18"/>
                <w:lang w:val="es-DO"/>
              </w:rPr>
            </w:pPr>
            <w:r w:rsidRPr="00163452">
              <w:rPr>
                <w:rFonts w:ascii="Arial" w:eastAsia="Calibri" w:hAnsi="Arial" w:cs="Arial"/>
                <w:sz w:val="18"/>
                <w:szCs w:val="18"/>
                <w:lang w:val="es-ES"/>
              </w:rPr>
              <w:t xml:space="preserve">Ley </w:t>
            </w:r>
            <w:r w:rsidR="004C7042" w:rsidRPr="00163452">
              <w:rPr>
                <w:rFonts w:ascii="Arial" w:eastAsia="Calibri" w:hAnsi="Arial" w:cs="Arial"/>
                <w:sz w:val="18"/>
                <w:szCs w:val="18"/>
                <w:lang w:val="es-ES"/>
              </w:rPr>
              <w:t xml:space="preserve">del SPIE </w:t>
            </w:r>
            <w:r w:rsidRPr="00163452">
              <w:rPr>
                <w:rFonts w:ascii="Arial" w:eastAsia="Calibri" w:hAnsi="Arial" w:cs="Arial"/>
                <w:sz w:val="18"/>
                <w:szCs w:val="18"/>
                <w:lang w:val="es-ES"/>
              </w:rPr>
              <w:t xml:space="preserve">No. </w:t>
            </w:r>
            <w:r w:rsidR="006657AF" w:rsidRPr="00163452">
              <w:rPr>
                <w:rFonts w:ascii="Arial" w:eastAsia="Calibri" w:hAnsi="Arial" w:cs="Arial"/>
                <w:sz w:val="18"/>
                <w:szCs w:val="18"/>
                <w:lang w:val="es-ES"/>
              </w:rPr>
              <w:t>777 del 21 de enero de 2016</w:t>
            </w:r>
          </w:p>
        </w:tc>
        <w:tc>
          <w:tcPr>
            <w:tcW w:w="2669" w:type="dxa"/>
            <w:shd w:val="clear" w:color="auto" w:fill="auto"/>
          </w:tcPr>
          <w:p w:rsidR="00BC2889" w:rsidRPr="00163452" w:rsidRDefault="00207C3A" w:rsidP="00D14BF0">
            <w:pPr>
              <w:spacing w:before="60" w:after="0" w:line="240" w:lineRule="auto"/>
              <w:rPr>
                <w:rFonts w:ascii="Arial" w:hAnsi="Arial" w:cs="Arial"/>
                <w:sz w:val="18"/>
                <w:szCs w:val="18"/>
                <w:lang w:val="es-DO"/>
              </w:rPr>
            </w:pPr>
            <w:r w:rsidRPr="00163452">
              <w:rPr>
                <w:rFonts w:ascii="Arial" w:eastAsia="Calibri" w:hAnsi="Arial" w:cs="Arial"/>
                <w:sz w:val="18"/>
                <w:szCs w:val="18"/>
                <w:lang w:val="es-DO"/>
              </w:rPr>
              <w:t>MPD/VPC</w:t>
            </w:r>
          </w:p>
        </w:tc>
      </w:tr>
      <w:tr w:rsidR="00207C3A" w:rsidRPr="00DC0642" w:rsidTr="00DF6458">
        <w:tc>
          <w:tcPr>
            <w:tcW w:w="4666" w:type="dxa"/>
            <w:shd w:val="clear" w:color="auto" w:fill="auto"/>
          </w:tcPr>
          <w:p w:rsidR="00207C3A" w:rsidRPr="00BC2889" w:rsidRDefault="003D2545" w:rsidP="00A31B79">
            <w:pPr>
              <w:tabs>
                <w:tab w:val="left" w:pos="630"/>
              </w:tabs>
              <w:spacing w:before="60" w:after="60" w:line="240" w:lineRule="auto"/>
              <w:ind w:left="630" w:hanging="630"/>
              <w:rPr>
                <w:rFonts w:ascii="Arial" w:eastAsia="Calibri" w:hAnsi="Arial" w:cs="Arial"/>
                <w:sz w:val="18"/>
                <w:szCs w:val="18"/>
                <w:lang w:val="es-ES"/>
              </w:rPr>
            </w:pPr>
            <w:r>
              <w:rPr>
                <w:rFonts w:ascii="Arial" w:eastAsia="Calibri" w:hAnsi="Arial" w:cs="Arial"/>
                <w:sz w:val="18"/>
                <w:szCs w:val="18"/>
                <w:lang w:val="es-DO"/>
              </w:rPr>
              <w:t>(2.6</w:t>
            </w:r>
            <w:r w:rsidR="00207C3A" w:rsidRPr="006003B1">
              <w:rPr>
                <w:rFonts w:ascii="Arial" w:eastAsia="Calibri" w:hAnsi="Arial" w:cs="Arial"/>
                <w:sz w:val="18"/>
                <w:szCs w:val="18"/>
                <w:lang w:val="es-DO"/>
              </w:rPr>
              <w:t>)</w:t>
            </w:r>
            <w:r w:rsidR="00207C3A" w:rsidRPr="006003B1">
              <w:rPr>
                <w:rFonts w:ascii="Arial" w:hAnsi="Arial" w:cs="Arial"/>
                <w:sz w:val="18"/>
                <w:szCs w:val="18"/>
                <w:lang w:val="es-DO"/>
              </w:rPr>
              <w:t xml:space="preserve">    </w:t>
            </w:r>
            <w:r w:rsidR="00207C3A" w:rsidRPr="006003B1">
              <w:rPr>
                <w:rFonts w:ascii="Arial" w:eastAsia="Calibri" w:hAnsi="Arial" w:cs="Arial"/>
                <w:sz w:val="18"/>
                <w:szCs w:val="18"/>
                <w:lang w:val="es-DO"/>
              </w:rPr>
              <w:t xml:space="preserve"> </w:t>
            </w:r>
            <w:r w:rsidR="00207C3A" w:rsidRPr="00207C3A">
              <w:rPr>
                <w:rFonts w:ascii="Arial" w:eastAsia="Calibri" w:hAnsi="Arial" w:cs="Arial"/>
                <w:sz w:val="18"/>
                <w:szCs w:val="18"/>
                <w:lang w:val="es-ES"/>
              </w:rPr>
              <w:t>Incorporación del enfoque de la GRD y ACC en el clasificador del Sistema de Información sobre Inversiones (SISIN Web).</w:t>
            </w:r>
          </w:p>
        </w:tc>
        <w:tc>
          <w:tcPr>
            <w:tcW w:w="5615" w:type="dxa"/>
            <w:shd w:val="clear" w:color="auto" w:fill="auto"/>
          </w:tcPr>
          <w:p w:rsidR="00DA5B8A" w:rsidRPr="00DA5B8A" w:rsidRDefault="00207C3A" w:rsidP="00A31B79">
            <w:pPr>
              <w:autoSpaceDE w:val="0"/>
              <w:autoSpaceDN w:val="0"/>
              <w:adjustRightInd w:val="0"/>
              <w:spacing w:before="60" w:after="60" w:line="240" w:lineRule="auto"/>
              <w:rPr>
                <w:rFonts w:ascii="Arial" w:eastAsia="Calibri" w:hAnsi="Arial" w:cs="Arial"/>
                <w:sz w:val="18"/>
                <w:szCs w:val="18"/>
                <w:highlight w:val="green"/>
                <w:lang w:val="es-ES"/>
              </w:rPr>
            </w:pPr>
            <w:r w:rsidRPr="00392B9A">
              <w:rPr>
                <w:rFonts w:ascii="Arial" w:eastAsia="Calibri" w:hAnsi="Arial" w:cs="Arial"/>
                <w:sz w:val="18"/>
                <w:szCs w:val="18"/>
                <w:lang w:val="es-ES"/>
              </w:rPr>
              <w:t>Versión publicada del Manual del SISIN web actualizado</w:t>
            </w:r>
          </w:p>
        </w:tc>
        <w:tc>
          <w:tcPr>
            <w:tcW w:w="2669" w:type="dxa"/>
            <w:shd w:val="clear" w:color="auto" w:fill="auto"/>
          </w:tcPr>
          <w:p w:rsidR="00207C3A" w:rsidRDefault="00207C3A" w:rsidP="00DC0642">
            <w:pPr>
              <w:spacing w:before="60" w:after="0" w:line="240" w:lineRule="auto"/>
              <w:rPr>
                <w:rFonts w:ascii="Arial" w:eastAsia="Calibri" w:hAnsi="Arial" w:cs="Arial"/>
                <w:sz w:val="18"/>
                <w:szCs w:val="18"/>
                <w:lang w:val="es-DO"/>
              </w:rPr>
            </w:pPr>
            <w:r>
              <w:rPr>
                <w:rFonts w:ascii="Arial" w:eastAsia="Calibri" w:hAnsi="Arial" w:cs="Arial"/>
                <w:sz w:val="18"/>
                <w:szCs w:val="18"/>
                <w:lang w:val="es-DO"/>
              </w:rPr>
              <w:t>MPD/ VIPFE</w:t>
            </w:r>
          </w:p>
        </w:tc>
      </w:tr>
      <w:tr w:rsidR="00207C3A" w:rsidRPr="008B204E" w:rsidTr="00DF6458">
        <w:tc>
          <w:tcPr>
            <w:tcW w:w="4666" w:type="dxa"/>
            <w:shd w:val="clear" w:color="auto" w:fill="auto"/>
          </w:tcPr>
          <w:p w:rsidR="00207C3A" w:rsidRPr="00207C3A" w:rsidRDefault="003D2545" w:rsidP="00A31B79">
            <w:pPr>
              <w:tabs>
                <w:tab w:val="left" w:pos="630"/>
              </w:tabs>
              <w:spacing w:before="60" w:after="60" w:line="240" w:lineRule="auto"/>
              <w:ind w:left="630" w:hanging="630"/>
              <w:rPr>
                <w:rFonts w:ascii="Arial" w:eastAsia="Calibri" w:hAnsi="Arial" w:cs="Arial"/>
                <w:sz w:val="18"/>
                <w:szCs w:val="18"/>
                <w:lang w:val="es-ES"/>
              </w:rPr>
            </w:pPr>
            <w:r>
              <w:rPr>
                <w:rFonts w:ascii="Arial" w:eastAsia="Calibri" w:hAnsi="Arial" w:cs="Arial"/>
                <w:sz w:val="18"/>
                <w:szCs w:val="18"/>
                <w:lang w:val="es-DO"/>
              </w:rPr>
              <w:t>(2.7</w:t>
            </w:r>
            <w:r w:rsidR="00207C3A" w:rsidRPr="006003B1">
              <w:rPr>
                <w:rFonts w:ascii="Arial" w:eastAsia="Calibri" w:hAnsi="Arial" w:cs="Arial"/>
                <w:sz w:val="18"/>
                <w:szCs w:val="18"/>
                <w:lang w:val="es-DO"/>
              </w:rPr>
              <w:t>)</w:t>
            </w:r>
            <w:r w:rsidR="00207C3A" w:rsidRPr="006003B1">
              <w:rPr>
                <w:rFonts w:ascii="Arial" w:hAnsi="Arial" w:cs="Arial"/>
                <w:sz w:val="18"/>
                <w:szCs w:val="18"/>
                <w:lang w:val="es-DO"/>
              </w:rPr>
              <w:t xml:space="preserve">    </w:t>
            </w:r>
            <w:r w:rsidR="00207C3A" w:rsidRPr="006003B1">
              <w:rPr>
                <w:rFonts w:ascii="Arial" w:eastAsia="Calibri" w:hAnsi="Arial" w:cs="Arial"/>
                <w:sz w:val="18"/>
                <w:szCs w:val="18"/>
                <w:lang w:val="es-DO"/>
              </w:rPr>
              <w:t xml:space="preserve"> </w:t>
            </w:r>
            <w:r w:rsidR="00207C3A" w:rsidRPr="00207C3A">
              <w:rPr>
                <w:rFonts w:ascii="Arial" w:eastAsia="Calibri" w:hAnsi="Arial" w:cs="Arial"/>
                <w:sz w:val="18"/>
                <w:szCs w:val="18"/>
                <w:lang w:val="es-ES"/>
              </w:rPr>
              <w:t>Al menos un ministerio que conforma el CONARADE ha adecuado sus procesos de planificación sectorial referidos a la GRD en el marco de sus atribuciones</w:t>
            </w:r>
            <w:r w:rsidR="00207C3A">
              <w:rPr>
                <w:rFonts w:ascii="Arial" w:eastAsia="Calibri" w:hAnsi="Arial" w:cs="Arial"/>
                <w:sz w:val="18"/>
                <w:szCs w:val="18"/>
                <w:lang w:val="es-ES"/>
              </w:rPr>
              <w:t>.</w:t>
            </w:r>
          </w:p>
        </w:tc>
        <w:tc>
          <w:tcPr>
            <w:tcW w:w="5615" w:type="dxa"/>
            <w:shd w:val="clear" w:color="auto" w:fill="auto"/>
          </w:tcPr>
          <w:p w:rsidR="00207C3A" w:rsidRPr="00207C3A" w:rsidRDefault="00207C3A" w:rsidP="00A31B79">
            <w:pPr>
              <w:autoSpaceDE w:val="0"/>
              <w:autoSpaceDN w:val="0"/>
              <w:adjustRightInd w:val="0"/>
              <w:spacing w:before="60" w:after="60" w:line="240" w:lineRule="auto"/>
              <w:rPr>
                <w:rFonts w:ascii="Arial" w:eastAsia="Calibri" w:hAnsi="Arial" w:cs="Arial"/>
                <w:sz w:val="18"/>
                <w:szCs w:val="18"/>
                <w:lang w:val="es-ES"/>
              </w:rPr>
            </w:pPr>
            <w:r w:rsidRPr="00207C3A">
              <w:rPr>
                <w:rFonts w:ascii="Arial" w:eastAsia="Calibri" w:hAnsi="Arial" w:cs="Arial"/>
                <w:sz w:val="18"/>
                <w:szCs w:val="18"/>
                <w:lang w:val="es-ES"/>
              </w:rPr>
              <w:t xml:space="preserve">Decreto Supremo </w:t>
            </w:r>
            <w:r w:rsidR="008B204E">
              <w:rPr>
                <w:rFonts w:ascii="Arial" w:eastAsia="Calibri" w:hAnsi="Arial" w:cs="Arial"/>
                <w:sz w:val="18"/>
                <w:szCs w:val="18"/>
                <w:lang w:val="es-ES"/>
              </w:rPr>
              <w:t xml:space="preserve">No. 2618 de 2 de diciembre de 2015 </w:t>
            </w:r>
            <w:r w:rsidRPr="00207C3A">
              <w:rPr>
                <w:rFonts w:ascii="Arial" w:eastAsia="Calibri" w:hAnsi="Arial" w:cs="Arial"/>
                <w:sz w:val="18"/>
                <w:szCs w:val="18"/>
                <w:lang w:val="es-ES"/>
              </w:rPr>
              <w:t xml:space="preserve">de aprobación del Plan de Acciones Inmediatas ante el Fenómeno de El Niño </w:t>
            </w:r>
            <w:r w:rsidR="008B204E">
              <w:rPr>
                <w:rFonts w:ascii="Arial" w:eastAsia="Calibri" w:hAnsi="Arial" w:cs="Arial"/>
                <w:sz w:val="18"/>
                <w:szCs w:val="18"/>
                <w:lang w:val="es-ES"/>
              </w:rPr>
              <w:t xml:space="preserve">2015-2016 </w:t>
            </w:r>
            <w:r w:rsidRPr="00207C3A">
              <w:rPr>
                <w:rFonts w:ascii="Arial" w:eastAsia="Calibri" w:hAnsi="Arial" w:cs="Arial"/>
                <w:sz w:val="18"/>
                <w:szCs w:val="18"/>
                <w:lang w:val="es-ES"/>
              </w:rPr>
              <w:t>+ Plan</w:t>
            </w:r>
            <w:r w:rsidR="008B204E">
              <w:rPr>
                <w:rFonts w:ascii="Arial" w:eastAsia="Calibri" w:hAnsi="Arial" w:cs="Arial"/>
                <w:sz w:val="18"/>
                <w:szCs w:val="18"/>
                <w:lang w:val="es-ES"/>
              </w:rPr>
              <w:t xml:space="preserve"> que incluye responsabilidades sectoriales</w:t>
            </w:r>
          </w:p>
        </w:tc>
        <w:tc>
          <w:tcPr>
            <w:tcW w:w="2669" w:type="dxa"/>
            <w:shd w:val="clear" w:color="auto" w:fill="auto"/>
          </w:tcPr>
          <w:p w:rsidR="00207C3A" w:rsidRPr="00207C3A" w:rsidRDefault="00207C3A" w:rsidP="00D14BF0">
            <w:pPr>
              <w:spacing w:before="60" w:after="0" w:line="240" w:lineRule="auto"/>
              <w:rPr>
                <w:rFonts w:ascii="Arial" w:eastAsia="Calibri" w:hAnsi="Arial" w:cs="Arial"/>
                <w:sz w:val="18"/>
                <w:szCs w:val="18"/>
                <w:lang w:val="es-ES"/>
              </w:rPr>
            </w:pPr>
            <w:r>
              <w:rPr>
                <w:rFonts w:ascii="Arial" w:eastAsia="Calibri" w:hAnsi="Arial" w:cs="Arial"/>
                <w:sz w:val="18"/>
                <w:szCs w:val="18"/>
                <w:lang w:val="es-ES"/>
              </w:rPr>
              <w:t>MD</w:t>
            </w:r>
          </w:p>
        </w:tc>
      </w:tr>
      <w:tr w:rsidR="00207C3A" w:rsidRPr="00DC0642" w:rsidTr="00DF6458">
        <w:tc>
          <w:tcPr>
            <w:tcW w:w="4666" w:type="dxa"/>
            <w:shd w:val="clear" w:color="auto" w:fill="auto"/>
          </w:tcPr>
          <w:p w:rsidR="0073534F" w:rsidRPr="0073534F" w:rsidRDefault="00207C3A" w:rsidP="00A31B79">
            <w:pPr>
              <w:tabs>
                <w:tab w:val="left" w:pos="630"/>
              </w:tabs>
              <w:spacing w:before="60" w:after="60" w:line="240" w:lineRule="auto"/>
              <w:ind w:left="630" w:hanging="630"/>
              <w:rPr>
                <w:rFonts w:ascii="Arial" w:eastAsia="Calibri" w:hAnsi="Arial" w:cs="Arial"/>
                <w:sz w:val="18"/>
                <w:szCs w:val="18"/>
                <w:lang w:val="es-ES"/>
              </w:rPr>
            </w:pPr>
            <w:r>
              <w:rPr>
                <w:rFonts w:ascii="Arial" w:eastAsia="Calibri" w:hAnsi="Arial" w:cs="Arial"/>
                <w:sz w:val="18"/>
                <w:szCs w:val="18"/>
                <w:lang w:val="es-DO"/>
              </w:rPr>
              <w:lastRenderedPageBreak/>
              <w:t>(2.</w:t>
            </w:r>
            <w:r w:rsidR="003D2545">
              <w:rPr>
                <w:rFonts w:ascii="Arial" w:eastAsia="Calibri" w:hAnsi="Arial" w:cs="Arial"/>
                <w:sz w:val="18"/>
                <w:szCs w:val="18"/>
                <w:lang w:val="es-DO"/>
              </w:rPr>
              <w:t>8</w:t>
            </w:r>
            <w:r w:rsidRPr="006003B1">
              <w:rPr>
                <w:rFonts w:ascii="Arial" w:eastAsia="Calibri" w:hAnsi="Arial" w:cs="Arial"/>
                <w:sz w:val="18"/>
                <w:szCs w:val="18"/>
                <w:lang w:val="es-DO"/>
              </w:rPr>
              <w:t>)</w:t>
            </w:r>
            <w:r w:rsidRPr="006003B1">
              <w:rPr>
                <w:rFonts w:ascii="Arial" w:hAnsi="Arial" w:cs="Arial"/>
                <w:sz w:val="18"/>
                <w:szCs w:val="18"/>
                <w:lang w:val="es-DO"/>
              </w:rPr>
              <w:t xml:space="preserve">    </w:t>
            </w:r>
            <w:r w:rsidR="0073534F" w:rsidRPr="0073534F">
              <w:rPr>
                <w:rFonts w:ascii="Arial" w:eastAsia="Calibri" w:hAnsi="Arial" w:cs="Arial"/>
                <w:sz w:val="18"/>
                <w:szCs w:val="18"/>
                <w:lang w:val="es-ES"/>
              </w:rPr>
              <w:t xml:space="preserve">Aprobación de al menos uno de los principales instrumentos estratégicos en cambio climático  que incorpora la GRD. </w:t>
            </w:r>
          </w:p>
          <w:p w:rsidR="00207C3A" w:rsidRPr="00BC2889" w:rsidRDefault="00207C3A" w:rsidP="00A31B79">
            <w:pPr>
              <w:tabs>
                <w:tab w:val="left" w:pos="630"/>
              </w:tabs>
              <w:spacing w:before="60" w:after="60" w:line="240" w:lineRule="auto"/>
              <w:rPr>
                <w:rFonts w:ascii="Arial" w:eastAsia="Calibri" w:hAnsi="Arial" w:cs="Arial"/>
                <w:sz w:val="18"/>
                <w:szCs w:val="18"/>
                <w:lang w:val="es-ES"/>
              </w:rPr>
            </w:pPr>
            <w:r w:rsidRPr="00BC2889">
              <w:rPr>
                <w:rFonts w:ascii="Arial" w:eastAsia="Calibri" w:hAnsi="Arial" w:cs="Arial"/>
                <w:sz w:val="18"/>
                <w:szCs w:val="18"/>
                <w:lang w:val="es-ES"/>
              </w:rPr>
              <w:t xml:space="preserve">. </w:t>
            </w:r>
          </w:p>
        </w:tc>
        <w:tc>
          <w:tcPr>
            <w:tcW w:w="5615" w:type="dxa"/>
            <w:shd w:val="clear" w:color="auto" w:fill="auto"/>
          </w:tcPr>
          <w:p w:rsidR="0073534F" w:rsidRPr="00A4459A" w:rsidRDefault="0073534F" w:rsidP="00163452">
            <w:pPr>
              <w:spacing w:after="0" w:line="240" w:lineRule="auto"/>
              <w:rPr>
                <w:rFonts w:ascii="Arial" w:hAnsi="Arial" w:cs="Arial"/>
                <w:sz w:val="18"/>
                <w:lang w:val="es-ES"/>
              </w:rPr>
            </w:pPr>
            <w:r w:rsidRPr="00A4459A">
              <w:rPr>
                <w:rFonts w:ascii="Arial" w:hAnsi="Arial" w:cs="Arial"/>
                <w:sz w:val="18"/>
                <w:lang w:val="es-ES"/>
              </w:rPr>
              <w:t>Resolución ministerial del MMAyA  que aprueba la Política Plurinacional de CC.</w:t>
            </w:r>
          </w:p>
          <w:p w:rsidR="00207C3A" w:rsidRPr="0073534F" w:rsidRDefault="00207C3A" w:rsidP="00537651">
            <w:pPr>
              <w:pStyle w:val="ListParagraph"/>
              <w:autoSpaceDE w:val="0"/>
              <w:autoSpaceDN w:val="0"/>
              <w:adjustRightInd w:val="0"/>
              <w:spacing w:before="60" w:after="60" w:line="240" w:lineRule="auto"/>
              <w:ind w:left="374"/>
              <w:contextualSpacing w:val="0"/>
              <w:rPr>
                <w:rFonts w:ascii="Arial" w:eastAsia="Calibri" w:hAnsi="Arial" w:cs="Arial"/>
                <w:sz w:val="18"/>
                <w:szCs w:val="18"/>
                <w:lang w:val="es-ES"/>
              </w:rPr>
            </w:pPr>
          </w:p>
        </w:tc>
        <w:tc>
          <w:tcPr>
            <w:tcW w:w="2669" w:type="dxa"/>
            <w:shd w:val="clear" w:color="auto" w:fill="auto"/>
          </w:tcPr>
          <w:p w:rsidR="00207C3A" w:rsidRPr="0073534F" w:rsidRDefault="0073534F" w:rsidP="00DC0642">
            <w:pPr>
              <w:spacing w:before="60" w:after="0" w:line="240" w:lineRule="auto"/>
              <w:rPr>
                <w:rFonts w:ascii="Arial" w:eastAsia="Calibri" w:hAnsi="Arial" w:cs="Arial"/>
                <w:sz w:val="18"/>
                <w:szCs w:val="18"/>
                <w:lang w:val="es-ES"/>
              </w:rPr>
            </w:pPr>
            <w:r>
              <w:rPr>
                <w:rFonts w:ascii="Arial" w:eastAsia="Calibri" w:hAnsi="Arial" w:cs="Arial"/>
                <w:sz w:val="18"/>
                <w:szCs w:val="18"/>
                <w:lang w:val="es-ES"/>
              </w:rPr>
              <w:t>APMT y MMAyA</w:t>
            </w:r>
          </w:p>
        </w:tc>
      </w:tr>
      <w:tr w:rsidR="00207C3A" w:rsidRPr="001D7A5C" w:rsidTr="00DF6458">
        <w:tc>
          <w:tcPr>
            <w:tcW w:w="12950" w:type="dxa"/>
            <w:gridSpan w:val="3"/>
            <w:shd w:val="clear" w:color="auto" w:fill="D9D9D9"/>
          </w:tcPr>
          <w:p w:rsidR="00207C3A" w:rsidRPr="006003B1" w:rsidRDefault="00207C3A" w:rsidP="00D14BF0">
            <w:pPr>
              <w:spacing w:after="0" w:line="240" w:lineRule="auto"/>
              <w:rPr>
                <w:rFonts w:ascii="Arial" w:hAnsi="Arial" w:cs="Arial"/>
                <w:b/>
                <w:sz w:val="18"/>
                <w:szCs w:val="18"/>
                <w:lang w:val="es-DO"/>
              </w:rPr>
            </w:pPr>
            <w:r w:rsidRPr="006003B1">
              <w:rPr>
                <w:rFonts w:ascii="Arial" w:hAnsi="Arial" w:cs="Arial"/>
                <w:b/>
                <w:sz w:val="18"/>
                <w:szCs w:val="18"/>
                <w:lang w:val="es-DO"/>
              </w:rPr>
              <w:t xml:space="preserve">Componente III. </w:t>
            </w:r>
            <w:r w:rsidR="00B76C9C" w:rsidRPr="00B76C9C">
              <w:rPr>
                <w:rFonts w:ascii="Arial" w:hAnsi="Arial" w:cs="Arial"/>
                <w:b/>
                <w:sz w:val="18"/>
                <w:szCs w:val="18"/>
                <w:lang w:val="es-ES_tradnl"/>
              </w:rPr>
              <w:t>Desarrollo Normativo, Institucional y de Instrumentos de Gestión Sectorial y Territorial</w:t>
            </w:r>
          </w:p>
        </w:tc>
      </w:tr>
      <w:tr w:rsidR="001E5BE4" w:rsidRPr="001E5BE4" w:rsidTr="00DF6458">
        <w:tc>
          <w:tcPr>
            <w:tcW w:w="12950" w:type="dxa"/>
            <w:gridSpan w:val="3"/>
            <w:shd w:val="clear" w:color="auto" w:fill="D9D9D9"/>
          </w:tcPr>
          <w:p w:rsidR="001E5BE4" w:rsidRPr="001E5BE4" w:rsidRDefault="001E5BE4" w:rsidP="00D14BF0">
            <w:pPr>
              <w:spacing w:after="0" w:line="240" w:lineRule="auto"/>
              <w:rPr>
                <w:rFonts w:ascii="Arial" w:hAnsi="Arial" w:cs="Arial"/>
                <w:b/>
                <w:i/>
                <w:sz w:val="18"/>
                <w:szCs w:val="18"/>
                <w:lang w:val="es-DO"/>
              </w:rPr>
            </w:pPr>
            <w:r w:rsidRPr="001E5BE4">
              <w:rPr>
                <w:rFonts w:ascii="Arial" w:hAnsi="Arial" w:cs="Arial"/>
                <w:b/>
                <w:i/>
                <w:sz w:val="18"/>
                <w:szCs w:val="18"/>
                <w:lang w:val="es-DO"/>
              </w:rPr>
              <w:t>Eje 1. Identificación del Riesgo</w:t>
            </w:r>
          </w:p>
        </w:tc>
      </w:tr>
      <w:tr w:rsidR="00207C3A" w:rsidRPr="006657AF" w:rsidTr="00DF6458">
        <w:tc>
          <w:tcPr>
            <w:tcW w:w="4666" w:type="dxa"/>
            <w:shd w:val="clear" w:color="auto" w:fill="auto"/>
          </w:tcPr>
          <w:p w:rsidR="00207C3A" w:rsidRPr="00DC0642" w:rsidRDefault="00B76C9C" w:rsidP="00283E3E">
            <w:pPr>
              <w:tabs>
                <w:tab w:val="left" w:pos="630"/>
              </w:tabs>
              <w:spacing w:before="60" w:after="60" w:line="240" w:lineRule="auto"/>
              <w:ind w:left="634" w:hanging="634"/>
              <w:rPr>
                <w:rFonts w:ascii="Arial" w:hAnsi="Arial" w:cs="Arial"/>
                <w:sz w:val="18"/>
                <w:szCs w:val="18"/>
                <w:lang w:val="es-DO"/>
              </w:rPr>
            </w:pPr>
            <w:r w:rsidRPr="00DC0642">
              <w:rPr>
                <w:rFonts w:ascii="Arial" w:hAnsi="Arial" w:cs="Arial"/>
                <w:sz w:val="18"/>
                <w:szCs w:val="18"/>
                <w:lang w:val="es-ES"/>
              </w:rPr>
              <w:t>(3</w:t>
            </w:r>
            <w:r w:rsidR="00207C3A" w:rsidRPr="00DC0642">
              <w:rPr>
                <w:rFonts w:ascii="Arial" w:hAnsi="Arial" w:cs="Arial"/>
                <w:sz w:val="18"/>
                <w:szCs w:val="18"/>
                <w:lang w:val="es-ES"/>
              </w:rPr>
              <w:t xml:space="preserve">.1) </w:t>
            </w:r>
            <w:r w:rsidRPr="00DC0642">
              <w:rPr>
                <w:rFonts w:ascii="Arial" w:hAnsi="Arial" w:cs="Arial"/>
                <w:sz w:val="18"/>
                <w:szCs w:val="18"/>
                <w:lang w:val="es-ES"/>
              </w:rPr>
              <w:t xml:space="preserve">    </w:t>
            </w:r>
            <w:r w:rsidR="00283E3E" w:rsidRPr="00DC0642">
              <w:rPr>
                <w:rFonts w:ascii="Arial" w:hAnsi="Arial" w:cs="Arial"/>
                <w:sz w:val="18"/>
                <w:szCs w:val="18"/>
                <w:lang w:val="es-ES"/>
              </w:rPr>
              <w:t>Aprob</w:t>
            </w:r>
            <w:r w:rsidRPr="00DC0642">
              <w:rPr>
                <w:rFonts w:ascii="Arial" w:hAnsi="Arial" w:cs="Arial"/>
                <w:sz w:val="18"/>
                <w:szCs w:val="18"/>
                <w:lang w:val="es-ES"/>
              </w:rPr>
              <w:t xml:space="preserve">ación de normatividad que designe responsables de brindar asistencia técnica y lineamientos estratégicos para </w:t>
            </w:r>
            <w:r w:rsidR="00443A23" w:rsidRPr="00DC0642">
              <w:rPr>
                <w:rFonts w:ascii="Arial" w:hAnsi="Arial" w:cs="Arial"/>
                <w:sz w:val="18"/>
                <w:szCs w:val="18"/>
                <w:lang w:val="es-ES"/>
              </w:rPr>
              <w:t xml:space="preserve">incorporar </w:t>
            </w:r>
            <w:r w:rsidRPr="00DC0642">
              <w:rPr>
                <w:rFonts w:ascii="Arial" w:hAnsi="Arial" w:cs="Arial"/>
                <w:sz w:val="18"/>
                <w:szCs w:val="18"/>
                <w:lang w:val="es-ES"/>
              </w:rPr>
              <w:t>el análisis del riesgo de desastres</w:t>
            </w:r>
            <w:r w:rsidR="00443A23" w:rsidRPr="00DC0642">
              <w:rPr>
                <w:rFonts w:ascii="Arial" w:hAnsi="Arial" w:cs="Arial"/>
                <w:sz w:val="18"/>
                <w:szCs w:val="18"/>
                <w:lang w:val="es-ES"/>
              </w:rPr>
              <w:t xml:space="preserve"> en la planificación del desarrollo</w:t>
            </w:r>
            <w:r w:rsidRPr="00DC0642">
              <w:rPr>
                <w:rFonts w:ascii="Arial" w:hAnsi="Arial" w:cs="Arial"/>
                <w:sz w:val="18"/>
                <w:szCs w:val="18"/>
                <w:lang w:val="es-ES"/>
              </w:rPr>
              <w:t>.</w:t>
            </w:r>
          </w:p>
        </w:tc>
        <w:tc>
          <w:tcPr>
            <w:tcW w:w="5615" w:type="dxa"/>
            <w:shd w:val="clear" w:color="auto" w:fill="auto"/>
          </w:tcPr>
          <w:p w:rsidR="00207C3A" w:rsidRPr="00163452" w:rsidRDefault="00B76C9C" w:rsidP="00163452">
            <w:pPr>
              <w:spacing w:before="60" w:after="60" w:line="240" w:lineRule="auto"/>
              <w:rPr>
                <w:rFonts w:ascii="Arial" w:hAnsi="Arial" w:cs="Arial"/>
                <w:sz w:val="18"/>
                <w:szCs w:val="18"/>
                <w:lang w:val="es-DO"/>
              </w:rPr>
            </w:pPr>
            <w:r w:rsidRPr="00163452">
              <w:rPr>
                <w:rFonts w:ascii="Arial" w:hAnsi="Arial" w:cs="Arial"/>
                <w:sz w:val="18"/>
                <w:szCs w:val="18"/>
                <w:lang w:val="es-ES"/>
              </w:rPr>
              <w:t>Ley del SPIE</w:t>
            </w:r>
            <w:r w:rsidR="0006741A" w:rsidRPr="00163452">
              <w:rPr>
                <w:rFonts w:ascii="Arial" w:hAnsi="Arial" w:cs="Arial"/>
                <w:sz w:val="18"/>
                <w:szCs w:val="18"/>
                <w:lang w:val="es-ES"/>
              </w:rPr>
              <w:t xml:space="preserve"> </w:t>
            </w:r>
            <w:r w:rsidR="0006741A" w:rsidRPr="00163452">
              <w:rPr>
                <w:rFonts w:ascii="Arial" w:eastAsia="Calibri" w:hAnsi="Arial" w:cs="Arial"/>
                <w:sz w:val="18"/>
                <w:szCs w:val="18"/>
                <w:lang w:val="es-ES"/>
              </w:rPr>
              <w:t xml:space="preserve">No. </w:t>
            </w:r>
            <w:r w:rsidR="006657AF" w:rsidRPr="00163452">
              <w:rPr>
                <w:rFonts w:ascii="Arial" w:eastAsia="Calibri" w:hAnsi="Arial" w:cs="Arial"/>
                <w:sz w:val="18"/>
                <w:szCs w:val="18"/>
                <w:lang w:val="es-ES"/>
              </w:rPr>
              <w:t>777</w:t>
            </w:r>
            <w:r w:rsidR="004C7042" w:rsidRPr="00163452">
              <w:rPr>
                <w:rFonts w:ascii="Arial" w:eastAsia="Calibri" w:hAnsi="Arial" w:cs="Arial"/>
                <w:sz w:val="18"/>
                <w:szCs w:val="18"/>
                <w:lang w:val="es-ES"/>
              </w:rPr>
              <w:t xml:space="preserve"> del 21 de enero de 2016</w:t>
            </w:r>
          </w:p>
        </w:tc>
        <w:tc>
          <w:tcPr>
            <w:tcW w:w="2669" w:type="dxa"/>
            <w:shd w:val="clear" w:color="auto" w:fill="auto"/>
          </w:tcPr>
          <w:p w:rsidR="00207C3A" w:rsidRPr="006003B1" w:rsidRDefault="00FD1EF5" w:rsidP="00D14BF0">
            <w:pPr>
              <w:spacing w:before="60" w:after="0" w:line="240" w:lineRule="auto"/>
              <w:rPr>
                <w:rFonts w:ascii="Arial" w:hAnsi="Arial" w:cs="Arial"/>
                <w:sz w:val="18"/>
                <w:szCs w:val="18"/>
                <w:lang w:val="es-DO"/>
              </w:rPr>
            </w:pPr>
            <w:r>
              <w:rPr>
                <w:rFonts w:ascii="Arial" w:hAnsi="Arial" w:cs="Arial"/>
                <w:sz w:val="18"/>
                <w:szCs w:val="18"/>
                <w:lang w:val="es-DO"/>
              </w:rPr>
              <w:t>MPD/VPC</w:t>
            </w:r>
          </w:p>
        </w:tc>
      </w:tr>
      <w:tr w:rsidR="00207C3A" w:rsidRPr="006003B1" w:rsidTr="00DF6458">
        <w:tc>
          <w:tcPr>
            <w:tcW w:w="4666" w:type="dxa"/>
            <w:shd w:val="clear" w:color="auto" w:fill="auto"/>
          </w:tcPr>
          <w:p w:rsidR="00207C3A" w:rsidRPr="00DC0642" w:rsidRDefault="00B76C9C" w:rsidP="00A31B79">
            <w:pPr>
              <w:tabs>
                <w:tab w:val="left" w:pos="630"/>
              </w:tabs>
              <w:spacing w:before="60" w:after="60" w:line="240" w:lineRule="auto"/>
              <w:ind w:left="634" w:hanging="634"/>
              <w:rPr>
                <w:rFonts w:ascii="Arial" w:hAnsi="Arial" w:cs="Arial"/>
                <w:sz w:val="18"/>
                <w:szCs w:val="18"/>
                <w:lang w:val="es-DO"/>
              </w:rPr>
            </w:pPr>
            <w:r w:rsidRPr="00DC0642">
              <w:rPr>
                <w:rFonts w:ascii="Arial" w:hAnsi="Arial" w:cs="Arial"/>
                <w:sz w:val="18"/>
                <w:szCs w:val="18"/>
                <w:lang w:val="es-DO"/>
              </w:rPr>
              <w:t>(3.2</w:t>
            </w:r>
            <w:r w:rsidR="00207C3A" w:rsidRPr="00DC0642">
              <w:rPr>
                <w:rFonts w:ascii="Arial" w:hAnsi="Arial" w:cs="Arial"/>
                <w:sz w:val="18"/>
                <w:szCs w:val="18"/>
                <w:lang w:val="es-DO"/>
              </w:rPr>
              <w:t xml:space="preserve">)     </w:t>
            </w:r>
            <w:r w:rsidR="00DA6B75" w:rsidRPr="00DC0642">
              <w:rPr>
                <w:rFonts w:ascii="Arial" w:hAnsi="Arial" w:cs="Arial"/>
                <w:sz w:val="18"/>
                <w:szCs w:val="18"/>
                <w:lang w:val="es-DO"/>
              </w:rPr>
              <w:t xml:space="preserve">Aprobación de </w:t>
            </w:r>
            <w:r w:rsidRPr="00DC0642">
              <w:rPr>
                <w:rFonts w:ascii="Arial" w:hAnsi="Arial" w:cs="Arial"/>
                <w:sz w:val="18"/>
                <w:szCs w:val="18"/>
                <w:lang w:val="es-ES"/>
              </w:rPr>
              <w:t>Metodología y lineamientos estratégicos para la incorporación del análisis de riesgo en al menos un tipo de plan de desarrollo.</w:t>
            </w:r>
          </w:p>
        </w:tc>
        <w:tc>
          <w:tcPr>
            <w:tcW w:w="5615" w:type="dxa"/>
            <w:shd w:val="clear" w:color="auto" w:fill="auto"/>
          </w:tcPr>
          <w:p w:rsidR="00207C3A" w:rsidRPr="00163452" w:rsidRDefault="00C44587" w:rsidP="00A31B79">
            <w:pPr>
              <w:spacing w:before="60" w:after="60" w:line="240" w:lineRule="auto"/>
              <w:rPr>
                <w:rFonts w:ascii="Arial" w:hAnsi="Arial" w:cs="Arial"/>
                <w:sz w:val="18"/>
                <w:szCs w:val="18"/>
                <w:lang w:val="es-ES"/>
              </w:rPr>
            </w:pPr>
            <w:r w:rsidRPr="00163452">
              <w:rPr>
                <w:rFonts w:ascii="Arial" w:hAnsi="Arial" w:cs="Arial"/>
                <w:sz w:val="18"/>
                <w:szCs w:val="18"/>
                <w:lang w:val="es-ES"/>
              </w:rPr>
              <w:t>Resolución Ministerial</w:t>
            </w:r>
            <w:r w:rsidR="00884C51" w:rsidRPr="00163452">
              <w:rPr>
                <w:rFonts w:ascii="Arial" w:hAnsi="Arial" w:cs="Arial"/>
                <w:sz w:val="18"/>
                <w:szCs w:val="18"/>
                <w:lang w:val="es-ES"/>
              </w:rPr>
              <w:t xml:space="preserve"> </w:t>
            </w:r>
            <w:r w:rsidR="00D1642E" w:rsidRPr="00D1642E">
              <w:rPr>
                <w:rFonts w:ascii="Arial" w:hAnsi="Arial" w:cs="Arial"/>
                <w:sz w:val="18"/>
                <w:szCs w:val="18"/>
                <w:lang w:val="es-ES"/>
              </w:rPr>
              <w:t xml:space="preserve">No. 018 del 11 de febrero de 2016 </w:t>
            </w:r>
            <w:r w:rsidR="00884C51" w:rsidRPr="00163452">
              <w:rPr>
                <w:rFonts w:ascii="Arial" w:hAnsi="Arial" w:cs="Arial"/>
                <w:sz w:val="18"/>
                <w:szCs w:val="18"/>
                <w:lang w:val="es-ES"/>
              </w:rPr>
              <w:t xml:space="preserve">que aprueba los Lineamientos metodológicos para la formulación de los planes sectoriales </w:t>
            </w:r>
            <w:r w:rsidR="00D1642E">
              <w:rPr>
                <w:rFonts w:ascii="Arial" w:hAnsi="Arial" w:cs="Arial"/>
                <w:sz w:val="18"/>
                <w:szCs w:val="18"/>
                <w:lang w:val="es-ES"/>
              </w:rPr>
              <w:t xml:space="preserve">y territoriales </w:t>
            </w:r>
            <w:r w:rsidR="00884C51" w:rsidRPr="00163452">
              <w:rPr>
                <w:rFonts w:ascii="Arial" w:hAnsi="Arial" w:cs="Arial"/>
                <w:sz w:val="18"/>
                <w:szCs w:val="18"/>
                <w:lang w:val="es-ES"/>
              </w:rPr>
              <w:t>de desarrollo integral</w:t>
            </w:r>
            <w:r w:rsidR="00FD1EF5" w:rsidRPr="00163452">
              <w:rPr>
                <w:rFonts w:ascii="Arial" w:hAnsi="Arial" w:cs="Arial"/>
                <w:sz w:val="18"/>
                <w:szCs w:val="18"/>
                <w:lang w:val="es-ES"/>
              </w:rPr>
              <w:t>.</w:t>
            </w:r>
          </w:p>
        </w:tc>
        <w:tc>
          <w:tcPr>
            <w:tcW w:w="2669" w:type="dxa"/>
            <w:shd w:val="clear" w:color="auto" w:fill="auto"/>
          </w:tcPr>
          <w:p w:rsidR="00207C3A" w:rsidRPr="006003B1" w:rsidRDefault="00FD1EF5" w:rsidP="00D14BF0">
            <w:pPr>
              <w:spacing w:before="60" w:after="0" w:line="240" w:lineRule="auto"/>
              <w:rPr>
                <w:rFonts w:ascii="Arial" w:hAnsi="Arial" w:cs="Arial"/>
                <w:sz w:val="18"/>
                <w:szCs w:val="18"/>
                <w:lang w:val="es-DO"/>
              </w:rPr>
            </w:pPr>
            <w:r>
              <w:rPr>
                <w:rFonts w:ascii="Arial" w:hAnsi="Arial" w:cs="Arial"/>
                <w:sz w:val="18"/>
                <w:szCs w:val="18"/>
                <w:lang w:val="es-DO"/>
              </w:rPr>
              <w:t>MPD/VPC</w:t>
            </w:r>
          </w:p>
        </w:tc>
      </w:tr>
      <w:tr w:rsidR="00B76C9C" w:rsidRPr="00FD1EF5" w:rsidTr="00B76C9C">
        <w:trPr>
          <w:trHeight w:val="854"/>
        </w:trPr>
        <w:tc>
          <w:tcPr>
            <w:tcW w:w="4666" w:type="dxa"/>
            <w:shd w:val="clear" w:color="auto" w:fill="auto"/>
          </w:tcPr>
          <w:p w:rsidR="00B76C9C" w:rsidRPr="00163452" w:rsidRDefault="00B76C9C" w:rsidP="00A31B79">
            <w:pPr>
              <w:spacing w:before="60" w:after="60" w:line="240" w:lineRule="auto"/>
              <w:ind w:left="634" w:hanging="634"/>
              <w:rPr>
                <w:rFonts w:ascii="Arial" w:hAnsi="Arial" w:cs="Arial"/>
                <w:sz w:val="18"/>
                <w:szCs w:val="18"/>
                <w:lang w:val="es-DO"/>
              </w:rPr>
            </w:pPr>
            <w:r w:rsidRPr="00163452">
              <w:rPr>
                <w:rFonts w:ascii="Arial" w:hAnsi="Arial" w:cs="Arial"/>
                <w:sz w:val="18"/>
                <w:szCs w:val="18"/>
                <w:lang w:val="es-DO"/>
              </w:rPr>
              <w:t>(</w:t>
            </w:r>
            <w:r w:rsidR="00FD1EF5" w:rsidRPr="00163452">
              <w:rPr>
                <w:rFonts w:ascii="Arial" w:hAnsi="Arial" w:cs="Arial"/>
                <w:sz w:val="18"/>
                <w:szCs w:val="18"/>
                <w:lang w:val="es-DO"/>
              </w:rPr>
              <w:t>3.3</w:t>
            </w:r>
            <w:r w:rsidRPr="00163452">
              <w:rPr>
                <w:rFonts w:ascii="Arial" w:hAnsi="Arial" w:cs="Arial"/>
                <w:sz w:val="18"/>
                <w:szCs w:val="18"/>
                <w:lang w:val="es-DO"/>
              </w:rPr>
              <w:t xml:space="preserve">) </w:t>
            </w:r>
            <w:r w:rsidRPr="00163452">
              <w:rPr>
                <w:rFonts w:ascii="Arial" w:hAnsi="Arial" w:cs="Arial"/>
                <w:sz w:val="18"/>
                <w:szCs w:val="18"/>
                <w:lang w:val="es-DO"/>
              </w:rPr>
              <w:tab/>
            </w:r>
            <w:r w:rsidR="00FD1EF5" w:rsidRPr="00163452">
              <w:rPr>
                <w:rFonts w:ascii="Arial" w:hAnsi="Arial" w:cs="Arial"/>
                <w:sz w:val="18"/>
                <w:szCs w:val="18"/>
                <w:lang w:val="es-DO"/>
              </w:rPr>
              <w:t>Incorporación de la GRD en el Sistema de Información del Sistema de Planificación Integral del Estado (INFO-SPIE).</w:t>
            </w:r>
          </w:p>
        </w:tc>
        <w:tc>
          <w:tcPr>
            <w:tcW w:w="5615" w:type="dxa"/>
            <w:shd w:val="clear" w:color="auto" w:fill="auto"/>
          </w:tcPr>
          <w:p w:rsidR="00B76C9C" w:rsidRPr="00163452" w:rsidRDefault="00FD1EF5" w:rsidP="00A31B79">
            <w:pPr>
              <w:spacing w:before="60" w:after="60" w:line="240" w:lineRule="auto"/>
              <w:rPr>
                <w:rFonts w:ascii="Arial" w:hAnsi="Arial" w:cs="Arial"/>
                <w:sz w:val="18"/>
                <w:szCs w:val="18"/>
                <w:lang w:val="es-DO"/>
              </w:rPr>
            </w:pPr>
            <w:r w:rsidRPr="00163452">
              <w:rPr>
                <w:rFonts w:ascii="Arial" w:hAnsi="Arial" w:cs="Arial"/>
                <w:sz w:val="18"/>
                <w:szCs w:val="18"/>
                <w:lang w:val="es-DO"/>
              </w:rPr>
              <w:t>Impresión del portal  web del INFO-SPIE.</w:t>
            </w:r>
          </w:p>
        </w:tc>
        <w:tc>
          <w:tcPr>
            <w:tcW w:w="2669" w:type="dxa"/>
            <w:shd w:val="clear" w:color="auto" w:fill="auto"/>
          </w:tcPr>
          <w:p w:rsidR="00B76C9C" w:rsidRPr="006003B1" w:rsidRDefault="00FD1EF5" w:rsidP="00D14BF0">
            <w:pPr>
              <w:spacing w:after="0" w:line="240" w:lineRule="auto"/>
              <w:rPr>
                <w:rFonts w:ascii="Arial" w:hAnsi="Arial" w:cs="Arial"/>
                <w:sz w:val="18"/>
                <w:szCs w:val="18"/>
                <w:lang w:val="es-DO"/>
              </w:rPr>
            </w:pPr>
            <w:r>
              <w:rPr>
                <w:rFonts w:ascii="Arial" w:hAnsi="Arial" w:cs="Arial"/>
                <w:sz w:val="18"/>
                <w:szCs w:val="18"/>
                <w:lang w:val="es-DO"/>
              </w:rPr>
              <w:t>MPD/VPC</w:t>
            </w:r>
          </w:p>
        </w:tc>
      </w:tr>
      <w:tr w:rsidR="00207C3A" w:rsidRPr="00EE23FC" w:rsidTr="00DF6458">
        <w:tc>
          <w:tcPr>
            <w:tcW w:w="4666" w:type="dxa"/>
            <w:shd w:val="clear" w:color="auto" w:fill="auto"/>
          </w:tcPr>
          <w:p w:rsidR="00207C3A" w:rsidRPr="00163452" w:rsidRDefault="00207C3A" w:rsidP="001C7FAB">
            <w:pPr>
              <w:spacing w:before="60" w:after="60" w:line="240" w:lineRule="auto"/>
              <w:ind w:left="634" w:hanging="634"/>
              <w:rPr>
                <w:rFonts w:ascii="Arial" w:hAnsi="Arial" w:cs="Arial"/>
                <w:sz w:val="18"/>
                <w:szCs w:val="18"/>
                <w:lang w:val="es-DO"/>
              </w:rPr>
            </w:pPr>
            <w:r w:rsidRPr="00163452">
              <w:rPr>
                <w:rFonts w:ascii="Arial" w:hAnsi="Arial" w:cs="Arial"/>
                <w:sz w:val="18"/>
                <w:szCs w:val="18"/>
                <w:lang w:val="es-DO"/>
              </w:rPr>
              <w:t>(</w:t>
            </w:r>
            <w:r w:rsidR="003D2545" w:rsidRPr="00163452">
              <w:rPr>
                <w:rFonts w:ascii="Arial" w:hAnsi="Arial" w:cs="Arial"/>
                <w:sz w:val="18"/>
                <w:szCs w:val="18"/>
                <w:lang w:val="es-DO"/>
              </w:rPr>
              <w:t>3.4</w:t>
            </w:r>
            <w:r w:rsidRPr="00163452">
              <w:rPr>
                <w:rFonts w:ascii="Arial" w:hAnsi="Arial" w:cs="Arial"/>
                <w:sz w:val="18"/>
                <w:szCs w:val="18"/>
                <w:lang w:val="es-DO"/>
              </w:rPr>
              <w:t xml:space="preserve">)   </w:t>
            </w:r>
            <w:r w:rsidR="00FD1EF5" w:rsidRPr="00163452">
              <w:rPr>
                <w:rFonts w:ascii="Arial" w:hAnsi="Arial" w:cs="Arial"/>
                <w:sz w:val="18"/>
                <w:szCs w:val="18"/>
                <w:lang w:val="es-DO"/>
              </w:rPr>
              <w:t xml:space="preserve">  Elaboración </w:t>
            </w:r>
            <w:r w:rsidR="001C7FAB" w:rsidRPr="00163452">
              <w:rPr>
                <w:rFonts w:ascii="Arial" w:hAnsi="Arial" w:cs="Arial"/>
                <w:sz w:val="18"/>
                <w:szCs w:val="18"/>
                <w:lang w:val="es-DO"/>
              </w:rPr>
              <w:t>de lineamientos</w:t>
            </w:r>
            <w:r w:rsidR="00FD1EF5" w:rsidRPr="00163452">
              <w:rPr>
                <w:rFonts w:ascii="Arial" w:hAnsi="Arial" w:cs="Arial"/>
                <w:sz w:val="18"/>
                <w:szCs w:val="18"/>
                <w:lang w:val="es-DO"/>
              </w:rPr>
              <w:t xml:space="preserve"> para sustentar el diseño del Sistema Plurinacional de Información y Monitoreo Integral de la Madre Tierra y Cambio Climático (Sistema-MTCC).</w:t>
            </w:r>
          </w:p>
        </w:tc>
        <w:tc>
          <w:tcPr>
            <w:tcW w:w="5615" w:type="dxa"/>
            <w:shd w:val="clear" w:color="auto" w:fill="auto"/>
          </w:tcPr>
          <w:p w:rsidR="00207C3A" w:rsidRPr="00163452" w:rsidRDefault="001C7FAB" w:rsidP="00A31B79">
            <w:pPr>
              <w:spacing w:before="60" w:after="60" w:line="240" w:lineRule="auto"/>
              <w:rPr>
                <w:rFonts w:ascii="Arial" w:hAnsi="Arial" w:cs="Arial"/>
                <w:sz w:val="18"/>
                <w:szCs w:val="18"/>
                <w:lang w:val="es-DO"/>
              </w:rPr>
            </w:pPr>
            <w:r w:rsidRPr="00163452">
              <w:rPr>
                <w:rFonts w:ascii="Arial" w:hAnsi="Arial" w:cs="Arial"/>
                <w:sz w:val="18"/>
                <w:szCs w:val="18"/>
                <w:lang w:val="es-ES"/>
              </w:rPr>
              <w:t xml:space="preserve">Lineamientos para el diseño del Sistema-MTCC </w:t>
            </w:r>
            <w:r w:rsidR="00FD1EF5" w:rsidRPr="00163452">
              <w:rPr>
                <w:rFonts w:ascii="Arial" w:hAnsi="Arial" w:cs="Arial"/>
                <w:sz w:val="18"/>
                <w:szCs w:val="18"/>
                <w:lang w:val="es-ES"/>
              </w:rPr>
              <w:t>con el Vo Bo de Director Ejecutivo de la APMT.</w:t>
            </w:r>
          </w:p>
        </w:tc>
        <w:tc>
          <w:tcPr>
            <w:tcW w:w="2669" w:type="dxa"/>
            <w:shd w:val="clear" w:color="auto" w:fill="auto"/>
          </w:tcPr>
          <w:p w:rsidR="00207C3A" w:rsidRPr="006003B1" w:rsidRDefault="00FD1EF5" w:rsidP="00D14BF0">
            <w:pPr>
              <w:spacing w:before="60" w:after="0" w:line="240" w:lineRule="auto"/>
              <w:rPr>
                <w:rFonts w:ascii="Arial" w:hAnsi="Arial" w:cs="Arial"/>
                <w:sz w:val="18"/>
                <w:szCs w:val="18"/>
                <w:lang w:val="es-DO"/>
              </w:rPr>
            </w:pPr>
            <w:r>
              <w:rPr>
                <w:rFonts w:ascii="Arial" w:hAnsi="Arial" w:cs="Arial"/>
                <w:sz w:val="18"/>
                <w:szCs w:val="18"/>
                <w:lang w:val="es-DO"/>
              </w:rPr>
              <w:t>APMT</w:t>
            </w:r>
          </w:p>
        </w:tc>
      </w:tr>
      <w:tr w:rsidR="00207C3A" w:rsidRPr="006003B1" w:rsidTr="00DF6458">
        <w:tc>
          <w:tcPr>
            <w:tcW w:w="4666" w:type="dxa"/>
            <w:shd w:val="clear" w:color="auto" w:fill="auto"/>
          </w:tcPr>
          <w:p w:rsidR="00207C3A" w:rsidRPr="00163452" w:rsidRDefault="00207C3A" w:rsidP="00A31B79">
            <w:pPr>
              <w:spacing w:before="60" w:after="60" w:line="240" w:lineRule="auto"/>
              <w:ind w:left="634" w:hanging="634"/>
              <w:rPr>
                <w:rFonts w:ascii="Arial" w:hAnsi="Arial" w:cs="Arial"/>
                <w:sz w:val="18"/>
                <w:szCs w:val="18"/>
                <w:lang w:val="es-ES"/>
              </w:rPr>
            </w:pPr>
            <w:r w:rsidRPr="00163452">
              <w:rPr>
                <w:rFonts w:ascii="Arial" w:hAnsi="Arial" w:cs="Arial"/>
                <w:sz w:val="18"/>
                <w:szCs w:val="18"/>
                <w:lang w:val="es-DO"/>
              </w:rPr>
              <w:t>(</w:t>
            </w:r>
            <w:r w:rsidR="003D2545" w:rsidRPr="00163452">
              <w:rPr>
                <w:rFonts w:ascii="Arial" w:hAnsi="Arial" w:cs="Arial"/>
                <w:sz w:val="18"/>
                <w:szCs w:val="18"/>
                <w:lang w:val="es-DO"/>
              </w:rPr>
              <w:t>3.5</w:t>
            </w:r>
            <w:r w:rsidRPr="00163452">
              <w:rPr>
                <w:rFonts w:ascii="Arial" w:hAnsi="Arial" w:cs="Arial"/>
                <w:sz w:val="18"/>
                <w:szCs w:val="18"/>
                <w:lang w:val="es-DO"/>
              </w:rPr>
              <w:t xml:space="preserve">) </w:t>
            </w:r>
            <w:r w:rsidRPr="00163452">
              <w:rPr>
                <w:rFonts w:ascii="Arial" w:hAnsi="Arial" w:cs="Arial"/>
                <w:sz w:val="18"/>
                <w:szCs w:val="18"/>
                <w:lang w:val="es-DO"/>
              </w:rPr>
              <w:tab/>
            </w:r>
            <w:r w:rsidR="00FD1EF5" w:rsidRPr="00163452">
              <w:rPr>
                <w:rFonts w:ascii="Arial" w:hAnsi="Arial" w:cs="Arial"/>
                <w:sz w:val="18"/>
                <w:szCs w:val="18"/>
                <w:lang w:val="es-ES"/>
              </w:rPr>
              <w:t>Realización de un estudio de cálculo probabilista por inundaciones en al menos una cuenca piloto que sirva de referencia para la definición de una metodología de análisis de riesgo.</w:t>
            </w:r>
          </w:p>
        </w:tc>
        <w:tc>
          <w:tcPr>
            <w:tcW w:w="5615" w:type="dxa"/>
            <w:shd w:val="clear" w:color="auto" w:fill="auto"/>
          </w:tcPr>
          <w:p w:rsidR="001E5BE4" w:rsidRPr="00163452" w:rsidRDefault="001E5BE4" w:rsidP="00163452">
            <w:pPr>
              <w:pStyle w:val="ListParagraph"/>
              <w:numPr>
                <w:ilvl w:val="0"/>
                <w:numId w:val="25"/>
              </w:numPr>
              <w:spacing w:before="60" w:after="60" w:line="240" w:lineRule="auto"/>
              <w:ind w:left="374"/>
              <w:contextualSpacing w:val="0"/>
              <w:rPr>
                <w:rFonts w:ascii="Arial" w:hAnsi="Arial" w:cs="Arial"/>
                <w:sz w:val="18"/>
                <w:szCs w:val="18"/>
                <w:lang w:val="es-ES"/>
              </w:rPr>
            </w:pPr>
            <w:r w:rsidRPr="00163452">
              <w:rPr>
                <w:rFonts w:ascii="Arial" w:hAnsi="Arial" w:cs="Arial"/>
                <w:sz w:val="18"/>
                <w:szCs w:val="18"/>
                <w:lang w:val="es-ES"/>
              </w:rPr>
              <w:t xml:space="preserve">Nota Interna de </w:t>
            </w:r>
            <w:r w:rsidR="0071661F" w:rsidRPr="00163452">
              <w:rPr>
                <w:rFonts w:ascii="Arial" w:hAnsi="Arial" w:cs="Arial"/>
                <w:sz w:val="18"/>
                <w:szCs w:val="18"/>
                <w:lang w:val="es-ES"/>
              </w:rPr>
              <w:t>conformidad</w:t>
            </w:r>
            <w:r w:rsidRPr="00163452">
              <w:rPr>
                <w:rFonts w:ascii="Arial" w:hAnsi="Arial" w:cs="Arial"/>
                <w:sz w:val="18"/>
                <w:szCs w:val="18"/>
                <w:lang w:val="es-ES"/>
              </w:rPr>
              <w:t xml:space="preserve"> del M</w:t>
            </w:r>
            <w:r w:rsidR="0071661F" w:rsidRPr="00163452">
              <w:rPr>
                <w:rFonts w:ascii="Arial" w:hAnsi="Arial" w:cs="Arial"/>
                <w:sz w:val="18"/>
                <w:szCs w:val="18"/>
                <w:lang w:val="es-ES"/>
              </w:rPr>
              <w:t>MAyA</w:t>
            </w:r>
            <w:r w:rsidRPr="00163452">
              <w:rPr>
                <w:rFonts w:ascii="Arial" w:hAnsi="Arial" w:cs="Arial"/>
                <w:sz w:val="18"/>
                <w:szCs w:val="18"/>
                <w:lang w:val="es-ES"/>
              </w:rPr>
              <w:t xml:space="preserve"> al MPD</w:t>
            </w:r>
          </w:p>
          <w:p w:rsidR="00207C3A" w:rsidRPr="00163452" w:rsidRDefault="001E5BE4" w:rsidP="00163452">
            <w:pPr>
              <w:pStyle w:val="ListParagraph"/>
              <w:numPr>
                <w:ilvl w:val="0"/>
                <w:numId w:val="25"/>
              </w:numPr>
              <w:spacing w:before="60" w:after="60" w:line="240" w:lineRule="auto"/>
              <w:ind w:left="374"/>
              <w:contextualSpacing w:val="0"/>
              <w:rPr>
                <w:rFonts w:ascii="Arial" w:hAnsi="Arial" w:cs="Arial"/>
                <w:sz w:val="18"/>
                <w:szCs w:val="18"/>
                <w:lang w:val="es-DO"/>
              </w:rPr>
            </w:pPr>
            <w:r w:rsidRPr="00163452">
              <w:rPr>
                <w:rFonts w:ascii="Arial" w:hAnsi="Arial" w:cs="Arial"/>
                <w:sz w:val="18"/>
                <w:szCs w:val="18"/>
                <w:lang w:val="es-ES"/>
              </w:rPr>
              <w:t>Informe Final</w:t>
            </w:r>
            <w:r w:rsidRPr="00163452">
              <w:rPr>
                <w:rFonts w:ascii="Arial" w:hAnsi="Arial" w:cs="Arial"/>
                <w:sz w:val="18"/>
                <w:szCs w:val="18"/>
                <w:lang w:val="es-DO"/>
              </w:rPr>
              <w:t xml:space="preserve"> </w:t>
            </w:r>
          </w:p>
        </w:tc>
        <w:tc>
          <w:tcPr>
            <w:tcW w:w="2669" w:type="dxa"/>
            <w:shd w:val="clear" w:color="auto" w:fill="auto"/>
          </w:tcPr>
          <w:p w:rsidR="00207C3A" w:rsidRPr="006003B1" w:rsidRDefault="001E5BE4" w:rsidP="00D14BF0">
            <w:pPr>
              <w:spacing w:before="60" w:after="0" w:line="240" w:lineRule="auto"/>
              <w:rPr>
                <w:rFonts w:ascii="Arial" w:hAnsi="Arial" w:cs="Arial"/>
                <w:sz w:val="18"/>
                <w:szCs w:val="18"/>
                <w:lang w:val="es-DO"/>
              </w:rPr>
            </w:pPr>
            <w:r>
              <w:rPr>
                <w:rFonts w:ascii="Arial" w:hAnsi="Arial" w:cs="Arial"/>
                <w:sz w:val="18"/>
                <w:szCs w:val="18"/>
                <w:lang w:val="es-DO"/>
              </w:rPr>
              <w:t>M</w:t>
            </w:r>
            <w:r w:rsidR="0071661F">
              <w:rPr>
                <w:rFonts w:ascii="Arial" w:hAnsi="Arial" w:cs="Arial"/>
                <w:sz w:val="18"/>
                <w:szCs w:val="18"/>
                <w:lang w:val="es-DO"/>
              </w:rPr>
              <w:t>MAyA</w:t>
            </w:r>
          </w:p>
        </w:tc>
      </w:tr>
      <w:tr w:rsidR="001E5BE4" w:rsidRPr="001E5BE4" w:rsidTr="00DF6458">
        <w:tc>
          <w:tcPr>
            <w:tcW w:w="4666" w:type="dxa"/>
            <w:shd w:val="clear" w:color="auto" w:fill="auto"/>
          </w:tcPr>
          <w:p w:rsidR="001E5BE4" w:rsidRPr="00163452" w:rsidRDefault="003D2545" w:rsidP="00A31B79">
            <w:pPr>
              <w:spacing w:before="60" w:after="60" w:line="240" w:lineRule="auto"/>
              <w:ind w:left="634" w:hanging="634"/>
              <w:rPr>
                <w:rFonts w:ascii="Arial" w:hAnsi="Arial" w:cs="Arial"/>
                <w:sz w:val="18"/>
                <w:szCs w:val="18"/>
                <w:lang w:val="es-DO"/>
              </w:rPr>
            </w:pPr>
            <w:r w:rsidRPr="00163452">
              <w:rPr>
                <w:rFonts w:ascii="Arial" w:hAnsi="Arial" w:cs="Arial"/>
                <w:sz w:val="18"/>
                <w:szCs w:val="18"/>
                <w:lang w:val="es-DO"/>
              </w:rPr>
              <w:t>(3.6</w:t>
            </w:r>
            <w:r w:rsidR="001E5BE4" w:rsidRPr="00163452">
              <w:rPr>
                <w:rFonts w:ascii="Arial" w:hAnsi="Arial" w:cs="Arial"/>
                <w:sz w:val="18"/>
                <w:szCs w:val="18"/>
                <w:lang w:val="es-DO"/>
              </w:rPr>
              <w:t>)     Formulación de directrices con criterios para orientar la identificación de edificaciones esenciales, indispensables o infraestructura crítica a nivel sectorial y territorial.</w:t>
            </w:r>
          </w:p>
        </w:tc>
        <w:tc>
          <w:tcPr>
            <w:tcW w:w="5615" w:type="dxa"/>
            <w:shd w:val="clear" w:color="auto" w:fill="auto"/>
          </w:tcPr>
          <w:p w:rsidR="001E5BE4" w:rsidRPr="00163452" w:rsidRDefault="001E5BE4" w:rsidP="00A31B79">
            <w:pPr>
              <w:spacing w:before="60" w:after="60" w:line="240" w:lineRule="auto"/>
              <w:rPr>
                <w:rFonts w:ascii="Arial" w:hAnsi="Arial" w:cs="Arial"/>
                <w:sz w:val="18"/>
                <w:szCs w:val="18"/>
                <w:lang w:val="es-ES"/>
              </w:rPr>
            </w:pPr>
            <w:r w:rsidRPr="00163452">
              <w:rPr>
                <w:rFonts w:ascii="Arial" w:hAnsi="Arial" w:cs="Arial"/>
                <w:sz w:val="18"/>
                <w:szCs w:val="18"/>
                <w:lang w:val="es-ES"/>
              </w:rPr>
              <w:t>Nota de remisión al CONARADE de las directrices por parte del MPD.</w:t>
            </w:r>
          </w:p>
        </w:tc>
        <w:tc>
          <w:tcPr>
            <w:tcW w:w="2669" w:type="dxa"/>
            <w:shd w:val="clear" w:color="auto" w:fill="auto"/>
          </w:tcPr>
          <w:p w:rsidR="001E5BE4" w:rsidRDefault="001E5BE4" w:rsidP="00D14BF0">
            <w:pPr>
              <w:spacing w:before="60" w:after="0" w:line="240" w:lineRule="auto"/>
              <w:rPr>
                <w:rFonts w:ascii="Arial" w:hAnsi="Arial" w:cs="Arial"/>
                <w:sz w:val="18"/>
                <w:szCs w:val="18"/>
                <w:lang w:val="es-DO"/>
              </w:rPr>
            </w:pPr>
            <w:r>
              <w:rPr>
                <w:rFonts w:ascii="Arial" w:hAnsi="Arial" w:cs="Arial"/>
                <w:sz w:val="18"/>
                <w:szCs w:val="18"/>
                <w:lang w:val="es-DO"/>
              </w:rPr>
              <w:t>MPD/VPC</w:t>
            </w:r>
          </w:p>
        </w:tc>
      </w:tr>
      <w:tr w:rsidR="001E5BE4" w:rsidRPr="001E5BE4" w:rsidTr="00DF6458">
        <w:tc>
          <w:tcPr>
            <w:tcW w:w="4666" w:type="dxa"/>
            <w:shd w:val="clear" w:color="auto" w:fill="auto"/>
          </w:tcPr>
          <w:p w:rsidR="001E5BE4" w:rsidRPr="006003B1" w:rsidRDefault="003D2545" w:rsidP="009B58E8">
            <w:pPr>
              <w:spacing w:before="60" w:after="60" w:line="240" w:lineRule="auto"/>
              <w:ind w:left="634" w:hanging="634"/>
              <w:rPr>
                <w:rFonts w:ascii="Arial" w:hAnsi="Arial" w:cs="Arial"/>
                <w:sz w:val="18"/>
                <w:szCs w:val="18"/>
                <w:lang w:val="es-DO"/>
              </w:rPr>
            </w:pPr>
            <w:r>
              <w:rPr>
                <w:rFonts w:ascii="Arial" w:hAnsi="Arial" w:cs="Arial"/>
                <w:sz w:val="18"/>
                <w:szCs w:val="18"/>
                <w:lang w:val="es-DO"/>
              </w:rPr>
              <w:t>(3.7</w:t>
            </w:r>
            <w:r w:rsidR="001E5BE4">
              <w:rPr>
                <w:rFonts w:ascii="Arial" w:hAnsi="Arial" w:cs="Arial"/>
                <w:sz w:val="18"/>
                <w:szCs w:val="18"/>
                <w:lang w:val="es-DO"/>
              </w:rPr>
              <w:t xml:space="preserve">)     </w:t>
            </w:r>
            <w:r w:rsidR="001E5BE4" w:rsidRPr="001E5BE4">
              <w:rPr>
                <w:rFonts w:ascii="Arial" w:hAnsi="Arial" w:cs="Arial"/>
                <w:sz w:val="18"/>
                <w:szCs w:val="18"/>
                <w:lang w:val="es-DO"/>
              </w:rPr>
              <w:t xml:space="preserve">Aprobación de normatividad que defina cuales son edificaciones esenciales, indispensables o infraestructura crítica en </w:t>
            </w:r>
            <w:r w:rsidR="009B58E8">
              <w:rPr>
                <w:rFonts w:ascii="Arial" w:hAnsi="Arial" w:cs="Arial"/>
                <w:sz w:val="18"/>
                <w:szCs w:val="18"/>
                <w:lang w:val="es-DO"/>
              </w:rPr>
              <w:t>el subsector hidroeléctrico</w:t>
            </w:r>
            <w:r w:rsidR="001E5BE4">
              <w:rPr>
                <w:rFonts w:ascii="Arial" w:hAnsi="Arial" w:cs="Arial"/>
                <w:sz w:val="18"/>
                <w:szCs w:val="18"/>
                <w:lang w:val="es-DO"/>
              </w:rPr>
              <w:t>.</w:t>
            </w:r>
          </w:p>
        </w:tc>
        <w:tc>
          <w:tcPr>
            <w:tcW w:w="5615" w:type="dxa"/>
            <w:shd w:val="clear" w:color="auto" w:fill="auto"/>
          </w:tcPr>
          <w:p w:rsidR="001E5BE4" w:rsidRPr="001E5BE4" w:rsidRDefault="001E5BE4" w:rsidP="00A31B79">
            <w:pPr>
              <w:spacing w:before="60" w:after="60" w:line="240" w:lineRule="auto"/>
              <w:rPr>
                <w:rFonts w:ascii="Arial" w:hAnsi="Arial" w:cs="Arial"/>
                <w:sz w:val="18"/>
                <w:szCs w:val="18"/>
                <w:lang w:val="es-DO"/>
              </w:rPr>
            </w:pPr>
            <w:r w:rsidRPr="001E5BE4">
              <w:rPr>
                <w:rFonts w:ascii="Arial" w:hAnsi="Arial" w:cs="Arial"/>
                <w:sz w:val="18"/>
                <w:szCs w:val="18"/>
                <w:lang w:val="es-DO"/>
              </w:rPr>
              <w:t xml:space="preserve">Informe técnico del VIPFE aprobando la categorización del </w:t>
            </w:r>
            <w:r w:rsidR="009B58E8">
              <w:rPr>
                <w:rFonts w:ascii="Arial" w:hAnsi="Arial" w:cs="Arial"/>
                <w:sz w:val="18"/>
                <w:szCs w:val="18"/>
                <w:lang w:val="es-DO"/>
              </w:rPr>
              <w:t>sub</w:t>
            </w:r>
            <w:r w:rsidRPr="001E5BE4">
              <w:rPr>
                <w:rFonts w:ascii="Arial" w:hAnsi="Arial" w:cs="Arial"/>
                <w:sz w:val="18"/>
                <w:szCs w:val="18"/>
                <w:lang w:val="es-DO"/>
              </w:rPr>
              <w:t xml:space="preserve">sector </w:t>
            </w:r>
            <w:r w:rsidR="009B58E8">
              <w:rPr>
                <w:rFonts w:ascii="Arial" w:hAnsi="Arial" w:cs="Arial"/>
                <w:sz w:val="18"/>
                <w:szCs w:val="18"/>
                <w:lang w:val="es-DO"/>
              </w:rPr>
              <w:t>hidroeléctrico</w:t>
            </w:r>
            <w:r w:rsidRPr="001E5BE4">
              <w:rPr>
                <w:rFonts w:ascii="Arial" w:hAnsi="Arial" w:cs="Arial"/>
                <w:sz w:val="18"/>
                <w:szCs w:val="18"/>
                <w:lang w:val="es-DO"/>
              </w:rPr>
              <w:t>.</w:t>
            </w:r>
          </w:p>
        </w:tc>
        <w:tc>
          <w:tcPr>
            <w:tcW w:w="2669" w:type="dxa"/>
            <w:shd w:val="clear" w:color="auto" w:fill="auto"/>
          </w:tcPr>
          <w:p w:rsidR="001E5BE4" w:rsidRDefault="001E5BE4" w:rsidP="00D14BF0">
            <w:pPr>
              <w:spacing w:before="60" w:after="0" w:line="240" w:lineRule="auto"/>
              <w:rPr>
                <w:rFonts w:ascii="Arial" w:hAnsi="Arial" w:cs="Arial"/>
                <w:sz w:val="18"/>
                <w:szCs w:val="18"/>
                <w:lang w:val="es-DO"/>
              </w:rPr>
            </w:pPr>
            <w:r>
              <w:rPr>
                <w:rFonts w:ascii="Arial" w:hAnsi="Arial" w:cs="Arial"/>
                <w:sz w:val="18"/>
                <w:szCs w:val="18"/>
                <w:lang w:val="es-DO"/>
              </w:rPr>
              <w:t>MPD/VIPFE</w:t>
            </w:r>
          </w:p>
        </w:tc>
      </w:tr>
      <w:tr w:rsidR="001E5BE4" w:rsidRPr="001E5BE4" w:rsidTr="008A52DB">
        <w:tc>
          <w:tcPr>
            <w:tcW w:w="12950" w:type="dxa"/>
            <w:gridSpan w:val="3"/>
            <w:shd w:val="clear" w:color="auto" w:fill="D9D9D9"/>
          </w:tcPr>
          <w:p w:rsidR="001E5BE4" w:rsidRPr="001E5BE4" w:rsidRDefault="001E5BE4" w:rsidP="008A52DB">
            <w:pPr>
              <w:spacing w:after="0" w:line="240" w:lineRule="auto"/>
              <w:rPr>
                <w:rFonts w:ascii="Arial" w:hAnsi="Arial" w:cs="Arial"/>
                <w:b/>
                <w:i/>
                <w:sz w:val="18"/>
                <w:szCs w:val="18"/>
                <w:lang w:val="es-DO"/>
              </w:rPr>
            </w:pPr>
            <w:r>
              <w:rPr>
                <w:rFonts w:ascii="Arial" w:hAnsi="Arial" w:cs="Arial"/>
                <w:b/>
                <w:i/>
                <w:sz w:val="18"/>
                <w:szCs w:val="18"/>
                <w:lang w:val="es-DO"/>
              </w:rPr>
              <w:t>Eje 2. Reduc</w:t>
            </w:r>
            <w:r w:rsidRPr="001E5BE4">
              <w:rPr>
                <w:rFonts w:ascii="Arial" w:hAnsi="Arial" w:cs="Arial"/>
                <w:b/>
                <w:i/>
                <w:sz w:val="18"/>
                <w:szCs w:val="18"/>
                <w:lang w:val="es-DO"/>
              </w:rPr>
              <w:t>ción del Riesgo</w:t>
            </w:r>
          </w:p>
        </w:tc>
      </w:tr>
      <w:tr w:rsidR="00CC6515" w:rsidRPr="00CC6515" w:rsidTr="00DF6458">
        <w:tc>
          <w:tcPr>
            <w:tcW w:w="4666" w:type="dxa"/>
            <w:shd w:val="clear" w:color="auto" w:fill="auto"/>
          </w:tcPr>
          <w:p w:rsidR="00CC6515" w:rsidRDefault="00CC6515" w:rsidP="00A31B79">
            <w:pPr>
              <w:spacing w:before="60" w:after="60" w:line="240" w:lineRule="auto"/>
              <w:ind w:left="634" w:hanging="634"/>
              <w:rPr>
                <w:rFonts w:ascii="Arial" w:hAnsi="Arial" w:cs="Arial"/>
                <w:sz w:val="18"/>
                <w:szCs w:val="18"/>
                <w:lang w:val="es-DO"/>
              </w:rPr>
            </w:pPr>
            <w:r>
              <w:rPr>
                <w:rFonts w:ascii="Arial" w:hAnsi="Arial" w:cs="Arial"/>
                <w:sz w:val="18"/>
                <w:szCs w:val="18"/>
                <w:lang w:val="es-DO"/>
              </w:rPr>
              <w:t xml:space="preserve">(3.8)    Asignación de recursos a ministerios clave y </w:t>
            </w:r>
            <w:r>
              <w:rPr>
                <w:rFonts w:ascii="Arial" w:hAnsi="Arial" w:cs="Arial"/>
                <w:sz w:val="18"/>
                <w:szCs w:val="18"/>
                <w:lang w:val="es-DO"/>
              </w:rPr>
              <w:lastRenderedPageBreak/>
              <w:t>ETAs para realizar actividades de reducción del riesgo que puedan ser verificadas a través de instrumentos de clasificación presupuestal</w:t>
            </w:r>
          </w:p>
        </w:tc>
        <w:tc>
          <w:tcPr>
            <w:tcW w:w="5615" w:type="dxa"/>
            <w:shd w:val="clear" w:color="auto" w:fill="auto"/>
          </w:tcPr>
          <w:p w:rsidR="00CC6515" w:rsidRPr="00A1584F" w:rsidRDefault="00CC6515" w:rsidP="00163452">
            <w:pPr>
              <w:pStyle w:val="ListParagraph"/>
              <w:numPr>
                <w:ilvl w:val="0"/>
                <w:numId w:val="26"/>
              </w:numPr>
              <w:spacing w:before="60" w:after="60" w:line="240" w:lineRule="auto"/>
              <w:ind w:left="374"/>
              <w:rPr>
                <w:rFonts w:ascii="Arial" w:hAnsi="Arial" w:cs="Arial"/>
                <w:sz w:val="18"/>
                <w:szCs w:val="18"/>
                <w:lang w:val="es-DO"/>
              </w:rPr>
            </w:pPr>
            <w:r w:rsidRPr="00A1584F">
              <w:rPr>
                <w:rFonts w:ascii="Arial" w:hAnsi="Arial" w:cs="Arial"/>
                <w:sz w:val="18"/>
                <w:szCs w:val="18"/>
                <w:lang w:val="es-DO"/>
              </w:rPr>
              <w:lastRenderedPageBreak/>
              <w:t xml:space="preserve">Nota del Ministerio de Economía y Finanzas </w:t>
            </w:r>
            <w:r w:rsidRPr="00A1584F">
              <w:rPr>
                <w:rFonts w:ascii="Arial" w:hAnsi="Arial" w:cs="Arial"/>
                <w:sz w:val="18"/>
                <w:szCs w:val="18"/>
                <w:lang w:val="es-DO"/>
              </w:rPr>
              <w:lastRenderedPageBreak/>
              <w:t>MEFP/VPCF/DGPGP/UET/021/16 del 21 de enero de 2016 informando del presupuesto asignado en 2016 por parte de gobiernos autónomos departamentales y municipales a sus respectivos programas de gestión de riesgos</w:t>
            </w:r>
          </w:p>
          <w:p w:rsidR="00CC6515" w:rsidRDefault="00CC6515" w:rsidP="00CC6515">
            <w:pPr>
              <w:spacing w:before="60" w:after="60" w:line="240" w:lineRule="auto"/>
              <w:ind w:left="374"/>
              <w:rPr>
                <w:rFonts w:ascii="Arial" w:hAnsi="Arial" w:cs="Arial"/>
                <w:sz w:val="18"/>
                <w:szCs w:val="18"/>
                <w:lang w:val="es-DO"/>
              </w:rPr>
            </w:pPr>
          </w:p>
          <w:p w:rsidR="00CC6515" w:rsidRPr="00A1584F" w:rsidRDefault="00CC6515" w:rsidP="00CC6515">
            <w:pPr>
              <w:pStyle w:val="ListParagraph"/>
              <w:numPr>
                <w:ilvl w:val="0"/>
                <w:numId w:val="26"/>
              </w:numPr>
              <w:spacing w:before="60" w:after="60" w:line="240" w:lineRule="auto"/>
              <w:ind w:left="374"/>
              <w:rPr>
                <w:rFonts w:ascii="Arial" w:hAnsi="Arial" w:cs="Arial"/>
                <w:sz w:val="18"/>
                <w:szCs w:val="18"/>
                <w:lang w:val="es-DO"/>
              </w:rPr>
            </w:pPr>
            <w:r w:rsidRPr="00A1584F">
              <w:rPr>
                <w:rFonts w:ascii="Arial" w:hAnsi="Arial" w:cs="Arial"/>
                <w:sz w:val="18"/>
                <w:szCs w:val="18"/>
                <w:lang w:val="es-DO"/>
              </w:rPr>
              <w:t>Nota del Ministerio de Economía y Finanzas informando del presupuesto asignado en 2016 por parte de los sectores a sus respectivos programas de gestión de riesgos</w:t>
            </w:r>
          </w:p>
          <w:p w:rsidR="00CC6515" w:rsidRPr="00163452" w:rsidRDefault="00CC6515" w:rsidP="00A31B79">
            <w:pPr>
              <w:spacing w:before="60" w:after="60" w:line="240" w:lineRule="auto"/>
              <w:rPr>
                <w:rFonts w:ascii="Arial" w:hAnsi="Arial" w:cs="Arial"/>
                <w:sz w:val="18"/>
                <w:szCs w:val="18"/>
                <w:highlight w:val="yellow"/>
                <w:lang w:val="es-DO"/>
              </w:rPr>
            </w:pPr>
          </w:p>
        </w:tc>
        <w:tc>
          <w:tcPr>
            <w:tcW w:w="2669" w:type="dxa"/>
            <w:shd w:val="clear" w:color="auto" w:fill="auto"/>
          </w:tcPr>
          <w:p w:rsidR="00CC6515" w:rsidRDefault="00CC6515" w:rsidP="00D44C88">
            <w:pPr>
              <w:spacing w:before="60" w:after="0" w:line="240" w:lineRule="auto"/>
              <w:rPr>
                <w:rFonts w:ascii="Arial" w:hAnsi="Arial" w:cs="Arial"/>
                <w:sz w:val="18"/>
                <w:szCs w:val="18"/>
                <w:lang w:val="es-ES"/>
              </w:rPr>
            </w:pPr>
            <w:r>
              <w:rPr>
                <w:rFonts w:ascii="Arial" w:hAnsi="Arial" w:cs="Arial"/>
                <w:sz w:val="18"/>
                <w:szCs w:val="18"/>
                <w:lang w:val="es-ES"/>
              </w:rPr>
              <w:lastRenderedPageBreak/>
              <w:t>MD</w:t>
            </w:r>
          </w:p>
        </w:tc>
      </w:tr>
      <w:tr w:rsidR="001E5BE4" w:rsidRPr="001E5BE4" w:rsidTr="00DF6458">
        <w:tc>
          <w:tcPr>
            <w:tcW w:w="4666" w:type="dxa"/>
            <w:shd w:val="clear" w:color="auto" w:fill="auto"/>
          </w:tcPr>
          <w:p w:rsidR="001E5BE4" w:rsidRPr="00163452" w:rsidRDefault="003D2545" w:rsidP="00A31B79">
            <w:pPr>
              <w:spacing w:before="60" w:after="60" w:line="240" w:lineRule="auto"/>
              <w:ind w:left="634" w:hanging="634"/>
              <w:rPr>
                <w:rFonts w:ascii="Arial" w:hAnsi="Arial" w:cs="Arial"/>
                <w:sz w:val="18"/>
                <w:szCs w:val="18"/>
                <w:lang w:val="es-DO"/>
              </w:rPr>
            </w:pPr>
            <w:r w:rsidRPr="00163452">
              <w:rPr>
                <w:rFonts w:ascii="Arial" w:hAnsi="Arial" w:cs="Arial"/>
                <w:sz w:val="18"/>
                <w:szCs w:val="18"/>
                <w:lang w:val="es-DO"/>
              </w:rPr>
              <w:lastRenderedPageBreak/>
              <w:t>(3.</w:t>
            </w:r>
            <w:r w:rsidR="00CC6515" w:rsidRPr="00163452">
              <w:rPr>
                <w:rFonts w:ascii="Arial" w:hAnsi="Arial" w:cs="Arial"/>
                <w:sz w:val="18"/>
                <w:szCs w:val="18"/>
                <w:lang w:val="es-DO"/>
              </w:rPr>
              <w:t>9</w:t>
            </w:r>
            <w:r w:rsidR="001E5BE4" w:rsidRPr="00163452">
              <w:rPr>
                <w:rFonts w:ascii="Arial" w:hAnsi="Arial" w:cs="Arial"/>
                <w:sz w:val="18"/>
                <w:szCs w:val="18"/>
                <w:lang w:val="es-DO"/>
              </w:rPr>
              <w:t xml:space="preserve">)   </w:t>
            </w:r>
            <w:r w:rsidR="009C6C7C" w:rsidRPr="00163452">
              <w:rPr>
                <w:rFonts w:ascii="Arial" w:hAnsi="Arial" w:cs="Arial"/>
                <w:sz w:val="18"/>
                <w:szCs w:val="18"/>
                <w:lang w:val="es-ES"/>
              </w:rPr>
              <w:t>Formulación de directrices con criterios que orienten a los sectores y entidades territoriales autónomas en la elaboración de normativas para reducir la vulnerabilidad de edificaciones esenciales, indispensables o infraestructura crítica a través de medidas de reforzamiento o sustitución.</w:t>
            </w:r>
          </w:p>
        </w:tc>
        <w:tc>
          <w:tcPr>
            <w:tcW w:w="5615" w:type="dxa"/>
            <w:shd w:val="clear" w:color="auto" w:fill="auto"/>
          </w:tcPr>
          <w:p w:rsidR="001E5BE4" w:rsidRPr="00163452" w:rsidRDefault="009C6C7C" w:rsidP="00A31B79">
            <w:pPr>
              <w:spacing w:before="60" w:after="60" w:line="240" w:lineRule="auto"/>
              <w:rPr>
                <w:rFonts w:ascii="Arial" w:hAnsi="Arial" w:cs="Arial"/>
                <w:sz w:val="18"/>
                <w:szCs w:val="18"/>
                <w:lang w:val="es-ES"/>
              </w:rPr>
            </w:pPr>
            <w:r w:rsidRPr="00163452">
              <w:rPr>
                <w:rFonts w:ascii="Arial" w:hAnsi="Arial" w:cs="Arial"/>
                <w:sz w:val="18"/>
                <w:szCs w:val="18"/>
                <w:lang w:val="es-ES"/>
              </w:rPr>
              <w:t>Nota de remisión al CONARADE de las directrices por parte del MPD.</w:t>
            </w:r>
          </w:p>
        </w:tc>
        <w:tc>
          <w:tcPr>
            <w:tcW w:w="2669" w:type="dxa"/>
            <w:shd w:val="clear" w:color="auto" w:fill="auto"/>
          </w:tcPr>
          <w:p w:rsidR="001E5BE4" w:rsidRPr="009C6C7C" w:rsidRDefault="009C6C7C" w:rsidP="00D44C88">
            <w:pPr>
              <w:spacing w:before="60" w:after="0" w:line="240" w:lineRule="auto"/>
              <w:rPr>
                <w:rFonts w:ascii="Arial" w:hAnsi="Arial" w:cs="Arial"/>
                <w:sz w:val="18"/>
                <w:szCs w:val="18"/>
                <w:lang w:val="es-ES"/>
              </w:rPr>
            </w:pPr>
            <w:r>
              <w:rPr>
                <w:rFonts w:ascii="Arial" w:hAnsi="Arial" w:cs="Arial"/>
                <w:sz w:val="18"/>
                <w:szCs w:val="18"/>
                <w:lang w:val="es-ES"/>
              </w:rPr>
              <w:t>MPD/</w:t>
            </w:r>
            <w:r w:rsidR="00D44C88">
              <w:rPr>
                <w:rFonts w:ascii="Arial" w:hAnsi="Arial" w:cs="Arial"/>
                <w:sz w:val="18"/>
                <w:szCs w:val="18"/>
                <w:lang w:val="es-ES"/>
              </w:rPr>
              <w:t>VPC</w:t>
            </w:r>
          </w:p>
        </w:tc>
      </w:tr>
      <w:tr w:rsidR="001E5BE4" w:rsidRPr="001E5BE4" w:rsidTr="00DF6458">
        <w:tc>
          <w:tcPr>
            <w:tcW w:w="4666" w:type="dxa"/>
            <w:shd w:val="clear" w:color="auto" w:fill="auto"/>
          </w:tcPr>
          <w:p w:rsidR="001E5BE4" w:rsidRPr="009C6C7C" w:rsidRDefault="003D2545" w:rsidP="009B58E8">
            <w:pPr>
              <w:spacing w:before="60" w:after="60" w:line="240" w:lineRule="auto"/>
              <w:ind w:left="634" w:hanging="634"/>
              <w:rPr>
                <w:rFonts w:ascii="Arial" w:hAnsi="Arial" w:cs="Arial"/>
                <w:sz w:val="18"/>
                <w:szCs w:val="18"/>
                <w:lang w:val="es-ES"/>
              </w:rPr>
            </w:pPr>
            <w:r>
              <w:rPr>
                <w:rFonts w:ascii="Arial" w:hAnsi="Arial" w:cs="Arial"/>
                <w:sz w:val="18"/>
                <w:szCs w:val="18"/>
                <w:lang w:val="es-DO"/>
              </w:rPr>
              <w:t>(3.</w:t>
            </w:r>
            <w:r w:rsidR="00CC6515">
              <w:rPr>
                <w:rFonts w:ascii="Arial" w:hAnsi="Arial" w:cs="Arial"/>
                <w:sz w:val="18"/>
                <w:szCs w:val="18"/>
                <w:lang w:val="es-DO"/>
              </w:rPr>
              <w:t>10</w:t>
            </w:r>
            <w:r w:rsidR="009C6C7C">
              <w:rPr>
                <w:rFonts w:ascii="Arial" w:hAnsi="Arial" w:cs="Arial"/>
                <w:sz w:val="18"/>
                <w:szCs w:val="18"/>
                <w:lang w:val="es-DO"/>
              </w:rPr>
              <w:t xml:space="preserve">)   </w:t>
            </w:r>
            <w:r w:rsidR="009B58E8">
              <w:rPr>
                <w:rFonts w:ascii="Arial" w:hAnsi="Arial" w:cs="Arial"/>
                <w:sz w:val="18"/>
                <w:szCs w:val="18"/>
                <w:lang w:val="es-ES"/>
              </w:rPr>
              <w:t>El subsector hidroeléctrico</w:t>
            </w:r>
            <w:r w:rsidR="009C6C7C" w:rsidRPr="009C6C7C">
              <w:rPr>
                <w:rFonts w:ascii="Arial" w:hAnsi="Arial" w:cs="Arial"/>
                <w:sz w:val="18"/>
                <w:szCs w:val="18"/>
                <w:lang w:val="es-ES"/>
              </w:rPr>
              <w:t xml:space="preserve"> ha definido referentes de riesgo aceptable para al menos dos amenazas.</w:t>
            </w:r>
          </w:p>
        </w:tc>
        <w:tc>
          <w:tcPr>
            <w:tcW w:w="5615" w:type="dxa"/>
            <w:shd w:val="clear" w:color="auto" w:fill="auto"/>
          </w:tcPr>
          <w:p w:rsidR="001E5BE4" w:rsidRPr="001E5BE4" w:rsidRDefault="009C6C7C">
            <w:pPr>
              <w:spacing w:before="60" w:after="60" w:line="240" w:lineRule="auto"/>
              <w:rPr>
                <w:rFonts w:ascii="Arial" w:hAnsi="Arial" w:cs="Arial"/>
                <w:sz w:val="18"/>
                <w:szCs w:val="18"/>
                <w:lang w:val="es-ES"/>
              </w:rPr>
            </w:pPr>
            <w:r w:rsidRPr="009C6C7C">
              <w:rPr>
                <w:rFonts w:ascii="Arial" w:hAnsi="Arial" w:cs="Arial"/>
                <w:sz w:val="18"/>
                <w:szCs w:val="18"/>
                <w:lang w:val="es-ES"/>
              </w:rPr>
              <w:t>Informe técnico del VIPFE aceptando el producto de la consultoría sobre la guía de pre inversión par</w:t>
            </w:r>
            <w:r>
              <w:rPr>
                <w:rFonts w:ascii="Arial" w:hAnsi="Arial" w:cs="Arial"/>
                <w:sz w:val="18"/>
                <w:szCs w:val="18"/>
                <w:lang w:val="es-ES"/>
              </w:rPr>
              <w:t>a el subsector hidroeléctrico</w:t>
            </w:r>
            <w:r w:rsidR="0058226B">
              <w:rPr>
                <w:rFonts w:ascii="Arial" w:hAnsi="Arial" w:cs="Arial"/>
                <w:sz w:val="18"/>
                <w:szCs w:val="18"/>
                <w:lang w:val="es-ES"/>
              </w:rPr>
              <w:t xml:space="preserve"> en el que se definen referentes de riesgo aceptable para al menos dos amenazas.</w:t>
            </w:r>
          </w:p>
        </w:tc>
        <w:tc>
          <w:tcPr>
            <w:tcW w:w="2669" w:type="dxa"/>
            <w:shd w:val="clear" w:color="auto" w:fill="auto"/>
          </w:tcPr>
          <w:p w:rsidR="001E5BE4" w:rsidRDefault="009C6C7C" w:rsidP="00D14BF0">
            <w:pPr>
              <w:spacing w:before="60" w:after="0" w:line="240" w:lineRule="auto"/>
              <w:rPr>
                <w:rFonts w:ascii="Arial" w:hAnsi="Arial" w:cs="Arial"/>
                <w:sz w:val="18"/>
                <w:szCs w:val="18"/>
                <w:lang w:val="es-DO"/>
              </w:rPr>
            </w:pPr>
            <w:r>
              <w:rPr>
                <w:rFonts w:ascii="Arial" w:hAnsi="Arial" w:cs="Arial"/>
                <w:sz w:val="18"/>
                <w:szCs w:val="18"/>
                <w:lang w:val="es-DO"/>
              </w:rPr>
              <w:t>MPD/VIPFE</w:t>
            </w:r>
          </w:p>
        </w:tc>
      </w:tr>
      <w:tr w:rsidR="001E5BE4" w:rsidRPr="001E5BE4" w:rsidTr="00DF6458">
        <w:tc>
          <w:tcPr>
            <w:tcW w:w="4666" w:type="dxa"/>
            <w:shd w:val="clear" w:color="auto" w:fill="auto"/>
          </w:tcPr>
          <w:p w:rsidR="001E5BE4" w:rsidRPr="009C6C7C" w:rsidRDefault="003D2545" w:rsidP="009B58E8">
            <w:pPr>
              <w:spacing w:before="60" w:after="60" w:line="240" w:lineRule="auto"/>
              <w:ind w:left="634" w:hanging="634"/>
              <w:rPr>
                <w:rFonts w:ascii="Arial" w:hAnsi="Arial" w:cs="Arial"/>
                <w:sz w:val="18"/>
                <w:szCs w:val="18"/>
                <w:lang w:val="es-ES"/>
              </w:rPr>
            </w:pPr>
            <w:r>
              <w:rPr>
                <w:rFonts w:ascii="Arial" w:hAnsi="Arial" w:cs="Arial"/>
                <w:sz w:val="18"/>
                <w:szCs w:val="18"/>
                <w:lang w:val="es-DO"/>
              </w:rPr>
              <w:t>(3.1</w:t>
            </w:r>
            <w:r w:rsidR="00CC6515">
              <w:rPr>
                <w:rFonts w:ascii="Arial" w:hAnsi="Arial" w:cs="Arial"/>
                <w:sz w:val="18"/>
                <w:szCs w:val="18"/>
                <w:lang w:val="es-DO"/>
              </w:rPr>
              <w:t>1</w:t>
            </w:r>
            <w:r w:rsidR="009C6C7C">
              <w:rPr>
                <w:rFonts w:ascii="Arial" w:hAnsi="Arial" w:cs="Arial"/>
                <w:sz w:val="18"/>
                <w:szCs w:val="18"/>
                <w:lang w:val="es-DO"/>
              </w:rPr>
              <w:t xml:space="preserve">)   </w:t>
            </w:r>
            <w:r w:rsidR="009C6C7C" w:rsidRPr="009C6C7C">
              <w:rPr>
                <w:rFonts w:ascii="Arial" w:hAnsi="Arial" w:cs="Arial"/>
                <w:sz w:val="18"/>
                <w:szCs w:val="18"/>
                <w:lang w:val="es-ES"/>
              </w:rPr>
              <w:t xml:space="preserve">Elaboración de guía de preinversión para </w:t>
            </w:r>
            <w:r w:rsidR="009B58E8">
              <w:rPr>
                <w:rFonts w:ascii="Arial" w:hAnsi="Arial" w:cs="Arial"/>
                <w:sz w:val="18"/>
                <w:szCs w:val="18"/>
                <w:lang w:val="es-ES"/>
              </w:rPr>
              <w:t>el subsector hidroeléctrico</w:t>
            </w:r>
            <w:r w:rsidR="009C6C7C" w:rsidRPr="009C6C7C">
              <w:rPr>
                <w:rFonts w:ascii="Arial" w:hAnsi="Arial" w:cs="Arial"/>
                <w:sz w:val="18"/>
                <w:szCs w:val="18"/>
                <w:lang w:val="es-ES"/>
              </w:rPr>
              <w:t xml:space="preserve"> que incorpora la GRD y ACC.</w:t>
            </w:r>
          </w:p>
        </w:tc>
        <w:tc>
          <w:tcPr>
            <w:tcW w:w="5615" w:type="dxa"/>
            <w:shd w:val="clear" w:color="auto" w:fill="auto"/>
          </w:tcPr>
          <w:p w:rsidR="001E5BE4" w:rsidRPr="001E5BE4" w:rsidRDefault="009C6C7C" w:rsidP="00A31B79">
            <w:pPr>
              <w:spacing w:before="60" w:after="60" w:line="240" w:lineRule="auto"/>
              <w:rPr>
                <w:rFonts w:ascii="Arial" w:hAnsi="Arial" w:cs="Arial"/>
                <w:sz w:val="18"/>
                <w:szCs w:val="18"/>
                <w:lang w:val="es-ES"/>
              </w:rPr>
            </w:pPr>
            <w:r w:rsidRPr="009C6C7C">
              <w:rPr>
                <w:rFonts w:ascii="Arial" w:hAnsi="Arial" w:cs="Arial"/>
                <w:sz w:val="18"/>
                <w:szCs w:val="18"/>
                <w:lang w:val="es-ES"/>
              </w:rPr>
              <w:t>Informe técnico del VIPFE aceptando el producto de la consultoría sobre la guía de pre inversión para el subsector hidroeléctrico</w:t>
            </w:r>
            <w:r>
              <w:rPr>
                <w:rFonts w:ascii="Arial" w:hAnsi="Arial" w:cs="Arial"/>
                <w:sz w:val="18"/>
                <w:szCs w:val="18"/>
                <w:lang w:val="es-ES"/>
              </w:rPr>
              <w:t>.</w:t>
            </w:r>
          </w:p>
        </w:tc>
        <w:tc>
          <w:tcPr>
            <w:tcW w:w="2669" w:type="dxa"/>
            <w:shd w:val="clear" w:color="auto" w:fill="auto"/>
          </w:tcPr>
          <w:p w:rsidR="001E5BE4" w:rsidRPr="009C6C7C" w:rsidRDefault="009C6C7C" w:rsidP="00D14BF0">
            <w:pPr>
              <w:spacing w:before="60" w:after="0" w:line="240" w:lineRule="auto"/>
              <w:rPr>
                <w:rFonts w:ascii="Arial" w:hAnsi="Arial" w:cs="Arial"/>
                <w:sz w:val="18"/>
                <w:szCs w:val="18"/>
                <w:lang w:val="es-ES"/>
              </w:rPr>
            </w:pPr>
            <w:r>
              <w:rPr>
                <w:rFonts w:ascii="Arial" w:hAnsi="Arial" w:cs="Arial"/>
                <w:sz w:val="18"/>
                <w:szCs w:val="18"/>
                <w:lang w:val="es-ES"/>
              </w:rPr>
              <w:t>MPD/VIPFE</w:t>
            </w:r>
          </w:p>
        </w:tc>
      </w:tr>
      <w:tr w:rsidR="009C6C7C" w:rsidRPr="001D7A5C" w:rsidTr="008A52DB">
        <w:tc>
          <w:tcPr>
            <w:tcW w:w="12950" w:type="dxa"/>
            <w:gridSpan w:val="3"/>
            <w:shd w:val="clear" w:color="auto" w:fill="D9D9D9"/>
          </w:tcPr>
          <w:p w:rsidR="009C6C7C" w:rsidRPr="001E5BE4" w:rsidRDefault="009C6C7C" w:rsidP="008A52DB">
            <w:pPr>
              <w:spacing w:after="0" w:line="240" w:lineRule="auto"/>
              <w:rPr>
                <w:rFonts w:ascii="Arial" w:hAnsi="Arial" w:cs="Arial"/>
                <w:b/>
                <w:i/>
                <w:sz w:val="18"/>
                <w:szCs w:val="18"/>
                <w:lang w:val="es-DO"/>
              </w:rPr>
            </w:pPr>
            <w:r>
              <w:rPr>
                <w:rFonts w:ascii="Arial" w:hAnsi="Arial" w:cs="Arial"/>
                <w:b/>
                <w:i/>
                <w:sz w:val="18"/>
                <w:szCs w:val="18"/>
                <w:lang w:val="es-DO"/>
              </w:rPr>
              <w:t>Eje 3. Preparativos para la respuesta</w:t>
            </w:r>
          </w:p>
        </w:tc>
      </w:tr>
      <w:tr w:rsidR="009C6C7C" w:rsidRPr="001E5BE4" w:rsidTr="008A52DB">
        <w:tc>
          <w:tcPr>
            <w:tcW w:w="4666" w:type="dxa"/>
            <w:shd w:val="clear" w:color="auto" w:fill="auto"/>
          </w:tcPr>
          <w:p w:rsidR="009C6C7C" w:rsidRPr="00E25594" w:rsidRDefault="003D2545" w:rsidP="00A31B79">
            <w:pPr>
              <w:spacing w:before="60" w:after="60" w:line="240" w:lineRule="auto"/>
              <w:ind w:left="634" w:hanging="634"/>
              <w:rPr>
                <w:rFonts w:ascii="Arial" w:hAnsi="Arial" w:cs="Arial"/>
                <w:color w:val="000000" w:themeColor="text1"/>
                <w:sz w:val="18"/>
                <w:szCs w:val="18"/>
                <w:lang w:val="es-DO"/>
              </w:rPr>
            </w:pPr>
            <w:r>
              <w:rPr>
                <w:rFonts w:ascii="Arial" w:hAnsi="Arial" w:cs="Arial"/>
                <w:color w:val="000000" w:themeColor="text1"/>
                <w:sz w:val="18"/>
                <w:szCs w:val="18"/>
                <w:lang w:val="es-DO"/>
              </w:rPr>
              <w:t>(3.1</w:t>
            </w:r>
            <w:r w:rsidR="00CC6515">
              <w:rPr>
                <w:rFonts w:ascii="Arial" w:hAnsi="Arial" w:cs="Arial"/>
                <w:color w:val="000000" w:themeColor="text1"/>
                <w:sz w:val="18"/>
                <w:szCs w:val="18"/>
                <w:lang w:val="es-DO"/>
              </w:rPr>
              <w:t>2</w:t>
            </w:r>
            <w:r w:rsidR="009C6C7C" w:rsidRPr="00E25594">
              <w:rPr>
                <w:rFonts w:ascii="Arial" w:hAnsi="Arial" w:cs="Arial"/>
                <w:color w:val="000000" w:themeColor="text1"/>
                <w:sz w:val="18"/>
                <w:szCs w:val="18"/>
                <w:lang w:val="es-DO"/>
              </w:rPr>
              <w:t xml:space="preserve">)   </w:t>
            </w:r>
            <w:r w:rsidR="009C6C7C" w:rsidRPr="00E25594">
              <w:rPr>
                <w:rFonts w:ascii="Arial" w:hAnsi="Arial" w:cs="Arial"/>
                <w:color w:val="000000" w:themeColor="text1"/>
                <w:sz w:val="18"/>
                <w:szCs w:val="18"/>
                <w:lang w:val="es-ES"/>
              </w:rPr>
              <w:t>Aprobación de lineamientos metodológicos para la elaboración de planes de contingencia en los distintos niveles ETAS.</w:t>
            </w:r>
          </w:p>
        </w:tc>
        <w:tc>
          <w:tcPr>
            <w:tcW w:w="5615" w:type="dxa"/>
            <w:shd w:val="clear" w:color="auto" w:fill="auto"/>
          </w:tcPr>
          <w:p w:rsidR="009C6C7C" w:rsidRPr="001E5BE4" w:rsidRDefault="009C6C7C" w:rsidP="008B204E">
            <w:pPr>
              <w:spacing w:before="60" w:after="60" w:line="240" w:lineRule="auto"/>
              <w:rPr>
                <w:rFonts w:ascii="Arial" w:hAnsi="Arial" w:cs="Arial"/>
                <w:sz w:val="18"/>
                <w:szCs w:val="18"/>
                <w:lang w:val="es-ES"/>
              </w:rPr>
            </w:pPr>
            <w:r w:rsidRPr="009C6C7C">
              <w:rPr>
                <w:rFonts w:ascii="Arial" w:hAnsi="Arial" w:cs="Arial"/>
                <w:sz w:val="18"/>
                <w:szCs w:val="18"/>
                <w:lang w:val="es-ES"/>
              </w:rPr>
              <w:t>Resolución administrativa aprobando</w:t>
            </w:r>
            <w:r>
              <w:rPr>
                <w:rFonts w:ascii="Arial" w:hAnsi="Arial" w:cs="Arial"/>
                <w:sz w:val="18"/>
                <w:szCs w:val="18"/>
                <w:lang w:val="es-ES"/>
              </w:rPr>
              <w:t xml:space="preserve"> </w:t>
            </w:r>
            <w:r w:rsidRPr="009C6C7C">
              <w:rPr>
                <w:rFonts w:ascii="Arial" w:hAnsi="Arial" w:cs="Arial"/>
                <w:sz w:val="18"/>
                <w:szCs w:val="18"/>
                <w:lang w:val="es-ES"/>
              </w:rPr>
              <w:t>los “Manuales para implementar Unidades de Gestión de Riesgos Municipal, Guía Operativa de Coordinación y Articulación para atención de desastres y emergencias, y Lineamientos y Herramientas básicas para elaborar el Plan de Contingencia Municipal”.</w:t>
            </w:r>
          </w:p>
        </w:tc>
        <w:tc>
          <w:tcPr>
            <w:tcW w:w="2669" w:type="dxa"/>
            <w:shd w:val="clear" w:color="auto" w:fill="auto"/>
          </w:tcPr>
          <w:p w:rsidR="009C6C7C" w:rsidRPr="009C6C7C" w:rsidRDefault="009C6C7C" w:rsidP="008A52DB">
            <w:pPr>
              <w:spacing w:before="60" w:after="0" w:line="240" w:lineRule="auto"/>
              <w:rPr>
                <w:rFonts w:ascii="Arial" w:hAnsi="Arial" w:cs="Arial"/>
                <w:sz w:val="18"/>
                <w:szCs w:val="18"/>
                <w:lang w:val="es-ES"/>
              </w:rPr>
            </w:pPr>
            <w:r>
              <w:rPr>
                <w:rFonts w:ascii="Arial" w:hAnsi="Arial" w:cs="Arial"/>
                <w:sz w:val="18"/>
                <w:szCs w:val="18"/>
                <w:lang w:val="es-ES"/>
              </w:rPr>
              <w:t>MD</w:t>
            </w:r>
          </w:p>
        </w:tc>
      </w:tr>
      <w:tr w:rsidR="009C6C7C" w:rsidRPr="001E5BE4" w:rsidTr="008A52DB">
        <w:tc>
          <w:tcPr>
            <w:tcW w:w="4666" w:type="dxa"/>
            <w:shd w:val="clear" w:color="auto" w:fill="auto"/>
          </w:tcPr>
          <w:p w:rsidR="009C6C7C" w:rsidRPr="00E25594" w:rsidRDefault="003D2545" w:rsidP="00A31B79">
            <w:pPr>
              <w:spacing w:before="60" w:after="60" w:line="240" w:lineRule="auto"/>
              <w:ind w:left="634" w:hanging="634"/>
              <w:rPr>
                <w:rFonts w:ascii="Arial" w:hAnsi="Arial" w:cs="Arial"/>
                <w:color w:val="000000" w:themeColor="text1"/>
                <w:sz w:val="18"/>
                <w:szCs w:val="18"/>
                <w:lang w:val="es-ES"/>
              </w:rPr>
            </w:pPr>
            <w:r>
              <w:rPr>
                <w:rFonts w:ascii="Arial" w:hAnsi="Arial" w:cs="Arial"/>
                <w:color w:val="000000" w:themeColor="text1"/>
                <w:sz w:val="18"/>
                <w:szCs w:val="18"/>
                <w:lang w:val="es-DO"/>
              </w:rPr>
              <w:t>(3.1</w:t>
            </w:r>
            <w:r w:rsidR="00CC6515">
              <w:rPr>
                <w:rFonts w:ascii="Arial" w:hAnsi="Arial" w:cs="Arial"/>
                <w:color w:val="000000" w:themeColor="text1"/>
                <w:sz w:val="18"/>
                <w:szCs w:val="18"/>
                <w:lang w:val="es-DO"/>
              </w:rPr>
              <w:t>3</w:t>
            </w:r>
            <w:r w:rsidR="009C6C7C" w:rsidRPr="00E25594">
              <w:rPr>
                <w:rFonts w:ascii="Arial" w:hAnsi="Arial" w:cs="Arial"/>
                <w:color w:val="000000" w:themeColor="text1"/>
                <w:sz w:val="18"/>
                <w:szCs w:val="18"/>
                <w:lang w:val="es-DO"/>
              </w:rPr>
              <w:t xml:space="preserve">)   </w:t>
            </w:r>
            <w:r w:rsidR="009C6C7C" w:rsidRPr="00E25594">
              <w:rPr>
                <w:rFonts w:ascii="Arial" w:hAnsi="Arial" w:cs="Arial"/>
                <w:color w:val="000000" w:themeColor="text1"/>
                <w:sz w:val="18"/>
                <w:szCs w:val="18"/>
                <w:lang w:val="es-ES"/>
              </w:rPr>
              <w:t>Formulación de un protocolo que regule la ayuda mutua en caso de desastres.</w:t>
            </w:r>
          </w:p>
        </w:tc>
        <w:tc>
          <w:tcPr>
            <w:tcW w:w="5615" w:type="dxa"/>
            <w:shd w:val="clear" w:color="auto" w:fill="auto"/>
          </w:tcPr>
          <w:p w:rsidR="009C6C7C" w:rsidRPr="001E5BE4" w:rsidRDefault="00E25594" w:rsidP="00A31B79">
            <w:pPr>
              <w:spacing w:before="60" w:after="60" w:line="240" w:lineRule="auto"/>
              <w:rPr>
                <w:rFonts w:ascii="Arial" w:hAnsi="Arial" w:cs="Arial"/>
                <w:sz w:val="18"/>
                <w:szCs w:val="18"/>
                <w:lang w:val="es-ES"/>
              </w:rPr>
            </w:pPr>
            <w:r w:rsidRPr="00E25594">
              <w:rPr>
                <w:rFonts w:ascii="Arial" w:hAnsi="Arial" w:cs="Arial"/>
                <w:sz w:val="18"/>
                <w:szCs w:val="18"/>
                <w:lang w:val="es-ES"/>
              </w:rPr>
              <w:t>Resolución Multi-ministerial del CONARADE que apruebe el Manual del COE Nacional conteniendo el protocolo que regula la ayuda mutua en caso de desastres</w:t>
            </w:r>
            <w:r>
              <w:rPr>
                <w:rFonts w:ascii="Arial" w:hAnsi="Arial" w:cs="Arial"/>
                <w:sz w:val="18"/>
                <w:szCs w:val="18"/>
                <w:lang w:val="es-ES"/>
              </w:rPr>
              <w:t>.</w:t>
            </w:r>
          </w:p>
        </w:tc>
        <w:tc>
          <w:tcPr>
            <w:tcW w:w="2669" w:type="dxa"/>
            <w:shd w:val="clear" w:color="auto" w:fill="auto"/>
          </w:tcPr>
          <w:p w:rsidR="009C6C7C" w:rsidRDefault="009C6C7C" w:rsidP="008A52DB">
            <w:pPr>
              <w:spacing w:before="60" w:after="0" w:line="240" w:lineRule="auto"/>
              <w:rPr>
                <w:rFonts w:ascii="Arial" w:hAnsi="Arial" w:cs="Arial"/>
                <w:sz w:val="18"/>
                <w:szCs w:val="18"/>
                <w:lang w:val="es-DO"/>
              </w:rPr>
            </w:pPr>
            <w:r>
              <w:rPr>
                <w:rFonts w:ascii="Arial" w:hAnsi="Arial" w:cs="Arial"/>
                <w:sz w:val="18"/>
                <w:szCs w:val="18"/>
                <w:lang w:val="es-DO"/>
              </w:rPr>
              <w:t>MD</w:t>
            </w:r>
          </w:p>
        </w:tc>
      </w:tr>
      <w:tr w:rsidR="009C6C7C" w:rsidRPr="001E5BE4" w:rsidTr="008A52DB">
        <w:tc>
          <w:tcPr>
            <w:tcW w:w="4666" w:type="dxa"/>
            <w:shd w:val="clear" w:color="auto" w:fill="auto"/>
          </w:tcPr>
          <w:p w:rsidR="009C6C7C" w:rsidRPr="00E25594" w:rsidRDefault="003D2545" w:rsidP="00A31B79">
            <w:pPr>
              <w:spacing w:before="60" w:after="60" w:line="240" w:lineRule="auto"/>
              <w:ind w:left="634" w:hanging="634"/>
              <w:rPr>
                <w:rFonts w:ascii="Arial" w:hAnsi="Arial" w:cs="Arial"/>
                <w:color w:val="000000" w:themeColor="text1"/>
                <w:sz w:val="18"/>
                <w:szCs w:val="18"/>
                <w:lang w:val="es-ES"/>
              </w:rPr>
            </w:pPr>
            <w:r>
              <w:rPr>
                <w:rFonts w:ascii="Arial" w:hAnsi="Arial" w:cs="Arial"/>
                <w:color w:val="000000" w:themeColor="text1"/>
                <w:sz w:val="18"/>
                <w:szCs w:val="18"/>
                <w:lang w:val="es-DO"/>
              </w:rPr>
              <w:t>(3.1</w:t>
            </w:r>
            <w:r w:rsidR="00CC6515">
              <w:rPr>
                <w:rFonts w:ascii="Arial" w:hAnsi="Arial" w:cs="Arial"/>
                <w:color w:val="000000" w:themeColor="text1"/>
                <w:sz w:val="18"/>
                <w:szCs w:val="18"/>
                <w:lang w:val="es-DO"/>
              </w:rPr>
              <w:t>4</w:t>
            </w:r>
            <w:r w:rsidR="009C6C7C" w:rsidRPr="00E25594">
              <w:rPr>
                <w:rFonts w:ascii="Arial" w:hAnsi="Arial" w:cs="Arial"/>
                <w:color w:val="000000" w:themeColor="text1"/>
                <w:sz w:val="18"/>
                <w:szCs w:val="18"/>
                <w:lang w:val="es-DO"/>
              </w:rPr>
              <w:t xml:space="preserve">)   </w:t>
            </w:r>
            <w:r w:rsidR="00E25594" w:rsidRPr="00E25594">
              <w:rPr>
                <w:rFonts w:ascii="Arial" w:hAnsi="Arial" w:cs="Arial"/>
                <w:color w:val="000000" w:themeColor="text1"/>
                <w:sz w:val="18"/>
                <w:szCs w:val="18"/>
                <w:lang w:val="es-ES"/>
              </w:rPr>
              <w:t>Identificación y activación de al menos un mecanismo de participación de la sociedad civil en la respuesta a una emergencia declarada.</w:t>
            </w:r>
          </w:p>
        </w:tc>
        <w:tc>
          <w:tcPr>
            <w:tcW w:w="5615" w:type="dxa"/>
            <w:shd w:val="clear" w:color="auto" w:fill="auto"/>
          </w:tcPr>
          <w:p w:rsidR="009C6C7C" w:rsidRPr="001E5BE4" w:rsidRDefault="0058226B">
            <w:pPr>
              <w:spacing w:before="60" w:after="60" w:line="240" w:lineRule="auto"/>
              <w:rPr>
                <w:rFonts w:ascii="Arial" w:hAnsi="Arial" w:cs="Arial"/>
                <w:sz w:val="18"/>
                <w:szCs w:val="18"/>
                <w:lang w:val="es-ES"/>
              </w:rPr>
            </w:pPr>
            <w:r>
              <w:rPr>
                <w:rFonts w:ascii="Arial" w:hAnsi="Arial" w:cs="Arial"/>
                <w:sz w:val="18"/>
                <w:szCs w:val="18"/>
                <w:lang w:val="es-ES"/>
              </w:rPr>
              <w:t>Nota oficial</w:t>
            </w:r>
            <w:r w:rsidR="00B21DF0" w:rsidRPr="00E25594">
              <w:rPr>
                <w:rFonts w:ascii="Arial" w:hAnsi="Arial" w:cs="Arial"/>
                <w:sz w:val="18"/>
                <w:szCs w:val="18"/>
                <w:lang w:val="es-ES"/>
              </w:rPr>
              <w:t xml:space="preserve"> </w:t>
            </w:r>
            <w:r w:rsidR="00355269">
              <w:rPr>
                <w:rFonts w:ascii="Arial" w:hAnsi="Arial" w:cs="Arial"/>
                <w:sz w:val="18"/>
                <w:szCs w:val="18"/>
                <w:lang w:val="es-ES"/>
              </w:rPr>
              <w:t xml:space="preserve">del VIDECI </w:t>
            </w:r>
            <w:r>
              <w:rPr>
                <w:rFonts w:ascii="Arial" w:hAnsi="Arial" w:cs="Arial"/>
                <w:sz w:val="18"/>
                <w:szCs w:val="18"/>
                <w:lang w:val="es-ES"/>
              </w:rPr>
              <w:t xml:space="preserve">informando </w:t>
            </w:r>
            <w:r w:rsidR="00E25594" w:rsidRPr="00E25594">
              <w:rPr>
                <w:rFonts w:ascii="Arial" w:hAnsi="Arial" w:cs="Arial"/>
                <w:sz w:val="18"/>
                <w:szCs w:val="18"/>
                <w:lang w:val="es-ES"/>
              </w:rPr>
              <w:t>acerca de la activación de al menos un mecanismo</w:t>
            </w:r>
            <w:r w:rsidR="00B21DF0">
              <w:rPr>
                <w:rFonts w:ascii="Arial" w:hAnsi="Arial" w:cs="Arial"/>
                <w:sz w:val="18"/>
                <w:szCs w:val="18"/>
                <w:lang w:val="es-ES"/>
              </w:rPr>
              <w:t xml:space="preserve"> </w:t>
            </w:r>
            <w:r>
              <w:rPr>
                <w:rFonts w:ascii="Arial" w:hAnsi="Arial" w:cs="Arial"/>
                <w:sz w:val="18"/>
                <w:szCs w:val="18"/>
                <w:lang w:val="es-ES"/>
              </w:rPr>
              <w:t xml:space="preserve"> de participación de la sociedad civil en la respuesta a una emergencia declarada.</w:t>
            </w:r>
          </w:p>
        </w:tc>
        <w:tc>
          <w:tcPr>
            <w:tcW w:w="2669" w:type="dxa"/>
            <w:shd w:val="clear" w:color="auto" w:fill="auto"/>
          </w:tcPr>
          <w:p w:rsidR="009C6C7C" w:rsidRPr="009C6C7C" w:rsidRDefault="00E25594" w:rsidP="008A52DB">
            <w:pPr>
              <w:spacing w:before="60" w:after="0" w:line="240" w:lineRule="auto"/>
              <w:rPr>
                <w:rFonts w:ascii="Arial" w:hAnsi="Arial" w:cs="Arial"/>
                <w:sz w:val="18"/>
                <w:szCs w:val="18"/>
                <w:lang w:val="es-ES"/>
              </w:rPr>
            </w:pPr>
            <w:r>
              <w:rPr>
                <w:rFonts w:ascii="Arial" w:hAnsi="Arial" w:cs="Arial"/>
                <w:sz w:val="18"/>
                <w:szCs w:val="18"/>
                <w:lang w:val="es-ES"/>
              </w:rPr>
              <w:t>MD</w:t>
            </w:r>
          </w:p>
        </w:tc>
      </w:tr>
      <w:tr w:rsidR="009C6C7C" w:rsidRPr="00ED570A" w:rsidTr="00DF6458">
        <w:tc>
          <w:tcPr>
            <w:tcW w:w="4666" w:type="dxa"/>
            <w:shd w:val="clear" w:color="auto" w:fill="auto"/>
          </w:tcPr>
          <w:p w:rsidR="009C6C7C" w:rsidRPr="00D66C40" w:rsidRDefault="003D2545" w:rsidP="00A31B79">
            <w:pPr>
              <w:spacing w:before="60" w:after="60" w:line="240" w:lineRule="auto"/>
              <w:ind w:left="634" w:hanging="634"/>
              <w:rPr>
                <w:rFonts w:ascii="Arial" w:hAnsi="Arial" w:cs="Arial"/>
                <w:color w:val="000000" w:themeColor="text1"/>
                <w:sz w:val="18"/>
                <w:szCs w:val="18"/>
                <w:lang w:val="es-DO"/>
              </w:rPr>
            </w:pPr>
            <w:r>
              <w:rPr>
                <w:rFonts w:ascii="Arial" w:hAnsi="Arial" w:cs="Arial"/>
                <w:color w:val="000000" w:themeColor="text1"/>
                <w:sz w:val="18"/>
                <w:szCs w:val="18"/>
                <w:lang w:val="es-DO"/>
              </w:rPr>
              <w:t>(3.1</w:t>
            </w:r>
            <w:r w:rsidR="00CC6515">
              <w:rPr>
                <w:rFonts w:ascii="Arial" w:hAnsi="Arial" w:cs="Arial"/>
                <w:color w:val="000000" w:themeColor="text1"/>
                <w:sz w:val="18"/>
                <w:szCs w:val="18"/>
                <w:lang w:val="es-DO"/>
              </w:rPr>
              <w:t>5</w:t>
            </w:r>
            <w:r w:rsidR="00E25594" w:rsidRPr="00D66C40">
              <w:rPr>
                <w:rFonts w:ascii="Arial" w:hAnsi="Arial" w:cs="Arial"/>
                <w:color w:val="000000" w:themeColor="text1"/>
                <w:sz w:val="18"/>
                <w:szCs w:val="18"/>
                <w:lang w:val="es-DO"/>
              </w:rPr>
              <w:t>)   Aprobación del Plan de Contingencias del fenómeno El Niño Oscilación Sur del Ministerio de Medio Ambiente y Agua.</w:t>
            </w:r>
          </w:p>
        </w:tc>
        <w:tc>
          <w:tcPr>
            <w:tcW w:w="5615" w:type="dxa"/>
            <w:shd w:val="clear" w:color="auto" w:fill="auto"/>
          </w:tcPr>
          <w:p w:rsidR="009C6C7C" w:rsidRPr="00D66C40" w:rsidRDefault="00E25594" w:rsidP="00ED570A">
            <w:pPr>
              <w:spacing w:before="60" w:after="60" w:line="240" w:lineRule="auto"/>
              <w:rPr>
                <w:rFonts w:ascii="Arial" w:hAnsi="Arial" w:cs="Arial"/>
                <w:sz w:val="18"/>
                <w:szCs w:val="18"/>
                <w:lang w:val="es-ES"/>
              </w:rPr>
            </w:pPr>
            <w:r w:rsidRPr="00D66C40">
              <w:rPr>
                <w:rFonts w:ascii="Arial" w:hAnsi="Arial" w:cs="Arial"/>
                <w:sz w:val="18"/>
                <w:szCs w:val="18"/>
                <w:lang w:val="es-ES"/>
              </w:rPr>
              <w:t xml:space="preserve">Resolución Ministerial </w:t>
            </w:r>
            <w:r w:rsidR="00ED570A">
              <w:rPr>
                <w:rFonts w:ascii="Arial" w:hAnsi="Arial" w:cs="Arial"/>
                <w:sz w:val="18"/>
                <w:szCs w:val="18"/>
                <w:lang w:val="es-ES"/>
              </w:rPr>
              <w:t>No. 585</w:t>
            </w:r>
            <w:r w:rsidR="00D66C40" w:rsidRPr="00D66C40">
              <w:rPr>
                <w:rFonts w:ascii="Arial" w:hAnsi="Arial" w:cs="Arial"/>
                <w:sz w:val="18"/>
                <w:szCs w:val="18"/>
                <w:lang w:val="es-ES"/>
              </w:rPr>
              <w:t xml:space="preserve"> de 31 de diciembre de 2015, </w:t>
            </w:r>
            <w:r w:rsidRPr="00D66C40">
              <w:rPr>
                <w:rFonts w:ascii="Arial" w:hAnsi="Arial" w:cs="Arial"/>
                <w:sz w:val="18"/>
                <w:szCs w:val="18"/>
                <w:lang w:val="es-ES"/>
              </w:rPr>
              <w:t>que aprueba el Plan Sectorial de Acciones</w:t>
            </w:r>
            <w:r w:rsidR="007D2AD5">
              <w:rPr>
                <w:rFonts w:ascii="Arial" w:hAnsi="Arial" w:cs="Arial"/>
                <w:sz w:val="18"/>
                <w:szCs w:val="18"/>
                <w:lang w:val="es-ES"/>
              </w:rPr>
              <w:t xml:space="preserve"> </w:t>
            </w:r>
            <w:r w:rsidRPr="00D66C40">
              <w:rPr>
                <w:rFonts w:ascii="Arial" w:hAnsi="Arial" w:cs="Arial"/>
                <w:sz w:val="18"/>
                <w:szCs w:val="18"/>
                <w:lang w:val="es-ES"/>
              </w:rPr>
              <w:t>Inmediatas ante el Fenómeno de El Niño</w:t>
            </w:r>
            <w:r w:rsidR="00D66C40" w:rsidRPr="00D66C40">
              <w:rPr>
                <w:rFonts w:ascii="Arial" w:hAnsi="Arial" w:cs="Arial"/>
                <w:sz w:val="18"/>
                <w:szCs w:val="18"/>
                <w:lang w:val="es-ES"/>
              </w:rPr>
              <w:t xml:space="preserve"> 2015-2016 del MMAyA.</w:t>
            </w:r>
          </w:p>
        </w:tc>
        <w:tc>
          <w:tcPr>
            <w:tcW w:w="2669" w:type="dxa"/>
            <w:shd w:val="clear" w:color="auto" w:fill="auto"/>
          </w:tcPr>
          <w:p w:rsidR="009C6C7C" w:rsidRDefault="00E25594" w:rsidP="00D14BF0">
            <w:pPr>
              <w:spacing w:before="60" w:after="0" w:line="240" w:lineRule="auto"/>
              <w:rPr>
                <w:rFonts w:ascii="Arial" w:hAnsi="Arial" w:cs="Arial"/>
                <w:sz w:val="18"/>
                <w:szCs w:val="18"/>
                <w:lang w:val="es-ES"/>
              </w:rPr>
            </w:pPr>
            <w:r>
              <w:rPr>
                <w:rFonts w:ascii="Arial" w:hAnsi="Arial" w:cs="Arial"/>
                <w:sz w:val="18"/>
                <w:szCs w:val="18"/>
                <w:lang w:val="es-ES"/>
              </w:rPr>
              <w:t>MMAyA</w:t>
            </w:r>
          </w:p>
        </w:tc>
      </w:tr>
      <w:tr w:rsidR="00E25594" w:rsidRPr="001D7A5C" w:rsidTr="008A52DB">
        <w:tc>
          <w:tcPr>
            <w:tcW w:w="12950" w:type="dxa"/>
            <w:gridSpan w:val="3"/>
            <w:shd w:val="clear" w:color="auto" w:fill="D9D9D9"/>
          </w:tcPr>
          <w:p w:rsidR="00E25594" w:rsidRPr="001E5BE4" w:rsidRDefault="00E25594" w:rsidP="008A52DB">
            <w:pPr>
              <w:spacing w:after="0" w:line="240" w:lineRule="auto"/>
              <w:rPr>
                <w:rFonts w:ascii="Arial" w:hAnsi="Arial" w:cs="Arial"/>
                <w:b/>
                <w:i/>
                <w:sz w:val="18"/>
                <w:szCs w:val="18"/>
                <w:lang w:val="es-DO"/>
              </w:rPr>
            </w:pPr>
            <w:r>
              <w:rPr>
                <w:rFonts w:ascii="Arial" w:hAnsi="Arial" w:cs="Arial"/>
                <w:b/>
                <w:i/>
                <w:sz w:val="18"/>
                <w:szCs w:val="18"/>
                <w:lang w:val="es-DO"/>
              </w:rPr>
              <w:lastRenderedPageBreak/>
              <w:t>Eje 4. Planificación de la recuperación post-desastre</w:t>
            </w:r>
          </w:p>
        </w:tc>
      </w:tr>
      <w:tr w:rsidR="00E25594" w:rsidRPr="001E5BE4" w:rsidTr="008A52DB">
        <w:tc>
          <w:tcPr>
            <w:tcW w:w="4666" w:type="dxa"/>
            <w:shd w:val="clear" w:color="auto" w:fill="auto"/>
          </w:tcPr>
          <w:p w:rsidR="00E25594" w:rsidRPr="00163452" w:rsidRDefault="00E25594" w:rsidP="00355269">
            <w:pPr>
              <w:spacing w:before="60" w:after="60" w:line="240" w:lineRule="auto"/>
              <w:ind w:left="634" w:hanging="634"/>
              <w:rPr>
                <w:rFonts w:ascii="Arial" w:hAnsi="Arial" w:cs="Arial"/>
                <w:color w:val="000000" w:themeColor="text1"/>
                <w:sz w:val="18"/>
                <w:szCs w:val="18"/>
                <w:lang w:val="es-DO"/>
              </w:rPr>
            </w:pPr>
            <w:r w:rsidRPr="00163452">
              <w:rPr>
                <w:rFonts w:ascii="Arial" w:hAnsi="Arial" w:cs="Arial"/>
                <w:color w:val="000000" w:themeColor="text1"/>
                <w:sz w:val="18"/>
                <w:szCs w:val="18"/>
                <w:lang w:val="es-DO"/>
              </w:rPr>
              <w:t>(3.1</w:t>
            </w:r>
            <w:r w:rsidR="00CC6515" w:rsidRPr="00163452">
              <w:rPr>
                <w:rFonts w:ascii="Arial" w:hAnsi="Arial" w:cs="Arial"/>
                <w:color w:val="000000" w:themeColor="text1"/>
                <w:sz w:val="18"/>
                <w:szCs w:val="18"/>
                <w:lang w:val="es-DO"/>
              </w:rPr>
              <w:t>6</w:t>
            </w:r>
            <w:r w:rsidRPr="00163452">
              <w:rPr>
                <w:rFonts w:ascii="Arial" w:hAnsi="Arial" w:cs="Arial"/>
                <w:color w:val="000000" w:themeColor="text1"/>
                <w:sz w:val="18"/>
                <w:szCs w:val="18"/>
                <w:lang w:val="es-DO"/>
              </w:rPr>
              <w:t xml:space="preserve">)   </w:t>
            </w:r>
            <w:r w:rsidRPr="00163452">
              <w:rPr>
                <w:rFonts w:ascii="Arial" w:hAnsi="Arial" w:cs="Arial"/>
                <w:color w:val="000000" w:themeColor="text1"/>
                <w:sz w:val="18"/>
                <w:szCs w:val="18"/>
                <w:lang w:val="es-ES"/>
              </w:rPr>
              <w:t xml:space="preserve">Formulación del </w:t>
            </w:r>
            <w:r w:rsidR="00355269" w:rsidRPr="00163452">
              <w:rPr>
                <w:rFonts w:ascii="Arial" w:hAnsi="Arial" w:cs="Arial"/>
                <w:color w:val="000000" w:themeColor="text1"/>
                <w:sz w:val="18"/>
                <w:szCs w:val="18"/>
                <w:lang w:val="es-ES"/>
              </w:rPr>
              <w:t>M</w:t>
            </w:r>
            <w:r w:rsidR="00035B30" w:rsidRPr="00163452">
              <w:rPr>
                <w:rFonts w:ascii="Arial" w:hAnsi="Arial" w:cs="Arial"/>
                <w:color w:val="000000" w:themeColor="text1"/>
                <w:sz w:val="18"/>
                <w:szCs w:val="18"/>
                <w:lang w:val="es-ES"/>
              </w:rPr>
              <w:t>arco E</w:t>
            </w:r>
            <w:r w:rsidR="00355269" w:rsidRPr="00163452">
              <w:rPr>
                <w:rFonts w:ascii="Arial" w:hAnsi="Arial" w:cs="Arial"/>
                <w:color w:val="000000" w:themeColor="text1"/>
                <w:sz w:val="18"/>
                <w:szCs w:val="18"/>
                <w:lang w:val="es-ES"/>
              </w:rPr>
              <w:t>stratégico</w:t>
            </w:r>
            <w:r w:rsidRPr="00163452">
              <w:rPr>
                <w:rFonts w:ascii="Arial" w:hAnsi="Arial" w:cs="Arial"/>
                <w:color w:val="000000" w:themeColor="text1"/>
                <w:sz w:val="18"/>
                <w:szCs w:val="18"/>
                <w:lang w:val="es-ES"/>
              </w:rPr>
              <w:t xml:space="preserve"> </w:t>
            </w:r>
            <w:r w:rsidR="00355269" w:rsidRPr="00163452">
              <w:rPr>
                <w:rFonts w:ascii="Arial" w:hAnsi="Arial" w:cs="Arial"/>
                <w:color w:val="000000" w:themeColor="text1"/>
                <w:sz w:val="18"/>
                <w:szCs w:val="18"/>
                <w:lang w:val="es-ES"/>
              </w:rPr>
              <w:t>para la</w:t>
            </w:r>
            <w:r w:rsidRPr="00163452">
              <w:rPr>
                <w:rFonts w:ascii="Arial" w:hAnsi="Arial" w:cs="Arial"/>
                <w:color w:val="000000" w:themeColor="text1"/>
                <w:sz w:val="18"/>
                <w:szCs w:val="18"/>
                <w:lang w:val="es-ES"/>
              </w:rPr>
              <w:t xml:space="preserve"> Recuperación </w:t>
            </w:r>
            <w:r w:rsidR="00355269" w:rsidRPr="00163452">
              <w:rPr>
                <w:rFonts w:ascii="Arial" w:hAnsi="Arial" w:cs="Arial"/>
                <w:color w:val="000000" w:themeColor="text1"/>
                <w:sz w:val="18"/>
                <w:szCs w:val="18"/>
                <w:lang w:val="es-ES"/>
              </w:rPr>
              <w:t xml:space="preserve">por Desastres </w:t>
            </w:r>
            <w:r w:rsidRPr="00163452">
              <w:rPr>
                <w:rFonts w:ascii="Arial" w:hAnsi="Arial" w:cs="Arial"/>
                <w:color w:val="000000" w:themeColor="text1"/>
                <w:sz w:val="18"/>
                <w:szCs w:val="18"/>
                <w:lang w:val="es-ES"/>
              </w:rPr>
              <w:t>que establezca que cada ministerio en el marco de sus competencias deberá  formular planes de recuperación post desastre que definan la duración de la etapa en que se apoyará el restablecimiento de los medios de vida e infraestructura, durante la transición entre la respuesta y la reconstrucción.</w:t>
            </w:r>
          </w:p>
        </w:tc>
        <w:tc>
          <w:tcPr>
            <w:tcW w:w="5615" w:type="dxa"/>
            <w:shd w:val="clear" w:color="auto" w:fill="auto"/>
          </w:tcPr>
          <w:p w:rsidR="00E25594" w:rsidRPr="00163452" w:rsidRDefault="00355269" w:rsidP="00DC0642">
            <w:pPr>
              <w:spacing w:before="60" w:after="60" w:line="240" w:lineRule="auto"/>
              <w:rPr>
                <w:rFonts w:ascii="Arial" w:hAnsi="Arial" w:cs="Arial"/>
                <w:sz w:val="18"/>
                <w:szCs w:val="18"/>
                <w:lang w:val="es-ES"/>
              </w:rPr>
            </w:pPr>
            <w:r w:rsidRPr="00163452">
              <w:rPr>
                <w:rFonts w:ascii="Arial" w:hAnsi="Arial" w:cs="Arial"/>
                <w:sz w:val="18"/>
                <w:szCs w:val="18"/>
                <w:lang w:val="es-ES"/>
              </w:rPr>
              <w:t>Propuesta de Marco Estratégico para la Recuperación por Desastres</w:t>
            </w:r>
            <w:r w:rsidR="00E25594" w:rsidRPr="00163452">
              <w:rPr>
                <w:rFonts w:ascii="Arial" w:hAnsi="Arial" w:cs="Arial"/>
                <w:sz w:val="18"/>
                <w:szCs w:val="18"/>
                <w:lang w:val="es-ES"/>
              </w:rPr>
              <w:t xml:space="preserve"> con la No Objeción del </w:t>
            </w:r>
            <w:r w:rsidR="00DC0642" w:rsidRPr="00163452">
              <w:rPr>
                <w:rFonts w:ascii="Arial" w:hAnsi="Arial" w:cs="Arial"/>
                <w:sz w:val="18"/>
                <w:szCs w:val="18"/>
                <w:lang w:val="es-ES"/>
              </w:rPr>
              <w:t>M</w:t>
            </w:r>
            <w:r w:rsidR="00DC0642">
              <w:rPr>
                <w:rFonts w:ascii="Arial" w:hAnsi="Arial" w:cs="Arial"/>
                <w:sz w:val="18"/>
                <w:szCs w:val="18"/>
                <w:lang w:val="es-ES"/>
              </w:rPr>
              <w:t>D</w:t>
            </w:r>
            <w:r w:rsidR="00E25594" w:rsidRPr="00163452">
              <w:rPr>
                <w:rFonts w:ascii="Arial" w:hAnsi="Arial" w:cs="Arial"/>
                <w:sz w:val="18"/>
                <w:szCs w:val="18"/>
                <w:lang w:val="es-ES"/>
              </w:rPr>
              <w:t>.</w:t>
            </w:r>
          </w:p>
        </w:tc>
        <w:tc>
          <w:tcPr>
            <w:tcW w:w="2669" w:type="dxa"/>
            <w:shd w:val="clear" w:color="auto" w:fill="auto"/>
          </w:tcPr>
          <w:p w:rsidR="00E25594" w:rsidRPr="009C6C7C" w:rsidRDefault="00DC0642" w:rsidP="008A52DB">
            <w:pPr>
              <w:spacing w:before="60" w:after="0" w:line="240" w:lineRule="auto"/>
              <w:rPr>
                <w:rFonts w:ascii="Arial" w:hAnsi="Arial" w:cs="Arial"/>
                <w:sz w:val="18"/>
                <w:szCs w:val="18"/>
                <w:lang w:val="es-ES"/>
              </w:rPr>
            </w:pPr>
            <w:r>
              <w:rPr>
                <w:rFonts w:ascii="Arial" w:hAnsi="Arial" w:cs="Arial"/>
                <w:sz w:val="18"/>
                <w:szCs w:val="18"/>
                <w:lang w:val="es-ES"/>
              </w:rPr>
              <w:t>MD</w:t>
            </w:r>
          </w:p>
        </w:tc>
      </w:tr>
      <w:tr w:rsidR="00E25594" w:rsidRPr="001E5BE4" w:rsidTr="008A52DB">
        <w:tc>
          <w:tcPr>
            <w:tcW w:w="4666" w:type="dxa"/>
            <w:shd w:val="clear" w:color="auto" w:fill="auto"/>
          </w:tcPr>
          <w:p w:rsidR="00E25594" w:rsidRPr="00163452" w:rsidRDefault="00E25594" w:rsidP="00A31B79">
            <w:pPr>
              <w:spacing w:before="60" w:after="60" w:line="240" w:lineRule="auto"/>
              <w:ind w:left="634" w:hanging="634"/>
              <w:rPr>
                <w:rFonts w:ascii="Arial" w:hAnsi="Arial" w:cs="Arial"/>
                <w:color w:val="000000" w:themeColor="text1"/>
                <w:sz w:val="18"/>
                <w:szCs w:val="18"/>
                <w:lang w:val="es-ES"/>
              </w:rPr>
            </w:pPr>
            <w:r w:rsidRPr="00163452">
              <w:rPr>
                <w:rFonts w:ascii="Arial" w:hAnsi="Arial" w:cs="Arial"/>
                <w:color w:val="000000" w:themeColor="text1"/>
                <w:sz w:val="18"/>
                <w:szCs w:val="18"/>
                <w:lang w:val="es-DO"/>
              </w:rPr>
              <w:t>(3.1</w:t>
            </w:r>
            <w:r w:rsidR="00CC6515" w:rsidRPr="00163452">
              <w:rPr>
                <w:rFonts w:ascii="Arial" w:hAnsi="Arial" w:cs="Arial"/>
                <w:color w:val="000000" w:themeColor="text1"/>
                <w:sz w:val="18"/>
                <w:szCs w:val="18"/>
                <w:lang w:val="es-DO"/>
              </w:rPr>
              <w:t>7</w:t>
            </w:r>
            <w:r w:rsidRPr="00163452">
              <w:rPr>
                <w:rFonts w:ascii="Arial" w:hAnsi="Arial" w:cs="Arial"/>
                <w:color w:val="000000" w:themeColor="text1"/>
                <w:sz w:val="18"/>
                <w:szCs w:val="18"/>
                <w:lang w:val="es-DO"/>
              </w:rPr>
              <w:t xml:space="preserve">)   </w:t>
            </w:r>
            <w:r w:rsidR="003E3FB3" w:rsidRPr="00163452">
              <w:rPr>
                <w:rFonts w:ascii="Arial" w:hAnsi="Arial" w:cs="Arial"/>
                <w:color w:val="000000" w:themeColor="text1"/>
                <w:sz w:val="18"/>
                <w:szCs w:val="18"/>
                <w:lang w:val="es-ES"/>
              </w:rPr>
              <w:t>Definición de un mecanismo de participación de la sociedad civil o de organizaciones sociales y no gubernamentales en la recuperación post desastre.</w:t>
            </w:r>
          </w:p>
        </w:tc>
        <w:tc>
          <w:tcPr>
            <w:tcW w:w="5615" w:type="dxa"/>
            <w:shd w:val="clear" w:color="auto" w:fill="auto"/>
          </w:tcPr>
          <w:p w:rsidR="00E25594" w:rsidRPr="00163452" w:rsidRDefault="006657AF" w:rsidP="00A31B79">
            <w:pPr>
              <w:spacing w:before="60" w:after="60" w:line="240" w:lineRule="auto"/>
              <w:rPr>
                <w:rFonts w:ascii="Arial" w:hAnsi="Arial" w:cs="Arial"/>
                <w:sz w:val="18"/>
                <w:szCs w:val="18"/>
                <w:lang w:val="es-ES"/>
              </w:rPr>
            </w:pPr>
            <w:r w:rsidRPr="00163452">
              <w:rPr>
                <w:rFonts w:ascii="Arial" w:hAnsi="Arial" w:cs="Arial"/>
                <w:sz w:val="18"/>
                <w:szCs w:val="18"/>
                <w:lang w:val="es-ES"/>
              </w:rPr>
              <w:t>Propuesta de Marco Estratégico para la Recuperación por Desastres</w:t>
            </w:r>
            <w:r w:rsidR="00C44587" w:rsidRPr="00163452">
              <w:rPr>
                <w:rFonts w:ascii="Arial" w:hAnsi="Arial" w:cs="Arial"/>
                <w:sz w:val="18"/>
                <w:szCs w:val="18"/>
                <w:lang w:val="es-ES"/>
              </w:rPr>
              <w:t xml:space="preserve"> con la No Objeción </w:t>
            </w:r>
            <w:r w:rsidRPr="00163452">
              <w:rPr>
                <w:rFonts w:ascii="Arial" w:hAnsi="Arial" w:cs="Arial"/>
                <w:sz w:val="18"/>
                <w:szCs w:val="18"/>
                <w:lang w:val="es-ES"/>
              </w:rPr>
              <w:t>del M</w:t>
            </w:r>
            <w:r w:rsidR="00DC0642">
              <w:rPr>
                <w:rFonts w:ascii="Arial" w:hAnsi="Arial" w:cs="Arial"/>
                <w:sz w:val="18"/>
                <w:szCs w:val="18"/>
                <w:lang w:val="es-ES"/>
              </w:rPr>
              <w:t>D</w:t>
            </w:r>
            <w:r w:rsidRPr="00163452">
              <w:rPr>
                <w:rFonts w:ascii="Arial" w:hAnsi="Arial" w:cs="Arial"/>
                <w:sz w:val="18"/>
                <w:szCs w:val="18"/>
                <w:lang w:val="es-ES"/>
              </w:rPr>
              <w:t>.</w:t>
            </w:r>
          </w:p>
        </w:tc>
        <w:tc>
          <w:tcPr>
            <w:tcW w:w="2669" w:type="dxa"/>
            <w:shd w:val="clear" w:color="auto" w:fill="auto"/>
          </w:tcPr>
          <w:p w:rsidR="00E25594" w:rsidRDefault="00DC0642" w:rsidP="008A52DB">
            <w:pPr>
              <w:spacing w:before="60" w:after="0" w:line="240" w:lineRule="auto"/>
              <w:rPr>
                <w:rFonts w:ascii="Arial" w:hAnsi="Arial" w:cs="Arial"/>
                <w:sz w:val="18"/>
                <w:szCs w:val="18"/>
                <w:lang w:val="es-DO"/>
              </w:rPr>
            </w:pPr>
            <w:r>
              <w:rPr>
                <w:rFonts w:ascii="Arial" w:hAnsi="Arial" w:cs="Arial"/>
                <w:sz w:val="18"/>
                <w:szCs w:val="18"/>
                <w:lang w:val="es-DO"/>
              </w:rPr>
              <w:t>MD</w:t>
            </w:r>
          </w:p>
        </w:tc>
      </w:tr>
      <w:tr w:rsidR="00E25594" w:rsidRPr="001E5BE4" w:rsidTr="008A52DB">
        <w:tc>
          <w:tcPr>
            <w:tcW w:w="4666" w:type="dxa"/>
            <w:shd w:val="clear" w:color="auto" w:fill="auto"/>
          </w:tcPr>
          <w:p w:rsidR="00E25594" w:rsidRPr="00163452" w:rsidRDefault="00E25594">
            <w:pPr>
              <w:spacing w:before="60" w:after="60" w:line="240" w:lineRule="auto"/>
              <w:ind w:left="634" w:hanging="634"/>
              <w:rPr>
                <w:rFonts w:ascii="Arial" w:hAnsi="Arial" w:cs="Arial"/>
                <w:color w:val="000000" w:themeColor="text1"/>
                <w:sz w:val="18"/>
                <w:szCs w:val="18"/>
                <w:lang w:val="es-ES"/>
              </w:rPr>
            </w:pPr>
            <w:r w:rsidRPr="00163452">
              <w:rPr>
                <w:rFonts w:ascii="Arial" w:hAnsi="Arial" w:cs="Arial"/>
                <w:color w:val="000000" w:themeColor="text1"/>
                <w:sz w:val="18"/>
                <w:szCs w:val="18"/>
                <w:lang w:val="es-DO"/>
              </w:rPr>
              <w:t>(3.1</w:t>
            </w:r>
            <w:r w:rsidR="00CC6515" w:rsidRPr="00163452">
              <w:rPr>
                <w:rFonts w:ascii="Arial" w:hAnsi="Arial" w:cs="Arial"/>
                <w:color w:val="000000" w:themeColor="text1"/>
                <w:sz w:val="18"/>
                <w:szCs w:val="18"/>
                <w:lang w:val="es-DO"/>
              </w:rPr>
              <w:t>8</w:t>
            </w:r>
            <w:r w:rsidRPr="00163452">
              <w:rPr>
                <w:rFonts w:ascii="Arial" w:hAnsi="Arial" w:cs="Arial"/>
                <w:color w:val="000000" w:themeColor="text1"/>
                <w:sz w:val="18"/>
                <w:szCs w:val="18"/>
                <w:lang w:val="es-DO"/>
              </w:rPr>
              <w:t xml:space="preserve">)   </w:t>
            </w:r>
            <w:r w:rsidR="008E311D">
              <w:rPr>
                <w:rFonts w:ascii="Arial" w:hAnsi="Arial" w:cs="Arial"/>
                <w:color w:val="000000" w:themeColor="text1"/>
                <w:sz w:val="18"/>
                <w:szCs w:val="18"/>
                <w:lang w:val="es-ES"/>
              </w:rPr>
              <w:t>Aprobación</w:t>
            </w:r>
            <w:r w:rsidR="008E311D" w:rsidRPr="00163452">
              <w:rPr>
                <w:rFonts w:ascii="Arial" w:hAnsi="Arial" w:cs="Arial"/>
                <w:color w:val="000000" w:themeColor="text1"/>
                <w:sz w:val="18"/>
                <w:szCs w:val="18"/>
                <w:lang w:val="es-ES"/>
              </w:rPr>
              <w:t xml:space="preserve"> </w:t>
            </w:r>
            <w:r w:rsidR="003E3FB3" w:rsidRPr="00163452">
              <w:rPr>
                <w:rFonts w:ascii="Arial" w:hAnsi="Arial" w:cs="Arial"/>
                <w:color w:val="000000" w:themeColor="text1"/>
                <w:sz w:val="18"/>
                <w:szCs w:val="18"/>
                <w:lang w:val="es-ES"/>
              </w:rPr>
              <w:t>de normatividad que regule la evaluación, revisión o actualización de planes de desarrollo de entidades territoriales autónomas y planes de ordenamiento después de ocurrido un desastre en las unidades de gestión territorial afectadas.</w:t>
            </w:r>
          </w:p>
        </w:tc>
        <w:tc>
          <w:tcPr>
            <w:tcW w:w="5615" w:type="dxa"/>
            <w:shd w:val="clear" w:color="auto" w:fill="auto"/>
          </w:tcPr>
          <w:p w:rsidR="00E25594" w:rsidRPr="00163452" w:rsidRDefault="003E3FB3" w:rsidP="00163452">
            <w:pPr>
              <w:spacing w:before="60" w:after="60" w:line="240" w:lineRule="auto"/>
              <w:rPr>
                <w:rFonts w:ascii="Arial" w:hAnsi="Arial" w:cs="Arial"/>
                <w:sz w:val="18"/>
                <w:szCs w:val="18"/>
                <w:lang w:val="es-ES"/>
              </w:rPr>
            </w:pPr>
            <w:r w:rsidRPr="00163452">
              <w:rPr>
                <w:rFonts w:ascii="Arial" w:hAnsi="Arial" w:cs="Arial"/>
                <w:sz w:val="18"/>
                <w:szCs w:val="18"/>
                <w:lang w:val="es-ES"/>
              </w:rPr>
              <w:t xml:space="preserve">Ley </w:t>
            </w:r>
            <w:r w:rsidR="004C7042" w:rsidRPr="00163452">
              <w:rPr>
                <w:rFonts w:ascii="Arial" w:hAnsi="Arial" w:cs="Arial"/>
                <w:sz w:val="18"/>
                <w:szCs w:val="18"/>
                <w:lang w:val="es-ES"/>
              </w:rPr>
              <w:t xml:space="preserve">del SPIE </w:t>
            </w:r>
            <w:r w:rsidRPr="00163452">
              <w:rPr>
                <w:rFonts w:ascii="Arial" w:hAnsi="Arial" w:cs="Arial"/>
                <w:sz w:val="18"/>
                <w:szCs w:val="18"/>
                <w:lang w:val="es-ES"/>
              </w:rPr>
              <w:t xml:space="preserve">No. </w:t>
            </w:r>
            <w:r w:rsidR="00A07196" w:rsidRPr="00163452">
              <w:rPr>
                <w:rFonts w:ascii="Arial" w:hAnsi="Arial" w:cs="Arial"/>
                <w:sz w:val="18"/>
                <w:szCs w:val="18"/>
                <w:lang w:val="es-ES"/>
              </w:rPr>
              <w:t>777</w:t>
            </w:r>
            <w:r w:rsidR="004C7042" w:rsidRPr="00163452">
              <w:rPr>
                <w:rFonts w:ascii="Arial" w:hAnsi="Arial" w:cs="Arial"/>
                <w:sz w:val="18"/>
                <w:szCs w:val="18"/>
                <w:lang w:val="es-ES"/>
              </w:rPr>
              <w:t xml:space="preserve"> </w:t>
            </w:r>
            <w:r w:rsidR="004C7042" w:rsidRPr="00163452">
              <w:rPr>
                <w:rFonts w:ascii="Arial" w:eastAsia="Calibri" w:hAnsi="Arial" w:cs="Arial"/>
                <w:sz w:val="18"/>
                <w:szCs w:val="18"/>
                <w:lang w:val="es-ES"/>
              </w:rPr>
              <w:t>del 21 de enero de 2016</w:t>
            </w:r>
          </w:p>
        </w:tc>
        <w:tc>
          <w:tcPr>
            <w:tcW w:w="2669" w:type="dxa"/>
            <w:shd w:val="clear" w:color="auto" w:fill="auto"/>
          </w:tcPr>
          <w:p w:rsidR="00E25594" w:rsidRPr="009C6C7C" w:rsidRDefault="003E3FB3" w:rsidP="008A52DB">
            <w:pPr>
              <w:spacing w:before="60" w:after="0" w:line="240" w:lineRule="auto"/>
              <w:rPr>
                <w:rFonts w:ascii="Arial" w:hAnsi="Arial" w:cs="Arial"/>
                <w:sz w:val="18"/>
                <w:szCs w:val="18"/>
                <w:lang w:val="es-ES"/>
              </w:rPr>
            </w:pPr>
            <w:r>
              <w:rPr>
                <w:rFonts w:ascii="Arial" w:hAnsi="Arial" w:cs="Arial"/>
                <w:sz w:val="18"/>
                <w:szCs w:val="18"/>
                <w:lang w:val="es-ES"/>
              </w:rPr>
              <w:t>MPD/VPC</w:t>
            </w:r>
          </w:p>
        </w:tc>
      </w:tr>
      <w:tr w:rsidR="00E25594" w:rsidRPr="001E5BE4" w:rsidTr="008A52DB">
        <w:tc>
          <w:tcPr>
            <w:tcW w:w="4666" w:type="dxa"/>
            <w:shd w:val="clear" w:color="auto" w:fill="auto"/>
          </w:tcPr>
          <w:p w:rsidR="00E25594" w:rsidRPr="00163452" w:rsidRDefault="003D2545" w:rsidP="00A31B79">
            <w:pPr>
              <w:spacing w:before="60" w:after="60" w:line="240" w:lineRule="auto"/>
              <w:ind w:left="634" w:hanging="634"/>
              <w:rPr>
                <w:rFonts w:ascii="Arial" w:hAnsi="Arial" w:cs="Arial"/>
                <w:color w:val="000000" w:themeColor="text1"/>
                <w:sz w:val="18"/>
                <w:szCs w:val="18"/>
                <w:lang w:val="es-DO"/>
              </w:rPr>
            </w:pPr>
            <w:r w:rsidRPr="00163452">
              <w:rPr>
                <w:rFonts w:ascii="Arial" w:hAnsi="Arial" w:cs="Arial"/>
                <w:color w:val="000000" w:themeColor="text1"/>
                <w:sz w:val="18"/>
                <w:szCs w:val="18"/>
                <w:lang w:val="es-DO"/>
              </w:rPr>
              <w:t>(3.1</w:t>
            </w:r>
            <w:r w:rsidR="00CC6515" w:rsidRPr="00163452">
              <w:rPr>
                <w:rFonts w:ascii="Arial" w:hAnsi="Arial" w:cs="Arial"/>
                <w:color w:val="000000" w:themeColor="text1"/>
                <w:sz w:val="18"/>
                <w:szCs w:val="18"/>
                <w:lang w:val="es-DO"/>
              </w:rPr>
              <w:t>9</w:t>
            </w:r>
            <w:r w:rsidR="00E25594" w:rsidRPr="00163452">
              <w:rPr>
                <w:rFonts w:ascii="Arial" w:hAnsi="Arial" w:cs="Arial"/>
                <w:color w:val="000000" w:themeColor="text1"/>
                <w:sz w:val="18"/>
                <w:szCs w:val="18"/>
                <w:lang w:val="es-DO"/>
              </w:rPr>
              <w:t xml:space="preserve">)   </w:t>
            </w:r>
            <w:r w:rsidR="008E311D">
              <w:rPr>
                <w:rFonts w:ascii="Arial" w:hAnsi="Arial" w:cs="Arial"/>
                <w:color w:val="000000" w:themeColor="text1"/>
                <w:sz w:val="18"/>
                <w:szCs w:val="18"/>
                <w:lang w:val="es-DO"/>
              </w:rPr>
              <w:t>Aprobación de m</w:t>
            </w:r>
            <w:r w:rsidR="003E3FB3" w:rsidRPr="00163452">
              <w:rPr>
                <w:rFonts w:ascii="Arial" w:hAnsi="Arial" w:cs="Arial"/>
                <w:color w:val="000000" w:themeColor="text1"/>
                <w:sz w:val="18"/>
                <w:szCs w:val="18"/>
                <w:lang w:val="es-DO"/>
              </w:rPr>
              <w:t>etodología y lineamientos estratégicos para la actualización de planes de desarrollo en escenarios post desastre de manera que no reproduzcan las condiciones de vulnerabilidad.</w:t>
            </w:r>
          </w:p>
        </w:tc>
        <w:tc>
          <w:tcPr>
            <w:tcW w:w="5615" w:type="dxa"/>
            <w:shd w:val="clear" w:color="auto" w:fill="auto"/>
          </w:tcPr>
          <w:p w:rsidR="00E25594" w:rsidRPr="00163452" w:rsidRDefault="00C44587">
            <w:pPr>
              <w:spacing w:before="60" w:after="60" w:line="240" w:lineRule="auto"/>
              <w:rPr>
                <w:rFonts w:ascii="Arial" w:hAnsi="Arial" w:cs="Arial"/>
                <w:sz w:val="18"/>
                <w:szCs w:val="18"/>
                <w:lang w:val="es-ES"/>
              </w:rPr>
            </w:pPr>
            <w:r w:rsidRPr="00163452">
              <w:rPr>
                <w:rFonts w:ascii="Arial" w:hAnsi="Arial" w:cs="Arial"/>
                <w:sz w:val="18"/>
                <w:szCs w:val="18"/>
                <w:lang w:val="es-ES"/>
              </w:rPr>
              <w:t xml:space="preserve">Resolución Ministerial </w:t>
            </w:r>
            <w:r w:rsidR="00D1642E" w:rsidRPr="00D1642E">
              <w:rPr>
                <w:rFonts w:ascii="Arial" w:hAnsi="Arial" w:cs="Arial"/>
                <w:sz w:val="18"/>
                <w:szCs w:val="18"/>
                <w:lang w:val="es-ES"/>
              </w:rPr>
              <w:t xml:space="preserve">No. 018 del 11 de febrero de 2016 </w:t>
            </w:r>
            <w:r w:rsidRPr="00163452">
              <w:rPr>
                <w:rFonts w:ascii="Arial" w:hAnsi="Arial" w:cs="Arial"/>
                <w:sz w:val="18"/>
                <w:szCs w:val="18"/>
                <w:lang w:val="es-ES"/>
              </w:rPr>
              <w:t>que aprueba los Lineamientos metodológicos para la formulación de los planes sectoriales de desarrollo integral</w:t>
            </w:r>
            <w:r w:rsidR="00B21DF0">
              <w:rPr>
                <w:rFonts w:ascii="Arial" w:hAnsi="Arial" w:cs="Arial"/>
                <w:sz w:val="18"/>
                <w:szCs w:val="18"/>
                <w:lang w:val="es-ES"/>
              </w:rPr>
              <w:t xml:space="preserve"> </w:t>
            </w:r>
            <w:r w:rsidR="0058226B">
              <w:rPr>
                <w:rFonts w:ascii="Arial" w:hAnsi="Arial" w:cs="Arial"/>
                <w:sz w:val="18"/>
                <w:szCs w:val="18"/>
                <w:lang w:val="es-ES"/>
              </w:rPr>
              <w:t xml:space="preserve"> donde se define que la actualización de dichos planes tras la ocurrencia de un desastre será guiada por consideraciones tendientes a evitar la reproducción de las condiciones de vulnerabilidad que dieron lugar a dicho desastre.</w:t>
            </w:r>
          </w:p>
        </w:tc>
        <w:tc>
          <w:tcPr>
            <w:tcW w:w="2669" w:type="dxa"/>
            <w:shd w:val="clear" w:color="auto" w:fill="auto"/>
          </w:tcPr>
          <w:p w:rsidR="00E25594" w:rsidRDefault="003E3FB3" w:rsidP="008A52DB">
            <w:pPr>
              <w:spacing w:before="60" w:after="0" w:line="240" w:lineRule="auto"/>
              <w:rPr>
                <w:rFonts w:ascii="Arial" w:hAnsi="Arial" w:cs="Arial"/>
                <w:sz w:val="18"/>
                <w:szCs w:val="18"/>
                <w:lang w:val="es-ES"/>
              </w:rPr>
            </w:pPr>
            <w:r>
              <w:rPr>
                <w:rFonts w:ascii="Arial" w:hAnsi="Arial" w:cs="Arial"/>
                <w:sz w:val="18"/>
                <w:szCs w:val="18"/>
                <w:lang w:val="es-ES"/>
              </w:rPr>
              <w:t>MPD/VPC</w:t>
            </w:r>
          </w:p>
        </w:tc>
      </w:tr>
      <w:tr w:rsidR="003E3FB3" w:rsidRPr="001E5BE4" w:rsidTr="008A52DB">
        <w:tc>
          <w:tcPr>
            <w:tcW w:w="12950" w:type="dxa"/>
            <w:gridSpan w:val="3"/>
            <w:shd w:val="clear" w:color="auto" w:fill="D9D9D9"/>
          </w:tcPr>
          <w:p w:rsidR="003E3FB3" w:rsidRPr="001E5BE4" w:rsidRDefault="003E3FB3" w:rsidP="008A52DB">
            <w:pPr>
              <w:spacing w:after="0" w:line="240" w:lineRule="auto"/>
              <w:rPr>
                <w:rFonts w:ascii="Arial" w:hAnsi="Arial" w:cs="Arial"/>
                <w:b/>
                <w:i/>
                <w:sz w:val="18"/>
                <w:szCs w:val="18"/>
                <w:lang w:val="es-DO"/>
              </w:rPr>
            </w:pPr>
            <w:r>
              <w:rPr>
                <w:rFonts w:ascii="Arial" w:hAnsi="Arial" w:cs="Arial"/>
                <w:b/>
                <w:i/>
                <w:sz w:val="18"/>
                <w:szCs w:val="18"/>
                <w:lang w:val="es-DO"/>
              </w:rPr>
              <w:t>Eje 5. Protección Financiera</w:t>
            </w:r>
          </w:p>
        </w:tc>
      </w:tr>
      <w:tr w:rsidR="003E3FB3" w:rsidRPr="001E5BE4" w:rsidTr="008A52DB">
        <w:tc>
          <w:tcPr>
            <w:tcW w:w="4666" w:type="dxa"/>
            <w:shd w:val="clear" w:color="auto" w:fill="auto"/>
          </w:tcPr>
          <w:p w:rsidR="003E3FB3" w:rsidRPr="00E25594" w:rsidRDefault="003D2545" w:rsidP="009C0993">
            <w:pPr>
              <w:spacing w:before="60" w:after="60" w:line="240" w:lineRule="auto"/>
              <w:ind w:left="634" w:hanging="634"/>
              <w:rPr>
                <w:rFonts w:ascii="Arial" w:hAnsi="Arial" w:cs="Arial"/>
                <w:color w:val="000000" w:themeColor="text1"/>
                <w:sz w:val="18"/>
                <w:szCs w:val="18"/>
                <w:lang w:val="es-DO"/>
              </w:rPr>
            </w:pPr>
            <w:r>
              <w:rPr>
                <w:rFonts w:ascii="Arial" w:hAnsi="Arial" w:cs="Arial"/>
                <w:color w:val="000000" w:themeColor="text1"/>
                <w:sz w:val="18"/>
                <w:szCs w:val="18"/>
                <w:lang w:val="es-DO"/>
              </w:rPr>
              <w:t>(3.</w:t>
            </w:r>
            <w:r w:rsidR="00CC6515">
              <w:rPr>
                <w:rFonts w:ascii="Arial" w:hAnsi="Arial" w:cs="Arial"/>
                <w:color w:val="000000" w:themeColor="text1"/>
                <w:sz w:val="18"/>
                <w:szCs w:val="18"/>
                <w:lang w:val="es-DO"/>
              </w:rPr>
              <w:t>20</w:t>
            </w:r>
            <w:r w:rsidR="003E3FB3" w:rsidRPr="00E25594">
              <w:rPr>
                <w:rFonts w:ascii="Arial" w:hAnsi="Arial" w:cs="Arial"/>
                <w:color w:val="000000" w:themeColor="text1"/>
                <w:sz w:val="18"/>
                <w:szCs w:val="18"/>
                <w:lang w:val="es-DO"/>
              </w:rPr>
              <w:t xml:space="preserve">)   </w:t>
            </w:r>
            <w:r w:rsidR="009B58E8">
              <w:rPr>
                <w:rFonts w:ascii="Arial" w:hAnsi="Arial" w:cs="Arial"/>
                <w:color w:val="000000" w:themeColor="text1"/>
                <w:sz w:val="18"/>
                <w:szCs w:val="18"/>
                <w:lang w:val="es-ES"/>
              </w:rPr>
              <w:t>Dimensionamiento de</w:t>
            </w:r>
            <w:r w:rsidR="003E3FB3" w:rsidRPr="003E3FB3">
              <w:rPr>
                <w:rFonts w:ascii="Arial" w:hAnsi="Arial" w:cs="Arial"/>
                <w:color w:val="000000" w:themeColor="text1"/>
                <w:sz w:val="18"/>
                <w:szCs w:val="18"/>
                <w:lang w:val="es-ES"/>
              </w:rPr>
              <w:t xml:space="preserve"> las necesidades de recursos para cubrir eventos recurrentes y catastróficos en base a análisis de Pérdidas Máximas Probables (PMP) para diferentes periodos de retorno.</w:t>
            </w:r>
          </w:p>
        </w:tc>
        <w:tc>
          <w:tcPr>
            <w:tcW w:w="5615" w:type="dxa"/>
            <w:shd w:val="clear" w:color="auto" w:fill="auto"/>
          </w:tcPr>
          <w:p w:rsidR="003E3FB3" w:rsidRPr="00184CAA" w:rsidRDefault="003E3FB3" w:rsidP="00184CAA">
            <w:pPr>
              <w:spacing w:before="60" w:after="60" w:line="240" w:lineRule="auto"/>
              <w:rPr>
                <w:rFonts w:ascii="Arial" w:hAnsi="Arial" w:cs="Arial"/>
                <w:sz w:val="18"/>
                <w:szCs w:val="18"/>
                <w:lang w:val="es-ES"/>
              </w:rPr>
            </w:pPr>
            <w:r w:rsidRPr="00184CAA">
              <w:rPr>
                <w:rFonts w:ascii="Arial" w:hAnsi="Arial" w:cs="Arial"/>
                <w:sz w:val="18"/>
                <w:szCs w:val="18"/>
                <w:lang w:val="es-ES"/>
              </w:rPr>
              <w:t>Nota de No Objeción del</w:t>
            </w:r>
            <w:r w:rsidR="00C44587" w:rsidRPr="00184CAA">
              <w:rPr>
                <w:rFonts w:ascii="Arial" w:hAnsi="Arial" w:cs="Arial"/>
                <w:sz w:val="18"/>
                <w:szCs w:val="18"/>
                <w:lang w:val="es-ES"/>
              </w:rPr>
              <w:t xml:space="preserve"> MMAyA</w:t>
            </w:r>
            <w:r w:rsidR="0058226B">
              <w:rPr>
                <w:rFonts w:ascii="Arial" w:hAnsi="Arial" w:cs="Arial"/>
                <w:sz w:val="18"/>
                <w:szCs w:val="18"/>
                <w:lang w:val="es-ES"/>
              </w:rPr>
              <w:t xml:space="preserve"> al </w:t>
            </w:r>
            <w:r w:rsidRPr="00184CAA">
              <w:rPr>
                <w:rFonts w:ascii="Arial" w:hAnsi="Arial" w:cs="Arial"/>
                <w:sz w:val="18"/>
                <w:szCs w:val="18"/>
                <w:lang w:val="es-ES"/>
              </w:rPr>
              <w:t>Informe Final de un estudio de cálculo probabilista por inundaciones en al menos una cuenca piloto</w:t>
            </w:r>
            <w:r w:rsidR="0003416B">
              <w:rPr>
                <w:rFonts w:ascii="Arial" w:hAnsi="Arial" w:cs="Arial"/>
                <w:sz w:val="18"/>
                <w:szCs w:val="18"/>
                <w:lang w:val="es-ES"/>
              </w:rPr>
              <w:t>.</w:t>
            </w:r>
          </w:p>
        </w:tc>
        <w:tc>
          <w:tcPr>
            <w:tcW w:w="2669" w:type="dxa"/>
            <w:shd w:val="clear" w:color="auto" w:fill="auto"/>
          </w:tcPr>
          <w:p w:rsidR="003E3FB3" w:rsidRPr="009C6C7C" w:rsidRDefault="00C44587" w:rsidP="008A52DB">
            <w:pPr>
              <w:spacing w:before="60" w:after="0" w:line="240" w:lineRule="auto"/>
              <w:rPr>
                <w:rFonts w:ascii="Arial" w:hAnsi="Arial" w:cs="Arial"/>
                <w:sz w:val="18"/>
                <w:szCs w:val="18"/>
                <w:lang w:val="es-ES"/>
              </w:rPr>
            </w:pPr>
            <w:r>
              <w:rPr>
                <w:rFonts w:ascii="Arial" w:hAnsi="Arial" w:cs="Arial"/>
                <w:sz w:val="18"/>
                <w:szCs w:val="18"/>
                <w:lang w:val="es-ES"/>
              </w:rPr>
              <w:t>MMAyA</w:t>
            </w:r>
          </w:p>
        </w:tc>
      </w:tr>
      <w:tr w:rsidR="00884C51" w:rsidRPr="001E5BE4" w:rsidTr="008A52DB">
        <w:tc>
          <w:tcPr>
            <w:tcW w:w="4666" w:type="dxa"/>
            <w:shd w:val="clear" w:color="auto" w:fill="auto"/>
          </w:tcPr>
          <w:p w:rsidR="00884C51" w:rsidRDefault="00884C51" w:rsidP="00A31B79">
            <w:pPr>
              <w:spacing w:before="60" w:after="60" w:line="240" w:lineRule="auto"/>
              <w:ind w:left="634" w:hanging="634"/>
              <w:rPr>
                <w:rFonts w:ascii="Arial" w:hAnsi="Arial" w:cs="Arial"/>
                <w:color w:val="000000" w:themeColor="text1"/>
                <w:sz w:val="18"/>
                <w:szCs w:val="18"/>
                <w:lang w:val="es-DO"/>
              </w:rPr>
            </w:pPr>
            <w:r>
              <w:rPr>
                <w:rFonts w:ascii="Arial" w:eastAsia="Calibri" w:hAnsi="Arial" w:cs="Arial"/>
                <w:sz w:val="18"/>
                <w:szCs w:val="18"/>
                <w:lang w:val="es-DO"/>
              </w:rPr>
              <w:t>(3.</w:t>
            </w:r>
            <w:r w:rsidR="003D2545">
              <w:rPr>
                <w:rFonts w:ascii="Arial" w:eastAsia="Calibri" w:hAnsi="Arial" w:cs="Arial"/>
                <w:sz w:val="18"/>
                <w:szCs w:val="18"/>
                <w:lang w:val="es-DO"/>
              </w:rPr>
              <w:t>2</w:t>
            </w:r>
            <w:r w:rsidR="00CC6515">
              <w:rPr>
                <w:rFonts w:ascii="Arial" w:eastAsia="Calibri" w:hAnsi="Arial" w:cs="Arial"/>
                <w:sz w:val="18"/>
                <w:szCs w:val="18"/>
                <w:lang w:val="es-DO"/>
              </w:rPr>
              <w:t>1</w:t>
            </w:r>
            <w:r w:rsidRPr="006003B1">
              <w:rPr>
                <w:rFonts w:ascii="Arial" w:eastAsia="Calibri" w:hAnsi="Arial" w:cs="Arial"/>
                <w:sz w:val="18"/>
                <w:szCs w:val="18"/>
                <w:lang w:val="es-DO"/>
              </w:rPr>
              <w:t>)</w:t>
            </w:r>
            <w:r>
              <w:rPr>
                <w:rFonts w:ascii="Arial" w:hAnsi="Arial" w:cs="Arial"/>
                <w:sz w:val="18"/>
                <w:szCs w:val="18"/>
                <w:lang w:val="es-DO"/>
              </w:rPr>
              <w:t xml:space="preserve">   </w:t>
            </w:r>
            <w:r w:rsidRPr="0073534F">
              <w:rPr>
                <w:rFonts w:ascii="Arial" w:eastAsia="Calibri" w:hAnsi="Arial" w:cs="Arial"/>
                <w:sz w:val="18"/>
                <w:szCs w:val="18"/>
                <w:lang w:val="es-ES"/>
              </w:rPr>
              <w:t>Se ha definido la combinación óptima de instrumentos de reducción, retención y transferencia del riesgo para Bolivia con base en estudios probabilistas de riesgo</w:t>
            </w:r>
            <w:r w:rsidRPr="00BC2889">
              <w:rPr>
                <w:rFonts w:ascii="Arial" w:eastAsia="Calibri" w:hAnsi="Arial" w:cs="Arial"/>
                <w:sz w:val="18"/>
                <w:szCs w:val="18"/>
                <w:lang w:val="es-ES"/>
              </w:rPr>
              <w:t xml:space="preserve">. </w:t>
            </w:r>
          </w:p>
        </w:tc>
        <w:tc>
          <w:tcPr>
            <w:tcW w:w="5615" w:type="dxa"/>
            <w:shd w:val="clear" w:color="auto" w:fill="auto"/>
          </w:tcPr>
          <w:p w:rsidR="00884C51" w:rsidRPr="00163452" w:rsidRDefault="00884C51" w:rsidP="00163452">
            <w:pPr>
              <w:spacing w:before="60" w:after="60" w:line="240" w:lineRule="auto"/>
              <w:rPr>
                <w:rFonts w:ascii="Arial" w:hAnsi="Arial" w:cs="Arial"/>
                <w:sz w:val="18"/>
                <w:szCs w:val="18"/>
                <w:lang w:val="es-ES"/>
              </w:rPr>
            </w:pPr>
            <w:r w:rsidRPr="00163452">
              <w:rPr>
                <w:rFonts w:ascii="Arial" w:eastAsia="Calibri" w:hAnsi="Arial" w:cs="Arial"/>
                <w:sz w:val="18"/>
                <w:szCs w:val="18"/>
                <w:lang w:val="es-ES"/>
              </w:rPr>
              <w:t>Informe del estudio de combinación óptima de instrumentos financieros con la carta de conformidad del MPD/VIPFE.</w:t>
            </w:r>
          </w:p>
        </w:tc>
        <w:tc>
          <w:tcPr>
            <w:tcW w:w="2669" w:type="dxa"/>
            <w:shd w:val="clear" w:color="auto" w:fill="auto"/>
          </w:tcPr>
          <w:p w:rsidR="00884C51" w:rsidRDefault="00884C51" w:rsidP="008A52DB">
            <w:pPr>
              <w:spacing w:before="60" w:after="0" w:line="240" w:lineRule="auto"/>
              <w:rPr>
                <w:rFonts w:ascii="Arial" w:hAnsi="Arial" w:cs="Arial"/>
                <w:sz w:val="18"/>
                <w:szCs w:val="18"/>
                <w:lang w:val="es-ES"/>
              </w:rPr>
            </w:pPr>
            <w:r>
              <w:rPr>
                <w:rFonts w:ascii="Arial" w:eastAsia="Calibri" w:hAnsi="Arial" w:cs="Arial"/>
                <w:sz w:val="18"/>
                <w:szCs w:val="18"/>
                <w:lang w:val="es-DO"/>
              </w:rPr>
              <w:t>MPD/VIPFE</w:t>
            </w:r>
          </w:p>
        </w:tc>
      </w:tr>
    </w:tbl>
    <w:p w:rsidR="00C5347E" w:rsidRPr="006003B1" w:rsidRDefault="00C5347E" w:rsidP="003F5252">
      <w:pPr>
        <w:spacing w:after="0"/>
        <w:rPr>
          <w:rFonts w:ascii="Arial" w:hAnsi="Arial" w:cs="Arial"/>
          <w:sz w:val="16"/>
          <w:szCs w:val="16"/>
          <w:lang w:val="es-DO"/>
        </w:rPr>
      </w:pPr>
    </w:p>
    <w:sectPr w:rsidR="00C5347E" w:rsidRPr="006003B1" w:rsidSect="002E14DA">
      <w:headerReference w:type="even" r:id="rId9"/>
      <w:head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12" w:rsidRDefault="00512212" w:rsidP="003F5252">
      <w:pPr>
        <w:spacing w:after="0" w:line="240" w:lineRule="auto"/>
      </w:pPr>
      <w:r>
        <w:separator/>
      </w:r>
    </w:p>
  </w:endnote>
  <w:endnote w:type="continuationSeparator" w:id="0">
    <w:p w:rsidR="00512212" w:rsidRDefault="00512212" w:rsidP="003F5252">
      <w:pPr>
        <w:spacing w:after="0" w:line="240" w:lineRule="auto"/>
      </w:pPr>
      <w:r>
        <w:continuationSeparator/>
      </w:r>
    </w:p>
  </w:endnote>
  <w:endnote w:type="continuationNotice" w:id="1">
    <w:p w:rsidR="00512212" w:rsidRDefault="00512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12" w:rsidRDefault="00512212" w:rsidP="003F5252">
      <w:pPr>
        <w:spacing w:after="0" w:line="240" w:lineRule="auto"/>
      </w:pPr>
      <w:r>
        <w:separator/>
      </w:r>
    </w:p>
  </w:footnote>
  <w:footnote w:type="continuationSeparator" w:id="0">
    <w:p w:rsidR="00512212" w:rsidRDefault="00512212" w:rsidP="003F5252">
      <w:pPr>
        <w:spacing w:after="0" w:line="240" w:lineRule="auto"/>
      </w:pPr>
      <w:r>
        <w:continuationSeparator/>
      </w:r>
    </w:p>
  </w:footnote>
  <w:footnote w:type="continuationNotice" w:id="1">
    <w:p w:rsidR="00512212" w:rsidRDefault="005122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850641647"/>
      <w:docPartObj>
        <w:docPartGallery w:val="Page Numbers (Top of Page)"/>
        <w:docPartUnique/>
      </w:docPartObj>
    </w:sdtPr>
    <w:sdtEndPr/>
    <w:sdtContent>
      <w:p w:rsidR="002E14DA" w:rsidRPr="0073534F" w:rsidRDefault="0073534F" w:rsidP="0073534F">
        <w:pPr>
          <w:pStyle w:val="Header"/>
          <w:jc w:val="right"/>
          <w:rPr>
            <w:rFonts w:ascii="Arial" w:hAnsi="Arial" w:cs="Arial"/>
            <w:sz w:val="18"/>
            <w:szCs w:val="18"/>
          </w:rPr>
        </w:pPr>
        <w:r w:rsidRPr="0073534F">
          <w:rPr>
            <w:rFonts w:ascii="Arial" w:hAnsi="Arial" w:cs="Arial"/>
            <w:sz w:val="18"/>
            <w:szCs w:val="18"/>
          </w:rPr>
          <w:t>BO-L1107</w:t>
        </w:r>
      </w:p>
      <w:p w:rsidR="002E14DA" w:rsidRPr="0073534F" w:rsidRDefault="002E14DA" w:rsidP="0073534F">
        <w:pPr>
          <w:pStyle w:val="Header"/>
          <w:jc w:val="right"/>
          <w:rPr>
            <w:rFonts w:ascii="Arial" w:hAnsi="Arial" w:cs="Arial"/>
            <w:sz w:val="18"/>
            <w:szCs w:val="18"/>
          </w:rPr>
        </w:pPr>
        <w:r w:rsidRPr="0073534F">
          <w:rPr>
            <w:rFonts w:ascii="Arial" w:hAnsi="Arial" w:cs="Arial"/>
            <w:sz w:val="18"/>
            <w:szCs w:val="18"/>
          </w:rPr>
          <w:t xml:space="preserve">Página </w:t>
        </w:r>
        <w:r w:rsidRPr="0073534F">
          <w:rPr>
            <w:rFonts w:ascii="Arial" w:hAnsi="Arial" w:cs="Arial"/>
            <w:bCs/>
            <w:sz w:val="18"/>
            <w:szCs w:val="18"/>
          </w:rPr>
          <w:fldChar w:fldCharType="begin"/>
        </w:r>
        <w:r w:rsidRPr="0073534F">
          <w:rPr>
            <w:rFonts w:ascii="Arial" w:hAnsi="Arial" w:cs="Arial"/>
            <w:bCs/>
            <w:sz w:val="18"/>
            <w:szCs w:val="18"/>
          </w:rPr>
          <w:instrText xml:space="preserve"> PAGE </w:instrText>
        </w:r>
        <w:r w:rsidRPr="0073534F">
          <w:rPr>
            <w:rFonts w:ascii="Arial" w:hAnsi="Arial" w:cs="Arial"/>
            <w:bCs/>
            <w:sz w:val="18"/>
            <w:szCs w:val="18"/>
          </w:rPr>
          <w:fldChar w:fldCharType="separate"/>
        </w:r>
        <w:r w:rsidR="001D7A5C">
          <w:rPr>
            <w:rFonts w:ascii="Arial" w:hAnsi="Arial" w:cs="Arial"/>
            <w:bCs/>
            <w:noProof/>
            <w:sz w:val="18"/>
            <w:szCs w:val="18"/>
          </w:rPr>
          <w:t>2</w:t>
        </w:r>
        <w:r w:rsidRPr="0073534F">
          <w:rPr>
            <w:rFonts w:ascii="Arial" w:hAnsi="Arial" w:cs="Arial"/>
            <w:bCs/>
            <w:sz w:val="18"/>
            <w:szCs w:val="18"/>
          </w:rPr>
          <w:fldChar w:fldCharType="end"/>
        </w:r>
        <w:r w:rsidRPr="0073534F">
          <w:rPr>
            <w:rFonts w:ascii="Arial" w:hAnsi="Arial" w:cs="Arial"/>
            <w:sz w:val="18"/>
            <w:szCs w:val="18"/>
          </w:rPr>
          <w:t xml:space="preserve"> de </w:t>
        </w:r>
        <w:r w:rsidRPr="0073534F">
          <w:rPr>
            <w:rFonts w:ascii="Arial" w:hAnsi="Arial" w:cs="Arial"/>
            <w:bCs/>
            <w:sz w:val="18"/>
            <w:szCs w:val="18"/>
          </w:rPr>
          <w:fldChar w:fldCharType="begin"/>
        </w:r>
        <w:r w:rsidRPr="0073534F">
          <w:rPr>
            <w:rFonts w:ascii="Arial" w:hAnsi="Arial" w:cs="Arial"/>
            <w:bCs/>
            <w:sz w:val="18"/>
            <w:szCs w:val="18"/>
          </w:rPr>
          <w:instrText xml:space="preserve"> NUMPAGES  </w:instrText>
        </w:r>
        <w:r w:rsidRPr="0073534F">
          <w:rPr>
            <w:rFonts w:ascii="Arial" w:hAnsi="Arial" w:cs="Arial"/>
            <w:bCs/>
            <w:sz w:val="18"/>
            <w:szCs w:val="18"/>
          </w:rPr>
          <w:fldChar w:fldCharType="separate"/>
        </w:r>
        <w:r w:rsidR="001D7A5C">
          <w:rPr>
            <w:rFonts w:ascii="Arial" w:hAnsi="Arial" w:cs="Arial"/>
            <w:bCs/>
            <w:noProof/>
            <w:sz w:val="18"/>
            <w:szCs w:val="18"/>
          </w:rPr>
          <w:t>4</w:t>
        </w:r>
        <w:r w:rsidRPr="0073534F">
          <w:rPr>
            <w:rFonts w:ascii="Arial" w:hAnsi="Arial" w:cs="Arial"/>
            <w:bCs/>
            <w:sz w:val="18"/>
            <w:szCs w:val="18"/>
          </w:rPr>
          <w:fldChar w:fldCharType="end"/>
        </w:r>
      </w:p>
    </w:sdtContent>
  </w:sdt>
  <w:p w:rsidR="002E14DA" w:rsidRPr="002E14DA" w:rsidRDefault="002E14DA">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77648756"/>
      <w:docPartObj>
        <w:docPartGallery w:val="Page Numbers (Top of Page)"/>
        <w:docPartUnique/>
      </w:docPartObj>
    </w:sdtPr>
    <w:sdtEndPr>
      <w:rPr>
        <w:sz w:val="18"/>
        <w:szCs w:val="20"/>
      </w:rPr>
    </w:sdtEndPr>
    <w:sdtContent>
      <w:p w:rsidR="003F5252" w:rsidRPr="0073534F" w:rsidRDefault="0069724C" w:rsidP="00766DF5">
        <w:pPr>
          <w:pStyle w:val="Header"/>
          <w:ind w:firstLine="2160"/>
          <w:jc w:val="right"/>
          <w:rPr>
            <w:rFonts w:ascii="Arial" w:hAnsi="Arial" w:cs="Arial"/>
            <w:sz w:val="18"/>
            <w:szCs w:val="20"/>
            <w:lang w:val="es-DO"/>
          </w:rPr>
        </w:pPr>
        <w:r w:rsidRPr="0073534F">
          <w:rPr>
            <w:rFonts w:ascii="Arial" w:hAnsi="Arial" w:cs="Arial"/>
            <w:sz w:val="20"/>
            <w:lang w:val="es-DO"/>
          </w:rPr>
          <w:tab/>
        </w:r>
        <w:r w:rsidRPr="0073534F">
          <w:rPr>
            <w:rFonts w:ascii="Arial" w:hAnsi="Arial" w:cs="Arial"/>
            <w:sz w:val="20"/>
            <w:lang w:val="es-DO"/>
          </w:rPr>
          <w:tab/>
        </w:r>
        <w:r w:rsidR="00EE23FC" w:rsidRPr="0073534F">
          <w:rPr>
            <w:rFonts w:ascii="Arial" w:hAnsi="Arial" w:cs="Arial"/>
            <w:sz w:val="18"/>
            <w:szCs w:val="20"/>
            <w:lang w:val="es-DO"/>
          </w:rPr>
          <w:t>BO-L1107</w:t>
        </w:r>
      </w:p>
      <w:p w:rsidR="003F5252" w:rsidRPr="0073534F" w:rsidRDefault="003F5252">
        <w:pPr>
          <w:pStyle w:val="Header"/>
          <w:jc w:val="right"/>
          <w:rPr>
            <w:rFonts w:ascii="Arial" w:hAnsi="Arial" w:cs="Arial"/>
            <w:sz w:val="18"/>
            <w:szCs w:val="20"/>
            <w:lang w:val="es-DO"/>
          </w:rPr>
        </w:pPr>
        <w:r w:rsidRPr="0073534F">
          <w:rPr>
            <w:rFonts w:ascii="Arial" w:hAnsi="Arial" w:cs="Arial"/>
            <w:sz w:val="18"/>
            <w:szCs w:val="20"/>
            <w:lang w:val="es-DO"/>
          </w:rPr>
          <w:t xml:space="preserve">Página </w:t>
        </w:r>
        <w:r w:rsidRPr="0073534F">
          <w:rPr>
            <w:rFonts w:ascii="Arial" w:hAnsi="Arial" w:cs="Arial"/>
            <w:bCs/>
            <w:sz w:val="18"/>
            <w:szCs w:val="20"/>
          </w:rPr>
          <w:fldChar w:fldCharType="begin"/>
        </w:r>
        <w:r w:rsidRPr="0073534F">
          <w:rPr>
            <w:rFonts w:ascii="Arial" w:hAnsi="Arial" w:cs="Arial"/>
            <w:bCs/>
            <w:sz w:val="18"/>
            <w:szCs w:val="20"/>
            <w:lang w:val="es-DO"/>
          </w:rPr>
          <w:instrText xml:space="preserve"> PAGE </w:instrText>
        </w:r>
        <w:r w:rsidRPr="0073534F">
          <w:rPr>
            <w:rFonts w:ascii="Arial" w:hAnsi="Arial" w:cs="Arial"/>
            <w:bCs/>
            <w:sz w:val="18"/>
            <w:szCs w:val="20"/>
          </w:rPr>
          <w:fldChar w:fldCharType="separate"/>
        </w:r>
        <w:r w:rsidR="001D7A5C">
          <w:rPr>
            <w:rFonts w:ascii="Arial" w:hAnsi="Arial" w:cs="Arial"/>
            <w:bCs/>
            <w:noProof/>
            <w:sz w:val="18"/>
            <w:szCs w:val="20"/>
            <w:lang w:val="es-DO"/>
          </w:rPr>
          <w:t>1</w:t>
        </w:r>
        <w:r w:rsidRPr="0073534F">
          <w:rPr>
            <w:rFonts w:ascii="Arial" w:hAnsi="Arial" w:cs="Arial"/>
            <w:bCs/>
            <w:sz w:val="18"/>
            <w:szCs w:val="20"/>
          </w:rPr>
          <w:fldChar w:fldCharType="end"/>
        </w:r>
        <w:r w:rsidRPr="0073534F">
          <w:rPr>
            <w:rFonts w:ascii="Arial" w:hAnsi="Arial" w:cs="Arial"/>
            <w:sz w:val="18"/>
            <w:szCs w:val="20"/>
            <w:lang w:val="es-DO"/>
          </w:rPr>
          <w:t xml:space="preserve"> de </w:t>
        </w:r>
        <w:r w:rsidRPr="0073534F">
          <w:rPr>
            <w:rFonts w:ascii="Arial" w:hAnsi="Arial" w:cs="Arial"/>
            <w:bCs/>
            <w:sz w:val="18"/>
            <w:szCs w:val="20"/>
          </w:rPr>
          <w:fldChar w:fldCharType="begin"/>
        </w:r>
        <w:r w:rsidRPr="0073534F">
          <w:rPr>
            <w:rFonts w:ascii="Arial" w:hAnsi="Arial" w:cs="Arial"/>
            <w:bCs/>
            <w:sz w:val="18"/>
            <w:szCs w:val="20"/>
            <w:lang w:val="es-DO"/>
          </w:rPr>
          <w:instrText xml:space="preserve"> NUMPAGES  </w:instrText>
        </w:r>
        <w:r w:rsidRPr="0073534F">
          <w:rPr>
            <w:rFonts w:ascii="Arial" w:hAnsi="Arial" w:cs="Arial"/>
            <w:bCs/>
            <w:sz w:val="18"/>
            <w:szCs w:val="20"/>
          </w:rPr>
          <w:fldChar w:fldCharType="separate"/>
        </w:r>
        <w:r w:rsidR="001D7A5C">
          <w:rPr>
            <w:rFonts w:ascii="Arial" w:hAnsi="Arial" w:cs="Arial"/>
            <w:bCs/>
            <w:noProof/>
            <w:sz w:val="18"/>
            <w:szCs w:val="20"/>
            <w:lang w:val="es-DO"/>
          </w:rPr>
          <w:t>4</w:t>
        </w:r>
        <w:r w:rsidRPr="0073534F">
          <w:rPr>
            <w:rFonts w:ascii="Arial" w:hAnsi="Arial" w:cs="Arial"/>
            <w:bCs/>
            <w:sz w:val="18"/>
            <w:szCs w:val="20"/>
          </w:rPr>
          <w:fldChar w:fldCharType="end"/>
        </w:r>
      </w:p>
    </w:sdtContent>
  </w:sdt>
  <w:p w:rsidR="003F5252" w:rsidRPr="006003B1" w:rsidRDefault="003F5252">
    <w:pPr>
      <w:pStyle w:val="Header"/>
      <w:rPr>
        <w:sz w:val="16"/>
        <w:szCs w:val="16"/>
        <w:lang w:val="es-D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1F"/>
    <w:multiLevelType w:val="hybridMultilevel"/>
    <w:tmpl w:val="34224FE6"/>
    <w:lvl w:ilvl="0" w:tplc="07769A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70734"/>
    <w:multiLevelType w:val="hybridMultilevel"/>
    <w:tmpl w:val="EEB41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4620"/>
    <w:multiLevelType w:val="hybridMultilevel"/>
    <w:tmpl w:val="324E35B6"/>
    <w:lvl w:ilvl="0" w:tplc="27AEA548">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0A3A15B3"/>
    <w:multiLevelType w:val="hybridMultilevel"/>
    <w:tmpl w:val="492CA732"/>
    <w:lvl w:ilvl="0" w:tplc="07769A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2B66EF"/>
    <w:multiLevelType w:val="hybridMultilevel"/>
    <w:tmpl w:val="AE404854"/>
    <w:lvl w:ilvl="0" w:tplc="D1B826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FE7625"/>
    <w:multiLevelType w:val="hybridMultilevel"/>
    <w:tmpl w:val="8CA88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630A"/>
    <w:multiLevelType w:val="hybridMultilevel"/>
    <w:tmpl w:val="AA90D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0B12"/>
    <w:multiLevelType w:val="hybridMultilevel"/>
    <w:tmpl w:val="E8F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B687F"/>
    <w:multiLevelType w:val="hybridMultilevel"/>
    <w:tmpl w:val="2F182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C167B"/>
    <w:multiLevelType w:val="hybridMultilevel"/>
    <w:tmpl w:val="43FC715E"/>
    <w:lvl w:ilvl="0" w:tplc="AFF8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A0AA7"/>
    <w:multiLevelType w:val="multilevel"/>
    <w:tmpl w:val="D5B038C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1869B9"/>
    <w:multiLevelType w:val="hybridMultilevel"/>
    <w:tmpl w:val="583435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7E93"/>
    <w:multiLevelType w:val="hybridMultilevel"/>
    <w:tmpl w:val="62385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B19B0"/>
    <w:multiLevelType w:val="hybridMultilevel"/>
    <w:tmpl w:val="583435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426B5"/>
    <w:multiLevelType w:val="hybridMultilevel"/>
    <w:tmpl w:val="EFAEA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D5189"/>
    <w:multiLevelType w:val="multilevel"/>
    <w:tmpl w:val="5FE677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6DB651E"/>
    <w:multiLevelType w:val="hybridMultilevel"/>
    <w:tmpl w:val="E71CA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D0C4A"/>
    <w:multiLevelType w:val="hybridMultilevel"/>
    <w:tmpl w:val="F83825F4"/>
    <w:lvl w:ilvl="0" w:tplc="70F84894">
      <w:start w:val="5"/>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95262E"/>
    <w:multiLevelType w:val="hybridMultilevel"/>
    <w:tmpl w:val="15942446"/>
    <w:lvl w:ilvl="0" w:tplc="74427B84">
      <w:start w:val="1"/>
      <w:numFmt w:val="lowerRoman"/>
      <w:lvlText w:val="%1)"/>
      <w:lvlJc w:val="left"/>
      <w:pPr>
        <w:ind w:left="1080" w:hanging="72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400CC7"/>
    <w:multiLevelType w:val="hybridMultilevel"/>
    <w:tmpl w:val="D11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979BE"/>
    <w:multiLevelType w:val="hybridMultilevel"/>
    <w:tmpl w:val="92044A86"/>
    <w:lvl w:ilvl="0" w:tplc="07769A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C2692B"/>
    <w:multiLevelType w:val="hybridMultilevel"/>
    <w:tmpl w:val="AA90D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41B96"/>
    <w:multiLevelType w:val="hybridMultilevel"/>
    <w:tmpl w:val="FA122E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1097B"/>
    <w:multiLevelType w:val="multilevel"/>
    <w:tmpl w:val="E954C1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D55330"/>
    <w:multiLevelType w:val="hybridMultilevel"/>
    <w:tmpl w:val="2A1E4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9044F2"/>
    <w:multiLevelType w:val="hybridMultilevel"/>
    <w:tmpl w:val="97648282"/>
    <w:lvl w:ilvl="0" w:tplc="07769A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0"/>
  </w:num>
  <w:num w:numId="3">
    <w:abstractNumId w:val="15"/>
  </w:num>
  <w:num w:numId="4">
    <w:abstractNumId w:val="18"/>
  </w:num>
  <w:num w:numId="5">
    <w:abstractNumId w:val="3"/>
  </w:num>
  <w:num w:numId="6">
    <w:abstractNumId w:val="25"/>
  </w:num>
  <w:num w:numId="7">
    <w:abstractNumId w:val="0"/>
  </w:num>
  <w:num w:numId="8">
    <w:abstractNumId w:val="2"/>
  </w:num>
  <w:num w:numId="9">
    <w:abstractNumId w:val="4"/>
  </w:num>
  <w:num w:numId="10">
    <w:abstractNumId w:val="20"/>
  </w:num>
  <w:num w:numId="11">
    <w:abstractNumId w:val="14"/>
  </w:num>
  <w:num w:numId="12">
    <w:abstractNumId w:val="24"/>
  </w:num>
  <w:num w:numId="13">
    <w:abstractNumId w:val="17"/>
  </w:num>
  <w:num w:numId="14">
    <w:abstractNumId w:val="8"/>
  </w:num>
  <w:num w:numId="15">
    <w:abstractNumId w:val="21"/>
  </w:num>
  <w:num w:numId="16">
    <w:abstractNumId w:val="1"/>
  </w:num>
  <w:num w:numId="17">
    <w:abstractNumId w:val="12"/>
  </w:num>
  <w:num w:numId="18">
    <w:abstractNumId w:val="16"/>
  </w:num>
  <w:num w:numId="19">
    <w:abstractNumId w:val="5"/>
  </w:num>
  <w:num w:numId="20">
    <w:abstractNumId w:val="6"/>
  </w:num>
  <w:num w:numId="21">
    <w:abstractNumId w:val="7"/>
  </w:num>
  <w:num w:numId="22">
    <w:abstractNumId w:val="19"/>
  </w:num>
  <w:num w:numId="23">
    <w:abstractNumId w:val="22"/>
  </w:num>
  <w:num w:numId="24">
    <w:abstractNumId w:val="11"/>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hyphenationZone w:val="425"/>
  <w:evenAndOddHeaders/>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2"/>
    <w:rsid w:val="000065B2"/>
    <w:rsid w:val="00013446"/>
    <w:rsid w:val="0003416B"/>
    <w:rsid w:val="00035B30"/>
    <w:rsid w:val="00044F34"/>
    <w:rsid w:val="00066634"/>
    <w:rsid w:val="0006741A"/>
    <w:rsid w:val="00077132"/>
    <w:rsid w:val="00080DBE"/>
    <w:rsid w:val="00086F35"/>
    <w:rsid w:val="000B0FB0"/>
    <w:rsid w:val="000C19A4"/>
    <w:rsid w:val="000E3147"/>
    <w:rsid w:val="000E73CE"/>
    <w:rsid w:val="000F1341"/>
    <w:rsid w:val="00100B4B"/>
    <w:rsid w:val="00123B8B"/>
    <w:rsid w:val="00154FE5"/>
    <w:rsid w:val="0016088F"/>
    <w:rsid w:val="00163452"/>
    <w:rsid w:val="001659B3"/>
    <w:rsid w:val="00177005"/>
    <w:rsid w:val="00184CAA"/>
    <w:rsid w:val="001A25CB"/>
    <w:rsid w:val="001A65D6"/>
    <w:rsid w:val="001A7064"/>
    <w:rsid w:val="001C3DFF"/>
    <w:rsid w:val="001C7FAB"/>
    <w:rsid w:val="001D5C45"/>
    <w:rsid w:val="001D7A5C"/>
    <w:rsid w:val="001E00F5"/>
    <w:rsid w:val="001E5BE4"/>
    <w:rsid w:val="00204F76"/>
    <w:rsid w:val="00207C3A"/>
    <w:rsid w:val="00210AAB"/>
    <w:rsid w:val="00236A39"/>
    <w:rsid w:val="0025191A"/>
    <w:rsid w:val="00255C73"/>
    <w:rsid w:val="00283E3E"/>
    <w:rsid w:val="002909EE"/>
    <w:rsid w:val="002926D8"/>
    <w:rsid w:val="002C4BE5"/>
    <w:rsid w:val="002C4C76"/>
    <w:rsid w:val="002D7942"/>
    <w:rsid w:val="002E14DA"/>
    <w:rsid w:val="002F6048"/>
    <w:rsid w:val="002F7C8F"/>
    <w:rsid w:val="00301AF1"/>
    <w:rsid w:val="003304C5"/>
    <w:rsid w:val="003308DC"/>
    <w:rsid w:val="00342AA7"/>
    <w:rsid w:val="00355269"/>
    <w:rsid w:val="003668A2"/>
    <w:rsid w:val="003702FA"/>
    <w:rsid w:val="00386CC1"/>
    <w:rsid w:val="00392B9A"/>
    <w:rsid w:val="003A2D1C"/>
    <w:rsid w:val="003B1DA4"/>
    <w:rsid w:val="003D2545"/>
    <w:rsid w:val="003E1241"/>
    <w:rsid w:val="003E1316"/>
    <w:rsid w:val="003E3FB3"/>
    <w:rsid w:val="003F5252"/>
    <w:rsid w:val="004134E5"/>
    <w:rsid w:val="00416704"/>
    <w:rsid w:val="00443A23"/>
    <w:rsid w:val="00444BA4"/>
    <w:rsid w:val="00444C2B"/>
    <w:rsid w:val="00461C89"/>
    <w:rsid w:val="004725D8"/>
    <w:rsid w:val="004835D5"/>
    <w:rsid w:val="00485802"/>
    <w:rsid w:val="004C7042"/>
    <w:rsid w:val="004D6C81"/>
    <w:rsid w:val="004E2915"/>
    <w:rsid w:val="00512212"/>
    <w:rsid w:val="0052181F"/>
    <w:rsid w:val="0052374A"/>
    <w:rsid w:val="00523893"/>
    <w:rsid w:val="00537651"/>
    <w:rsid w:val="0054083C"/>
    <w:rsid w:val="00541E21"/>
    <w:rsid w:val="005470EA"/>
    <w:rsid w:val="00554AC2"/>
    <w:rsid w:val="0058226B"/>
    <w:rsid w:val="0058538A"/>
    <w:rsid w:val="00585C71"/>
    <w:rsid w:val="00593E70"/>
    <w:rsid w:val="005A7050"/>
    <w:rsid w:val="005B50BF"/>
    <w:rsid w:val="005C092C"/>
    <w:rsid w:val="005E237C"/>
    <w:rsid w:val="005F771E"/>
    <w:rsid w:val="006003B1"/>
    <w:rsid w:val="006337A3"/>
    <w:rsid w:val="006617A4"/>
    <w:rsid w:val="006657AF"/>
    <w:rsid w:val="00665AB7"/>
    <w:rsid w:val="00666F32"/>
    <w:rsid w:val="00672696"/>
    <w:rsid w:val="00674D0C"/>
    <w:rsid w:val="00681029"/>
    <w:rsid w:val="00682EF8"/>
    <w:rsid w:val="00683163"/>
    <w:rsid w:val="0069724C"/>
    <w:rsid w:val="006A32DA"/>
    <w:rsid w:val="006C5481"/>
    <w:rsid w:val="006D1150"/>
    <w:rsid w:val="00706AB8"/>
    <w:rsid w:val="007107E1"/>
    <w:rsid w:val="0071661F"/>
    <w:rsid w:val="0073534F"/>
    <w:rsid w:val="00765284"/>
    <w:rsid w:val="00765C51"/>
    <w:rsid w:val="00766DF5"/>
    <w:rsid w:val="00772830"/>
    <w:rsid w:val="00780DB8"/>
    <w:rsid w:val="00782796"/>
    <w:rsid w:val="007954EE"/>
    <w:rsid w:val="007A37F6"/>
    <w:rsid w:val="007A56F5"/>
    <w:rsid w:val="007B47C9"/>
    <w:rsid w:val="007D2AD5"/>
    <w:rsid w:val="007F51E8"/>
    <w:rsid w:val="00812811"/>
    <w:rsid w:val="00837A8C"/>
    <w:rsid w:val="00862E33"/>
    <w:rsid w:val="00867569"/>
    <w:rsid w:val="008734B4"/>
    <w:rsid w:val="00884C51"/>
    <w:rsid w:val="00891CEF"/>
    <w:rsid w:val="00893AC5"/>
    <w:rsid w:val="008A665E"/>
    <w:rsid w:val="008B204E"/>
    <w:rsid w:val="008C32C5"/>
    <w:rsid w:val="008C4EAF"/>
    <w:rsid w:val="008D1B3A"/>
    <w:rsid w:val="008D2160"/>
    <w:rsid w:val="008D3F97"/>
    <w:rsid w:val="008E311D"/>
    <w:rsid w:val="0090428C"/>
    <w:rsid w:val="00914527"/>
    <w:rsid w:val="00921A24"/>
    <w:rsid w:val="00927A31"/>
    <w:rsid w:val="00941E1B"/>
    <w:rsid w:val="0094221F"/>
    <w:rsid w:val="00954004"/>
    <w:rsid w:val="00954499"/>
    <w:rsid w:val="00961D6D"/>
    <w:rsid w:val="00975E5C"/>
    <w:rsid w:val="009821FC"/>
    <w:rsid w:val="009852CE"/>
    <w:rsid w:val="00991978"/>
    <w:rsid w:val="00994050"/>
    <w:rsid w:val="0099427E"/>
    <w:rsid w:val="009B0D73"/>
    <w:rsid w:val="009B13F1"/>
    <w:rsid w:val="009B58E8"/>
    <w:rsid w:val="009B71D1"/>
    <w:rsid w:val="009C0993"/>
    <w:rsid w:val="009C49B6"/>
    <w:rsid w:val="009C58BE"/>
    <w:rsid w:val="009C6C7C"/>
    <w:rsid w:val="009D05EB"/>
    <w:rsid w:val="009D10AF"/>
    <w:rsid w:val="009E1EBA"/>
    <w:rsid w:val="00A07196"/>
    <w:rsid w:val="00A07371"/>
    <w:rsid w:val="00A12D72"/>
    <w:rsid w:val="00A31B79"/>
    <w:rsid w:val="00A40FF1"/>
    <w:rsid w:val="00A4459A"/>
    <w:rsid w:val="00A4591B"/>
    <w:rsid w:val="00A57042"/>
    <w:rsid w:val="00A82602"/>
    <w:rsid w:val="00A833CF"/>
    <w:rsid w:val="00A84E67"/>
    <w:rsid w:val="00AC1C2F"/>
    <w:rsid w:val="00B0378A"/>
    <w:rsid w:val="00B0508D"/>
    <w:rsid w:val="00B0576F"/>
    <w:rsid w:val="00B108AB"/>
    <w:rsid w:val="00B21DF0"/>
    <w:rsid w:val="00B26575"/>
    <w:rsid w:val="00B653CA"/>
    <w:rsid w:val="00B73121"/>
    <w:rsid w:val="00B76C9C"/>
    <w:rsid w:val="00B93E6C"/>
    <w:rsid w:val="00BA2CDD"/>
    <w:rsid w:val="00BC2889"/>
    <w:rsid w:val="00BC4218"/>
    <w:rsid w:val="00BD288F"/>
    <w:rsid w:val="00BE5AC3"/>
    <w:rsid w:val="00BF0C9B"/>
    <w:rsid w:val="00C02D0B"/>
    <w:rsid w:val="00C07802"/>
    <w:rsid w:val="00C163B6"/>
    <w:rsid w:val="00C22139"/>
    <w:rsid w:val="00C266CB"/>
    <w:rsid w:val="00C36F73"/>
    <w:rsid w:val="00C44587"/>
    <w:rsid w:val="00C5347E"/>
    <w:rsid w:val="00C579F9"/>
    <w:rsid w:val="00C7010A"/>
    <w:rsid w:val="00C72E96"/>
    <w:rsid w:val="00CB1AE0"/>
    <w:rsid w:val="00CC36F6"/>
    <w:rsid w:val="00CC6515"/>
    <w:rsid w:val="00CE4568"/>
    <w:rsid w:val="00CF1413"/>
    <w:rsid w:val="00CF6F8C"/>
    <w:rsid w:val="00D02EB0"/>
    <w:rsid w:val="00D14BF0"/>
    <w:rsid w:val="00D1642E"/>
    <w:rsid w:val="00D223B0"/>
    <w:rsid w:val="00D32270"/>
    <w:rsid w:val="00D37A22"/>
    <w:rsid w:val="00D44C88"/>
    <w:rsid w:val="00D51974"/>
    <w:rsid w:val="00D606EC"/>
    <w:rsid w:val="00D62961"/>
    <w:rsid w:val="00D6561F"/>
    <w:rsid w:val="00D66C40"/>
    <w:rsid w:val="00D861D1"/>
    <w:rsid w:val="00D864DC"/>
    <w:rsid w:val="00DA5B8A"/>
    <w:rsid w:val="00DA6B75"/>
    <w:rsid w:val="00DB0022"/>
    <w:rsid w:val="00DC0642"/>
    <w:rsid w:val="00DD0CFD"/>
    <w:rsid w:val="00DD2500"/>
    <w:rsid w:val="00DF6458"/>
    <w:rsid w:val="00E1510C"/>
    <w:rsid w:val="00E16B82"/>
    <w:rsid w:val="00E25594"/>
    <w:rsid w:val="00E42C3A"/>
    <w:rsid w:val="00E44CD2"/>
    <w:rsid w:val="00E50D22"/>
    <w:rsid w:val="00E51633"/>
    <w:rsid w:val="00E57454"/>
    <w:rsid w:val="00E62A1B"/>
    <w:rsid w:val="00E67BA5"/>
    <w:rsid w:val="00E80AE1"/>
    <w:rsid w:val="00E86EE3"/>
    <w:rsid w:val="00EA0F3E"/>
    <w:rsid w:val="00EA4306"/>
    <w:rsid w:val="00EA653E"/>
    <w:rsid w:val="00EC220F"/>
    <w:rsid w:val="00EC29F0"/>
    <w:rsid w:val="00ED570A"/>
    <w:rsid w:val="00EE23FC"/>
    <w:rsid w:val="00EF199E"/>
    <w:rsid w:val="00EF2138"/>
    <w:rsid w:val="00F3505C"/>
    <w:rsid w:val="00F433D7"/>
    <w:rsid w:val="00F510B0"/>
    <w:rsid w:val="00F63AB2"/>
    <w:rsid w:val="00F651A0"/>
    <w:rsid w:val="00F74583"/>
    <w:rsid w:val="00F746A2"/>
    <w:rsid w:val="00FA2D91"/>
    <w:rsid w:val="00FC2642"/>
    <w:rsid w:val="00FC7FDA"/>
    <w:rsid w:val="00FD1EF5"/>
    <w:rsid w:val="00FE31EE"/>
    <w:rsid w:val="00FE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52"/>
  </w:style>
  <w:style w:type="paragraph" w:styleId="Footer">
    <w:name w:val="footer"/>
    <w:basedOn w:val="Normal"/>
    <w:link w:val="FooterChar"/>
    <w:uiPriority w:val="99"/>
    <w:unhideWhenUsed/>
    <w:rsid w:val="003F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52"/>
  </w:style>
  <w:style w:type="paragraph" w:styleId="ListParagraph">
    <w:name w:val="List Paragraph"/>
    <w:basedOn w:val="Normal"/>
    <w:uiPriority w:val="34"/>
    <w:qFormat/>
    <w:rsid w:val="00E51633"/>
    <w:pPr>
      <w:ind w:left="720"/>
      <w:contextualSpacing/>
    </w:pPr>
  </w:style>
  <w:style w:type="paragraph" w:styleId="BalloonText">
    <w:name w:val="Balloon Text"/>
    <w:basedOn w:val="Normal"/>
    <w:link w:val="BalloonTextChar"/>
    <w:uiPriority w:val="99"/>
    <w:semiHidden/>
    <w:unhideWhenUsed/>
    <w:rsid w:val="0058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8A"/>
    <w:rPr>
      <w:rFonts w:ascii="Segoe UI" w:hAnsi="Segoe UI" w:cs="Segoe UI"/>
      <w:sz w:val="18"/>
      <w:szCs w:val="18"/>
    </w:rPr>
  </w:style>
  <w:style w:type="paragraph" w:customStyle="1" w:styleId="Default">
    <w:name w:val="Default"/>
    <w:rsid w:val="001A7064"/>
    <w:pPr>
      <w:autoSpaceDE w:val="0"/>
      <w:autoSpaceDN w:val="0"/>
      <w:adjustRightInd w:val="0"/>
      <w:spacing w:after="0" w:line="240" w:lineRule="auto"/>
    </w:pPr>
    <w:rPr>
      <w:rFonts w:ascii="Arial" w:hAnsi="Arial" w:cs="Arial"/>
      <w:color w:val="000000"/>
      <w:sz w:val="24"/>
      <w:szCs w:val="24"/>
      <w:lang w:val="es-ES_tradnl"/>
    </w:rPr>
  </w:style>
  <w:style w:type="character" w:styleId="CommentReference">
    <w:name w:val="annotation reference"/>
    <w:basedOn w:val="DefaultParagraphFont"/>
    <w:unhideWhenUsed/>
    <w:rsid w:val="00177005"/>
    <w:rPr>
      <w:sz w:val="16"/>
      <w:szCs w:val="16"/>
    </w:rPr>
  </w:style>
  <w:style w:type="paragraph" w:styleId="CommentText">
    <w:name w:val="annotation text"/>
    <w:basedOn w:val="Normal"/>
    <w:link w:val="CommentTextChar"/>
    <w:uiPriority w:val="99"/>
    <w:semiHidden/>
    <w:unhideWhenUsed/>
    <w:rsid w:val="00177005"/>
    <w:pPr>
      <w:spacing w:line="240" w:lineRule="auto"/>
    </w:pPr>
    <w:rPr>
      <w:sz w:val="20"/>
      <w:szCs w:val="20"/>
    </w:rPr>
  </w:style>
  <w:style w:type="character" w:customStyle="1" w:styleId="CommentTextChar">
    <w:name w:val="Comment Text Char"/>
    <w:basedOn w:val="DefaultParagraphFont"/>
    <w:link w:val="CommentText"/>
    <w:uiPriority w:val="99"/>
    <w:semiHidden/>
    <w:rsid w:val="00177005"/>
    <w:rPr>
      <w:sz w:val="20"/>
      <w:szCs w:val="20"/>
    </w:rPr>
  </w:style>
  <w:style w:type="paragraph" w:styleId="CommentSubject">
    <w:name w:val="annotation subject"/>
    <w:basedOn w:val="CommentText"/>
    <w:next w:val="CommentText"/>
    <w:link w:val="CommentSubjectChar"/>
    <w:uiPriority w:val="99"/>
    <w:semiHidden/>
    <w:unhideWhenUsed/>
    <w:rsid w:val="00177005"/>
    <w:rPr>
      <w:b/>
      <w:bCs/>
    </w:rPr>
  </w:style>
  <w:style w:type="character" w:customStyle="1" w:styleId="CommentSubjectChar">
    <w:name w:val="Comment Subject Char"/>
    <w:basedOn w:val="CommentTextChar"/>
    <w:link w:val="CommentSubject"/>
    <w:uiPriority w:val="99"/>
    <w:semiHidden/>
    <w:rsid w:val="00177005"/>
    <w:rPr>
      <w:b/>
      <w:bCs/>
      <w:sz w:val="20"/>
      <w:szCs w:val="20"/>
    </w:rPr>
  </w:style>
  <w:style w:type="paragraph" w:styleId="Revision">
    <w:name w:val="Revision"/>
    <w:hidden/>
    <w:uiPriority w:val="99"/>
    <w:semiHidden/>
    <w:rsid w:val="005F7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52"/>
  </w:style>
  <w:style w:type="paragraph" w:styleId="Footer">
    <w:name w:val="footer"/>
    <w:basedOn w:val="Normal"/>
    <w:link w:val="FooterChar"/>
    <w:uiPriority w:val="99"/>
    <w:unhideWhenUsed/>
    <w:rsid w:val="003F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52"/>
  </w:style>
  <w:style w:type="paragraph" w:styleId="ListParagraph">
    <w:name w:val="List Paragraph"/>
    <w:basedOn w:val="Normal"/>
    <w:uiPriority w:val="34"/>
    <w:qFormat/>
    <w:rsid w:val="00E51633"/>
    <w:pPr>
      <w:ind w:left="720"/>
      <w:contextualSpacing/>
    </w:pPr>
  </w:style>
  <w:style w:type="paragraph" w:styleId="BalloonText">
    <w:name w:val="Balloon Text"/>
    <w:basedOn w:val="Normal"/>
    <w:link w:val="BalloonTextChar"/>
    <w:uiPriority w:val="99"/>
    <w:semiHidden/>
    <w:unhideWhenUsed/>
    <w:rsid w:val="0058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8A"/>
    <w:rPr>
      <w:rFonts w:ascii="Segoe UI" w:hAnsi="Segoe UI" w:cs="Segoe UI"/>
      <w:sz w:val="18"/>
      <w:szCs w:val="18"/>
    </w:rPr>
  </w:style>
  <w:style w:type="paragraph" w:customStyle="1" w:styleId="Default">
    <w:name w:val="Default"/>
    <w:rsid w:val="001A7064"/>
    <w:pPr>
      <w:autoSpaceDE w:val="0"/>
      <w:autoSpaceDN w:val="0"/>
      <w:adjustRightInd w:val="0"/>
      <w:spacing w:after="0" w:line="240" w:lineRule="auto"/>
    </w:pPr>
    <w:rPr>
      <w:rFonts w:ascii="Arial" w:hAnsi="Arial" w:cs="Arial"/>
      <w:color w:val="000000"/>
      <w:sz w:val="24"/>
      <w:szCs w:val="24"/>
      <w:lang w:val="es-ES_tradnl"/>
    </w:rPr>
  </w:style>
  <w:style w:type="character" w:styleId="CommentReference">
    <w:name w:val="annotation reference"/>
    <w:basedOn w:val="DefaultParagraphFont"/>
    <w:unhideWhenUsed/>
    <w:rsid w:val="00177005"/>
    <w:rPr>
      <w:sz w:val="16"/>
      <w:szCs w:val="16"/>
    </w:rPr>
  </w:style>
  <w:style w:type="paragraph" w:styleId="CommentText">
    <w:name w:val="annotation text"/>
    <w:basedOn w:val="Normal"/>
    <w:link w:val="CommentTextChar"/>
    <w:uiPriority w:val="99"/>
    <w:semiHidden/>
    <w:unhideWhenUsed/>
    <w:rsid w:val="00177005"/>
    <w:pPr>
      <w:spacing w:line="240" w:lineRule="auto"/>
    </w:pPr>
    <w:rPr>
      <w:sz w:val="20"/>
      <w:szCs w:val="20"/>
    </w:rPr>
  </w:style>
  <w:style w:type="character" w:customStyle="1" w:styleId="CommentTextChar">
    <w:name w:val="Comment Text Char"/>
    <w:basedOn w:val="DefaultParagraphFont"/>
    <w:link w:val="CommentText"/>
    <w:uiPriority w:val="99"/>
    <w:semiHidden/>
    <w:rsid w:val="00177005"/>
    <w:rPr>
      <w:sz w:val="20"/>
      <w:szCs w:val="20"/>
    </w:rPr>
  </w:style>
  <w:style w:type="paragraph" w:styleId="CommentSubject">
    <w:name w:val="annotation subject"/>
    <w:basedOn w:val="CommentText"/>
    <w:next w:val="CommentText"/>
    <w:link w:val="CommentSubjectChar"/>
    <w:uiPriority w:val="99"/>
    <w:semiHidden/>
    <w:unhideWhenUsed/>
    <w:rsid w:val="00177005"/>
    <w:rPr>
      <w:b/>
      <w:bCs/>
    </w:rPr>
  </w:style>
  <w:style w:type="character" w:customStyle="1" w:styleId="CommentSubjectChar">
    <w:name w:val="Comment Subject Char"/>
    <w:basedOn w:val="CommentTextChar"/>
    <w:link w:val="CommentSubject"/>
    <w:uiPriority w:val="99"/>
    <w:semiHidden/>
    <w:rsid w:val="00177005"/>
    <w:rPr>
      <w:b/>
      <w:bCs/>
      <w:sz w:val="20"/>
      <w:szCs w:val="20"/>
    </w:rPr>
  </w:style>
  <w:style w:type="paragraph" w:styleId="Revision">
    <w:name w:val="Revision"/>
    <w:hidden/>
    <w:uiPriority w:val="99"/>
    <w:semiHidden/>
    <w:rsid w:val="005F7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customXml" Target="../customXml/item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12.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R0002725132</Record_x0020_Number>
    <Key_x0020_Document xmlns="cdc7663a-08f0-4737-9e8c-148ce897a09c">false</Key_x0020_Document>
    <Division_x0020_or_x0020_Unit xmlns="cdc7663a-08f0-4737-9e8c-148ce897a09c">INE/RND</Division_x0020_or_x0020_Unit>
    <Other_x0020_Author xmlns="cdc7663a-08f0-4737-9e8c-148ce897a09c" xsi:nil="true"/>
    <IDBDocs_x0020_Number xmlns="cdc7663a-08f0-4737-9e8c-148ce897a09c">40098375</IDBDocs_x0020_Number>
    <Document_x0020_Author xmlns="cdc7663a-08f0-4737-9e8c-148ce897a09c">Lacambra Ayuso, Sergio</Document_x0020_Author>
    <Operation_x0020_Type xmlns="cdc7663a-08f0-4737-9e8c-148ce897a09c" xsi:nil="true"/>
    <TaxCatchAll xmlns="cdc7663a-08f0-4737-9e8c-148ce897a09c"/>
    <Fiscal_x0020_Year_x0020_IDB xmlns="cdc7663a-08f0-4737-9e8c-148ce897a09c">2016</Fiscal_x0020_Year_x0020_IDB>
    <Project_x0020_Number xmlns="cdc7663a-08f0-4737-9e8c-148ce897a09c">BO-L1107</Project_x0020_Number>
    <Package_x0020_Code xmlns="cdc7663a-08f0-4737-9e8c-148ce897a09c" xsi:nil="true"/>
    <Migration_x0020_Info xmlns="cdc7663a-08f0-4737-9e8c-148ce897a09c">MS WORDLPLoan Proposal0N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EZSHARE-919696111-35</_dlc_DocId>
    <From_x003a_ xmlns="cdc7663a-08f0-4737-9e8c-148ce897a09c" xsi:nil="true"/>
    <To_x003a_ xmlns="cdc7663a-08f0-4737-9e8c-148ce897a09c" xsi:nil="true"/>
    <_dlc_DocIdUrl xmlns="cdc7663a-08f0-4737-9e8c-148ce897a09c">
      <Url>https://idbg.sharepoint.com/teams/EZ-BO-LON/BO-L1107/_layouts/15/DocIdRedir.aspx?ID=EZSHARE-919696111-35</Url>
      <Description>EZSHARE-919696111-35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815852E42D6B4B4BBEA66026276D1E5D" ma:contentTypeVersion="1883" ma:contentTypeDescription="The base project type from which other project content types inherit their information." ma:contentTypeScope="" ma:versionID="b65cc7e5f05b95cd1c969ae0becd7773">
  <xsd:schema xmlns:xsd="http://www.w3.org/2001/XMLSchema" xmlns:xs="http://www.w3.org/2001/XMLSchema" xmlns:p="http://schemas.microsoft.com/office/2006/metadata/properties" xmlns:ns2="cdc7663a-08f0-4737-9e8c-148ce897a09c" targetNamespace="http://schemas.microsoft.com/office/2006/metadata/properties" ma:root="true" ma:fieldsID="d5aef6147c1ec2da58755dfcaba7f3d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07"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89907E93-2F9F-4BB5-897F-BDA74E839A06}"/>
</file>

<file path=customXml/itemProps10.xml><?xml version="1.0" encoding="utf-8"?>
<ds:datastoreItem xmlns:ds="http://schemas.openxmlformats.org/officeDocument/2006/customXml" ds:itemID="{2320398F-3923-4231-87EC-D03F250699B0}"/>
</file>

<file path=customXml/itemProps11.xml><?xml version="1.0" encoding="utf-8"?>
<ds:datastoreItem xmlns:ds="http://schemas.openxmlformats.org/officeDocument/2006/customXml" ds:itemID="{CA68B3D3-A0BD-41DB-9FC0-93789700ACF9}"/>
</file>

<file path=customXml/itemProps12.xml><?xml version="1.0" encoding="utf-8"?>
<ds:datastoreItem xmlns:ds="http://schemas.openxmlformats.org/officeDocument/2006/customXml" ds:itemID="{339E9DA3-2E1E-49C8-BA66-1ACCA03ABA55}"/>
</file>

<file path=customXml/itemProps2.xml><?xml version="1.0" encoding="utf-8"?>
<ds:datastoreItem xmlns:ds="http://schemas.openxmlformats.org/officeDocument/2006/customXml" ds:itemID="{AB85DA57-445E-446C-A2D9-58131B013DE6}"/>
</file>

<file path=customXml/itemProps3.xml><?xml version="1.0" encoding="utf-8"?>
<ds:datastoreItem xmlns:ds="http://schemas.openxmlformats.org/officeDocument/2006/customXml" ds:itemID="{2A71D77E-F726-4A50-848F-C3977CA5A776}"/>
</file>

<file path=customXml/itemProps4.xml><?xml version="1.0" encoding="utf-8"?>
<ds:datastoreItem xmlns:ds="http://schemas.openxmlformats.org/officeDocument/2006/customXml" ds:itemID="{E5EC250E-9FCF-4DF9-874C-EF70F985644E}"/>
</file>

<file path=customXml/itemProps5.xml><?xml version="1.0" encoding="utf-8"?>
<ds:datastoreItem xmlns:ds="http://schemas.openxmlformats.org/officeDocument/2006/customXml" ds:itemID="{A3CCD57B-4273-4122-A202-F0233F8DD980}"/>
</file>

<file path=customXml/itemProps6.xml><?xml version="1.0" encoding="utf-8"?>
<ds:datastoreItem xmlns:ds="http://schemas.openxmlformats.org/officeDocument/2006/customXml" ds:itemID="{00C98133-33FC-4D99-9F38-243910A13E01}"/>
</file>

<file path=customXml/itemProps7.xml><?xml version="1.0" encoding="utf-8"?>
<ds:datastoreItem xmlns:ds="http://schemas.openxmlformats.org/officeDocument/2006/customXml" ds:itemID="{F4AEE41D-8AA0-4B80-8C74-69B3B4A4E235}"/>
</file>

<file path=customXml/itemProps8.xml><?xml version="1.0" encoding="utf-8"?>
<ds:datastoreItem xmlns:ds="http://schemas.openxmlformats.org/officeDocument/2006/customXml" ds:itemID="{7C716625-DB90-4712-B038-F3008E07CF16}"/>
</file>

<file path=customXml/itemProps9.xml><?xml version="1.0" encoding="utf-8"?>
<ds:datastoreItem xmlns:ds="http://schemas.openxmlformats.org/officeDocument/2006/customXml" ds:itemID="{A4D8DF7E-949B-4C13-9FB6-4A1240F4E044}"/>
</file>

<file path=docProps/app.xml><?xml version="1.0" encoding="utf-8"?>
<Properties xmlns="http://schemas.openxmlformats.org/officeDocument/2006/extended-properties" xmlns:vt="http://schemas.openxmlformats.org/officeDocument/2006/docPropsVTypes">
  <Template>Normal.dotm</Template>
  <TotalTime>23</TotalTime>
  <Pages>4</Pages>
  <Words>1511</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Verificación - BO-L1107</dc:title>
  <dc:creator>Inter-American Development Bank</dc:creator>
  <cp:lastModifiedBy>IADB</cp:lastModifiedBy>
  <cp:revision>5</cp:revision>
  <cp:lastPrinted>2014-11-13T16:15:00Z</cp:lastPrinted>
  <dcterms:created xsi:type="dcterms:W3CDTF">2016-03-11T15:26:00Z</dcterms:created>
  <dcterms:modified xsi:type="dcterms:W3CDTF">2016-03-29T20:34:00Z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0x010100ACF722E9F6B0B149B0CD8BE2560A667200815852E42D6B4B4BBEA66026276D1E5D</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20" name="Webtopic">
    <vt:lpwstr>Natural Disasters: Prevention and Relief</vt:lpwstr>
  </property>
  <property fmtid="{D5CDD505-2E9C-101B-9397-08002B2CF9AE}" pid="22" name="Disclosed">
    <vt:bool>true</vt:bool>
  </property>
  <property fmtid="{D5CDD505-2E9C-101B-9397-08002B2CF9AE}" pid="26" name="_dlc_DocIdItemGuid">
    <vt:lpwstr>74c93552-0ff5-4f79-8254-7a3e8afbd125</vt:lpwstr>
  </property>
</Properties>
</file>