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FF" w:rsidRDefault="00D4245F" w:rsidP="002774FF">
      <w:pPr>
        <w:spacing w:after="0"/>
        <w:jc w:val="center"/>
        <w:rPr>
          <w:rFonts w:ascii="Arial" w:hAnsi="Arial" w:cs="Arial"/>
          <w:b/>
          <w:smallCaps/>
          <w:sz w:val="24"/>
          <w:szCs w:val="20"/>
          <w:lang w:val="es-ES_tradnl"/>
        </w:rPr>
      </w:pPr>
      <w:r>
        <w:rPr>
          <w:rFonts w:ascii="Arial" w:hAnsi="Arial" w:cs="Arial"/>
          <w:b/>
          <w:smallCaps/>
          <w:sz w:val="24"/>
          <w:szCs w:val="20"/>
          <w:lang w:val="es-ES_tradnl"/>
        </w:rPr>
        <w:t>Means of Verification</w:t>
      </w:r>
      <w:r w:rsidR="002774FF">
        <w:rPr>
          <w:rFonts w:ascii="Arial" w:hAnsi="Arial" w:cs="Arial"/>
          <w:b/>
          <w:smallCaps/>
          <w:sz w:val="24"/>
          <w:szCs w:val="20"/>
          <w:lang w:val="es-ES_tradnl"/>
        </w:rPr>
        <w:t xml:space="preserve"> </w:t>
      </w:r>
    </w:p>
    <w:p w:rsidR="002774FF" w:rsidRPr="003067DB" w:rsidRDefault="002774FF" w:rsidP="002774FF">
      <w:pPr>
        <w:spacing w:after="0"/>
        <w:jc w:val="center"/>
        <w:rPr>
          <w:rFonts w:ascii="Arial" w:hAnsi="Arial"/>
          <w:smallCaps/>
          <w:sz w:val="20"/>
          <w:lang w:val="es-ES_tradnl"/>
        </w:rPr>
      </w:pPr>
    </w:p>
    <w:tbl>
      <w:tblPr>
        <w:tblW w:w="4717" w:type="pct"/>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390"/>
        <w:gridCol w:w="4410"/>
        <w:gridCol w:w="4630"/>
      </w:tblGrid>
      <w:tr w:rsidR="00D4245F" w:rsidRPr="00D4245F" w:rsidTr="00D4245F">
        <w:trPr>
          <w:trHeight w:val="130"/>
          <w:tblHeader/>
          <w:jc w:val="center"/>
        </w:trPr>
        <w:tc>
          <w:tcPr>
            <w:tcW w:w="3391" w:type="dxa"/>
            <w:tcBorders>
              <w:bottom w:val="single" w:sz="4" w:space="0" w:color="auto"/>
            </w:tcBorders>
            <w:shd w:val="clear" w:color="auto" w:fill="FFFFFF" w:themeFill="background1"/>
            <w:vAlign w:val="center"/>
            <w:hideMark/>
          </w:tcPr>
          <w:p w:rsidR="00D4245F" w:rsidRPr="00D4245F" w:rsidRDefault="00D4245F" w:rsidP="00D4245F">
            <w:pPr>
              <w:spacing w:before="120" w:after="120" w:line="240" w:lineRule="auto"/>
              <w:jc w:val="center"/>
              <w:rPr>
                <w:rFonts w:ascii="Arial" w:hAnsi="Arial" w:cs="Arial"/>
                <w:b/>
                <w:smallCaps/>
                <w:sz w:val="20"/>
                <w:szCs w:val="20"/>
              </w:rPr>
            </w:pPr>
            <w:r w:rsidRPr="00D4245F">
              <w:rPr>
                <w:rFonts w:ascii="Arial" w:hAnsi="Arial" w:cs="Arial"/>
                <w:b/>
                <w:smallCaps/>
                <w:sz w:val="20"/>
                <w:szCs w:val="20"/>
              </w:rPr>
              <w:t>Policy Objectives</w:t>
            </w:r>
          </w:p>
        </w:tc>
        <w:tc>
          <w:tcPr>
            <w:tcW w:w="4410" w:type="dxa"/>
            <w:tcBorders>
              <w:bottom w:val="single" w:sz="4" w:space="0" w:color="auto"/>
            </w:tcBorders>
            <w:shd w:val="clear" w:color="auto" w:fill="FFFFFF" w:themeFill="background1"/>
            <w:vAlign w:val="center"/>
            <w:hideMark/>
          </w:tcPr>
          <w:p w:rsidR="00D4245F" w:rsidRPr="00D4245F" w:rsidRDefault="00D4245F" w:rsidP="00D4245F">
            <w:pPr>
              <w:spacing w:after="0" w:line="240" w:lineRule="auto"/>
              <w:jc w:val="center"/>
              <w:rPr>
                <w:rFonts w:ascii="Arial" w:hAnsi="Arial" w:cs="Arial"/>
                <w:b/>
                <w:smallCaps/>
                <w:sz w:val="20"/>
                <w:szCs w:val="20"/>
              </w:rPr>
            </w:pPr>
            <w:r w:rsidRPr="00D4245F">
              <w:rPr>
                <w:rFonts w:ascii="Arial" w:hAnsi="Arial" w:cs="Arial"/>
                <w:b/>
                <w:smallCaps/>
                <w:sz w:val="20"/>
                <w:szCs w:val="20"/>
              </w:rPr>
              <w:t>First Operation</w:t>
            </w:r>
          </w:p>
        </w:tc>
        <w:tc>
          <w:tcPr>
            <w:tcW w:w="4630" w:type="dxa"/>
            <w:tcBorders>
              <w:bottom w:val="single" w:sz="4" w:space="0" w:color="auto"/>
            </w:tcBorders>
            <w:shd w:val="clear" w:color="auto" w:fill="FFFFFF" w:themeFill="background1"/>
            <w:vAlign w:val="center"/>
            <w:hideMark/>
          </w:tcPr>
          <w:p w:rsidR="00D4245F" w:rsidRPr="00D4245F" w:rsidRDefault="00D4245F" w:rsidP="00D4245F">
            <w:pPr>
              <w:spacing w:before="120" w:after="120" w:line="240" w:lineRule="auto"/>
              <w:jc w:val="center"/>
              <w:rPr>
                <w:rFonts w:ascii="Arial" w:hAnsi="Arial" w:cs="Arial"/>
                <w:b/>
                <w:smallCaps/>
                <w:sz w:val="20"/>
                <w:szCs w:val="20"/>
              </w:rPr>
            </w:pPr>
            <w:r w:rsidRPr="00D4245F">
              <w:rPr>
                <w:rFonts w:ascii="Arial" w:hAnsi="Arial" w:cs="Arial"/>
                <w:b/>
                <w:smallCaps/>
                <w:sz w:val="20"/>
                <w:szCs w:val="20"/>
              </w:rPr>
              <w:t>Verification Tools</w:t>
            </w:r>
          </w:p>
        </w:tc>
      </w:tr>
      <w:tr w:rsidR="00D4245F" w:rsidRPr="00D4245F" w:rsidTr="00D4245F">
        <w:trPr>
          <w:trHeight w:val="1493"/>
          <w:jc w:val="center"/>
        </w:trPr>
        <w:tc>
          <w:tcPr>
            <w:tcW w:w="3391" w:type="dxa"/>
            <w:tcBorders>
              <w:bottom w:val="single" w:sz="4" w:space="0" w:color="auto"/>
            </w:tcBorders>
            <w:shd w:val="clear" w:color="auto" w:fill="FFFFFF" w:themeFill="background1"/>
            <w:hideMark/>
          </w:tcPr>
          <w:p w:rsidR="00D4245F" w:rsidRPr="00D4245F" w:rsidRDefault="00D4245F" w:rsidP="00D4245F">
            <w:pPr>
              <w:spacing w:before="60" w:after="0" w:line="240" w:lineRule="auto"/>
              <w:jc w:val="both"/>
              <w:rPr>
                <w:rFonts w:ascii="Arial" w:hAnsi="Arial" w:cs="Arial"/>
                <w:b/>
                <w:sz w:val="18"/>
                <w:szCs w:val="18"/>
              </w:rPr>
            </w:pPr>
            <w:r w:rsidRPr="00D4245F">
              <w:rPr>
                <w:rFonts w:ascii="Arial" w:hAnsi="Arial" w:cs="Arial"/>
                <w:b/>
                <w:sz w:val="18"/>
                <w:szCs w:val="18"/>
              </w:rPr>
              <w:t>Maintain a macroeconomic environment consistent with the program objectives and with the Policy Letter.</w:t>
            </w: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tc>
        <w:tc>
          <w:tcPr>
            <w:tcW w:w="4410" w:type="dxa"/>
            <w:tcBorders>
              <w:bottom w:val="single" w:sz="4" w:space="0" w:color="auto"/>
            </w:tcBorders>
            <w:shd w:val="clear" w:color="auto" w:fill="FFFFFF" w:themeFill="background1"/>
            <w:hideMark/>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The macroeconomic environment of the borrower allows the achievement of the program objectives and is consistent with the Policy Letter.</w:t>
            </w:r>
          </w:p>
        </w:tc>
        <w:tc>
          <w:tcPr>
            <w:tcW w:w="4630" w:type="dxa"/>
            <w:tcBorders>
              <w:bottom w:val="single" w:sz="4" w:space="0" w:color="auto"/>
            </w:tcBorders>
            <w:shd w:val="clear" w:color="auto" w:fill="FFFFFF" w:themeFill="background1"/>
            <w:hideMark/>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An independent macroeconomic assessment (IAMC) evaluates Jamaica’s macroeconomic policies and performance in order to support the preparation of the policy based loan. A Policy Letter is sent by the authorities to the Bank.</w:t>
            </w:r>
          </w:p>
        </w:tc>
      </w:tr>
      <w:tr w:rsidR="00D4245F" w:rsidRPr="00D4245F" w:rsidTr="00D4245F">
        <w:trPr>
          <w:trHeight w:val="188"/>
          <w:jc w:val="center"/>
        </w:trPr>
        <w:tc>
          <w:tcPr>
            <w:tcW w:w="3391" w:type="dxa"/>
            <w:shd w:val="clear" w:color="auto" w:fill="FFFFFF" w:themeFill="background1"/>
          </w:tcPr>
          <w:p w:rsidR="00D4245F" w:rsidRPr="00D4245F" w:rsidRDefault="00D4245F" w:rsidP="00D4245F">
            <w:pPr>
              <w:pStyle w:val="ListParagraph"/>
              <w:spacing w:before="60" w:after="0" w:line="240" w:lineRule="auto"/>
              <w:ind w:left="0"/>
              <w:contextualSpacing w:val="0"/>
              <w:jc w:val="both"/>
              <w:rPr>
                <w:rFonts w:ascii="Arial" w:hAnsi="Arial" w:cs="Arial"/>
                <w:b/>
                <w:sz w:val="18"/>
                <w:szCs w:val="18"/>
              </w:rPr>
            </w:pPr>
            <w:r w:rsidRPr="00D4245F">
              <w:rPr>
                <w:rFonts w:ascii="Arial" w:hAnsi="Arial" w:cs="Arial"/>
                <w:b/>
                <w:sz w:val="18"/>
                <w:szCs w:val="18"/>
              </w:rPr>
              <w:t>Strengthening of the financial system regulation and supervision.</w:t>
            </w:r>
          </w:p>
        </w:tc>
        <w:tc>
          <w:tcPr>
            <w:tcW w:w="4410" w:type="dxa"/>
            <w:shd w:val="clear" w:color="auto" w:fill="FFFFFF" w:themeFill="background1"/>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Enhance the autonomy of the Bank of Jamaica and its responsibility for the overall financial sector stability. </w:t>
            </w: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Improve financial Deposit Taking Institutions (DTI) regulation and supervision by: </w:t>
            </w: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(i) Harmonizing prudential standards across DTI</w:t>
            </w:r>
            <w:r>
              <w:rPr>
                <w:rFonts w:ascii="Arial" w:hAnsi="Arial" w:cs="Arial"/>
                <w:sz w:val="18"/>
                <w:szCs w:val="18"/>
              </w:rPr>
              <w:t>; (ii) </w:t>
            </w:r>
            <w:r w:rsidRPr="00D4245F">
              <w:rPr>
                <w:rFonts w:ascii="Arial" w:hAnsi="Arial" w:cs="Arial"/>
                <w:sz w:val="18"/>
                <w:szCs w:val="18"/>
              </w:rPr>
              <w:t xml:space="preserve">facilitating consolidated supervision of financial conglomerates; (iii) improving the sanctioning regime; and (iv) promoting the Bank of Jamaica’s (BOJ) operational independence in its supervision function. </w:t>
            </w: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Develop the regulations of the </w:t>
            </w:r>
            <w:r w:rsidRPr="00D4245F">
              <w:rPr>
                <w:rFonts w:ascii="Arial" w:eastAsia="Times New Roman" w:hAnsi="Arial" w:cs="Arial"/>
                <w:sz w:val="18"/>
                <w:szCs w:val="18"/>
              </w:rPr>
              <w:t>Banking Services Act</w:t>
            </w:r>
            <w:r w:rsidRPr="00D4245F">
              <w:rPr>
                <w:rFonts w:ascii="Arial" w:hAnsi="Arial" w:cs="Arial"/>
                <w:sz w:val="18"/>
                <w:szCs w:val="18"/>
              </w:rPr>
              <w:t xml:space="preserve"> (BSA) including regulations on capital adequacy, the licensing fees to deposit-taking institutions and application procedures to obtain the licenses.</w:t>
            </w:r>
          </w:p>
          <w:p w:rsidR="00D4245F" w:rsidRPr="00D4245F" w:rsidRDefault="00D4245F" w:rsidP="00D4245F">
            <w:pPr>
              <w:tabs>
                <w:tab w:val="left" w:pos="3057"/>
              </w:tabs>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Develop a draft of the regulations for Credit Union in order to improve their supervisory and prudential regulation framework. </w:t>
            </w:r>
          </w:p>
        </w:tc>
        <w:tc>
          <w:tcPr>
            <w:tcW w:w="4630" w:type="dxa"/>
            <w:shd w:val="clear" w:color="auto" w:fill="FFFFFF" w:themeFill="background1"/>
          </w:tcPr>
          <w:p w:rsidR="00D4245F" w:rsidRPr="00D4245F" w:rsidRDefault="00D4245F" w:rsidP="00D4245F">
            <w:pPr>
              <w:spacing w:before="60" w:after="0" w:line="240" w:lineRule="auto"/>
              <w:jc w:val="both"/>
              <w:rPr>
                <w:rFonts w:ascii="Arial" w:eastAsia="Times New Roman" w:hAnsi="Arial" w:cs="Arial"/>
                <w:sz w:val="18"/>
                <w:szCs w:val="18"/>
              </w:rPr>
            </w:pPr>
            <w:r w:rsidRPr="00D4245F">
              <w:rPr>
                <w:rFonts w:ascii="Arial" w:hAnsi="Arial" w:cs="Arial"/>
                <w:sz w:val="18"/>
                <w:szCs w:val="18"/>
              </w:rPr>
              <w:t>Amendments to the BoJ Act entered into effect and</w:t>
            </w:r>
            <w:r w:rsidRPr="00D4245F">
              <w:rPr>
                <w:rFonts w:ascii="Arial" w:eastAsia="Times New Roman" w:hAnsi="Arial" w:cs="Arial"/>
                <w:sz w:val="18"/>
                <w:szCs w:val="18"/>
              </w:rPr>
              <w:t xml:space="preserve"> published in the Official Gazette incorporating the </w:t>
            </w:r>
            <w:r w:rsidRPr="00D4245F">
              <w:rPr>
                <w:rFonts w:ascii="Arial" w:hAnsi="Arial" w:cs="Arial"/>
                <w:sz w:val="18"/>
                <w:szCs w:val="18"/>
              </w:rPr>
              <w:t xml:space="preserve">provisions on the matter of Financial Stability to the BOJ. </w:t>
            </w: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eastAsia="Times New Roman" w:hAnsi="Arial" w:cs="Arial"/>
                <w:sz w:val="18"/>
                <w:szCs w:val="18"/>
              </w:rPr>
            </w:pPr>
            <w:r w:rsidRPr="00D4245F">
              <w:rPr>
                <w:rFonts w:ascii="Arial" w:eastAsia="Times New Roman" w:hAnsi="Arial" w:cs="Arial"/>
                <w:sz w:val="18"/>
                <w:szCs w:val="18"/>
              </w:rPr>
              <w:t xml:space="preserve">Copy of the BSA approved, published in the Official Gazette and entered into effect. </w:t>
            </w:r>
          </w:p>
          <w:p w:rsidR="00D4245F" w:rsidRPr="00D4245F" w:rsidRDefault="00D4245F" w:rsidP="00D4245F">
            <w:pPr>
              <w:pStyle w:val="ListParagraph"/>
              <w:spacing w:before="60" w:after="0" w:line="240" w:lineRule="auto"/>
              <w:ind w:left="252" w:hanging="270"/>
              <w:jc w:val="both"/>
              <w:rPr>
                <w:rFonts w:ascii="Arial" w:eastAsia="Times New Roman" w:hAnsi="Arial" w:cs="Arial"/>
                <w:sz w:val="18"/>
                <w:szCs w:val="18"/>
              </w:rPr>
            </w:pPr>
          </w:p>
          <w:p w:rsidR="00D4245F" w:rsidRPr="00D4245F" w:rsidRDefault="00D4245F" w:rsidP="00D4245F">
            <w:pPr>
              <w:pStyle w:val="ListParagraph"/>
              <w:spacing w:before="60" w:after="0" w:line="240" w:lineRule="auto"/>
              <w:ind w:left="252" w:hanging="270"/>
              <w:jc w:val="both"/>
              <w:rPr>
                <w:rFonts w:ascii="Arial" w:eastAsia="Times New Roman" w:hAnsi="Arial" w:cs="Arial"/>
                <w:sz w:val="18"/>
                <w:szCs w:val="18"/>
              </w:rPr>
            </w:pPr>
          </w:p>
          <w:p w:rsidR="00D4245F" w:rsidRPr="00D4245F" w:rsidRDefault="00D4245F" w:rsidP="00D4245F">
            <w:pPr>
              <w:pStyle w:val="ListParagraph"/>
              <w:spacing w:before="60" w:after="0" w:line="240" w:lineRule="auto"/>
              <w:ind w:left="252" w:hanging="270"/>
              <w:jc w:val="both"/>
              <w:rPr>
                <w:rFonts w:ascii="Arial" w:eastAsia="Times New Roman" w:hAnsi="Arial" w:cs="Arial"/>
                <w:sz w:val="18"/>
                <w:szCs w:val="18"/>
              </w:rPr>
            </w:pPr>
          </w:p>
          <w:p w:rsidR="00D4245F" w:rsidRPr="00D4245F" w:rsidRDefault="00D4245F" w:rsidP="00D4245F">
            <w:pPr>
              <w:pStyle w:val="ListParagraph"/>
              <w:spacing w:before="60" w:after="0" w:line="240" w:lineRule="auto"/>
              <w:ind w:left="252" w:hanging="270"/>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eastAsia="Times New Roman" w:hAnsi="Arial" w:cs="Arial"/>
                <w:sz w:val="18"/>
                <w:szCs w:val="18"/>
              </w:rPr>
              <w:t>Copy of regulations of the BSA, including capital adequacy, licensing fees and application procedures approved and published in the Official Gazette.</w:t>
            </w:r>
          </w:p>
          <w:p w:rsidR="00D4245F" w:rsidRPr="00D4245F" w:rsidRDefault="00D4245F" w:rsidP="00D4245F">
            <w:pPr>
              <w:spacing w:before="60" w:after="0" w:line="48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r w:rsidRPr="00D4245F">
              <w:rPr>
                <w:rFonts w:ascii="Arial" w:hAnsi="Arial" w:cs="Arial"/>
                <w:sz w:val="18"/>
                <w:szCs w:val="18"/>
              </w:rPr>
              <w:t xml:space="preserve">Letter from the BOJ informing that the draft of the regulation has been submitted to Chief Parliament Counsel (CPC). </w:t>
            </w:r>
          </w:p>
          <w:p w:rsidR="00D4245F" w:rsidRPr="00D4245F" w:rsidRDefault="00D4245F" w:rsidP="00D4245F">
            <w:pPr>
              <w:spacing w:before="60" w:after="0" w:line="240" w:lineRule="auto"/>
              <w:jc w:val="both"/>
              <w:rPr>
                <w:rFonts w:ascii="Arial" w:hAnsi="Arial" w:cs="Arial"/>
                <w:sz w:val="18"/>
                <w:szCs w:val="18"/>
              </w:rPr>
            </w:pPr>
          </w:p>
        </w:tc>
      </w:tr>
      <w:tr w:rsidR="00D4245F" w:rsidRPr="00D4245F" w:rsidTr="00D4245F">
        <w:trPr>
          <w:jc w:val="center"/>
        </w:trPr>
        <w:tc>
          <w:tcPr>
            <w:tcW w:w="3391" w:type="dxa"/>
            <w:tcBorders>
              <w:bottom w:val="single" w:sz="4" w:space="0" w:color="auto"/>
            </w:tcBorders>
            <w:shd w:val="clear" w:color="auto" w:fill="FFFFFF" w:themeFill="background1"/>
          </w:tcPr>
          <w:p w:rsidR="00D4245F" w:rsidRPr="00D4245F" w:rsidRDefault="00D4245F" w:rsidP="00D4245F">
            <w:pPr>
              <w:pStyle w:val="ListParagraph"/>
              <w:spacing w:before="60" w:after="0" w:line="240" w:lineRule="auto"/>
              <w:ind w:left="0"/>
              <w:contextualSpacing w:val="0"/>
              <w:jc w:val="both"/>
              <w:rPr>
                <w:rFonts w:ascii="Arial" w:hAnsi="Arial" w:cs="Arial"/>
                <w:b/>
                <w:sz w:val="18"/>
                <w:szCs w:val="18"/>
              </w:rPr>
            </w:pPr>
            <w:r w:rsidRPr="00D4245F">
              <w:rPr>
                <w:rFonts w:ascii="Arial" w:hAnsi="Arial" w:cs="Arial"/>
                <w:b/>
                <w:sz w:val="18"/>
                <w:szCs w:val="18"/>
              </w:rPr>
              <w:t>Enhancing  the securities, pension and insurance regulation and supervision</w:t>
            </w:r>
          </w:p>
          <w:p w:rsidR="00D4245F" w:rsidRPr="00D4245F" w:rsidRDefault="00D4245F" w:rsidP="00D4245F">
            <w:pPr>
              <w:pStyle w:val="ListParagraph"/>
              <w:spacing w:before="60" w:after="0" w:line="240" w:lineRule="auto"/>
              <w:ind w:left="235"/>
              <w:contextualSpacing w:val="0"/>
              <w:jc w:val="both"/>
              <w:rPr>
                <w:rFonts w:ascii="Arial" w:hAnsi="Arial" w:cs="Arial"/>
                <w:sz w:val="18"/>
                <w:szCs w:val="18"/>
              </w:rPr>
            </w:pPr>
          </w:p>
        </w:tc>
        <w:tc>
          <w:tcPr>
            <w:tcW w:w="4410" w:type="dxa"/>
            <w:tcBorders>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Improve investor security in the securities sector enhancing the regulatory framework for the retail repo market through: (i) creating a new trust based system for clearing and settlement; and (ii) defining the new transaction structure. </w:t>
            </w: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Improve protection for the private pension plan members by drafting amendments to the pension funds regulation in order to regulate: (i) vesting and portability; (ii) solvency requirements; and (iii)</w:t>
            </w:r>
            <w:r>
              <w:rPr>
                <w:rFonts w:ascii="Arial" w:hAnsi="Arial" w:cs="Arial"/>
                <w:sz w:val="18"/>
                <w:szCs w:val="18"/>
              </w:rPr>
              <w:t> </w:t>
            </w:r>
            <w:r w:rsidRPr="00D4245F">
              <w:rPr>
                <w:rFonts w:ascii="Arial" w:hAnsi="Arial" w:cs="Arial"/>
                <w:sz w:val="18"/>
                <w:szCs w:val="18"/>
              </w:rPr>
              <w:t xml:space="preserve">conduct of business. </w:t>
            </w: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Improve supervision and protection for insurance policy holders by amending the legislation in the insurance sector in order to improve risk management practices and insolvency procedures. </w:t>
            </w:r>
          </w:p>
        </w:tc>
        <w:tc>
          <w:tcPr>
            <w:tcW w:w="4630" w:type="dxa"/>
            <w:tcBorders>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eastAsia="Times New Roman" w:hAnsi="Arial" w:cs="Arial"/>
                <w:sz w:val="18"/>
                <w:szCs w:val="18"/>
              </w:rPr>
            </w:pPr>
            <w:r w:rsidRPr="00D4245F">
              <w:rPr>
                <w:rFonts w:ascii="Arial" w:hAnsi="Arial" w:cs="Arial"/>
                <w:sz w:val="18"/>
                <w:szCs w:val="18"/>
              </w:rPr>
              <w:t xml:space="preserve">Copy of the Securities (Retail Repurchase Agreement Regulation) </w:t>
            </w:r>
            <w:r w:rsidRPr="00D4245F">
              <w:rPr>
                <w:rFonts w:ascii="Arial" w:eastAsia="Times New Roman" w:hAnsi="Arial" w:cs="Arial"/>
                <w:sz w:val="18"/>
                <w:szCs w:val="18"/>
              </w:rPr>
              <w:t xml:space="preserve">approved, </w:t>
            </w:r>
            <w:r w:rsidRPr="00D4245F">
              <w:rPr>
                <w:rFonts w:ascii="Arial" w:hAnsi="Arial" w:cs="Arial"/>
                <w:sz w:val="18"/>
                <w:szCs w:val="18"/>
              </w:rPr>
              <w:t xml:space="preserve">by Parliament, </w:t>
            </w:r>
            <w:r w:rsidRPr="00D4245F">
              <w:rPr>
                <w:rFonts w:ascii="Arial" w:eastAsia="Times New Roman" w:hAnsi="Arial" w:cs="Arial"/>
                <w:sz w:val="18"/>
                <w:szCs w:val="18"/>
              </w:rPr>
              <w:t xml:space="preserve">published in the Official Gazette and entered into effect. </w:t>
            </w:r>
            <w:r w:rsidRPr="00D4245F">
              <w:rPr>
                <w:rFonts w:ascii="Arial" w:hAnsi="Arial" w:cs="Arial"/>
                <w:sz w:val="18"/>
                <w:szCs w:val="18"/>
              </w:rPr>
              <w:t xml:space="preserve"> </w:t>
            </w: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Copy of the concept note drafted by the FSC with the proposal to amend the Pension (Superannuation Fund and Retirement Schemes) Act  and letter from the FSC with evidence that it has been submitted to the Ministry of Finance and Planning (MOFP).</w:t>
            </w: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Copy of the amendment to the Insurance Act approved by the lower house and published on the Parliament’s website. </w:t>
            </w:r>
          </w:p>
        </w:tc>
      </w:tr>
      <w:tr w:rsidR="00D4245F" w:rsidRPr="00D4245F" w:rsidTr="00D4245F">
        <w:trPr>
          <w:jc w:val="center"/>
        </w:trPr>
        <w:tc>
          <w:tcPr>
            <w:tcW w:w="3391" w:type="dxa"/>
            <w:tcBorders>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hAnsi="Arial" w:cs="Arial"/>
                <w:b/>
                <w:sz w:val="18"/>
                <w:szCs w:val="18"/>
              </w:rPr>
            </w:pPr>
            <w:r w:rsidRPr="00D4245F">
              <w:rPr>
                <w:rFonts w:ascii="Arial" w:hAnsi="Arial" w:cs="Arial"/>
                <w:b/>
                <w:sz w:val="18"/>
                <w:szCs w:val="18"/>
              </w:rPr>
              <w:t>Strengthening Financial Transparency</w:t>
            </w:r>
          </w:p>
        </w:tc>
        <w:tc>
          <w:tcPr>
            <w:tcW w:w="4410" w:type="dxa"/>
            <w:tcBorders>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Improve financial transparency regulation and supervision following Financial Action Task Force (FATF) principles by: </w:t>
            </w:r>
          </w:p>
          <w:p w:rsidR="00D4245F" w:rsidRPr="00D4245F" w:rsidRDefault="00D4245F" w:rsidP="00D4245F">
            <w:pPr>
              <w:pStyle w:val="ListParagraph"/>
              <w:numPr>
                <w:ilvl w:val="0"/>
                <w:numId w:val="25"/>
              </w:numPr>
              <w:spacing w:before="60" w:after="0" w:line="240" w:lineRule="auto"/>
              <w:ind w:left="350" w:hanging="350"/>
              <w:jc w:val="both"/>
              <w:rPr>
                <w:rFonts w:ascii="Arial" w:hAnsi="Arial" w:cs="Arial"/>
                <w:sz w:val="18"/>
                <w:szCs w:val="18"/>
              </w:rPr>
            </w:pPr>
            <w:r w:rsidRPr="00D4245F">
              <w:rPr>
                <w:rFonts w:ascii="Arial" w:hAnsi="Arial" w:cs="Arial"/>
                <w:sz w:val="18"/>
                <w:szCs w:val="18"/>
              </w:rPr>
              <w:t>Approving the National Risk Assessment (NRA) draft by the NRA Steering Committee.</w:t>
            </w:r>
          </w:p>
          <w:p w:rsidR="00D4245F" w:rsidRPr="00D4245F" w:rsidRDefault="00D4245F" w:rsidP="00D4245F">
            <w:pPr>
              <w:pStyle w:val="ListParagraph"/>
              <w:numPr>
                <w:ilvl w:val="0"/>
                <w:numId w:val="25"/>
              </w:numPr>
              <w:spacing w:before="60" w:after="0" w:line="240" w:lineRule="auto"/>
              <w:ind w:left="350" w:hanging="350"/>
              <w:jc w:val="both"/>
              <w:rPr>
                <w:rFonts w:ascii="Arial" w:hAnsi="Arial" w:cs="Arial"/>
                <w:sz w:val="18"/>
                <w:szCs w:val="18"/>
              </w:rPr>
            </w:pPr>
            <w:r w:rsidRPr="00D4245F">
              <w:rPr>
                <w:rFonts w:ascii="Arial" w:hAnsi="Arial" w:cs="Arial"/>
                <w:sz w:val="18"/>
                <w:szCs w:val="18"/>
              </w:rPr>
              <w:t>Enhancing Anti-Money Laundry (AML) supervision by putting in place a dedicated AML Unit in the Financial Services Commission (FSC) and incorporating AML surveillance in situ inspections.</w:t>
            </w:r>
          </w:p>
        </w:tc>
        <w:tc>
          <w:tcPr>
            <w:tcW w:w="4630" w:type="dxa"/>
            <w:tcBorders>
              <w:bottom w:val="single" w:sz="4" w:space="0" w:color="auto"/>
            </w:tcBorders>
            <w:shd w:val="clear" w:color="auto" w:fill="FFFFFF" w:themeFill="background1"/>
          </w:tcPr>
          <w:p w:rsidR="00D4245F" w:rsidRPr="00D4245F" w:rsidRDefault="00D4245F" w:rsidP="00D4245F">
            <w:pPr>
              <w:pStyle w:val="ListParagraph"/>
              <w:numPr>
                <w:ilvl w:val="0"/>
                <w:numId w:val="27"/>
              </w:numPr>
              <w:spacing w:before="60" w:after="0" w:line="240" w:lineRule="auto"/>
              <w:ind w:left="440" w:hanging="360"/>
              <w:jc w:val="both"/>
              <w:rPr>
                <w:rFonts w:ascii="Arial" w:eastAsia="Times New Roman" w:hAnsi="Arial" w:cs="Arial"/>
                <w:sz w:val="18"/>
                <w:szCs w:val="18"/>
              </w:rPr>
            </w:pPr>
            <w:r w:rsidRPr="00D4245F">
              <w:rPr>
                <w:rFonts w:ascii="Arial" w:eastAsia="Times New Roman" w:hAnsi="Arial" w:cs="Arial"/>
                <w:sz w:val="18"/>
                <w:szCs w:val="18"/>
              </w:rPr>
              <w:t>Letter from the MOF indicating the approval of the NRA draft, providing a summary of the NRA.</w:t>
            </w:r>
          </w:p>
          <w:p w:rsidR="00D4245F" w:rsidRPr="00D4245F" w:rsidRDefault="00D4245F" w:rsidP="00D4245F">
            <w:pPr>
              <w:pStyle w:val="ListParagraph"/>
              <w:numPr>
                <w:ilvl w:val="0"/>
                <w:numId w:val="27"/>
              </w:numPr>
              <w:spacing w:before="60" w:after="0" w:line="240" w:lineRule="auto"/>
              <w:ind w:left="440" w:hanging="360"/>
              <w:jc w:val="both"/>
              <w:rPr>
                <w:rFonts w:ascii="Arial" w:hAnsi="Arial" w:cs="Arial"/>
                <w:sz w:val="18"/>
                <w:szCs w:val="18"/>
              </w:rPr>
            </w:pPr>
            <w:r w:rsidRPr="00D4245F">
              <w:rPr>
                <w:rFonts w:ascii="Arial" w:hAnsi="Arial" w:cs="Arial"/>
                <w:sz w:val="18"/>
                <w:szCs w:val="18"/>
              </w:rPr>
              <w:t>Memorandum from the Executive Director of FSC confirming the implementation of the AML Unit, including the appointment of the personnel dedicated to the AML Unit</w:t>
            </w:r>
          </w:p>
        </w:tc>
      </w:tr>
      <w:tr w:rsidR="00D4245F" w:rsidRPr="00D4245F" w:rsidTr="00D4245F">
        <w:trPr>
          <w:jc w:val="center"/>
        </w:trPr>
        <w:tc>
          <w:tcPr>
            <w:tcW w:w="3391" w:type="dxa"/>
            <w:tcBorders>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hAnsi="Arial" w:cs="Arial"/>
                <w:b/>
                <w:sz w:val="18"/>
                <w:szCs w:val="18"/>
              </w:rPr>
            </w:pPr>
            <w:r w:rsidRPr="00D4245F">
              <w:rPr>
                <w:rFonts w:ascii="Arial" w:hAnsi="Arial" w:cs="Arial"/>
                <w:b/>
                <w:sz w:val="18"/>
                <w:szCs w:val="18"/>
              </w:rPr>
              <w:t>Strengthen financial crisis management</w:t>
            </w:r>
          </w:p>
        </w:tc>
        <w:tc>
          <w:tcPr>
            <w:tcW w:w="4410" w:type="dxa"/>
            <w:tcBorders>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Establish a Financial Crisis Management Steering Committee (FCMST) integrated by the major financial regulation authorities. </w:t>
            </w: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Develop a first draft of a Financial Crisis Management Plan for the Securities Sector. </w:t>
            </w:r>
          </w:p>
          <w:p w:rsidR="00D4245F" w:rsidRPr="00D4245F" w:rsidRDefault="00D4245F" w:rsidP="00D4245F">
            <w:pPr>
              <w:spacing w:before="60" w:after="0" w:line="240" w:lineRule="auto"/>
              <w:jc w:val="both"/>
              <w:rPr>
                <w:rFonts w:ascii="Arial" w:hAnsi="Arial" w:cs="Arial"/>
                <w:sz w:val="18"/>
                <w:szCs w:val="18"/>
              </w:rPr>
            </w:pPr>
          </w:p>
        </w:tc>
        <w:tc>
          <w:tcPr>
            <w:tcW w:w="4630" w:type="dxa"/>
            <w:tcBorders>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eastAsia="Times New Roman" w:hAnsi="Arial" w:cs="Arial"/>
                <w:sz w:val="18"/>
                <w:szCs w:val="18"/>
              </w:rPr>
            </w:pPr>
            <w:r w:rsidRPr="00D4245F">
              <w:rPr>
                <w:rFonts w:ascii="Arial" w:eastAsia="Times New Roman" w:hAnsi="Arial" w:cs="Arial"/>
                <w:sz w:val="18"/>
                <w:szCs w:val="18"/>
              </w:rPr>
              <w:t xml:space="preserve">Letter of the MOF informing of the creation of the FCMST and copy of a Concept Paper on the Financial Crisis Resolution Plan for the Securities Sector. </w:t>
            </w:r>
          </w:p>
        </w:tc>
      </w:tr>
      <w:tr w:rsidR="00D4245F" w:rsidRPr="00D4245F" w:rsidTr="00D4245F">
        <w:trPr>
          <w:jc w:val="center"/>
        </w:trPr>
        <w:tc>
          <w:tcPr>
            <w:tcW w:w="3391" w:type="dxa"/>
            <w:shd w:val="clear" w:color="auto" w:fill="FFFFFF" w:themeFill="background1"/>
          </w:tcPr>
          <w:p w:rsidR="00D4245F" w:rsidRPr="00D4245F" w:rsidRDefault="00D4245F" w:rsidP="00D4245F">
            <w:pPr>
              <w:spacing w:before="60" w:after="0" w:line="240" w:lineRule="auto"/>
              <w:jc w:val="both"/>
              <w:rPr>
                <w:rFonts w:ascii="Arial" w:hAnsi="Arial" w:cs="Arial"/>
                <w:b/>
                <w:sz w:val="18"/>
                <w:szCs w:val="18"/>
              </w:rPr>
            </w:pPr>
            <w:r w:rsidRPr="00D4245F">
              <w:rPr>
                <w:rFonts w:ascii="Arial" w:hAnsi="Arial" w:cs="Arial"/>
                <w:b/>
                <w:sz w:val="18"/>
                <w:szCs w:val="18"/>
              </w:rPr>
              <w:t xml:space="preserve">Strengthen the institutional and policy framework for financial inclusion </w:t>
            </w:r>
          </w:p>
        </w:tc>
        <w:tc>
          <w:tcPr>
            <w:tcW w:w="4410" w:type="dxa"/>
            <w:shd w:val="clear" w:color="auto" w:fill="FFFFFF" w:themeFill="background1"/>
          </w:tcPr>
          <w:p w:rsidR="00D4245F" w:rsidRPr="00D4245F" w:rsidRDefault="00D4245F" w:rsidP="00D4245F">
            <w:pPr>
              <w:jc w:val="both"/>
              <w:rPr>
                <w:rFonts w:ascii="Arial" w:hAnsi="Arial" w:cs="Arial"/>
                <w:sz w:val="18"/>
                <w:szCs w:val="18"/>
              </w:rPr>
            </w:pPr>
            <w:r w:rsidRPr="00D4245F">
              <w:rPr>
                <w:rFonts w:ascii="Arial" w:hAnsi="Arial" w:cs="Arial"/>
                <w:sz w:val="18"/>
                <w:szCs w:val="18"/>
              </w:rPr>
              <w:t>Develop and approve a National Financial Inclusion Strategy (NFIS) including the following areas: consumer protection and financial literacy; MSME Finance; Rural and Agricultural Finance and Payment Systems.</w:t>
            </w:r>
          </w:p>
          <w:p w:rsidR="00D4245F" w:rsidRPr="00D4245F" w:rsidRDefault="00D4245F" w:rsidP="00D4245F">
            <w:pPr>
              <w:jc w:val="both"/>
              <w:rPr>
                <w:rFonts w:ascii="Arial" w:hAnsi="Arial" w:cs="Arial"/>
                <w:sz w:val="18"/>
                <w:szCs w:val="18"/>
              </w:rPr>
            </w:pPr>
            <w:r w:rsidRPr="00D4245F">
              <w:rPr>
                <w:rFonts w:ascii="Arial" w:hAnsi="Arial" w:cs="Arial"/>
                <w:sz w:val="18"/>
                <w:szCs w:val="18"/>
              </w:rPr>
              <w:t xml:space="preserve">Establish the National Financial Inclusion Council (NFIC) as an overall policy coordinator with   budgetary and monetary responsibilities.  </w:t>
            </w:r>
          </w:p>
        </w:tc>
        <w:tc>
          <w:tcPr>
            <w:tcW w:w="4630" w:type="dxa"/>
            <w:shd w:val="clear" w:color="auto" w:fill="FFFFFF" w:themeFill="background1"/>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Letter from MOF confirming that the NFIS has been approved by the BOJ and MOFP and providing a copy of the final version of the NFIS. </w:t>
            </w:r>
          </w:p>
          <w:p w:rsidR="00D4245F" w:rsidRPr="00D4245F" w:rsidRDefault="00D4245F" w:rsidP="00D4245F">
            <w:pPr>
              <w:spacing w:before="60" w:after="0" w:line="36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Letter from MOF confirming the establishment of the NFIC.  </w:t>
            </w:r>
          </w:p>
          <w:p w:rsidR="00D4245F" w:rsidRPr="00D4245F" w:rsidRDefault="00D4245F" w:rsidP="00D4245F">
            <w:pPr>
              <w:spacing w:before="60" w:after="0" w:line="240" w:lineRule="auto"/>
              <w:jc w:val="both"/>
              <w:rPr>
                <w:rFonts w:ascii="Arial" w:hAnsi="Arial" w:cs="Arial"/>
                <w:sz w:val="18"/>
                <w:szCs w:val="18"/>
              </w:rPr>
            </w:pPr>
          </w:p>
        </w:tc>
      </w:tr>
      <w:tr w:rsidR="00D4245F" w:rsidRPr="00D4245F" w:rsidTr="00D4245F">
        <w:trPr>
          <w:jc w:val="center"/>
        </w:trPr>
        <w:tc>
          <w:tcPr>
            <w:tcW w:w="3391" w:type="dxa"/>
            <w:shd w:val="clear" w:color="auto" w:fill="FFFFFF" w:themeFill="background1"/>
          </w:tcPr>
          <w:p w:rsidR="00D4245F" w:rsidRPr="00D4245F" w:rsidRDefault="00D4245F" w:rsidP="00D4245F">
            <w:pPr>
              <w:spacing w:before="60" w:after="0" w:line="240" w:lineRule="auto"/>
              <w:jc w:val="both"/>
              <w:rPr>
                <w:rFonts w:ascii="Arial" w:hAnsi="Arial" w:cs="Arial"/>
                <w:b/>
                <w:sz w:val="18"/>
                <w:szCs w:val="18"/>
              </w:rPr>
            </w:pPr>
            <w:r w:rsidRPr="00D4245F">
              <w:rPr>
                <w:rFonts w:ascii="Arial" w:hAnsi="Arial" w:cs="Arial"/>
                <w:b/>
                <w:sz w:val="18"/>
                <w:szCs w:val="18"/>
              </w:rPr>
              <w:t>Enhancing consumer protection</w:t>
            </w:r>
          </w:p>
          <w:p w:rsidR="00D4245F" w:rsidRPr="00D4245F" w:rsidRDefault="00D4245F" w:rsidP="00D4245F">
            <w:pPr>
              <w:spacing w:before="60" w:after="0" w:line="240" w:lineRule="auto"/>
              <w:jc w:val="both"/>
              <w:rPr>
                <w:rFonts w:ascii="Arial" w:hAnsi="Arial" w:cs="Arial"/>
                <w:b/>
                <w:sz w:val="18"/>
                <w:szCs w:val="18"/>
              </w:rPr>
            </w:pPr>
          </w:p>
        </w:tc>
        <w:tc>
          <w:tcPr>
            <w:tcW w:w="4410" w:type="dxa"/>
            <w:shd w:val="clear" w:color="auto" w:fill="FFFFFF" w:themeFill="background1"/>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Establish a consumer protection and financial literacy action plan in the in the National Inclusion Strategy in order to enhance code of conduct for consumer relations, consumer protection supervision, and financial education.  </w:t>
            </w:r>
          </w:p>
        </w:tc>
        <w:tc>
          <w:tcPr>
            <w:tcW w:w="4630" w:type="dxa"/>
            <w:shd w:val="clear" w:color="auto" w:fill="FFFFFF" w:themeFill="background1"/>
          </w:tcPr>
          <w:p w:rsidR="00D4245F" w:rsidRPr="00D4245F" w:rsidRDefault="00D4245F" w:rsidP="00D4245F">
            <w:pPr>
              <w:pStyle w:val="ListParagraph"/>
              <w:spacing w:before="60" w:after="0" w:line="240" w:lineRule="auto"/>
              <w:ind w:left="0"/>
              <w:jc w:val="both"/>
              <w:rPr>
                <w:rFonts w:ascii="Arial" w:hAnsi="Arial" w:cs="Arial"/>
                <w:sz w:val="18"/>
                <w:szCs w:val="18"/>
              </w:rPr>
            </w:pPr>
            <w:r w:rsidRPr="00D4245F">
              <w:rPr>
                <w:rFonts w:ascii="Arial" w:hAnsi="Arial" w:cs="Arial"/>
                <w:sz w:val="18"/>
                <w:szCs w:val="18"/>
              </w:rPr>
              <w:t xml:space="preserve">Letter from the MEF providing a copy of the Consumer Protection Action Plan incorporated in the NFIS. </w:t>
            </w:r>
          </w:p>
        </w:tc>
      </w:tr>
      <w:tr w:rsidR="00D4245F" w:rsidRPr="00D4245F" w:rsidTr="00D4245F">
        <w:trPr>
          <w:trHeight w:val="6353"/>
          <w:jc w:val="center"/>
        </w:trPr>
        <w:tc>
          <w:tcPr>
            <w:tcW w:w="3391" w:type="dxa"/>
            <w:shd w:val="clear" w:color="auto" w:fill="FFFFFF" w:themeFill="background1"/>
          </w:tcPr>
          <w:p w:rsidR="00D4245F" w:rsidRPr="00D4245F" w:rsidRDefault="00D4245F" w:rsidP="00D4245F">
            <w:pPr>
              <w:spacing w:before="60" w:after="0" w:line="240" w:lineRule="auto"/>
              <w:jc w:val="both"/>
              <w:rPr>
                <w:rFonts w:ascii="Arial" w:hAnsi="Arial" w:cs="Arial"/>
                <w:b/>
                <w:sz w:val="18"/>
                <w:szCs w:val="18"/>
              </w:rPr>
            </w:pPr>
            <w:r w:rsidRPr="00D4245F">
              <w:rPr>
                <w:rFonts w:ascii="Arial" w:hAnsi="Arial" w:cs="Arial"/>
                <w:b/>
                <w:sz w:val="18"/>
                <w:szCs w:val="18"/>
              </w:rPr>
              <w:t>Improving MSMEs, Rural, a</w:t>
            </w:r>
            <w:r>
              <w:rPr>
                <w:rFonts w:ascii="Arial" w:hAnsi="Arial" w:cs="Arial"/>
                <w:b/>
                <w:sz w:val="18"/>
                <w:szCs w:val="18"/>
              </w:rPr>
              <w:t>nd Agricultural Access Finance</w:t>
            </w:r>
          </w:p>
          <w:p w:rsidR="00D4245F" w:rsidRPr="00D4245F" w:rsidRDefault="00D4245F" w:rsidP="00D4245F">
            <w:pPr>
              <w:spacing w:before="60" w:after="0" w:line="240" w:lineRule="auto"/>
              <w:jc w:val="both"/>
              <w:rPr>
                <w:rFonts w:ascii="Arial" w:hAnsi="Arial" w:cs="Arial"/>
                <w:b/>
                <w:sz w:val="18"/>
                <w:szCs w:val="18"/>
              </w:rPr>
            </w:pPr>
          </w:p>
        </w:tc>
        <w:tc>
          <w:tcPr>
            <w:tcW w:w="4410" w:type="dxa"/>
            <w:shd w:val="clear" w:color="auto" w:fill="FFFFFF" w:themeFill="background1"/>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 xml:space="preserve">Incentivize lending by incorporating a MSMEs, Rural, and Agricultural Access Finance action plan in the National Inclusion Strategy. </w:t>
            </w: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eastAsia="Times New Roman" w:hAnsi="Arial" w:cs="Arial"/>
                <w:sz w:val="18"/>
                <w:szCs w:val="18"/>
              </w:rPr>
            </w:pPr>
            <w:r w:rsidRPr="00D4245F">
              <w:rPr>
                <w:rFonts w:ascii="Arial" w:eastAsia="Times New Roman" w:hAnsi="Arial" w:cs="Arial"/>
                <w:sz w:val="18"/>
                <w:szCs w:val="18"/>
              </w:rPr>
              <w:t xml:space="preserve">Improve the functioning of the Credit Enhancement Fund managed </w:t>
            </w:r>
            <w:r w:rsidRPr="00D4245F">
              <w:rPr>
                <w:rFonts w:ascii="Arial" w:hAnsi="Arial" w:cs="Arial"/>
                <w:sz w:val="18"/>
                <w:szCs w:val="18"/>
              </w:rPr>
              <w:t>by the Development Bank of Jamaica</w:t>
            </w:r>
            <w:r w:rsidRPr="00D4245F">
              <w:rPr>
                <w:rFonts w:ascii="Arial" w:eastAsia="Times New Roman" w:hAnsi="Arial" w:cs="Arial"/>
                <w:sz w:val="18"/>
                <w:szCs w:val="18"/>
              </w:rPr>
              <w:t xml:space="preserve"> through: (i) broadening the solvent financial institutions eligible; (ii) increasing the tenor and the guarantee a</w:t>
            </w:r>
            <w:r>
              <w:rPr>
                <w:rFonts w:ascii="Arial" w:eastAsia="Times New Roman" w:hAnsi="Arial" w:cs="Arial"/>
                <w:sz w:val="18"/>
                <w:szCs w:val="18"/>
              </w:rPr>
              <w:t>mount of the facility; and (iii) </w:t>
            </w:r>
            <w:r w:rsidRPr="00D4245F">
              <w:rPr>
                <w:rFonts w:ascii="Arial" w:eastAsia="Times New Roman" w:hAnsi="Arial" w:cs="Arial"/>
                <w:sz w:val="18"/>
                <w:szCs w:val="18"/>
              </w:rPr>
              <w:t xml:space="preserve">incentivizing agricultural guarantees. </w:t>
            </w: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eastAsia="Times New Roman" w:hAnsi="Arial" w:cs="Arial"/>
                <w:sz w:val="18"/>
                <w:szCs w:val="18"/>
              </w:rPr>
            </w:pPr>
            <w:r w:rsidRPr="00D4245F">
              <w:rPr>
                <w:rFonts w:ascii="Arial" w:hAnsi="Arial" w:cs="Arial"/>
                <w:sz w:val="18"/>
                <w:szCs w:val="18"/>
              </w:rPr>
              <w:t xml:space="preserve">Increase MSME supply-side data availability by drafting regulations on MSME specific data reporting in order to enhance prudential reporting from deposit institutions and establish a data baseline for better MSME financial access monitoring activities. </w:t>
            </w: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Improve coordination and efficiency within public agencies direct</w:t>
            </w:r>
            <w:r>
              <w:rPr>
                <w:rFonts w:ascii="Arial" w:hAnsi="Arial" w:cs="Arial"/>
                <w:sz w:val="18"/>
                <w:szCs w:val="18"/>
              </w:rPr>
              <w:t>ed to provide financial and non</w:t>
            </w:r>
            <w:r>
              <w:rPr>
                <w:rFonts w:ascii="Arial" w:hAnsi="Arial" w:cs="Arial"/>
                <w:sz w:val="18"/>
                <w:szCs w:val="18"/>
              </w:rPr>
              <w:noBreakHyphen/>
            </w:r>
            <w:r w:rsidRPr="00D4245F">
              <w:rPr>
                <w:rFonts w:ascii="Arial" w:hAnsi="Arial" w:cs="Arial"/>
                <w:sz w:val="18"/>
                <w:szCs w:val="18"/>
              </w:rPr>
              <w:t>financial services to MSMEs by Industry Investment and Commerce (MIIC) by:</w:t>
            </w:r>
          </w:p>
          <w:p w:rsidR="00D4245F" w:rsidRPr="00D4245F" w:rsidRDefault="00D4245F" w:rsidP="00D4245F">
            <w:pPr>
              <w:pStyle w:val="ListParagraph"/>
              <w:numPr>
                <w:ilvl w:val="0"/>
                <w:numId w:val="29"/>
              </w:numPr>
              <w:spacing w:before="60" w:after="0" w:line="240" w:lineRule="auto"/>
              <w:ind w:left="342" w:hanging="342"/>
              <w:jc w:val="both"/>
              <w:rPr>
                <w:rFonts w:ascii="Arial" w:hAnsi="Arial" w:cs="Arial"/>
                <w:sz w:val="18"/>
                <w:szCs w:val="18"/>
              </w:rPr>
            </w:pPr>
            <w:r w:rsidRPr="00D4245F">
              <w:rPr>
                <w:rFonts w:ascii="Arial" w:hAnsi="Arial" w:cs="Arial"/>
                <w:sz w:val="18"/>
                <w:szCs w:val="18"/>
              </w:rPr>
              <w:t>Creating a Single Board for   SelfStart, Micro Investment Development Agency (MIDA) and Jamaican Business Development Corporation (JBDC).</w:t>
            </w:r>
          </w:p>
          <w:p w:rsidR="00D4245F" w:rsidRPr="00D4245F" w:rsidRDefault="00D4245F" w:rsidP="00D4245F">
            <w:pPr>
              <w:pStyle w:val="ListParagraph"/>
              <w:numPr>
                <w:ilvl w:val="0"/>
                <w:numId w:val="29"/>
              </w:numPr>
              <w:spacing w:before="60" w:after="0" w:line="240" w:lineRule="auto"/>
              <w:ind w:left="342" w:hanging="342"/>
              <w:jc w:val="both"/>
              <w:rPr>
                <w:rFonts w:ascii="Arial" w:hAnsi="Arial" w:cs="Arial"/>
                <w:sz w:val="18"/>
                <w:szCs w:val="18"/>
              </w:rPr>
            </w:pPr>
            <w:r w:rsidRPr="00D4245F">
              <w:rPr>
                <w:rFonts w:ascii="Arial" w:hAnsi="Arial" w:cs="Arial"/>
                <w:sz w:val="18"/>
                <w:szCs w:val="18"/>
              </w:rPr>
              <w:t xml:space="preserve">Drafting an action plan to consolidate financial and non-financial services to MSMEs.  </w:t>
            </w:r>
          </w:p>
        </w:tc>
        <w:tc>
          <w:tcPr>
            <w:tcW w:w="4630" w:type="dxa"/>
            <w:shd w:val="clear" w:color="auto" w:fill="FFFFFF" w:themeFill="background1"/>
          </w:tcPr>
          <w:p w:rsidR="00D4245F" w:rsidRPr="00D4245F" w:rsidRDefault="00D4245F" w:rsidP="00D4245F">
            <w:pPr>
              <w:spacing w:before="60" w:after="0" w:line="240" w:lineRule="auto"/>
              <w:jc w:val="both"/>
              <w:rPr>
                <w:rFonts w:ascii="Arial" w:eastAsia="Times New Roman" w:hAnsi="Arial" w:cs="Arial"/>
                <w:sz w:val="18"/>
                <w:szCs w:val="18"/>
              </w:rPr>
            </w:pPr>
            <w:r w:rsidRPr="00D4245F">
              <w:rPr>
                <w:rFonts w:ascii="Arial" w:hAnsi="Arial" w:cs="Arial"/>
                <w:sz w:val="18"/>
                <w:szCs w:val="18"/>
              </w:rPr>
              <w:t xml:space="preserve">Letter from the MEF providing a copy of the MSME, Rural, and Agricultural Finance Action Plan incorporated in the NFIS. </w:t>
            </w:r>
          </w:p>
          <w:p w:rsidR="00D4245F" w:rsidRPr="00D4245F" w:rsidRDefault="00D4245F" w:rsidP="00D4245F">
            <w:pPr>
              <w:spacing w:before="60" w:after="0" w:line="240" w:lineRule="auto"/>
              <w:jc w:val="both"/>
              <w:rPr>
                <w:rFonts w:ascii="Arial" w:eastAsia="Times New Roman" w:hAnsi="Arial" w:cs="Arial"/>
                <w:sz w:val="18"/>
                <w:szCs w:val="18"/>
              </w:rPr>
            </w:pPr>
            <w:r w:rsidRPr="00D4245F">
              <w:rPr>
                <w:rFonts w:ascii="Arial" w:eastAsia="Times New Roman" w:hAnsi="Arial" w:cs="Arial"/>
                <w:sz w:val="18"/>
                <w:szCs w:val="18"/>
              </w:rPr>
              <w:t xml:space="preserve">Copy of the amendments to the </w:t>
            </w:r>
            <w:r w:rsidRPr="00D4245F">
              <w:rPr>
                <w:rFonts w:ascii="Arial" w:hAnsi="Arial" w:cs="Arial"/>
                <w:sz w:val="18"/>
                <w:szCs w:val="18"/>
              </w:rPr>
              <w:t>Credit Enhancement Fund</w:t>
            </w:r>
            <w:r w:rsidRPr="00D4245F">
              <w:rPr>
                <w:rFonts w:ascii="Arial" w:eastAsia="Times New Roman" w:hAnsi="Arial" w:cs="Arial"/>
                <w:sz w:val="18"/>
                <w:szCs w:val="18"/>
              </w:rPr>
              <w:t xml:space="preserve"> approved by the DBJ. </w:t>
            </w: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eastAsia="Times New Roman" w:hAnsi="Arial" w:cs="Arial"/>
                <w:sz w:val="18"/>
                <w:szCs w:val="18"/>
              </w:rPr>
            </w:pPr>
          </w:p>
          <w:p w:rsidR="00D4245F" w:rsidRPr="00D4245F" w:rsidRDefault="00D4245F" w:rsidP="00D4245F">
            <w:pPr>
              <w:spacing w:before="60" w:after="0" w:line="240" w:lineRule="auto"/>
              <w:jc w:val="both"/>
              <w:rPr>
                <w:rFonts w:ascii="Arial" w:eastAsia="Times New Roman" w:hAnsi="Arial" w:cs="Arial"/>
                <w:sz w:val="18"/>
                <w:szCs w:val="18"/>
              </w:rPr>
            </w:pPr>
            <w:r w:rsidRPr="00D4245F">
              <w:rPr>
                <w:rFonts w:ascii="Arial" w:eastAsia="Times New Roman" w:hAnsi="Arial" w:cs="Arial"/>
                <w:sz w:val="18"/>
                <w:szCs w:val="18"/>
              </w:rPr>
              <w:t xml:space="preserve">Copy of the BOJ draft proposal to regulate MSME specific data reporting. </w:t>
            </w: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p>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sz w:val="18"/>
                <w:szCs w:val="18"/>
              </w:rPr>
              <w:t>Letter from the MIIC informing the creation of the Single Board for three agencies in place and an action plan for consolidation of services completed.</w:t>
            </w:r>
          </w:p>
          <w:p w:rsidR="00D4245F" w:rsidRPr="00D4245F" w:rsidRDefault="00D4245F" w:rsidP="00D4245F">
            <w:pPr>
              <w:pStyle w:val="ListParagraph"/>
              <w:spacing w:before="60" w:after="0" w:line="240" w:lineRule="auto"/>
              <w:ind w:left="342"/>
              <w:jc w:val="both"/>
              <w:rPr>
                <w:rFonts w:ascii="Arial" w:eastAsia="Times New Roman" w:hAnsi="Arial" w:cs="Arial"/>
                <w:sz w:val="18"/>
                <w:szCs w:val="18"/>
              </w:rPr>
            </w:pPr>
          </w:p>
          <w:p w:rsidR="00D4245F" w:rsidRPr="00D4245F" w:rsidRDefault="00D4245F" w:rsidP="00D4245F">
            <w:pPr>
              <w:pStyle w:val="ListParagraph"/>
              <w:spacing w:before="60" w:after="0" w:line="240" w:lineRule="auto"/>
              <w:ind w:left="342"/>
              <w:jc w:val="both"/>
              <w:rPr>
                <w:rFonts w:ascii="Arial" w:eastAsia="Times New Roman" w:hAnsi="Arial" w:cs="Arial"/>
                <w:sz w:val="18"/>
                <w:szCs w:val="18"/>
              </w:rPr>
            </w:pPr>
          </w:p>
          <w:p w:rsidR="00D4245F" w:rsidRPr="00D4245F" w:rsidRDefault="00D4245F" w:rsidP="00D4245F">
            <w:pPr>
              <w:pStyle w:val="ListParagraph"/>
              <w:spacing w:before="60" w:after="0" w:line="240" w:lineRule="auto"/>
              <w:ind w:left="342"/>
              <w:jc w:val="both"/>
              <w:rPr>
                <w:rFonts w:ascii="Arial" w:eastAsia="Times New Roman" w:hAnsi="Arial" w:cs="Arial"/>
                <w:sz w:val="18"/>
                <w:szCs w:val="18"/>
              </w:rPr>
            </w:pPr>
          </w:p>
          <w:p w:rsidR="00D4245F" w:rsidRPr="00D4245F" w:rsidRDefault="00D4245F" w:rsidP="00D4245F">
            <w:pPr>
              <w:pStyle w:val="ListParagraph"/>
              <w:spacing w:before="60" w:after="0" w:line="240" w:lineRule="auto"/>
              <w:ind w:left="342"/>
              <w:jc w:val="both"/>
              <w:rPr>
                <w:rFonts w:ascii="Arial" w:eastAsia="Times New Roman" w:hAnsi="Arial" w:cs="Arial"/>
                <w:sz w:val="18"/>
                <w:szCs w:val="18"/>
              </w:rPr>
            </w:pPr>
          </w:p>
          <w:p w:rsidR="00D4245F" w:rsidRPr="00D4245F" w:rsidRDefault="00D4245F" w:rsidP="00D4245F">
            <w:pPr>
              <w:pStyle w:val="ListParagraph"/>
              <w:spacing w:before="60" w:after="0" w:line="240" w:lineRule="auto"/>
              <w:ind w:left="0"/>
              <w:jc w:val="both"/>
              <w:rPr>
                <w:rFonts w:ascii="Arial" w:hAnsi="Arial" w:cs="Arial"/>
                <w:sz w:val="18"/>
                <w:szCs w:val="18"/>
              </w:rPr>
            </w:pPr>
          </w:p>
        </w:tc>
      </w:tr>
      <w:tr w:rsidR="00D4245F" w:rsidRPr="00D4245F" w:rsidTr="00D4245F">
        <w:tblPrEx>
          <w:shd w:val="clear" w:color="auto" w:fill="auto"/>
        </w:tblPrEx>
        <w:trPr>
          <w:jc w:val="center"/>
        </w:trPr>
        <w:tc>
          <w:tcPr>
            <w:tcW w:w="3391" w:type="dxa"/>
            <w:tcBorders>
              <w:top w:val="single" w:sz="4" w:space="0" w:color="auto"/>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hAnsi="Arial" w:cs="Arial"/>
                <w:sz w:val="18"/>
                <w:szCs w:val="18"/>
              </w:rPr>
            </w:pPr>
            <w:r w:rsidRPr="00D4245F">
              <w:rPr>
                <w:rFonts w:ascii="Arial" w:hAnsi="Arial" w:cs="Arial"/>
                <w:b/>
                <w:sz w:val="18"/>
                <w:szCs w:val="18"/>
              </w:rPr>
              <w:t>Strengthening long term financing regulations and instruments</w:t>
            </w:r>
            <w:bookmarkStart w:id="0" w:name="_GoBack"/>
            <w:bookmarkEnd w:id="0"/>
          </w:p>
          <w:p w:rsidR="00D4245F" w:rsidRPr="00D4245F" w:rsidRDefault="00D4245F" w:rsidP="00D4245F">
            <w:pPr>
              <w:spacing w:before="60" w:after="0" w:line="240" w:lineRule="auto"/>
              <w:jc w:val="both"/>
              <w:rPr>
                <w:rFonts w:ascii="Arial" w:hAnsi="Arial" w:cs="Arial"/>
                <w:b/>
                <w:sz w:val="18"/>
                <w:szCs w:val="18"/>
              </w:rPr>
            </w:pPr>
          </w:p>
        </w:tc>
        <w:tc>
          <w:tcPr>
            <w:tcW w:w="4410" w:type="dxa"/>
            <w:tcBorders>
              <w:top w:val="single" w:sz="4" w:space="0" w:color="auto"/>
              <w:bottom w:val="single" w:sz="4" w:space="0" w:color="auto"/>
              <w:right w:val="single" w:sz="4" w:space="0" w:color="auto"/>
            </w:tcBorders>
            <w:shd w:val="clear" w:color="auto" w:fill="FFFFFF" w:themeFill="background1"/>
          </w:tcPr>
          <w:p w:rsidR="00D4245F" w:rsidRPr="00D4245F" w:rsidRDefault="00D4245F" w:rsidP="00D4245F">
            <w:pPr>
              <w:spacing w:after="80" w:line="240" w:lineRule="auto"/>
              <w:jc w:val="both"/>
              <w:rPr>
                <w:rFonts w:ascii="Arial" w:hAnsi="Arial" w:cs="Arial"/>
                <w:spacing w:val="-3"/>
                <w:sz w:val="18"/>
                <w:szCs w:val="18"/>
              </w:rPr>
            </w:pPr>
            <w:r w:rsidRPr="00D4245F">
              <w:rPr>
                <w:rFonts w:ascii="Arial" w:hAnsi="Arial" w:cs="Arial"/>
                <w:spacing w:val="-3"/>
                <w:sz w:val="18"/>
                <w:szCs w:val="18"/>
              </w:rPr>
              <w:t>Develop a more flexible and agile PPP transaction framework by amending the PPP policy, including: (i)</w:t>
            </w:r>
            <w:r>
              <w:rPr>
                <w:rFonts w:ascii="Arial" w:hAnsi="Arial" w:cs="Arial"/>
                <w:spacing w:val="-3"/>
                <w:sz w:val="18"/>
                <w:szCs w:val="18"/>
              </w:rPr>
              <w:t> </w:t>
            </w:r>
            <w:r w:rsidRPr="00D4245F">
              <w:rPr>
                <w:rFonts w:ascii="Arial" w:hAnsi="Arial" w:cs="Arial"/>
                <w:spacing w:val="-3"/>
                <w:sz w:val="18"/>
                <w:szCs w:val="18"/>
              </w:rPr>
              <w:t xml:space="preserve">avoiding unnecessary duplications; and (ii) clarifying the role of the different agencies involved at different stages. </w:t>
            </w:r>
          </w:p>
          <w:p w:rsidR="00D4245F" w:rsidRPr="00D4245F" w:rsidRDefault="00D4245F" w:rsidP="00D4245F">
            <w:pPr>
              <w:spacing w:after="80" w:line="240" w:lineRule="auto"/>
              <w:jc w:val="both"/>
              <w:rPr>
                <w:rFonts w:ascii="Arial" w:hAnsi="Arial" w:cs="Arial"/>
                <w:spacing w:val="-3"/>
                <w:sz w:val="18"/>
                <w:szCs w:val="18"/>
              </w:rPr>
            </w:pPr>
          </w:p>
          <w:p w:rsidR="00D4245F" w:rsidRPr="00D4245F" w:rsidRDefault="00D4245F" w:rsidP="00D4245F">
            <w:pPr>
              <w:spacing w:after="80" w:line="240" w:lineRule="auto"/>
              <w:jc w:val="both"/>
              <w:rPr>
                <w:rFonts w:ascii="Arial" w:hAnsi="Arial" w:cs="Arial"/>
                <w:spacing w:val="-3"/>
                <w:sz w:val="18"/>
                <w:szCs w:val="18"/>
              </w:rPr>
            </w:pPr>
            <w:r w:rsidRPr="00D4245F">
              <w:rPr>
                <w:rFonts w:ascii="Arial" w:hAnsi="Arial" w:cs="Arial"/>
                <w:spacing w:val="-3"/>
                <w:sz w:val="18"/>
                <w:szCs w:val="18"/>
              </w:rPr>
              <w:t>Establish alternative financing mechanisms to enhance long term financing via:</w:t>
            </w:r>
          </w:p>
          <w:p w:rsidR="00D4245F" w:rsidRPr="00D4245F" w:rsidRDefault="00D4245F" w:rsidP="00D4245F">
            <w:pPr>
              <w:pStyle w:val="ListParagraph"/>
              <w:numPr>
                <w:ilvl w:val="0"/>
                <w:numId w:val="24"/>
              </w:numPr>
              <w:spacing w:after="80" w:line="240" w:lineRule="auto"/>
              <w:ind w:left="432" w:hanging="432"/>
              <w:jc w:val="both"/>
              <w:rPr>
                <w:rFonts w:ascii="Arial" w:hAnsi="Arial" w:cs="Arial"/>
                <w:spacing w:val="-3"/>
                <w:sz w:val="18"/>
                <w:szCs w:val="18"/>
              </w:rPr>
            </w:pPr>
            <w:r w:rsidRPr="00D4245F">
              <w:rPr>
                <w:rFonts w:ascii="Arial" w:hAnsi="Arial" w:cs="Arial"/>
                <w:spacing w:val="-3"/>
                <w:sz w:val="18"/>
                <w:szCs w:val="18"/>
              </w:rPr>
              <w:t xml:space="preserve">Venture Capital, (financing provided to emerging growth companies via equity)  </w:t>
            </w:r>
          </w:p>
          <w:p w:rsidR="00D4245F" w:rsidRPr="00D4245F" w:rsidRDefault="00D4245F" w:rsidP="00D4245F">
            <w:pPr>
              <w:pStyle w:val="ListParagraph"/>
              <w:numPr>
                <w:ilvl w:val="0"/>
                <w:numId w:val="24"/>
              </w:numPr>
              <w:spacing w:after="80" w:line="240" w:lineRule="auto"/>
              <w:ind w:left="432" w:hanging="432"/>
              <w:jc w:val="both"/>
              <w:rPr>
                <w:rFonts w:ascii="Arial" w:hAnsi="Arial" w:cs="Arial"/>
                <w:spacing w:val="-3"/>
                <w:sz w:val="18"/>
                <w:szCs w:val="18"/>
              </w:rPr>
            </w:pPr>
            <w:r w:rsidRPr="00D4245F">
              <w:rPr>
                <w:rFonts w:ascii="Arial" w:hAnsi="Arial" w:cs="Arial"/>
                <w:spacing w:val="-3"/>
                <w:sz w:val="18"/>
                <w:szCs w:val="18"/>
              </w:rPr>
              <w:t xml:space="preserve">Angel financing (private investors make equity investment in ideas and companies) and </w:t>
            </w:r>
          </w:p>
          <w:p w:rsidR="00D4245F" w:rsidRPr="00D4245F" w:rsidRDefault="00D4245F" w:rsidP="00D4245F">
            <w:pPr>
              <w:pStyle w:val="ListParagraph"/>
              <w:numPr>
                <w:ilvl w:val="0"/>
                <w:numId w:val="24"/>
              </w:numPr>
              <w:spacing w:after="80" w:line="240" w:lineRule="auto"/>
              <w:ind w:left="432" w:hanging="432"/>
              <w:jc w:val="both"/>
              <w:rPr>
                <w:rFonts w:ascii="Arial" w:hAnsi="Arial" w:cs="Arial"/>
                <w:spacing w:val="-3"/>
                <w:sz w:val="18"/>
                <w:szCs w:val="18"/>
              </w:rPr>
            </w:pPr>
            <w:r w:rsidRPr="00D4245F">
              <w:rPr>
                <w:rFonts w:ascii="Arial" w:hAnsi="Arial" w:cs="Arial"/>
                <w:spacing w:val="-3"/>
                <w:sz w:val="18"/>
                <w:szCs w:val="18"/>
              </w:rPr>
              <w:t xml:space="preserve">IGNITE- Innovation Grant- New Ideas to Entrepreneurship (grant financing for innovative ideas and business development services for entrepreneurs) </w:t>
            </w:r>
          </w:p>
          <w:p w:rsidR="00D4245F" w:rsidRPr="00D4245F" w:rsidRDefault="00D4245F" w:rsidP="00D4245F">
            <w:pPr>
              <w:spacing w:after="80" w:line="240" w:lineRule="auto"/>
              <w:jc w:val="both"/>
              <w:rPr>
                <w:rFonts w:ascii="Arial" w:hAnsi="Arial" w:cs="Arial"/>
                <w:spacing w:val="-3"/>
                <w:sz w:val="18"/>
                <w:szCs w:val="18"/>
              </w:rPr>
            </w:pPr>
          </w:p>
          <w:p w:rsidR="00D4245F" w:rsidRPr="00D4245F" w:rsidRDefault="00D4245F" w:rsidP="00D4245F">
            <w:pPr>
              <w:spacing w:after="80" w:line="240" w:lineRule="auto"/>
              <w:jc w:val="both"/>
              <w:rPr>
                <w:rFonts w:ascii="Arial" w:hAnsi="Arial" w:cs="Arial"/>
                <w:spacing w:val="-3"/>
                <w:sz w:val="18"/>
                <w:szCs w:val="18"/>
              </w:rPr>
            </w:pPr>
          </w:p>
        </w:tc>
        <w:tc>
          <w:tcPr>
            <w:tcW w:w="4630" w:type="dxa"/>
            <w:tcBorders>
              <w:top w:val="single" w:sz="4" w:space="0" w:color="auto"/>
              <w:left w:val="single" w:sz="4" w:space="0" w:color="auto"/>
              <w:bottom w:val="single" w:sz="4" w:space="0" w:color="auto"/>
              <w:right w:val="single" w:sz="4" w:space="0" w:color="auto"/>
            </w:tcBorders>
            <w:shd w:val="clear" w:color="auto" w:fill="FFFFFF" w:themeFill="background1"/>
          </w:tcPr>
          <w:p w:rsidR="00D4245F" w:rsidRPr="00D4245F" w:rsidRDefault="00D4245F" w:rsidP="00D4245F">
            <w:pPr>
              <w:spacing w:before="60" w:after="0" w:line="240" w:lineRule="auto"/>
              <w:ind w:left="72"/>
              <w:jc w:val="both"/>
              <w:rPr>
                <w:rFonts w:ascii="Arial" w:hAnsi="Arial" w:cs="Arial"/>
                <w:color w:val="000000" w:themeColor="text1"/>
                <w:sz w:val="18"/>
                <w:szCs w:val="18"/>
              </w:rPr>
            </w:pPr>
            <w:r w:rsidRPr="00D4245F">
              <w:rPr>
                <w:rFonts w:ascii="Arial" w:hAnsi="Arial" w:cs="Arial"/>
                <w:color w:val="000000" w:themeColor="text1"/>
                <w:sz w:val="18"/>
                <w:szCs w:val="18"/>
              </w:rPr>
              <w:t xml:space="preserve">Copy of draft Amendment </w:t>
            </w:r>
            <w:r w:rsidRPr="00D4245F">
              <w:rPr>
                <w:rFonts w:ascii="Arial" w:eastAsia="Times New Roman" w:hAnsi="Arial" w:cs="Arial"/>
                <w:color w:val="000000" w:themeColor="text1"/>
                <w:sz w:val="18"/>
                <w:szCs w:val="18"/>
              </w:rPr>
              <w:t>reviewed by the DBJ</w:t>
            </w:r>
            <w:r w:rsidRPr="00D4245F">
              <w:rPr>
                <w:rFonts w:ascii="Arial" w:hAnsi="Arial" w:cs="Arial"/>
                <w:color w:val="000000" w:themeColor="text1"/>
                <w:sz w:val="18"/>
                <w:szCs w:val="18"/>
              </w:rPr>
              <w:t xml:space="preserve"> and </w:t>
            </w:r>
            <w:r w:rsidRPr="00D4245F">
              <w:rPr>
                <w:rFonts w:ascii="Arial" w:eastAsia="Times New Roman" w:hAnsi="Arial" w:cs="Arial"/>
                <w:color w:val="000000" w:themeColor="text1"/>
                <w:sz w:val="18"/>
                <w:szCs w:val="18"/>
              </w:rPr>
              <w:t>the MEF.</w:t>
            </w:r>
          </w:p>
          <w:p w:rsidR="00D4245F" w:rsidRPr="00D4245F" w:rsidRDefault="00D4245F" w:rsidP="00D4245F">
            <w:pPr>
              <w:spacing w:before="60" w:after="0" w:line="240" w:lineRule="auto"/>
              <w:ind w:left="72"/>
              <w:jc w:val="both"/>
              <w:rPr>
                <w:rFonts w:ascii="Arial" w:hAnsi="Arial" w:cs="Arial"/>
                <w:color w:val="000000" w:themeColor="text1"/>
                <w:sz w:val="18"/>
                <w:szCs w:val="18"/>
              </w:rPr>
            </w:pPr>
          </w:p>
          <w:p w:rsidR="00D4245F" w:rsidRPr="00D4245F" w:rsidRDefault="00D4245F" w:rsidP="00D4245F">
            <w:pPr>
              <w:spacing w:before="60" w:after="0" w:line="240" w:lineRule="auto"/>
              <w:ind w:left="72"/>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Venture Capital: Copy of DBJ’s Board of Directors decision determining investment in the Venture Capital Fund  and report on the status of the funds in operation to date.  </w:t>
            </w: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Angel financing: DBJ’s Board of Directors decision allowing DBJ to facilitate Angel Financing and report on the status of the two networks (First Angel Jamaica and Alpha Angels) in operation.</w:t>
            </w: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Copy of the DBJ’s Board of Directors decision approving the Operating Manual for the roll out of the IGNITE- Innovation Grant- New Ideas to Entrepreneurship </w:t>
            </w: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Copy of the IGNITE - Innovation Grant- New Ideas to Entrepreneurship Operating Manual and copy of progress report issued by DBJ with the IGNITE current status. </w:t>
            </w:r>
          </w:p>
          <w:p w:rsidR="00D4245F" w:rsidRPr="00D4245F" w:rsidRDefault="00D4245F" w:rsidP="00D4245F">
            <w:pPr>
              <w:spacing w:before="60" w:after="0" w:line="240" w:lineRule="auto"/>
              <w:jc w:val="both"/>
              <w:rPr>
                <w:rFonts w:ascii="Arial" w:hAnsi="Arial" w:cs="Arial"/>
                <w:color w:val="000000" w:themeColor="text1"/>
                <w:sz w:val="18"/>
                <w:szCs w:val="18"/>
              </w:rPr>
            </w:pPr>
          </w:p>
        </w:tc>
      </w:tr>
      <w:tr w:rsidR="00D4245F" w:rsidRPr="00D4245F" w:rsidTr="00D4245F">
        <w:trPr>
          <w:trHeight w:val="2528"/>
          <w:jc w:val="center"/>
        </w:trPr>
        <w:tc>
          <w:tcPr>
            <w:tcW w:w="3391" w:type="dxa"/>
            <w:tcBorders>
              <w:top w:val="single" w:sz="4" w:space="0" w:color="auto"/>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hAnsi="Arial" w:cs="Arial"/>
                <w:b/>
                <w:sz w:val="18"/>
                <w:szCs w:val="18"/>
              </w:rPr>
            </w:pPr>
            <w:r w:rsidRPr="00D4245F">
              <w:rPr>
                <w:rFonts w:ascii="Arial" w:hAnsi="Arial" w:cs="Arial"/>
                <w:b/>
                <w:sz w:val="18"/>
                <w:szCs w:val="18"/>
              </w:rPr>
              <w:t xml:space="preserve">Improving legal rights of creditors and contract enforcement </w:t>
            </w:r>
          </w:p>
        </w:tc>
        <w:tc>
          <w:tcPr>
            <w:tcW w:w="4410" w:type="dxa"/>
            <w:tcBorders>
              <w:top w:val="single" w:sz="4" w:space="0" w:color="auto"/>
              <w:bottom w:val="single" w:sz="4" w:space="0" w:color="auto"/>
              <w:right w:val="single" w:sz="4" w:space="0" w:color="auto"/>
            </w:tcBorders>
            <w:shd w:val="clear" w:color="auto" w:fill="FFFFFF" w:themeFill="background1"/>
          </w:tcPr>
          <w:p w:rsidR="00D4245F" w:rsidRPr="00D4245F" w:rsidRDefault="00D4245F" w:rsidP="00D4245F">
            <w:pPr>
              <w:spacing w:after="80" w:line="240" w:lineRule="auto"/>
              <w:jc w:val="both"/>
              <w:rPr>
                <w:rFonts w:ascii="Arial" w:hAnsi="Arial" w:cs="Arial"/>
                <w:spacing w:val="-3"/>
                <w:sz w:val="18"/>
                <w:szCs w:val="18"/>
              </w:rPr>
            </w:pPr>
            <w:r w:rsidRPr="00D4245F">
              <w:rPr>
                <w:rFonts w:ascii="Arial" w:hAnsi="Arial" w:cs="Arial"/>
                <w:spacing w:val="-3"/>
                <w:sz w:val="18"/>
                <w:szCs w:val="18"/>
              </w:rPr>
              <w:t xml:space="preserve">Improve usage of Secured Interest in Personal Property (SIPPA) framework to enhance credit access by SMEs by developing an action plan to increase the use of SIPPA collaterals, including manners to improve the secondary market and proposal to amend the regulatory guidelines. </w:t>
            </w:r>
          </w:p>
          <w:p w:rsidR="00D4245F" w:rsidRPr="00D4245F" w:rsidRDefault="00D4245F" w:rsidP="00D4245F">
            <w:pPr>
              <w:spacing w:after="80" w:line="240" w:lineRule="auto"/>
              <w:jc w:val="both"/>
              <w:rPr>
                <w:rFonts w:ascii="Arial" w:hAnsi="Arial" w:cs="Arial"/>
                <w:spacing w:val="-3"/>
                <w:sz w:val="18"/>
                <w:szCs w:val="18"/>
              </w:rPr>
            </w:pPr>
          </w:p>
          <w:p w:rsidR="00D4245F" w:rsidRPr="00D4245F" w:rsidRDefault="00D4245F" w:rsidP="00D4245F">
            <w:pPr>
              <w:spacing w:after="80" w:line="240" w:lineRule="auto"/>
              <w:jc w:val="both"/>
              <w:rPr>
                <w:rFonts w:ascii="Arial" w:hAnsi="Arial" w:cs="Arial"/>
                <w:spacing w:val="-3"/>
                <w:sz w:val="18"/>
                <w:szCs w:val="18"/>
              </w:rPr>
            </w:pPr>
            <w:r w:rsidRPr="00D4245F">
              <w:rPr>
                <w:rFonts w:ascii="Arial" w:hAnsi="Arial" w:cs="Arial"/>
                <w:spacing w:val="-3"/>
                <w:sz w:val="18"/>
                <w:szCs w:val="18"/>
              </w:rPr>
              <w:t xml:space="preserve">Enhance creditor’s legal rights by promoting the implementation of the Insolvency Act including: (i) operationalization of the Office of Supervisor of Insolvency; and (ii) </w:t>
            </w:r>
            <w:r w:rsidRPr="00D4245F">
              <w:rPr>
                <w:rFonts w:ascii="Arial" w:hAnsi="Arial" w:cs="Arial"/>
                <w:sz w:val="18"/>
                <w:szCs w:val="18"/>
              </w:rPr>
              <w:t>training and awareness campaign initiated to sensitize the public on the new insolvency regime</w:t>
            </w:r>
            <w:r w:rsidRPr="00D4245F">
              <w:rPr>
                <w:rFonts w:ascii="Arial" w:hAnsi="Arial" w:cs="Arial"/>
                <w:spacing w:val="-3"/>
                <w:sz w:val="18"/>
                <w:szCs w:val="18"/>
              </w:rPr>
              <w:t>.</w:t>
            </w:r>
          </w:p>
          <w:p w:rsidR="00D4245F" w:rsidRPr="00D4245F" w:rsidRDefault="00D4245F" w:rsidP="00D4245F">
            <w:pPr>
              <w:spacing w:after="80" w:line="240" w:lineRule="auto"/>
              <w:jc w:val="both"/>
              <w:rPr>
                <w:rFonts w:ascii="Arial" w:hAnsi="Arial" w:cs="Arial"/>
                <w:spacing w:val="-3"/>
                <w:sz w:val="18"/>
                <w:szCs w:val="18"/>
              </w:rPr>
            </w:pPr>
          </w:p>
          <w:p w:rsidR="00D4245F" w:rsidRPr="00D4245F" w:rsidRDefault="00D4245F" w:rsidP="00D4245F">
            <w:pPr>
              <w:spacing w:after="80" w:line="240" w:lineRule="auto"/>
              <w:jc w:val="both"/>
              <w:rPr>
                <w:rFonts w:ascii="Arial" w:hAnsi="Arial" w:cs="Arial"/>
                <w:spacing w:val="-3"/>
                <w:sz w:val="18"/>
                <w:szCs w:val="18"/>
              </w:rPr>
            </w:pPr>
          </w:p>
          <w:p w:rsidR="00D4245F" w:rsidRPr="00D4245F" w:rsidRDefault="00D4245F" w:rsidP="00D4245F">
            <w:pPr>
              <w:spacing w:after="80" w:line="240" w:lineRule="auto"/>
              <w:jc w:val="both"/>
              <w:rPr>
                <w:rFonts w:ascii="Arial" w:hAnsi="Arial" w:cs="Arial"/>
                <w:spacing w:val="-3"/>
                <w:sz w:val="18"/>
                <w:szCs w:val="18"/>
              </w:rPr>
            </w:pPr>
          </w:p>
          <w:p w:rsidR="00D4245F" w:rsidRPr="00D4245F" w:rsidRDefault="00D4245F" w:rsidP="00D4245F">
            <w:pPr>
              <w:spacing w:after="80" w:line="240" w:lineRule="auto"/>
              <w:jc w:val="both"/>
              <w:rPr>
                <w:rFonts w:ascii="Arial" w:hAnsi="Arial" w:cs="Arial"/>
                <w:spacing w:val="-3"/>
                <w:sz w:val="18"/>
                <w:szCs w:val="18"/>
              </w:rPr>
            </w:pPr>
          </w:p>
          <w:p w:rsidR="00D4245F" w:rsidRPr="00D4245F" w:rsidRDefault="00D4245F" w:rsidP="00D4245F">
            <w:pPr>
              <w:spacing w:after="80" w:line="240" w:lineRule="auto"/>
              <w:jc w:val="both"/>
              <w:rPr>
                <w:rFonts w:ascii="Arial" w:hAnsi="Arial" w:cs="Arial"/>
                <w:spacing w:val="-3"/>
                <w:sz w:val="18"/>
                <w:szCs w:val="18"/>
              </w:rPr>
            </w:pPr>
          </w:p>
          <w:p w:rsidR="00D4245F" w:rsidRPr="00D4245F" w:rsidRDefault="00D4245F" w:rsidP="00D4245F">
            <w:pPr>
              <w:spacing w:after="80" w:line="240" w:lineRule="auto"/>
              <w:jc w:val="both"/>
              <w:rPr>
                <w:rFonts w:ascii="Arial" w:hAnsi="Arial" w:cs="Arial"/>
                <w:spacing w:val="-3"/>
                <w:sz w:val="18"/>
                <w:szCs w:val="18"/>
              </w:rPr>
            </w:pPr>
          </w:p>
          <w:p w:rsidR="00D4245F" w:rsidRPr="00D4245F" w:rsidRDefault="00D4245F" w:rsidP="00D4245F">
            <w:pPr>
              <w:spacing w:after="80" w:line="240" w:lineRule="auto"/>
              <w:jc w:val="both"/>
              <w:rPr>
                <w:rFonts w:ascii="Arial" w:hAnsi="Arial" w:cs="Arial"/>
                <w:spacing w:val="-3"/>
                <w:sz w:val="18"/>
                <w:szCs w:val="18"/>
              </w:rPr>
            </w:pPr>
            <w:r w:rsidRPr="00D4245F">
              <w:rPr>
                <w:rFonts w:ascii="Arial" w:hAnsi="Arial" w:cs="Arial"/>
                <w:spacing w:val="-3"/>
                <w:sz w:val="18"/>
                <w:szCs w:val="18"/>
              </w:rPr>
              <w:t xml:space="preserve">Expedite conflict resolution for commercial disputes and reduce the backlog of commercial judicial cases by drafting amendments to </w:t>
            </w:r>
            <w:r w:rsidRPr="00D4245F">
              <w:rPr>
                <w:rFonts w:ascii="Arial" w:hAnsi="Arial" w:cs="Arial"/>
                <w:color w:val="000000" w:themeColor="text1"/>
                <w:kern w:val="24"/>
                <w:sz w:val="18"/>
                <w:szCs w:val="18"/>
              </w:rPr>
              <w:t>the Resident Magistrates’ Courts rule</w:t>
            </w:r>
            <w:r w:rsidRPr="00D4245F">
              <w:rPr>
                <w:rFonts w:ascii="Arial" w:hAnsi="Arial" w:cs="Arial"/>
                <w:sz w:val="18"/>
                <w:szCs w:val="18"/>
              </w:rPr>
              <w:t xml:space="preserve">, including mandatory mediation for commercial claims over five hundred thousand Jamaican dollars </w:t>
            </w:r>
          </w:p>
          <w:p w:rsidR="00D4245F" w:rsidRPr="00D4245F" w:rsidRDefault="00D4245F" w:rsidP="00D4245F">
            <w:pPr>
              <w:spacing w:after="80" w:line="240" w:lineRule="auto"/>
              <w:jc w:val="both"/>
              <w:rPr>
                <w:rFonts w:ascii="Arial" w:hAnsi="Arial" w:cs="Arial"/>
                <w:color w:val="000000" w:themeColor="text1"/>
                <w:sz w:val="18"/>
                <w:szCs w:val="18"/>
              </w:rPr>
            </w:pPr>
          </w:p>
        </w:tc>
        <w:tc>
          <w:tcPr>
            <w:tcW w:w="4630" w:type="dxa"/>
            <w:tcBorders>
              <w:top w:val="single" w:sz="4" w:space="0" w:color="auto"/>
              <w:left w:val="single" w:sz="4" w:space="0" w:color="auto"/>
              <w:bottom w:val="single" w:sz="4" w:space="0" w:color="auto"/>
              <w:right w:val="single" w:sz="4" w:space="0" w:color="auto"/>
            </w:tcBorders>
            <w:shd w:val="clear" w:color="auto" w:fill="FFFFFF" w:themeFill="background1"/>
          </w:tcPr>
          <w:p w:rsidR="00D4245F" w:rsidRPr="00D4245F" w:rsidRDefault="00D4245F" w:rsidP="00D4245F">
            <w:pPr>
              <w:spacing w:before="60" w:after="0" w:line="240" w:lineRule="auto"/>
              <w:jc w:val="both"/>
              <w:rPr>
                <w:rFonts w:ascii="Arial" w:eastAsia="Times New Roman" w:hAnsi="Arial" w:cs="Arial"/>
                <w:color w:val="000000" w:themeColor="text1"/>
                <w:sz w:val="18"/>
                <w:szCs w:val="18"/>
                <w:highlight w:val="green"/>
              </w:rPr>
            </w:pPr>
            <w:r w:rsidRPr="00D4245F">
              <w:rPr>
                <w:rFonts w:ascii="Arial" w:eastAsia="Times New Roman" w:hAnsi="Arial" w:cs="Arial"/>
                <w:color w:val="000000" w:themeColor="text1"/>
                <w:sz w:val="18"/>
                <w:szCs w:val="18"/>
              </w:rPr>
              <w:t xml:space="preserve">Copy of the action plan drafted by MIIC to improve the use of SIPPA collaterals.  </w:t>
            </w:r>
          </w:p>
          <w:p w:rsidR="00D4245F" w:rsidRPr="00D4245F" w:rsidRDefault="00D4245F" w:rsidP="00D4245F">
            <w:pPr>
              <w:spacing w:before="60" w:after="0" w:line="240" w:lineRule="auto"/>
              <w:ind w:left="72"/>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ind w:left="72"/>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ind w:left="72"/>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ind w:left="72"/>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(i) Copy of report sent by the Ministry of Industry, Investment and Commerce (MIIC) demonstrating that the Office of Supervisor of Insolvency has been operationalized. (ii) Copy of training plan drafted by MIIC and attendance list confirming that seminars have taken place to sensitize the public on the new insolvency regime. </w:t>
            </w:r>
          </w:p>
          <w:p w:rsidR="00D4245F" w:rsidRPr="00D4245F" w:rsidRDefault="00D4245F" w:rsidP="00D4245F">
            <w:pPr>
              <w:spacing w:before="60" w:after="0" w:line="240" w:lineRule="auto"/>
              <w:ind w:left="72"/>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ind w:left="72"/>
              <w:jc w:val="both"/>
              <w:rPr>
                <w:rFonts w:ascii="Arial" w:hAnsi="Arial" w:cs="Arial"/>
                <w:color w:val="000000" w:themeColor="text1"/>
                <w:kern w:val="24"/>
                <w:sz w:val="18"/>
                <w:szCs w:val="18"/>
              </w:rPr>
            </w:pPr>
            <w:r w:rsidRPr="00D4245F">
              <w:rPr>
                <w:rFonts w:ascii="Arial" w:hAnsi="Arial" w:cs="Arial"/>
                <w:color w:val="000000" w:themeColor="text1"/>
                <w:kern w:val="24"/>
                <w:sz w:val="18"/>
                <w:szCs w:val="18"/>
              </w:rPr>
              <w:t xml:space="preserve">Copy of draft order of the Resident Magistrates’ Courts rule sent to Office of the Parliamentary Counsel by the Ministry of Justice. </w:t>
            </w:r>
          </w:p>
          <w:p w:rsidR="00D4245F" w:rsidRPr="00D4245F" w:rsidRDefault="00D4245F" w:rsidP="00D4245F">
            <w:pPr>
              <w:spacing w:before="60" w:after="0" w:line="240" w:lineRule="auto"/>
              <w:ind w:left="72"/>
              <w:jc w:val="both"/>
              <w:rPr>
                <w:rFonts w:ascii="Arial" w:hAnsi="Arial" w:cs="Arial"/>
                <w:color w:val="000000" w:themeColor="text1"/>
                <w:kern w:val="24"/>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tc>
      </w:tr>
      <w:tr w:rsidR="00D4245F" w:rsidRPr="00D4245F" w:rsidTr="00D4245F">
        <w:tblPrEx>
          <w:shd w:val="clear" w:color="auto" w:fill="auto"/>
        </w:tblPrEx>
        <w:trPr>
          <w:trHeight w:val="1215"/>
          <w:jc w:val="center"/>
        </w:trPr>
        <w:tc>
          <w:tcPr>
            <w:tcW w:w="3391" w:type="dxa"/>
            <w:tcBorders>
              <w:top w:val="single" w:sz="4" w:space="0" w:color="auto"/>
              <w:bottom w:val="single" w:sz="4" w:space="0" w:color="auto"/>
            </w:tcBorders>
            <w:shd w:val="clear" w:color="auto" w:fill="FFFFFF" w:themeFill="background1"/>
          </w:tcPr>
          <w:p w:rsidR="00D4245F" w:rsidRPr="00D4245F" w:rsidRDefault="00D4245F" w:rsidP="00D4245F">
            <w:pPr>
              <w:spacing w:before="60" w:after="0" w:line="240" w:lineRule="auto"/>
              <w:jc w:val="both"/>
              <w:rPr>
                <w:rFonts w:ascii="Arial" w:hAnsi="Arial" w:cs="Arial"/>
                <w:b/>
                <w:sz w:val="18"/>
                <w:szCs w:val="18"/>
              </w:rPr>
            </w:pPr>
            <w:r w:rsidRPr="00D4245F">
              <w:rPr>
                <w:rFonts w:ascii="Arial" w:hAnsi="Arial" w:cs="Arial"/>
                <w:b/>
                <w:sz w:val="18"/>
                <w:szCs w:val="18"/>
              </w:rPr>
              <w:t>Reducing the cost and time of Doing Business</w:t>
            </w:r>
          </w:p>
        </w:tc>
        <w:tc>
          <w:tcPr>
            <w:tcW w:w="4410" w:type="dxa"/>
            <w:tcBorders>
              <w:top w:val="single" w:sz="4" w:space="0" w:color="auto"/>
              <w:right w:val="single" w:sz="4" w:space="0" w:color="auto"/>
            </w:tcBorders>
            <w:shd w:val="clear" w:color="auto" w:fill="FFFFFF" w:themeFill="background1"/>
          </w:tcPr>
          <w:p w:rsidR="00D4245F" w:rsidRPr="00D4245F" w:rsidRDefault="00D4245F" w:rsidP="00D4245F">
            <w:pPr>
              <w:spacing w:before="60" w:after="0" w:line="240" w:lineRule="auto"/>
              <w:jc w:val="both"/>
              <w:rPr>
                <w:rFonts w:ascii="Arial" w:hAnsi="Arial" w:cs="Arial"/>
                <w:color w:val="000000" w:themeColor="text1"/>
                <w:sz w:val="18"/>
                <w:szCs w:val="18"/>
              </w:rPr>
            </w:pPr>
            <w:r w:rsidRPr="00D4245F">
              <w:rPr>
                <w:rFonts w:ascii="Arial" w:hAnsi="Arial" w:cs="Arial"/>
                <w:color w:val="000000" w:themeColor="text1"/>
                <w:sz w:val="18"/>
                <w:szCs w:val="18"/>
              </w:rPr>
              <w:t xml:space="preserve">Reduce the time and cost of obtaining a construction permit by simplifying the procedures for its approval  through the amendments of </w:t>
            </w:r>
            <w:r w:rsidRPr="00D4245F">
              <w:rPr>
                <w:rFonts w:ascii="Arial" w:eastAsia="Times New Roman" w:hAnsi="Arial" w:cs="Arial"/>
                <w:color w:val="000000" w:themeColor="text1"/>
                <w:sz w:val="18"/>
                <w:szCs w:val="18"/>
              </w:rPr>
              <w:t xml:space="preserve">the National Building Act and the Town and Country Planning Act. </w:t>
            </w: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r w:rsidRPr="00D4245F">
              <w:rPr>
                <w:rFonts w:ascii="Arial" w:hAnsi="Arial" w:cs="Arial"/>
                <w:color w:val="000000" w:themeColor="text1"/>
                <w:sz w:val="18"/>
                <w:szCs w:val="18"/>
              </w:rPr>
              <w:t xml:space="preserve">Reduce the time and cost of registering a business by simplifying the business registration and incorporation procedures, including: </w:t>
            </w:r>
          </w:p>
          <w:p w:rsidR="00D4245F" w:rsidRPr="00D4245F" w:rsidRDefault="00D4245F" w:rsidP="00D4245F">
            <w:pPr>
              <w:pStyle w:val="ListParagraph"/>
              <w:numPr>
                <w:ilvl w:val="0"/>
                <w:numId w:val="22"/>
              </w:numPr>
              <w:spacing w:before="60" w:after="0" w:line="240" w:lineRule="auto"/>
              <w:ind w:left="432" w:hanging="450"/>
              <w:jc w:val="both"/>
              <w:rPr>
                <w:rFonts w:ascii="Arial" w:hAnsi="Arial" w:cs="Arial"/>
                <w:sz w:val="18"/>
                <w:szCs w:val="18"/>
              </w:rPr>
            </w:pPr>
            <w:r w:rsidRPr="00D4245F">
              <w:rPr>
                <w:rFonts w:ascii="Arial" w:hAnsi="Arial" w:cs="Arial"/>
                <w:color w:val="000000" w:themeColor="text1"/>
                <w:sz w:val="18"/>
                <w:szCs w:val="18"/>
              </w:rPr>
              <w:t xml:space="preserve">amendment of </w:t>
            </w:r>
            <w:r w:rsidRPr="00D4245F">
              <w:rPr>
                <w:rFonts w:ascii="Arial" w:hAnsi="Arial" w:cs="Arial"/>
                <w:sz w:val="18"/>
                <w:szCs w:val="18"/>
              </w:rPr>
              <w:t xml:space="preserve">the Companies Act to allow mandatory search for business names. </w:t>
            </w:r>
          </w:p>
          <w:p w:rsidR="00D4245F" w:rsidRPr="00D4245F" w:rsidRDefault="00D4245F" w:rsidP="00D4245F">
            <w:pPr>
              <w:pStyle w:val="ListParagraph"/>
              <w:numPr>
                <w:ilvl w:val="0"/>
                <w:numId w:val="22"/>
              </w:numPr>
              <w:ind w:left="432" w:hanging="450"/>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Rolling out of Phase I of electronic business forms (electronic registration of business names), </w:t>
            </w:r>
          </w:p>
          <w:p w:rsidR="00D4245F" w:rsidRPr="00D4245F" w:rsidRDefault="00D4245F" w:rsidP="00D4245F">
            <w:pPr>
              <w:pStyle w:val="ListParagraph"/>
              <w:numPr>
                <w:ilvl w:val="0"/>
                <w:numId w:val="22"/>
              </w:numPr>
              <w:ind w:left="432" w:hanging="450"/>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Initiating a training and Awareness Campaign for electronic business registration </w:t>
            </w:r>
          </w:p>
        </w:tc>
        <w:tc>
          <w:tcPr>
            <w:tcW w:w="4630" w:type="dxa"/>
            <w:tcBorders>
              <w:top w:val="single" w:sz="4" w:space="0" w:color="auto"/>
              <w:left w:val="single" w:sz="4" w:space="0" w:color="auto"/>
              <w:right w:val="single" w:sz="4" w:space="0" w:color="auto"/>
            </w:tcBorders>
            <w:shd w:val="clear" w:color="auto" w:fill="FFFFFF" w:themeFill="background1"/>
          </w:tcPr>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Letter from Ministry of Local Government and Community Development confirming that the drafting instructions to amend the National Building Act and the Town and Country Planning Act, simplifying the procedure for approval of construction permits, were submitted to the Chief Parliamentary Council (CPC).</w:t>
            </w: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r w:rsidRPr="00D4245F">
              <w:rPr>
                <w:rFonts w:ascii="Arial" w:eastAsia="Times New Roman" w:hAnsi="Arial" w:cs="Arial"/>
                <w:color w:val="000000" w:themeColor="text1"/>
                <w:sz w:val="18"/>
                <w:szCs w:val="18"/>
              </w:rPr>
              <w:t xml:space="preserve">Copy of presentation with the proposed amendments to the Town and Country Planning Act made by the Ministry of Local Government and Community Development to local planning authorities for consultation.  </w:t>
            </w: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(i) Copy of Draft Bill amending the Companies Act to allow mandatory search for business names sent to Chief Parliamentary Council incorporating comments from MIIC. </w:t>
            </w: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(ii) Copy of report from the project manager of the Company’s Office, demonstrating that the online filing process for business names has been implemented. </w:t>
            </w: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(iii) Copy of training plan for business registration drafted by the Company’s Office. </w:t>
            </w: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r w:rsidRPr="00D4245F">
              <w:rPr>
                <w:rFonts w:ascii="Arial" w:eastAsia="Times New Roman" w:hAnsi="Arial" w:cs="Arial"/>
                <w:color w:val="000000" w:themeColor="text1"/>
                <w:sz w:val="18"/>
                <w:szCs w:val="18"/>
              </w:rPr>
              <w:t xml:space="preserve">(iv) Copy of the material related to the awareness campaign for business registration submitted by the Company’s Office. </w:t>
            </w:r>
          </w:p>
          <w:p w:rsidR="00D4245F" w:rsidRPr="00D4245F" w:rsidRDefault="00D4245F" w:rsidP="00D4245F">
            <w:pPr>
              <w:spacing w:before="60" w:after="0" w:line="240" w:lineRule="auto"/>
              <w:jc w:val="both"/>
              <w:rPr>
                <w:rFonts w:ascii="Arial" w:eastAsia="Times New Roman" w:hAnsi="Arial" w:cs="Arial"/>
                <w:color w:val="000000" w:themeColor="text1"/>
                <w:sz w:val="18"/>
                <w:szCs w:val="18"/>
              </w:rPr>
            </w:pPr>
          </w:p>
          <w:p w:rsidR="00D4245F" w:rsidRPr="00D4245F" w:rsidRDefault="00D4245F" w:rsidP="00D4245F">
            <w:pPr>
              <w:spacing w:before="60" w:after="0" w:line="240" w:lineRule="auto"/>
              <w:jc w:val="both"/>
              <w:rPr>
                <w:rFonts w:ascii="Arial" w:hAnsi="Arial" w:cs="Arial"/>
                <w:color w:val="000000" w:themeColor="text1"/>
                <w:sz w:val="18"/>
                <w:szCs w:val="18"/>
              </w:rPr>
            </w:pPr>
          </w:p>
        </w:tc>
      </w:tr>
    </w:tbl>
    <w:p w:rsidR="00FC2F62" w:rsidRPr="00D4245F" w:rsidRDefault="00FC2F62" w:rsidP="00D4245F">
      <w:pPr>
        <w:jc w:val="both"/>
        <w:rPr>
          <w:rFonts w:ascii="Arial" w:hAnsi="Arial" w:cs="Arial"/>
          <w:sz w:val="18"/>
          <w:szCs w:val="18"/>
        </w:rPr>
      </w:pPr>
    </w:p>
    <w:sectPr w:rsidR="00FC2F62" w:rsidRPr="00D4245F" w:rsidSect="00434953">
      <w:headerReference w:type="default" r:id="rId9"/>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FB" w:rsidRDefault="003E40FB" w:rsidP="002774FF">
      <w:pPr>
        <w:spacing w:after="0" w:line="240" w:lineRule="auto"/>
      </w:pPr>
      <w:r>
        <w:separator/>
      </w:r>
    </w:p>
  </w:endnote>
  <w:endnote w:type="continuationSeparator" w:id="0">
    <w:p w:rsidR="003E40FB" w:rsidRDefault="003E40FB" w:rsidP="002774FF">
      <w:pPr>
        <w:spacing w:after="0" w:line="240" w:lineRule="auto"/>
      </w:pPr>
      <w:r>
        <w:continuationSeparator/>
      </w:r>
    </w:p>
  </w:endnote>
  <w:endnote w:type="continuationNotice" w:id="1">
    <w:p w:rsidR="003E40FB" w:rsidRDefault="003E4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FB" w:rsidRDefault="003E40FB" w:rsidP="002774FF">
      <w:pPr>
        <w:spacing w:after="0" w:line="240" w:lineRule="auto"/>
      </w:pPr>
      <w:r>
        <w:separator/>
      </w:r>
    </w:p>
  </w:footnote>
  <w:footnote w:type="continuationSeparator" w:id="0">
    <w:p w:rsidR="003E40FB" w:rsidRDefault="003E40FB" w:rsidP="002774FF">
      <w:pPr>
        <w:spacing w:after="0" w:line="240" w:lineRule="auto"/>
      </w:pPr>
      <w:r>
        <w:continuationSeparator/>
      </w:r>
    </w:p>
  </w:footnote>
  <w:footnote w:type="continuationNotice" w:id="1">
    <w:p w:rsidR="003E40FB" w:rsidRDefault="003E40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168209085"/>
      <w:docPartObj>
        <w:docPartGallery w:val="Page Numbers (Top of Page)"/>
        <w:docPartUnique/>
      </w:docPartObj>
    </w:sdtPr>
    <w:sdtEndPr>
      <w:rPr>
        <w:b/>
      </w:rPr>
    </w:sdtEndPr>
    <w:sdtContent>
      <w:p w:rsidR="00FE6BB7" w:rsidRPr="002774FF" w:rsidRDefault="00FE6BB7" w:rsidP="002774FF">
        <w:pPr>
          <w:pStyle w:val="Header"/>
          <w:jc w:val="right"/>
          <w:rPr>
            <w:rFonts w:ascii="Arial" w:hAnsi="Arial" w:cs="Arial"/>
            <w:b/>
            <w:sz w:val="18"/>
            <w:szCs w:val="18"/>
            <w:lang w:val="fr-FR"/>
          </w:rPr>
        </w:pPr>
        <w:r w:rsidRPr="002774FF">
          <w:rPr>
            <w:rFonts w:ascii="Arial" w:hAnsi="Arial" w:cs="Arial"/>
            <w:b/>
            <w:sz w:val="18"/>
            <w:szCs w:val="18"/>
            <w:lang w:val="fr-FR"/>
          </w:rPr>
          <w:t>Appendix III – JA-L1058</w:t>
        </w:r>
      </w:p>
      <w:p w:rsidR="00FE6BB7" w:rsidRPr="002774FF" w:rsidRDefault="00FE6BB7" w:rsidP="002774FF">
        <w:pPr>
          <w:pStyle w:val="Header"/>
          <w:jc w:val="right"/>
          <w:rPr>
            <w:rFonts w:ascii="Arial" w:hAnsi="Arial" w:cs="Arial"/>
            <w:b/>
            <w:sz w:val="18"/>
            <w:szCs w:val="18"/>
            <w:lang w:val="fr-FR"/>
          </w:rPr>
        </w:pPr>
        <w:r w:rsidRPr="002774FF">
          <w:rPr>
            <w:rFonts w:ascii="Arial" w:hAnsi="Arial" w:cs="Arial"/>
            <w:b/>
            <w:sz w:val="18"/>
            <w:szCs w:val="18"/>
            <w:lang w:val="fr-FR"/>
          </w:rPr>
          <w:t xml:space="preserve">Page </w:t>
        </w:r>
        <w:r w:rsidRPr="002774FF">
          <w:rPr>
            <w:rFonts w:ascii="Arial" w:hAnsi="Arial" w:cs="Arial"/>
            <w:b/>
            <w:bCs/>
            <w:sz w:val="18"/>
            <w:szCs w:val="18"/>
          </w:rPr>
          <w:fldChar w:fldCharType="begin"/>
        </w:r>
        <w:r w:rsidRPr="002774FF">
          <w:rPr>
            <w:rFonts w:ascii="Arial" w:hAnsi="Arial" w:cs="Arial"/>
            <w:b/>
            <w:bCs/>
            <w:sz w:val="18"/>
            <w:szCs w:val="18"/>
            <w:lang w:val="fr-FR"/>
          </w:rPr>
          <w:instrText xml:space="preserve"> PAGE </w:instrText>
        </w:r>
        <w:r w:rsidRPr="002774FF">
          <w:rPr>
            <w:rFonts w:ascii="Arial" w:hAnsi="Arial" w:cs="Arial"/>
            <w:b/>
            <w:bCs/>
            <w:sz w:val="18"/>
            <w:szCs w:val="18"/>
          </w:rPr>
          <w:fldChar w:fldCharType="separate"/>
        </w:r>
        <w:r w:rsidR="00D4245F">
          <w:rPr>
            <w:rFonts w:ascii="Arial" w:hAnsi="Arial" w:cs="Arial"/>
            <w:b/>
            <w:bCs/>
            <w:noProof/>
            <w:sz w:val="18"/>
            <w:szCs w:val="18"/>
            <w:lang w:val="fr-FR"/>
          </w:rPr>
          <w:t>1</w:t>
        </w:r>
        <w:r w:rsidRPr="002774FF">
          <w:rPr>
            <w:rFonts w:ascii="Arial" w:hAnsi="Arial" w:cs="Arial"/>
            <w:b/>
            <w:bCs/>
            <w:sz w:val="18"/>
            <w:szCs w:val="18"/>
          </w:rPr>
          <w:fldChar w:fldCharType="end"/>
        </w:r>
        <w:r w:rsidRPr="002774FF">
          <w:rPr>
            <w:rFonts w:ascii="Arial" w:hAnsi="Arial" w:cs="Arial"/>
            <w:b/>
            <w:sz w:val="18"/>
            <w:szCs w:val="18"/>
            <w:lang w:val="fr-FR"/>
          </w:rPr>
          <w:t xml:space="preserve"> of </w:t>
        </w:r>
        <w:r w:rsidRPr="002774FF">
          <w:rPr>
            <w:rFonts w:ascii="Arial" w:hAnsi="Arial" w:cs="Arial"/>
            <w:b/>
            <w:bCs/>
            <w:sz w:val="18"/>
            <w:szCs w:val="18"/>
          </w:rPr>
          <w:fldChar w:fldCharType="begin"/>
        </w:r>
        <w:r w:rsidRPr="002774FF">
          <w:rPr>
            <w:rFonts w:ascii="Arial" w:hAnsi="Arial" w:cs="Arial"/>
            <w:b/>
            <w:bCs/>
            <w:sz w:val="18"/>
            <w:szCs w:val="18"/>
            <w:lang w:val="fr-FR"/>
          </w:rPr>
          <w:instrText xml:space="preserve"> NUMPAGES  </w:instrText>
        </w:r>
        <w:r w:rsidRPr="002774FF">
          <w:rPr>
            <w:rFonts w:ascii="Arial" w:hAnsi="Arial" w:cs="Arial"/>
            <w:b/>
            <w:bCs/>
            <w:sz w:val="18"/>
            <w:szCs w:val="18"/>
          </w:rPr>
          <w:fldChar w:fldCharType="separate"/>
        </w:r>
        <w:r w:rsidR="00D4245F">
          <w:rPr>
            <w:rFonts w:ascii="Arial" w:hAnsi="Arial" w:cs="Arial"/>
            <w:b/>
            <w:bCs/>
            <w:noProof/>
            <w:sz w:val="18"/>
            <w:szCs w:val="18"/>
            <w:lang w:val="fr-FR"/>
          </w:rPr>
          <w:t>6</w:t>
        </w:r>
        <w:r w:rsidRPr="002774FF">
          <w:rPr>
            <w:rFonts w:ascii="Arial" w:hAnsi="Arial" w:cs="Arial"/>
            <w:b/>
            <w:bCs/>
            <w:sz w:val="18"/>
            <w:szCs w:val="18"/>
          </w:rPr>
          <w:fldChar w:fldCharType="end"/>
        </w:r>
      </w:p>
    </w:sdtContent>
  </w:sdt>
  <w:p w:rsidR="00FE6BB7" w:rsidRPr="002774FF" w:rsidRDefault="00FE6BB7" w:rsidP="002774FF">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712"/>
    <w:multiLevelType w:val="hybridMultilevel"/>
    <w:tmpl w:val="2A8E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A344F"/>
    <w:multiLevelType w:val="hybridMultilevel"/>
    <w:tmpl w:val="27DE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76F2E"/>
    <w:multiLevelType w:val="hybridMultilevel"/>
    <w:tmpl w:val="59E89E54"/>
    <w:lvl w:ilvl="0" w:tplc="2676F7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E4E38"/>
    <w:multiLevelType w:val="hybridMultilevel"/>
    <w:tmpl w:val="51F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023C3"/>
    <w:multiLevelType w:val="hybridMultilevel"/>
    <w:tmpl w:val="683654B6"/>
    <w:lvl w:ilvl="0" w:tplc="633C8B24">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22663"/>
    <w:multiLevelType w:val="hybridMultilevel"/>
    <w:tmpl w:val="EE1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F13AD"/>
    <w:multiLevelType w:val="hybridMultilevel"/>
    <w:tmpl w:val="8542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575A5"/>
    <w:multiLevelType w:val="hybridMultilevel"/>
    <w:tmpl w:val="97B2FA38"/>
    <w:lvl w:ilvl="0" w:tplc="100AC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77782"/>
    <w:multiLevelType w:val="hybridMultilevel"/>
    <w:tmpl w:val="FAC039F0"/>
    <w:lvl w:ilvl="0" w:tplc="3E12C5C6">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B4ECD"/>
    <w:multiLevelType w:val="hybridMultilevel"/>
    <w:tmpl w:val="B7BC4BD4"/>
    <w:lvl w:ilvl="0" w:tplc="AC8276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426F6"/>
    <w:multiLevelType w:val="hybridMultilevel"/>
    <w:tmpl w:val="98962B86"/>
    <w:lvl w:ilvl="0" w:tplc="73586B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1010E"/>
    <w:multiLevelType w:val="hybridMultilevel"/>
    <w:tmpl w:val="6128A694"/>
    <w:lvl w:ilvl="0" w:tplc="DC90F9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21826"/>
    <w:multiLevelType w:val="hybridMultilevel"/>
    <w:tmpl w:val="6E6C8A94"/>
    <w:lvl w:ilvl="0" w:tplc="89947AB2">
      <w:start w:val="1"/>
      <w:numFmt w:val="lowerLetter"/>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3">
    <w:nsid w:val="41147031"/>
    <w:multiLevelType w:val="hybridMultilevel"/>
    <w:tmpl w:val="394A2EB8"/>
    <w:lvl w:ilvl="0" w:tplc="E24C41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A3464"/>
    <w:multiLevelType w:val="hybridMultilevel"/>
    <w:tmpl w:val="EF24C720"/>
    <w:lvl w:ilvl="0" w:tplc="777AE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3043D"/>
    <w:multiLevelType w:val="hybridMultilevel"/>
    <w:tmpl w:val="6A48D0D4"/>
    <w:lvl w:ilvl="0" w:tplc="06A65F9C">
      <w:start w:val="1"/>
      <w:numFmt w:val="bullet"/>
      <w:pStyle w:val="bull2"/>
      <w:lvlText w:val=""/>
      <w:lvlJc w:val="left"/>
      <w:pPr>
        <w:tabs>
          <w:tab w:val="num" w:pos="360"/>
        </w:tabs>
        <w:ind w:left="360" w:hanging="216"/>
      </w:pPr>
      <w:rPr>
        <w:rFonts w:ascii="Wingdings" w:hAnsi="Wingdings" w:hint="default"/>
      </w:rPr>
    </w:lvl>
    <w:lvl w:ilvl="1" w:tplc="99A60DD8">
      <w:start w:val="1"/>
      <w:numFmt w:val="bullet"/>
      <w:lvlText w:val=""/>
      <w:lvlJc w:val="left"/>
      <w:pPr>
        <w:tabs>
          <w:tab w:val="num" w:pos="360"/>
        </w:tabs>
        <w:ind w:left="360" w:hanging="144"/>
      </w:pPr>
      <w:rPr>
        <w:rFonts w:ascii="Wingdings" w:hAnsi="Wingdings" w:hint="default"/>
      </w:rPr>
    </w:lvl>
    <w:lvl w:ilvl="2" w:tplc="8C74DBAE">
      <w:start w:val="2"/>
      <w:numFmt w:val="bullet"/>
      <w:lvlText w:val="-"/>
      <w:lvlJc w:val="left"/>
      <w:pPr>
        <w:tabs>
          <w:tab w:val="num" w:pos="2160"/>
        </w:tabs>
        <w:ind w:left="2160" w:hanging="360"/>
      </w:pPr>
      <w:rPr>
        <w:rFonts w:ascii="Times New Roman" w:eastAsia="Times New Roman" w:hAnsi="Times New Roman" w:cs="Times New Roman" w:hint="default"/>
      </w:rPr>
    </w:lvl>
    <w:lvl w:ilvl="3" w:tplc="2C50602A">
      <w:start w:val="1"/>
      <w:numFmt w:val="bullet"/>
      <w:lvlText w:val=""/>
      <w:lvlJc w:val="left"/>
      <w:pPr>
        <w:tabs>
          <w:tab w:val="num" w:pos="2880"/>
        </w:tabs>
        <w:ind w:left="2880" w:hanging="360"/>
      </w:pPr>
      <w:rPr>
        <w:rFonts w:ascii="Symbol" w:eastAsia="Times New Roman" w:hAnsi="Symbol"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592E95"/>
    <w:multiLevelType w:val="hybridMultilevel"/>
    <w:tmpl w:val="81E8106E"/>
    <w:lvl w:ilvl="0" w:tplc="2CC61F20">
      <w:numFmt w:val="bullet"/>
      <w:lvlText w:val="-"/>
      <w:lvlJc w:val="left"/>
      <w:pPr>
        <w:ind w:left="522" w:hanging="360"/>
      </w:pPr>
      <w:rPr>
        <w:rFonts w:ascii="Arial" w:eastAsiaTheme="minorHAnsi"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7">
    <w:nsid w:val="478A4025"/>
    <w:multiLevelType w:val="hybridMultilevel"/>
    <w:tmpl w:val="40988FF6"/>
    <w:lvl w:ilvl="0" w:tplc="718A47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B7389"/>
    <w:multiLevelType w:val="hybridMultilevel"/>
    <w:tmpl w:val="1A00B0D8"/>
    <w:lvl w:ilvl="0" w:tplc="B154913C">
      <w:start w:val="1"/>
      <w:numFmt w:val="lowerRoman"/>
      <w:lvlText w:val="(%1)"/>
      <w:lvlJc w:val="left"/>
      <w:pPr>
        <w:ind w:left="882" w:hanging="72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9">
    <w:nsid w:val="4A5909AB"/>
    <w:multiLevelType w:val="hybridMultilevel"/>
    <w:tmpl w:val="1C72B6B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nsid w:val="4F832231"/>
    <w:multiLevelType w:val="hybridMultilevel"/>
    <w:tmpl w:val="36F60AC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9E4E27"/>
    <w:multiLevelType w:val="hybridMultilevel"/>
    <w:tmpl w:val="E7961176"/>
    <w:lvl w:ilvl="0" w:tplc="5D789B2C">
      <w:start w:val="2"/>
      <w:numFmt w:val="bullet"/>
      <w:lvlText w:val=""/>
      <w:lvlJc w:val="left"/>
      <w:pPr>
        <w:tabs>
          <w:tab w:val="num" w:pos="504"/>
        </w:tabs>
        <w:ind w:left="504" w:hanging="432"/>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0393811"/>
    <w:multiLevelType w:val="hybridMultilevel"/>
    <w:tmpl w:val="717E4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8038F"/>
    <w:multiLevelType w:val="hybridMultilevel"/>
    <w:tmpl w:val="5966390A"/>
    <w:lvl w:ilvl="0" w:tplc="D0E45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17B60"/>
    <w:multiLevelType w:val="hybridMultilevel"/>
    <w:tmpl w:val="B76AC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64208"/>
    <w:multiLevelType w:val="hybridMultilevel"/>
    <w:tmpl w:val="03FA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147BE"/>
    <w:multiLevelType w:val="hybridMultilevel"/>
    <w:tmpl w:val="F4F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572114"/>
    <w:multiLevelType w:val="hybridMultilevel"/>
    <w:tmpl w:val="0DD87728"/>
    <w:lvl w:ilvl="0" w:tplc="EA22CD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EA396A"/>
    <w:multiLevelType w:val="hybridMultilevel"/>
    <w:tmpl w:val="A87E762C"/>
    <w:lvl w:ilvl="0" w:tplc="69C8B10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0"/>
  </w:num>
  <w:num w:numId="4">
    <w:abstractNumId w:val="12"/>
  </w:num>
  <w:num w:numId="5">
    <w:abstractNumId w:val="9"/>
  </w:num>
  <w:num w:numId="6">
    <w:abstractNumId w:val="26"/>
  </w:num>
  <w:num w:numId="7">
    <w:abstractNumId w:val="25"/>
  </w:num>
  <w:num w:numId="8">
    <w:abstractNumId w:val="6"/>
  </w:num>
  <w:num w:numId="9">
    <w:abstractNumId w:val="3"/>
  </w:num>
  <w:num w:numId="10">
    <w:abstractNumId w:val="0"/>
  </w:num>
  <w:num w:numId="11">
    <w:abstractNumId w:val="5"/>
  </w:num>
  <w:num w:numId="12">
    <w:abstractNumId w:val="15"/>
  </w:num>
  <w:num w:numId="13">
    <w:abstractNumId w:val="21"/>
  </w:num>
  <w:num w:numId="14">
    <w:abstractNumId w:val="16"/>
  </w:num>
  <w:num w:numId="15">
    <w:abstractNumId w:val="15"/>
  </w:num>
  <w:num w:numId="16">
    <w:abstractNumId w:val="19"/>
  </w:num>
  <w:num w:numId="17">
    <w:abstractNumId w:val="22"/>
  </w:num>
  <w:num w:numId="18">
    <w:abstractNumId w:val="15"/>
  </w:num>
  <w:num w:numId="19">
    <w:abstractNumId w:val="15"/>
  </w:num>
  <w:num w:numId="20">
    <w:abstractNumId w:val="24"/>
  </w:num>
  <w:num w:numId="21">
    <w:abstractNumId w:val="28"/>
  </w:num>
  <w:num w:numId="22">
    <w:abstractNumId w:val="4"/>
  </w:num>
  <w:num w:numId="23">
    <w:abstractNumId w:val="18"/>
  </w:num>
  <w:num w:numId="24">
    <w:abstractNumId w:val="1"/>
  </w:num>
  <w:num w:numId="25">
    <w:abstractNumId w:val="7"/>
  </w:num>
  <w:num w:numId="26">
    <w:abstractNumId w:val="8"/>
  </w:num>
  <w:num w:numId="27">
    <w:abstractNumId w:val="23"/>
  </w:num>
  <w:num w:numId="28">
    <w:abstractNumId w:val="10"/>
  </w:num>
  <w:num w:numId="29">
    <w:abstractNumId w:val="11"/>
  </w:num>
  <w:num w:numId="30">
    <w:abstractNumId w:val="13"/>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FF"/>
    <w:rsid w:val="0000288F"/>
    <w:rsid w:val="0000327E"/>
    <w:rsid w:val="0000654B"/>
    <w:rsid w:val="0000768C"/>
    <w:rsid w:val="00010579"/>
    <w:rsid w:val="00011979"/>
    <w:rsid w:val="00012E25"/>
    <w:rsid w:val="00015343"/>
    <w:rsid w:val="0002496E"/>
    <w:rsid w:val="00032FAA"/>
    <w:rsid w:val="000353F6"/>
    <w:rsid w:val="000357FE"/>
    <w:rsid w:val="00042A75"/>
    <w:rsid w:val="00042BD6"/>
    <w:rsid w:val="00050C4D"/>
    <w:rsid w:val="00057D5C"/>
    <w:rsid w:val="00060053"/>
    <w:rsid w:val="000601AF"/>
    <w:rsid w:val="00062466"/>
    <w:rsid w:val="00063DA4"/>
    <w:rsid w:val="00064FE3"/>
    <w:rsid w:val="00072D99"/>
    <w:rsid w:val="00077A62"/>
    <w:rsid w:val="00080EEE"/>
    <w:rsid w:val="00084F4E"/>
    <w:rsid w:val="00086C20"/>
    <w:rsid w:val="000875D3"/>
    <w:rsid w:val="00087D73"/>
    <w:rsid w:val="00091504"/>
    <w:rsid w:val="0009344C"/>
    <w:rsid w:val="000950D6"/>
    <w:rsid w:val="00096DFE"/>
    <w:rsid w:val="00097D65"/>
    <w:rsid w:val="000A5288"/>
    <w:rsid w:val="000A6C77"/>
    <w:rsid w:val="000B7B94"/>
    <w:rsid w:val="000D1E98"/>
    <w:rsid w:val="000D34E1"/>
    <w:rsid w:val="000D7CB2"/>
    <w:rsid w:val="000F00A3"/>
    <w:rsid w:val="000F23E2"/>
    <w:rsid w:val="000F71FA"/>
    <w:rsid w:val="001003B9"/>
    <w:rsid w:val="001016C6"/>
    <w:rsid w:val="00110BDE"/>
    <w:rsid w:val="00110F2A"/>
    <w:rsid w:val="0011169D"/>
    <w:rsid w:val="001158BA"/>
    <w:rsid w:val="0012319A"/>
    <w:rsid w:val="00125287"/>
    <w:rsid w:val="001336F2"/>
    <w:rsid w:val="00133CE6"/>
    <w:rsid w:val="00134EC2"/>
    <w:rsid w:val="00142E29"/>
    <w:rsid w:val="00143761"/>
    <w:rsid w:val="0014403B"/>
    <w:rsid w:val="00145406"/>
    <w:rsid w:val="00145D41"/>
    <w:rsid w:val="001470C0"/>
    <w:rsid w:val="00155853"/>
    <w:rsid w:val="00156CF7"/>
    <w:rsid w:val="00157DF9"/>
    <w:rsid w:val="00160AE8"/>
    <w:rsid w:val="0016336D"/>
    <w:rsid w:val="001634A2"/>
    <w:rsid w:val="001653C0"/>
    <w:rsid w:val="00172542"/>
    <w:rsid w:val="00172E84"/>
    <w:rsid w:val="00175534"/>
    <w:rsid w:val="00175805"/>
    <w:rsid w:val="00177C13"/>
    <w:rsid w:val="00195DD4"/>
    <w:rsid w:val="001972A3"/>
    <w:rsid w:val="001A7A11"/>
    <w:rsid w:val="001B288A"/>
    <w:rsid w:val="001B745C"/>
    <w:rsid w:val="001B7D80"/>
    <w:rsid w:val="001C5AA8"/>
    <w:rsid w:val="001D529E"/>
    <w:rsid w:val="001D758C"/>
    <w:rsid w:val="001D7A98"/>
    <w:rsid w:val="001E1929"/>
    <w:rsid w:val="001E62AC"/>
    <w:rsid w:val="001F5794"/>
    <w:rsid w:val="001F5887"/>
    <w:rsid w:val="002048D9"/>
    <w:rsid w:val="002056D7"/>
    <w:rsid w:val="0020630A"/>
    <w:rsid w:val="002068CD"/>
    <w:rsid w:val="002105C8"/>
    <w:rsid w:val="00220978"/>
    <w:rsid w:val="00224177"/>
    <w:rsid w:val="00227A96"/>
    <w:rsid w:val="00231890"/>
    <w:rsid w:val="00231E16"/>
    <w:rsid w:val="0023212B"/>
    <w:rsid w:val="00232615"/>
    <w:rsid w:val="0023648F"/>
    <w:rsid w:val="00236749"/>
    <w:rsid w:val="00247CB7"/>
    <w:rsid w:val="00252C57"/>
    <w:rsid w:val="0025516E"/>
    <w:rsid w:val="002626C3"/>
    <w:rsid w:val="00270781"/>
    <w:rsid w:val="00272E1A"/>
    <w:rsid w:val="002774FF"/>
    <w:rsid w:val="00280E91"/>
    <w:rsid w:val="0028429A"/>
    <w:rsid w:val="00284CCD"/>
    <w:rsid w:val="00286712"/>
    <w:rsid w:val="00291DC7"/>
    <w:rsid w:val="0029280F"/>
    <w:rsid w:val="002952F3"/>
    <w:rsid w:val="002978D5"/>
    <w:rsid w:val="002A694D"/>
    <w:rsid w:val="002B0404"/>
    <w:rsid w:val="002B46D2"/>
    <w:rsid w:val="002C253E"/>
    <w:rsid w:val="002C7FD8"/>
    <w:rsid w:val="002D0993"/>
    <w:rsid w:val="002D5376"/>
    <w:rsid w:val="002E695F"/>
    <w:rsid w:val="003003BE"/>
    <w:rsid w:val="003005CD"/>
    <w:rsid w:val="00307C91"/>
    <w:rsid w:val="0031280C"/>
    <w:rsid w:val="003133E0"/>
    <w:rsid w:val="0031395E"/>
    <w:rsid w:val="00314181"/>
    <w:rsid w:val="00321CB8"/>
    <w:rsid w:val="00324CC7"/>
    <w:rsid w:val="00327F62"/>
    <w:rsid w:val="00333F7B"/>
    <w:rsid w:val="003443BE"/>
    <w:rsid w:val="00344703"/>
    <w:rsid w:val="00347161"/>
    <w:rsid w:val="00350BE7"/>
    <w:rsid w:val="003627C7"/>
    <w:rsid w:val="00364650"/>
    <w:rsid w:val="003730D1"/>
    <w:rsid w:val="00376B68"/>
    <w:rsid w:val="00376E9D"/>
    <w:rsid w:val="0038216F"/>
    <w:rsid w:val="00390567"/>
    <w:rsid w:val="003909BD"/>
    <w:rsid w:val="00394D5F"/>
    <w:rsid w:val="003A627B"/>
    <w:rsid w:val="003B014A"/>
    <w:rsid w:val="003B2335"/>
    <w:rsid w:val="003B3C59"/>
    <w:rsid w:val="003B5D05"/>
    <w:rsid w:val="003B5D86"/>
    <w:rsid w:val="003C0975"/>
    <w:rsid w:val="003C7C54"/>
    <w:rsid w:val="003D0AEF"/>
    <w:rsid w:val="003D1DC8"/>
    <w:rsid w:val="003E3DE8"/>
    <w:rsid w:val="003E40FB"/>
    <w:rsid w:val="003E72E5"/>
    <w:rsid w:val="003F20D4"/>
    <w:rsid w:val="003F41AC"/>
    <w:rsid w:val="003F679E"/>
    <w:rsid w:val="003F6FD6"/>
    <w:rsid w:val="00401158"/>
    <w:rsid w:val="004062E2"/>
    <w:rsid w:val="0040676D"/>
    <w:rsid w:val="00410522"/>
    <w:rsid w:val="00411A51"/>
    <w:rsid w:val="00413416"/>
    <w:rsid w:val="00417AF0"/>
    <w:rsid w:val="00426E44"/>
    <w:rsid w:val="00434953"/>
    <w:rsid w:val="00436113"/>
    <w:rsid w:val="00436FA7"/>
    <w:rsid w:val="00442D14"/>
    <w:rsid w:val="00442FF8"/>
    <w:rsid w:val="00443023"/>
    <w:rsid w:val="00463C0A"/>
    <w:rsid w:val="00464A26"/>
    <w:rsid w:val="004655D9"/>
    <w:rsid w:val="00466362"/>
    <w:rsid w:val="00480DA4"/>
    <w:rsid w:val="004873DB"/>
    <w:rsid w:val="004952CE"/>
    <w:rsid w:val="004A1CEE"/>
    <w:rsid w:val="004A7306"/>
    <w:rsid w:val="004A7385"/>
    <w:rsid w:val="004B6835"/>
    <w:rsid w:val="004C40A1"/>
    <w:rsid w:val="004C4569"/>
    <w:rsid w:val="004C495D"/>
    <w:rsid w:val="004C6A9E"/>
    <w:rsid w:val="004D6739"/>
    <w:rsid w:val="004E2E2B"/>
    <w:rsid w:val="004E6227"/>
    <w:rsid w:val="004E6EA9"/>
    <w:rsid w:val="004F43C0"/>
    <w:rsid w:val="0050105D"/>
    <w:rsid w:val="005013F6"/>
    <w:rsid w:val="00511DD0"/>
    <w:rsid w:val="00514BCF"/>
    <w:rsid w:val="00515BA3"/>
    <w:rsid w:val="00526E9C"/>
    <w:rsid w:val="00530146"/>
    <w:rsid w:val="005324C9"/>
    <w:rsid w:val="00536683"/>
    <w:rsid w:val="00541421"/>
    <w:rsid w:val="00542ED2"/>
    <w:rsid w:val="005451D3"/>
    <w:rsid w:val="00550A64"/>
    <w:rsid w:val="00555C3C"/>
    <w:rsid w:val="005564E5"/>
    <w:rsid w:val="00556942"/>
    <w:rsid w:val="0056383A"/>
    <w:rsid w:val="00580B53"/>
    <w:rsid w:val="0058402D"/>
    <w:rsid w:val="0059485E"/>
    <w:rsid w:val="005954A2"/>
    <w:rsid w:val="00595695"/>
    <w:rsid w:val="005A4B1C"/>
    <w:rsid w:val="005B4B6C"/>
    <w:rsid w:val="005B4F49"/>
    <w:rsid w:val="005B64D4"/>
    <w:rsid w:val="005C3581"/>
    <w:rsid w:val="005C5214"/>
    <w:rsid w:val="005C6EC4"/>
    <w:rsid w:val="005C7116"/>
    <w:rsid w:val="005C79EA"/>
    <w:rsid w:val="005D1CE4"/>
    <w:rsid w:val="005D4F49"/>
    <w:rsid w:val="005D718E"/>
    <w:rsid w:val="005E2A24"/>
    <w:rsid w:val="005E4887"/>
    <w:rsid w:val="005E53FB"/>
    <w:rsid w:val="005F6A23"/>
    <w:rsid w:val="006001F3"/>
    <w:rsid w:val="006033D1"/>
    <w:rsid w:val="00603C05"/>
    <w:rsid w:val="00605BBD"/>
    <w:rsid w:val="00630B2A"/>
    <w:rsid w:val="00632458"/>
    <w:rsid w:val="006328EA"/>
    <w:rsid w:val="00635319"/>
    <w:rsid w:val="00635399"/>
    <w:rsid w:val="006460F3"/>
    <w:rsid w:val="0064629A"/>
    <w:rsid w:val="006551F1"/>
    <w:rsid w:val="0065621C"/>
    <w:rsid w:val="00661834"/>
    <w:rsid w:val="006625F5"/>
    <w:rsid w:val="00664D1E"/>
    <w:rsid w:val="00676B6C"/>
    <w:rsid w:val="006775B9"/>
    <w:rsid w:val="00677C99"/>
    <w:rsid w:val="00682572"/>
    <w:rsid w:val="0069021E"/>
    <w:rsid w:val="00691F3E"/>
    <w:rsid w:val="00692BCB"/>
    <w:rsid w:val="00696874"/>
    <w:rsid w:val="00697998"/>
    <w:rsid w:val="006A1B9A"/>
    <w:rsid w:val="006A2E57"/>
    <w:rsid w:val="006A45D9"/>
    <w:rsid w:val="006A5676"/>
    <w:rsid w:val="006B11C0"/>
    <w:rsid w:val="006B238F"/>
    <w:rsid w:val="006B2662"/>
    <w:rsid w:val="006B3370"/>
    <w:rsid w:val="006B361C"/>
    <w:rsid w:val="006B371A"/>
    <w:rsid w:val="006C1D41"/>
    <w:rsid w:val="006D23F3"/>
    <w:rsid w:val="006D4955"/>
    <w:rsid w:val="006E21D9"/>
    <w:rsid w:val="006E6980"/>
    <w:rsid w:val="006E6E2E"/>
    <w:rsid w:val="006F2A3E"/>
    <w:rsid w:val="006F50AE"/>
    <w:rsid w:val="006F7814"/>
    <w:rsid w:val="006F799D"/>
    <w:rsid w:val="007008E0"/>
    <w:rsid w:val="007013A8"/>
    <w:rsid w:val="00706F67"/>
    <w:rsid w:val="00712A70"/>
    <w:rsid w:val="00714A06"/>
    <w:rsid w:val="007168FD"/>
    <w:rsid w:val="00725389"/>
    <w:rsid w:val="00731099"/>
    <w:rsid w:val="00731F54"/>
    <w:rsid w:val="0073539D"/>
    <w:rsid w:val="007454EB"/>
    <w:rsid w:val="00746F3A"/>
    <w:rsid w:val="0075071D"/>
    <w:rsid w:val="0075126A"/>
    <w:rsid w:val="007555F8"/>
    <w:rsid w:val="00776AD7"/>
    <w:rsid w:val="00782BFA"/>
    <w:rsid w:val="00783773"/>
    <w:rsid w:val="00783911"/>
    <w:rsid w:val="007842D8"/>
    <w:rsid w:val="00784BCB"/>
    <w:rsid w:val="007858CC"/>
    <w:rsid w:val="007870C2"/>
    <w:rsid w:val="00787EAA"/>
    <w:rsid w:val="00790C0D"/>
    <w:rsid w:val="00793C98"/>
    <w:rsid w:val="0079509A"/>
    <w:rsid w:val="007965B3"/>
    <w:rsid w:val="007A0EEA"/>
    <w:rsid w:val="007A7AC1"/>
    <w:rsid w:val="007C5BAC"/>
    <w:rsid w:val="007C6D99"/>
    <w:rsid w:val="007D1B06"/>
    <w:rsid w:val="007D67DF"/>
    <w:rsid w:val="007E3079"/>
    <w:rsid w:val="00801E16"/>
    <w:rsid w:val="008111EC"/>
    <w:rsid w:val="00813BF9"/>
    <w:rsid w:val="00813C1B"/>
    <w:rsid w:val="00814EF6"/>
    <w:rsid w:val="008165FA"/>
    <w:rsid w:val="00821778"/>
    <w:rsid w:val="0082312B"/>
    <w:rsid w:val="00827929"/>
    <w:rsid w:val="0083545F"/>
    <w:rsid w:val="00835FF6"/>
    <w:rsid w:val="008364D5"/>
    <w:rsid w:val="008371D9"/>
    <w:rsid w:val="00844D7A"/>
    <w:rsid w:val="0084769D"/>
    <w:rsid w:val="00855803"/>
    <w:rsid w:val="008571BA"/>
    <w:rsid w:val="00857ADC"/>
    <w:rsid w:val="0086053F"/>
    <w:rsid w:val="008711E7"/>
    <w:rsid w:val="0087225B"/>
    <w:rsid w:val="00877DC7"/>
    <w:rsid w:val="00883AFE"/>
    <w:rsid w:val="00895C6B"/>
    <w:rsid w:val="008960F2"/>
    <w:rsid w:val="00897258"/>
    <w:rsid w:val="008A0CD7"/>
    <w:rsid w:val="008A7C2E"/>
    <w:rsid w:val="008B054F"/>
    <w:rsid w:val="008B43D1"/>
    <w:rsid w:val="008B7555"/>
    <w:rsid w:val="008C1DE1"/>
    <w:rsid w:val="008D084B"/>
    <w:rsid w:val="008E0707"/>
    <w:rsid w:val="008E3AC7"/>
    <w:rsid w:val="008F1EB6"/>
    <w:rsid w:val="008F406F"/>
    <w:rsid w:val="008F5B49"/>
    <w:rsid w:val="008F6069"/>
    <w:rsid w:val="00902522"/>
    <w:rsid w:val="009034FC"/>
    <w:rsid w:val="00904FA4"/>
    <w:rsid w:val="00904FBD"/>
    <w:rsid w:val="00911F7D"/>
    <w:rsid w:val="009151EB"/>
    <w:rsid w:val="00922053"/>
    <w:rsid w:val="00930B48"/>
    <w:rsid w:val="009312CC"/>
    <w:rsid w:val="00934D93"/>
    <w:rsid w:val="00937542"/>
    <w:rsid w:val="00943187"/>
    <w:rsid w:val="009443D2"/>
    <w:rsid w:val="00944DD6"/>
    <w:rsid w:val="009451D9"/>
    <w:rsid w:val="00945864"/>
    <w:rsid w:val="0094780D"/>
    <w:rsid w:val="00953C84"/>
    <w:rsid w:val="00954968"/>
    <w:rsid w:val="009579EC"/>
    <w:rsid w:val="00962F8A"/>
    <w:rsid w:val="009670AA"/>
    <w:rsid w:val="00975AAC"/>
    <w:rsid w:val="00976C19"/>
    <w:rsid w:val="00980557"/>
    <w:rsid w:val="009842D3"/>
    <w:rsid w:val="009934B4"/>
    <w:rsid w:val="009936BB"/>
    <w:rsid w:val="0099612C"/>
    <w:rsid w:val="009A58BE"/>
    <w:rsid w:val="009A61F5"/>
    <w:rsid w:val="009B014C"/>
    <w:rsid w:val="009B2865"/>
    <w:rsid w:val="009C5291"/>
    <w:rsid w:val="009D0F5E"/>
    <w:rsid w:val="009D1350"/>
    <w:rsid w:val="009D28EC"/>
    <w:rsid w:val="009D5996"/>
    <w:rsid w:val="009D716F"/>
    <w:rsid w:val="009D7400"/>
    <w:rsid w:val="009E0A15"/>
    <w:rsid w:val="009E77BE"/>
    <w:rsid w:val="009F0D34"/>
    <w:rsid w:val="00A01DAA"/>
    <w:rsid w:val="00A04760"/>
    <w:rsid w:val="00A07498"/>
    <w:rsid w:val="00A130D1"/>
    <w:rsid w:val="00A23B73"/>
    <w:rsid w:val="00A2658C"/>
    <w:rsid w:val="00A32F31"/>
    <w:rsid w:val="00A36164"/>
    <w:rsid w:val="00A37735"/>
    <w:rsid w:val="00A41AAA"/>
    <w:rsid w:val="00A455BB"/>
    <w:rsid w:val="00A4642E"/>
    <w:rsid w:val="00A514F2"/>
    <w:rsid w:val="00A53B9C"/>
    <w:rsid w:val="00A556CF"/>
    <w:rsid w:val="00A56C7E"/>
    <w:rsid w:val="00A6231F"/>
    <w:rsid w:val="00A660A2"/>
    <w:rsid w:val="00A6679B"/>
    <w:rsid w:val="00A75826"/>
    <w:rsid w:val="00A7703B"/>
    <w:rsid w:val="00A83920"/>
    <w:rsid w:val="00A8442A"/>
    <w:rsid w:val="00AA0B95"/>
    <w:rsid w:val="00AA395E"/>
    <w:rsid w:val="00AA73A1"/>
    <w:rsid w:val="00AB4449"/>
    <w:rsid w:val="00AB6D59"/>
    <w:rsid w:val="00AB7E2F"/>
    <w:rsid w:val="00AC0B40"/>
    <w:rsid w:val="00AC1144"/>
    <w:rsid w:val="00AC121A"/>
    <w:rsid w:val="00AC4830"/>
    <w:rsid w:val="00AC58F9"/>
    <w:rsid w:val="00AD2629"/>
    <w:rsid w:val="00AD75C6"/>
    <w:rsid w:val="00AE41CC"/>
    <w:rsid w:val="00AE4B6C"/>
    <w:rsid w:val="00AE6AA4"/>
    <w:rsid w:val="00AF0274"/>
    <w:rsid w:val="00AF141B"/>
    <w:rsid w:val="00AF253C"/>
    <w:rsid w:val="00B006B7"/>
    <w:rsid w:val="00B01115"/>
    <w:rsid w:val="00B021F9"/>
    <w:rsid w:val="00B03E3A"/>
    <w:rsid w:val="00B066D8"/>
    <w:rsid w:val="00B07A20"/>
    <w:rsid w:val="00B07D41"/>
    <w:rsid w:val="00B125AC"/>
    <w:rsid w:val="00B130F0"/>
    <w:rsid w:val="00B1318B"/>
    <w:rsid w:val="00B158C4"/>
    <w:rsid w:val="00B166C8"/>
    <w:rsid w:val="00B20E07"/>
    <w:rsid w:val="00B25A5F"/>
    <w:rsid w:val="00B3544D"/>
    <w:rsid w:val="00B4452B"/>
    <w:rsid w:val="00B55891"/>
    <w:rsid w:val="00B644E5"/>
    <w:rsid w:val="00B645D6"/>
    <w:rsid w:val="00B7303D"/>
    <w:rsid w:val="00B81627"/>
    <w:rsid w:val="00B8392D"/>
    <w:rsid w:val="00B920CF"/>
    <w:rsid w:val="00B92D49"/>
    <w:rsid w:val="00B969AA"/>
    <w:rsid w:val="00BA45F8"/>
    <w:rsid w:val="00BB0327"/>
    <w:rsid w:val="00BB2377"/>
    <w:rsid w:val="00BB4828"/>
    <w:rsid w:val="00BB4F70"/>
    <w:rsid w:val="00BC29F7"/>
    <w:rsid w:val="00BD2570"/>
    <w:rsid w:val="00BE28A2"/>
    <w:rsid w:val="00BE73E8"/>
    <w:rsid w:val="00BF498A"/>
    <w:rsid w:val="00BF4F3B"/>
    <w:rsid w:val="00BF6407"/>
    <w:rsid w:val="00C03AF8"/>
    <w:rsid w:val="00C06E54"/>
    <w:rsid w:val="00C12D15"/>
    <w:rsid w:val="00C1336E"/>
    <w:rsid w:val="00C13E9A"/>
    <w:rsid w:val="00C1466B"/>
    <w:rsid w:val="00C14E4B"/>
    <w:rsid w:val="00C24AD1"/>
    <w:rsid w:val="00C26832"/>
    <w:rsid w:val="00C30F98"/>
    <w:rsid w:val="00C343C9"/>
    <w:rsid w:val="00C346B4"/>
    <w:rsid w:val="00C34963"/>
    <w:rsid w:val="00C35F60"/>
    <w:rsid w:val="00C3763D"/>
    <w:rsid w:val="00C419F5"/>
    <w:rsid w:val="00C442FD"/>
    <w:rsid w:val="00C473E6"/>
    <w:rsid w:val="00C521F6"/>
    <w:rsid w:val="00C55814"/>
    <w:rsid w:val="00C5585D"/>
    <w:rsid w:val="00C63D5B"/>
    <w:rsid w:val="00C64AC3"/>
    <w:rsid w:val="00C7161B"/>
    <w:rsid w:val="00C75F4E"/>
    <w:rsid w:val="00C8315D"/>
    <w:rsid w:val="00C84036"/>
    <w:rsid w:val="00CA3D2C"/>
    <w:rsid w:val="00CA3DA2"/>
    <w:rsid w:val="00CA4EAB"/>
    <w:rsid w:val="00CB1330"/>
    <w:rsid w:val="00CB32BB"/>
    <w:rsid w:val="00CB7D4F"/>
    <w:rsid w:val="00CC4B83"/>
    <w:rsid w:val="00CC642F"/>
    <w:rsid w:val="00CC7B81"/>
    <w:rsid w:val="00CD1177"/>
    <w:rsid w:val="00CD6989"/>
    <w:rsid w:val="00CD6D74"/>
    <w:rsid w:val="00CE4F42"/>
    <w:rsid w:val="00CF03F1"/>
    <w:rsid w:val="00D008AD"/>
    <w:rsid w:val="00D01114"/>
    <w:rsid w:val="00D066F4"/>
    <w:rsid w:val="00D07E00"/>
    <w:rsid w:val="00D10054"/>
    <w:rsid w:val="00D14D3E"/>
    <w:rsid w:val="00D159AD"/>
    <w:rsid w:val="00D16345"/>
    <w:rsid w:val="00D16981"/>
    <w:rsid w:val="00D17069"/>
    <w:rsid w:val="00D2045E"/>
    <w:rsid w:val="00D24D9F"/>
    <w:rsid w:val="00D25B81"/>
    <w:rsid w:val="00D27D78"/>
    <w:rsid w:val="00D313D2"/>
    <w:rsid w:val="00D329D9"/>
    <w:rsid w:val="00D32DEA"/>
    <w:rsid w:val="00D34CCB"/>
    <w:rsid w:val="00D34EA5"/>
    <w:rsid w:val="00D35524"/>
    <w:rsid w:val="00D3553E"/>
    <w:rsid w:val="00D4059F"/>
    <w:rsid w:val="00D4245F"/>
    <w:rsid w:val="00D427BA"/>
    <w:rsid w:val="00D43AB8"/>
    <w:rsid w:val="00D44C27"/>
    <w:rsid w:val="00D4624F"/>
    <w:rsid w:val="00D53C2F"/>
    <w:rsid w:val="00D64BF4"/>
    <w:rsid w:val="00D6668F"/>
    <w:rsid w:val="00D70DB5"/>
    <w:rsid w:val="00D72EDA"/>
    <w:rsid w:val="00D80A9A"/>
    <w:rsid w:val="00D83CB3"/>
    <w:rsid w:val="00D85CC8"/>
    <w:rsid w:val="00D8711A"/>
    <w:rsid w:val="00D91091"/>
    <w:rsid w:val="00D954CB"/>
    <w:rsid w:val="00DA4B7F"/>
    <w:rsid w:val="00DA6C4B"/>
    <w:rsid w:val="00DA74F3"/>
    <w:rsid w:val="00DB2928"/>
    <w:rsid w:val="00DB50AB"/>
    <w:rsid w:val="00DC1FB2"/>
    <w:rsid w:val="00DC3BA9"/>
    <w:rsid w:val="00DC4EF1"/>
    <w:rsid w:val="00DC549F"/>
    <w:rsid w:val="00DD09F7"/>
    <w:rsid w:val="00DD2630"/>
    <w:rsid w:val="00DD45C7"/>
    <w:rsid w:val="00DD481B"/>
    <w:rsid w:val="00DE12A5"/>
    <w:rsid w:val="00DE6FC9"/>
    <w:rsid w:val="00DE7D1E"/>
    <w:rsid w:val="00DF4A73"/>
    <w:rsid w:val="00E0352E"/>
    <w:rsid w:val="00E07FBB"/>
    <w:rsid w:val="00E1361E"/>
    <w:rsid w:val="00E1461B"/>
    <w:rsid w:val="00E163EB"/>
    <w:rsid w:val="00E165E6"/>
    <w:rsid w:val="00E20724"/>
    <w:rsid w:val="00E22E15"/>
    <w:rsid w:val="00E42B22"/>
    <w:rsid w:val="00E44371"/>
    <w:rsid w:val="00E44DF4"/>
    <w:rsid w:val="00E51033"/>
    <w:rsid w:val="00E531C1"/>
    <w:rsid w:val="00E550FA"/>
    <w:rsid w:val="00E56D00"/>
    <w:rsid w:val="00E577B1"/>
    <w:rsid w:val="00E577E1"/>
    <w:rsid w:val="00E606A3"/>
    <w:rsid w:val="00E66020"/>
    <w:rsid w:val="00E6750B"/>
    <w:rsid w:val="00E8076C"/>
    <w:rsid w:val="00E817FD"/>
    <w:rsid w:val="00E8345F"/>
    <w:rsid w:val="00E839A1"/>
    <w:rsid w:val="00E86BA7"/>
    <w:rsid w:val="00E904DB"/>
    <w:rsid w:val="00E94205"/>
    <w:rsid w:val="00E95DA9"/>
    <w:rsid w:val="00E96295"/>
    <w:rsid w:val="00EB63D8"/>
    <w:rsid w:val="00EB6CD9"/>
    <w:rsid w:val="00EB7F7C"/>
    <w:rsid w:val="00EC11C1"/>
    <w:rsid w:val="00EC48B6"/>
    <w:rsid w:val="00EC6D5C"/>
    <w:rsid w:val="00ED4AD7"/>
    <w:rsid w:val="00EE2A4D"/>
    <w:rsid w:val="00EE694D"/>
    <w:rsid w:val="00EE6B6F"/>
    <w:rsid w:val="00EE6E75"/>
    <w:rsid w:val="00EF2A5D"/>
    <w:rsid w:val="00EF4D94"/>
    <w:rsid w:val="00F05B3E"/>
    <w:rsid w:val="00F07BA3"/>
    <w:rsid w:val="00F147D0"/>
    <w:rsid w:val="00F203FC"/>
    <w:rsid w:val="00F228A5"/>
    <w:rsid w:val="00F22F6E"/>
    <w:rsid w:val="00F2650E"/>
    <w:rsid w:val="00F337EA"/>
    <w:rsid w:val="00F433E0"/>
    <w:rsid w:val="00F4590F"/>
    <w:rsid w:val="00F47328"/>
    <w:rsid w:val="00F478DD"/>
    <w:rsid w:val="00F55E5C"/>
    <w:rsid w:val="00F570C5"/>
    <w:rsid w:val="00F62902"/>
    <w:rsid w:val="00F62DCF"/>
    <w:rsid w:val="00F6616C"/>
    <w:rsid w:val="00F75091"/>
    <w:rsid w:val="00F75981"/>
    <w:rsid w:val="00F76BA7"/>
    <w:rsid w:val="00F772F1"/>
    <w:rsid w:val="00F80E89"/>
    <w:rsid w:val="00F821FA"/>
    <w:rsid w:val="00F82A0C"/>
    <w:rsid w:val="00F97391"/>
    <w:rsid w:val="00FA0FEA"/>
    <w:rsid w:val="00FA7FA8"/>
    <w:rsid w:val="00FB077B"/>
    <w:rsid w:val="00FB35BF"/>
    <w:rsid w:val="00FC2BC1"/>
    <w:rsid w:val="00FC2F62"/>
    <w:rsid w:val="00FC4897"/>
    <w:rsid w:val="00FD0A46"/>
    <w:rsid w:val="00FD0B49"/>
    <w:rsid w:val="00FD15B0"/>
    <w:rsid w:val="00FD2297"/>
    <w:rsid w:val="00FD727D"/>
    <w:rsid w:val="00FE42E2"/>
    <w:rsid w:val="00FE6BB7"/>
    <w:rsid w:val="00FE7E2C"/>
    <w:rsid w:val="00FF6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FF"/>
  </w:style>
  <w:style w:type="paragraph" w:styleId="Footer">
    <w:name w:val="footer"/>
    <w:basedOn w:val="Normal"/>
    <w:link w:val="FooterChar"/>
    <w:uiPriority w:val="99"/>
    <w:unhideWhenUsed/>
    <w:rsid w:val="0027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FF"/>
  </w:style>
  <w:style w:type="paragraph" w:styleId="ListParagraph">
    <w:name w:val="List Paragraph"/>
    <w:basedOn w:val="Normal"/>
    <w:uiPriority w:val="34"/>
    <w:qFormat/>
    <w:rsid w:val="00FC2F62"/>
    <w:pPr>
      <w:ind w:left="720"/>
      <w:contextualSpacing/>
    </w:pPr>
  </w:style>
  <w:style w:type="paragraph" w:customStyle="1" w:styleId="bull2">
    <w:name w:val="bull2"/>
    <w:basedOn w:val="Normal"/>
    <w:rsid w:val="00FC2F62"/>
    <w:pPr>
      <w:numPr>
        <w:numId w:val="12"/>
      </w:numPr>
      <w:tabs>
        <w:tab w:val="left" w:pos="470"/>
      </w:tabs>
      <w:spacing w:after="80" w:line="240" w:lineRule="auto"/>
    </w:pPr>
    <w:rPr>
      <w:rFonts w:ascii="Times New Roman" w:eastAsia="Times New Roman" w:hAnsi="Times New Roman" w:cs="Times New Roman"/>
      <w:spacing w:val="-3"/>
      <w:sz w:val="18"/>
      <w:szCs w:val="18"/>
      <w:lang w:eastAsia="es-ES"/>
    </w:rPr>
  </w:style>
  <w:style w:type="character" w:styleId="CommentReference">
    <w:name w:val="annotation reference"/>
    <w:basedOn w:val="DefaultParagraphFont"/>
    <w:uiPriority w:val="99"/>
    <w:semiHidden/>
    <w:unhideWhenUsed/>
    <w:rsid w:val="00F570C5"/>
    <w:rPr>
      <w:sz w:val="16"/>
      <w:szCs w:val="16"/>
    </w:rPr>
  </w:style>
  <w:style w:type="paragraph" w:styleId="CommentText">
    <w:name w:val="annotation text"/>
    <w:basedOn w:val="Normal"/>
    <w:link w:val="CommentTextChar"/>
    <w:uiPriority w:val="99"/>
    <w:semiHidden/>
    <w:unhideWhenUsed/>
    <w:rsid w:val="00F570C5"/>
    <w:pPr>
      <w:spacing w:line="240" w:lineRule="auto"/>
    </w:pPr>
    <w:rPr>
      <w:sz w:val="20"/>
      <w:szCs w:val="20"/>
    </w:rPr>
  </w:style>
  <w:style w:type="character" w:customStyle="1" w:styleId="CommentTextChar">
    <w:name w:val="Comment Text Char"/>
    <w:basedOn w:val="DefaultParagraphFont"/>
    <w:link w:val="CommentText"/>
    <w:uiPriority w:val="99"/>
    <w:semiHidden/>
    <w:rsid w:val="00F570C5"/>
    <w:rPr>
      <w:sz w:val="20"/>
      <w:szCs w:val="20"/>
    </w:rPr>
  </w:style>
  <w:style w:type="paragraph" w:styleId="CommentSubject">
    <w:name w:val="annotation subject"/>
    <w:basedOn w:val="CommentText"/>
    <w:next w:val="CommentText"/>
    <w:link w:val="CommentSubjectChar"/>
    <w:uiPriority w:val="99"/>
    <w:semiHidden/>
    <w:unhideWhenUsed/>
    <w:rsid w:val="00F570C5"/>
    <w:rPr>
      <w:b/>
      <w:bCs/>
    </w:rPr>
  </w:style>
  <w:style w:type="character" w:customStyle="1" w:styleId="CommentSubjectChar">
    <w:name w:val="Comment Subject Char"/>
    <w:basedOn w:val="CommentTextChar"/>
    <w:link w:val="CommentSubject"/>
    <w:uiPriority w:val="99"/>
    <w:semiHidden/>
    <w:rsid w:val="00F570C5"/>
    <w:rPr>
      <w:b/>
      <w:bCs/>
      <w:sz w:val="20"/>
      <w:szCs w:val="20"/>
    </w:rPr>
  </w:style>
  <w:style w:type="paragraph" w:styleId="BalloonText">
    <w:name w:val="Balloon Text"/>
    <w:basedOn w:val="Normal"/>
    <w:link w:val="BalloonTextChar"/>
    <w:uiPriority w:val="99"/>
    <w:semiHidden/>
    <w:unhideWhenUsed/>
    <w:rsid w:val="00F5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C5"/>
    <w:rPr>
      <w:rFonts w:ascii="Tahoma" w:hAnsi="Tahoma" w:cs="Tahoma"/>
      <w:sz w:val="16"/>
      <w:szCs w:val="16"/>
    </w:rPr>
  </w:style>
  <w:style w:type="paragraph" w:styleId="Revision">
    <w:name w:val="Revision"/>
    <w:hidden/>
    <w:uiPriority w:val="99"/>
    <w:semiHidden/>
    <w:rsid w:val="004E6E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FF"/>
  </w:style>
  <w:style w:type="paragraph" w:styleId="Footer">
    <w:name w:val="footer"/>
    <w:basedOn w:val="Normal"/>
    <w:link w:val="FooterChar"/>
    <w:uiPriority w:val="99"/>
    <w:unhideWhenUsed/>
    <w:rsid w:val="00277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FF"/>
  </w:style>
  <w:style w:type="paragraph" w:styleId="ListParagraph">
    <w:name w:val="List Paragraph"/>
    <w:basedOn w:val="Normal"/>
    <w:uiPriority w:val="34"/>
    <w:qFormat/>
    <w:rsid w:val="00FC2F62"/>
    <w:pPr>
      <w:ind w:left="720"/>
      <w:contextualSpacing/>
    </w:pPr>
  </w:style>
  <w:style w:type="paragraph" w:customStyle="1" w:styleId="bull2">
    <w:name w:val="bull2"/>
    <w:basedOn w:val="Normal"/>
    <w:rsid w:val="00FC2F62"/>
    <w:pPr>
      <w:numPr>
        <w:numId w:val="12"/>
      </w:numPr>
      <w:tabs>
        <w:tab w:val="left" w:pos="470"/>
      </w:tabs>
      <w:spacing w:after="80" w:line="240" w:lineRule="auto"/>
    </w:pPr>
    <w:rPr>
      <w:rFonts w:ascii="Times New Roman" w:eastAsia="Times New Roman" w:hAnsi="Times New Roman" w:cs="Times New Roman"/>
      <w:spacing w:val="-3"/>
      <w:sz w:val="18"/>
      <w:szCs w:val="18"/>
      <w:lang w:eastAsia="es-ES"/>
    </w:rPr>
  </w:style>
  <w:style w:type="character" w:styleId="CommentReference">
    <w:name w:val="annotation reference"/>
    <w:basedOn w:val="DefaultParagraphFont"/>
    <w:uiPriority w:val="99"/>
    <w:semiHidden/>
    <w:unhideWhenUsed/>
    <w:rsid w:val="00F570C5"/>
    <w:rPr>
      <w:sz w:val="16"/>
      <w:szCs w:val="16"/>
    </w:rPr>
  </w:style>
  <w:style w:type="paragraph" w:styleId="CommentText">
    <w:name w:val="annotation text"/>
    <w:basedOn w:val="Normal"/>
    <w:link w:val="CommentTextChar"/>
    <w:uiPriority w:val="99"/>
    <w:semiHidden/>
    <w:unhideWhenUsed/>
    <w:rsid w:val="00F570C5"/>
    <w:pPr>
      <w:spacing w:line="240" w:lineRule="auto"/>
    </w:pPr>
    <w:rPr>
      <w:sz w:val="20"/>
      <w:szCs w:val="20"/>
    </w:rPr>
  </w:style>
  <w:style w:type="character" w:customStyle="1" w:styleId="CommentTextChar">
    <w:name w:val="Comment Text Char"/>
    <w:basedOn w:val="DefaultParagraphFont"/>
    <w:link w:val="CommentText"/>
    <w:uiPriority w:val="99"/>
    <w:semiHidden/>
    <w:rsid w:val="00F570C5"/>
    <w:rPr>
      <w:sz w:val="20"/>
      <w:szCs w:val="20"/>
    </w:rPr>
  </w:style>
  <w:style w:type="paragraph" w:styleId="CommentSubject">
    <w:name w:val="annotation subject"/>
    <w:basedOn w:val="CommentText"/>
    <w:next w:val="CommentText"/>
    <w:link w:val="CommentSubjectChar"/>
    <w:uiPriority w:val="99"/>
    <w:semiHidden/>
    <w:unhideWhenUsed/>
    <w:rsid w:val="00F570C5"/>
    <w:rPr>
      <w:b/>
      <w:bCs/>
    </w:rPr>
  </w:style>
  <w:style w:type="character" w:customStyle="1" w:styleId="CommentSubjectChar">
    <w:name w:val="Comment Subject Char"/>
    <w:basedOn w:val="CommentTextChar"/>
    <w:link w:val="CommentSubject"/>
    <w:uiPriority w:val="99"/>
    <w:semiHidden/>
    <w:rsid w:val="00F570C5"/>
    <w:rPr>
      <w:b/>
      <w:bCs/>
      <w:sz w:val="20"/>
      <w:szCs w:val="20"/>
    </w:rPr>
  </w:style>
  <w:style w:type="paragraph" w:styleId="BalloonText">
    <w:name w:val="Balloon Text"/>
    <w:basedOn w:val="Normal"/>
    <w:link w:val="BalloonTextChar"/>
    <w:uiPriority w:val="99"/>
    <w:semiHidden/>
    <w:unhideWhenUsed/>
    <w:rsid w:val="00F57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C5"/>
    <w:rPr>
      <w:rFonts w:ascii="Tahoma" w:hAnsi="Tahoma" w:cs="Tahoma"/>
      <w:sz w:val="16"/>
      <w:szCs w:val="16"/>
    </w:rPr>
  </w:style>
  <w:style w:type="paragraph" w:styleId="Revision">
    <w:name w:val="Revision"/>
    <w:hidden/>
    <w:uiPriority w:val="99"/>
    <w:semiHidden/>
    <w:rsid w:val="004E6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18" Type="http://schemas.openxmlformats.org/officeDocument/2006/relationships/customXml" Target="../customXml/item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332B5E82CAA025439AF46475CD2D8597" ma:contentTypeVersion="18" ma:contentTypeDescription="The base project type from which other project content types inherit their information." ma:contentTypeScope="" ma:versionID="5ef28711df144cd1e91344bafcc6e0e9">
  <xsd:schema xmlns:xsd="http://www.w3.org/2001/XMLSchema" xmlns:xs="http://www.w3.org/2001/XMLSchema" xmlns:p="http://schemas.microsoft.com/office/2006/metadata/properties" xmlns:ns2="cdc7663a-08f0-4737-9e8c-148ce897a09c" targetNamespace="http://schemas.microsoft.com/office/2006/metadata/properties" ma:root="true" ma:fieldsID="897385b3f34e90f95ff30cda528b638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IFD/CMF</Division_x0020_or_x0020_Unit>
    <Other_x0020_Author xmlns="cdc7663a-08f0-4737-9e8c-148ce897a09c" xsi:nil="true"/>
    <IDBDocs_x0020_Number xmlns="cdc7663a-08f0-4737-9e8c-148ce897a09c">40072039</IDBDocs_x0020_Number>
    <Document_x0020_Author xmlns="cdc7663a-08f0-4737-9e8c-148ce897a09c">Prats Cabrera, Joan Oriol</Document_x0020_Author>
    <Operation_x0020_Type xmlns="cdc7663a-08f0-4737-9e8c-148ce897a09c" xsi:nil="true"/>
    <TaxCatchAll xmlns="cdc7663a-08f0-4737-9e8c-148ce897a09c"/>
    <Fiscal_x0020_Year_x0020_IDB xmlns="cdc7663a-08f0-4737-9e8c-148ce897a09c">2016</Fiscal_x0020_Year_x0020_IDB>
    <Project_x0020_Number xmlns="cdc7663a-08f0-4737-9e8c-148ce897a09c">JA-L1058</Project_x0020_Number>
    <Package_x0020_Code xmlns="cdc7663a-08f0-4737-9e8c-148ce897a09c" xsi:nil="true"/>
    <Migration_x0020_Info xmlns="cdc7663a-08f0-4737-9e8c-148ce897a09c">MS WORDLPLoan ProposalMANAGERManager0N</Migration_x0020_Info>
    <Approval_x0020_Number xmlns="cdc7663a-08f0-4737-9e8c-148ce897a09c" xsi:nil="true"/>
    <Business_x0020_Area xmlns="cdc7663a-08f0-4737-9e8c-148ce897a09c" xsi:nil="true"/>
    <SISCOR_x0020_Number xmlns="cdc7663a-08f0-4737-9e8c-148ce897a09c" xsi:nil="true"/>
    <Identifier xmlns="cdc7663a-08f0-4737-9e8c-148ce897a09c"> ANNEX</Identifier>
    <Document_x0020_Language_x0020_IDB xmlns="cdc7663a-08f0-4737-9e8c-148ce897a09c">Spanish</Document_x0020_Language_x0020_IDB>
    <Phase xmlns="cdc7663a-08f0-4737-9e8c-148ce897a09c" xsi:nil="true"/>
    <Access_x0020_to_x0020_Information_x00a0_Policy xmlns="cdc7663a-08f0-4737-9e8c-148ce897a09c">Confidential</Access_x0020_to_x0020_Information_x00a0_Policy>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 xmlns="cdc7663a-08f0-4737-9e8c-148ce897a09c">EZSHARE-141180440-45</_dlc_DocId>
    <From_x003a_ xmlns="cdc7663a-08f0-4737-9e8c-148ce897a09c" xsi:nil="true"/>
    <To_x003a_ xmlns="cdc7663a-08f0-4737-9e8c-148ce897a09c" xsi:nil="true"/>
    <_dlc_DocIdUrl xmlns="cdc7663a-08f0-4737-9e8c-148ce897a09c">
      <Url>https://idbg.sharepoint.com/teams/EZ-JA-LON/JA-L1058/_layouts/15/DocIdRedir.aspx?ID=EZSHARE-141180440-45</Url>
      <Description>EZSHARE-141180440-45</Description>
    </_dlc_DocIdUrl>
  </documentManagement>
</p:properties>
</file>

<file path=customXml/item7.xml><?xml version="1.0" encoding="utf-8"?>
<?mso-contentType ?>
<SharedContentType xmlns="Microsoft.SharePoint.Taxonomy.ContentTypeSync" SourceId="ae61f9b1-e23d-4f49-b3d7-56b991556c4b" ContentTypeId="0x010100ACF722E9F6B0B149B0CD8BE2560A6672" PreviousValue="false"/>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FCE8A954-700E-4CBA-8B1E-F568C9504467}"/>
</file>

<file path=customXml/itemProps2.xml><?xml version="1.0" encoding="utf-8"?>
<ds:datastoreItem xmlns:ds="http://schemas.openxmlformats.org/officeDocument/2006/customXml" ds:itemID="{FFD51667-3053-4EF8-BF57-D47951760A4A}"/>
</file>

<file path=customXml/itemProps3.xml><?xml version="1.0" encoding="utf-8"?>
<ds:datastoreItem xmlns:ds="http://schemas.openxmlformats.org/officeDocument/2006/customXml" ds:itemID="{42E3B291-262C-426E-941A-9F8F934C7346}"/>
</file>

<file path=customXml/itemProps4.xml><?xml version="1.0" encoding="utf-8"?>
<ds:datastoreItem xmlns:ds="http://schemas.openxmlformats.org/officeDocument/2006/customXml" ds:itemID="{8CC18B32-B109-49CF-8DC5-C4E21EBFDC25}"/>
</file>

<file path=customXml/itemProps5.xml><?xml version="1.0" encoding="utf-8"?>
<ds:datastoreItem xmlns:ds="http://schemas.openxmlformats.org/officeDocument/2006/customXml" ds:itemID="{12704C80-1F6D-4B2D-8991-CEEFB96C438A}"/>
</file>

<file path=customXml/itemProps6.xml><?xml version="1.0" encoding="utf-8"?>
<ds:datastoreItem xmlns:ds="http://schemas.openxmlformats.org/officeDocument/2006/customXml" ds:itemID="{EBFB5A2D-2C2B-4E28-AF28-971D26903EE6}"/>
</file>

<file path=customXml/itemProps7.xml><?xml version="1.0" encoding="utf-8"?>
<ds:datastoreItem xmlns:ds="http://schemas.openxmlformats.org/officeDocument/2006/customXml" ds:itemID="{A25D44AD-8FC2-4A05-80CE-2081ACCAA8C2}"/>
</file>

<file path=customXml/itemProps8.xml><?xml version="1.0" encoding="utf-8"?>
<ds:datastoreItem xmlns:ds="http://schemas.openxmlformats.org/officeDocument/2006/customXml" ds:itemID="{2A8E53A0-8DBC-409F-9534-788B31B9C2A6}"/>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9702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Means of Verification _ JA-L1058</dc:title>
  <dc:creator>IADB</dc:creator>
  <cp:lastModifiedBy>IADB</cp:lastModifiedBy>
  <cp:revision>2</cp:revision>
  <dcterms:created xsi:type="dcterms:W3CDTF">2016-01-19T15:16:00Z</dcterms:created>
  <dcterms:modified xsi:type="dcterms:W3CDTF">2016-01-19T15:16:00Z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0x010100ACF722E9F6B0B149B0CD8BE2560A667200332B5E82CAA025439AF46475CD2D8597</vt:lpwstr>
  </property>
  <property fmtid="{D5CDD505-2E9C-101B-9397-08002B2CF9AE}" pid="5" name="TaxKeywordTaxHTField">
    <vt:lpwstr/>
  </property>
  <property fmtid="{D5CDD505-2E9C-101B-9397-08002B2CF9AE}" pid="6" name="Series Operations IDB">
    <vt:lpwstr>17;#Loan Proposal|6ee86b6f-6e46-485b-8bfb-87a1f44622ac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17;#Loan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
  </property>
  <property fmtid="{D5CDD505-2E9C-101B-9397-08002B2CF9AE}" pid="16" name="Disclosure Activity">
    <vt:lpwstr>Loan Proposal</vt:lpwstr>
  </property>
  <property fmtid="{D5CDD505-2E9C-101B-9397-08002B2CF9AE}" pid="18" name="ATI Disclose Document Workflow v5">
    <vt:lpwstr/>
  </property>
  <property fmtid="{D5CDD505-2E9C-101B-9397-08002B2CF9AE}" pid="21" name="Webtopic">
    <vt:lpwstr>Rural Land Management;Banking and Financial Services;Financial Sector Development;Finance;Finance</vt:lpwstr>
  </property>
  <property fmtid="{D5CDD505-2E9C-101B-9397-08002B2CF9AE}" pid="23" name="Disclosed">
    <vt:bool>false</vt:bool>
  </property>
  <property fmtid="{D5CDD505-2E9C-101B-9397-08002B2CF9AE}" pid="25" name="ATI Undisclose Document Workflow">
    <vt:lpwstr/>
  </property>
  <property fmtid="{D5CDD505-2E9C-101B-9397-08002B2CF9AE}" pid="26" name="_dlc_DocIdItemGuid">
    <vt:lpwstr>7c174fa5-5fc0-4b5a-863f-c44fe745ccf6</vt:lpwstr>
  </property>
</Properties>
</file>