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9F0" w:rsidRPr="000249D1" w:rsidRDefault="008D29F0">
      <w:pPr>
        <w:rPr>
          <w:lang w:val="es-ES_tradnl"/>
        </w:rPr>
      </w:pPr>
      <w:bookmarkStart w:id="0" w:name="_GoBack"/>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tabs>
          <w:tab w:val="left" w:pos="1485"/>
        </w:tabs>
        <w:jc w:val="center"/>
        <w:rPr>
          <w:b/>
          <w:u w:val="single"/>
          <w:lang w:val="es-ES_tradnl"/>
        </w:rPr>
      </w:pPr>
      <w:r w:rsidRPr="000249D1">
        <w:rPr>
          <w:b/>
          <w:sz w:val="56"/>
          <w:u w:val="single"/>
          <w:lang w:val="es-ES_tradnl"/>
        </w:rPr>
        <w:t>INDICADORES FINANCIEROS Y OPERATIVOS EPSAS</w:t>
      </w: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8D29F0" w:rsidRPr="000249D1" w:rsidRDefault="008D29F0" w:rsidP="008D29F0">
      <w:pPr>
        <w:rPr>
          <w:lang w:val="es-ES_tradnl"/>
        </w:rPr>
      </w:pPr>
    </w:p>
    <w:p w:rsidR="005577AC" w:rsidRPr="000249D1" w:rsidRDefault="008D29F0" w:rsidP="008D29F0">
      <w:pPr>
        <w:tabs>
          <w:tab w:val="left" w:pos="2400"/>
        </w:tabs>
        <w:rPr>
          <w:lang w:val="es-ES_tradnl"/>
        </w:rPr>
      </w:pPr>
      <w:r w:rsidRPr="000249D1">
        <w:rPr>
          <w:lang w:val="es-ES_tradnl"/>
        </w:rPr>
        <w:tab/>
      </w: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jc w:val="center"/>
        <w:rPr>
          <w:sz w:val="36"/>
          <w:lang w:val="es-ES_tradnl"/>
        </w:rPr>
      </w:pPr>
      <w:r w:rsidRPr="000249D1">
        <w:rPr>
          <w:sz w:val="36"/>
          <w:lang w:val="es-ES_tradnl"/>
        </w:rPr>
        <w:lastRenderedPageBreak/>
        <w:t>INDICE</w:t>
      </w:r>
    </w:p>
    <w:p w:rsidR="008D29F0" w:rsidRPr="000249D1" w:rsidRDefault="008D29F0" w:rsidP="008D29F0">
      <w:pPr>
        <w:tabs>
          <w:tab w:val="left" w:pos="2400"/>
        </w:tabs>
        <w:jc w:val="center"/>
        <w:rPr>
          <w:sz w:val="36"/>
          <w:lang w:val="es-ES_tradnl"/>
        </w:rPr>
      </w:pPr>
    </w:p>
    <w:p w:rsidR="008D29F0" w:rsidRPr="000249D1" w:rsidRDefault="008D29F0" w:rsidP="008D29F0">
      <w:pPr>
        <w:tabs>
          <w:tab w:val="left" w:pos="2400"/>
        </w:tabs>
        <w:jc w:val="center"/>
        <w:rPr>
          <w:b/>
          <w:sz w:val="36"/>
          <w:lang w:val="es-ES_tradnl"/>
        </w:rPr>
      </w:pPr>
    </w:p>
    <w:p w:rsidR="008D29F0" w:rsidRPr="000249D1" w:rsidRDefault="008D29F0" w:rsidP="008D29F0">
      <w:pPr>
        <w:tabs>
          <w:tab w:val="left" w:pos="2400"/>
        </w:tabs>
        <w:jc w:val="center"/>
        <w:rPr>
          <w:b/>
          <w:sz w:val="36"/>
          <w:lang w:val="es-ES_tradnl"/>
        </w:rPr>
      </w:pPr>
    </w:p>
    <w:p w:rsidR="008D29F0" w:rsidRPr="000249D1" w:rsidRDefault="008D29F0" w:rsidP="008D29F0">
      <w:pPr>
        <w:pStyle w:val="ListParagraph"/>
        <w:numPr>
          <w:ilvl w:val="0"/>
          <w:numId w:val="2"/>
        </w:numPr>
        <w:tabs>
          <w:tab w:val="left" w:pos="2400"/>
        </w:tabs>
        <w:rPr>
          <w:b/>
          <w:lang w:val="es-ES_tradnl"/>
        </w:rPr>
      </w:pPr>
      <w:r w:rsidRPr="000249D1">
        <w:rPr>
          <w:b/>
          <w:lang w:val="es-ES_tradnl"/>
        </w:rPr>
        <w:t>Introducción</w:t>
      </w:r>
      <w:r w:rsidR="000B4282" w:rsidRPr="000249D1">
        <w:rPr>
          <w:b/>
          <w:lang w:val="es-ES_tradnl"/>
        </w:rPr>
        <w:t xml:space="preserve"> y Antecedentes</w:t>
      </w:r>
    </w:p>
    <w:p w:rsidR="00492D08" w:rsidRPr="000249D1" w:rsidRDefault="00492D08" w:rsidP="00492D08">
      <w:pPr>
        <w:pStyle w:val="ListParagraph"/>
        <w:tabs>
          <w:tab w:val="left" w:pos="2400"/>
        </w:tabs>
        <w:ind w:left="1080"/>
        <w:rPr>
          <w:b/>
          <w:lang w:val="es-ES_tradnl"/>
        </w:rPr>
      </w:pPr>
    </w:p>
    <w:p w:rsidR="008D29F0" w:rsidRPr="000249D1" w:rsidRDefault="0011591B" w:rsidP="008D29F0">
      <w:pPr>
        <w:pStyle w:val="ListParagraph"/>
        <w:numPr>
          <w:ilvl w:val="0"/>
          <w:numId w:val="2"/>
        </w:numPr>
        <w:tabs>
          <w:tab w:val="left" w:pos="2400"/>
        </w:tabs>
        <w:rPr>
          <w:b/>
          <w:lang w:val="es-ES_tradnl"/>
        </w:rPr>
      </w:pPr>
      <w:r w:rsidRPr="000249D1">
        <w:rPr>
          <w:b/>
          <w:lang w:val="es-ES_tradnl"/>
        </w:rPr>
        <w:t>EPSAs con seguimiento regulatorio</w:t>
      </w:r>
    </w:p>
    <w:p w:rsidR="008D29F0" w:rsidRPr="000249D1" w:rsidRDefault="008D29F0" w:rsidP="008D29F0">
      <w:pPr>
        <w:pStyle w:val="ListParagraph"/>
        <w:rPr>
          <w:b/>
          <w:lang w:val="es-ES_tradnl"/>
        </w:rPr>
      </w:pPr>
    </w:p>
    <w:p w:rsidR="008D29F0" w:rsidRPr="000249D1" w:rsidRDefault="00CD5355" w:rsidP="008D29F0">
      <w:pPr>
        <w:pStyle w:val="ListParagraph"/>
        <w:numPr>
          <w:ilvl w:val="0"/>
          <w:numId w:val="2"/>
        </w:numPr>
        <w:tabs>
          <w:tab w:val="left" w:pos="2400"/>
        </w:tabs>
        <w:rPr>
          <w:b/>
          <w:lang w:val="es-ES_tradnl"/>
        </w:rPr>
      </w:pPr>
      <w:r w:rsidRPr="000249D1">
        <w:rPr>
          <w:b/>
          <w:lang w:val="es-ES_tradnl"/>
        </w:rPr>
        <w:t xml:space="preserve">Selección </w:t>
      </w:r>
      <w:r w:rsidR="00365963" w:rsidRPr="000249D1">
        <w:rPr>
          <w:b/>
          <w:lang w:val="es-ES_tradnl"/>
        </w:rPr>
        <w:t xml:space="preserve">Indicadores </w:t>
      </w:r>
      <w:r w:rsidR="0042370E" w:rsidRPr="000249D1">
        <w:rPr>
          <w:b/>
          <w:lang w:val="es-ES_tradnl"/>
        </w:rPr>
        <w:t>de D</w:t>
      </w:r>
      <w:r w:rsidRPr="000249D1">
        <w:rPr>
          <w:b/>
          <w:lang w:val="es-ES_tradnl"/>
        </w:rPr>
        <w:t>esempeño</w:t>
      </w:r>
    </w:p>
    <w:p w:rsidR="00CD5355" w:rsidRPr="000249D1" w:rsidRDefault="00CD5355" w:rsidP="00CD5355">
      <w:pPr>
        <w:pStyle w:val="ListParagraph"/>
        <w:rPr>
          <w:b/>
          <w:lang w:val="es-ES_tradnl"/>
        </w:rPr>
      </w:pPr>
    </w:p>
    <w:p w:rsidR="00A2408F" w:rsidRPr="000249D1" w:rsidRDefault="00CD5355" w:rsidP="008D29F0">
      <w:pPr>
        <w:pStyle w:val="ListParagraph"/>
        <w:numPr>
          <w:ilvl w:val="0"/>
          <w:numId w:val="2"/>
        </w:numPr>
        <w:tabs>
          <w:tab w:val="left" w:pos="2400"/>
        </w:tabs>
        <w:rPr>
          <w:b/>
          <w:lang w:val="es-ES_tradnl"/>
        </w:rPr>
      </w:pPr>
      <w:r w:rsidRPr="000249D1">
        <w:rPr>
          <w:b/>
          <w:lang w:val="es-ES_tradnl"/>
        </w:rPr>
        <w:t xml:space="preserve">Resumen Indicadores </w:t>
      </w:r>
      <w:r w:rsidR="00CD3BD1" w:rsidRPr="000249D1">
        <w:rPr>
          <w:b/>
          <w:lang w:val="es-ES_tradnl"/>
        </w:rPr>
        <w:t xml:space="preserve">de </w:t>
      </w:r>
      <w:r w:rsidR="0042370E" w:rsidRPr="000249D1">
        <w:rPr>
          <w:b/>
          <w:lang w:val="es-ES_tradnl"/>
        </w:rPr>
        <w:t>D</w:t>
      </w:r>
      <w:r w:rsidRPr="000249D1">
        <w:rPr>
          <w:b/>
          <w:lang w:val="es-ES_tradnl"/>
        </w:rPr>
        <w:t>esempeño</w:t>
      </w:r>
    </w:p>
    <w:p w:rsidR="00A2408F" w:rsidRPr="000249D1" w:rsidRDefault="00A2408F" w:rsidP="00A2408F">
      <w:pPr>
        <w:pStyle w:val="ListParagraph"/>
        <w:rPr>
          <w:b/>
          <w:lang w:val="es-ES_tradnl"/>
        </w:rPr>
      </w:pPr>
    </w:p>
    <w:p w:rsidR="00CD5355" w:rsidRPr="000249D1" w:rsidRDefault="00A2408F" w:rsidP="008D29F0">
      <w:pPr>
        <w:pStyle w:val="ListParagraph"/>
        <w:numPr>
          <w:ilvl w:val="0"/>
          <w:numId w:val="2"/>
        </w:numPr>
        <w:tabs>
          <w:tab w:val="left" w:pos="2400"/>
        </w:tabs>
        <w:rPr>
          <w:b/>
          <w:lang w:val="es-ES_tradnl"/>
        </w:rPr>
      </w:pPr>
      <w:r w:rsidRPr="000249D1">
        <w:rPr>
          <w:b/>
          <w:lang w:val="es-ES_tradnl"/>
        </w:rPr>
        <w:t>Indicadores EPSAs Categoría “A”</w:t>
      </w:r>
      <w:r w:rsidR="00CD5355" w:rsidRPr="000249D1">
        <w:rPr>
          <w:b/>
          <w:lang w:val="es-ES_tradnl"/>
        </w:rPr>
        <w:t xml:space="preserve"> </w:t>
      </w:r>
    </w:p>
    <w:p w:rsidR="00F630AD" w:rsidRPr="000249D1" w:rsidRDefault="00F630AD" w:rsidP="00F630AD">
      <w:pPr>
        <w:pStyle w:val="ListParagraph"/>
        <w:rPr>
          <w:b/>
          <w:lang w:val="es-ES_tradnl"/>
        </w:rPr>
      </w:pPr>
    </w:p>
    <w:p w:rsidR="00F630AD" w:rsidRPr="000249D1" w:rsidRDefault="00F630AD" w:rsidP="008D29F0">
      <w:pPr>
        <w:pStyle w:val="ListParagraph"/>
        <w:numPr>
          <w:ilvl w:val="0"/>
          <w:numId w:val="2"/>
        </w:numPr>
        <w:tabs>
          <w:tab w:val="left" w:pos="2400"/>
        </w:tabs>
        <w:rPr>
          <w:b/>
          <w:lang w:val="es-ES_tradnl"/>
        </w:rPr>
      </w:pPr>
      <w:r w:rsidRPr="000249D1">
        <w:rPr>
          <w:b/>
          <w:lang w:val="es-ES_tradnl"/>
        </w:rPr>
        <w:t>Indicadores EPSAs Categoría “B”</w:t>
      </w:r>
    </w:p>
    <w:p w:rsidR="00E9162F" w:rsidRPr="000249D1" w:rsidRDefault="00E9162F" w:rsidP="00E9162F">
      <w:pPr>
        <w:pStyle w:val="ListParagraph"/>
        <w:rPr>
          <w:b/>
          <w:lang w:val="es-ES_tradnl"/>
        </w:rPr>
      </w:pPr>
    </w:p>
    <w:p w:rsidR="00E9162F" w:rsidRPr="000249D1" w:rsidRDefault="00E9162F" w:rsidP="008D29F0">
      <w:pPr>
        <w:pStyle w:val="ListParagraph"/>
        <w:numPr>
          <w:ilvl w:val="0"/>
          <w:numId w:val="2"/>
        </w:numPr>
        <w:tabs>
          <w:tab w:val="left" w:pos="2400"/>
        </w:tabs>
        <w:rPr>
          <w:b/>
          <w:lang w:val="es-ES_tradnl"/>
        </w:rPr>
      </w:pPr>
      <w:r w:rsidRPr="000249D1">
        <w:rPr>
          <w:b/>
          <w:lang w:val="es-ES_tradnl"/>
        </w:rPr>
        <w:t>Indicadores EPSAs Categoría “</w:t>
      </w:r>
      <w:r w:rsidR="00AB2AC5" w:rsidRPr="000249D1">
        <w:rPr>
          <w:b/>
          <w:lang w:val="es-ES_tradnl"/>
        </w:rPr>
        <w:t>C</w:t>
      </w:r>
      <w:r w:rsidRPr="000249D1">
        <w:rPr>
          <w:b/>
          <w:lang w:val="es-ES_tradnl"/>
        </w:rPr>
        <w:t>”</w:t>
      </w:r>
    </w:p>
    <w:p w:rsidR="00E9162F" w:rsidRPr="000249D1" w:rsidRDefault="00E9162F" w:rsidP="00E9162F">
      <w:pPr>
        <w:pStyle w:val="ListParagraph"/>
        <w:rPr>
          <w:b/>
          <w:lang w:val="es-ES_tradnl"/>
        </w:rPr>
      </w:pPr>
    </w:p>
    <w:p w:rsidR="00E9162F" w:rsidRPr="000249D1" w:rsidRDefault="00E9162F" w:rsidP="008D29F0">
      <w:pPr>
        <w:pStyle w:val="ListParagraph"/>
        <w:numPr>
          <w:ilvl w:val="0"/>
          <w:numId w:val="2"/>
        </w:numPr>
        <w:tabs>
          <w:tab w:val="left" w:pos="2400"/>
        </w:tabs>
        <w:rPr>
          <w:b/>
          <w:lang w:val="es-ES_tradnl"/>
        </w:rPr>
      </w:pPr>
      <w:r w:rsidRPr="000249D1">
        <w:rPr>
          <w:b/>
          <w:lang w:val="es-ES_tradnl"/>
        </w:rPr>
        <w:t>Conclusiones</w:t>
      </w:r>
    </w:p>
    <w:p w:rsidR="008D29F0" w:rsidRPr="000249D1" w:rsidRDefault="008D29F0" w:rsidP="008D29F0">
      <w:pPr>
        <w:pStyle w:val="ListParagraph"/>
        <w:rPr>
          <w:b/>
          <w:lang w:val="es-ES_tradnl"/>
        </w:rPr>
      </w:pPr>
    </w:p>
    <w:p w:rsidR="008D29F0" w:rsidRPr="000249D1" w:rsidRDefault="008D29F0" w:rsidP="008D29F0">
      <w:pPr>
        <w:tabs>
          <w:tab w:val="left" w:pos="2400"/>
        </w:tabs>
        <w:rPr>
          <w:b/>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8D29F0" w:rsidRPr="000249D1" w:rsidRDefault="008D29F0" w:rsidP="008D29F0">
      <w:pPr>
        <w:tabs>
          <w:tab w:val="left" w:pos="2400"/>
        </w:tabs>
        <w:rPr>
          <w:lang w:val="es-ES_tradnl"/>
        </w:rPr>
      </w:pPr>
    </w:p>
    <w:p w:rsidR="003745AD" w:rsidRPr="000249D1" w:rsidRDefault="003745AD" w:rsidP="003745AD">
      <w:pPr>
        <w:pStyle w:val="ListParagraph"/>
        <w:numPr>
          <w:ilvl w:val="0"/>
          <w:numId w:val="3"/>
        </w:numPr>
        <w:tabs>
          <w:tab w:val="left" w:pos="2400"/>
        </w:tabs>
        <w:rPr>
          <w:b/>
          <w:lang w:val="es-ES_tradnl"/>
        </w:rPr>
      </w:pPr>
      <w:r w:rsidRPr="000249D1">
        <w:rPr>
          <w:b/>
          <w:lang w:val="es-ES_tradnl"/>
        </w:rPr>
        <w:lastRenderedPageBreak/>
        <w:t>Introducción</w:t>
      </w:r>
      <w:r w:rsidR="000B4282" w:rsidRPr="000249D1">
        <w:rPr>
          <w:b/>
          <w:lang w:val="es-ES_tradnl"/>
        </w:rPr>
        <w:t xml:space="preserve"> y Antecedentes</w:t>
      </w:r>
    </w:p>
    <w:p w:rsidR="003745AD" w:rsidRPr="000249D1" w:rsidRDefault="003745AD" w:rsidP="0011591B">
      <w:pPr>
        <w:tabs>
          <w:tab w:val="left" w:pos="2400"/>
        </w:tabs>
        <w:spacing w:line="240" w:lineRule="auto"/>
        <w:jc w:val="both"/>
        <w:rPr>
          <w:lang w:val="es-ES_tradnl"/>
        </w:rPr>
      </w:pPr>
      <w:r w:rsidRPr="000249D1">
        <w:rPr>
          <w:lang w:val="es-ES_tradnl"/>
        </w:rPr>
        <w:t>En la gestión</w:t>
      </w:r>
      <w:r w:rsidR="002D439B" w:rsidRPr="000249D1">
        <w:rPr>
          <w:lang w:val="es-ES_tradnl"/>
        </w:rPr>
        <w:t xml:space="preserve"> del</w:t>
      </w:r>
      <w:r w:rsidRPr="000249D1">
        <w:rPr>
          <w:lang w:val="es-ES_tradnl"/>
        </w:rPr>
        <w:t xml:space="preserve"> 2013, las EPSA</w:t>
      </w:r>
      <w:r w:rsidR="002D439B" w:rsidRPr="000249D1">
        <w:rPr>
          <w:lang w:val="es-ES_tradnl"/>
        </w:rPr>
        <w:t>s</w:t>
      </w:r>
      <w:r w:rsidRPr="000249D1">
        <w:rPr>
          <w:lang w:val="es-ES_tradnl"/>
        </w:rPr>
        <w:t xml:space="preserve"> con seguimiento regulatorio se han incrementado de 28 a 47, alcanzando</w:t>
      </w:r>
      <w:r w:rsidR="002D439B" w:rsidRPr="000249D1">
        <w:rPr>
          <w:lang w:val="es-ES_tradnl"/>
        </w:rPr>
        <w:t xml:space="preserve"> una</w:t>
      </w:r>
      <w:r w:rsidRPr="000249D1">
        <w:rPr>
          <w:lang w:val="es-ES_tradnl"/>
        </w:rPr>
        <w:t xml:space="preserve"> cobertura regulatoria al 67% de la población nacional, es decir</w:t>
      </w:r>
      <w:r w:rsidR="002D439B" w:rsidRPr="000249D1">
        <w:rPr>
          <w:lang w:val="es-ES_tradnl"/>
        </w:rPr>
        <w:t>,</w:t>
      </w:r>
      <w:r w:rsidRPr="000249D1">
        <w:rPr>
          <w:lang w:val="es-ES_tradnl"/>
        </w:rPr>
        <w:t xml:space="preserve"> que más EPSA</w:t>
      </w:r>
      <w:r w:rsidR="002D439B" w:rsidRPr="000249D1">
        <w:rPr>
          <w:lang w:val="es-ES_tradnl"/>
        </w:rPr>
        <w:t>s</w:t>
      </w:r>
      <w:r w:rsidRPr="000249D1">
        <w:rPr>
          <w:lang w:val="es-ES_tradnl"/>
        </w:rPr>
        <w:t xml:space="preserve"> tienen seguimiento efectivo al cumplimiento de obligaciones de reporte de información y logro de metas de cobertura, calidad, dotación, continuidad y eficiencia operativa-administrativa del servicio.</w:t>
      </w:r>
    </w:p>
    <w:p w:rsidR="003745AD" w:rsidRPr="000249D1" w:rsidRDefault="0011591B" w:rsidP="0011591B">
      <w:pPr>
        <w:tabs>
          <w:tab w:val="left" w:pos="2400"/>
        </w:tabs>
        <w:spacing w:line="240" w:lineRule="auto"/>
        <w:jc w:val="both"/>
        <w:rPr>
          <w:lang w:val="es-ES_tradnl"/>
        </w:rPr>
      </w:pPr>
      <w:r w:rsidRPr="000249D1">
        <w:rPr>
          <w:lang w:val="es-ES_tradnl"/>
        </w:rPr>
        <w:t>A través del seguimiento r</w:t>
      </w:r>
      <w:r w:rsidR="003745AD" w:rsidRPr="000249D1">
        <w:rPr>
          <w:lang w:val="es-ES_tradnl"/>
        </w:rPr>
        <w:t>egulatorio</w:t>
      </w:r>
      <w:r w:rsidRPr="000249D1">
        <w:rPr>
          <w:lang w:val="es-ES_tradnl"/>
        </w:rPr>
        <w:t>, el organismo regulador en el país,</w:t>
      </w:r>
      <w:r w:rsidR="003745AD" w:rsidRPr="000249D1">
        <w:rPr>
          <w:lang w:val="es-ES_tradnl"/>
        </w:rPr>
        <w:t xml:space="preserve"> la AAPS</w:t>
      </w:r>
      <w:r w:rsidRPr="000249D1">
        <w:rPr>
          <w:lang w:val="es-ES_tradnl"/>
        </w:rPr>
        <w:t>,</w:t>
      </w:r>
      <w:r w:rsidR="003745AD" w:rsidRPr="000249D1">
        <w:rPr>
          <w:lang w:val="es-ES_tradnl"/>
        </w:rPr>
        <w:t xml:space="preserve"> busca garantizar que los servicios de agua potable que brindan las EPSA</w:t>
      </w:r>
      <w:r w:rsidR="002D439B" w:rsidRPr="000249D1">
        <w:rPr>
          <w:lang w:val="es-ES_tradnl"/>
        </w:rPr>
        <w:t>s</w:t>
      </w:r>
      <w:r w:rsidR="003745AD" w:rsidRPr="000249D1">
        <w:rPr>
          <w:lang w:val="es-ES_tradnl"/>
        </w:rPr>
        <w:t>, lleguen a los usuarios en cantidad y calidad suficientes para la demanda actual y futura.</w:t>
      </w:r>
      <w:r w:rsidR="002D439B" w:rsidRPr="000249D1">
        <w:rPr>
          <w:lang w:val="es-ES_tradnl"/>
        </w:rPr>
        <w:t xml:space="preserve"> </w:t>
      </w:r>
      <w:r w:rsidR="003745AD" w:rsidRPr="000249D1">
        <w:rPr>
          <w:lang w:val="es-ES_tradnl"/>
        </w:rPr>
        <w:t>En Bolivia, la prestación de los servicios tiene características monopólicas, es decir que las EPSA</w:t>
      </w:r>
      <w:r w:rsidR="000449DF" w:rsidRPr="000249D1">
        <w:rPr>
          <w:lang w:val="es-ES_tradnl"/>
        </w:rPr>
        <w:t>s</w:t>
      </w:r>
      <w:r w:rsidR="003745AD" w:rsidRPr="000249D1">
        <w:rPr>
          <w:lang w:val="es-ES_tradnl"/>
        </w:rPr>
        <w:t xml:space="preserve"> tienen exclusividad en la prestación del servicio dentro del área de Licencia, Registro o Autorización Transitoria otorgada. Ante esta situación</w:t>
      </w:r>
      <w:r w:rsidR="000449DF" w:rsidRPr="000249D1">
        <w:rPr>
          <w:lang w:val="es-ES_tradnl"/>
        </w:rPr>
        <w:t>,</w:t>
      </w:r>
      <w:r w:rsidR="003745AD" w:rsidRPr="000249D1">
        <w:rPr>
          <w:lang w:val="es-ES_tradnl"/>
        </w:rPr>
        <w:t xml:space="preserve"> el regulador debe velar por la efici</w:t>
      </w:r>
      <w:r w:rsidR="000449DF" w:rsidRPr="000249D1">
        <w:rPr>
          <w:lang w:val="es-ES_tradnl"/>
        </w:rPr>
        <w:t>ente prestación de los</w:t>
      </w:r>
      <w:r w:rsidR="003745AD" w:rsidRPr="000249D1">
        <w:rPr>
          <w:lang w:val="es-ES_tradnl"/>
        </w:rPr>
        <w:t xml:space="preserve"> servicio</w:t>
      </w:r>
      <w:r w:rsidR="000449DF" w:rsidRPr="000249D1">
        <w:rPr>
          <w:lang w:val="es-ES_tradnl"/>
        </w:rPr>
        <w:t>s</w:t>
      </w:r>
      <w:r w:rsidR="003745AD" w:rsidRPr="000249D1">
        <w:rPr>
          <w:lang w:val="es-ES_tradnl"/>
        </w:rPr>
        <w:t>, siendo la evaluación mediante indicadores una forma de medir el desempeño de las EPSA</w:t>
      </w:r>
      <w:r w:rsidR="000449DF" w:rsidRPr="000249D1">
        <w:rPr>
          <w:lang w:val="es-ES_tradnl"/>
        </w:rPr>
        <w:t>s</w:t>
      </w:r>
      <w:r w:rsidR="003745AD" w:rsidRPr="000249D1">
        <w:rPr>
          <w:lang w:val="es-ES_tradnl"/>
        </w:rPr>
        <w:t>.</w:t>
      </w:r>
    </w:p>
    <w:p w:rsidR="008D29F0" w:rsidRPr="000249D1" w:rsidRDefault="003745AD" w:rsidP="0011591B">
      <w:pPr>
        <w:tabs>
          <w:tab w:val="left" w:pos="2400"/>
        </w:tabs>
        <w:spacing w:line="240" w:lineRule="auto"/>
        <w:jc w:val="both"/>
        <w:rPr>
          <w:lang w:val="es-ES_tradnl"/>
        </w:rPr>
      </w:pPr>
      <w:r w:rsidRPr="000249D1">
        <w:rPr>
          <w:lang w:val="es-ES_tradnl"/>
        </w:rPr>
        <w:t>Los Indicadores de Desempeño, se constituyen en una herramienta útil para las EPSA</w:t>
      </w:r>
      <w:r w:rsidR="007E0D06" w:rsidRPr="000249D1">
        <w:rPr>
          <w:lang w:val="es-ES_tradnl"/>
        </w:rPr>
        <w:t>s,</w:t>
      </w:r>
      <w:r w:rsidRPr="000249D1">
        <w:rPr>
          <w:lang w:val="es-ES_tradnl"/>
        </w:rPr>
        <w:t xml:space="preserve"> las cuales tienen la responsabilidad de operación y fijar sus metas de eficiencia y control de compromisos asumidos. También son un apoyo para las Entidades del Sector, quienes deben establecer las políticas de servicios de agua potable y alcantarillado sanitario</w:t>
      </w:r>
      <w:r w:rsidR="007E0D06" w:rsidRPr="000249D1">
        <w:rPr>
          <w:lang w:val="es-ES_tradnl"/>
        </w:rPr>
        <w:t>,</w:t>
      </w:r>
      <w:r w:rsidRPr="000249D1">
        <w:rPr>
          <w:lang w:val="es-ES_tradnl"/>
        </w:rPr>
        <w:t xml:space="preserve"> y garantizar los derechos de los usuarios. El conjunto de Indicadores no deben interpretarse de manera aislada, sino considerar las particularidades de cada operador y su entorno.</w:t>
      </w:r>
    </w:p>
    <w:p w:rsidR="000B4282" w:rsidRPr="000249D1" w:rsidRDefault="000B4282" w:rsidP="0011591B">
      <w:pPr>
        <w:tabs>
          <w:tab w:val="left" w:pos="2400"/>
        </w:tabs>
        <w:spacing w:line="240" w:lineRule="auto"/>
        <w:jc w:val="both"/>
        <w:rPr>
          <w:lang w:val="es-ES_tradnl"/>
        </w:rPr>
      </w:pPr>
      <w:r w:rsidRPr="000249D1">
        <w:rPr>
          <w:lang w:val="es-ES_tradnl"/>
        </w:rPr>
        <w:t xml:space="preserve">El Decreto Supremo 071 del 9 de abril de 2009, establece que la Autoridad de Fiscalización y Control Social de Agua Potable y Saneamiento Básico </w:t>
      </w:r>
      <w:r w:rsidR="007E0D06" w:rsidRPr="000249D1">
        <w:rPr>
          <w:lang w:val="es-ES_tradnl"/>
        </w:rPr>
        <w:t>(</w:t>
      </w:r>
      <w:r w:rsidRPr="000249D1">
        <w:rPr>
          <w:lang w:val="es-ES_tradnl"/>
        </w:rPr>
        <w:t>AAPS</w:t>
      </w:r>
      <w:r w:rsidR="007E0D06" w:rsidRPr="000249D1">
        <w:rPr>
          <w:lang w:val="es-ES_tradnl"/>
        </w:rPr>
        <w:t>)</w:t>
      </w:r>
      <w:r w:rsidRPr="000249D1">
        <w:rPr>
          <w:lang w:val="es-ES_tradnl"/>
        </w:rPr>
        <w:t xml:space="preserve"> f</w:t>
      </w:r>
      <w:r w:rsidR="007E0D06" w:rsidRPr="000249D1">
        <w:rPr>
          <w:lang w:val="es-ES_tradnl"/>
        </w:rPr>
        <w:t xml:space="preserve">iscaliza, </w:t>
      </w:r>
      <w:r w:rsidRPr="000249D1">
        <w:rPr>
          <w:lang w:val="es-ES_tradnl"/>
        </w:rPr>
        <w:t>controla, supervisa y regula las actividades de agua potable y saneamiento básico considerando la Ley Nº 2066 de 11 de abril de 2000 y la Ley Nº 278 de 8 de octubre de 2004</w:t>
      </w:r>
      <w:r w:rsidR="007E0D06" w:rsidRPr="000249D1">
        <w:rPr>
          <w:lang w:val="es-ES_tradnl"/>
        </w:rPr>
        <w:t>,</w:t>
      </w:r>
      <w:r w:rsidRPr="000249D1">
        <w:rPr>
          <w:lang w:val="es-ES_tradnl"/>
        </w:rPr>
        <w:t xml:space="preserve"> en tanto no contradigan lo dispuesto en la Constitución Política del Estado (CPE).</w:t>
      </w:r>
    </w:p>
    <w:p w:rsidR="000B4282" w:rsidRPr="000249D1" w:rsidRDefault="000B4282" w:rsidP="0011591B">
      <w:pPr>
        <w:tabs>
          <w:tab w:val="left" w:pos="2400"/>
        </w:tabs>
        <w:spacing w:line="240" w:lineRule="auto"/>
        <w:jc w:val="both"/>
        <w:rPr>
          <w:lang w:val="es-ES_tradnl"/>
        </w:rPr>
      </w:pPr>
      <w:r w:rsidRPr="000249D1">
        <w:rPr>
          <w:lang w:val="es-ES_tradnl"/>
        </w:rPr>
        <w:t>El Decreto Supremo Nº 0723 del 6 de diciembre de 2010, establece que las concesiones de servicios básicos otorgadas con anterioridad al 6 de d</w:t>
      </w:r>
      <w:r w:rsidR="00C95D33" w:rsidRPr="000249D1">
        <w:rPr>
          <w:lang w:val="es-ES_tradnl"/>
        </w:rPr>
        <w:t xml:space="preserve">iciembre de 2010, a partir </w:t>
      </w:r>
      <w:r w:rsidRPr="000249D1">
        <w:rPr>
          <w:lang w:val="es-ES_tradnl"/>
        </w:rPr>
        <w:t xml:space="preserve">de la aprobación de </w:t>
      </w:r>
      <w:r w:rsidR="00C95D33" w:rsidRPr="000249D1">
        <w:rPr>
          <w:lang w:val="es-ES_tradnl"/>
        </w:rPr>
        <w:t>dicho</w:t>
      </w:r>
      <w:r w:rsidRPr="000249D1">
        <w:rPr>
          <w:lang w:val="es-ES_tradnl"/>
        </w:rPr>
        <w:t xml:space="preserve"> Decreto Supremo se</w:t>
      </w:r>
      <w:r w:rsidR="00C95D33" w:rsidRPr="000249D1">
        <w:rPr>
          <w:lang w:val="es-ES_tradnl"/>
        </w:rPr>
        <w:t xml:space="preserve"> </w:t>
      </w:r>
      <w:r w:rsidRPr="000249D1">
        <w:rPr>
          <w:lang w:val="es-ES_tradnl"/>
        </w:rPr>
        <w:t>adecuan al ordenamiento</w:t>
      </w:r>
      <w:r w:rsidR="00C95D33" w:rsidRPr="000249D1">
        <w:rPr>
          <w:lang w:val="es-ES_tradnl"/>
        </w:rPr>
        <w:t xml:space="preserve"> </w:t>
      </w:r>
      <w:r w:rsidRPr="000249D1">
        <w:rPr>
          <w:lang w:val="es-ES_tradnl"/>
        </w:rPr>
        <w:t>constitu</w:t>
      </w:r>
      <w:r w:rsidR="00C95D33" w:rsidRPr="000249D1">
        <w:rPr>
          <w:lang w:val="es-ES_tradnl"/>
        </w:rPr>
        <w:t xml:space="preserve">cional vigente, transformándose </w:t>
      </w:r>
      <w:r w:rsidRPr="000249D1">
        <w:rPr>
          <w:lang w:val="es-ES_tradnl"/>
        </w:rPr>
        <w:t>automáticamente en Autorizaciones Transitorias Especiales, en tanto se realice su migración de acuerdo a normativa sectorial a emitirse. Asimismo la transformación automática garant</w:t>
      </w:r>
      <w:r w:rsidR="00C95D33" w:rsidRPr="000249D1">
        <w:rPr>
          <w:lang w:val="es-ES_tradnl"/>
        </w:rPr>
        <w:t xml:space="preserve">iza los derechos </w:t>
      </w:r>
      <w:r w:rsidRPr="000249D1">
        <w:rPr>
          <w:lang w:val="es-ES_tradnl"/>
        </w:rPr>
        <w:t>adquiridos.</w:t>
      </w:r>
    </w:p>
    <w:p w:rsidR="000B4282" w:rsidRPr="000249D1" w:rsidRDefault="000B4282" w:rsidP="0011591B">
      <w:pPr>
        <w:tabs>
          <w:tab w:val="left" w:pos="2400"/>
        </w:tabs>
        <w:spacing w:line="240" w:lineRule="auto"/>
        <w:jc w:val="both"/>
        <w:rPr>
          <w:lang w:val="es-ES_tradnl"/>
        </w:rPr>
      </w:pPr>
      <w:r w:rsidRPr="000249D1">
        <w:rPr>
          <w:lang w:val="es-ES_tradnl"/>
        </w:rPr>
        <w:t xml:space="preserve">A partir del 14 de diciembre 2010, la AAPS realiza el proceso de migración de las “Concesiones” mediante la otorgación de Licencias y Autorizaciones Transitorias Especiales, estableciendo que los derechos y obligaciones </w:t>
      </w:r>
      <w:r w:rsidRPr="000249D1">
        <w:rPr>
          <w:lang w:val="es-ES_tradnl"/>
        </w:rPr>
        <w:lastRenderedPageBreak/>
        <w:t>adquiridos por la</w:t>
      </w:r>
      <w:r w:rsidR="006A62AE" w:rsidRPr="000249D1">
        <w:rPr>
          <w:lang w:val="es-ES_tradnl"/>
        </w:rPr>
        <w:t>s</w:t>
      </w:r>
      <w:r w:rsidRPr="000249D1">
        <w:rPr>
          <w:lang w:val="es-ES_tradnl"/>
        </w:rPr>
        <w:t xml:space="preserve"> EPSA</w:t>
      </w:r>
      <w:r w:rsidR="006A62AE" w:rsidRPr="000249D1">
        <w:rPr>
          <w:lang w:val="es-ES_tradnl"/>
        </w:rPr>
        <w:t>s</w:t>
      </w:r>
      <w:r w:rsidRPr="000249D1">
        <w:rPr>
          <w:lang w:val="es-ES_tradnl"/>
        </w:rPr>
        <w:t xml:space="preserve"> establecidos y aprobados por la ex Superintendencia y actual AAPS mantienen su plena y absoluta vigencia.</w:t>
      </w:r>
    </w:p>
    <w:p w:rsidR="000B4282" w:rsidRPr="000249D1" w:rsidRDefault="000B4282" w:rsidP="0011591B">
      <w:pPr>
        <w:tabs>
          <w:tab w:val="left" w:pos="2400"/>
        </w:tabs>
        <w:spacing w:line="240" w:lineRule="auto"/>
        <w:jc w:val="both"/>
        <w:rPr>
          <w:lang w:val="es-ES_tradnl"/>
        </w:rPr>
      </w:pPr>
      <w:r w:rsidRPr="000249D1">
        <w:rPr>
          <w:lang w:val="es-ES_tradnl"/>
        </w:rPr>
        <w:t>Los Manuales de seguimiento específicos de EPSA</w:t>
      </w:r>
      <w:r w:rsidR="006A62AE" w:rsidRPr="000249D1">
        <w:rPr>
          <w:lang w:val="es-ES_tradnl"/>
        </w:rPr>
        <w:t>s</w:t>
      </w:r>
      <w:r w:rsidRPr="000249D1">
        <w:rPr>
          <w:lang w:val="es-ES_tradnl"/>
        </w:rPr>
        <w:t xml:space="preserve"> que migraron a Licencia o Autorización Transitoria Especial, establecen las instrucciones y guía para el seguimiento en el cumplimiento de las obligaciones, compromisos y metas establecidas en los plazos previstos.</w:t>
      </w:r>
    </w:p>
    <w:p w:rsidR="008D29F0" w:rsidRPr="000249D1" w:rsidRDefault="000B4282" w:rsidP="0011591B">
      <w:pPr>
        <w:tabs>
          <w:tab w:val="left" w:pos="2400"/>
        </w:tabs>
        <w:spacing w:line="240" w:lineRule="auto"/>
        <w:jc w:val="both"/>
        <w:rPr>
          <w:lang w:val="es-ES_tradnl"/>
        </w:rPr>
      </w:pPr>
      <w:r w:rsidRPr="000249D1">
        <w:rPr>
          <w:lang w:val="es-ES_tradnl"/>
        </w:rPr>
        <w:t>El manual de seguimiento para Entidades Prestadoras de Servicios de Agua Potable y Alcantarillado Sanitario EPSA</w:t>
      </w:r>
      <w:r w:rsidR="00314AB4" w:rsidRPr="000249D1">
        <w:rPr>
          <w:lang w:val="es-ES_tradnl"/>
        </w:rPr>
        <w:t>s</w:t>
      </w:r>
      <w:r w:rsidRPr="000249D1">
        <w:rPr>
          <w:lang w:val="es-ES_tradnl"/>
        </w:rPr>
        <w:t xml:space="preserve"> regularizadas con Licencias</w:t>
      </w:r>
      <w:r w:rsidR="00314AB4" w:rsidRPr="000249D1">
        <w:rPr>
          <w:lang w:val="es-ES_tradnl"/>
        </w:rPr>
        <w:t xml:space="preserve">, </w:t>
      </w:r>
      <w:r w:rsidRPr="000249D1">
        <w:rPr>
          <w:lang w:val="es-ES_tradnl"/>
        </w:rPr>
        <w:t xml:space="preserve"> aprobado mediante RAR SISAB Nº 124/2007 del 12 de junio de 2007, tiene por objeto realizar el seguimiento al cumplimiento de las obligaciones, compromisos y metas de expansión a través de reportes remitidos por las EPSA regularizadas con Licencia</w:t>
      </w:r>
      <w:r w:rsidR="00B52837" w:rsidRPr="000249D1">
        <w:rPr>
          <w:lang w:val="es-ES_tradnl"/>
        </w:rPr>
        <w:t>.</w:t>
      </w:r>
    </w:p>
    <w:p w:rsidR="00FC1267" w:rsidRPr="000249D1" w:rsidRDefault="00FC1267" w:rsidP="0011591B">
      <w:pPr>
        <w:tabs>
          <w:tab w:val="left" w:pos="2400"/>
        </w:tabs>
        <w:spacing w:line="240" w:lineRule="auto"/>
        <w:jc w:val="both"/>
        <w:rPr>
          <w:lang w:val="es-ES_tradnl"/>
        </w:rPr>
      </w:pPr>
      <w:r w:rsidRPr="000249D1">
        <w:rPr>
          <w:lang w:val="es-ES_tradnl"/>
        </w:rPr>
        <w:t>Mediante Circular AAPS/DE/CIR/Nº 001/2014, de fecha 6 de enero de 2014, se instruye a las EPSA</w:t>
      </w:r>
      <w:r w:rsidR="00314AB4" w:rsidRPr="000249D1">
        <w:rPr>
          <w:lang w:val="es-ES_tradnl"/>
        </w:rPr>
        <w:t>s</w:t>
      </w:r>
      <w:r w:rsidRPr="000249D1">
        <w:rPr>
          <w:lang w:val="es-ES_tradnl"/>
        </w:rPr>
        <w:t xml:space="preserve"> titulares de Licencia</w:t>
      </w:r>
      <w:r w:rsidR="00314AB4" w:rsidRPr="000249D1">
        <w:rPr>
          <w:lang w:val="es-ES_tradnl"/>
        </w:rPr>
        <w:t xml:space="preserve"> a</w:t>
      </w:r>
      <w:r w:rsidRPr="000249D1">
        <w:rPr>
          <w:lang w:val="es-ES_tradnl"/>
        </w:rPr>
        <w:t xml:space="preserve"> cumplir con las obligaciones, compromisos y metas establecidas en los Planes Transitorios de Desarrollo del Servicio (PTDS), Planes Operativos Anuales y la obligatoriedad de reportes de información</w:t>
      </w:r>
      <w:r w:rsidR="00314AB4" w:rsidRPr="000249D1">
        <w:rPr>
          <w:lang w:val="es-ES_tradnl"/>
        </w:rPr>
        <w:t>. Esta circular fue remitida</w:t>
      </w:r>
      <w:r w:rsidRPr="000249D1">
        <w:rPr>
          <w:lang w:val="es-ES_tradnl"/>
        </w:rPr>
        <w:t xml:space="preserve"> a EPSA</w:t>
      </w:r>
      <w:r w:rsidR="00314AB4" w:rsidRPr="000249D1">
        <w:rPr>
          <w:lang w:val="es-ES_tradnl"/>
        </w:rPr>
        <w:t>s</w:t>
      </w:r>
      <w:r w:rsidRPr="000249D1">
        <w:rPr>
          <w:lang w:val="es-ES_tradnl"/>
        </w:rPr>
        <w:t xml:space="preserve"> titulares de Licencia incorporadas al sistema de seguimiento regulatorio, es decir EPSA que no contaban con “contrato de concesión”.</w:t>
      </w:r>
    </w:p>
    <w:p w:rsidR="00FC1267" w:rsidRPr="000249D1" w:rsidRDefault="00FC1267" w:rsidP="0011591B">
      <w:pPr>
        <w:tabs>
          <w:tab w:val="left" w:pos="2400"/>
        </w:tabs>
        <w:spacing w:line="240" w:lineRule="auto"/>
        <w:jc w:val="both"/>
        <w:rPr>
          <w:lang w:val="es-ES_tradnl"/>
        </w:rPr>
      </w:pPr>
      <w:r w:rsidRPr="000249D1">
        <w:rPr>
          <w:lang w:val="es-ES_tradnl"/>
        </w:rPr>
        <w:t>Los Informes anuales y semestrales de las EPSA, contienen planillas y formularios de reporte para el cálculo de indicadores</w:t>
      </w:r>
      <w:r w:rsidR="00314AB4" w:rsidRPr="000249D1">
        <w:rPr>
          <w:lang w:val="es-ES_tradnl"/>
        </w:rPr>
        <w:t>,</w:t>
      </w:r>
      <w:r w:rsidRPr="000249D1">
        <w:rPr>
          <w:lang w:val="es-ES_tradnl"/>
        </w:rPr>
        <w:t xml:space="preserve"> los </w:t>
      </w:r>
      <w:r w:rsidR="00314AB4" w:rsidRPr="000249D1">
        <w:rPr>
          <w:lang w:val="es-ES_tradnl"/>
        </w:rPr>
        <w:t>cuales</w:t>
      </w:r>
      <w:r w:rsidRPr="000249D1">
        <w:rPr>
          <w:lang w:val="es-ES_tradnl"/>
        </w:rPr>
        <w:t xml:space="preserve"> son remitidos a la AAPS de acuerdo a un cronograma de cumplimiento de obligaciones.</w:t>
      </w:r>
      <w:r w:rsidR="00314AB4" w:rsidRPr="000249D1">
        <w:rPr>
          <w:lang w:val="es-ES_tradnl"/>
        </w:rPr>
        <w:t xml:space="preserve"> </w:t>
      </w:r>
      <w:r w:rsidRPr="000249D1">
        <w:rPr>
          <w:lang w:val="es-ES_tradnl"/>
        </w:rPr>
        <w:t>Los Estados Financieros de las EPSA</w:t>
      </w:r>
      <w:r w:rsidR="00314AB4" w:rsidRPr="000249D1">
        <w:rPr>
          <w:lang w:val="es-ES_tradnl"/>
        </w:rPr>
        <w:t>s</w:t>
      </w:r>
      <w:r w:rsidRPr="000249D1">
        <w:rPr>
          <w:lang w:val="es-ES_tradnl"/>
        </w:rPr>
        <w:t>, son base para el cálculo de indicadores  financieros.</w:t>
      </w:r>
    </w:p>
    <w:p w:rsidR="008D29F0" w:rsidRPr="000249D1" w:rsidRDefault="00354238" w:rsidP="0011591B">
      <w:pPr>
        <w:tabs>
          <w:tab w:val="left" w:pos="2400"/>
        </w:tabs>
        <w:spacing w:line="240" w:lineRule="auto"/>
        <w:jc w:val="both"/>
        <w:rPr>
          <w:lang w:val="es-ES_tradnl"/>
        </w:rPr>
      </w:pPr>
      <w:r w:rsidRPr="000249D1">
        <w:rPr>
          <w:lang w:val="es-ES_tradnl"/>
        </w:rPr>
        <w:t xml:space="preserve">La Guía de Seguimiento </w:t>
      </w:r>
      <w:r w:rsidR="00FC1267" w:rsidRPr="000249D1">
        <w:rPr>
          <w:lang w:val="es-ES_tradnl"/>
        </w:rPr>
        <w:t>Diferenciado al Desempeño de Empresas Prestadoras de Servicio de Agua Potable y Alcantarillado Sanitario, identifica y describe el modelo de indicadores aplicable al seguimiento regulatorio al desempeño por parte de la AAPS.</w:t>
      </w:r>
    </w:p>
    <w:p w:rsidR="0011591B" w:rsidRPr="000249D1" w:rsidRDefault="0011591B" w:rsidP="0011591B">
      <w:pPr>
        <w:pStyle w:val="ListParagraph"/>
        <w:numPr>
          <w:ilvl w:val="0"/>
          <w:numId w:val="3"/>
        </w:numPr>
        <w:tabs>
          <w:tab w:val="left" w:pos="2400"/>
        </w:tabs>
        <w:rPr>
          <w:b/>
          <w:lang w:val="es-ES_tradnl"/>
        </w:rPr>
      </w:pPr>
      <w:r w:rsidRPr="000249D1">
        <w:rPr>
          <w:b/>
          <w:lang w:val="es-ES_tradnl"/>
        </w:rPr>
        <w:t>EPSAs con seguimiento regulatorio</w:t>
      </w:r>
    </w:p>
    <w:p w:rsidR="003745AD" w:rsidRPr="000249D1" w:rsidRDefault="0011591B" w:rsidP="0011591B">
      <w:pPr>
        <w:tabs>
          <w:tab w:val="left" w:pos="2400"/>
        </w:tabs>
        <w:spacing w:line="240" w:lineRule="auto"/>
        <w:jc w:val="both"/>
        <w:rPr>
          <w:lang w:val="es-ES_tradnl"/>
        </w:rPr>
      </w:pPr>
      <w:r w:rsidRPr="000249D1">
        <w:rPr>
          <w:lang w:val="es-ES_tradnl"/>
        </w:rPr>
        <w:t>Como se muestra en el Cuadro1, la AAPS en la gestión 2013 ha incrementado la cobertura de seguimiento regulatorio de 28 a 47 EPSAS, es decir que son 19 EPSA</w:t>
      </w:r>
      <w:r w:rsidR="00314AB4" w:rsidRPr="000249D1">
        <w:rPr>
          <w:lang w:val="es-ES_tradnl"/>
        </w:rPr>
        <w:t>s</w:t>
      </w:r>
      <w:r w:rsidRPr="000249D1">
        <w:rPr>
          <w:lang w:val="es-ES_tradnl"/>
        </w:rPr>
        <w:t xml:space="preserve"> que iniciaron con el reporte de información regulatoria, representado un incremento del 68% con relación a gestiones anteriores, regulando de esta forma aspectos referentes a planes de operación, mantenimiento, expansión, fortalecimiento, precios, tarifas y precautelando el cumplimiento de</w:t>
      </w:r>
      <w:r w:rsidR="00354238" w:rsidRPr="000249D1">
        <w:rPr>
          <w:lang w:val="es-ES_tradnl"/>
        </w:rPr>
        <w:t xml:space="preserve"> </w:t>
      </w:r>
      <w:r w:rsidRPr="000249D1">
        <w:rPr>
          <w:lang w:val="es-ES_tradnl"/>
        </w:rPr>
        <w:t>obligaciones y derechos de los operadores y protegiendo los derechos de los usuarios</w:t>
      </w:r>
    </w:p>
    <w:p w:rsidR="00D0268E" w:rsidRPr="000249D1" w:rsidRDefault="00626BF8" w:rsidP="0011591B">
      <w:pPr>
        <w:tabs>
          <w:tab w:val="left" w:pos="2400"/>
        </w:tabs>
        <w:jc w:val="center"/>
        <w:rPr>
          <w:lang w:val="es-ES_tradnl"/>
        </w:rPr>
      </w:pPr>
      <w:r w:rsidRPr="000249D1">
        <w:rPr>
          <w:b/>
          <w:noProof/>
          <w:u w:val="single"/>
          <w:lang w:val="es-ES_tradnl"/>
        </w:rPr>
        <w:lastRenderedPageBreak/>
        <mc:AlternateContent>
          <mc:Choice Requires="wps">
            <w:drawing>
              <wp:anchor distT="0" distB="0" distL="114300" distR="114300" simplePos="0" relativeHeight="251661312" behindDoc="0" locked="0" layoutInCell="1" allowOverlap="1" wp14:anchorId="353F247A" wp14:editId="5267320A">
                <wp:simplePos x="0" y="0"/>
                <wp:positionH relativeFrom="column">
                  <wp:posOffset>1057275</wp:posOffset>
                </wp:positionH>
                <wp:positionV relativeFrom="paragraph">
                  <wp:posOffset>2618105</wp:posOffset>
                </wp:positionV>
                <wp:extent cx="1114425" cy="2476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CD7738">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3.25pt;margin-top:206.15pt;width:87.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" strokecolor="white [3212]">
                <v:textbox>
                  <w:txbxContent>
                    <w:p w:rsidR="00A411ED" w:rsidRPr="008F4112" w:rsidRDefault="00A411ED" w:rsidP="00CD7738">
                      <w:pPr>
                        <w:rPr>
                          <w:sz w:val="20"/>
                        </w:rPr>
                      </w:pPr>
                      <w:r w:rsidRPr="008F4112">
                        <w:rPr>
                          <w:sz w:val="20"/>
                        </w:rPr>
                        <w:t>Fuente: AAPS</w:t>
                      </w:r>
                    </w:p>
                  </w:txbxContent>
                </v:textbox>
              </v:shape>
            </w:pict>
          </mc:Fallback>
        </mc:AlternateContent>
      </w:r>
      <w:r w:rsidR="00852473" w:rsidRPr="000249D1">
        <w:rPr>
          <w:b/>
          <w:u w:val="single"/>
          <w:lang w:val="es-ES_tradnl"/>
        </w:rPr>
        <w:t>Cuadro 1</w:t>
      </w:r>
      <w:r w:rsidR="0011591B" w:rsidRPr="000249D1">
        <w:rPr>
          <w:b/>
          <w:u w:val="single"/>
          <w:lang w:val="es-ES_tradnl"/>
        </w:rPr>
        <w:t>.</w:t>
      </w:r>
      <w:r w:rsidR="00852473" w:rsidRPr="000249D1">
        <w:rPr>
          <w:b/>
          <w:u w:val="single"/>
          <w:lang w:val="es-ES_tradnl"/>
        </w:rPr>
        <w:t xml:space="preserve"> Número</w:t>
      </w:r>
      <w:r w:rsidR="0011591B" w:rsidRPr="000249D1">
        <w:rPr>
          <w:b/>
          <w:u w:val="single"/>
          <w:lang w:val="es-ES_tradnl"/>
        </w:rPr>
        <w:t xml:space="preserve"> EPSAS con seguimiento regulatorio</w:t>
      </w:r>
      <w:r w:rsidR="0011591B" w:rsidRPr="000249D1">
        <w:rPr>
          <w:noProof/>
          <w:lang w:val="es-ES_tradnl"/>
        </w:rPr>
        <w:drawing>
          <wp:inline distT="0" distB="0" distL="0" distR="0" wp14:anchorId="5BF77BAE" wp14:editId="40509814">
            <wp:extent cx="3913968"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3968" cy="2514600"/>
                    </a:xfrm>
                    <a:prstGeom prst="rect">
                      <a:avLst/>
                    </a:prstGeom>
                    <a:noFill/>
                    <a:ln>
                      <a:noFill/>
                    </a:ln>
                  </pic:spPr>
                </pic:pic>
              </a:graphicData>
            </a:graphic>
          </wp:inline>
        </w:drawing>
      </w:r>
    </w:p>
    <w:p w:rsidR="00D0268E" w:rsidRPr="000249D1" w:rsidRDefault="00D0268E" w:rsidP="00D0268E">
      <w:pPr>
        <w:rPr>
          <w:lang w:val="es-ES_tradnl"/>
        </w:rPr>
      </w:pPr>
    </w:p>
    <w:p w:rsidR="00D0268E" w:rsidRPr="000249D1" w:rsidRDefault="00D0268E" w:rsidP="00D0268E">
      <w:pPr>
        <w:rPr>
          <w:lang w:val="es-ES_tradnl"/>
        </w:rPr>
      </w:pPr>
    </w:p>
    <w:p w:rsidR="00D0268E" w:rsidRPr="000249D1" w:rsidRDefault="00D0268E" w:rsidP="00D0268E">
      <w:pPr>
        <w:rPr>
          <w:lang w:val="es-ES_tradnl"/>
        </w:rPr>
      </w:pPr>
    </w:p>
    <w:p w:rsidR="003745AD" w:rsidRPr="000249D1" w:rsidRDefault="003745AD"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626BF8" w:rsidP="00D0268E">
      <w:pPr>
        <w:jc w:val="center"/>
        <w:rPr>
          <w:lang w:val="es-ES_tradnl"/>
        </w:rPr>
      </w:pPr>
      <w:r w:rsidRPr="000249D1">
        <w:rPr>
          <w:b/>
          <w:noProof/>
          <w:u w:val="single"/>
          <w:lang w:val="es-ES_tradnl"/>
        </w:rPr>
        <w:lastRenderedPageBreak/>
        <mc:AlternateContent>
          <mc:Choice Requires="wps">
            <w:drawing>
              <wp:anchor distT="0" distB="0" distL="114300" distR="114300" simplePos="0" relativeHeight="251663360" behindDoc="0" locked="0" layoutInCell="1" allowOverlap="1" wp14:anchorId="6EE7173F" wp14:editId="3273BFE0">
                <wp:simplePos x="0" y="0"/>
                <wp:positionH relativeFrom="column">
                  <wp:posOffset>57150</wp:posOffset>
                </wp:positionH>
                <wp:positionV relativeFrom="paragraph">
                  <wp:posOffset>7359015</wp:posOffset>
                </wp:positionV>
                <wp:extent cx="1114425" cy="2476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CD7738">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579.45pt;width:87.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" strokecolor="white [3212]">
                <v:textbox>
                  <w:txbxContent>
                    <w:p w:rsidR="00A411ED" w:rsidRPr="008F4112" w:rsidRDefault="00A411ED" w:rsidP="00CD7738">
                      <w:pPr>
                        <w:rPr>
                          <w:sz w:val="20"/>
                        </w:rPr>
                      </w:pPr>
                      <w:r w:rsidRPr="008F4112">
                        <w:rPr>
                          <w:sz w:val="20"/>
                        </w:rPr>
                        <w:t>Fuente: AAPS</w:t>
                      </w:r>
                    </w:p>
                  </w:txbxContent>
                </v:textbox>
              </v:shape>
            </w:pict>
          </mc:Fallback>
        </mc:AlternateContent>
      </w:r>
      <w:r w:rsidR="00D0268E" w:rsidRPr="000249D1">
        <w:rPr>
          <w:b/>
          <w:u w:val="single"/>
          <w:lang w:val="es-ES_tradnl"/>
        </w:rPr>
        <w:t xml:space="preserve">Cuadro 2. </w:t>
      </w:r>
      <w:r w:rsidR="00314AB4" w:rsidRPr="000249D1">
        <w:rPr>
          <w:b/>
          <w:u w:val="single"/>
          <w:lang w:val="es-ES_tradnl"/>
        </w:rPr>
        <w:t xml:space="preserve">Nombre de </w:t>
      </w:r>
      <w:r w:rsidR="00D0268E" w:rsidRPr="000249D1">
        <w:rPr>
          <w:b/>
          <w:u w:val="single"/>
          <w:lang w:val="es-ES_tradnl"/>
        </w:rPr>
        <w:t>EPSAS con seguimiento regulatorio</w:t>
      </w:r>
      <w:r w:rsidR="00D0268E" w:rsidRPr="000249D1">
        <w:rPr>
          <w:noProof/>
          <w:lang w:val="es-ES_tradnl"/>
        </w:rPr>
        <w:drawing>
          <wp:inline distT="0" distB="0" distL="0" distR="0" wp14:anchorId="1D94D51C" wp14:editId="71C059C0">
            <wp:extent cx="5943600" cy="71533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53305"/>
                    </a:xfrm>
                    <a:prstGeom prst="rect">
                      <a:avLst/>
                    </a:prstGeom>
                    <a:noFill/>
                    <a:ln>
                      <a:noFill/>
                    </a:ln>
                  </pic:spPr>
                </pic:pic>
              </a:graphicData>
            </a:graphic>
          </wp:inline>
        </w:drawing>
      </w:r>
    </w:p>
    <w:p w:rsidR="00D0268E" w:rsidRPr="000249D1" w:rsidRDefault="00D0268E" w:rsidP="00D0268E">
      <w:pPr>
        <w:jc w:val="center"/>
        <w:rPr>
          <w:lang w:val="es-ES_tradnl"/>
        </w:rPr>
      </w:pPr>
    </w:p>
    <w:p w:rsidR="00D0268E" w:rsidRPr="000249D1" w:rsidRDefault="00D0268E" w:rsidP="00D0268E">
      <w:pPr>
        <w:jc w:val="center"/>
        <w:rPr>
          <w:lang w:val="es-ES_tradnl"/>
        </w:rPr>
      </w:pPr>
    </w:p>
    <w:p w:rsidR="00D0268E" w:rsidRPr="000249D1" w:rsidRDefault="00626BF8" w:rsidP="00D0268E">
      <w:pPr>
        <w:jc w:val="center"/>
        <w:rPr>
          <w:lang w:val="es-ES_tradnl"/>
        </w:rPr>
      </w:pPr>
      <w:r w:rsidRPr="000249D1">
        <w:rPr>
          <w:b/>
          <w:noProof/>
          <w:u w:val="single"/>
          <w:lang w:val="es-ES_tradnl"/>
        </w:rPr>
        <w:lastRenderedPageBreak/>
        <mc:AlternateContent>
          <mc:Choice Requires="wps">
            <w:drawing>
              <wp:anchor distT="0" distB="0" distL="114300" distR="114300" simplePos="0" relativeHeight="251659264" behindDoc="0" locked="0" layoutInCell="1" allowOverlap="1" wp14:anchorId="7B401EFF" wp14:editId="65F20D67">
                <wp:simplePos x="0" y="0"/>
                <wp:positionH relativeFrom="column">
                  <wp:posOffset>66675</wp:posOffset>
                </wp:positionH>
                <wp:positionV relativeFrom="paragraph">
                  <wp:posOffset>3434080</wp:posOffset>
                </wp:positionV>
                <wp:extent cx="1114425" cy="247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5pt;margin-top:270.4pt;width:87.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" strokecolor="white [3212]">
                <v:textbox>
                  <w:txbxContent>
                    <w:p w:rsidR="00A411ED" w:rsidRPr="008F4112" w:rsidRDefault="00A411ED">
                      <w:pPr>
                        <w:rPr>
                          <w:sz w:val="20"/>
                        </w:rPr>
                      </w:pPr>
                      <w:r w:rsidRPr="008F4112">
                        <w:rPr>
                          <w:sz w:val="20"/>
                        </w:rPr>
                        <w:t>Fuente: AAPS</w:t>
                      </w:r>
                    </w:p>
                  </w:txbxContent>
                </v:textbox>
              </v:shape>
            </w:pict>
          </mc:Fallback>
        </mc:AlternateContent>
      </w:r>
      <w:r w:rsidR="008B79C0" w:rsidRPr="000249D1">
        <w:rPr>
          <w:b/>
          <w:u w:val="single"/>
          <w:lang w:val="es-ES_tradnl"/>
        </w:rPr>
        <w:t>Cuadro 3. EPSAS incorporadas al seguimiento regulatorio en la gestión 2013</w:t>
      </w:r>
      <w:r w:rsidR="008B79C0" w:rsidRPr="000249D1">
        <w:rPr>
          <w:noProof/>
          <w:lang w:val="es-ES_tradnl"/>
        </w:rPr>
        <w:drawing>
          <wp:inline distT="0" distB="0" distL="0" distR="0" wp14:anchorId="11F9107F" wp14:editId="1AFA9714">
            <wp:extent cx="5943600" cy="3071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71161"/>
                    </a:xfrm>
                    <a:prstGeom prst="rect">
                      <a:avLst/>
                    </a:prstGeom>
                    <a:noFill/>
                    <a:ln>
                      <a:noFill/>
                    </a:ln>
                  </pic:spPr>
                </pic:pic>
              </a:graphicData>
            </a:graphic>
          </wp:inline>
        </w:drawing>
      </w:r>
    </w:p>
    <w:p w:rsidR="00314AB4" w:rsidRPr="000249D1" w:rsidRDefault="00314AB4" w:rsidP="00EB1D2D">
      <w:pPr>
        <w:spacing w:line="240" w:lineRule="auto"/>
        <w:jc w:val="both"/>
        <w:rPr>
          <w:lang w:val="es-ES_tradnl"/>
        </w:rPr>
      </w:pPr>
    </w:p>
    <w:p w:rsidR="00D0268E" w:rsidRPr="000249D1" w:rsidRDefault="00626BF8" w:rsidP="00EB1D2D">
      <w:pPr>
        <w:spacing w:line="240" w:lineRule="auto"/>
        <w:jc w:val="both"/>
        <w:rPr>
          <w:lang w:val="es-ES_tradnl"/>
        </w:rPr>
      </w:pPr>
      <w:r w:rsidRPr="000249D1">
        <w:rPr>
          <w:lang w:val="es-ES_tradnl"/>
        </w:rPr>
        <w:t>Con la finalidad de estandarización de criterios que faciliten al Regulador realizar la evaluación y seguimiento, se determinó la categorización de EPSA según el criterio de población del área de servicio y su territorialidad, permitiendo un agrupamiento razonable que integra a las EPSA con características similares:</w:t>
      </w:r>
    </w:p>
    <w:p w:rsidR="00D0268E" w:rsidRPr="000249D1" w:rsidRDefault="00626BF8" w:rsidP="00D0268E">
      <w:pPr>
        <w:jc w:val="center"/>
        <w:rPr>
          <w:lang w:val="es-ES_tradnl"/>
        </w:rPr>
      </w:pPr>
      <w:r w:rsidRPr="000249D1">
        <w:rPr>
          <w:b/>
          <w:noProof/>
          <w:u w:val="single"/>
          <w:lang w:val="es-ES_tradnl"/>
        </w:rPr>
        <mc:AlternateContent>
          <mc:Choice Requires="wps">
            <w:drawing>
              <wp:anchor distT="0" distB="0" distL="114300" distR="114300" simplePos="0" relativeHeight="251665408" behindDoc="0" locked="0" layoutInCell="1" allowOverlap="1" wp14:anchorId="1A82A3EC" wp14:editId="20D75D6B">
                <wp:simplePos x="0" y="0"/>
                <wp:positionH relativeFrom="column">
                  <wp:posOffset>66675</wp:posOffset>
                </wp:positionH>
                <wp:positionV relativeFrom="paragraph">
                  <wp:posOffset>1482090</wp:posOffset>
                </wp:positionV>
                <wp:extent cx="1114425" cy="2476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626BF8">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25pt;margin-top:116.7pt;width:87.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" strokecolor="white [3212]">
                <v:textbox>
                  <w:txbxContent>
                    <w:p w:rsidR="00A411ED" w:rsidRPr="008F4112" w:rsidRDefault="00A411ED" w:rsidP="00626BF8">
                      <w:pPr>
                        <w:rPr>
                          <w:sz w:val="20"/>
                        </w:rPr>
                      </w:pPr>
                      <w:r w:rsidRPr="008F4112">
                        <w:rPr>
                          <w:sz w:val="20"/>
                        </w:rPr>
                        <w:t>Fuente: AAPS</w:t>
                      </w:r>
                    </w:p>
                  </w:txbxContent>
                </v:textbox>
              </v:shape>
            </w:pict>
          </mc:Fallback>
        </mc:AlternateContent>
      </w:r>
      <w:r w:rsidRPr="000249D1">
        <w:rPr>
          <w:b/>
          <w:u w:val="single"/>
          <w:lang w:val="es-ES_tradnl"/>
        </w:rPr>
        <w:t>Cuadro 4. Categorización de las EPSAS</w:t>
      </w:r>
      <w:r w:rsidRPr="000249D1">
        <w:rPr>
          <w:noProof/>
          <w:lang w:val="es-ES_tradnl"/>
        </w:rPr>
        <w:drawing>
          <wp:inline distT="0" distB="0" distL="0" distR="0" wp14:anchorId="01278CB2" wp14:editId="654D2C54">
            <wp:extent cx="5943600" cy="13466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46652"/>
                    </a:xfrm>
                    <a:prstGeom prst="rect">
                      <a:avLst/>
                    </a:prstGeom>
                    <a:noFill/>
                    <a:ln>
                      <a:noFill/>
                    </a:ln>
                  </pic:spPr>
                </pic:pic>
              </a:graphicData>
            </a:graphic>
          </wp:inline>
        </w:drawing>
      </w:r>
    </w:p>
    <w:p w:rsidR="00B96B6C" w:rsidRPr="000249D1" w:rsidRDefault="00B96B6C" w:rsidP="00D0268E">
      <w:pPr>
        <w:jc w:val="center"/>
        <w:rPr>
          <w:lang w:val="es-ES_tradnl"/>
        </w:rPr>
      </w:pPr>
    </w:p>
    <w:p w:rsidR="00B96B6C" w:rsidRPr="000249D1" w:rsidRDefault="00CD5355" w:rsidP="00C50E5D">
      <w:pPr>
        <w:pStyle w:val="ListParagraph"/>
        <w:numPr>
          <w:ilvl w:val="0"/>
          <w:numId w:val="3"/>
        </w:numPr>
        <w:rPr>
          <w:b/>
          <w:lang w:val="es-ES_tradnl"/>
        </w:rPr>
      </w:pPr>
      <w:r w:rsidRPr="000249D1">
        <w:rPr>
          <w:b/>
          <w:lang w:val="es-ES_tradnl"/>
        </w:rPr>
        <w:t xml:space="preserve">Selección </w:t>
      </w:r>
      <w:r w:rsidR="00C50E5D" w:rsidRPr="000249D1">
        <w:rPr>
          <w:b/>
          <w:lang w:val="es-ES_tradnl"/>
        </w:rPr>
        <w:t>Indicadores</w:t>
      </w:r>
      <w:r w:rsidR="00F03BFF" w:rsidRPr="000249D1">
        <w:rPr>
          <w:b/>
          <w:lang w:val="es-ES_tradnl"/>
        </w:rPr>
        <w:t xml:space="preserve"> de D</w:t>
      </w:r>
      <w:r w:rsidRPr="000249D1">
        <w:rPr>
          <w:b/>
          <w:lang w:val="es-ES_tradnl"/>
        </w:rPr>
        <w:t>esempeño</w:t>
      </w:r>
    </w:p>
    <w:p w:rsidR="00D0268E" w:rsidRPr="000249D1" w:rsidRDefault="00EB1D2D" w:rsidP="00694A99">
      <w:pPr>
        <w:spacing w:line="240" w:lineRule="auto"/>
        <w:jc w:val="both"/>
        <w:rPr>
          <w:lang w:val="es-ES_tradnl"/>
        </w:rPr>
      </w:pPr>
      <w:r w:rsidRPr="000249D1">
        <w:rPr>
          <w:lang w:val="es-ES_tradnl"/>
        </w:rPr>
        <w:t>A continuación en el cuadro 5</w:t>
      </w:r>
      <w:r w:rsidR="00614E20" w:rsidRPr="000249D1">
        <w:rPr>
          <w:lang w:val="es-ES_tradnl"/>
        </w:rPr>
        <w:t xml:space="preserve">, </w:t>
      </w:r>
      <w:r w:rsidRPr="000249D1">
        <w:rPr>
          <w:lang w:val="es-ES_tradnl"/>
        </w:rPr>
        <w:t xml:space="preserve">se describen los principales indicadores de desempeño que utiliza la AAPS para realizar el seguimiento regulatorio a las EPSAS. </w:t>
      </w:r>
    </w:p>
    <w:p w:rsidR="00614E20" w:rsidRPr="000249D1" w:rsidRDefault="00614E20" w:rsidP="00614E20">
      <w:pPr>
        <w:jc w:val="center"/>
        <w:rPr>
          <w:lang w:val="es-ES_tradnl"/>
        </w:rPr>
      </w:pPr>
      <w:r w:rsidRPr="000249D1">
        <w:rPr>
          <w:b/>
          <w:noProof/>
          <w:u w:val="single"/>
          <w:lang w:val="es-ES_tradnl"/>
        </w:rPr>
        <w:lastRenderedPageBreak/>
        <mc:AlternateContent>
          <mc:Choice Requires="wps">
            <w:drawing>
              <wp:anchor distT="0" distB="0" distL="114300" distR="114300" simplePos="0" relativeHeight="251667456" behindDoc="0" locked="0" layoutInCell="1" allowOverlap="1" wp14:anchorId="5CAA7E0A" wp14:editId="13B21DAD">
                <wp:simplePos x="0" y="0"/>
                <wp:positionH relativeFrom="column">
                  <wp:posOffset>171450</wp:posOffset>
                </wp:positionH>
                <wp:positionV relativeFrom="paragraph">
                  <wp:posOffset>7697470</wp:posOffset>
                </wp:positionV>
                <wp:extent cx="1114425" cy="2476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614E20">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5pt;margin-top:606.1pt;width:87.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" strokecolor="white [3212]">
                <v:textbox>
                  <w:txbxContent>
                    <w:p w:rsidR="00A411ED" w:rsidRPr="008F4112" w:rsidRDefault="00A411ED" w:rsidP="00614E20">
                      <w:pPr>
                        <w:rPr>
                          <w:sz w:val="20"/>
                        </w:rPr>
                      </w:pPr>
                      <w:r w:rsidRPr="008F4112">
                        <w:rPr>
                          <w:sz w:val="20"/>
                        </w:rPr>
                        <w:t>Fuente: AAPS</w:t>
                      </w:r>
                    </w:p>
                  </w:txbxContent>
                </v:textbox>
              </v:shape>
            </w:pict>
          </mc:Fallback>
        </mc:AlternateContent>
      </w:r>
      <w:r w:rsidRPr="000249D1">
        <w:rPr>
          <w:b/>
          <w:u w:val="single"/>
          <w:lang w:val="es-ES_tradnl"/>
        </w:rPr>
        <w:t>Cuadro 5. Indicadores de Desempeño</w:t>
      </w:r>
      <w:r w:rsidRPr="000249D1">
        <w:rPr>
          <w:noProof/>
          <w:lang w:val="es-ES_tradnl"/>
        </w:rPr>
        <w:drawing>
          <wp:inline distT="0" distB="0" distL="0" distR="0" wp14:anchorId="332939BC" wp14:editId="4F98AA80">
            <wp:extent cx="5610225" cy="313545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510" cy="3136176"/>
                    </a:xfrm>
                    <a:prstGeom prst="rect">
                      <a:avLst/>
                    </a:prstGeom>
                    <a:noFill/>
                    <a:ln>
                      <a:noFill/>
                    </a:ln>
                  </pic:spPr>
                </pic:pic>
              </a:graphicData>
            </a:graphic>
          </wp:inline>
        </w:drawing>
      </w:r>
      <w:r w:rsidRPr="000249D1">
        <w:rPr>
          <w:noProof/>
          <w:lang w:val="es-ES_tradnl"/>
        </w:rPr>
        <w:drawing>
          <wp:inline distT="0" distB="0" distL="0" distR="0" wp14:anchorId="2ED1DC19" wp14:editId="43F57EA1">
            <wp:extent cx="5572101" cy="438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4381519"/>
                    </a:xfrm>
                    <a:prstGeom prst="rect">
                      <a:avLst/>
                    </a:prstGeom>
                    <a:noFill/>
                    <a:ln>
                      <a:noFill/>
                    </a:ln>
                  </pic:spPr>
                </pic:pic>
              </a:graphicData>
            </a:graphic>
          </wp:inline>
        </w:drawing>
      </w:r>
    </w:p>
    <w:p w:rsidR="00D0268E" w:rsidRPr="000249D1" w:rsidRDefault="00614E20" w:rsidP="00614E20">
      <w:pPr>
        <w:tabs>
          <w:tab w:val="left" w:pos="1680"/>
        </w:tabs>
        <w:rPr>
          <w:lang w:val="es-ES_tradnl"/>
        </w:rPr>
      </w:pPr>
      <w:r w:rsidRPr="000249D1">
        <w:rPr>
          <w:lang w:val="es-ES_tradnl"/>
        </w:rPr>
        <w:tab/>
      </w:r>
    </w:p>
    <w:p w:rsidR="00C36A76" w:rsidRPr="000249D1" w:rsidRDefault="00FA16C1" w:rsidP="00CD3BD1">
      <w:pPr>
        <w:tabs>
          <w:tab w:val="left" w:pos="1680"/>
        </w:tabs>
        <w:spacing w:line="240" w:lineRule="auto"/>
        <w:jc w:val="both"/>
        <w:rPr>
          <w:lang w:val="es-ES_tradnl"/>
        </w:rPr>
      </w:pPr>
      <w:r w:rsidRPr="000249D1">
        <w:rPr>
          <w:lang w:val="es-ES_tradnl"/>
        </w:rPr>
        <w:lastRenderedPageBreak/>
        <w:t>Se ha realizado el cálculo de 22 indicadores técnicos y 10 indicadores económicos-financieros, una vez que las EPSA han cumplido con sus obligaciones de reporte, de los cuales se obtienen las variables para la elaboración de los indicadores.</w:t>
      </w:r>
      <w:r w:rsidR="00CD3BD1" w:rsidRPr="000249D1">
        <w:rPr>
          <w:lang w:val="es-ES_tradnl"/>
        </w:rPr>
        <w:t xml:space="preserve"> </w:t>
      </w:r>
      <w:r w:rsidR="00C36A76" w:rsidRPr="000249D1">
        <w:rPr>
          <w:lang w:val="es-ES_tradnl"/>
        </w:rPr>
        <w:t>Los Indicadores de Desempeño han demostrado ser una herramienta sumamente útil para suplir la ausencia de competencia en el servicio, ya sea para los directivos de las EPSA que tienen la responsabilidad de la operación, como para quienes tienen la misión de fijar nuevas metas de eficiencia y controlar el cumplimiento de los compromisos asumidos.</w:t>
      </w:r>
    </w:p>
    <w:p w:rsidR="00AD205D" w:rsidRPr="000249D1" w:rsidRDefault="00AD205D" w:rsidP="00C36A76">
      <w:pPr>
        <w:autoSpaceDE w:val="0"/>
        <w:autoSpaceDN w:val="0"/>
        <w:adjustRightInd w:val="0"/>
        <w:spacing w:after="0" w:line="240" w:lineRule="auto"/>
        <w:jc w:val="both"/>
        <w:rPr>
          <w:lang w:val="es-ES_tradnl"/>
        </w:rPr>
      </w:pPr>
    </w:p>
    <w:p w:rsidR="0058487B" w:rsidRPr="000249D1" w:rsidRDefault="00CD3BD1" w:rsidP="00AD205D">
      <w:pPr>
        <w:pStyle w:val="ListParagraph"/>
        <w:numPr>
          <w:ilvl w:val="0"/>
          <w:numId w:val="3"/>
        </w:numPr>
        <w:tabs>
          <w:tab w:val="left" w:pos="2400"/>
        </w:tabs>
        <w:rPr>
          <w:b/>
          <w:lang w:val="es-ES_tradnl"/>
        </w:rPr>
      </w:pPr>
      <w:r w:rsidRPr="000249D1">
        <w:rPr>
          <w:b/>
          <w:lang w:val="es-ES_tradnl"/>
        </w:rPr>
        <w:t>Resumen Indicadores D</w:t>
      </w:r>
      <w:r w:rsidR="00AD205D" w:rsidRPr="000249D1">
        <w:rPr>
          <w:b/>
          <w:lang w:val="es-ES_tradnl"/>
        </w:rPr>
        <w:t>esempeño</w:t>
      </w:r>
    </w:p>
    <w:p w:rsidR="00AD205D" w:rsidRPr="000249D1" w:rsidRDefault="0058487B" w:rsidP="0058487B">
      <w:pPr>
        <w:tabs>
          <w:tab w:val="left" w:pos="2400"/>
        </w:tabs>
        <w:ind w:left="360"/>
        <w:rPr>
          <w:b/>
          <w:lang w:val="es-ES_tradnl"/>
        </w:rPr>
      </w:pPr>
      <w:r w:rsidRPr="000249D1">
        <w:rPr>
          <w:b/>
          <w:highlight w:val="lightGray"/>
          <w:lang w:val="es-ES_tradnl"/>
        </w:rPr>
        <w:t>COBERTURAS:</w:t>
      </w:r>
      <w:r w:rsidR="00AD205D" w:rsidRPr="000249D1">
        <w:rPr>
          <w:b/>
          <w:lang w:val="es-ES_tradnl"/>
        </w:rPr>
        <w:t xml:space="preserve"> </w:t>
      </w:r>
    </w:p>
    <w:p w:rsidR="00AD205D" w:rsidRPr="000249D1" w:rsidRDefault="00AD205D" w:rsidP="00AD205D">
      <w:pPr>
        <w:autoSpaceDE w:val="0"/>
        <w:autoSpaceDN w:val="0"/>
        <w:adjustRightInd w:val="0"/>
        <w:spacing w:after="0" w:line="240" w:lineRule="auto"/>
        <w:ind w:left="360"/>
        <w:jc w:val="center"/>
        <w:rPr>
          <w:b/>
          <w:u w:val="single"/>
          <w:lang w:val="es-ES_tradnl"/>
        </w:rPr>
      </w:pPr>
      <w:r w:rsidRPr="000249D1">
        <w:rPr>
          <w:b/>
          <w:u w:val="single"/>
          <w:lang w:val="es-ES_tradnl"/>
        </w:rPr>
        <w:t>Cuadro 6. Resumen Nacional de Cobertura Gestión 2013</w:t>
      </w:r>
    </w:p>
    <w:p w:rsidR="00A65888" w:rsidRPr="000249D1" w:rsidRDefault="00A65888" w:rsidP="00AD205D">
      <w:pPr>
        <w:tabs>
          <w:tab w:val="left" w:pos="1425"/>
        </w:tabs>
        <w:rPr>
          <w:lang w:val="es-ES_tradnl"/>
        </w:rPr>
      </w:pPr>
      <w:r w:rsidRPr="000249D1">
        <w:rPr>
          <w:b/>
          <w:noProof/>
          <w:u w:val="single"/>
          <w:lang w:val="es-ES_tradnl"/>
        </w:rPr>
        <mc:AlternateContent>
          <mc:Choice Requires="wps">
            <w:drawing>
              <wp:anchor distT="0" distB="0" distL="114300" distR="114300" simplePos="0" relativeHeight="251669504" behindDoc="0" locked="0" layoutInCell="1" allowOverlap="1" wp14:anchorId="3C07AE45" wp14:editId="0DB5675C">
                <wp:simplePos x="0" y="0"/>
                <wp:positionH relativeFrom="column">
                  <wp:posOffset>9525</wp:posOffset>
                </wp:positionH>
                <wp:positionV relativeFrom="paragraph">
                  <wp:posOffset>4916805</wp:posOffset>
                </wp:positionV>
                <wp:extent cx="1114425" cy="2476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A65888">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387.15pt;width:8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" strokecolor="white [3212]">
                <v:textbox>
                  <w:txbxContent>
                    <w:p w:rsidR="00A411ED" w:rsidRPr="008F4112" w:rsidRDefault="00A411ED" w:rsidP="00A65888">
                      <w:pPr>
                        <w:rPr>
                          <w:sz w:val="20"/>
                        </w:rPr>
                      </w:pPr>
                      <w:r w:rsidRPr="008F4112">
                        <w:rPr>
                          <w:sz w:val="20"/>
                        </w:rPr>
                        <w:t>Fuente: AAPS</w:t>
                      </w:r>
                    </w:p>
                  </w:txbxContent>
                </v:textbox>
              </v:shape>
            </w:pict>
          </mc:Fallback>
        </mc:AlternateContent>
      </w:r>
      <w:r w:rsidR="00AD205D" w:rsidRPr="000249D1">
        <w:rPr>
          <w:noProof/>
          <w:lang w:val="es-ES_tradnl"/>
        </w:rPr>
        <w:drawing>
          <wp:inline distT="0" distB="0" distL="0" distR="0" wp14:anchorId="034AE32E" wp14:editId="6AFA1C5F">
            <wp:extent cx="5658150" cy="49601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35" cy="4960447"/>
                    </a:xfrm>
                    <a:prstGeom prst="rect">
                      <a:avLst/>
                    </a:prstGeom>
                    <a:noFill/>
                    <a:ln>
                      <a:noFill/>
                    </a:ln>
                  </pic:spPr>
                </pic:pic>
              </a:graphicData>
            </a:graphic>
          </wp:inline>
        </w:drawing>
      </w:r>
    </w:p>
    <w:p w:rsidR="00AD205D" w:rsidRPr="000249D1" w:rsidRDefault="00AD205D" w:rsidP="00A65888">
      <w:pPr>
        <w:ind w:firstLine="720"/>
        <w:rPr>
          <w:lang w:val="es-ES_tradnl"/>
        </w:rPr>
      </w:pPr>
    </w:p>
    <w:p w:rsidR="00A65888" w:rsidRPr="000249D1" w:rsidRDefault="00066722" w:rsidP="004C7321">
      <w:pPr>
        <w:spacing w:line="240" w:lineRule="auto"/>
        <w:jc w:val="both"/>
        <w:rPr>
          <w:lang w:val="es-ES_tradnl"/>
        </w:rPr>
      </w:pPr>
      <w:r w:rsidRPr="000249D1">
        <w:rPr>
          <w:lang w:val="es-ES_tradnl"/>
        </w:rPr>
        <w:lastRenderedPageBreak/>
        <w:t>El</w:t>
      </w:r>
      <w:r w:rsidR="004C7321" w:rsidRPr="000249D1">
        <w:rPr>
          <w:lang w:val="es-ES_tradnl"/>
        </w:rPr>
        <w:t xml:space="preserve"> grupo importante de EPSAs con seguimiento regulatorio abarca el 67 % de la población en Bolivia, logrando en la gestión 2013 que 1.021.127 conexiones de agua potable y 641.315 conexiones de alcantarillado sanitario funcionen enmarcados en la normativa regulatoria</w:t>
      </w:r>
      <w:r w:rsidRPr="000249D1">
        <w:rPr>
          <w:lang w:val="es-ES_tradnl"/>
        </w:rPr>
        <w:t>,</w:t>
      </w:r>
      <w:r w:rsidR="004C7321" w:rsidRPr="000249D1">
        <w:rPr>
          <w:lang w:val="es-ES_tradnl"/>
        </w:rPr>
        <w:t xml:space="preserve"> cuidando que la operación y mantenimiento cumplan objetivos de continuidad, calidad, precio y tarifas adecuadas. De las 47 EPSA</w:t>
      </w:r>
      <w:r w:rsidRPr="000249D1">
        <w:rPr>
          <w:lang w:val="es-ES_tradnl"/>
        </w:rPr>
        <w:t>s</w:t>
      </w:r>
      <w:r w:rsidR="004C7321" w:rsidRPr="000249D1">
        <w:rPr>
          <w:lang w:val="es-ES_tradnl"/>
        </w:rPr>
        <w:t xml:space="preserve"> con seguimiento regulatorio, 43 presentaron información y reportes para el cálculo de indicadores representando el 91%. Cabe aclarar que de las 47 EPSA</w:t>
      </w:r>
      <w:r w:rsidRPr="000249D1">
        <w:rPr>
          <w:lang w:val="es-ES_tradnl"/>
        </w:rPr>
        <w:t>s,</w:t>
      </w:r>
      <w:r w:rsidR="004C7321" w:rsidRPr="000249D1">
        <w:rPr>
          <w:lang w:val="es-ES_tradnl"/>
        </w:rPr>
        <w:t xml:space="preserve"> 19 corresponden a operadoras recién incorporadas al seguimiento regulatorio, es decir que se encuentran en proceso de adecuación.</w:t>
      </w:r>
    </w:p>
    <w:p w:rsidR="00C369DD" w:rsidRPr="000249D1" w:rsidRDefault="00E97E6D" w:rsidP="00C369DD">
      <w:pPr>
        <w:spacing w:line="240" w:lineRule="auto"/>
        <w:jc w:val="center"/>
        <w:rPr>
          <w:lang w:val="es-ES_tradnl"/>
        </w:rPr>
      </w:pPr>
      <w:r w:rsidRPr="000249D1">
        <w:rPr>
          <w:b/>
          <w:noProof/>
          <w:u w:val="single"/>
          <w:lang w:val="es-ES_tradnl"/>
        </w:rPr>
        <mc:AlternateContent>
          <mc:Choice Requires="wps">
            <w:drawing>
              <wp:anchor distT="0" distB="0" distL="114300" distR="114300" simplePos="0" relativeHeight="251671552" behindDoc="0" locked="0" layoutInCell="1" allowOverlap="1" wp14:anchorId="181F5F5A" wp14:editId="0699CD40">
                <wp:simplePos x="0" y="0"/>
                <wp:positionH relativeFrom="column">
                  <wp:posOffset>57150</wp:posOffset>
                </wp:positionH>
                <wp:positionV relativeFrom="paragraph">
                  <wp:posOffset>1769745</wp:posOffset>
                </wp:positionV>
                <wp:extent cx="1114425" cy="24765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E97E6D">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pt;margin-top:139.35pt;width:87.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" strokecolor="white [3212]">
                <v:textbox>
                  <w:txbxContent>
                    <w:p w:rsidR="00A411ED" w:rsidRPr="008F4112" w:rsidRDefault="00A411ED" w:rsidP="00E97E6D">
                      <w:pPr>
                        <w:rPr>
                          <w:sz w:val="20"/>
                        </w:rPr>
                      </w:pPr>
                      <w:r w:rsidRPr="008F4112">
                        <w:rPr>
                          <w:sz w:val="20"/>
                        </w:rPr>
                        <w:t>Fuente: AAPS</w:t>
                      </w:r>
                    </w:p>
                  </w:txbxContent>
                </v:textbox>
              </v:shape>
            </w:pict>
          </mc:Fallback>
        </mc:AlternateContent>
      </w:r>
      <w:r w:rsidR="004C7321" w:rsidRPr="000249D1">
        <w:rPr>
          <w:b/>
          <w:u w:val="single"/>
          <w:lang w:val="es-ES_tradnl"/>
        </w:rPr>
        <w:t>Cuadro 7. Cobertura según categorías (año2013)</w:t>
      </w:r>
      <w:r w:rsidR="00C369DD" w:rsidRPr="000249D1">
        <w:rPr>
          <w:noProof/>
          <w:lang w:val="es-ES_tradnl"/>
        </w:rPr>
        <w:drawing>
          <wp:inline distT="0" distB="0" distL="0" distR="0" wp14:anchorId="5563C3A6" wp14:editId="6F55A85E">
            <wp:extent cx="5943600" cy="1661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61329"/>
                    </a:xfrm>
                    <a:prstGeom prst="rect">
                      <a:avLst/>
                    </a:prstGeom>
                    <a:noFill/>
                    <a:ln>
                      <a:noFill/>
                    </a:ln>
                  </pic:spPr>
                </pic:pic>
              </a:graphicData>
            </a:graphic>
          </wp:inline>
        </w:drawing>
      </w:r>
    </w:p>
    <w:p w:rsidR="00E97E6D" w:rsidRPr="000249D1" w:rsidRDefault="00E97E6D" w:rsidP="00C369DD">
      <w:pPr>
        <w:spacing w:line="240" w:lineRule="auto"/>
        <w:jc w:val="both"/>
        <w:rPr>
          <w:lang w:val="es-ES_tradnl"/>
        </w:rPr>
      </w:pPr>
    </w:p>
    <w:p w:rsidR="00C369DD" w:rsidRPr="000249D1" w:rsidRDefault="00C369DD" w:rsidP="00C369DD">
      <w:pPr>
        <w:spacing w:line="240" w:lineRule="auto"/>
        <w:jc w:val="both"/>
        <w:rPr>
          <w:lang w:val="es-ES_tradnl"/>
        </w:rPr>
      </w:pPr>
      <w:r w:rsidRPr="000249D1">
        <w:rPr>
          <w:lang w:val="es-ES_tradnl"/>
        </w:rPr>
        <w:t>El 62% de la población abastecida con agua potable corresponde a EPSA</w:t>
      </w:r>
      <w:r w:rsidR="00066722" w:rsidRPr="000249D1">
        <w:rPr>
          <w:lang w:val="es-ES_tradnl"/>
        </w:rPr>
        <w:t>s</w:t>
      </w:r>
      <w:r w:rsidRPr="000249D1">
        <w:rPr>
          <w:lang w:val="es-ES_tradnl"/>
        </w:rPr>
        <w:t xml:space="preserve"> que prestan servicios en ciudades del eje troncal (EPSAS, SAGUAPAC, SEMAPA), el 27% corresponde a EPSA de Ciudades Capitales de Departamento y el 9% a EPSA de Ciudades intermedias y EPSA de áreas periurbanas en el caso de la Ciudad de Santa Cruz de la Sierra.</w:t>
      </w:r>
    </w:p>
    <w:p w:rsidR="004C7321" w:rsidRPr="000249D1" w:rsidRDefault="00C369DD" w:rsidP="00C369DD">
      <w:pPr>
        <w:spacing w:line="240" w:lineRule="auto"/>
        <w:jc w:val="both"/>
        <w:rPr>
          <w:lang w:val="es-ES_tradnl"/>
        </w:rPr>
      </w:pPr>
      <w:r w:rsidRPr="000249D1">
        <w:rPr>
          <w:lang w:val="es-ES_tradnl"/>
        </w:rPr>
        <w:t>Con relación al Alcantarillado Sanitario, el 71% de la población con servicio de alcantarillado corresponde a EPSA de Ciudades del Eje Troncal (EPSAS, SAGUAPAC, SEMAPA), el 24% a Ciudades capitales de departamento y el 6% a Ciudades intermedias</w:t>
      </w:r>
    </w:p>
    <w:p w:rsidR="009442CA" w:rsidRPr="000249D1" w:rsidRDefault="009442CA" w:rsidP="009442CA">
      <w:pPr>
        <w:spacing w:line="240" w:lineRule="auto"/>
        <w:jc w:val="both"/>
        <w:rPr>
          <w:lang w:val="es-ES_tradnl"/>
        </w:rPr>
      </w:pPr>
      <w:r w:rsidRPr="000249D1">
        <w:rPr>
          <w:lang w:val="es-ES_tradnl"/>
        </w:rPr>
        <w:t>Considerando el modelo de gestión de las EPSA, el 68% de los usuarios son atendidos por EPSA de carácter público y municipal y el 35% por Cooperativas, concentrándose en su mayoría en el departamento de Santa Cruz</w:t>
      </w:r>
    </w:p>
    <w:p w:rsidR="00C862DB" w:rsidRPr="000249D1" w:rsidRDefault="00C862DB" w:rsidP="009442CA">
      <w:pPr>
        <w:spacing w:line="240" w:lineRule="auto"/>
        <w:jc w:val="both"/>
        <w:rPr>
          <w:lang w:val="es-ES_tradnl"/>
        </w:rPr>
      </w:pPr>
    </w:p>
    <w:p w:rsidR="00663AED" w:rsidRPr="000249D1" w:rsidRDefault="00663AED" w:rsidP="009442CA">
      <w:pPr>
        <w:spacing w:line="240" w:lineRule="auto"/>
        <w:jc w:val="both"/>
        <w:rPr>
          <w:lang w:val="es-ES_tradnl"/>
        </w:rPr>
      </w:pPr>
    </w:p>
    <w:p w:rsidR="00663AED" w:rsidRPr="000249D1" w:rsidRDefault="00663AED" w:rsidP="009442CA">
      <w:pPr>
        <w:spacing w:line="240" w:lineRule="auto"/>
        <w:jc w:val="both"/>
        <w:rPr>
          <w:lang w:val="es-ES_tradnl"/>
        </w:rPr>
      </w:pPr>
    </w:p>
    <w:p w:rsidR="00663AED" w:rsidRPr="000249D1" w:rsidRDefault="00663AED" w:rsidP="009442CA">
      <w:pPr>
        <w:spacing w:line="240" w:lineRule="auto"/>
        <w:jc w:val="both"/>
        <w:rPr>
          <w:lang w:val="es-ES_tradnl"/>
        </w:rPr>
      </w:pPr>
    </w:p>
    <w:p w:rsidR="00C862DB" w:rsidRPr="000249D1" w:rsidRDefault="0058487B" w:rsidP="0058487B">
      <w:pPr>
        <w:spacing w:line="240" w:lineRule="auto"/>
        <w:jc w:val="center"/>
        <w:rPr>
          <w:b/>
          <w:u w:val="single"/>
          <w:lang w:val="es-ES_tradnl"/>
        </w:rPr>
      </w:pPr>
      <w:r w:rsidRPr="000249D1">
        <w:rPr>
          <w:b/>
          <w:u w:val="single"/>
          <w:lang w:val="es-ES_tradnl"/>
        </w:rPr>
        <w:lastRenderedPageBreak/>
        <w:t>Cuadro 8. Cobertura según categorías y modelo de gestión</w:t>
      </w:r>
      <w:r w:rsidR="00663AED" w:rsidRPr="000249D1">
        <w:rPr>
          <w:b/>
          <w:u w:val="single"/>
          <w:lang w:val="es-ES_tradnl"/>
        </w:rPr>
        <w:t xml:space="preserve"> (año2013)</w:t>
      </w:r>
    </w:p>
    <w:p w:rsidR="00C862DB" w:rsidRPr="000249D1" w:rsidRDefault="00E97E6D" w:rsidP="009442CA">
      <w:pPr>
        <w:spacing w:line="240" w:lineRule="auto"/>
        <w:jc w:val="both"/>
        <w:rPr>
          <w:lang w:val="es-ES_tradnl"/>
        </w:rPr>
      </w:pPr>
      <w:r w:rsidRPr="000249D1">
        <w:rPr>
          <w:b/>
          <w:noProof/>
          <w:u w:val="single"/>
          <w:lang w:val="es-ES_tradnl"/>
        </w:rPr>
        <mc:AlternateContent>
          <mc:Choice Requires="wps">
            <w:drawing>
              <wp:anchor distT="0" distB="0" distL="114300" distR="114300" simplePos="0" relativeHeight="251673600" behindDoc="0" locked="0" layoutInCell="1" allowOverlap="1" wp14:anchorId="44292206" wp14:editId="790B0E07">
                <wp:simplePos x="0" y="0"/>
                <wp:positionH relativeFrom="column">
                  <wp:posOffset>0</wp:posOffset>
                </wp:positionH>
                <wp:positionV relativeFrom="paragraph">
                  <wp:posOffset>2728595</wp:posOffset>
                </wp:positionV>
                <wp:extent cx="1114425" cy="2476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E97E6D">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214.85pt;width:87.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" strokecolor="white [3212]">
                <v:textbox>
                  <w:txbxContent>
                    <w:p w:rsidR="00A411ED" w:rsidRPr="008F4112" w:rsidRDefault="00A411ED" w:rsidP="00E97E6D">
                      <w:pPr>
                        <w:rPr>
                          <w:sz w:val="20"/>
                        </w:rPr>
                      </w:pPr>
                      <w:r w:rsidRPr="008F4112">
                        <w:rPr>
                          <w:sz w:val="20"/>
                        </w:rPr>
                        <w:t>Fuente: AAPS</w:t>
                      </w:r>
                    </w:p>
                  </w:txbxContent>
                </v:textbox>
              </v:shape>
            </w:pict>
          </mc:Fallback>
        </mc:AlternateContent>
      </w:r>
      <w:r w:rsidR="00663AED" w:rsidRPr="000249D1">
        <w:rPr>
          <w:noProof/>
          <w:lang w:val="es-ES_tradnl"/>
        </w:rPr>
        <w:drawing>
          <wp:inline distT="0" distB="0" distL="0" distR="0" wp14:anchorId="3826182E" wp14:editId="287A7D4C">
            <wp:extent cx="5943600" cy="273644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36441"/>
                    </a:xfrm>
                    <a:prstGeom prst="rect">
                      <a:avLst/>
                    </a:prstGeom>
                    <a:noFill/>
                    <a:ln>
                      <a:noFill/>
                    </a:ln>
                  </pic:spPr>
                </pic:pic>
              </a:graphicData>
            </a:graphic>
          </wp:inline>
        </w:drawing>
      </w:r>
    </w:p>
    <w:p w:rsidR="00C862DB" w:rsidRPr="000249D1" w:rsidRDefault="00C862DB" w:rsidP="009442CA">
      <w:pPr>
        <w:spacing w:line="240" w:lineRule="auto"/>
        <w:jc w:val="both"/>
        <w:rPr>
          <w:b/>
          <w:u w:val="single"/>
          <w:lang w:val="es-ES_tradnl"/>
        </w:rPr>
      </w:pPr>
    </w:p>
    <w:p w:rsidR="00C862DB" w:rsidRPr="000249D1" w:rsidRDefault="00E97E6D" w:rsidP="00663AED">
      <w:pPr>
        <w:spacing w:line="240" w:lineRule="auto"/>
        <w:jc w:val="center"/>
        <w:rPr>
          <w:lang w:val="es-ES_tradnl"/>
        </w:rPr>
      </w:pPr>
      <w:r w:rsidRPr="000249D1">
        <w:rPr>
          <w:b/>
          <w:noProof/>
          <w:u w:val="single"/>
          <w:lang w:val="es-ES_tradnl"/>
        </w:rPr>
        <mc:AlternateContent>
          <mc:Choice Requires="wps">
            <w:drawing>
              <wp:anchor distT="0" distB="0" distL="114300" distR="114300" simplePos="0" relativeHeight="251675648" behindDoc="0" locked="0" layoutInCell="1" allowOverlap="1" wp14:anchorId="7E258540" wp14:editId="0075F4BF">
                <wp:simplePos x="0" y="0"/>
                <wp:positionH relativeFrom="column">
                  <wp:posOffset>4838700</wp:posOffset>
                </wp:positionH>
                <wp:positionV relativeFrom="paragraph">
                  <wp:posOffset>4206240</wp:posOffset>
                </wp:positionV>
                <wp:extent cx="1114425" cy="24765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E97E6D">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1pt;margin-top:331.2pt;width:87.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" strokecolor="white [3212]">
                <v:textbox>
                  <w:txbxContent>
                    <w:p w:rsidR="00A411ED" w:rsidRPr="008F4112" w:rsidRDefault="00A411ED" w:rsidP="00E97E6D">
                      <w:pPr>
                        <w:rPr>
                          <w:sz w:val="20"/>
                        </w:rPr>
                      </w:pPr>
                      <w:r w:rsidRPr="008F4112">
                        <w:rPr>
                          <w:sz w:val="20"/>
                        </w:rPr>
                        <w:t>Fuente: AAPS</w:t>
                      </w:r>
                    </w:p>
                  </w:txbxContent>
                </v:textbox>
              </v:shape>
            </w:pict>
          </mc:Fallback>
        </mc:AlternateContent>
      </w:r>
      <w:r w:rsidR="00663AED" w:rsidRPr="000249D1">
        <w:rPr>
          <w:b/>
          <w:u w:val="single"/>
          <w:lang w:val="es-ES_tradnl"/>
        </w:rPr>
        <w:t>Cuadro 9. Conexiones Agua Potable, Alcantarillado y Micro-medición (año 2013)</w:t>
      </w:r>
      <w:r w:rsidR="00663AED" w:rsidRPr="000249D1">
        <w:rPr>
          <w:noProof/>
          <w:lang w:val="es-ES_tradnl"/>
        </w:rPr>
        <w:drawing>
          <wp:inline distT="0" distB="0" distL="0" distR="0" wp14:anchorId="483AE6AE" wp14:editId="16B069E5">
            <wp:extent cx="558165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661" cy="3888296"/>
                    </a:xfrm>
                    <a:prstGeom prst="rect">
                      <a:avLst/>
                    </a:prstGeom>
                    <a:noFill/>
                    <a:ln>
                      <a:noFill/>
                    </a:ln>
                  </pic:spPr>
                </pic:pic>
              </a:graphicData>
            </a:graphic>
          </wp:inline>
        </w:drawing>
      </w:r>
      <w:r w:rsidRPr="000249D1">
        <w:rPr>
          <w:b/>
          <w:noProof/>
          <w:u w:val="single"/>
          <w:lang w:val="es-ES_tradnl"/>
        </w:rPr>
        <w:t xml:space="preserve"> </w:t>
      </w:r>
    </w:p>
    <w:p w:rsidR="006A192B" w:rsidRPr="000249D1" w:rsidRDefault="006A192B" w:rsidP="006A192B">
      <w:pPr>
        <w:spacing w:line="240" w:lineRule="auto"/>
        <w:jc w:val="both"/>
        <w:rPr>
          <w:lang w:val="es-ES_tradnl"/>
        </w:rPr>
      </w:pPr>
      <w:r w:rsidRPr="000249D1">
        <w:rPr>
          <w:lang w:val="es-ES_tradnl"/>
        </w:rPr>
        <w:lastRenderedPageBreak/>
        <w:t>Como se observa en el cuadro anterior, el 60% de las conexiones de agua potable se encuentran en el eje troncal del Estado, correspondiendo a 616.780 conexiones, siendo destacable el nivel de micro-medición alcanzado del 90% a diciembre de 2013. En EPSA</w:t>
      </w:r>
      <w:r w:rsidR="00422324" w:rsidRPr="000249D1">
        <w:rPr>
          <w:lang w:val="es-ES_tradnl"/>
        </w:rPr>
        <w:t>s</w:t>
      </w:r>
      <w:r w:rsidRPr="000249D1">
        <w:rPr>
          <w:lang w:val="es-ES_tradnl"/>
        </w:rPr>
        <w:t xml:space="preserve"> de la Categoría “B”</w:t>
      </w:r>
      <w:r w:rsidR="00422324" w:rsidRPr="000249D1">
        <w:rPr>
          <w:lang w:val="es-ES_tradnl"/>
        </w:rPr>
        <w:t>,</w:t>
      </w:r>
      <w:r w:rsidRPr="000249D1">
        <w:rPr>
          <w:lang w:val="es-ES_tradnl"/>
        </w:rPr>
        <w:t xml:space="preserve"> se encuentran 265.533 conexiones, es decir el 30% y en EPSA de la Categoría “C” 80.209 conexiones, o sea el 10%.</w:t>
      </w:r>
    </w:p>
    <w:p w:rsidR="006A192B" w:rsidRPr="000249D1" w:rsidRDefault="006A192B" w:rsidP="006A192B">
      <w:pPr>
        <w:spacing w:line="240" w:lineRule="auto"/>
        <w:jc w:val="both"/>
        <w:rPr>
          <w:lang w:val="es-ES_tradnl"/>
        </w:rPr>
      </w:pPr>
      <w:r w:rsidRPr="000249D1">
        <w:rPr>
          <w:lang w:val="es-ES_tradnl"/>
        </w:rPr>
        <w:t>En referencia al Alcantarillado Sanitario, el 70% de las conexiones (447.871) corresponden a EPSA de las Categoría “A”; el 23% de las conexiones (150.640) a EPSA de la Categoría “B” y solamente el 7% (42.804) a EPSA de la Categoría “C”.</w:t>
      </w:r>
    </w:p>
    <w:p w:rsidR="00C862DB" w:rsidRPr="000249D1" w:rsidRDefault="006A192B" w:rsidP="006A192B">
      <w:pPr>
        <w:spacing w:line="240" w:lineRule="auto"/>
        <w:jc w:val="both"/>
        <w:rPr>
          <w:lang w:val="es-ES_tradnl"/>
        </w:rPr>
      </w:pPr>
      <w:r w:rsidRPr="000249D1">
        <w:rPr>
          <w:lang w:val="es-ES_tradnl"/>
        </w:rPr>
        <w:t>En cuanto a micro-medición</w:t>
      </w:r>
      <w:r w:rsidR="00FF5502" w:rsidRPr="000249D1">
        <w:rPr>
          <w:lang w:val="es-ES_tradnl"/>
        </w:rPr>
        <w:t>,</w:t>
      </w:r>
      <w:r w:rsidRPr="000249D1">
        <w:rPr>
          <w:lang w:val="es-ES_tradnl"/>
        </w:rPr>
        <w:t xml:space="preserve"> es destacable que el 51% de las EPSA alcanzaron niveles por encima del 90% en conexiones medidas.</w:t>
      </w:r>
    </w:p>
    <w:p w:rsidR="00B84E2A" w:rsidRPr="000249D1" w:rsidRDefault="00B84E2A" w:rsidP="006A192B">
      <w:pPr>
        <w:spacing w:line="240" w:lineRule="auto"/>
        <w:jc w:val="both"/>
        <w:rPr>
          <w:b/>
          <w:lang w:val="es-ES_tradnl"/>
        </w:rPr>
      </w:pPr>
      <w:r w:rsidRPr="000249D1">
        <w:rPr>
          <w:b/>
          <w:highlight w:val="lightGray"/>
          <w:lang w:val="es-ES_tradnl"/>
        </w:rPr>
        <w:t>CALIDAD DEL AGUA:</w:t>
      </w:r>
    </w:p>
    <w:p w:rsidR="003D4270" w:rsidRPr="000249D1" w:rsidRDefault="003D4270" w:rsidP="003D4270">
      <w:pPr>
        <w:spacing w:line="240" w:lineRule="auto"/>
        <w:jc w:val="center"/>
        <w:rPr>
          <w:lang w:val="es-ES_tradnl"/>
        </w:rPr>
      </w:pPr>
      <w:r w:rsidRPr="000249D1">
        <w:rPr>
          <w:b/>
          <w:u w:val="single"/>
          <w:lang w:val="es-ES_tradnl"/>
        </w:rPr>
        <w:t>Cuadro 10. Muestras para control de calidad de agua (año 2013)</w:t>
      </w:r>
      <w:r w:rsidRPr="000249D1">
        <w:rPr>
          <w:noProof/>
          <w:lang w:val="es-ES_tradnl"/>
        </w:rPr>
        <w:drawing>
          <wp:inline distT="0" distB="0" distL="0" distR="0" wp14:anchorId="08DB3C7A" wp14:editId="5DABD655">
            <wp:extent cx="5943600" cy="1872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72056"/>
                    </a:xfrm>
                    <a:prstGeom prst="rect">
                      <a:avLst/>
                    </a:prstGeom>
                    <a:noFill/>
                    <a:ln>
                      <a:noFill/>
                    </a:ln>
                  </pic:spPr>
                </pic:pic>
              </a:graphicData>
            </a:graphic>
          </wp:inline>
        </w:drawing>
      </w:r>
    </w:p>
    <w:p w:rsidR="00B84E2A" w:rsidRPr="000249D1" w:rsidRDefault="004C49C9" w:rsidP="003D4270">
      <w:pPr>
        <w:tabs>
          <w:tab w:val="left" w:pos="3465"/>
        </w:tabs>
        <w:jc w:val="center"/>
        <w:rPr>
          <w:lang w:val="es-ES_tradnl"/>
        </w:rPr>
      </w:pPr>
      <w:r w:rsidRPr="000249D1">
        <w:rPr>
          <w:b/>
          <w:noProof/>
          <w:u w:val="single"/>
          <w:lang w:val="es-ES_tradnl"/>
        </w:rPr>
        <mc:AlternateContent>
          <mc:Choice Requires="wps">
            <w:drawing>
              <wp:anchor distT="0" distB="0" distL="114300" distR="114300" simplePos="0" relativeHeight="251677696" behindDoc="0" locked="0" layoutInCell="1" allowOverlap="1" wp14:anchorId="244A55B2" wp14:editId="52C646D5">
                <wp:simplePos x="0" y="0"/>
                <wp:positionH relativeFrom="column">
                  <wp:posOffset>266700</wp:posOffset>
                </wp:positionH>
                <wp:positionV relativeFrom="paragraph">
                  <wp:posOffset>2786380</wp:posOffset>
                </wp:positionV>
                <wp:extent cx="1114425" cy="24765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4C49C9">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pt;margin-top:219.4pt;width:87.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" strokecolor="white [3212]">
                <v:textbox>
                  <w:txbxContent>
                    <w:p w:rsidR="00A411ED" w:rsidRPr="008F4112" w:rsidRDefault="00A411ED" w:rsidP="004C49C9">
                      <w:pPr>
                        <w:rPr>
                          <w:sz w:val="20"/>
                        </w:rPr>
                      </w:pPr>
                      <w:r w:rsidRPr="008F4112">
                        <w:rPr>
                          <w:sz w:val="20"/>
                        </w:rPr>
                        <w:t>Fuente: AAPS</w:t>
                      </w:r>
                    </w:p>
                  </w:txbxContent>
                </v:textbox>
              </v:shape>
            </w:pict>
          </mc:Fallback>
        </mc:AlternateContent>
      </w:r>
      <w:r w:rsidR="003D4270" w:rsidRPr="000249D1">
        <w:rPr>
          <w:noProof/>
          <w:lang w:val="es-ES_tradnl"/>
        </w:rPr>
        <w:drawing>
          <wp:inline distT="0" distB="0" distL="0" distR="0" wp14:anchorId="1B9849EC" wp14:editId="3C58B5D5">
            <wp:extent cx="3343275" cy="27898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789802"/>
                    </a:xfrm>
                    <a:prstGeom prst="rect">
                      <a:avLst/>
                    </a:prstGeom>
                    <a:noFill/>
                    <a:ln>
                      <a:noFill/>
                    </a:ln>
                  </pic:spPr>
                </pic:pic>
              </a:graphicData>
            </a:graphic>
          </wp:inline>
        </w:drawing>
      </w:r>
    </w:p>
    <w:p w:rsidR="00EB725B" w:rsidRPr="000249D1" w:rsidRDefault="00EB725B" w:rsidP="003D4270">
      <w:pPr>
        <w:tabs>
          <w:tab w:val="left" w:pos="3465"/>
        </w:tabs>
        <w:jc w:val="center"/>
        <w:rPr>
          <w:lang w:val="es-ES_tradnl"/>
        </w:rPr>
      </w:pPr>
    </w:p>
    <w:p w:rsidR="00EB725B" w:rsidRPr="000249D1" w:rsidRDefault="00B63488" w:rsidP="00730BD7">
      <w:pPr>
        <w:tabs>
          <w:tab w:val="left" w:pos="3465"/>
        </w:tabs>
        <w:spacing w:line="240" w:lineRule="auto"/>
        <w:jc w:val="both"/>
        <w:rPr>
          <w:lang w:val="es-ES_tradnl"/>
        </w:rPr>
      </w:pPr>
      <w:r w:rsidRPr="000249D1">
        <w:rPr>
          <w:lang w:val="es-ES_tradnl"/>
        </w:rPr>
        <w:lastRenderedPageBreak/>
        <w:t>Las EPSA son responsables del control de la calidad de agua para consumo humano en el área de prestación del servicio en el marco de la NB-512, siendo la AAPS la encargada de la fiscalización, evaluando a las EPSA</w:t>
      </w:r>
      <w:r w:rsidR="005A18EA" w:rsidRPr="000249D1">
        <w:rPr>
          <w:lang w:val="es-ES_tradnl"/>
        </w:rPr>
        <w:t>s</w:t>
      </w:r>
      <w:r w:rsidRPr="000249D1">
        <w:rPr>
          <w:lang w:val="es-ES_tradnl"/>
        </w:rPr>
        <w:t xml:space="preserve"> de acuerdo a los indicadores de calidad de agua: Ejecución de los análisis de agua potable. (Midiendo el cumplimiento de los muestreos recomendados); Conformidad de los análisis de agua potables realizados. (Verificando que el agua cumpla con a NB-512).</w:t>
      </w:r>
    </w:p>
    <w:p w:rsidR="00B63488" w:rsidRPr="000249D1" w:rsidRDefault="00B63488" w:rsidP="00730BD7">
      <w:pPr>
        <w:tabs>
          <w:tab w:val="left" w:pos="3465"/>
        </w:tabs>
        <w:spacing w:line="240" w:lineRule="auto"/>
        <w:jc w:val="both"/>
        <w:rPr>
          <w:lang w:val="es-ES_tradnl"/>
        </w:rPr>
      </w:pPr>
      <w:r w:rsidRPr="000249D1">
        <w:rPr>
          <w:lang w:val="es-ES_tradnl"/>
        </w:rPr>
        <w:t>Respecto al muestreo, el total de EPSA con seguimiento regulatorio, han realizado el análisis de 14.220 muestras en la gestión, es decir que en promedio, por día se realizaron</w:t>
      </w:r>
      <w:r w:rsidR="005A18EA" w:rsidRPr="000249D1">
        <w:rPr>
          <w:lang w:val="es-ES_tradnl"/>
        </w:rPr>
        <w:t xml:space="preserve"> unas</w:t>
      </w:r>
      <w:r w:rsidRPr="000249D1">
        <w:rPr>
          <w:lang w:val="es-ES_tradnl"/>
        </w:rPr>
        <w:t xml:space="preserve"> 39 muestras.</w:t>
      </w:r>
    </w:p>
    <w:p w:rsidR="005E419C" w:rsidRPr="000249D1" w:rsidRDefault="005E419C" w:rsidP="005E419C">
      <w:pPr>
        <w:tabs>
          <w:tab w:val="left" w:pos="3465"/>
        </w:tabs>
        <w:rPr>
          <w:b/>
          <w:lang w:val="es-ES_tradnl"/>
        </w:rPr>
      </w:pPr>
      <w:r w:rsidRPr="000249D1">
        <w:rPr>
          <w:b/>
          <w:highlight w:val="lightGray"/>
          <w:lang w:val="es-ES_tradnl"/>
        </w:rPr>
        <w:t>ATENCION AL USUARIO:</w:t>
      </w:r>
    </w:p>
    <w:p w:rsidR="00730BD7" w:rsidRPr="000249D1" w:rsidRDefault="004C49C9" w:rsidP="00093D00">
      <w:pPr>
        <w:jc w:val="center"/>
        <w:rPr>
          <w:lang w:val="es-ES_tradnl"/>
        </w:rPr>
      </w:pPr>
      <w:r w:rsidRPr="000249D1">
        <w:rPr>
          <w:b/>
          <w:u w:val="single"/>
          <w:lang w:val="es-ES_tradnl"/>
        </w:rPr>
        <w:t>Cuadro 11. Reclamos atendidos por la EPSAs según categorías (año 2013)</w:t>
      </w:r>
      <w:r w:rsidR="00234886" w:rsidRPr="000249D1">
        <w:rPr>
          <w:b/>
          <w:noProof/>
          <w:u w:val="single"/>
          <w:lang w:val="es-ES_tradnl"/>
        </w:rPr>
        <mc:AlternateContent>
          <mc:Choice Requires="wps">
            <w:drawing>
              <wp:anchor distT="0" distB="0" distL="114300" distR="114300" simplePos="0" relativeHeight="251679744" behindDoc="0" locked="0" layoutInCell="1" allowOverlap="1" wp14:anchorId="324470B7" wp14:editId="06A4E923">
                <wp:simplePos x="0" y="0"/>
                <wp:positionH relativeFrom="column">
                  <wp:posOffset>361950</wp:posOffset>
                </wp:positionH>
                <wp:positionV relativeFrom="paragraph">
                  <wp:posOffset>4725035</wp:posOffset>
                </wp:positionV>
                <wp:extent cx="1114425" cy="247650"/>
                <wp:effectExtent l="0" t="0" r="2857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234886">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8.5pt;margin-top:372.05pt;width:87.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" strokecolor="white [3212]">
                <v:textbox>
                  <w:txbxContent>
                    <w:p w:rsidR="00A411ED" w:rsidRPr="008F4112" w:rsidRDefault="00A411ED" w:rsidP="00234886">
                      <w:pPr>
                        <w:rPr>
                          <w:sz w:val="20"/>
                        </w:rPr>
                      </w:pPr>
                      <w:r w:rsidRPr="008F4112">
                        <w:rPr>
                          <w:sz w:val="20"/>
                        </w:rPr>
                        <w:t>Fuente: AAPS</w:t>
                      </w:r>
                    </w:p>
                  </w:txbxContent>
                </v:textbox>
              </v:shape>
            </w:pict>
          </mc:Fallback>
        </mc:AlternateContent>
      </w:r>
      <w:r w:rsidR="00234886" w:rsidRPr="000249D1">
        <w:rPr>
          <w:noProof/>
          <w:lang w:val="es-ES_tradnl"/>
        </w:rPr>
        <w:drawing>
          <wp:inline distT="0" distB="0" distL="0" distR="0" wp14:anchorId="7F909038" wp14:editId="67F9B07F">
            <wp:extent cx="4518864" cy="466685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917" cy="4670003"/>
                    </a:xfrm>
                    <a:prstGeom prst="rect">
                      <a:avLst/>
                    </a:prstGeom>
                    <a:noFill/>
                    <a:ln>
                      <a:noFill/>
                    </a:ln>
                  </pic:spPr>
                </pic:pic>
              </a:graphicData>
            </a:graphic>
          </wp:inline>
        </w:drawing>
      </w:r>
    </w:p>
    <w:p w:rsidR="00EB725B" w:rsidRPr="000249D1" w:rsidRDefault="00730BD7" w:rsidP="00730BD7">
      <w:pPr>
        <w:tabs>
          <w:tab w:val="left" w:pos="2370"/>
        </w:tabs>
        <w:rPr>
          <w:lang w:val="es-ES_tradnl"/>
        </w:rPr>
      </w:pPr>
      <w:r w:rsidRPr="000249D1">
        <w:rPr>
          <w:lang w:val="es-ES_tradnl"/>
        </w:rPr>
        <w:tab/>
      </w:r>
    </w:p>
    <w:p w:rsidR="00730BD7" w:rsidRPr="000249D1" w:rsidRDefault="00730BD7" w:rsidP="00730BD7">
      <w:pPr>
        <w:tabs>
          <w:tab w:val="left" w:pos="2370"/>
        </w:tabs>
        <w:rPr>
          <w:lang w:val="es-ES_tradnl"/>
        </w:rPr>
      </w:pPr>
    </w:p>
    <w:p w:rsidR="00730BD7" w:rsidRPr="000249D1" w:rsidRDefault="00730BD7" w:rsidP="00730BD7">
      <w:pPr>
        <w:tabs>
          <w:tab w:val="left" w:pos="2370"/>
        </w:tabs>
        <w:spacing w:line="240" w:lineRule="auto"/>
        <w:jc w:val="both"/>
        <w:rPr>
          <w:lang w:val="es-ES_tradnl"/>
        </w:rPr>
      </w:pPr>
      <w:r w:rsidRPr="000249D1">
        <w:rPr>
          <w:lang w:val="es-ES_tradnl"/>
        </w:rPr>
        <w:lastRenderedPageBreak/>
        <w:t>El total de las EPSA</w:t>
      </w:r>
      <w:r w:rsidR="00AC0C73" w:rsidRPr="000249D1">
        <w:rPr>
          <w:lang w:val="es-ES_tradnl"/>
        </w:rPr>
        <w:t>s</w:t>
      </w:r>
      <w:r w:rsidRPr="000249D1">
        <w:rPr>
          <w:lang w:val="es-ES_tradnl"/>
        </w:rPr>
        <w:t>, muestran que en promedio el 91% de los reclamos realizados por los usuarios (reclamos técnicos, comerciales, cortes de servicio) son atendidos. Sin embargo es evidente que en las EPSA</w:t>
      </w:r>
      <w:r w:rsidR="00AC0C73" w:rsidRPr="000249D1">
        <w:rPr>
          <w:lang w:val="es-ES_tradnl"/>
        </w:rPr>
        <w:t>s</w:t>
      </w:r>
      <w:r w:rsidRPr="000249D1">
        <w:rPr>
          <w:lang w:val="es-ES_tradnl"/>
        </w:rPr>
        <w:t xml:space="preserve"> de ciudades intermedias aún falta establecer Oficinas de Atención al Consumido</w:t>
      </w:r>
      <w:r w:rsidR="00AC0C73" w:rsidRPr="000249D1">
        <w:rPr>
          <w:lang w:val="es-ES_tradnl"/>
        </w:rPr>
        <w:t>r</w:t>
      </w:r>
      <w:r w:rsidRPr="000249D1">
        <w:rPr>
          <w:lang w:val="es-ES_tradnl"/>
        </w:rPr>
        <w:t xml:space="preserve"> (ODECO) a fin de que la atención a reclamos sea oportuna.</w:t>
      </w:r>
    </w:p>
    <w:p w:rsidR="00730BD7" w:rsidRPr="000249D1" w:rsidRDefault="00C941D9" w:rsidP="00730BD7">
      <w:pPr>
        <w:rPr>
          <w:b/>
          <w:lang w:val="es-ES_tradnl"/>
        </w:rPr>
      </w:pPr>
      <w:r w:rsidRPr="000249D1">
        <w:rPr>
          <w:b/>
          <w:highlight w:val="lightGray"/>
          <w:lang w:val="es-ES_tradnl"/>
        </w:rPr>
        <w:t>RECURSOS HUMANOS:</w:t>
      </w:r>
    </w:p>
    <w:p w:rsidR="00093D00" w:rsidRPr="000249D1" w:rsidRDefault="00093D00" w:rsidP="00093D00">
      <w:pPr>
        <w:jc w:val="center"/>
        <w:rPr>
          <w:lang w:val="es-ES_tradnl"/>
        </w:rPr>
      </w:pPr>
      <w:r w:rsidRPr="000249D1">
        <w:rPr>
          <w:b/>
          <w:noProof/>
          <w:u w:val="single"/>
          <w:lang w:val="es-ES_tradnl"/>
        </w:rPr>
        <mc:AlternateContent>
          <mc:Choice Requires="wps">
            <w:drawing>
              <wp:anchor distT="0" distB="0" distL="114300" distR="114300" simplePos="0" relativeHeight="251681792" behindDoc="0" locked="0" layoutInCell="1" allowOverlap="1" wp14:anchorId="70F4F796" wp14:editId="00CB3493">
                <wp:simplePos x="0" y="0"/>
                <wp:positionH relativeFrom="column">
                  <wp:posOffset>66675</wp:posOffset>
                </wp:positionH>
                <wp:positionV relativeFrom="paragraph">
                  <wp:posOffset>2404110</wp:posOffset>
                </wp:positionV>
                <wp:extent cx="1114425" cy="2476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093D00">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25pt;margin-top:189.3pt;width:87.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" strokecolor="white [3212]">
                <v:textbox>
                  <w:txbxContent>
                    <w:p w:rsidR="00A411ED" w:rsidRPr="008F4112" w:rsidRDefault="00A411ED" w:rsidP="00093D00">
                      <w:pPr>
                        <w:rPr>
                          <w:sz w:val="20"/>
                        </w:rPr>
                      </w:pPr>
                      <w:r w:rsidRPr="008F4112">
                        <w:rPr>
                          <w:sz w:val="20"/>
                        </w:rPr>
                        <w:t>Fuente: AAPS</w:t>
                      </w:r>
                    </w:p>
                  </w:txbxContent>
                </v:textbox>
              </v:shape>
            </w:pict>
          </mc:Fallback>
        </mc:AlternateContent>
      </w:r>
      <w:r w:rsidRPr="000249D1">
        <w:rPr>
          <w:b/>
          <w:u w:val="single"/>
          <w:lang w:val="es-ES_tradnl"/>
        </w:rPr>
        <w:t>Cuadro 12. Cantidad de Personal que atienden el servicio</w:t>
      </w:r>
      <w:r w:rsidRPr="000249D1">
        <w:rPr>
          <w:noProof/>
          <w:lang w:val="es-ES_tradnl"/>
        </w:rPr>
        <w:drawing>
          <wp:inline distT="0" distB="0" distL="0" distR="0" wp14:anchorId="0EACA147" wp14:editId="0FB3EB47">
            <wp:extent cx="5943600" cy="2200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00040"/>
                    </a:xfrm>
                    <a:prstGeom prst="rect">
                      <a:avLst/>
                    </a:prstGeom>
                    <a:noFill/>
                    <a:ln>
                      <a:noFill/>
                    </a:ln>
                  </pic:spPr>
                </pic:pic>
              </a:graphicData>
            </a:graphic>
          </wp:inline>
        </w:drawing>
      </w:r>
    </w:p>
    <w:p w:rsidR="00696CE3" w:rsidRPr="000249D1" w:rsidRDefault="00696CE3" w:rsidP="00696CE3">
      <w:pPr>
        <w:autoSpaceDE w:val="0"/>
        <w:autoSpaceDN w:val="0"/>
        <w:adjustRightInd w:val="0"/>
        <w:spacing w:after="0" w:line="240" w:lineRule="auto"/>
        <w:rPr>
          <w:rFonts w:ascii="MinionPro-Regular" w:hAnsi="MinionPro-Regular" w:cs="MinionPro-Regular"/>
          <w:szCs w:val="24"/>
          <w:lang w:val="es-ES_tradnl"/>
        </w:rPr>
      </w:pPr>
    </w:p>
    <w:p w:rsidR="00093D00" w:rsidRPr="000249D1" w:rsidRDefault="00696CE3" w:rsidP="00696CE3">
      <w:pPr>
        <w:autoSpaceDE w:val="0"/>
        <w:autoSpaceDN w:val="0"/>
        <w:adjustRightInd w:val="0"/>
        <w:spacing w:after="0" w:line="240" w:lineRule="auto"/>
        <w:jc w:val="both"/>
        <w:rPr>
          <w:lang w:val="es-ES_tradnl"/>
        </w:rPr>
      </w:pPr>
      <w:r w:rsidRPr="000249D1">
        <w:rPr>
          <w:lang w:val="es-ES_tradnl"/>
        </w:rPr>
        <w:t>Las EPSA</w:t>
      </w:r>
      <w:r w:rsidR="00AC0C73" w:rsidRPr="000249D1">
        <w:rPr>
          <w:lang w:val="es-ES_tradnl"/>
        </w:rPr>
        <w:t>s</w:t>
      </w:r>
      <w:r w:rsidRPr="000249D1">
        <w:rPr>
          <w:lang w:val="es-ES_tradnl"/>
        </w:rPr>
        <w:t xml:space="preserve"> con seguimiento regulatorio brindan fuentes de empleo a 3.429 personas sin considerar la tercerización que realizan algunas EPSA</w:t>
      </w:r>
      <w:r w:rsidR="00AC0C73" w:rsidRPr="000249D1">
        <w:rPr>
          <w:lang w:val="es-ES_tradnl"/>
        </w:rPr>
        <w:t>s</w:t>
      </w:r>
      <w:r w:rsidRPr="000249D1">
        <w:rPr>
          <w:lang w:val="es-ES_tradnl"/>
        </w:rPr>
        <w:t xml:space="preserve"> en servicios como </w:t>
      </w:r>
      <w:r w:rsidR="007D6119" w:rsidRPr="000249D1">
        <w:rPr>
          <w:lang w:val="es-ES_tradnl"/>
        </w:rPr>
        <w:t>toma de lecturas</w:t>
      </w:r>
      <w:r w:rsidRPr="000249D1">
        <w:rPr>
          <w:lang w:val="es-ES_tradnl"/>
        </w:rPr>
        <w:t>, facturación, cobranza y ejecución de proyectos.</w:t>
      </w:r>
    </w:p>
    <w:p w:rsidR="0096317A" w:rsidRPr="000249D1" w:rsidRDefault="0096317A" w:rsidP="00696CE3">
      <w:pPr>
        <w:autoSpaceDE w:val="0"/>
        <w:autoSpaceDN w:val="0"/>
        <w:adjustRightInd w:val="0"/>
        <w:spacing w:after="0" w:line="240" w:lineRule="auto"/>
        <w:jc w:val="both"/>
        <w:rPr>
          <w:lang w:val="es-ES_tradnl"/>
        </w:rPr>
      </w:pPr>
    </w:p>
    <w:p w:rsidR="0096317A" w:rsidRPr="000249D1" w:rsidRDefault="0096317A" w:rsidP="0096317A">
      <w:pPr>
        <w:pStyle w:val="ListParagraph"/>
        <w:numPr>
          <w:ilvl w:val="0"/>
          <w:numId w:val="3"/>
        </w:numPr>
        <w:autoSpaceDE w:val="0"/>
        <w:autoSpaceDN w:val="0"/>
        <w:adjustRightInd w:val="0"/>
        <w:spacing w:after="0" w:line="240" w:lineRule="auto"/>
        <w:jc w:val="both"/>
        <w:rPr>
          <w:b/>
          <w:lang w:val="es-ES_tradnl"/>
        </w:rPr>
      </w:pPr>
      <w:r w:rsidRPr="000249D1">
        <w:rPr>
          <w:b/>
          <w:lang w:val="es-ES_tradnl"/>
        </w:rPr>
        <w:t>Indicadores EPSAs Categoría “A”</w:t>
      </w:r>
    </w:p>
    <w:p w:rsidR="00696CE3" w:rsidRPr="000249D1" w:rsidRDefault="00696CE3"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96317A" w:rsidRPr="000249D1" w:rsidRDefault="0096317A" w:rsidP="00093D00">
      <w:pPr>
        <w:ind w:firstLine="720"/>
        <w:rPr>
          <w:lang w:val="es-ES_tradnl"/>
        </w:rPr>
      </w:pPr>
    </w:p>
    <w:p w:rsidR="002122F8" w:rsidRPr="000249D1" w:rsidRDefault="0096317A" w:rsidP="0096317A">
      <w:pPr>
        <w:ind w:firstLine="720"/>
        <w:rPr>
          <w:lang w:val="es-ES_tradnl"/>
        </w:rPr>
      </w:pPr>
      <w:r w:rsidRPr="000249D1">
        <w:rPr>
          <w:b/>
          <w:noProof/>
          <w:sz w:val="22"/>
          <w:u w:val="single"/>
          <w:lang w:val="es-ES_tradnl"/>
        </w:rPr>
        <w:lastRenderedPageBreak/>
        <mc:AlternateContent>
          <mc:Choice Requires="wps">
            <w:drawing>
              <wp:anchor distT="0" distB="0" distL="114300" distR="114300" simplePos="0" relativeHeight="251683840" behindDoc="0" locked="0" layoutInCell="1" allowOverlap="1" wp14:anchorId="0455B08A" wp14:editId="666260A1">
                <wp:simplePos x="0" y="0"/>
                <wp:positionH relativeFrom="column">
                  <wp:posOffset>0</wp:posOffset>
                </wp:positionH>
                <wp:positionV relativeFrom="paragraph">
                  <wp:posOffset>7325995</wp:posOffset>
                </wp:positionV>
                <wp:extent cx="1114425" cy="2476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96317A">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576.85pt;width:87.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" strokecolor="white [3212]">
                <v:textbox>
                  <w:txbxContent>
                    <w:p w:rsidR="00A411ED" w:rsidRPr="008F4112" w:rsidRDefault="00A411ED" w:rsidP="0096317A">
                      <w:pPr>
                        <w:rPr>
                          <w:sz w:val="20"/>
                        </w:rPr>
                      </w:pPr>
                      <w:r w:rsidRPr="008F4112">
                        <w:rPr>
                          <w:sz w:val="20"/>
                        </w:rPr>
                        <w:t>Fuente: AAPS</w:t>
                      </w:r>
                    </w:p>
                  </w:txbxContent>
                </v:textbox>
              </v:shape>
            </w:pict>
          </mc:Fallback>
        </mc:AlternateContent>
      </w:r>
      <w:r w:rsidRPr="000249D1">
        <w:rPr>
          <w:b/>
          <w:sz w:val="22"/>
          <w:u w:val="single"/>
          <w:lang w:val="es-ES_tradnl"/>
        </w:rPr>
        <w:t>Cuadro 13. Indicadores de Desempeño – EPSA categoría “A’ – año 2013</w:t>
      </w:r>
      <w:r w:rsidRPr="000249D1">
        <w:rPr>
          <w:noProof/>
          <w:lang w:val="es-ES_tradnl"/>
        </w:rPr>
        <w:drawing>
          <wp:inline distT="0" distB="0" distL="0" distR="0" wp14:anchorId="6721F569" wp14:editId="1CD0BB7A">
            <wp:extent cx="5943600" cy="690567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905672"/>
                    </a:xfrm>
                    <a:prstGeom prst="rect">
                      <a:avLst/>
                    </a:prstGeom>
                    <a:noFill/>
                    <a:ln>
                      <a:noFill/>
                    </a:ln>
                  </pic:spPr>
                </pic:pic>
              </a:graphicData>
            </a:graphic>
          </wp:inline>
        </w:drawing>
      </w:r>
      <w:r w:rsidR="00696CE3" w:rsidRPr="000249D1">
        <w:rPr>
          <w:lang w:val="es-ES_tradnl"/>
        </w:rPr>
        <w:tab/>
      </w:r>
    </w:p>
    <w:p w:rsidR="00730BD7" w:rsidRPr="000249D1" w:rsidRDefault="002122F8" w:rsidP="002122F8">
      <w:pPr>
        <w:tabs>
          <w:tab w:val="left" w:pos="990"/>
        </w:tabs>
        <w:rPr>
          <w:lang w:val="es-ES_tradnl"/>
        </w:rPr>
      </w:pPr>
      <w:r w:rsidRPr="000249D1">
        <w:rPr>
          <w:lang w:val="es-ES_tradnl"/>
        </w:rPr>
        <w:tab/>
      </w:r>
    </w:p>
    <w:p w:rsidR="002122F8" w:rsidRPr="000249D1" w:rsidRDefault="002122F8" w:rsidP="002122F8">
      <w:pPr>
        <w:tabs>
          <w:tab w:val="left" w:pos="990"/>
        </w:tabs>
        <w:rPr>
          <w:lang w:val="es-ES_tradnl"/>
        </w:rPr>
      </w:pPr>
    </w:p>
    <w:p w:rsidR="002122F8" w:rsidRPr="000249D1" w:rsidRDefault="002122F8" w:rsidP="002122F8">
      <w:pPr>
        <w:tabs>
          <w:tab w:val="left" w:pos="990"/>
        </w:tabs>
        <w:spacing w:line="240" w:lineRule="auto"/>
        <w:jc w:val="both"/>
        <w:rPr>
          <w:lang w:val="es-ES_tradnl"/>
        </w:rPr>
      </w:pPr>
      <w:r w:rsidRPr="000249D1">
        <w:rPr>
          <w:b/>
          <w:lang w:val="es-ES_tradnl"/>
        </w:rPr>
        <w:lastRenderedPageBreak/>
        <w:t>CONFIABILIDAD DEL RECURSO</w:t>
      </w:r>
      <w:r w:rsidRPr="000249D1">
        <w:rPr>
          <w:lang w:val="es-ES_tradnl"/>
        </w:rPr>
        <w:t>. En EPSA</w:t>
      </w:r>
      <w:r w:rsidR="00DD6AA7" w:rsidRPr="000249D1">
        <w:rPr>
          <w:lang w:val="es-ES_tradnl"/>
        </w:rPr>
        <w:t>s</w:t>
      </w:r>
      <w:r w:rsidRPr="000249D1">
        <w:rPr>
          <w:lang w:val="es-ES_tradnl"/>
        </w:rPr>
        <w:t xml:space="preserve"> de la categoría “A”</w:t>
      </w:r>
      <w:r w:rsidR="00DD6AA7" w:rsidRPr="000249D1">
        <w:rPr>
          <w:lang w:val="es-ES_tradnl"/>
        </w:rPr>
        <w:t>,</w:t>
      </w:r>
      <w:r w:rsidRPr="000249D1">
        <w:rPr>
          <w:lang w:val="es-ES_tradnl"/>
        </w:rPr>
        <w:t xml:space="preserve"> EPSAS (La Paz-El Alto) y SAGUAPAC (Santa Cruz de la Sierra) presentan una disponibilidad eficiente del recurso hídrico respecto a su capacidad autorizada en fuentes</w:t>
      </w:r>
      <w:r w:rsidR="00DD6AA7" w:rsidRPr="000249D1">
        <w:rPr>
          <w:lang w:val="es-ES_tradnl"/>
        </w:rPr>
        <w:t>,</w:t>
      </w:r>
      <w:r w:rsidRPr="000249D1">
        <w:rPr>
          <w:lang w:val="es-ES_tradnl"/>
        </w:rPr>
        <w:t xml:space="preserve"> lo que les permite incrementar el volumen extraído de agua para poder satisfacer su demanda creciente tanto en densificación como expansión. Asimismo se puede observar que el agua que se extrae de las fuentes, llega en un porcentaje adecuado a los usuarios finales conforme a los parámetros de calidad establecidos en la Norma Boliviana 512 y traduciéndose en ingresos facturados para la EPSA. Al contrario SEMAPA de Cochabamba, evidencia una sobreexplotación de las fuentes autorizadas.</w:t>
      </w:r>
    </w:p>
    <w:p w:rsidR="002122F8" w:rsidRPr="000249D1" w:rsidRDefault="002122F8" w:rsidP="002122F8">
      <w:pPr>
        <w:tabs>
          <w:tab w:val="left" w:pos="990"/>
        </w:tabs>
        <w:spacing w:line="240" w:lineRule="auto"/>
        <w:jc w:val="both"/>
        <w:rPr>
          <w:lang w:val="es-ES_tradnl"/>
        </w:rPr>
      </w:pPr>
      <w:r w:rsidRPr="000249D1">
        <w:rPr>
          <w:b/>
          <w:lang w:val="es-ES_tradnl"/>
        </w:rPr>
        <w:t xml:space="preserve">ABASTECIMIENTO ESTABLE. </w:t>
      </w:r>
      <w:r w:rsidRPr="000249D1">
        <w:rPr>
          <w:lang w:val="es-ES_tradnl"/>
        </w:rPr>
        <w:t>SAGUAPAC (Santa Cruz de la Sierra) y SEMAPA presentan índices de dotación superior a 100 litros habitante día, sin embargo ésta última presenta una alta dotación teniendo incidencia las pérdidas y el bajo nivel de micro-medición, aspecto que distorsiona el indicador. Al contrario EPSAS (La Paz- El Alto) si bien presenta una dotación menor, esta es aceptable dada las condiciones climáticas de la región.</w:t>
      </w:r>
    </w:p>
    <w:p w:rsidR="002122F8" w:rsidRPr="000249D1" w:rsidRDefault="002122F8" w:rsidP="002122F8">
      <w:pPr>
        <w:tabs>
          <w:tab w:val="left" w:pos="990"/>
        </w:tabs>
        <w:spacing w:line="240" w:lineRule="auto"/>
        <w:jc w:val="both"/>
        <w:rPr>
          <w:lang w:val="es-ES_tradnl"/>
        </w:rPr>
      </w:pPr>
      <w:r w:rsidRPr="000249D1">
        <w:rPr>
          <w:lang w:val="es-ES_tradnl"/>
        </w:rPr>
        <w:t>El servicio tiene características de continuidad por más de 20 horas al día, teniendo incidencia los cortes imprevistos y programados.</w:t>
      </w:r>
    </w:p>
    <w:p w:rsidR="002122F8" w:rsidRPr="000249D1" w:rsidRDefault="002122F8" w:rsidP="002122F8">
      <w:pPr>
        <w:tabs>
          <w:tab w:val="left" w:pos="990"/>
        </w:tabs>
        <w:spacing w:line="240" w:lineRule="auto"/>
        <w:jc w:val="both"/>
        <w:rPr>
          <w:lang w:val="es-ES_tradnl"/>
        </w:rPr>
      </w:pPr>
      <w:r w:rsidRPr="000249D1">
        <w:rPr>
          <w:lang w:val="es-ES_tradnl"/>
        </w:rPr>
        <w:t>Respecto a la cobertura de los servicios de agua potable</w:t>
      </w:r>
      <w:r w:rsidR="00422586" w:rsidRPr="000249D1">
        <w:rPr>
          <w:lang w:val="es-ES_tradnl"/>
        </w:rPr>
        <w:t>,</w:t>
      </w:r>
      <w:r w:rsidRPr="000249D1">
        <w:rPr>
          <w:lang w:val="es-ES_tradnl"/>
        </w:rPr>
        <w:t xml:space="preserve"> tanto EPSAS (La Paz – El Alto) como SAGUAPAC (Santa Cruz de la Sierra) superan el 90% de cobertura de abastecimiento, sin embargo SEMAPA (Cochabamba) presenta un índice muy bajo como consecuencia de que la población considerada dentro de su área de servicio aún contempla población que es servida por otras EPSA menores. En el caso del Alcantarillado Sanitario, solamente EPSAS cumple con el indicador óptimo superior al 65% de cobertura. Si bien SAGUAPAC tiene una cobertura aceptable, esta Cooperativa también presta el servicio de alcantarillado a otras EPSA. </w:t>
      </w:r>
    </w:p>
    <w:p w:rsidR="002122F8" w:rsidRPr="000249D1" w:rsidRDefault="002122F8" w:rsidP="002122F8">
      <w:pPr>
        <w:tabs>
          <w:tab w:val="left" w:pos="990"/>
        </w:tabs>
        <w:spacing w:line="240" w:lineRule="auto"/>
        <w:jc w:val="both"/>
        <w:rPr>
          <w:lang w:val="es-ES_tradnl"/>
        </w:rPr>
      </w:pPr>
      <w:r w:rsidRPr="000249D1">
        <w:rPr>
          <w:lang w:val="es-ES_tradnl"/>
        </w:rPr>
        <w:t>En referencia a la micro-medición, es destacable la eficiencia de EPSAS y SAGUAPAC alcanzando un índice del 99% de conexiones medidas que contribuyen al uso eficiente del agua y reducción de pérdidas y no así en el caso de SEMAPA.</w:t>
      </w:r>
    </w:p>
    <w:p w:rsidR="002122F8" w:rsidRPr="000249D1" w:rsidRDefault="002122F8" w:rsidP="002122F8">
      <w:pPr>
        <w:tabs>
          <w:tab w:val="left" w:pos="990"/>
        </w:tabs>
        <w:spacing w:line="240" w:lineRule="auto"/>
        <w:jc w:val="both"/>
        <w:rPr>
          <w:lang w:val="es-ES_tradnl"/>
        </w:rPr>
      </w:pPr>
      <w:r w:rsidRPr="000249D1">
        <w:rPr>
          <w:b/>
          <w:lang w:val="es-ES_tradnl"/>
        </w:rPr>
        <w:t>PROTECCI</w:t>
      </w:r>
      <w:r w:rsidR="000249D1" w:rsidRPr="000249D1">
        <w:rPr>
          <w:b/>
          <w:lang w:val="es-ES_tradnl"/>
        </w:rPr>
        <w:t>Ó</w:t>
      </w:r>
      <w:r w:rsidRPr="000249D1">
        <w:rPr>
          <w:b/>
          <w:lang w:val="es-ES_tradnl"/>
        </w:rPr>
        <w:t xml:space="preserve">N AL MEDIO AMBIENTE. </w:t>
      </w:r>
      <w:r w:rsidRPr="000249D1">
        <w:rPr>
          <w:lang w:val="es-ES_tradnl"/>
        </w:rPr>
        <w:t>Tanto SAGUAPAC como EPSAS, demuestran una subutilización de los recursos hídricos disponibles para satisfacer la demanda actual, sin embargo SEMAPA (Cochabamba) presenta una sobreexplotación de los recursos autorizados debiendo buscar nuevas fuentes para satisfacer la demanda creciente dentro de su área prestación del servicio</w:t>
      </w:r>
    </w:p>
    <w:p w:rsidR="002122F8" w:rsidRPr="000249D1" w:rsidRDefault="002122F8" w:rsidP="002122F8">
      <w:pPr>
        <w:widowControl w:val="0"/>
        <w:autoSpaceDE w:val="0"/>
        <w:autoSpaceDN w:val="0"/>
        <w:adjustRightInd w:val="0"/>
        <w:snapToGrid w:val="0"/>
        <w:spacing w:after="0" w:line="240" w:lineRule="auto"/>
        <w:jc w:val="both"/>
        <w:rPr>
          <w:lang w:val="es-ES_tradnl"/>
        </w:rPr>
      </w:pPr>
      <w:r w:rsidRPr="000249D1">
        <w:rPr>
          <w:lang w:val="es-ES_tradnl"/>
        </w:rPr>
        <w:t xml:space="preserve">El índice de tratamiento de aguas residuales en SAGUAPAC y SEMAPA Cumple la condición primaria para que las aguas residuales no afecten al medio ambiente, aunque en el caso de SEMAPA la capacidad de su planta de </w:t>
      </w:r>
      <w:r w:rsidRPr="000249D1">
        <w:rPr>
          <w:lang w:val="es-ES_tradnl"/>
        </w:rPr>
        <w:lastRenderedPageBreak/>
        <w:t>tratamiento ha sido rebasada. EPSAS solamente trata las aguas residuales provenientes de la Ciudad de El Alto, no contando con una planta de tratamiento de aguas residuales para la Ciudad de La Paz.</w:t>
      </w:r>
    </w:p>
    <w:p w:rsidR="002122F8" w:rsidRPr="000249D1" w:rsidRDefault="002122F8" w:rsidP="002122F8">
      <w:pPr>
        <w:tabs>
          <w:tab w:val="left" w:pos="990"/>
        </w:tabs>
        <w:spacing w:line="240" w:lineRule="auto"/>
        <w:jc w:val="both"/>
        <w:rPr>
          <w:lang w:val="es-ES_tradnl"/>
        </w:rPr>
      </w:pPr>
    </w:p>
    <w:p w:rsidR="009E6DAC" w:rsidRPr="000249D1" w:rsidRDefault="002122F8" w:rsidP="009E6DAC">
      <w:pPr>
        <w:tabs>
          <w:tab w:val="left" w:pos="990"/>
        </w:tabs>
        <w:spacing w:line="240" w:lineRule="auto"/>
        <w:jc w:val="both"/>
        <w:rPr>
          <w:lang w:val="es-ES_tradnl"/>
        </w:rPr>
      </w:pPr>
      <w:r w:rsidRPr="000249D1">
        <w:rPr>
          <w:b/>
          <w:lang w:val="es-ES_tradnl"/>
        </w:rPr>
        <w:t>SOSTENIBILIDAD ECONOMICA Y ADMINISTRATIVA DEL SERVICIO.</w:t>
      </w:r>
      <w:r w:rsidR="009E6DAC" w:rsidRPr="000249D1">
        <w:rPr>
          <w:b/>
          <w:lang w:val="es-ES_tradnl"/>
        </w:rPr>
        <w:t xml:space="preserve"> </w:t>
      </w:r>
      <w:r w:rsidR="009E6DAC" w:rsidRPr="000249D1">
        <w:rPr>
          <w:lang w:val="es-ES_tradnl"/>
        </w:rPr>
        <w:t>EPSAS (La Paz-El Alto), SAGUAPAC (Santa Cruz de la Sierra) y SEMAPA (Cochabamba), lograron la sostenibilidad financiera y operativa del servicio, es decir que con los ingresos provenientes de la prestación del servicio logran cubrir sus costos operativos en forma eficiente teniendo cierto margen para inversiones tanto de renovación y expansión.</w:t>
      </w:r>
    </w:p>
    <w:p w:rsidR="009E6DAC" w:rsidRPr="000249D1" w:rsidRDefault="009E6DAC" w:rsidP="009E6DAC">
      <w:pPr>
        <w:tabs>
          <w:tab w:val="left" w:pos="990"/>
        </w:tabs>
        <w:spacing w:line="240" w:lineRule="auto"/>
        <w:jc w:val="both"/>
        <w:rPr>
          <w:lang w:val="es-ES_tradnl"/>
        </w:rPr>
      </w:pPr>
      <w:r w:rsidRPr="000249D1">
        <w:rPr>
          <w:lang w:val="es-ES_tradnl"/>
        </w:rPr>
        <w:t>La Prueba Ácida aplicada a los Estados Financieros evidencia que las EPSAS tipo “A” cuentan con una liquidez de corto plazo y disponibilidad suficiente para cubrir eventualidades.</w:t>
      </w:r>
    </w:p>
    <w:p w:rsidR="009E6DAC" w:rsidRPr="000249D1" w:rsidRDefault="009E6DAC" w:rsidP="009E6DAC">
      <w:pPr>
        <w:tabs>
          <w:tab w:val="left" w:pos="990"/>
        </w:tabs>
        <w:spacing w:line="240" w:lineRule="auto"/>
        <w:jc w:val="both"/>
        <w:rPr>
          <w:lang w:val="es-ES_tradnl"/>
        </w:rPr>
      </w:pPr>
      <w:r w:rsidRPr="000249D1">
        <w:rPr>
          <w:lang w:val="es-ES_tradnl"/>
        </w:rPr>
        <w:t>Por otra parte la condición Tarifa Media superior al Costo Unitario de Operación se cumple en SAGUAPAC y EPSAS, teniendo una brecha importante de generación de recursos para la sostenibilidad del servicio. En el caso de SEMAPA el Costo Unitario de Operación es superior a la Tarifa Media.</w:t>
      </w:r>
    </w:p>
    <w:p w:rsidR="002122F8" w:rsidRPr="000249D1" w:rsidRDefault="009E6DAC" w:rsidP="009E6DAC">
      <w:pPr>
        <w:tabs>
          <w:tab w:val="left" w:pos="990"/>
        </w:tabs>
        <w:spacing w:line="240" w:lineRule="auto"/>
        <w:jc w:val="both"/>
        <w:rPr>
          <w:b/>
          <w:lang w:val="es-ES_tradnl"/>
        </w:rPr>
      </w:pPr>
      <w:r w:rsidRPr="000249D1">
        <w:rPr>
          <w:lang w:val="es-ES_tradnl"/>
        </w:rPr>
        <w:t>En cuanto a la atención de reclamos, es destacable que EPSAS y SAGUAPAC, presenten un alto grado de capacidad de resolución de reclamos</w:t>
      </w:r>
      <w:r w:rsidRPr="000249D1">
        <w:rPr>
          <w:b/>
          <w:lang w:val="es-ES_tradnl"/>
        </w:rPr>
        <w:t>.</w:t>
      </w:r>
    </w:p>
    <w:p w:rsidR="009E6DAC" w:rsidRPr="000249D1" w:rsidRDefault="009E6DAC">
      <w:pPr>
        <w:tabs>
          <w:tab w:val="left" w:pos="990"/>
        </w:tabs>
        <w:spacing w:line="240" w:lineRule="auto"/>
        <w:jc w:val="both"/>
        <w:rPr>
          <w:b/>
          <w:lang w:val="es-ES_tradnl"/>
        </w:rPr>
      </w:pPr>
    </w:p>
    <w:p w:rsidR="000F2B00" w:rsidRPr="000249D1" w:rsidRDefault="000F2B00" w:rsidP="003C4D79">
      <w:pPr>
        <w:tabs>
          <w:tab w:val="left" w:pos="990"/>
        </w:tabs>
        <w:spacing w:line="240" w:lineRule="auto"/>
        <w:jc w:val="both"/>
        <w:rPr>
          <w:lang w:val="es-ES_tradnl"/>
        </w:rPr>
      </w:pPr>
      <w:r w:rsidRPr="000249D1">
        <w:rPr>
          <w:b/>
          <w:lang w:val="es-ES_tradnl"/>
        </w:rPr>
        <w:t>MANEJO APROPIADO DEL SISTEMA DE AGUA POTABLE Y ALCANTARILLADO.</w:t>
      </w:r>
      <w:r w:rsidR="003C4D79" w:rsidRPr="000249D1">
        <w:rPr>
          <w:b/>
          <w:lang w:val="es-ES_tradnl"/>
        </w:rPr>
        <w:t xml:space="preserve"> </w:t>
      </w:r>
      <w:r w:rsidR="003C4D79" w:rsidRPr="000249D1">
        <w:rPr>
          <w:lang w:val="es-ES_tradnl"/>
        </w:rPr>
        <w:t>SAGUAPAC, cuenta con el índice de agua no contabilizada más bajo (21%) respecto a otras ciudades del eje troncal. Es preocupante el caso de SEMAPA que supera el parámetro aceptable, es decir que tiene un volumen considerable que se pierde tanto en el proceso de producción como en la distribución, teniendo incidencia en sus ingresos y el costo unitario operativo.</w:t>
      </w:r>
    </w:p>
    <w:p w:rsidR="00F630AD" w:rsidRPr="000249D1" w:rsidRDefault="00F630AD" w:rsidP="003C4D79">
      <w:pPr>
        <w:tabs>
          <w:tab w:val="left" w:pos="990"/>
        </w:tabs>
        <w:spacing w:line="240" w:lineRule="auto"/>
        <w:jc w:val="both"/>
        <w:rPr>
          <w:lang w:val="es-ES_tradnl"/>
        </w:rPr>
      </w:pPr>
    </w:p>
    <w:p w:rsidR="00F630AD" w:rsidRPr="000249D1" w:rsidRDefault="00F630AD" w:rsidP="00F630AD">
      <w:pPr>
        <w:pStyle w:val="ListParagraph"/>
        <w:numPr>
          <w:ilvl w:val="0"/>
          <w:numId w:val="3"/>
        </w:numPr>
        <w:tabs>
          <w:tab w:val="left" w:pos="2400"/>
        </w:tabs>
        <w:rPr>
          <w:b/>
          <w:lang w:val="es-ES_tradnl"/>
        </w:rPr>
      </w:pPr>
      <w:r w:rsidRPr="000249D1">
        <w:rPr>
          <w:b/>
          <w:lang w:val="es-ES_tradnl"/>
        </w:rPr>
        <w:t>Indicadores EPSAs Categoría “B”</w:t>
      </w:r>
    </w:p>
    <w:p w:rsidR="00F630AD" w:rsidRPr="000249D1" w:rsidRDefault="00F630AD" w:rsidP="00F630AD">
      <w:pPr>
        <w:tabs>
          <w:tab w:val="left" w:pos="990"/>
        </w:tabs>
        <w:spacing w:line="240" w:lineRule="auto"/>
        <w:ind w:left="360"/>
        <w:jc w:val="both"/>
        <w:rPr>
          <w:b/>
          <w:u w:val="single"/>
          <w:lang w:val="es-ES_tradnl"/>
        </w:rPr>
      </w:pPr>
    </w:p>
    <w:p w:rsidR="00F630AD" w:rsidRPr="000249D1" w:rsidRDefault="00F630AD" w:rsidP="00F630AD">
      <w:pPr>
        <w:tabs>
          <w:tab w:val="left" w:pos="990"/>
        </w:tabs>
        <w:spacing w:line="240" w:lineRule="auto"/>
        <w:ind w:left="360"/>
        <w:jc w:val="both"/>
        <w:rPr>
          <w:b/>
          <w:u w:val="single"/>
          <w:lang w:val="es-ES_tradnl"/>
        </w:rPr>
      </w:pPr>
    </w:p>
    <w:p w:rsidR="00F630AD" w:rsidRPr="000249D1" w:rsidRDefault="00F630AD" w:rsidP="00F630AD">
      <w:pPr>
        <w:tabs>
          <w:tab w:val="left" w:pos="990"/>
        </w:tabs>
        <w:spacing w:line="240" w:lineRule="auto"/>
        <w:ind w:left="360"/>
        <w:jc w:val="both"/>
        <w:rPr>
          <w:b/>
          <w:u w:val="single"/>
          <w:lang w:val="es-ES_tradnl"/>
        </w:rPr>
      </w:pPr>
    </w:p>
    <w:p w:rsidR="00F630AD" w:rsidRPr="000249D1" w:rsidRDefault="00F630AD" w:rsidP="00F630AD">
      <w:pPr>
        <w:tabs>
          <w:tab w:val="left" w:pos="990"/>
        </w:tabs>
        <w:spacing w:line="240" w:lineRule="auto"/>
        <w:ind w:left="360"/>
        <w:jc w:val="both"/>
        <w:rPr>
          <w:b/>
          <w:u w:val="single"/>
          <w:lang w:val="es-ES_tradnl"/>
        </w:rPr>
      </w:pPr>
    </w:p>
    <w:p w:rsidR="00F630AD" w:rsidRPr="000249D1" w:rsidRDefault="00F630AD" w:rsidP="00F630AD">
      <w:pPr>
        <w:tabs>
          <w:tab w:val="left" w:pos="990"/>
        </w:tabs>
        <w:spacing w:line="240" w:lineRule="auto"/>
        <w:ind w:left="360"/>
        <w:jc w:val="both"/>
        <w:rPr>
          <w:b/>
          <w:u w:val="single"/>
          <w:lang w:val="es-ES_tradnl"/>
        </w:rPr>
      </w:pPr>
    </w:p>
    <w:p w:rsidR="00F630AD" w:rsidRPr="000249D1" w:rsidRDefault="00F630AD" w:rsidP="00F630AD">
      <w:pPr>
        <w:tabs>
          <w:tab w:val="left" w:pos="990"/>
        </w:tabs>
        <w:spacing w:line="240" w:lineRule="auto"/>
        <w:ind w:left="360"/>
        <w:jc w:val="both"/>
        <w:rPr>
          <w:b/>
          <w:u w:val="single"/>
          <w:lang w:val="es-ES_tradnl"/>
        </w:rPr>
      </w:pPr>
    </w:p>
    <w:p w:rsidR="004D39BD" w:rsidRPr="000249D1" w:rsidRDefault="00F630AD" w:rsidP="00F630AD">
      <w:pPr>
        <w:tabs>
          <w:tab w:val="left" w:pos="990"/>
        </w:tabs>
        <w:spacing w:line="240" w:lineRule="auto"/>
        <w:ind w:left="360"/>
        <w:jc w:val="both"/>
        <w:rPr>
          <w:lang w:val="es-ES_tradnl"/>
        </w:rPr>
      </w:pPr>
      <w:r w:rsidRPr="000249D1">
        <w:rPr>
          <w:b/>
          <w:u w:val="single"/>
          <w:lang w:val="es-ES_tradnl"/>
        </w:rPr>
        <w:lastRenderedPageBreak/>
        <w:t>Cuadro 14. Indicadores de Desempeño – EPSA categoría “B’ – año 2013</w:t>
      </w:r>
    </w:p>
    <w:p w:rsidR="004D39BD" w:rsidRPr="000249D1" w:rsidRDefault="004D39BD" w:rsidP="004D39BD">
      <w:pPr>
        <w:jc w:val="center"/>
        <w:rPr>
          <w:lang w:val="es-ES_tradnl"/>
        </w:rPr>
      </w:pPr>
      <w:r w:rsidRPr="000249D1">
        <w:rPr>
          <w:noProof/>
          <w:lang w:val="es-ES_tradnl"/>
        </w:rPr>
        <w:drawing>
          <wp:inline distT="0" distB="0" distL="0" distR="0" wp14:anchorId="0EB4F43E" wp14:editId="4F0A957C">
            <wp:extent cx="5667375" cy="6486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6486525"/>
                    </a:xfrm>
                    <a:prstGeom prst="rect">
                      <a:avLst/>
                    </a:prstGeom>
                    <a:noFill/>
                    <a:ln>
                      <a:noFill/>
                    </a:ln>
                  </pic:spPr>
                </pic:pic>
              </a:graphicData>
            </a:graphic>
          </wp:inline>
        </w:drawing>
      </w:r>
    </w:p>
    <w:p w:rsidR="004D39BD" w:rsidRPr="000249D1" w:rsidRDefault="004D39BD" w:rsidP="004D39BD">
      <w:pPr>
        <w:rPr>
          <w:lang w:val="es-ES_tradnl"/>
        </w:rPr>
      </w:pPr>
    </w:p>
    <w:p w:rsidR="004D39BD" w:rsidRPr="000249D1" w:rsidRDefault="004D39BD" w:rsidP="004D39BD">
      <w:pPr>
        <w:rPr>
          <w:lang w:val="es-ES_tradnl"/>
        </w:rPr>
      </w:pPr>
    </w:p>
    <w:p w:rsidR="00F630AD" w:rsidRPr="000249D1" w:rsidRDefault="00F630AD" w:rsidP="004D39BD">
      <w:pPr>
        <w:ind w:firstLine="720"/>
        <w:rPr>
          <w:lang w:val="es-ES_tradnl"/>
        </w:rPr>
      </w:pPr>
    </w:p>
    <w:p w:rsidR="004D39BD" w:rsidRPr="000249D1" w:rsidRDefault="004D39BD" w:rsidP="004D39BD">
      <w:pPr>
        <w:ind w:firstLine="720"/>
        <w:rPr>
          <w:lang w:val="es-ES_tradnl"/>
        </w:rPr>
      </w:pPr>
    </w:p>
    <w:p w:rsidR="004D39BD" w:rsidRPr="000249D1" w:rsidRDefault="004D39BD" w:rsidP="004D39BD">
      <w:pPr>
        <w:ind w:firstLine="720"/>
        <w:jc w:val="center"/>
        <w:rPr>
          <w:lang w:val="es-ES_tradnl"/>
        </w:rPr>
      </w:pPr>
      <w:r w:rsidRPr="000249D1">
        <w:rPr>
          <w:noProof/>
          <w:lang w:val="es-ES_tradnl"/>
        </w:rPr>
        <w:lastRenderedPageBreak/>
        <w:drawing>
          <wp:inline distT="0" distB="0" distL="0" distR="0" wp14:anchorId="6415A144" wp14:editId="2CD8AB22">
            <wp:extent cx="5629275" cy="651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6515100"/>
                    </a:xfrm>
                    <a:prstGeom prst="rect">
                      <a:avLst/>
                    </a:prstGeom>
                    <a:noFill/>
                    <a:ln>
                      <a:noFill/>
                    </a:ln>
                  </pic:spPr>
                </pic:pic>
              </a:graphicData>
            </a:graphic>
          </wp:inline>
        </w:drawing>
      </w:r>
    </w:p>
    <w:p w:rsidR="004D39BD" w:rsidRPr="000249D1" w:rsidRDefault="004D39BD" w:rsidP="004D39BD">
      <w:pPr>
        <w:rPr>
          <w:lang w:val="es-ES_tradnl"/>
        </w:rPr>
      </w:pPr>
    </w:p>
    <w:p w:rsidR="004D39BD" w:rsidRPr="000249D1" w:rsidRDefault="004D39BD" w:rsidP="004D39BD">
      <w:pPr>
        <w:rPr>
          <w:lang w:val="es-ES_tradnl"/>
        </w:rPr>
      </w:pPr>
    </w:p>
    <w:p w:rsidR="004D39BD" w:rsidRPr="000249D1" w:rsidRDefault="004D39BD" w:rsidP="004D39BD">
      <w:pPr>
        <w:tabs>
          <w:tab w:val="left" w:pos="2235"/>
        </w:tabs>
        <w:rPr>
          <w:lang w:val="es-ES_tradnl"/>
        </w:rPr>
      </w:pPr>
      <w:r w:rsidRPr="000249D1">
        <w:rPr>
          <w:lang w:val="es-ES_tradnl"/>
        </w:rPr>
        <w:tab/>
      </w:r>
    </w:p>
    <w:p w:rsidR="004D39BD" w:rsidRPr="000249D1" w:rsidRDefault="004D39BD" w:rsidP="004D39BD">
      <w:pPr>
        <w:tabs>
          <w:tab w:val="left" w:pos="2235"/>
        </w:tabs>
        <w:rPr>
          <w:lang w:val="es-ES_tradnl"/>
        </w:rPr>
      </w:pPr>
    </w:p>
    <w:p w:rsidR="004D39BD" w:rsidRPr="000249D1" w:rsidRDefault="004D39BD" w:rsidP="004D39BD">
      <w:pPr>
        <w:tabs>
          <w:tab w:val="left" w:pos="2235"/>
        </w:tabs>
        <w:rPr>
          <w:lang w:val="es-ES_tradnl"/>
        </w:rPr>
      </w:pPr>
    </w:p>
    <w:p w:rsidR="004D39BD" w:rsidRPr="000249D1" w:rsidRDefault="004D39BD" w:rsidP="004D39BD">
      <w:pPr>
        <w:tabs>
          <w:tab w:val="left" w:pos="2235"/>
        </w:tabs>
        <w:rPr>
          <w:lang w:val="es-ES_tradnl"/>
        </w:rPr>
      </w:pPr>
      <w:r w:rsidRPr="000249D1">
        <w:rPr>
          <w:noProof/>
          <w:lang w:val="es-ES_tradnl"/>
        </w:rPr>
        <w:lastRenderedPageBreak/>
        <w:drawing>
          <wp:inline distT="0" distB="0" distL="0" distR="0" wp14:anchorId="0F2A13BE" wp14:editId="5C441213">
            <wp:extent cx="5667375" cy="66008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6600825"/>
                    </a:xfrm>
                    <a:prstGeom prst="rect">
                      <a:avLst/>
                    </a:prstGeom>
                    <a:noFill/>
                    <a:ln>
                      <a:noFill/>
                    </a:ln>
                  </pic:spPr>
                </pic:pic>
              </a:graphicData>
            </a:graphic>
          </wp:inline>
        </w:drawing>
      </w:r>
    </w:p>
    <w:p w:rsidR="004D39BD" w:rsidRPr="000249D1" w:rsidRDefault="004D39BD" w:rsidP="004D39BD">
      <w:pPr>
        <w:tabs>
          <w:tab w:val="left" w:pos="1110"/>
        </w:tabs>
        <w:rPr>
          <w:lang w:val="es-ES_tradnl"/>
        </w:rPr>
      </w:pPr>
      <w:r w:rsidRPr="000249D1">
        <w:rPr>
          <w:lang w:val="es-ES_tradnl"/>
        </w:rPr>
        <w:tab/>
      </w:r>
    </w:p>
    <w:p w:rsidR="004D39BD" w:rsidRPr="000249D1" w:rsidRDefault="004D39BD" w:rsidP="004D39BD">
      <w:pPr>
        <w:tabs>
          <w:tab w:val="left" w:pos="1110"/>
        </w:tabs>
        <w:rPr>
          <w:lang w:val="es-ES_tradnl"/>
        </w:rPr>
      </w:pPr>
    </w:p>
    <w:p w:rsidR="004D39BD" w:rsidRPr="000249D1" w:rsidRDefault="004D39BD" w:rsidP="004D39BD">
      <w:pPr>
        <w:tabs>
          <w:tab w:val="left" w:pos="1110"/>
        </w:tabs>
        <w:rPr>
          <w:lang w:val="es-ES_tradnl"/>
        </w:rPr>
      </w:pPr>
    </w:p>
    <w:p w:rsidR="004D39BD" w:rsidRPr="000249D1" w:rsidRDefault="004D39BD" w:rsidP="004D39BD">
      <w:pPr>
        <w:tabs>
          <w:tab w:val="left" w:pos="1110"/>
        </w:tabs>
        <w:rPr>
          <w:lang w:val="es-ES_tradnl"/>
        </w:rPr>
      </w:pPr>
    </w:p>
    <w:p w:rsidR="004D39BD" w:rsidRPr="000249D1" w:rsidRDefault="004D39BD" w:rsidP="004D39BD">
      <w:pPr>
        <w:tabs>
          <w:tab w:val="left" w:pos="1110"/>
        </w:tabs>
        <w:rPr>
          <w:lang w:val="es-ES_tradnl"/>
        </w:rPr>
      </w:pPr>
      <w:r w:rsidRPr="000249D1">
        <w:rPr>
          <w:noProof/>
          <w:lang w:val="es-ES_tradnl"/>
        </w:rPr>
        <w:lastRenderedPageBreak/>
        <w:drawing>
          <wp:inline distT="0" distB="0" distL="0" distR="0" wp14:anchorId="3A7649A1" wp14:editId="66F38073">
            <wp:extent cx="5667375" cy="65151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6515100"/>
                    </a:xfrm>
                    <a:prstGeom prst="rect">
                      <a:avLst/>
                    </a:prstGeom>
                    <a:noFill/>
                    <a:ln>
                      <a:noFill/>
                    </a:ln>
                  </pic:spPr>
                </pic:pic>
              </a:graphicData>
            </a:graphic>
          </wp:inline>
        </w:drawing>
      </w:r>
    </w:p>
    <w:p w:rsidR="004D39BD" w:rsidRPr="000249D1" w:rsidRDefault="004D39BD" w:rsidP="004D39BD">
      <w:pPr>
        <w:rPr>
          <w:lang w:val="es-ES_tradnl"/>
        </w:rPr>
      </w:pPr>
    </w:p>
    <w:p w:rsidR="004D39BD" w:rsidRPr="000249D1" w:rsidRDefault="004D39BD" w:rsidP="004D39BD">
      <w:pPr>
        <w:rPr>
          <w:lang w:val="es-ES_tradnl"/>
        </w:rPr>
      </w:pPr>
    </w:p>
    <w:p w:rsidR="004D39BD" w:rsidRPr="000249D1" w:rsidRDefault="004D39BD" w:rsidP="004D39BD">
      <w:pPr>
        <w:rPr>
          <w:lang w:val="es-ES_tradnl"/>
        </w:rPr>
      </w:pPr>
    </w:p>
    <w:p w:rsidR="004D39BD" w:rsidRPr="000249D1" w:rsidRDefault="004D39BD" w:rsidP="004D39BD">
      <w:pPr>
        <w:tabs>
          <w:tab w:val="left" w:pos="5415"/>
        </w:tabs>
        <w:rPr>
          <w:lang w:val="es-ES_tradnl"/>
        </w:rPr>
      </w:pPr>
      <w:r w:rsidRPr="000249D1">
        <w:rPr>
          <w:lang w:val="es-ES_tradnl"/>
        </w:rPr>
        <w:tab/>
      </w:r>
    </w:p>
    <w:p w:rsidR="004D39BD" w:rsidRPr="000249D1" w:rsidRDefault="004D39BD" w:rsidP="004D39BD">
      <w:pPr>
        <w:tabs>
          <w:tab w:val="left" w:pos="5415"/>
        </w:tabs>
        <w:rPr>
          <w:lang w:val="es-ES_tradnl"/>
        </w:rPr>
      </w:pPr>
    </w:p>
    <w:p w:rsidR="004D39BD" w:rsidRPr="000249D1" w:rsidRDefault="004D39BD" w:rsidP="004D39BD">
      <w:pPr>
        <w:tabs>
          <w:tab w:val="left" w:pos="5415"/>
        </w:tabs>
        <w:rPr>
          <w:lang w:val="es-ES_tradnl"/>
        </w:rPr>
      </w:pPr>
      <w:r w:rsidRPr="000249D1">
        <w:rPr>
          <w:b/>
          <w:noProof/>
          <w:u w:val="single"/>
          <w:lang w:val="es-ES_tradnl"/>
        </w:rPr>
        <w:lastRenderedPageBreak/>
        <mc:AlternateContent>
          <mc:Choice Requires="wps">
            <w:drawing>
              <wp:anchor distT="0" distB="0" distL="114300" distR="114300" simplePos="0" relativeHeight="251685888" behindDoc="0" locked="0" layoutInCell="1" allowOverlap="1" wp14:anchorId="2693A940" wp14:editId="09D0BE31">
                <wp:simplePos x="0" y="0"/>
                <wp:positionH relativeFrom="column">
                  <wp:posOffset>0</wp:posOffset>
                </wp:positionH>
                <wp:positionV relativeFrom="paragraph">
                  <wp:posOffset>6392545</wp:posOffset>
                </wp:positionV>
                <wp:extent cx="1114425" cy="24765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4D39BD">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503.35pt;width:87.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" strokecolor="white [3212]">
                <v:textbox>
                  <w:txbxContent>
                    <w:p w:rsidR="00A411ED" w:rsidRPr="008F4112" w:rsidRDefault="00A411ED" w:rsidP="004D39BD">
                      <w:pPr>
                        <w:rPr>
                          <w:sz w:val="20"/>
                        </w:rPr>
                      </w:pPr>
                      <w:r w:rsidRPr="008F4112">
                        <w:rPr>
                          <w:sz w:val="20"/>
                        </w:rPr>
                        <w:t>Fuente: AAPS</w:t>
                      </w:r>
                    </w:p>
                  </w:txbxContent>
                </v:textbox>
              </v:shape>
            </w:pict>
          </mc:Fallback>
        </mc:AlternateContent>
      </w:r>
      <w:r w:rsidRPr="000249D1">
        <w:rPr>
          <w:noProof/>
          <w:lang w:val="es-ES_tradnl"/>
        </w:rPr>
        <w:drawing>
          <wp:inline distT="0" distB="0" distL="0" distR="0" wp14:anchorId="281D0B49" wp14:editId="7D46ACCF">
            <wp:extent cx="5591175" cy="6448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1175" cy="6448425"/>
                    </a:xfrm>
                    <a:prstGeom prst="rect">
                      <a:avLst/>
                    </a:prstGeom>
                    <a:noFill/>
                    <a:ln>
                      <a:noFill/>
                    </a:ln>
                  </pic:spPr>
                </pic:pic>
              </a:graphicData>
            </a:graphic>
          </wp:inline>
        </w:drawing>
      </w:r>
    </w:p>
    <w:p w:rsidR="004D39BD" w:rsidRPr="000249D1" w:rsidRDefault="004D39BD" w:rsidP="004D39BD">
      <w:pPr>
        <w:rPr>
          <w:lang w:val="es-ES_tradnl"/>
        </w:rPr>
      </w:pPr>
    </w:p>
    <w:p w:rsidR="004D39BD" w:rsidRPr="000249D1" w:rsidRDefault="004D39BD" w:rsidP="00331988">
      <w:pPr>
        <w:jc w:val="both"/>
        <w:rPr>
          <w:lang w:val="es-ES_tradnl"/>
        </w:rPr>
      </w:pPr>
      <w:r w:rsidRPr="000249D1">
        <w:rPr>
          <w:b/>
          <w:lang w:val="es-ES_tradnl"/>
        </w:rPr>
        <w:t>CONFIABILIDAD DEL RECURSO.</w:t>
      </w:r>
      <w:r w:rsidR="003F42F4" w:rsidRPr="000249D1">
        <w:rPr>
          <w:b/>
          <w:lang w:val="es-ES_tradnl"/>
        </w:rPr>
        <w:t xml:space="preserve"> </w:t>
      </w:r>
      <w:r w:rsidRPr="000249D1">
        <w:rPr>
          <w:lang w:val="es-ES_tradnl"/>
        </w:rPr>
        <w:t>Son 14 EPSA que corresponden a la categoría “B” cuya población del área de servicio se encuentra entre 50.000 y 500.000 habitantes.</w:t>
      </w:r>
    </w:p>
    <w:p w:rsidR="004D39BD" w:rsidRPr="000249D1" w:rsidRDefault="004D39BD" w:rsidP="00551789">
      <w:pPr>
        <w:spacing w:line="240" w:lineRule="auto"/>
        <w:jc w:val="both"/>
        <w:rPr>
          <w:lang w:val="es-ES_tradnl"/>
        </w:rPr>
      </w:pPr>
      <w:r w:rsidRPr="000249D1">
        <w:rPr>
          <w:lang w:val="es-ES_tradnl"/>
        </w:rPr>
        <w:t>En EPSA</w:t>
      </w:r>
      <w:r w:rsidR="00422586" w:rsidRPr="000249D1">
        <w:rPr>
          <w:lang w:val="es-ES_tradnl"/>
        </w:rPr>
        <w:t>s</w:t>
      </w:r>
      <w:r w:rsidRPr="000249D1">
        <w:rPr>
          <w:lang w:val="es-ES_tradnl"/>
        </w:rPr>
        <w:t xml:space="preserve"> de la categoría “B” el 60% de las mismas, realizan un uso apropiado y razonable del recurso hídrico respecto a su capacidad autorizada en fuentes </w:t>
      </w:r>
      <w:r w:rsidRPr="000249D1">
        <w:rPr>
          <w:lang w:val="es-ES_tradnl"/>
        </w:rPr>
        <w:lastRenderedPageBreak/>
        <w:t>lo que les permite</w:t>
      </w:r>
      <w:r w:rsidR="00551789" w:rsidRPr="000249D1">
        <w:rPr>
          <w:lang w:val="es-ES_tradnl"/>
        </w:rPr>
        <w:t xml:space="preserve"> </w:t>
      </w:r>
      <w:r w:rsidRPr="000249D1">
        <w:rPr>
          <w:lang w:val="es-ES_tradnl"/>
        </w:rPr>
        <w:t>incrementar el volumen extraído de agua para poder satisfacer su demanda creciente</w:t>
      </w:r>
      <w:r w:rsidR="00551789" w:rsidRPr="000249D1">
        <w:rPr>
          <w:lang w:val="es-ES_tradnl"/>
        </w:rPr>
        <w:t xml:space="preserve"> </w:t>
      </w:r>
      <w:r w:rsidRPr="000249D1">
        <w:rPr>
          <w:lang w:val="es-ES_tradnl"/>
        </w:rPr>
        <w:t>tanto en densificación como expansión. Al contrario en COATRI, AAPOS, EPSA</w:t>
      </w:r>
      <w:r w:rsidR="00551789" w:rsidRPr="000249D1">
        <w:rPr>
          <w:lang w:val="es-ES_tradnl"/>
        </w:rPr>
        <w:t xml:space="preserve"> </w:t>
      </w:r>
      <w:r w:rsidRPr="000249D1">
        <w:rPr>
          <w:lang w:val="es-ES_tradnl"/>
        </w:rPr>
        <w:t>COBIJA y SAJUBA, se observa que estas EPSA</w:t>
      </w:r>
      <w:r w:rsidR="00422586" w:rsidRPr="000249D1">
        <w:rPr>
          <w:lang w:val="es-ES_tradnl"/>
        </w:rPr>
        <w:t>s</w:t>
      </w:r>
      <w:r w:rsidRPr="000249D1">
        <w:rPr>
          <w:lang w:val="es-ES_tradnl"/>
        </w:rPr>
        <w:t xml:space="preserve"> están utilizando intensivamente los</w:t>
      </w:r>
      <w:r w:rsidR="00551789" w:rsidRPr="000249D1">
        <w:rPr>
          <w:lang w:val="es-ES_tradnl"/>
        </w:rPr>
        <w:t xml:space="preserve"> </w:t>
      </w:r>
      <w:r w:rsidRPr="000249D1">
        <w:rPr>
          <w:lang w:val="es-ES_tradnl"/>
        </w:rPr>
        <w:t>recursos hídricos para satisfacer su demanda actual.</w:t>
      </w:r>
    </w:p>
    <w:p w:rsidR="004D39BD" w:rsidRPr="000249D1" w:rsidRDefault="004D39BD" w:rsidP="00551789">
      <w:pPr>
        <w:spacing w:line="240" w:lineRule="auto"/>
        <w:jc w:val="both"/>
        <w:rPr>
          <w:lang w:val="es-ES_tradnl"/>
        </w:rPr>
      </w:pPr>
      <w:r w:rsidRPr="000249D1">
        <w:rPr>
          <w:lang w:val="es-ES_tradnl"/>
        </w:rPr>
        <w:t>Asimismo, el agua que se extrae de las fuentes, llega en un porcentaje adecuado a</w:t>
      </w:r>
      <w:r w:rsidR="00551789" w:rsidRPr="000249D1">
        <w:rPr>
          <w:lang w:val="es-ES_tradnl"/>
        </w:rPr>
        <w:t xml:space="preserve"> </w:t>
      </w:r>
      <w:r w:rsidRPr="000249D1">
        <w:rPr>
          <w:lang w:val="es-ES_tradnl"/>
        </w:rPr>
        <w:t>los usuarios finales conforme a los parámetros de calidad establecidos en la Norma</w:t>
      </w:r>
      <w:r w:rsidR="00551789" w:rsidRPr="000249D1">
        <w:rPr>
          <w:lang w:val="es-ES_tradnl"/>
        </w:rPr>
        <w:t xml:space="preserve"> </w:t>
      </w:r>
      <w:r w:rsidRPr="000249D1">
        <w:rPr>
          <w:lang w:val="es-ES_tradnl"/>
        </w:rPr>
        <w:t>Boliviana 512 y traduciéndose en ingresos facturados en un 86% de las EPSA</w:t>
      </w:r>
      <w:r w:rsidR="00331988" w:rsidRPr="000249D1">
        <w:rPr>
          <w:lang w:val="es-ES_tradnl"/>
        </w:rPr>
        <w:t>s</w:t>
      </w:r>
      <w:r w:rsidRPr="000249D1">
        <w:rPr>
          <w:lang w:val="es-ES_tradnl"/>
        </w:rPr>
        <w:t xml:space="preserve"> tipo “B”,</w:t>
      </w:r>
      <w:r w:rsidR="00551789" w:rsidRPr="000249D1">
        <w:rPr>
          <w:lang w:val="es-ES_tradnl"/>
        </w:rPr>
        <w:t xml:space="preserve"> </w:t>
      </w:r>
      <w:r w:rsidRPr="000249D1">
        <w:rPr>
          <w:lang w:val="es-ES_tradnl"/>
        </w:rPr>
        <w:t>incumpliendo el parámetro óptimo COSAALT y SAJUBA, debido a los altos niveles en</w:t>
      </w:r>
      <w:r w:rsidR="00551789" w:rsidRPr="000249D1">
        <w:rPr>
          <w:lang w:val="es-ES_tradnl"/>
        </w:rPr>
        <w:t xml:space="preserve"> </w:t>
      </w:r>
      <w:r w:rsidRPr="000249D1">
        <w:rPr>
          <w:lang w:val="es-ES_tradnl"/>
        </w:rPr>
        <w:t>pérdidas y limitaciones en la infraestructura.</w:t>
      </w:r>
    </w:p>
    <w:p w:rsidR="004D39BD" w:rsidRPr="000249D1" w:rsidRDefault="00EC7130" w:rsidP="00EC7130">
      <w:pPr>
        <w:spacing w:line="240" w:lineRule="auto"/>
        <w:jc w:val="both"/>
        <w:rPr>
          <w:lang w:val="es-ES_tradnl"/>
        </w:rPr>
      </w:pPr>
      <w:r w:rsidRPr="000249D1">
        <w:rPr>
          <w:b/>
          <w:lang w:val="es-ES_tradnl"/>
        </w:rPr>
        <w:t xml:space="preserve">ABASTECIMIENTO ESTABLE. </w:t>
      </w:r>
      <w:r w:rsidRPr="000249D1">
        <w:rPr>
          <w:lang w:val="es-ES_tradnl"/>
        </w:rPr>
        <w:t>El 100% de las EPSA</w:t>
      </w:r>
      <w:r w:rsidR="00331988" w:rsidRPr="000249D1">
        <w:rPr>
          <w:lang w:val="es-ES_tradnl"/>
        </w:rPr>
        <w:t>s</w:t>
      </w:r>
      <w:r w:rsidRPr="000249D1">
        <w:rPr>
          <w:lang w:val="es-ES_tradnl"/>
        </w:rPr>
        <w:t xml:space="preserve"> categoría “B” presentan índices de dotación superior a 100 litros habitante día, sin embargo es observable el caso de COSAALT que evidencia un alto índice de dotación teniendo incidencia las pérdidas considerables en la red y un nivel considerable de conexiones no medidas, similar situación se da en COOPAPPI, que distorsionan el resultado del indicador.</w:t>
      </w:r>
    </w:p>
    <w:p w:rsidR="00945A80" w:rsidRPr="000249D1" w:rsidRDefault="00945A80" w:rsidP="00945A80">
      <w:pPr>
        <w:spacing w:line="240" w:lineRule="auto"/>
        <w:jc w:val="both"/>
        <w:rPr>
          <w:lang w:val="es-ES_tradnl"/>
        </w:rPr>
      </w:pPr>
      <w:r w:rsidRPr="000249D1">
        <w:rPr>
          <w:lang w:val="es-ES_tradnl"/>
        </w:rPr>
        <w:t>El servicio tiene características de continuidad promedio de más de 20 horas al día, teniendo incidencia los cortes imprevistos y programados en la mayoría de las EPSA de esta categoría. Sin embargo COSAALT y EPSA Cobija presentan altos niveles de racionamiento producto de la época de estiaje en el caso de Tarija y por las limitaciones de la infraestructura en el caso de Cobija.</w:t>
      </w:r>
    </w:p>
    <w:p w:rsidR="00945A80" w:rsidRPr="000249D1" w:rsidRDefault="00945A80" w:rsidP="00945A80">
      <w:pPr>
        <w:spacing w:line="240" w:lineRule="auto"/>
        <w:jc w:val="both"/>
        <w:rPr>
          <w:lang w:val="es-ES_tradnl"/>
        </w:rPr>
      </w:pPr>
      <w:r w:rsidRPr="000249D1">
        <w:rPr>
          <w:lang w:val="es-ES_tradnl"/>
        </w:rPr>
        <w:t xml:space="preserve">Respecto a la cobertura de los servicios de agua potable las EPSA categoría “B” superan el 80% de cobertura de abastecimiento. </w:t>
      </w:r>
    </w:p>
    <w:p w:rsidR="00945A80" w:rsidRPr="000249D1" w:rsidRDefault="00945A80" w:rsidP="00945A80">
      <w:pPr>
        <w:spacing w:line="240" w:lineRule="auto"/>
        <w:jc w:val="both"/>
        <w:rPr>
          <w:lang w:val="es-ES_tradnl"/>
        </w:rPr>
      </w:pPr>
      <w:r w:rsidRPr="000249D1">
        <w:rPr>
          <w:lang w:val="es-ES_tradnl"/>
        </w:rPr>
        <w:t>En Alcantarillado Sanitario, es destacable la cobertura superior al 80% que tiene ELAPAS (Sucre), AAPOS (Potosí), COSAALT (Tarija) y EMAPYC (Yacuiba). Por el contrario COSMOL, COATRI, COSPAIL Y COOPAPPI, presentan coberturas por debajo del 50% es decir que no proporcionan el servicio a importantes zonas dentro de su área de prestación, debido a la falta de infraestructura y como consecuencia la población podría estar expuesta a riesgos sanitarios y limitaciones en su desarrollo urbano y económico.</w:t>
      </w:r>
    </w:p>
    <w:p w:rsidR="00945A80" w:rsidRPr="000249D1" w:rsidRDefault="00945A80" w:rsidP="00945A80">
      <w:pPr>
        <w:spacing w:line="240" w:lineRule="auto"/>
        <w:jc w:val="both"/>
        <w:rPr>
          <w:lang w:val="es-ES_tradnl"/>
        </w:rPr>
      </w:pPr>
      <w:r w:rsidRPr="000249D1">
        <w:rPr>
          <w:lang w:val="es-ES_tradnl"/>
        </w:rPr>
        <w:t>Por otro lado en este grupo existen EPSA</w:t>
      </w:r>
      <w:r w:rsidR="00422586" w:rsidRPr="000249D1">
        <w:rPr>
          <w:lang w:val="es-ES_tradnl"/>
        </w:rPr>
        <w:t>s</w:t>
      </w:r>
      <w:r w:rsidRPr="000249D1">
        <w:rPr>
          <w:lang w:val="es-ES_tradnl"/>
        </w:rPr>
        <w:t xml:space="preserve"> que no prestan el servicio de alcantarillado sanitario: SeLA (Oruro) siendo el municipio quien realiza el servicio y otras en el caso de Santa Cruz cuyo prestador es SAGUAPAC.</w:t>
      </w:r>
    </w:p>
    <w:p w:rsidR="00EC7130" w:rsidRPr="000249D1" w:rsidRDefault="00945A80" w:rsidP="00945A80">
      <w:pPr>
        <w:spacing w:line="240" w:lineRule="auto"/>
        <w:jc w:val="both"/>
        <w:rPr>
          <w:lang w:val="es-ES_tradnl"/>
        </w:rPr>
      </w:pPr>
      <w:r w:rsidRPr="000249D1">
        <w:rPr>
          <w:lang w:val="es-ES_tradnl"/>
        </w:rPr>
        <w:t>En relación a la micro-medición es destacable la eficiencia de COSMOL, ELAPAS, EMAPYC, COOPAGUAS, COSPAIL Y COOPLAN alcanzando un índice superior al 90% de conexiones medidas que contribuyen al uso eficiente del agua y reducción de pérdidas.</w:t>
      </w:r>
    </w:p>
    <w:p w:rsidR="007D49B1" w:rsidRPr="000249D1" w:rsidRDefault="007D49B1" w:rsidP="007D49B1">
      <w:pPr>
        <w:spacing w:line="240" w:lineRule="auto"/>
        <w:jc w:val="both"/>
        <w:rPr>
          <w:lang w:val="es-ES_tradnl"/>
        </w:rPr>
      </w:pPr>
      <w:r w:rsidRPr="000249D1">
        <w:rPr>
          <w:b/>
          <w:lang w:val="es-ES_tradnl"/>
        </w:rPr>
        <w:lastRenderedPageBreak/>
        <w:t xml:space="preserve">PROTECCION AL MEDIO AMBIENTE.  </w:t>
      </w:r>
      <w:r w:rsidRPr="000249D1">
        <w:rPr>
          <w:lang w:val="es-ES_tradnl"/>
        </w:rPr>
        <w:t>Las EPSA</w:t>
      </w:r>
      <w:r w:rsidR="00422586" w:rsidRPr="000249D1">
        <w:rPr>
          <w:lang w:val="es-ES_tradnl"/>
        </w:rPr>
        <w:t>s</w:t>
      </w:r>
      <w:r w:rsidRPr="000249D1">
        <w:rPr>
          <w:lang w:val="es-ES_tradnl"/>
        </w:rPr>
        <w:t xml:space="preserve"> COSMOL, EMAPYC, COOPAGUAS, COSPAIL y COOPLAN demuestran razonabilidad en la utilización de los recursos hídricos disponibles para satisfacer la demanda actual, sin embargo COATRI, COSAALT, COOPAPPI Y SAJUBA manifiestan una sobreexplotación de los recursos autorizados debiendo buscar nuevas fuentes para satisfacer la demanda creciente dentro de su área de servicio.</w:t>
      </w:r>
    </w:p>
    <w:p w:rsidR="007D49B1" w:rsidRPr="000249D1" w:rsidRDefault="007D49B1" w:rsidP="007D49B1">
      <w:pPr>
        <w:spacing w:line="240" w:lineRule="auto"/>
        <w:jc w:val="both"/>
        <w:rPr>
          <w:lang w:val="es-ES_tradnl"/>
        </w:rPr>
      </w:pPr>
      <w:r w:rsidRPr="000249D1">
        <w:rPr>
          <w:lang w:val="es-ES_tradnl"/>
        </w:rPr>
        <w:t>El índice de tratamiento de aguas residuales ELAPAS, COATRI, COSAALT, EMAPYC, COOPAGUAS, COSPAIL, cumplen la condición primaria para que las aguas residuales no afecten al medio ambiente, aunque en el caso de COATRI y EMAPYC la capacidad de su planta de tratamiento ha sido rebasada.</w:t>
      </w:r>
    </w:p>
    <w:p w:rsidR="007D49B1" w:rsidRPr="000249D1" w:rsidRDefault="007D49B1" w:rsidP="007D49B1">
      <w:pPr>
        <w:spacing w:line="240" w:lineRule="auto"/>
        <w:jc w:val="both"/>
        <w:rPr>
          <w:lang w:val="es-ES_tradnl"/>
        </w:rPr>
      </w:pPr>
    </w:p>
    <w:p w:rsidR="007D49B1" w:rsidRPr="000249D1" w:rsidRDefault="007D49B1" w:rsidP="00D1114F">
      <w:pPr>
        <w:spacing w:line="240" w:lineRule="auto"/>
        <w:jc w:val="both"/>
        <w:rPr>
          <w:lang w:val="es-ES_tradnl"/>
        </w:rPr>
      </w:pPr>
      <w:r w:rsidRPr="000249D1">
        <w:rPr>
          <w:b/>
          <w:lang w:val="es-ES_tradnl"/>
        </w:rPr>
        <w:t>SOSTENIBILIDAD ECONOMICA Y ADMINISTRATIVA DEL SERVICIO.</w:t>
      </w:r>
      <w:r w:rsidR="00D1114F" w:rsidRPr="000249D1">
        <w:rPr>
          <w:b/>
          <w:lang w:val="es-ES_tradnl"/>
        </w:rPr>
        <w:t xml:space="preserve"> </w:t>
      </w:r>
      <w:r w:rsidR="00D1114F" w:rsidRPr="000249D1">
        <w:rPr>
          <w:lang w:val="es-ES_tradnl"/>
        </w:rPr>
        <w:t>Solamente SeLA (Oruro) y AAPOS (Potosí) lograron la sostenibilidad financiera y operativa del servicio en forma óptima, es decir que con los ingresos provenientes de la prestación del servicio lograr cubrir sus costos operativos en forma eficiente teniendo cierto margen para inversiones tanto de renovación y expansión.</w:t>
      </w:r>
    </w:p>
    <w:p w:rsidR="00D1114F" w:rsidRPr="000249D1" w:rsidRDefault="00D1114F" w:rsidP="00D1114F">
      <w:pPr>
        <w:spacing w:line="240" w:lineRule="auto"/>
        <w:jc w:val="both"/>
        <w:rPr>
          <w:lang w:val="es-ES_tradnl"/>
        </w:rPr>
      </w:pPr>
      <w:r w:rsidRPr="000249D1">
        <w:rPr>
          <w:lang w:val="es-ES_tradnl"/>
        </w:rPr>
        <w:t>El resto de las 12 EPSA</w:t>
      </w:r>
      <w:r w:rsidR="00331988" w:rsidRPr="000249D1">
        <w:rPr>
          <w:lang w:val="es-ES_tradnl"/>
        </w:rPr>
        <w:t>s</w:t>
      </w:r>
      <w:r w:rsidRPr="000249D1">
        <w:rPr>
          <w:lang w:val="es-ES_tradnl"/>
        </w:rPr>
        <w:t xml:space="preserve"> de esta categoría sólo cuentan con sostenibilidad operativa, es decir que con los ingresos solamente cubren los costos operativos, no teniendo margen de maniobra financiera para inversiones.</w:t>
      </w:r>
    </w:p>
    <w:p w:rsidR="00D1114F" w:rsidRPr="000249D1" w:rsidRDefault="00D1114F" w:rsidP="00D1114F">
      <w:pPr>
        <w:spacing w:line="240" w:lineRule="auto"/>
        <w:jc w:val="both"/>
        <w:rPr>
          <w:lang w:val="es-ES_tradnl"/>
        </w:rPr>
      </w:pPr>
      <w:r w:rsidRPr="000249D1">
        <w:rPr>
          <w:lang w:val="es-ES_tradnl"/>
        </w:rPr>
        <w:t>El índice de liquidez estricta (prueba ácida) demuestra que el 64% de las EPSA de la categoría “B” cuentan capacidad muy limitada para el pago de obligaciones de corto plazo, no contando con la suficiente disponibilidad para cubrir eventualidades. Al contrario ELAPAS y SeLA tienen capacidad de cumplimiento de obligaciones y eventualidades de corto plazo. En el caso de COSAALT el nivel excesivo de disponibilidades deberían ser canalizadas hacia inversiones.</w:t>
      </w:r>
    </w:p>
    <w:p w:rsidR="00D1114F" w:rsidRPr="000249D1" w:rsidRDefault="00D1114F" w:rsidP="00D1114F">
      <w:pPr>
        <w:spacing w:line="240" w:lineRule="auto"/>
        <w:jc w:val="both"/>
        <w:rPr>
          <w:lang w:val="es-ES_tradnl"/>
        </w:rPr>
      </w:pPr>
      <w:r w:rsidRPr="000249D1">
        <w:rPr>
          <w:lang w:val="es-ES_tradnl"/>
        </w:rPr>
        <w:t>Por otra parte el cumplimiento de superioridad de la Tarifa Medía respecto al Costo Unitario de Operación se verifica en ocho EPSA</w:t>
      </w:r>
      <w:r w:rsidR="00331988" w:rsidRPr="000249D1">
        <w:rPr>
          <w:lang w:val="es-ES_tradnl"/>
        </w:rPr>
        <w:t>s</w:t>
      </w:r>
      <w:r w:rsidRPr="000249D1">
        <w:rPr>
          <w:lang w:val="es-ES_tradnl"/>
        </w:rPr>
        <w:t xml:space="preserve"> de esta categoría, teniendo una brecha importante de generación de recursos para la sostenibilidad del servicio. En los casos de COSMOL, COATRI, EMAPYC, COOPAPPI, EPSA COBIJA Y SAJUBA el Costo Unitario de Operación es superior a la Tarifa Medía.</w:t>
      </w:r>
    </w:p>
    <w:p w:rsidR="00D1114F" w:rsidRPr="000249D1" w:rsidRDefault="00D1114F" w:rsidP="00D1114F">
      <w:pPr>
        <w:autoSpaceDE w:val="0"/>
        <w:autoSpaceDN w:val="0"/>
        <w:adjustRightInd w:val="0"/>
        <w:spacing w:after="0" w:line="240" w:lineRule="auto"/>
        <w:jc w:val="both"/>
        <w:rPr>
          <w:lang w:val="es-ES_tradnl"/>
        </w:rPr>
      </w:pPr>
      <w:r w:rsidRPr="000249D1">
        <w:rPr>
          <w:lang w:val="es-ES_tradnl"/>
        </w:rPr>
        <w:t>En cuanto a atención de reclamos, es destacable que el 86% de las EPSA de categoría “B”, presentan un alto grado de capacidad de resolución de reclamos.</w:t>
      </w:r>
    </w:p>
    <w:p w:rsidR="00A30C36" w:rsidRPr="000249D1" w:rsidRDefault="00A30C36" w:rsidP="00D1114F">
      <w:pPr>
        <w:autoSpaceDE w:val="0"/>
        <w:autoSpaceDN w:val="0"/>
        <w:adjustRightInd w:val="0"/>
        <w:spacing w:after="0" w:line="240" w:lineRule="auto"/>
        <w:jc w:val="both"/>
        <w:rPr>
          <w:lang w:val="es-ES_tradnl"/>
        </w:rPr>
      </w:pPr>
    </w:p>
    <w:p w:rsidR="00A30C36" w:rsidRPr="000249D1" w:rsidRDefault="00A30C36" w:rsidP="00A30C36">
      <w:pPr>
        <w:autoSpaceDE w:val="0"/>
        <w:autoSpaceDN w:val="0"/>
        <w:adjustRightInd w:val="0"/>
        <w:spacing w:after="0" w:line="240" w:lineRule="auto"/>
        <w:jc w:val="both"/>
        <w:rPr>
          <w:lang w:val="es-ES_tradnl"/>
        </w:rPr>
      </w:pPr>
      <w:r w:rsidRPr="000249D1">
        <w:rPr>
          <w:b/>
          <w:lang w:val="es-ES_tradnl"/>
        </w:rPr>
        <w:t xml:space="preserve">MANEJO APROPIADO DEL SISTEMA DE AGUA POTABLE Y ALCANTARILLADO. </w:t>
      </w:r>
      <w:r w:rsidRPr="000249D1">
        <w:rPr>
          <w:lang w:val="es-ES_tradnl"/>
        </w:rPr>
        <w:t>El 57% de las EPSA</w:t>
      </w:r>
      <w:r w:rsidR="00F502F9" w:rsidRPr="000249D1">
        <w:rPr>
          <w:lang w:val="es-ES_tradnl"/>
        </w:rPr>
        <w:t>s</w:t>
      </w:r>
      <w:r w:rsidRPr="000249D1">
        <w:rPr>
          <w:lang w:val="es-ES_tradnl"/>
        </w:rPr>
        <w:t xml:space="preserve"> categoría “B”, cuentan con el índice de agua no contabilizada menor al 35%. Las EPSA</w:t>
      </w:r>
      <w:r w:rsidR="00331988" w:rsidRPr="000249D1">
        <w:rPr>
          <w:lang w:val="es-ES_tradnl"/>
        </w:rPr>
        <w:t>s</w:t>
      </w:r>
      <w:r w:rsidRPr="000249D1">
        <w:rPr>
          <w:lang w:val="es-ES_tradnl"/>
        </w:rPr>
        <w:t xml:space="preserve"> COSAALT y SAJUBA </w:t>
      </w:r>
      <w:r w:rsidRPr="000249D1">
        <w:rPr>
          <w:lang w:val="es-ES_tradnl"/>
        </w:rPr>
        <w:lastRenderedPageBreak/>
        <w:t>superan el parámetro aceptable, es decir que tiene un volumen considerable que se pierde tanto en el proceso de producción como en distribución, teniendo incidencia en sus ingresos y el costo unitario operativo.</w:t>
      </w:r>
    </w:p>
    <w:p w:rsidR="00AB2AC5" w:rsidRPr="000249D1" w:rsidRDefault="00AB2AC5" w:rsidP="00A30C36">
      <w:pPr>
        <w:autoSpaceDE w:val="0"/>
        <w:autoSpaceDN w:val="0"/>
        <w:adjustRightInd w:val="0"/>
        <w:spacing w:after="0" w:line="240" w:lineRule="auto"/>
        <w:jc w:val="both"/>
        <w:rPr>
          <w:lang w:val="es-ES_tradnl"/>
        </w:rPr>
      </w:pPr>
    </w:p>
    <w:p w:rsidR="00AB2AC5" w:rsidRPr="000249D1" w:rsidRDefault="00AB2AC5" w:rsidP="00AB2AC5">
      <w:pPr>
        <w:pStyle w:val="ListParagraph"/>
        <w:numPr>
          <w:ilvl w:val="0"/>
          <w:numId w:val="3"/>
        </w:numPr>
        <w:autoSpaceDE w:val="0"/>
        <w:autoSpaceDN w:val="0"/>
        <w:adjustRightInd w:val="0"/>
        <w:spacing w:after="0" w:line="240" w:lineRule="auto"/>
        <w:jc w:val="both"/>
        <w:rPr>
          <w:b/>
          <w:lang w:val="es-ES_tradnl"/>
        </w:rPr>
      </w:pPr>
      <w:r w:rsidRPr="000249D1">
        <w:rPr>
          <w:b/>
          <w:lang w:val="es-ES_tradnl"/>
        </w:rPr>
        <w:t>Indicadores EPSAs Categoría “C”</w:t>
      </w:r>
    </w:p>
    <w:p w:rsidR="00AB2AC5" w:rsidRPr="000249D1" w:rsidRDefault="00AB2AC5" w:rsidP="00AB2AC5">
      <w:pPr>
        <w:rPr>
          <w:lang w:val="es-ES_tradnl"/>
        </w:rPr>
      </w:pPr>
    </w:p>
    <w:p w:rsidR="008B64BB" w:rsidRPr="000249D1" w:rsidRDefault="008B64BB" w:rsidP="008B64BB">
      <w:pPr>
        <w:tabs>
          <w:tab w:val="left" w:pos="990"/>
        </w:tabs>
        <w:spacing w:line="240" w:lineRule="auto"/>
        <w:ind w:left="360"/>
        <w:jc w:val="both"/>
        <w:rPr>
          <w:lang w:val="es-ES_tradnl"/>
        </w:rPr>
      </w:pPr>
      <w:r w:rsidRPr="000249D1">
        <w:rPr>
          <w:b/>
          <w:u w:val="single"/>
          <w:lang w:val="es-ES_tradnl"/>
        </w:rPr>
        <w:t>Cuadro 15. Indicadores de Desempeño – EPSA categoría “C’ – año 2013</w:t>
      </w:r>
    </w:p>
    <w:p w:rsidR="00A723AF" w:rsidRPr="000249D1" w:rsidRDefault="00A723AF" w:rsidP="00A723AF">
      <w:pPr>
        <w:tabs>
          <w:tab w:val="left" w:pos="1305"/>
        </w:tabs>
        <w:jc w:val="center"/>
        <w:rPr>
          <w:lang w:val="es-ES_tradnl"/>
        </w:rPr>
      </w:pPr>
      <w:r w:rsidRPr="000249D1">
        <w:rPr>
          <w:noProof/>
          <w:lang w:val="es-ES_tradnl"/>
        </w:rPr>
        <w:drawing>
          <wp:inline distT="0" distB="0" distL="0" distR="0" wp14:anchorId="1B60715F" wp14:editId="5DE9F9D7">
            <wp:extent cx="4804346" cy="5557326"/>
            <wp:effectExtent l="0" t="0" r="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7734" cy="5561245"/>
                    </a:xfrm>
                    <a:prstGeom prst="rect">
                      <a:avLst/>
                    </a:prstGeom>
                    <a:noFill/>
                    <a:ln>
                      <a:noFill/>
                    </a:ln>
                  </pic:spPr>
                </pic:pic>
              </a:graphicData>
            </a:graphic>
          </wp:inline>
        </w:drawing>
      </w:r>
    </w:p>
    <w:p w:rsidR="00AB2AC5" w:rsidRPr="000249D1" w:rsidRDefault="00A723AF" w:rsidP="00A723AF">
      <w:pPr>
        <w:tabs>
          <w:tab w:val="left" w:pos="1305"/>
        </w:tabs>
        <w:rPr>
          <w:lang w:val="es-ES_tradnl"/>
        </w:rPr>
      </w:pPr>
      <w:r w:rsidRPr="000249D1">
        <w:rPr>
          <w:lang w:val="es-ES_tradnl"/>
        </w:rPr>
        <w:tab/>
      </w:r>
    </w:p>
    <w:p w:rsidR="00A723AF" w:rsidRPr="000249D1" w:rsidRDefault="00A723AF" w:rsidP="00A723AF">
      <w:pPr>
        <w:tabs>
          <w:tab w:val="left" w:pos="1305"/>
        </w:tabs>
        <w:jc w:val="center"/>
        <w:rPr>
          <w:lang w:val="es-ES_tradnl"/>
        </w:rPr>
      </w:pPr>
      <w:r w:rsidRPr="000249D1">
        <w:rPr>
          <w:noProof/>
          <w:lang w:val="es-ES_tradnl"/>
        </w:rPr>
        <w:lastRenderedPageBreak/>
        <w:drawing>
          <wp:inline distT="0" distB="0" distL="0" distR="0" wp14:anchorId="74228D03" wp14:editId="6C88991C">
            <wp:extent cx="5781675" cy="65246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6524625"/>
                    </a:xfrm>
                    <a:prstGeom prst="rect">
                      <a:avLst/>
                    </a:prstGeom>
                    <a:noFill/>
                    <a:ln>
                      <a:noFill/>
                    </a:ln>
                  </pic:spPr>
                </pic:pic>
              </a:graphicData>
            </a:graphic>
          </wp:inline>
        </w:drawing>
      </w: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r w:rsidRPr="000249D1">
        <w:rPr>
          <w:noProof/>
          <w:lang w:val="es-ES_tradnl"/>
        </w:rPr>
        <w:lastRenderedPageBreak/>
        <w:drawing>
          <wp:inline distT="0" distB="0" distL="0" distR="0" wp14:anchorId="4F66AC1A" wp14:editId="30E52EB3">
            <wp:extent cx="5895975" cy="66294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6629400"/>
                    </a:xfrm>
                    <a:prstGeom prst="rect">
                      <a:avLst/>
                    </a:prstGeom>
                    <a:noFill/>
                    <a:ln>
                      <a:noFill/>
                    </a:ln>
                  </pic:spPr>
                </pic:pic>
              </a:graphicData>
            </a:graphic>
          </wp:inline>
        </w:drawing>
      </w: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p>
    <w:p w:rsidR="00A723AF" w:rsidRPr="000249D1" w:rsidRDefault="00A723AF" w:rsidP="00A723AF">
      <w:pPr>
        <w:tabs>
          <w:tab w:val="left" w:pos="1305"/>
        </w:tabs>
        <w:jc w:val="center"/>
        <w:rPr>
          <w:lang w:val="es-ES_tradnl"/>
        </w:rPr>
      </w:pPr>
      <w:r w:rsidRPr="000249D1">
        <w:rPr>
          <w:noProof/>
          <w:lang w:val="es-ES_tradnl"/>
        </w:rPr>
        <w:lastRenderedPageBreak/>
        <w:drawing>
          <wp:inline distT="0" distB="0" distL="0" distR="0" wp14:anchorId="633D46EB" wp14:editId="40D6808F">
            <wp:extent cx="5667375" cy="65246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6524625"/>
                    </a:xfrm>
                    <a:prstGeom prst="rect">
                      <a:avLst/>
                    </a:prstGeom>
                    <a:noFill/>
                    <a:ln>
                      <a:noFill/>
                    </a:ln>
                  </pic:spPr>
                </pic:pic>
              </a:graphicData>
            </a:graphic>
          </wp:inline>
        </w:drawing>
      </w:r>
    </w:p>
    <w:p w:rsidR="00A723AF" w:rsidRPr="000249D1" w:rsidRDefault="00A723AF" w:rsidP="00A723AF">
      <w:pPr>
        <w:rPr>
          <w:lang w:val="es-ES_tradnl"/>
        </w:rPr>
      </w:pPr>
    </w:p>
    <w:p w:rsidR="00A723AF" w:rsidRPr="000249D1" w:rsidRDefault="00A723AF" w:rsidP="00A723AF">
      <w:pPr>
        <w:rPr>
          <w:lang w:val="es-ES_tradnl"/>
        </w:rPr>
      </w:pPr>
    </w:p>
    <w:p w:rsidR="00A723AF" w:rsidRPr="000249D1" w:rsidRDefault="00A723AF" w:rsidP="00A723AF">
      <w:pPr>
        <w:tabs>
          <w:tab w:val="left" w:pos="4155"/>
        </w:tabs>
        <w:rPr>
          <w:lang w:val="es-ES_tradnl"/>
        </w:rPr>
      </w:pPr>
      <w:r w:rsidRPr="000249D1">
        <w:rPr>
          <w:lang w:val="es-ES_tradnl"/>
        </w:rPr>
        <w:tab/>
      </w: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r w:rsidRPr="000249D1">
        <w:rPr>
          <w:noProof/>
          <w:lang w:val="es-ES_tradnl"/>
        </w:rPr>
        <w:lastRenderedPageBreak/>
        <w:drawing>
          <wp:inline distT="0" distB="0" distL="0" distR="0" wp14:anchorId="000EC9F7" wp14:editId="5266BE4E">
            <wp:extent cx="5819775" cy="65627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6562725"/>
                    </a:xfrm>
                    <a:prstGeom prst="rect">
                      <a:avLst/>
                    </a:prstGeom>
                    <a:noFill/>
                    <a:ln>
                      <a:noFill/>
                    </a:ln>
                  </pic:spPr>
                </pic:pic>
              </a:graphicData>
            </a:graphic>
          </wp:inline>
        </w:drawing>
      </w: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jc w:val="center"/>
        <w:rPr>
          <w:lang w:val="es-ES_tradnl"/>
        </w:rPr>
      </w:pPr>
      <w:r w:rsidRPr="000249D1">
        <w:rPr>
          <w:noProof/>
          <w:lang w:val="es-ES_tradnl"/>
        </w:rPr>
        <w:lastRenderedPageBreak/>
        <w:drawing>
          <wp:inline distT="0" distB="0" distL="0" distR="0" wp14:anchorId="4A9F8B4E" wp14:editId="65B01610">
            <wp:extent cx="5781675" cy="65341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6534150"/>
                    </a:xfrm>
                    <a:prstGeom prst="rect">
                      <a:avLst/>
                    </a:prstGeom>
                    <a:noFill/>
                    <a:ln>
                      <a:noFill/>
                    </a:ln>
                  </pic:spPr>
                </pic:pic>
              </a:graphicData>
            </a:graphic>
          </wp:inline>
        </w:drawing>
      </w: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r w:rsidRPr="000249D1">
        <w:rPr>
          <w:noProof/>
          <w:lang w:val="es-ES_tradnl"/>
        </w:rPr>
        <w:lastRenderedPageBreak/>
        <w:drawing>
          <wp:inline distT="0" distB="0" distL="0" distR="0" wp14:anchorId="2F4B3EC7" wp14:editId="74B41F66">
            <wp:extent cx="5857875" cy="66484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6648450"/>
                    </a:xfrm>
                    <a:prstGeom prst="rect">
                      <a:avLst/>
                    </a:prstGeom>
                    <a:noFill/>
                    <a:ln>
                      <a:noFill/>
                    </a:ln>
                  </pic:spPr>
                </pic:pic>
              </a:graphicData>
            </a:graphic>
          </wp:inline>
        </w:drawing>
      </w: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jc w:val="center"/>
        <w:rPr>
          <w:lang w:val="es-ES_tradnl"/>
        </w:rPr>
      </w:pPr>
    </w:p>
    <w:p w:rsidR="00A723AF" w:rsidRPr="000249D1" w:rsidRDefault="00A723AF" w:rsidP="00A723AF">
      <w:pPr>
        <w:tabs>
          <w:tab w:val="left" w:pos="4155"/>
        </w:tabs>
        <w:rPr>
          <w:lang w:val="es-ES_tradnl"/>
        </w:rPr>
      </w:pPr>
      <w:r w:rsidRPr="000249D1">
        <w:rPr>
          <w:noProof/>
          <w:lang w:val="es-ES_tradnl"/>
        </w:rPr>
        <w:lastRenderedPageBreak/>
        <w:drawing>
          <wp:inline distT="0" distB="0" distL="0" distR="0" wp14:anchorId="3D25745B" wp14:editId="60ED9AE7">
            <wp:extent cx="5895975" cy="66008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6600825"/>
                    </a:xfrm>
                    <a:prstGeom prst="rect">
                      <a:avLst/>
                    </a:prstGeom>
                    <a:noFill/>
                    <a:ln>
                      <a:noFill/>
                    </a:ln>
                  </pic:spPr>
                </pic:pic>
              </a:graphicData>
            </a:graphic>
          </wp:inline>
        </w:drawing>
      </w: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p>
    <w:p w:rsidR="00A723AF" w:rsidRPr="000249D1" w:rsidRDefault="00A723AF" w:rsidP="00A723AF">
      <w:pPr>
        <w:tabs>
          <w:tab w:val="left" w:pos="4155"/>
        </w:tabs>
        <w:rPr>
          <w:lang w:val="es-ES_tradnl"/>
        </w:rPr>
      </w:pPr>
      <w:r w:rsidRPr="000249D1">
        <w:rPr>
          <w:noProof/>
          <w:lang w:val="es-ES_tradnl"/>
        </w:rPr>
        <w:lastRenderedPageBreak/>
        <w:drawing>
          <wp:inline distT="0" distB="0" distL="0" distR="0" wp14:anchorId="165C7393" wp14:editId="73CA9834">
            <wp:extent cx="5819775" cy="66389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9775" cy="6638925"/>
                    </a:xfrm>
                    <a:prstGeom prst="rect">
                      <a:avLst/>
                    </a:prstGeom>
                    <a:noFill/>
                    <a:ln>
                      <a:noFill/>
                    </a:ln>
                  </pic:spPr>
                </pic:pic>
              </a:graphicData>
            </a:graphic>
          </wp:inline>
        </w:drawing>
      </w:r>
    </w:p>
    <w:p w:rsidR="00A723AF" w:rsidRPr="000249D1" w:rsidRDefault="00850970" w:rsidP="00A723AF">
      <w:pPr>
        <w:tabs>
          <w:tab w:val="left" w:pos="4155"/>
        </w:tabs>
        <w:rPr>
          <w:lang w:val="es-ES_tradnl"/>
        </w:rPr>
      </w:pPr>
      <w:r w:rsidRPr="000249D1">
        <w:rPr>
          <w:b/>
          <w:noProof/>
          <w:u w:val="single"/>
          <w:lang w:val="es-ES_tradnl"/>
        </w:rPr>
        <mc:AlternateContent>
          <mc:Choice Requires="wps">
            <w:drawing>
              <wp:anchor distT="0" distB="0" distL="114300" distR="114300" simplePos="0" relativeHeight="251687936" behindDoc="0" locked="0" layoutInCell="1" allowOverlap="1" wp14:anchorId="3E3DFFDF" wp14:editId="6B8DE6F3">
                <wp:simplePos x="0" y="0"/>
                <wp:positionH relativeFrom="column">
                  <wp:posOffset>152400</wp:posOffset>
                </wp:positionH>
                <wp:positionV relativeFrom="paragraph">
                  <wp:posOffset>-257810</wp:posOffset>
                </wp:positionV>
                <wp:extent cx="1114425" cy="24765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solidFill>
                            <a:schemeClr val="bg1"/>
                          </a:solidFill>
                          <a:miter lim="800000"/>
                          <a:headEnd/>
                          <a:tailEnd/>
                        </a:ln>
                      </wps:spPr>
                      <wps:txbx>
                        <w:txbxContent>
                          <w:p w:rsidR="00A411ED" w:rsidRPr="008F4112" w:rsidRDefault="00A411ED" w:rsidP="00850970">
                            <w:pPr>
                              <w:rPr>
                                <w:sz w:val="20"/>
                              </w:rPr>
                            </w:pPr>
                            <w:r w:rsidRPr="008F4112">
                              <w:rPr>
                                <w:sz w:val="20"/>
                              </w:rPr>
                              <w:t>Fuente: AAPS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pt;margin-top:-20.3pt;width:87.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" strokecolor="white [3212]">
                <v:textbox>
                  <w:txbxContent>
                    <w:p w:rsidR="00A411ED" w:rsidRPr="008F4112" w:rsidRDefault="00A411ED" w:rsidP="00850970">
                      <w:pPr>
                        <w:rPr>
                          <w:sz w:val="20"/>
                        </w:rPr>
                      </w:pPr>
                      <w:r w:rsidRPr="008F4112">
                        <w:rPr>
                          <w:sz w:val="20"/>
                        </w:rPr>
                        <w:t>Fuente: AAPS</w:t>
                      </w:r>
                    </w:p>
                  </w:txbxContent>
                </v:textbox>
              </v:shape>
            </w:pict>
          </mc:Fallback>
        </mc:AlternateContent>
      </w:r>
    </w:p>
    <w:p w:rsidR="005C3847" w:rsidRPr="000249D1" w:rsidRDefault="005C3847" w:rsidP="005C3847">
      <w:pPr>
        <w:tabs>
          <w:tab w:val="left" w:pos="4155"/>
        </w:tabs>
        <w:spacing w:line="240" w:lineRule="auto"/>
        <w:jc w:val="both"/>
        <w:rPr>
          <w:lang w:val="es-ES_tradnl"/>
        </w:rPr>
      </w:pPr>
      <w:r w:rsidRPr="000249D1">
        <w:rPr>
          <w:b/>
          <w:lang w:val="es-ES_tradnl"/>
        </w:rPr>
        <w:t>CONFIABILIDAD DEL RECURSO</w:t>
      </w:r>
      <w:r w:rsidR="007F0150" w:rsidRPr="000249D1">
        <w:rPr>
          <w:b/>
          <w:lang w:val="es-ES_tradnl"/>
        </w:rPr>
        <w:t>.</w:t>
      </w:r>
      <w:r w:rsidRPr="000249D1">
        <w:rPr>
          <w:b/>
          <w:lang w:val="es-ES_tradnl"/>
        </w:rPr>
        <w:t xml:space="preserve"> </w:t>
      </w:r>
      <w:r w:rsidRPr="000249D1">
        <w:rPr>
          <w:lang w:val="es-ES_tradnl"/>
        </w:rPr>
        <w:t>En EPSA</w:t>
      </w:r>
      <w:r w:rsidR="00F502F9" w:rsidRPr="000249D1">
        <w:rPr>
          <w:lang w:val="es-ES_tradnl"/>
        </w:rPr>
        <w:t>s</w:t>
      </w:r>
      <w:r w:rsidRPr="000249D1">
        <w:rPr>
          <w:lang w:val="es-ES_tradnl"/>
        </w:rPr>
        <w:t xml:space="preserve"> de la categoría “C”, el 87% realizan un uso apropiado y razonable del recurso hídrico respecto a su capacidad autorizada en fuentes lo que les permite incrementar el volumen extraído de agua para poder satisfacer su demanda creciente tanto en densificación como expansión. La EPSA EMAAB (Bermejo) y 6 DE OCTUBRE </w:t>
      </w:r>
      <w:r w:rsidRPr="000249D1">
        <w:rPr>
          <w:lang w:val="es-ES_tradnl"/>
        </w:rPr>
        <w:lastRenderedPageBreak/>
        <w:t>(Quijarro) están utilizando intensivamente los recursos hídricos para satisfacer su demanda actual, es decir evidencian una sobreexplotación de sus fuentes.</w:t>
      </w:r>
    </w:p>
    <w:p w:rsidR="00A723AF" w:rsidRPr="000249D1" w:rsidRDefault="005C3847" w:rsidP="005C3847">
      <w:pPr>
        <w:tabs>
          <w:tab w:val="left" w:pos="4155"/>
        </w:tabs>
        <w:spacing w:line="240" w:lineRule="auto"/>
        <w:jc w:val="both"/>
        <w:rPr>
          <w:lang w:val="es-ES_tradnl"/>
        </w:rPr>
      </w:pPr>
      <w:r w:rsidRPr="000249D1">
        <w:rPr>
          <w:lang w:val="es-ES_tradnl"/>
        </w:rPr>
        <w:t>Asimismo, el agua que se extrae de las fuentes, llega en un porcentaje adecuado a los usuarios finales conforme a los parámetros de calidad establecidos en la Norma Boliviana 512 y traduciéndose en ingresos facturados en un 87%. No cumplen el parámetro óptimo las EPSA</w:t>
      </w:r>
      <w:r w:rsidR="00F502F9" w:rsidRPr="000249D1">
        <w:rPr>
          <w:lang w:val="es-ES_tradnl"/>
        </w:rPr>
        <w:t>s</w:t>
      </w:r>
      <w:r w:rsidRPr="000249D1">
        <w:rPr>
          <w:lang w:val="es-ES_tradnl"/>
        </w:rPr>
        <w:t>: COSAP (Cotoca), EMAPAS (Sacaba), 6 de OCTUBRE (Quijarro) y COOSAPAC (Caranavi), es decir que los volúmenes de agua producidos solamente llegan a los usuarios en volúmenes menores al 50%, producto de los altos niveles en pérdidas y limitaciones en la infraestructura.</w:t>
      </w:r>
    </w:p>
    <w:p w:rsidR="005C3847" w:rsidRPr="000249D1" w:rsidRDefault="005C3847" w:rsidP="005C3847">
      <w:pPr>
        <w:tabs>
          <w:tab w:val="left" w:pos="4155"/>
        </w:tabs>
        <w:spacing w:line="240" w:lineRule="auto"/>
        <w:jc w:val="both"/>
        <w:rPr>
          <w:lang w:val="es-ES_tradnl"/>
        </w:rPr>
      </w:pPr>
    </w:p>
    <w:p w:rsidR="005C3847" w:rsidRPr="000249D1" w:rsidRDefault="005C3847" w:rsidP="005C3847">
      <w:pPr>
        <w:tabs>
          <w:tab w:val="left" w:pos="4155"/>
        </w:tabs>
        <w:spacing w:line="240" w:lineRule="auto"/>
        <w:jc w:val="both"/>
        <w:rPr>
          <w:lang w:val="es-ES_tradnl"/>
        </w:rPr>
      </w:pPr>
      <w:r w:rsidRPr="000249D1">
        <w:rPr>
          <w:b/>
          <w:lang w:val="es-ES_tradnl"/>
        </w:rPr>
        <w:t>ABASTECIMIENTO ESTABLE</w:t>
      </w:r>
      <w:r w:rsidRPr="000249D1">
        <w:rPr>
          <w:lang w:val="es-ES_tradnl"/>
        </w:rPr>
        <w:t>. El 83% de las EPSA</w:t>
      </w:r>
      <w:r w:rsidR="00F502F9" w:rsidRPr="000249D1">
        <w:rPr>
          <w:lang w:val="es-ES_tradnl"/>
        </w:rPr>
        <w:t>s</w:t>
      </w:r>
      <w:r w:rsidRPr="000249D1">
        <w:rPr>
          <w:lang w:val="es-ES_tradnl"/>
        </w:rPr>
        <w:t xml:space="preserve"> categoría “C” presentan índices de dotación superior a 80 litros habitante día, sin embargo en algunas EPSA</w:t>
      </w:r>
      <w:r w:rsidR="00F502F9" w:rsidRPr="000249D1">
        <w:rPr>
          <w:lang w:val="es-ES_tradnl"/>
        </w:rPr>
        <w:t>s</w:t>
      </w:r>
      <w:r w:rsidRPr="000249D1">
        <w:rPr>
          <w:lang w:val="es-ES_tradnl"/>
        </w:rPr>
        <w:t xml:space="preserve"> como COOSAPAC (Caranavi) y EMAAB (Bermejo) la dotación alta se debe a los bajos niveles de micro-medición. Las EPSA: SEAPAS (El Torno), COOPLIM (Limoncito), COSAJU (San Julián) y EMAPAV (Viacha) presentan una dotación menor a 80 l/h/d, considerando que estas EPSA</w:t>
      </w:r>
      <w:r w:rsidR="00F502F9" w:rsidRPr="000249D1">
        <w:rPr>
          <w:lang w:val="es-ES_tradnl"/>
        </w:rPr>
        <w:t>s</w:t>
      </w:r>
      <w:r w:rsidRPr="000249D1">
        <w:rPr>
          <w:lang w:val="es-ES_tradnl"/>
        </w:rPr>
        <w:t xml:space="preserve"> prestan servicio en Poblaciones con características socioeconómicas periurbano y rural.</w:t>
      </w:r>
    </w:p>
    <w:p w:rsidR="005C3847" w:rsidRPr="000249D1" w:rsidRDefault="005C3847" w:rsidP="005C3847">
      <w:pPr>
        <w:tabs>
          <w:tab w:val="left" w:pos="4155"/>
        </w:tabs>
        <w:spacing w:line="240" w:lineRule="auto"/>
        <w:jc w:val="both"/>
        <w:rPr>
          <w:lang w:val="es-ES_tradnl"/>
        </w:rPr>
      </w:pPr>
      <w:r w:rsidRPr="000249D1">
        <w:rPr>
          <w:lang w:val="es-ES_tradnl"/>
        </w:rPr>
        <w:t>El servicio tiene características de continuidad por más de 20 horas al día en promedio, teniendo incidencia los cortes imprevistos y programados en la mayoría de las EPSA</w:t>
      </w:r>
      <w:r w:rsidR="00F502F9" w:rsidRPr="000249D1">
        <w:rPr>
          <w:lang w:val="es-ES_tradnl"/>
        </w:rPr>
        <w:t>s</w:t>
      </w:r>
      <w:r w:rsidRPr="000249D1">
        <w:rPr>
          <w:lang w:val="es-ES_tradnl"/>
        </w:rPr>
        <w:t xml:space="preserve"> de esta categoría.</w:t>
      </w:r>
    </w:p>
    <w:p w:rsidR="005C3847" w:rsidRPr="000249D1" w:rsidRDefault="005C3847" w:rsidP="005C3847">
      <w:pPr>
        <w:tabs>
          <w:tab w:val="left" w:pos="4155"/>
        </w:tabs>
        <w:spacing w:line="240" w:lineRule="auto"/>
        <w:jc w:val="both"/>
        <w:rPr>
          <w:lang w:val="es-ES_tradnl"/>
        </w:rPr>
      </w:pPr>
      <w:r w:rsidRPr="000249D1">
        <w:rPr>
          <w:lang w:val="es-ES_tradnl"/>
        </w:rPr>
        <w:t>Respecto a la cobertura de los servicios de agua potable el 77% de las EPSA categoría “C” superan el 80% de cobertura de abastecimiento de agua potable es decir que existe la condición primaria para el acceso al servicio, debido a que existe la infraestructura necesaria. En las EPSA</w:t>
      </w:r>
      <w:r w:rsidR="00F502F9" w:rsidRPr="000249D1">
        <w:rPr>
          <w:lang w:val="es-ES_tradnl"/>
        </w:rPr>
        <w:t>s</w:t>
      </w:r>
      <w:r w:rsidRPr="000249D1">
        <w:rPr>
          <w:lang w:val="es-ES_tradnl"/>
        </w:rPr>
        <w:t>: COSPAS (Ascensión de Guarayos), COSAP (Cotoca), COOPAGUAB (Buena Vista), COSERCA (Camargo), COOSPELCAR (El Carmen), COOSIV (San Ignacio de Velasco) y SAMAPAR (Rurrenabaque) tienen una cobertura inferior al 80% debido a la falta de infraestructura.</w:t>
      </w:r>
    </w:p>
    <w:p w:rsidR="005C3847" w:rsidRPr="000249D1" w:rsidRDefault="005C3847" w:rsidP="005C3847">
      <w:pPr>
        <w:tabs>
          <w:tab w:val="left" w:pos="4155"/>
        </w:tabs>
        <w:spacing w:line="240" w:lineRule="auto"/>
        <w:jc w:val="both"/>
        <w:rPr>
          <w:lang w:val="es-ES_tradnl"/>
        </w:rPr>
      </w:pPr>
      <w:r w:rsidRPr="000249D1">
        <w:rPr>
          <w:lang w:val="es-ES_tradnl"/>
        </w:rPr>
        <w:t>Respecto al Alcantarillado Sanitario, estas EPSA</w:t>
      </w:r>
      <w:r w:rsidR="00F502F9" w:rsidRPr="000249D1">
        <w:rPr>
          <w:lang w:val="es-ES_tradnl"/>
        </w:rPr>
        <w:t>s</w:t>
      </w:r>
      <w:r w:rsidRPr="000249D1">
        <w:rPr>
          <w:lang w:val="es-ES_tradnl"/>
        </w:rPr>
        <w:t xml:space="preserve"> presentan coberturas por debajo del 65% es decir que no prestan el servicio de alcantarillado o si lo hacen tienen coberturas muy bajas, esto básicamente por las características de EPSA</w:t>
      </w:r>
      <w:r w:rsidR="00F502F9" w:rsidRPr="000249D1">
        <w:rPr>
          <w:lang w:val="es-ES_tradnl"/>
        </w:rPr>
        <w:t>s</w:t>
      </w:r>
      <w:r w:rsidRPr="000249D1">
        <w:rPr>
          <w:lang w:val="es-ES_tradnl"/>
        </w:rPr>
        <w:t xml:space="preserve"> con población periurbana y rural y las condiciones socioeconómicas de la misma.</w:t>
      </w:r>
    </w:p>
    <w:p w:rsidR="005C3847" w:rsidRPr="000249D1" w:rsidRDefault="005C3847" w:rsidP="005C3847">
      <w:pPr>
        <w:tabs>
          <w:tab w:val="left" w:pos="4155"/>
        </w:tabs>
        <w:spacing w:line="240" w:lineRule="auto"/>
        <w:jc w:val="both"/>
        <w:rPr>
          <w:lang w:val="es-ES_tradnl"/>
        </w:rPr>
      </w:pPr>
      <w:r w:rsidRPr="000249D1">
        <w:rPr>
          <w:lang w:val="es-ES_tradnl"/>
        </w:rPr>
        <w:t>Por otro lado en este grupo existen EPSA</w:t>
      </w:r>
      <w:r w:rsidR="00422586" w:rsidRPr="000249D1">
        <w:rPr>
          <w:lang w:val="es-ES_tradnl"/>
        </w:rPr>
        <w:t>s</w:t>
      </w:r>
      <w:r w:rsidRPr="000249D1">
        <w:rPr>
          <w:lang w:val="es-ES_tradnl"/>
        </w:rPr>
        <w:t xml:space="preserve"> que no prestan el servicio de alcantarillado sanitario y en el caso de Santa Cruz de la Sierra es realizado por SAGUAPAC para lo cual suscribieron Convenios entre partes.</w:t>
      </w:r>
    </w:p>
    <w:p w:rsidR="00A723AF" w:rsidRPr="000249D1" w:rsidRDefault="005C3847" w:rsidP="005C3847">
      <w:pPr>
        <w:tabs>
          <w:tab w:val="left" w:pos="4155"/>
        </w:tabs>
        <w:spacing w:line="240" w:lineRule="auto"/>
        <w:jc w:val="both"/>
        <w:rPr>
          <w:lang w:val="es-ES_tradnl"/>
        </w:rPr>
      </w:pPr>
      <w:r w:rsidRPr="000249D1">
        <w:rPr>
          <w:lang w:val="es-ES_tradnl"/>
        </w:rPr>
        <w:lastRenderedPageBreak/>
        <w:t>En referencia a la micro-medición, es destacable que la mayoría de las EPSA</w:t>
      </w:r>
      <w:r w:rsidR="00422586" w:rsidRPr="000249D1">
        <w:rPr>
          <w:lang w:val="es-ES_tradnl"/>
        </w:rPr>
        <w:t>s</w:t>
      </w:r>
      <w:r w:rsidRPr="000249D1">
        <w:rPr>
          <w:lang w:val="es-ES_tradnl"/>
        </w:rPr>
        <w:t xml:space="preserve"> alcancen un índice superior al 90% de conexiones medidas que contribuyen al uso eficiente del agua y reducción de pérdidas. Por otro lado existen EPSA</w:t>
      </w:r>
      <w:r w:rsidR="00422586" w:rsidRPr="000249D1">
        <w:rPr>
          <w:lang w:val="es-ES_tradnl"/>
        </w:rPr>
        <w:t>s</w:t>
      </w:r>
      <w:r w:rsidRPr="000249D1">
        <w:rPr>
          <w:lang w:val="es-ES_tradnl"/>
        </w:rPr>
        <w:t xml:space="preserve"> que aún mantienen elevados porcentajes de conexiones no medidas como ser: EMAAB (Bermejo), EMSABAV (Villazón), COSAPAC (Caranavi) y EMAPAS (Sacaba).</w:t>
      </w:r>
    </w:p>
    <w:p w:rsidR="00A723AF" w:rsidRPr="000249D1" w:rsidRDefault="00A723AF" w:rsidP="005C3847">
      <w:pPr>
        <w:tabs>
          <w:tab w:val="left" w:pos="4155"/>
        </w:tabs>
        <w:spacing w:line="240" w:lineRule="auto"/>
        <w:jc w:val="both"/>
        <w:rPr>
          <w:lang w:val="es-ES_tradnl"/>
        </w:rPr>
      </w:pPr>
    </w:p>
    <w:p w:rsidR="00A723AF" w:rsidRPr="000249D1" w:rsidRDefault="00104259" w:rsidP="00104259">
      <w:pPr>
        <w:tabs>
          <w:tab w:val="left" w:pos="4155"/>
        </w:tabs>
        <w:spacing w:line="240" w:lineRule="auto"/>
        <w:jc w:val="both"/>
        <w:rPr>
          <w:lang w:val="es-ES_tradnl"/>
        </w:rPr>
      </w:pPr>
      <w:r w:rsidRPr="000249D1">
        <w:rPr>
          <w:b/>
          <w:lang w:val="es-ES_tradnl"/>
        </w:rPr>
        <w:t>PROTECCI</w:t>
      </w:r>
      <w:r w:rsidR="008F56A0">
        <w:rPr>
          <w:b/>
          <w:lang w:val="es-ES_tradnl"/>
        </w:rPr>
        <w:t>Ó</w:t>
      </w:r>
      <w:r w:rsidRPr="000249D1">
        <w:rPr>
          <w:b/>
          <w:lang w:val="es-ES_tradnl"/>
        </w:rPr>
        <w:t xml:space="preserve">N AL MEDIO AMBIENTE. </w:t>
      </w:r>
      <w:r w:rsidRPr="000249D1">
        <w:rPr>
          <w:lang w:val="es-ES_tradnl"/>
        </w:rPr>
        <w:t>El 47% de las EPSA de categoría “C” demuestran razonabilidad en la utilización de los recursos hídricos disponibles para satisfacer la demanda actual, sin embargo EMSABAV (Villazón) y 6 DE OCTUBRE (Quijarro) reflejan una sobreexplotación de los recursos autorizados debiendo buscar nuevas fuentes para satisfacer la demanda creciente dentro de su área de servicio.</w:t>
      </w:r>
    </w:p>
    <w:p w:rsidR="00A723AF" w:rsidRPr="000249D1" w:rsidRDefault="00A723AF" w:rsidP="00A723AF">
      <w:pPr>
        <w:tabs>
          <w:tab w:val="left" w:pos="4155"/>
        </w:tabs>
        <w:jc w:val="center"/>
        <w:rPr>
          <w:lang w:val="es-ES_tradnl"/>
        </w:rPr>
      </w:pPr>
    </w:p>
    <w:p w:rsidR="00A411ED" w:rsidRPr="000249D1" w:rsidRDefault="00A411ED" w:rsidP="00A411ED">
      <w:pPr>
        <w:tabs>
          <w:tab w:val="left" w:pos="4155"/>
        </w:tabs>
        <w:spacing w:line="240" w:lineRule="auto"/>
        <w:jc w:val="both"/>
        <w:rPr>
          <w:lang w:val="es-ES_tradnl"/>
        </w:rPr>
      </w:pPr>
      <w:r w:rsidRPr="000249D1">
        <w:rPr>
          <w:b/>
          <w:lang w:val="es-ES_tradnl"/>
        </w:rPr>
        <w:t xml:space="preserve">SOSTENIBILIDAD ECONOMICA Y ADMINISTRATIVA DEL SERVICIO. </w:t>
      </w:r>
      <w:r w:rsidRPr="000249D1">
        <w:rPr>
          <w:lang w:val="es-ES_tradnl"/>
        </w:rPr>
        <w:t>El 67% de las EPSA</w:t>
      </w:r>
      <w:r w:rsidR="00422586" w:rsidRPr="000249D1">
        <w:rPr>
          <w:lang w:val="es-ES_tradnl"/>
        </w:rPr>
        <w:t>s</w:t>
      </w:r>
      <w:r w:rsidRPr="000249D1">
        <w:rPr>
          <w:lang w:val="es-ES_tradnl"/>
        </w:rPr>
        <w:t>, alcanzaron la sostenibilidad operativa, es decir que los costos operativos son cubiertos por los ingresos operativos del servicio, sin embargo no cuentan con un margen para inversiones. Solamente el 13% de las EPSA</w:t>
      </w:r>
      <w:r w:rsidR="00422586" w:rsidRPr="000249D1">
        <w:rPr>
          <w:lang w:val="es-ES_tradnl"/>
        </w:rPr>
        <w:t>s</w:t>
      </w:r>
      <w:r w:rsidRPr="000249D1">
        <w:rPr>
          <w:lang w:val="es-ES_tradnl"/>
        </w:rPr>
        <w:t xml:space="preserve"> categoría “C”</w:t>
      </w:r>
      <w:r w:rsidR="006E49F7" w:rsidRPr="000249D1">
        <w:rPr>
          <w:lang w:val="es-ES_tradnl"/>
        </w:rPr>
        <w:t xml:space="preserve"> </w:t>
      </w:r>
      <w:r w:rsidRPr="000249D1">
        <w:rPr>
          <w:lang w:val="es-ES_tradnl"/>
        </w:rPr>
        <w:t>cuentan tienen un índice de operación eficiente dentro del rango óptimo contando con</w:t>
      </w:r>
      <w:r w:rsidR="006E49F7" w:rsidRPr="000249D1">
        <w:rPr>
          <w:lang w:val="es-ES_tradnl"/>
        </w:rPr>
        <w:t xml:space="preserve"> </w:t>
      </w:r>
      <w:r w:rsidRPr="000249D1">
        <w:rPr>
          <w:lang w:val="es-ES_tradnl"/>
        </w:rPr>
        <w:t>cierto margen para inversiones tanto de expansión como renovación. Son observables</w:t>
      </w:r>
      <w:r w:rsidR="006E49F7" w:rsidRPr="000249D1">
        <w:rPr>
          <w:lang w:val="es-ES_tradnl"/>
        </w:rPr>
        <w:t xml:space="preserve"> </w:t>
      </w:r>
      <w:r w:rsidRPr="000249D1">
        <w:rPr>
          <w:lang w:val="es-ES_tradnl"/>
        </w:rPr>
        <w:t>los casos de las EPSA</w:t>
      </w:r>
      <w:r w:rsidR="00422586" w:rsidRPr="000249D1">
        <w:rPr>
          <w:lang w:val="es-ES_tradnl"/>
        </w:rPr>
        <w:t>s</w:t>
      </w:r>
      <w:r w:rsidRPr="000249D1">
        <w:rPr>
          <w:lang w:val="es-ES_tradnl"/>
        </w:rPr>
        <w:t>: La Porteña (Puerto Suarez), COSERCA (Camargo) y EMMAB</w:t>
      </w:r>
      <w:r w:rsidR="006E49F7" w:rsidRPr="000249D1">
        <w:rPr>
          <w:lang w:val="es-ES_tradnl"/>
        </w:rPr>
        <w:t xml:space="preserve"> </w:t>
      </w:r>
      <w:r w:rsidRPr="000249D1">
        <w:rPr>
          <w:lang w:val="es-ES_tradnl"/>
        </w:rPr>
        <w:t>(Bermejo), debido a que los costos operativos superan a los ingresos.</w:t>
      </w:r>
    </w:p>
    <w:p w:rsidR="00A411ED" w:rsidRPr="000249D1" w:rsidRDefault="00A411ED" w:rsidP="00A411ED">
      <w:pPr>
        <w:tabs>
          <w:tab w:val="left" w:pos="4155"/>
        </w:tabs>
        <w:spacing w:line="240" w:lineRule="auto"/>
        <w:jc w:val="both"/>
        <w:rPr>
          <w:lang w:val="es-ES_tradnl"/>
        </w:rPr>
      </w:pPr>
      <w:r w:rsidRPr="000249D1">
        <w:rPr>
          <w:lang w:val="es-ES_tradnl"/>
        </w:rPr>
        <w:t>El índice de liquidez estricta (prueba ácida) demuestra que el 53% de las EPSA</w:t>
      </w:r>
      <w:r w:rsidR="00422586" w:rsidRPr="000249D1">
        <w:rPr>
          <w:lang w:val="es-ES_tradnl"/>
        </w:rPr>
        <w:t>s</w:t>
      </w:r>
      <w:r w:rsidRPr="000249D1">
        <w:rPr>
          <w:lang w:val="es-ES_tradnl"/>
        </w:rPr>
        <w:t xml:space="preserve"> de la</w:t>
      </w:r>
      <w:r w:rsidR="006E49F7" w:rsidRPr="000249D1">
        <w:rPr>
          <w:lang w:val="es-ES_tradnl"/>
        </w:rPr>
        <w:t xml:space="preserve"> </w:t>
      </w:r>
      <w:r w:rsidRPr="000249D1">
        <w:rPr>
          <w:lang w:val="es-ES_tradnl"/>
        </w:rPr>
        <w:t>categoría “C” cuentan capacidad muy limitada para el pago de obligaciones de corto</w:t>
      </w:r>
      <w:r w:rsidR="006E49F7" w:rsidRPr="000249D1">
        <w:rPr>
          <w:lang w:val="es-ES_tradnl"/>
        </w:rPr>
        <w:t xml:space="preserve"> </w:t>
      </w:r>
      <w:r w:rsidRPr="000249D1">
        <w:rPr>
          <w:lang w:val="es-ES_tradnl"/>
        </w:rPr>
        <w:t>plazo, no contando con la suficiente disponibilidad para cubrir eventualidades. Al</w:t>
      </w:r>
      <w:r w:rsidR="006E49F7" w:rsidRPr="000249D1">
        <w:rPr>
          <w:lang w:val="es-ES_tradnl"/>
        </w:rPr>
        <w:t xml:space="preserve"> </w:t>
      </w:r>
      <w:r w:rsidRPr="000249D1">
        <w:rPr>
          <w:lang w:val="es-ES_tradnl"/>
        </w:rPr>
        <w:t>contrario el 33% tienen capacidad de cumplimiento de obligaciones y eventualidades.</w:t>
      </w:r>
    </w:p>
    <w:p w:rsidR="00A411ED" w:rsidRPr="000249D1" w:rsidRDefault="00A411ED" w:rsidP="00A411ED">
      <w:pPr>
        <w:tabs>
          <w:tab w:val="left" w:pos="4155"/>
        </w:tabs>
        <w:spacing w:line="240" w:lineRule="auto"/>
        <w:jc w:val="both"/>
        <w:rPr>
          <w:lang w:val="es-ES_tradnl"/>
        </w:rPr>
      </w:pPr>
      <w:r w:rsidRPr="000249D1">
        <w:rPr>
          <w:lang w:val="es-ES_tradnl"/>
        </w:rPr>
        <w:t>La Tarifa Media es superior al Costo Unitario de Operación en siete EPSA</w:t>
      </w:r>
      <w:r w:rsidR="00422586" w:rsidRPr="000249D1">
        <w:rPr>
          <w:lang w:val="es-ES_tradnl"/>
        </w:rPr>
        <w:t>s</w:t>
      </w:r>
      <w:r w:rsidRPr="000249D1">
        <w:rPr>
          <w:lang w:val="es-ES_tradnl"/>
        </w:rPr>
        <w:t xml:space="preserve"> de esta categoría,</w:t>
      </w:r>
      <w:r w:rsidR="006E49F7" w:rsidRPr="000249D1">
        <w:rPr>
          <w:lang w:val="es-ES_tradnl"/>
        </w:rPr>
        <w:t xml:space="preserve"> </w:t>
      </w:r>
      <w:r w:rsidRPr="000249D1">
        <w:rPr>
          <w:lang w:val="es-ES_tradnl"/>
        </w:rPr>
        <w:t>contando una brecha importante de generación de recursos para la sostenibilidad del</w:t>
      </w:r>
      <w:r w:rsidR="006E49F7" w:rsidRPr="000249D1">
        <w:rPr>
          <w:lang w:val="es-ES_tradnl"/>
        </w:rPr>
        <w:t xml:space="preserve"> </w:t>
      </w:r>
      <w:r w:rsidRPr="000249D1">
        <w:rPr>
          <w:lang w:val="es-ES_tradnl"/>
        </w:rPr>
        <w:t>servicio. Sin embargo en el 28% de las EPSA</w:t>
      </w:r>
      <w:r w:rsidR="00422586" w:rsidRPr="000249D1">
        <w:rPr>
          <w:lang w:val="es-ES_tradnl"/>
        </w:rPr>
        <w:t>s</w:t>
      </w:r>
      <w:r w:rsidRPr="000249D1">
        <w:rPr>
          <w:lang w:val="es-ES_tradnl"/>
        </w:rPr>
        <w:t xml:space="preserve"> el Costo Unitario de Operación es superior</w:t>
      </w:r>
      <w:r w:rsidR="006E49F7" w:rsidRPr="000249D1">
        <w:rPr>
          <w:lang w:val="es-ES_tradnl"/>
        </w:rPr>
        <w:t xml:space="preserve"> </w:t>
      </w:r>
      <w:r w:rsidRPr="000249D1">
        <w:rPr>
          <w:lang w:val="es-ES_tradnl"/>
        </w:rPr>
        <w:t>a la Tarifa Media.</w:t>
      </w:r>
    </w:p>
    <w:p w:rsidR="00A723AF" w:rsidRPr="000249D1" w:rsidRDefault="00A411ED" w:rsidP="00A411ED">
      <w:pPr>
        <w:tabs>
          <w:tab w:val="left" w:pos="4155"/>
        </w:tabs>
        <w:spacing w:line="240" w:lineRule="auto"/>
        <w:jc w:val="both"/>
        <w:rPr>
          <w:lang w:val="es-ES_tradnl"/>
        </w:rPr>
      </w:pPr>
      <w:r w:rsidRPr="000249D1">
        <w:rPr>
          <w:lang w:val="es-ES_tradnl"/>
        </w:rPr>
        <w:t>En cuanto a atención de reclamos, si bien las EPSA de categoría “C”, cuentan con</w:t>
      </w:r>
      <w:r w:rsidR="006E49F7" w:rsidRPr="000249D1">
        <w:rPr>
          <w:lang w:val="es-ES_tradnl"/>
        </w:rPr>
        <w:t xml:space="preserve"> </w:t>
      </w:r>
      <w:r w:rsidRPr="000249D1">
        <w:rPr>
          <w:lang w:val="es-ES_tradnl"/>
        </w:rPr>
        <w:t>capacidad de resolución de reclamos, en su mayoría aún no han instalado oficinas o</w:t>
      </w:r>
      <w:r w:rsidR="006E49F7" w:rsidRPr="000249D1">
        <w:rPr>
          <w:lang w:val="es-ES_tradnl"/>
        </w:rPr>
        <w:t xml:space="preserve"> </w:t>
      </w:r>
      <w:r w:rsidRPr="000249D1">
        <w:rPr>
          <w:lang w:val="es-ES_tradnl"/>
        </w:rPr>
        <w:t>personal responsable de la atención al consumidor (ODECO).</w:t>
      </w:r>
    </w:p>
    <w:p w:rsidR="00AC6B22" w:rsidRPr="000249D1" w:rsidRDefault="00AC6B22" w:rsidP="00A411ED">
      <w:pPr>
        <w:tabs>
          <w:tab w:val="left" w:pos="4155"/>
        </w:tabs>
        <w:spacing w:line="240" w:lineRule="auto"/>
        <w:jc w:val="both"/>
        <w:rPr>
          <w:b/>
          <w:lang w:val="es-ES_tradnl"/>
        </w:rPr>
      </w:pPr>
    </w:p>
    <w:p w:rsidR="00AC6B22" w:rsidRPr="000249D1" w:rsidRDefault="00AC6B22" w:rsidP="00AC6B22">
      <w:pPr>
        <w:tabs>
          <w:tab w:val="left" w:pos="4155"/>
        </w:tabs>
        <w:spacing w:line="240" w:lineRule="auto"/>
        <w:jc w:val="both"/>
        <w:rPr>
          <w:lang w:val="es-ES_tradnl"/>
        </w:rPr>
      </w:pPr>
      <w:r w:rsidRPr="000249D1">
        <w:rPr>
          <w:b/>
          <w:lang w:val="es-ES_tradnl"/>
        </w:rPr>
        <w:t xml:space="preserve">MANEJO APROPIDADO DEL SISTEMA DE AGUA POTABLE Y ALCANTARILLADO. </w:t>
      </w:r>
      <w:r w:rsidRPr="000249D1">
        <w:rPr>
          <w:lang w:val="es-ES_tradnl"/>
        </w:rPr>
        <w:t xml:space="preserve">El 50% de las EPSA categoría “C”, cuentan con el índice </w:t>
      </w:r>
      <w:r w:rsidRPr="000249D1">
        <w:rPr>
          <w:lang w:val="es-ES_tradnl"/>
        </w:rPr>
        <w:lastRenderedPageBreak/>
        <w:t>de agua no contabilizada menor al 35%. Las EPSA COSAP (Cotoca) y COOSAPAC (Caranavi) superan el parámetro aceptable, es decir que tienen un volumen considerable que se pierde tanto en el proceso de producción como en distribución, teniendo incidencia en sus ingresos y el costo unitario operativo.</w:t>
      </w:r>
    </w:p>
    <w:p w:rsidR="005F3B0C" w:rsidRPr="000249D1" w:rsidRDefault="005F3B0C" w:rsidP="005F3B0C">
      <w:pPr>
        <w:pStyle w:val="ListParagraph"/>
        <w:numPr>
          <w:ilvl w:val="0"/>
          <w:numId w:val="3"/>
        </w:numPr>
        <w:tabs>
          <w:tab w:val="left" w:pos="4155"/>
        </w:tabs>
        <w:spacing w:line="240" w:lineRule="auto"/>
        <w:jc w:val="both"/>
        <w:rPr>
          <w:b/>
          <w:lang w:val="es-ES_tradnl"/>
        </w:rPr>
      </w:pPr>
      <w:r w:rsidRPr="000249D1">
        <w:rPr>
          <w:b/>
          <w:lang w:val="es-ES_tradnl"/>
        </w:rPr>
        <w:t>Conclusiones</w:t>
      </w:r>
    </w:p>
    <w:p w:rsidR="002F0F05" w:rsidRPr="000249D1" w:rsidRDefault="002F0F05" w:rsidP="002F0F05">
      <w:pPr>
        <w:pStyle w:val="ListParagraph"/>
        <w:tabs>
          <w:tab w:val="left" w:pos="4155"/>
        </w:tabs>
        <w:spacing w:line="240" w:lineRule="auto"/>
        <w:ind w:left="1080"/>
        <w:jc w:val="both"/>
        <w:rPr>
          <w:b/>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La Autoridad de Fiscalización y Control Social de Agua Potable, realizó en la gestión 2013 el seguimiento regulatorio a 47 EPSA a nivel nacional, de las cuales 19 se incorporaron en la gestión 2013, correspondiendo a EPSA</w:t>
      </w:r>
      <w:r w:rsidR="00422586" w:rsidRPr="000249D1">
        <w:rPr>
          <w:lang w:val="es-ES_tradnl"/>
        </w:rPr>
        <w:t>s</w:t>
      </w:r>
      <w:r w:rsidRPr="000249D1">
        <w:rPr>
          <w:lang w:val="es-ES_tradnl"/>
        </w:rPr>
        <w:t xml:space="preserve"> regularizadas mediante Licencia, sin embargo estas se encuentran en proceso de adecuación en el cumplimiento de obligaciones regulatorias.</w:t>
      </w:r>
    </w:p>
    <w:p w:rsidR="002F0F05" w:rsidRPr="000249D1" w:rsidRDefault="002F0F05" w:rsidP="002F0F05">
      <w:pPr>
        <w:pStyle w:val="ListParagraph"/>
        <w:spacing w:line="240" w:lineRule="auto"/>
        <w:ind w:left="180"/>
        <w:jc w:val="both"/>
        <w:rPr>
          <w:lang w:val="es-ES_tradnl"/>
        </w:rPr>
      </w:pPr>
    </w:p>
    <w:p w:rsidR="002F0F05"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Se realizó la evaluación mediante Indicadores de Desempeño conforme la metodología establecida y en base a objetivos de confiabilidad del recurso, abastecimiento estable, protección al medio ambiente, sostenibilidad y manejo apropiado del sistema de agua potable y alcantarillado sanitario, 10 criterios y 32 indicadores de los cuales 22 son técnicos y 10 son económicos financieros comerciales. Los Indicadores fueron calculados en base a la información y reporte que remiten las EPSA</w:t>
      </w:r>
      <w:r w:rsidR="00422586" w:rsidRPr="000249D1">
        <w:rPr>
          <w:lang w:val="es-ES_tradnl"/>
        </w:rPr>
        <w:t>s</w:t>
      </w:r>
      <w:r w:rsidR="002F0F05" w:rsidRPr="000249D1">
        <w:rPr>
          <w:lang w:val="es-ES_tradnl"/>
        </w:rPr>
        <w:t xml:space="preserve"> al regulador</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La evaluación y seguimiento, se determinó en base a la categorización de EPSA</w:t>
      </w:r>
      <w:r w:rsidR="00422586" w:rsidRPr="000249D1">
        <w:rPr>
          <w:lang w:val="es-ES_tradnl"/>
        </w:rPr>
        <w:t>s</w:t>
      </w:r>
      <w:r w:rsidRPr="000249D1">
        <w:rPr>
          <w:lang w:val="es-ES_tradnl"/>
        </w:rPr>
        <w:t xml:space="preserve"> según el criterio de población del área de servicio y su territorialidad, permitiendo un agrupamiento</w:t>
      </w:r>
      <w:r w:rsidR="00422586" w:rsidRPr="000249D1">
        <w:rPr>
          <w:lang w:val="es-ES_tradnl"/>
        </w:rPr>
        <w:t xml:space="preserve"> razonable que integra a las EPS</w:t>
      </w:r>
      <w:r w:rsidRPr="000249D1">
        <w:rPr>
          <w:lang w:val="es-ES_tradnl"/>
        </w:rPr>
        <w:t>A</w:t>
      </w:r>
      <w:r w:rsidR="00422586" w:rsidRPr="000249D1">
        <w:rPr>
          <w:lang w:val="es-ES_tradnl"/>
        </w:rPr>
        <w:t>s</w:t>
      </w:r>
      <w:r w:rsidRPr="000249D1">
        <w:rPr>
          <w:lang w:val="es-ES_tradnl"/>
        </w:rPr>
        <w:t xml:space="preserve"> con características similares estableciendo las categorías A, B, C, y D.</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En muchos casos las EPSA</w:t>
      </w:r>
      <w:r w:rsidR="00422586" w:rsidRPr="000249D1">
        <w:rPr>
          <w:lang w:val="es-ES_tradnl"/>
        </w:rPr>
        <w:t>s</w:t>
      </w:r>
      <w:r w:rsidRPr="000249D1">
        <w:rPr>
          <w:lang w:val="es-ES_tradnl"/>
        </w:rPr>
        <w:t xml:space="preserve"> especialmente las de categoría “C” y algunas de la “B” tienen limitaciones en su capacidad de reporte debido a factores como la falta de medición en producción y distribución, deficiente catastro de usuarios, limitación en los Recursos Humanos y la falta de tecnología especialmente informática. </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De las 47 EPSA</w:t>
      </w:r>
      <w:r w:rsidR="00422586" w:rsidRPr="000249D1">
        <w:rPr>
          <w:lang w:val="es-ES_tradnl"/>
        </w:rPr>
        <w:t>s</w:t>
      </w:r>
      <w:r w:rsidRPr="000249D1">
        <w:rPr>
          <w:lang w:val="es-ES_tradnl"/>
        </w:rPr>
        <w:t xml:space="preserve"> con seguimiento, el 3% (3 EPSA</w:t>
      </w:r>
      <w:r w:rsidR="00422586" w:rsidRPr="000249D1">
        <w:rPr>
          <w:lang w:val="es-ES_tradnl"/>
        </w:rPr>
        <w:t>s</w:t>
      </w:r>
      <w:r w:rsidRPr="000249D1">
        <w:rPr>
          <w:lang w:val="es-ES_tradnl"/>
        </w:rPr>
        <w:t>) corresponden a la categoría “A” (Ciudades del eje troncal), el 30% (14 EPSA</w:t>
      </w:r>
      <w:r w:rsidR="00422586" w:rsidRPr="000249D1">
        <w:rPr>
          <w:lang w:val="es-ES_tradnl"/>
        </w:rPr>
        <w:t>s</w:t>
      </w:r>
      <w:r w:rsidRPr="000249D1">
        <w:rPr>
          <w:lang w:val="es-ES_tradnl"/>
        </w:rPr>
        <w:t>) a la categoría “B” (Ciudades capitales de departamento) y el 64% (30 EPSA</w:t>
      </w:r>
      <w:r w:rsidR="00422586" w:rsidRPr="000249D1">
        <w:rPr>
          <w:lang w:val="es-ES_tradnl"/>
        </w:rPr>
        <w:t>s</w:t>
      </w:r>
      <w:r w:rsidRPr="000249D1">
        <w:rPr>
          <w:lang w:val="es-ES_tradnl"/>
        </w:rPr>
        <w:t>) a la categoría “C” (Ciudades intermedias), es decir que la el seguimiento llega a la población urbana.</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Considerando 47 EPSA</w:t>
      </w:r>
      <w:r w:rsidR="00422586" w:rsidRPr="000249D1">
        <w:rPr>
          <w:lang w:val="es-ES_tradnl"/>
        </w:rPr>
        <w:t>s</w:t>
      </w:r>
      <w:r w:rsidRPr="000249D1">
        <w:rPr>
          <w:lang w:val="es-ES_tradnl"/>
        </w:rPr>
        <w:t xml:space="preserve">, la cobertura en Agua Potable es del 87% y del alcantarillado es del 57%. </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 xml:space="preserve">La AAPS cuenta con cobertura de seguimiento regulatorio y fiscalización sobre 1.021.127 conexiones de agua potable y 641.315 conexiones </w:t>
      </w:r>
      <w:r w:rsidRPr="000249D1">
        <w:rPr>
          <w:lang w:val="es-ES_tradnl"/>
        </w:rPr>
        <w:lastRenderedPageBreak/>
        <w:t>de alcantarillado sanitario a nivel nacional, es decir que el 67% de la población boliviana (6.790.023 habitantes) se encuentran bajo cobertura de regulación.</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La micro-medición promedio alcanza al 88%, es importante señalar que en el caso de las EPSA del eje troncal se tiene una cobertura de micro-medición del 97% y en el caso de EPSA</w:t>
      </w:r>
      <w:r w:rsidR="00422586" w:rsidRPr="000249D1">
        <w:rPr>
          <w:lang w:val="es-ES_tradnl"/>
        </w:rPr>
        <w:t>s</w:t>
      </w:r>
      <w:r w:rsidRPr="000249D1">
        <w:rPr>
          <w:lang w:val="es-ES_tradnl"/>
        </w:rPr>
        <w:t xml:space="preserve"> categoría “B” 87% y el 81% en EPSA</w:t>
      </w:r>
      <w:r w:rsidR="00422586" w:rsidRPr="000249D1">
        <w:rPr>
          <w:lang w:val="es-ES_tradnl"/>
        </w:rPr>
        <w:t>s</w:t>
      </w:r>
      <w:r w:rsidRPr="000249D1">
        <w:rPr>
          <w:lang w:val="es-ES_tradnl"/>
        </w:rPr>
        <w:t xml:space="preserve"> categoría “C”.</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 xml:space="preserve"> Ingresos: El 2013 la sumatoria de los ingresos operativos de la prestación del servicio de las 47 EPSA</w:t>
      </w:r>
      <w:r w:rsidR="00422586" w:rsidRPr="000249D1">
        <w:rPr>
          <w:lang w:val="es-ES_tradnl"/>
        </w:rPr>
        <w:t>s</w:t>
      </w:r>
      <w:r w:rsidRPr="000249D1">
        <w:rPr>
          <w:lang w:val="es-ES_tradnl"/>
        </w:rPr>
        <w:t xml:space="preserve"> alcanzaron a Bs. 979.562.453.</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Costos: El año 2013, los costos operativos de 47 EPSA</w:t>
      </w:r>
      <w:r w:rsidR="00422586" w:rsidRPr="000249D1">
        <w:rPr>
          <w:lang w:val="es-ES_tradnl"/>
        </w:rPr>
        <w:t>s</w:t>
      </w:r>
      <w:r w:rsidRPr="000249D1">
        <w:rPr>
          <w:lang w:val="es-ES_tradnl"/>
        </w:rPr>
        <w:t xml:space="preserve"> alcanzaron a Bs. 718.221.778.</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Eficiencia Operativa: La mayoría de las EPSA con seguimiento regulatorio alcanzaron resultados de eficiencia operativa positivas, con excepción de las EPSA: COATRI (Trinidad), EPSA COBIJA (Cobija), COOPAPI (Pampa de la Isla), COSERCA (Camargo), EMAAB (Bermejo), y LA PORTEÑA (Puerto Suarez).</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Calidad de agua: Las EPSA</w:t>
      </w:r>
      <w:r w:rsidR="00422586" w:rsidRPr="000249D1">
        <w:rPr>
          <w:lang w:val="es-ES_tradnl"/>
        </w:rPr>
        <w:t>s</w:t>
      </w:r>
      <w:r w:rsidRPr="000249D1">
        <w:rPr>
          <w:lang w:val="es-ES_tradnl"/>
        </w:rPr>
        <w:t xml:space="preserve"> categoría “A” y “B” expresan conformidad de los análisis de calidad de agua en un porcentaje mayor al 90%, sin embargo las EPSA</w:t>
      </w:r>
      <w:r w:rsidR="00422586" w:rsidRPr="000249D1">
        <w:rPr>
          <w:lang w:val="es-ES_tradnl"/>
        </w:rPr>
        <w:t>s</w:t>
      </w:r>
      <w:r w:rsidRPr="000249D1">
        <w:rPr>
          <w:lang w:val="es-ES_tradnl"/>
        </w:rPr>
        <w:t xml:space="preserve"> categoría “C” tienen un promedio de conformidad del 85%. Es decir que se dieron cumplimiento a los requisitos normativos referentes a muestreo y controles de calidad según la NB-512. En total se realizaron 14.220 muestran en forma anual, es decir que por día realizaron 39 muestras en promedio.</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Dotación: El 64% de las EPSA</w:t>
      </w:r>
      <w:r w:rsidR="00422586" w:rsidRPr="000249D1">
        <w:rPr>
          <w:lang w:val="es-ES_tradnl"/>
        </w:rPr>
        <w:t>s</w:t>
      </w:r>
      <w:r w:rsidRPr="000249D1">
        <w:rPr>
          <w:lang w:val="es-ES_tradnl"/>
        </w:rPr>
        <w:t xml:space="preserve"> tienen índices de dotación superiores a 100 litros habitante día. </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En relación a reclamos, en la gestión 2013, las EPSA</w:t>
      </w:r>
      <w:r w:rsidR="00422586" w:rsidRPr="000249D1">
        <w:rPr>
          <w:lang w:val="es-ES_tradnl"/>
        </w:rPr>
        <w:t>s</w:t>
      </w:r>
      <w:r w:rsidRPr="000249D1">
        <w:rPr>
          <w:lang w:val="es-ES_tradnl"/>
        </w:rPr>
        <w:t xml:space="preserve"> atendieron 103.721 reclamos procedentes de carácter técnico y comercial, representando el 91% de eficiencia promedio en atención al usuario.</w:t>
      </w:r>
    </w:p>
    <w:p w:rsidR="002F0F05" w:rsidRPr="000249D1" w:rsidRDefault="002F0F05" w:rsidP="002F0F05">
      <w:pPr>
        <w:pStyle w:val="ListParagraph"/>
        <w:rPr>
          <w:lang w:val="es-ES_tradnl"/>
        </w:rPr>
      </w:pPr>
    </w:p>
    <w:p w:rsidR="005F3B0C" w:rsidRPr="000249D1" w:rsidRDefault="005F3B0C" w:rsidP="005F3B0C">
      <w:pPr>
        <w:pStyle w:val="ListParagraph"/>
        <w:numPr>
          <w:ilvl w:val="0"/>
          <w:numId w:val="6"/>
        </w:numPr>
        <w:spacing w:line="240" w:lineRule="auto"/>
        <w:ind w:left="90" w:firstLine="90"/>
        <w:jc w:val="both"/>
        <w:rPr>
          <w:lang w:val="es-ES_tradnl"/>
        </w:rPr>
      </w:pPr>
      <w:r w:rsidRPr="000249D1">
        <w:rPr>
          <w:lang w:val="es-ES_tradnl"/>
        </w:rPr>
        <w:t>Recursos Humanos: En total en estas EPSA</w:t>
      </w:r>
      <w:r w:rsidR="00422586" w:rsidRPr="000249D1">
        <w:rPr>
          <w:lang w:val="es-ES_tradnl"/>
        </w:rPr>
        <w:t>s</w:t>
      </w:r>
      <w:r w:rsidRPr="000249D1">
        <w:rPr>
          <w:lang w:val="es-ES_tradnl"/>
        </w:rPr>
        <w:t xml:space="preserve"> trabajan 3.249 personas de las cuales 730 son profesionales.</w:t>
      </w:r>
    </w:p>
    <w:bookmarkEnd w:id="0"/>
    <w:p w:rsidR="008F56A0" w:rsidRPr="000249D1" w:rsidRDefault="008F56A0">
      <w:pPr>
        <w:pStyle w:val="ListParagraph"/>
        <w:numPr>
          <w:ilvl w:val="0"/>
          <w:numId w:val="6"/>
        </w:numPr>
        <w:spacing w:line="240" w:lineRule="auto"/>
        <w:ind w:left="90" w:firstLine="90"/>
        <w:jc w:val="both"/>
        <w:rPr>
          <w:lang w:val="es-ES_tradnl"/>
        </w:rPr>
      </w:pPr>
    </w:p>
    <w:sectPr w:rsidR="008F56A0" w:rsidRPr="000249D1">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1ED" w:rsidRDefault="00A411ED" w:rsidP="008D29F0">
      <w:pPr>
        <w:spacing w:after="0" w:line="240" w:lineRule="auto"/>
      </w:pPr>
      <w:r>
        <w:separator/>
      </w:r>
    </w:p>
  </w:endnote>
  <w:endnote w:type="continuationSeparator" w:id="0">
    <w:p w:rsidR="00A411ED" w:rsidRDefault="00A411ED" w:rsidP="008D2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824789"/>
      <w:docPartObj>
        <w:docPartGallery w:val="Page Numbers (Bottom of Page)"/>
        <w:docPartUnique/>
      </w:docPartObj>
    </w:sdtPr>
    <w:sdtEndPr>
      <w:rPr>
        <w:noProof/>
        <w:sz w:val="22"/>
      </w:rPr>
    </w:sdtEndPr>
    <w:sdtContent>
      <w:p w:rsidR="00A411ED" w:rsidRPr="008D29F0" w:rsidRDefault="00A411ED">
        <w:pPr>
          <w:pStyle w:val="Footer"/>
          <w:jc w:val="center"/>
          <w:rPr>
            <w:sz w:val="22"/>
          </w:rPr>
        </w:pPr>
        <w:r w:rsidRPr="008D29F0">
          <w:rPr>
            <w:sz w:val="22"/>
          </w:rPr>
          <w:fldChar w:fldCharType="begin"/>
        </w:r>
        <w:r w:rsidRPr="008D29F0">
          <w:rPr>
            <w:sz w:val="22"/>
          </w:rPr>
          <w:instrText xml:space="preserve"> PAGE   \* MERGEFORMAT </w:instrText>
        </w:r>
        <w:r w:rsidRPr="008D29F0">
          <w:rPr>
            <w:sz w:val="22"/>
          </w:rPr>
          <w:fldChar w:fldCharType="separate"/>
        </w:r>
        <w:r w:rsidR="00A26A40">
          <w:rPr>
            <w:noProof/>
            <w:sz w:val="22"/>
          </w:rPr>
          <w:t>35</w:t>
        </w:r>
        <w:r w:rsidRPr="008D29F0">
          <w:rPr>
            <w:noProof/>
            <w:sz w:val="22"/>
          </w:rPr>
          <w:fldChar w:fldCharType="end"/>
        </w:r>
      </w:p>
    </w:sdtContent>
  </w:sdt>
  <w:p w:rsidR="00A411ED" w:rsidRDefault="00A411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1ED" w:rsidRDefault="00A411ED" w:rsidP="008D29F0">
      <w:pPr>
        <w:spacing w:after="0" w:line="240" w:lineRule="auto"/>
      </w:pPr>
      <w:r>
        <w:separator/>
      </w:r>
    </w:p>
  </w:footnote>
  <w:footnote w:type="continuationSeparator" w:id="0">
    <w:p w:rsidR="00A411ED" w:rsidRDefault="00A411ED" w:rsidP="008D29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ED" w:rsidRPr="008D29F0" w:rsidRDefault="00A411ED" w:rsidP="008D29F0">
    <w:pPr>
      <w:pStyle w:val="Header"/>
      <w:jc w:val="right"/>
      <w:rPr>
        <w:b/>
        <w:sz w:val="20"/>
      </w:rPr>
    </w:pPr>
    <w:r w:rsidRPr="008D29F0">
      <w:rPr>
        <w:b/>
        <w:sz w:val="20"/>
      </w:rPr>
      <w:t>BO-L1100 – INDICADORES DE GESTION EPSAS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613"/>
    <w:multiLevelType w:val="hybridMultilevel"/>
    <w:tmpl w:val="9DFE86B2"/>
    <w:lvl w:ilvl="0" w:tplc="7F124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8B76C5"/>
    <w:multiLevelType w:val="hybridMultilevel"/>
    <w:tmpl w:val="9DFE86B2"/>
    <w:lvl w:ilvl="0" w:tplc="7F124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4C4189"/>
    <w:multiLevelType w:val="hybridMultilevel"/>
    <w:tmpl w:val="BD3E8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9C420C"/>
    <w:multiLevelType w:val="hybridMultilevel"/>
    <w:tmpl w:val="49E68840"/>
    <w:lvl w:ilvl="0" w:tplc="0A50DC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704401"/>
    <w:multiLevelType w:val="hybridMultilevel"/>
    <w:tmpl w:val="9DFE86B2"/>
    <w:lvl w:ilvl="0" w:tplc="7F124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0E351D"/>
    <w:multiLevelType w:val="hybridMultilevel"/>
    <w:tmpl w:val="A882F26A"/>
    <w:lvl w:ilvl="0" w:tplc="D00623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BE"/>
    <w:rsid w:val="000249D1"/>
    <w:rsid w:val="000449DF"/>
    <w:rsid w:val="00066722"/>
    <w:rsid w:val="00093D00"/>
    <w:rsid w:val="000B0C35"/>
    <w:rsid w:val="000B4282"/>
    <w:rsid w:val="000F2B00"/>
    <w:rsid w:val="00104259"/>
    <w:rsid w:val="0011591B"/>
    <w:rsid w:val="002122F8"/>
    <w:rsid w:val="00234886"/>
    <w:rsid w:val="002D439B"/>
    <w:rsid w:val="002F0F05"/>
    <w:rsid w:val="00314AB4"/>
    <w:rsid w:val="00331988"/>
    <w:rsid w:val="00340EA4"/>
    <w:rsid w:val="00354238"/>
    <w:rsid w:val="00365963"/>
    <w:rsid w:val="003745AD"/>
    <w:rsid w:val="003C4D79"/>
    <w:rsid w:val="003D4270"/>
    <w:rsid w:val="003F42F4"/>
    <w:rsid w:val="00422324"/>
    <w:rsid w:val="00422586"/>
    <w:rsid w:val="0042370E"/>
    <w:rsid w:val="00492D08"/>
    <w:rsid w:val="004C49C9"/>
    <w:rsid w:val="004C7321"/>
    <w:rsid w:val="004D39BD"/>
    <w:rsid w:val="00551789"/>
    <w:rsid w:val="005577AC"/>
    <w:rsid w:val="0058487B"/>
    <w:rsid w:val="005A18EA"/>
    <w:rsid w:val="005C3847"/>
    <w:rsid w:val="005E419C"/>
    <w:rsid w:val="005F3B0C"/>
    <w:rsid w:val="00614E20"/>
    <w:rsid w:val="00626BF8"/>
    <w:rsid w:val="006537A7"/>
    <w:rsid w:val="00663AED"/>
    <w:rsid w:val="00694A99"/>
    <w:rsid w:val="00696CE3"/>
    <w:rsid w:val="006A192B"/>
    <w:rsid w:val="006A62AE"/>
    <w:rsid w:val="006E49F7"/>
    <w:rsid w:val="00730BD7"/>
    <w:rsid w:val="007D49B1"/>
    <w:rsid w:val="007D6119"/>
    <w:rsid w:val="007E0D06"/>
    <w:rsid w:val="007F0150"/>
    <w:rsid w:val="00812C41"/>
    <w:rsid w:val="00850970"/>
    <w:rsid w:val="00852473"/>
    <w:rsid w:val="008B64BB"/>
    <w:rsid w:val="008B79C0"/>
    <w:rsid w:val="008D29F0"/>
    <w:rsid w:val="008F4112"/>
    <w:rsid w:val="008F56A0"/>
    <w:rsid w:val="009442CA"/>
    <w:rsid w:val="00945A80"/>
    <w:rsid w:val="0096317A"/>
    <w:rsid w:val="009E6DAC"/>
    <w:rsid w:val="00A2408F"/>
    <w:rsid w:val="00A26A40"/>
    <w:rsid w:val="00A30C36"/>
    <w:rsid w:val="00A411ED"/>
    <w:rsid w:val="00A65888"/>
    <w:rsid w:val="00A723AF"/>
    <w:rsid w:val="00AB2AC5"/>
    <w:rsid w:val="00AC0C73"/>
    <w:rsid w:val="00AC6B22"/>
    <w:rsid w:val="00AD205D"/>
    <w:rsid w:val="00B52837"/>
    <w:rsid w:val="00B63488"/>
    <w:rsid w:val="00B84E2A"/>
    <w:rsid w:val="00B96B6C"/>
    <w:rsid w:val="00C369DD"/>
    <w:rsid w:val="00C36A76"/>
    <w:rsid w:val="00C50E5D"/>
    <w:rsid w:val="00C74055"/>
    <w:rsid w:val="00C862DB"/>
    <w:rsid w:val="00C941D9"/>
    <w:rsid w:val="00C95D33"/>
    <w:rsid w:val="00CD3BD1"/>
    <w:rsid w:val="00CD5355"/>
    <w:rsid w:val="00CD7738"/>
    <w:rsid w:val="00CE5D10"/>
    <w:rsid w:val="00D0268E"/>
    <w:rsid w:val="00D1114F"/>
    <w:rsid w:val="00D15AA3"/>
    <w:rsid w:val="00D770BE"/>
    <w:rsid w:val="00DD6AA7"/>
    <w:rsid w:val="00E664F8"/>
    <w:rsid w:val="00E9162F"/>
    <w:rsid w:val="00E97E6D"/>
    <w:rsid w:val="00EB1D2D"/>
    <w:rsid w:val="00EB725B"/>
    <w:rsid w:val="00EC7130"/>
    <w:rsid w:val="00F03BFF"/>
    <w:rsid w:val="00F502F9"/>
    <w:rsid w:val="00F630AD"/>
    <w:rsid w:val="00FA16C1"/>
    <w:rsid w:val="00FC1267"/>
    <w:rsid w:val="00FF55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otham Book" w:eastAsiaTheme="minorHAnsi" w:hAnsi="Gotham Book"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9F0"/>
    <w:pPr>
      <w:ind w:left="720"/>
      <w:contextualSpacing/>
    </w:pPr>
  </w:style>
  <w:style w:type="paragraph" w:styleId="Header">
    <w:name w:val="header"/>
    <w:basedOn w:val="Normal"/>
    <w:link w:val="HeaderChar"/>
    <w:uiPriority w:val="99"/>
    <w:unhideWhenUsed/>
    <w:rsid w:val="008D2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F0"/>
  </w:style>
  <w:style w:type="paragraph" w:styleId="Footer">
    <w:name w:val="footer"/>
    <w:basedOn w:val="Normal"/>
    <w:link w:val="FooterChar"/>
    <w:uiPriority w:val="99"/>
    <w:unhideWhenUsed/>
    <w:rsid w:val="008D2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F0"/>
  </w:style>
  <w:style w:type="paragraph" w:styleId="BalloonText">
    <w:name w:val="Balloon Text"/>
    <w:basedOn w:val="Normal"/>
    <w:link w:val="BalloonTextChar"/>
    <w:uiPriority w:val="99"/>
    <w:semiHidden/>
    <w:unhideWhenUsed/>
    <w:rsid w:val="00115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9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otham Book" w:eastAsiaTheme="minorHAnsi" w:hAnsi="Gotham Book"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9F0"/>
    <w:pPr>
      <w:ind w:left="720"/>
      <w:contextualSpacing/>
    </w:pPr>
  </w:style>
  <w:style w:type="paragraph" w:styleId="Header">
    <w:name w:val="header"/>
    <w:basedOn w:val="Normal"/>
    <w:link w:val="HeaderChar"/>
    <w:uiPriority w:val="99"/>
    <w:unhideWhenUsed/>
    <w:rsid w:val="008D2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F0"/>
  </w:style>
  <w:style w:type="paragraph" w:styleId="Footer">
    <w:name w:val="footer"/>
    <w:basedOn w:val="Normal"/>
    <w:link w:val="FooterChar"/>
    <w:uiPriority w:val="99"/>
    <w:unhideWhenUsed/>
    <w:rsid w:val="008D2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F0"/>
  </w:style>
  <w:style w:type="paragraph" w:styleId="BalloonText">
    <w:name w:val="Balloon Text"/>
    <w:basedOn w:val="Normal"/>
    <w:link w:val="BalloonTextChar"/>
    <w:uiPriority w:val="99"/>
    <w:semiHidden/>
    <w:unhideWhenUsed/>
    <w:rsid w:val="00115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9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46" Type="http://schemas.openxmlformats.org/officeDocument/2006/relationships/customXml" Target="../customXml/item6.xml"/><Relationship Id="rId20" Type="http://schemas.openxmlformats.org/officeDocument/2006/relationships/image" Target="media/image12.emf"/><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8947EA1174B37F49963684499E9B802E" ma:contentTypeVersion="0" ma:contentTypeDescription="A content type to manage public (operations) IDB documents" ma:contentTypeScope="" ma:versionID="8e9208d5db692f19ac33ac03f43c6f31">
  <xsd:schema xmlns:xsd="http://www.w3.org/2001/XMLSchema" xmlns:xs="http://www.w3.org/2001/XMLSchema" xmlns:p="http://schemas.microsoft.com/office/2006/metadata/properties" xmlns:ns2="9c571b2f-e523-4ab2-ba2e-09e151a03ef4" targetNamespace="http://schemas.microsoft.com/office/2006/metadata/properties" ma:root="true" ma:fieldsID="ea10425a85c348856598c9126accb9c8"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52eb5a7c-d5f3-41ca-895a-b44c4b617af3}" ma:internalName="TaxCatchAll" ma:showField="CatchAllData" ma:web="10548335-b610-44ea-912f-6fc7782d786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2eb5a7c-d5f3-41ca-895a-b44c4b617af3}" ma:internalName="TaxCatchAllLabel" ma:readOnly="true" ma:showField="CatchAllDataLabel" ma:web="10548335-b610-44ea-912f-6fc7782d7866">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39955319</IDBDocs_x0020_Number>
    <TaxCatchAll xmlns="9c571b2f-e523-4ab2-ba2e-09e151a03ef4">
      <Value>4</Value>
      <Value>3</Value>
      <Value>2</Value>
    </TaxCatchAll>
    <Phase xmlns="9c571b2f-e523-4ab2-ba2e-09e151a03ef4" xsi:nil="true"/>
    <SISCOR_x0020_Number xmlns="9c571b2f-e523-4ab2-ba2e-09e151a03ef4" xsi:nil="true"/>
    <Division_x0020_or_x0020_Unit xmlns="9c571b2f-e523-4ab2-ba2e-09e151a03ef4">INE/WSA</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Approval_x0020_Number xmlns="9c571b2f-e523-4ab2-ba2e-09e151a03ef4" xsi:nil="true"/>
    <Document_x0020_Author xmlns="9c571b2f-e523-4ab2-ba2e-09e151a03ef4">Garzonio, Omar Dario</Document_x0020_Author>
    <e559ffcc31d34167856647188be35015 xmlns="9c571b2f-e523-4ab2-ba2e-09e151a03ef4">
      <Terms xmlns="http://schemas.microsoft.com/office/infopath/2007/PartnerControls"/>
    </e559ffcc31d34167856647188be35015>
    <Fiscal_x0020_Year_x0020_IDB xmlns="9c571b2f-e523-4ab2-ba2e-09e151a03ef4">2015</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BO-L1100</Project_x0020_Number>
    <Access_x0020_to_x0020_Information_x00a0_Policy xmlns="9c571b2f-e523-4ab2-ba2e-09e151a03ef4">Confidential</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j8b96605ee2f4c4e988849e658583fee>
    <Migration_x0020_Info xmlns="9c571b2f-e523-4ab2-ba2e-09e151a03ef4">&lt;Data&gt;&lt;APPLICATION&gt;MS WORD&lt;/APPLICATION&gt;&lt;STAGE_CODE&gt;LP&lt;/STAGE_CODE&gt;&lt;USER_STAGE&gt;Loan Proposal&lt;/USER_STAGE&gt;&lt;PD_OBJ_TYPE&gt;0&lt;/PD_OBJ_TYPE&gt;&lt;MAKERECORD&gt;N&lt;/MAKERECORD&gt;&lt;/Data&gt;</Migration_x0020_Info>
    <Operation_x0020_Type xmlns="9c571b2f-e523-4ab2-ba2e-09e151a03ef4" xsi:nil="true"/>
    <Record_x0020_Number xmlns="9c571b2f-e523-4ab2-ba2e-09e151a03ef4" xsi:nil="true"/>
    <Document_x0020_Language_x0020_IDB xmlns="9c571b2f-e523-4ab2-ba2e-09e151a03ef4">English</Document_x0020_Language_x0020_IDB>
    <Identifier xmlns="9c571b2f-e523-4ab2-ba2e-09e151a03ef4"> TECFILE</Identifier>
    <Disclosure_x0020_Activity xmlns="9c571b2f-e523-4ab2-ba2e-09e151a03ef4">Loan Proposal</Disclosure_x0020_Activity>
    <Webtopic xmlns="9c571b2f-e523-4ab2-ba2e-09e151a03ef4">Water and Sanitation</Webtopic>
    <Issue_x0020_Date xmlns="9c571b2f-e523-4ab2-ba2e-09e151a03ef4" xsi:nil="true"/>
    <Disclosed xmlns="9c571b2f-e523-4ab2-ba2e-09e151a03ef4">false</Disclosed>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40417918-328B-467E-A338-9BC6A931111A}"/>
</file>

<file path=customXml/itemProps2.xml><?xml version="1.0" encoding="utf-8"?>
<ds:datastoreItem xmlns:ds="http://schemas.openxmlformats.org/officeDocument/2006/customXml" ds:itemID="{DABCF604-CF11-4052-8D92-F28E7D993805}"/>
</file>

<file path=customXml/itemProps3.xml><?xml version="1.0" encoding="utf-8"?>
<ds:datastoreItem xmlns:ds="http://schemas.openxmlformats.org/officeDocument/2006/customXml" ds:itemID="{89B25A27-259C-4E09-B214-01B5241342B1}"/>
</file>

<file path=customXml/itemProps4.xml><?xml version="1.0" encoding="utf-8"?>
<ds:datastoreItem xmlns:ds="http://schemas.openxmlformats.org/officeDocument/2006/customXml" ds:itemID="{2BA950D0-C82D-47D0-A13B-9B968D17B05F}"/>
</file>

<file path=customXml/itemProps5.xml><?xml version="1.0" encoding="utf-8"?>
<ds:datastoreItem xmlns:ds="http://schemas.openxmlformats.org/officeDocument/2006/customXml" ds:itemID="{AE8D35E5-DB0F-4FA6-AC83-957B2C6EF1C7}"/>
</file>

<file path=customXml/itemProps6.xml><?xml version="1.0" encoding="utf-8"?>
<ds:datastoreItem xmlns:ds="http://schemas.openxmlformats.org/officeDocument/2006/customXml" ds:itemID="{6BD81618-0B47-47B9-911C-9BD615EE734D}"/>
</file>

<file path=docProps/app.xml><?xml version="1.0" encoding="utf-8"?>
<Properties xmlns="http://schemas.openxmlformats.org/officeDocument/2006/extended-properties" xmlns:vt="http://schemas.openxmlformats.org/officeDocument/2006/docPropsVTypes">
  <Template>Normal.dotm</Template>
  <TotalTime>206</TotalTime>
  <Pages>37</Pages>
  <Words>4541</Words>
  <Characters>25888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30369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EEO_4 - Indicadores Financieros-Operativos_EPSAS</dc:title>
  <dc:subject/>
  <dc:creator>Inter-American Development Bank</dc:creator>
  <cp:keywords/>
  <dc:description/>
  <cp:lastModifiedBy>Inter-American Development Bank</cp:lastModifiedBy>
  <cp:revision>113</cp:revision>
  <dcterms:created xsi:type="dcterms:W3CDTF">2015-05-28T16:06:00Z</dcterms:created>
  <dcterms:modified xsi:type="dcterms:W3CDTF">2015-11-19T23:01:00Z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0x01010046CF21643EE8D14686A648AA6DAD0892008947EA1174B37F49963684499E9B802E</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Series Operations IDB">
    <vt:lpwstr>2;#Loan Proposal|6ee86b6f-6e46-485b-8bfb-87a1f44622ac</vt:lpwstr>
  </property>
  <property fmtid="{D5CDD505-2E9C-101B-9397-08002B2CF9AE}" pid="8" name="Country">
    <vt:lpwstr>3;#Bolivia|6445a937-aea4-4907-9f24-bff96a7c61c8</vt:lpwstr>
  </property>
  <property fmtid="{D5CDD505-2E9C-101B-9397-08002B2CF9AE}" pid="9" name="Fund IDB">
    <vt:lpwstr/>
  </property>
  <property fmtid="{D5CDD505-2E9C-101B-9397-08002B2CF9AE}" pid="10" name="Series_x0020_Operations_x0020_IDB">
    <vt:lpwstr>2;#Loan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4;#Project Preparation, Planning and Design|29ca0c72-1fc4-435f-a09c-28585cb5eac9</vt:lpwstr>
  </property>
  <property fmtid="{D5CDD505-2E9C-101B-9397-08002B2CF9AE}" pid="15" name="Sub-Sector">
    <vt:lpwstr/>
  </property>
</Properties>
</file>