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65" w:rsidRPr="00B60174" w:rsidRDefault="00B60174" w:rsidP="00B60174">
      <w:pPr>
        <w:jc w:val="center"/>
        <w:rPr>
          <w:rFonts w:ascii="Arial" w:hAnsi="Arial" w:cs="Arial"/>
          <w:b/>
          <w:sz w:val="22"/>
        </w:rPr>
      </w:pPr>
      <w:r w:rsidRPr="00B60174">
        <w:rPr>
          <w:rFonts w:ascii="Arial" w:hAnsi="Arial" w:cs="Arial"/>
          <w:b/>
          <w:sz w:val="22"/>
        </w:rPr>
        <w:t>ENLACE OPCIONAL No. 21</w:t>
      </w:r>
    </w:p>
    <w:p w:rsidR="00B60174" w:rsidRPr="00B60174" w:rsidRDefault="00B60174" w:rsidP="00B6017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B60174">
        <w:rPr>
          <w:rFonts w:ascii="Arial" w:hAnsi="Arial" w:cs="Arial"/>
          <w:b/>
          <w:sz w:val="22"/>
        </w:rPr>
        <w:t>LECCIONES APRENDIDAS EN CAMINOS VECINALES</w:t>
      </w:r>
    </w:p>
    <w:p w:rsidR="00B60174" w:rsidRPr="00B60174" w:rsidRDefault="00B60174" w:rsidP="00B60174">
      <w:pPr>
        <w:jc w:val="center"/>
        <w:rPr>
          <w:sz w:val="16"/>
        </w:rPr>
      </w:pPr>
    </w:p>
    <w:p w:rsidR="00B60174" w:rsidRPr="007115EE" w:rsidRDefault="00B60174" w:rsidP="00B60174">
      <w:pPr>
        <w:pStyle w:val="Paragraph"/>
        <w:numPr>
          <w:ilvl w:val="0"/>
          <w:numId w:val="0"/>
        </w:numPr>
        <w:spacing w:before="0" w:after="0"/>
        <w:rPr>
          <w:rFonts w:ascii="Arial" w:hAnsi="Arial" w:cs="Arial"/>
          <w:b/>
          <w:bCs/>
          <w:sz w:val="22"/>
          <w:szCs w:val="22"/>
          <w:lang w:eastAsia="es-AR"/>
        </w:rPr>
      </w:pPr>
      <w:bookmarkStart w:id="0" w:name="_Ref402371803"/>
      <w:r w:rsidRPr="007115EE">
        <w:rPr>
          <w:rFonts w:ascii="Arial" w:hAnsi="Arial" w:cs="Arial"/>
          <w:b/>
          <w:sz w:val="22"/>
          <w:szCs w:val="22"/>
        </w:rPr>
        <w:t>Lecciones aprendidas.</w:t>
      </w:r>
      <w:r w:rsidRPr="007115EE">
        <w:rPr>
          <w:rFonts w:ascii="Arial" w:hAnsi="Arial" w:cs="Arial"/>
          <w:sz w:val="22"/>
          <w:szCs w:val="22"/>
        </w:rPr>
        <w:t xml:space="preserve"> El </w:t>
      </w:r>
      <w:r>
        <w:rPr>
          <w:rFonts w:ascii="Arial" w:hAnsi="Arial" w:cs="Arial"/>
          <w:sz w:val="22"/>
          <w:szCs w:val="22"/>
        </w:rPr>
        <w:t>cuadro 1 resume las principa</w:t>
      </w:r>
      <w:r w:rsidR="00145D7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es lecciones aprendidas de los programas de caminos rurales y vecinales anteriores e indica cómo han sido éstas integradas a la operación actual</w:t>
      </w:r>
      <w:r w:rsidRPr="007115EE">
        <w:rPr>
          <w:rFonts w:ascii="Arial" w:hAnsi="Arial" w:cs="Arial"/>
          <w:sz w:val="22"/>
          <w:szCs w:val="22"/>
        </w:rPr>
        <w:t>.</w:t>
      </w:r>
      <w:bookmarkEnd w:id="0"/>
    </w:p>
    <w:p w:rsidR="00B60174" w:rsidRPr="007115EE" w:rsidRDefault="00B60174" w:rsidP="00B60174">
      <w:pPr>
        <w:spacing w:before="40" w:after="40"/>
        <w:jc w:val="center"/>
        <w:rPr>
          <w:rFonts w:ascii="Arial" w:hAnsi="Arial" w:cs="Arial"/>
          <w:b/>
          <w:bCs/>
          <w:sz w:val="18"/>
          <w:szCs w:val="22"/>
          <w:lang w:val="es-ES" w:eastAsia="es-AR"/>
        </w:rPr>
      </w:pPr>
      <w:r w:rsidRPr="007115EE">
        <w:rPr>
          <w:rFonts w:ascii="Arial" w:hAnsi="Arial" w:cs="Arial"/>
          <w:b/>
          <w:bCs/>
          <w:sz w:val="18"/>
          <w:szCs w:val="22"/>
          <w:lang w:val="es-ES" w:eastAsia="es-AR"/>
        </w:rPr>
        <w:t xml:space="preserve">Cuadro </w:t>
      </w:r>
      <w:r>
        <w:rPr>
          <w:rFonts w:ascii="Arial" w:hAnsi="Arial" w:cs="Arial"/>
          <w:b/>
          <w:bCs/>
          <w:sz w:val="18"/>
          <w:szCs w:val="22"/>
          <w:lang w:val="es-ES" w:eastAsia="es-AR"/>
        </w:rPr>
        <w:t>1</w:t>
      </w:r>
      <w:r w:rsidRPr="007115EE">
        <w:rPr>
          <w:rFonts w:ascii="Arial" w:hAnsi="Arial" w:cs="Arial"/>
          <w:b/>
          <w:bCs/>
          <w:sz w:val="18"/>
          <w:szCs w:val="22"/>
          <w:lang w:val="es-ES" w:eastAsia="es-AR"/>
        </w:rPr>
        <w:t>. Integración de lecciones aprendidas</w:t>
      </w: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B60174" w:rsidRPr="007115EE" w:rsidTr="00740E22">
        <w:trPr>
          <w:trHeight w:val="305"/>
          <w:tblHeader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b/>
                <w:bCs/>
                <w:sz w:val="18"/>
                <w:szCs w:val="18"/>
                <w:lang w:val="es-ES" w:eastAsia="es-AR"/>
              </w:rPr>
              <w:t>Principal lección aprendida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b/>
                <w:bCs/>
                <w:sz w:val="18"/>
                <w:szCs w:val="18"/>
                <w:lang w:val="es-ES" w:eastAsia="es-AR"/>
              </w:rPr>
              <w:t>Reflejo en el diseño del programa</w:t>
            </w:r>
          </w:p>
        </w:tc>
      </w:tr>
      <w:tr w:rsidR="00B60174" w:rsidRPr="007115EE" w:rsidTr="00740E22">
        <w:trPr>
          <w:trHeight w:val="701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Los PVP son esenciales para la priorización de inversiones ajustadas a las necesidades locales y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conseguir</w:t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el cofinanciamiento de los municipios.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</w:t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prevé la continuidad de la priorización de las intervenciones a través de PVP.</w:t>
            </w:r>
          </w:p>
        </w:tc>
        <w:bookmarkStart w:id="1" w:name="_GoBack"/>
        <w:bookmarkEnd w:id="1"/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Retrasos en la elaboración de diseños de caminos ocasiona demora en la ejecución de las obras. 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Las obras a ejecutarse en los primeros años del programa cuentan con diseños. El programa financia los diseños que hacen falta.</w:t>
            </w:r>
          </w:p>
        </w:tc>
      </w:tr>
      <w:tr w:rsidR="00B60174" w:rsidRPr="007115EE" w:rsidTr="00740E22">
        <w:trPr>
          <w:trHeight w:val="665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La adopción de especificaciones técnicas de diseño debe ser adecuada a los niveles de tránsito de los caminos para garantizar la viabilidad económica de las intervenciones del programa.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Tanto los proyectos de la muestra como el Reglamento Operativo del Programa (ROP) cuentan con especificaciones técnicas revisadas sobre la base de los resultados obtenidos con las últimas operaciones.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La adecuada dotación de equipos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para</w:t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mantenimiento es fundamental para su adecuada ejecución.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Se realizó una evaluación de las alternativas de mantenimiento del PGM </w:t>
            </w:r>
            <w:hyperlink r:id="rId9" w:history="1">
              <w:r w:rsidRPr="007115EE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(</w:t>
              </w:r>
              <w:r w:rsidRPr="007115EE">
                <w:rPr>
                  <w:rStyle w:val="Hyperlink"/>
                  <w:rFonts w:ascii="Arial" w:hAnsi="Arial" w:cs="Arial"/>
                  <w:sz w:val="18"/>
                  <w:szCs w:val="18"/>
                </w:rPr>
                <w:t>EEO#9</w:t>
              </w:r>
              <w:r w:rsidRPr="007115EE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)</w:t>
              </w:r>
            </w:hyperlink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y se está incorporando los cambios requeridos, incluyendo la asignación de equipos suficientes para mantenimiento.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Los procesos licitatorios son prolongados comparados a los de otros países de la región.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Los cronogramas de contratación y ejecución han sido elaborados teniendo en cuenta los tiempos reales del MOPC.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Es importante contar con un sistema de gerenciamiento que permita coordinar y programar adecuadamente los diferentes componentes del programa. 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Se contratará una consultora de apoyo a la UEP para realizar la coordinación integral del programa.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Es necesario analizar la disponibilidad financiera de las gobernaciones y/o distritos del país, en el momento de establecer metas a ser cumplidas por ellos.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Se han analizado las transferencias a los municipios y se establecerán acuerdos de cofinanciamiento compatibles.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Las experiencias de mantenimiento por convenio con Asociaciones de Municipios (AM) han tenido buenos resultados, en término de fortalecimiento de las municipalidades.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Se buscará profundizar este modelo de descentralización, promoviendo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</w:t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formalización del compromiso de cofinanciamiento por parte de los municipios principalmente en términos de disponibilidad de equipos.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A03C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El desarrollo de Microempresas de Mantenimiento Vial (MEMV) ha obtenido buenos resultados tanto en la calidad de las obras como en costos y plazos</w:t>
            </w:r>
            <w:r w:rsidR="0041788D">
              <w:rPr>
                <w:rStyle w:val="FootnoteReference"/>
                <w:rFonts w:ascii="Arial" w:hAnsi="Arial" w:cs="Arial"/>
                <w:sz w:val="18"/>
                <w:szCs w:val="18"/>
                <w:lang w:val="es-ES"/>
              </w:rPr>
              <w:footnoteReference w:id="1"/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. 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Se continuará brindando apoyo a la formación de cuadrillas de mantenimiento vial.</w:t>
            </w:r>
          </w:p>
        </w:tc>
      </w:tr>
      <w:tr w:rsidR="00B60174" w:rsidRPr="007115EE" w:rsidTr="00740E22">
        <w:trPr>
          <w:trHeight w:val="20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Se debe garantizar que todas las obras rehabilitadas entren inmediatamente en un esquema de mantenimiento.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Los caminos rehabilitados serán incorporados inmediatamente al PGM.</w:t>
            </w:r>
          </w:p>
        </w:tc>
      </w:tr>
      <w:tr w:rsidR="00B60174" w:rsidRPr="007115EE" w:rsidTr="00740E22">
        <w:trPr>
          <w:trHeight w:val="305"/>
        </w:trPr>
        <w:tc>
          <w:tcPr>
            <w:tcW w:w="441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>Las actividades de mantenimiento son más sostenibles si el camino es rehabilitado previamente.</w:t>
            </w:r>
          </w:p>
        </w:tc>
        <w:tc>
          <w:tcPr>
            <w:tcW w:w="4230" w:type="dxa"/>
            <w:vAlign w:val="center"/>
          </w:tcPr>
          <w:p w:rsidR="00B60174" w:rsidRPr="007115EE" w:rsidRDefault="00B60174" w:rsidP="00740E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7115EE">
              <w:rPr>
                <w:rFonts w:ascii="Arial" w:hAnsi="Arial" w:cs="Arial"/>
                <w:sz w:val="18"/>
                <w:szCs w:val="18"/>
                <w:lang w:val="es-ES"/>
              </w:rPr>
              <w:t xml:space="preserve"> caminos a ser mantenidos con recursos de este programa fueron rehabilitados previamente por operaciones del Banco.</w:t>
            </w:r>
          </w:p>
        </w:tc>
      </w:tr>
    </w:tbl>
    <w:p w:rsidR="00B60174" w:rsidRDefault="00B60174" w:rsidP="00B60174"/>
    <w:sectPr w:rsidR="00B601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74" w:rsidRDefault="00B60174" w:rsidP="00B60174">
      <w:r>
        <w:separator/>
      </w:r>
    </w:p>
  </w:endnote>
  <w:endnote w:type="continuationSeparator" w:id="0">
    <w:p w:rsidR="00B60174" w:rsidRDefault="00B60174" w:rsidP="00B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74" w:rsidRDefault="00B60174" w:rsidP="00B60174">
      <w:r>
        <w:separator/>
      </w:r>
    </w:p>
  </w:footnote>
  <w:footnote w:type="continuationSeparator" w:id="0">
    <w:p w:rsidR="00B60174" w:rsidRDefault="00B60174" w:rsidP="00B60174">
      <w:r>
        <w:continuationSeparator/>
      </w:r>
    </w:p>
  </w:footnote>
  <w:footnote w:id="1">
    <w:p w:rsidR="0041788D" w:rsidRPr="0041788D" w:rsidRDefault="0041788D">
      <w:pPr>
        <w:pStyle w:val="FootnoteText"/>
      </w:pPr>
      <w:r w:rsidRPr="0041788D">
        <w:rPr>
          <w:rStyle w:val="FootnoteReference"/>
          <w:rFonts w:ascii="Arial" w:hAnsi="Arial" w:cs="Arial"/>
          <w:sz w:val="18"/>
          <w:szCs w:val="18"/>
        </w:rPr>
        <w:footnoteRef/>
      </w:r>
      <w:r w:rsidRPr="0041788D">
        <w:rPr>
          <w:rFonts w:ascii="Arial" w:hAnsi="Arial" w:cs="Arial"/>
          <w:sz w:val="18"/>
          <w:szCs w:val="18"/>
        </w:rPr>
        <w:t xml:space="preserve"> </w:t>
      </w:r>
      <w:r w:rsidRPr="0041788D">
        <w:rPr>
          <w:rFonts w:ascii="Arial" w:hAnsi="Arial" w:cs="Arial"/>
          <w:sz w:val="18"/>
          <w:szCs w:val="18"/>
          <w:lang w:val="es-ES"/>
        </w:rPr>
        <w:t>Otros programas financiados por el Banco han demostrado que, el mantenimiento rutinario a través de las microempresas</w:t>
      </w:r>
      <w:r w:rsidRPr="009F0B0F">
        <w:rPr>
          <w:rFonts w:ascii="Arial" w:hAnsi="Arial" w:cs="Arial"/>
          <w:sz w:val="18"/>
          <w:szCs w:val="19"/>
          <w:lang w:val="es-ES"/>
        </w:rPr>
        <w:t xml:space="preserve"> creadas</w:t>
      </w:r>
      <w:r>
        <w:rPr>
          <w:rFonts w:ascii="Arial" w:hAnsi="Arial" w:cs="Arial"/>
          <w:sz w:val="18"/>
          <w:szCs w:val="19"/>
          <w:lang w:val="es-ES"/>
        </w:rPr>
        <w:t>,</w:t>
      </w:r>
      <w:r w:rsidRPr="009F0B0F">
        <w:rPr>
          <w:rFonts w:ascii="Arial" w:hAnsi="Arial" w:cs="Arial"/>
          <w:sz w:val="18"/>
          <w:szCs w:val="19"/>
          <w:lang w:val="es-ES"/>
        </w:rPr>
        <w:t xml:space="preserve"> como parte del propio diseño del programa presenta muy buenos resultados</w:t>
      </w:r>
      <w:r>
        <w:rPr>
          <w:rFonts w:ascii="Arial" w:hAnsi="Arial" w:cs="Arial"/>
          <w:sz w:val="18"/>
          <w:szCs w:val="19"/>
          <w:lang w:val="es-ES"/>
        </w:rPr>
        <w:t>.</w:t>
      </w:r>
      <w:r w:rsidRPr="009F0B0F">
        <w:rPr>
          <w:rFonts w:ascii="Arial" w:hAnsi="Arial" w:cs="Arial"/>
          <w:sz w:val="18"/>
          <w:szCs w:val="19"/>
          <w:lang w:val="es-ES"/>
        </w:rPr>
        <w:t>, a la vez que han</w:t>
      </w:r>
      <w:r>
        <w:rPr>
          <w:rFonts w:ascii="Arial" w:hAnsi="Arial" w:cs="Arial"/>
          <w:sz w:val="18"/>
          <w:szCs w:val="19"/>
          <w:lang w:val="es-ES"/>
        </w:rPr>
        <w:t xml:space="preserve"> </w:t>
      </w:r>
      <w:r>
        <w:rPr>
          <w:rFonts w:ascii="Arial" w:hAnsi="Arial" w:cs="Arial"/>
          <w:sz w:val="18"/>
          <w:szCs w:val="19"/>
          <w:lang w:val="es-ES"/>
        </w:rPr>
        <w:t>generado</w:t>
      </w:r>
      <w:r w:rsidRPr="009F0B0F">
        <w:rPr>
          <w:rFonts w:ascii="Arial" w:hAnsi="Arial" w:cs="Arial"/>
          <w:sz w:val="18"/>
          <w:szCs w:val="19"/>
          <w:lang w:val="es-ES"/>
        </w:rPr>
        <w:t xml:space="preserve"> empleo y actuado como catalizadoras para otras iniciativas de desarrollo local a nivel</w:t>
      </w:r>
      <w:r>
        <w:rPr>
          <w:rFonts w:ascii="Arial" w:hAnsi="Arial" w:cs="Arial"/>
          <w:sz w:val="18"/>
          <w:szCs w:val="19"/>
          <w:lang w:val="es-ES"/>
        </w:rPr>
        <w:t> </w:t>
      </w:r>
      <w:r w:rsidRPr="009F0B0F">
        <w:rPr>
          <w:rFonts w:ascii="Arial" w:hAnsi="Arial" w:cs="Arial"/>
          <w:sz w:val="18"/>
          <w:szCs w:val="19"/>
          <w:lang w:val="es-ES"/>
        </w:rPr>
        <w:t>comunitario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74" w:rsidRPr="00B60174" w:rsidRDefault="00B60174">
    <w:pPr>
      <w:pStyle w:val="Header"/>
      <w:rPr>
        <w:rFonts w:ascii="Arial" w:hAnsi="Arial" w:cs="Arial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B60174">
      <w:rPr>
        <w:rFonts w:ascii="Arial" w:hAnsi="Arial" w:cs="Arial"/>
        <w:sz w:val="22"/>
        <w:lang w:val="en-US"/>
      </w:rPr>
      <w:t>PR-L1092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991"/>
    <w:multiLevelType w:val="multilevel"/>
    <w:tmpl w:val="16D405C8"/>
    <w:lvl w:ilvl="0">
      <w:start w:val="1"/>
      <w:numFmt w:val="upperRoman"/>
      <w:lvlRestart w:val="0"/>
      <w:pStyle w:val="Chapter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1296"/>
        </w:tabs>
        <w:ind w:left="1296" w:hanging="1296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74"/>
    <w:rsid w:val="00145D78"/>
    <w:rsid w:val="0041788D"/>
    <w:rsid w:val="00514765"/>
    <w:rsid w:val="00A03C28"/>
    <w:rsid w:val="00B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0174"/>
    <w:rPr>
      <w:color w:val="0000FF"/>
      <w:u w:val="single"/>
    </w:rPr>
  </w:style>
  <w:style w:type="table" w:styleId="TableGrid">
    <w:name w:val="Table Grid"/>
    <w:basedOn w:val="TableNormal"/>
    <w:uiPriority w:val="59"/>
    <w:rsid w:val="00B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B60174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B60174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B60174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/>
      <w:ind w:left="1152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B60174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/>
    </w:pPr>
  </w:style>
  <w:style w:type="character" w:customStyle="1" w:styleId="ParagraphCar">
    <w:name w:val="Paragraph Car"/>
    <w:basedOn w:val="DefaultParagraphFont"/>
    <w:link w:val="Paragraph"/>
    <w:locked/>
    <w:rsid w:val="00B60174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1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01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0174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B6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6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8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88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4178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0174"/>
    <w:rPr>
      <w:color w:val="0000FF"/>
      <w:u w:val="single"/>
    </w:rPr>
  </w:style>
  <w:style w:type="table" w:styleId="TableGrid">
    <w:name w:val="Table Grid"/>
    <w:basedOn w:val="TableNormal"/>
    <w:uiPriority w:val="59"/>
    <w:rsid w:val="00B6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B60174"/>
    <w:pPr>
      <w:keepNext/>
      <w:numPr>
        <w:numId w:val="1"/>
      </w:numPr>
      <w:tabs>
        <w:tab w:val="clear" w:pos="1800"/>
        <w:tab w:val="num" w:pos="648"/>
        <w:tab w:val="left" w:pos="1440"/>
      </w:tabs>
      <w:spacing w:before="240" w:after="240"/>
      <w:ind w:left="0"/>
      <w:jc w:val="center"/>
    </w:pPr>
    <w:rPr>
      <w:b/>
      <w:smallCaps/>
      <w:lang w:val="es-ES"/>
    </w:rPr>
  </w:style>
  <w:style w:type="paragraph" w:customStyle="1" w:styleId="Paragraph">
    <w:name w:val="Paragraph"/>
    <w:aliases w:val="paragraph,p,PARAGRAPH,PG,pa,at"/>
    <w:basedOn w:val="BodyTextIndent"/>
    <w:link w:val="ParagraphCar"/>
    <w:qFormat/>
    <w:rsid w:val="00B60174"/>
    <w:pPr>
      <w:numPr>
        <w:ilvl w:val="1"/>
        <w:numId w:val="1"/>
      </w:numPr>
      <w:spacing w:before="120"/>
      <w:jc w:val="both"/>
      <w:outlineLvl w:val="1"/>
    </w:pPr>
    <w:rPr>
      <w:lang w:val="es-ES"/>
    </w:rPr>
  </w:style>
  <w:style w:type="paragraph" w:customStyle="1" w:styleId="subpar">
    <w:name w:val="subpar"/>
    <w:basedOn w:val="BodyTextIndent3"/>
    <w:rsid w:val="00B60174"/>
    <w:pPr>
      <w:numPr>
        <w:ilvl w:val="2"/>
        <w:numId w:val="1"/>
      </w:numPr>
      <w:tabs>
        <w:tab w:val="clear" w:pos="2304"/>
        <w:tab w:val="num" w:pos="360"/>
        <w:tab w:val="num" w:pos="1152"/>
      </w:tabs>
      <w:spacing w:before="120"/>
      <w:ind w:left="1152" w:firstLine="0"/>
      <w:jc w:val="both"/>
      <w:outlineLvl w:val="2"/>
    </w:pPr>
    <w:rPr>
      <w:sz w:val="24"/>
      <w:szCs w:val="20"/>
    </w:rPr>
  </w:style>
  <w:style w:type="paragraph" w:customStyle="1" w:styleId="SubSubPar">
    <w:name w:val="SubSubPar"/>
    <w:basedOn w:val="subpar"/>
    <w:rsid w:val="00B60174"/>
    <w:pPr>
      <w:numPr>
        <w:ilvl w:val="3"/>
      </w:numPr>
      <w:tabs>
        <w:tab w:val="clear" w:pos="2736"/>
        <w:tab w:val="left" w:pos="0"/>
        <w:tab w:val="num" w:pos="360"/>
        <w:tab w:val="num" w:pos="1152"/>
        <w:tab w:val="num" w:pos="1296"/>
      </w:tabs>
      <w:ind w:left="1296"/>
    </w:pPr>
  </w:style>
  <w:style w:type="character" w:customStyle="1" w:styleId="ParagraphCar">
    <w:name w:val="Paragraph Car"/>
    <w:basedOn w:val="DefaultParagraphFont"/>
    <w:link w:val="Paragraph"/>
    <w:locked/>
    <w:rsid w:val="00B60174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01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01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0174"/>
    <w:rPr>
      <w:rFonts w:ascii="Times New Roman" w:eastAsia="Times New Roman" w:hAnsi="Times New Roman" w:cs="Times New Roman"/>
      <w:sz w:val="16"/>
      <w:szCs w:val="16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B6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6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17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78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88D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417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dbdocs.iadb.org/wsdocs/getDocument.aspx?DOCNUM=39822372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cf0be0ad-272c-4e7f-a157-3f0abda6cde5" ContentTypeId="0x01010046CF21643EE8D14686A648AA6DAD0892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2F4D7375CC7DAB429593A8A14391F0CE" ma:contentTypeVersion="0" ma:contentTypeDescription="A content type to manage public (operations) IDB documents" ma:contentTypeScope="" ma:versionID="1c49387a51ac94f3a92fca84b11daffc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00f02d04dbffc8223ab87bb0dcc9c1e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f76994-b145-4aa5-bae9-5834c8e755c3}" ma:internalName="TaxCatchAll" ma:showField="CatchAllData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f76994-b145-4aa5-bae9-5834c8e755c3}" ma:internalName="TaxCatchAllLabel" ma:readOnly="true" ma:showField="CatchAllDataLabel" ma:web="fab184d8-fc63-46dc-b020-1b7b08381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39889064</IDBDocs_x0020_Number>
    <TaxCatchAll xmlns="9c571b2f-e523-4ab2-ba2e-09e151a03ef4">
      <Value>8</Value>
      <Value>9</Value>
    </TaxCatchAll>
    <Phase xmlns="9c571b2f-e523-4ab2-ba2e-09e151a03ef4" xsi:nil="true"/>
    <SISCOR_x0020_Number xmlns="9c571b2f-e523-4ab2-ba2e-09e151a03ef4" xsi:nil="true"/>
    <Division_x0020_or_x0020_Unit xmlns="9c571b2f-e523-4ab2-ba2e-09e151a03ef4">INE/TSP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Profile (PP)</TermName>
          <TermId xmlns="http://schemas.microsoft.com/office/infopath/2007/PartnerControls">ac5f0c28-f2f6-431c-8d05-62f851b6a822</TermId>
        </TermInfo>
      </Terms>
    </o5138a91267540169645e33d09c9ddc6>
    <Approval_x0020_Number xmlns="9c571b2f-e523-4ab2-ba2e-09e151a03ef4" xsi:nil="true"/>
    <Document_x0020_Author xmlns="9c571b2f-e523-4ab2-ba2e-09e151a03ef4">Acevedo-Daunas, Rafael M.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2015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Project_x0020_Number xmlns="9c571b2f-e523-4ab2-ba2e-09e151a03ef4">PR-L1092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WORD&lt;/APPLICATION&gt;&lt;USER_STAGE&gt;Loan Proposal&lt;/USER_STAGE&gt;&lt;APPROVAL_CODE&gt;DE&lt;/APPROVAL_CODE&gt;&lt;APPROVAL_DESC&gt;Board of Executive Directors&lt;/APPROVAL_DESC&gt;&lt;PD_OBJ_TYPE&gt;0&lt;/PD_OBJ_TYPE&gt;&lt;MAKERECORD&gt;N&lt;/MAKERECORD&gt;&lt;PD_FILEPT_NO&gt;PO-PR-L1092-Plan&lt;/PD_FILEPT_NO&gt;&lt;/Data&gt;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 FULL DOC</Identifier>
    <Disclosure_x0020_Activity xmlns="9c571b2f-e523-4ab2-ba2e-09e151a03ef4">Loan Proposal</Disclosure_x0020_Activity>
    <Webtopic xmlns="9c571b2f-e523-4ab2-ba2e-09e151a03ef4">TR-TRP</Webtopic>
    <Issue_x0020_Date xmlns="9c571b2f-e523-4ab2-ba2e-09e151a03ef4" xsi:nil="true"/>
    <Publication_x0020_Type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Props1.xml><?xml version="1.0" encoding="utf-8"?>
<ds:datastoreItem xmlns:ds="http://schemas.openxmlformats.org/officeDocument/2006/customXml" ds:itemID="{7E41FB58-A443-4004-BD7A-EEFA3DF27D59}"/>
</file>

<file path=customXml/itemProps2.xml><?xml version="1.0" encoding="utf-8"?>
<ds:datastoreItem xmlns:ds="http://schemas.openxmlformats.org/officeDocument/2006/customXml" ds:itemID="{8CCBD700-3E9C-435B-AAE4-ADF75B66C436}"/>
</file>

<file path=customXml/itemProps3.xml><?xml version="1.0" encoding="utf-8"?>
<ds:datastoreItem xmlns:ds="http://schemas.openxmlformats.org/officeDocument/2006/customXml" ds:itemID="{111B9D8E-1836-4D66-BFB1-B4011A047FC6}"/>
</file>

<file path=customXml/itemProps4.xml><?xml version="1.0" encoding="utf-8"?>
<ds:datastoreItem xmlns:ds="http://schemas.openxmlformats.org/officeDocument/2006/customXml" ds:itemID="{11D30CEE-D21A-44A8-998D-FD6B5ADA7D2B}"/>
</file>

<file path=customXml/itemProps5.xml><?xml version="1.0" encoding="utf-8"?>
<ds:datastoreItem xmlns:ds="http://schemas.openxmlformats.org/officeDocument/2006/customXml" ds:itemID="{418661B5-B160-4CDF-B0E6-504D8B4C1136}"/>
</file>

<file path=customXml/itemProps6.xml><?xml version="1.0" encoding="utf-8"?>
<ds:datastoreItem xmlns:ds="http://schemas.openxmlformats.org/officeDocument/2006/customXml" ds:itemID="{F08CBEAD-3A20-4B05-822B-08C8FCAA4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EEO_21 - Lecciones Aprendidas en Caminos Vecinales</dc:title>
  <dc:subject/>
  <dc:creator>IADB</dc:creator>
  <cp:keywords/>
  <dc:description/>
  <cp:lastModifiedBy>IADB</cp:lastModifiedBy>
  <cp:revision>3</cp:revision>
  <dcterms:created xsi:type="dcterms:W3CDTF">2015-10-04T15:25:00Z</dcterms:created>
  <dcterms:modified xsi:type="dcterms:W3CDTF">2015-10-04T15:57:00Z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0x01010046CF21643EE8D14686A648AA6DAD0892002F4D7375CC7DAB429593A8A14391F0CE</vt:lpwstr>
  </property>
  <property fmtid="{D5CDD505-2E9C-101B-9397-08002B2CF9AE}" pid="3" name="TaxKeyword">
    <vt:lpwstr/>
  </property>
  <property fmtid="{D5CDD505-2E9C-101B-9397-08002B2CF9AE}" pid="4" name="Function Operations IDB">
    <vt:lpwstr>9;#Project Preparation, Planning and Design|29ca0c72-1fc4-435f-a09c-28585cb5eac9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8;#Project Profile (PP)|ac5f0c28-f2f6-431c-8d05-62f851b6a822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8;#Project Profile (PP)|ac5f0c28-f2f6-431c-8d05-62f851b6a822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