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81" w:rsidRPr="00F511FC" w:rsidRDefault="00EB3481" w:rsidP="007F5C40">
      <w:pPr>
        <w:spacing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  <w:lang w:val="es-ES"/>
        </w:rPr>
      </w:pPr>
      <w:r w:rsidRPr="00F511FC">
        <w:rPr>
          <w:rFonts w:ascii="Times New Roman Bold" w:hAnsi="Times New Roman Bold" w:cs="Times New Roman"/>
          <w:b/>
          <w:smallCaps/>
          <w:sz w:val="24"/>
          <w:szCs w:val="24"/>
          <w:lang w:val="es-ES"/>
        </w:rPr>
        <w:t>MATRIZ COMPARATIVA</w:t>
      </w:r>
    </w:p>
    <w:p w:rsidR="00F74396" w:rsidRPr="00F511FC" w:rsidRDefault="007B249E" w:rsidP="007F5C40">
      <w:pPr>
        <w:spacing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  <w:lang w:val="es-ES"/>
        </w:rPr>
      </w:pPr>
      <w:r w:rsidRPr="00F511FC">
        <w:rPr>
          <w:rFonts w:ascii="Times New Roman Bold" w:hAnsi="Times New Roman Bold" w:cs="Times New Roman"/>
          <w:b/>
          <w:smallCaps/>
          <w:sz w:val="24"/>
          <w:szCs w:val="24"/>
          <w:lang w:val="es-ES"/>
        </w:rPr>
        <w:t xml:space="preserve">Condiciones acordadas para la segunda operación vs. condiciones acordadas en la propuesta de </w:t>
      </w:r>
      <w:r w:rsidR="001945FB" w:rsidRPr="00F511FC">
        <w:rPr>
          <w:rFonts w:ascii="Times New Roman Bold" w:hAnsi="Times New Roman Bold" w:cs="Times New Roman"/>
          <w:b/>
          <w:smallCaps/>
          <w:sz w:val="24"/>
          <w:szCs w:val="24"/>
          <w:lang w:val="es-ES"/>
        </w:rPr>
        <w:t>préstamo</w:t>
      </w:r>
      <w:r w:rsidRPr="00F511FC">
        <w:rPr>
          <w:rFonts w:ascii="Times New Roman Bold" w:hAnsi="Times New Roman Bold" w:cs="Times New Roman"/>
          <w:b/>
          <w:smallCaps/>
          <w:sz w:val="24"/>
          <w:szCs w:val="24"/>
          <w:lang w:val="es-ES"/>
        </w:rPr>
        <w:t xml:space="preserve"> de la primera operación del PBP </w:t>
      </w:r>
    </w:p>
    <w:tbl>
      <w:tblPr>
        <w:tblW w:w="13657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420"/>
        <w:gridCol w:w="3690"/>
        <w:gridCol w:w="4004"/>
      </w:tblGrid>
      <w:tr w:rsidR="00AD7AAD" w:rsidRPr="00F511FC" w:rsidTr="001E0399">
        <w:trPr>
          <w:tblHeader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D7AAD" w:rsidRPr="00F511FC" w:rsidRDefault="00AD7AAD" w:rsidP="00846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511F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Componente y </w:t>
            </w:r>
            <w:r w:rsidR="00846D3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Resultado buscado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D7AAD" w:rsidRPr="00F511FC" w:rsidRDefault="00846D33" w:rsidP="000E5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Desencadenantes</w:t>
            </w:r>
            <w:r w:rsidR="00AD7AAD" w:rsidRPr="00F511F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r w:rsidR="001945FB" w:rsidRPr="00F511F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para la segunda operación establecidas en la Propuesta de Préstamo del primer PBP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7AAD" w:rsidRPr="00F511FC" w:rsidRDefault="00AD7AAD" w:rsidP="000E5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511F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Condiciones </w:t>
            </w:r>
            <w:r w:rsidR="001945FB" w:rsidRPr="00F511F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revisadas y acordadas para la segunda operación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7AAD" w:rsidRPr="00F511FC" w:rsidRDefault="001945FB" w:rsidP="000E5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511F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Comentarios</w:t>
            </w:r>
          </w:p>
        </w:tc>
      </w:tr>
      <w:tr w:rsidR="00970BBB" w:rsidRPr="00E84AC3" w:rsidTr="001E0399">
        <w:trPr>
          <w:jc w:val="center"/>
        </w:trPr>
        <w:tc>
          <w:tcPr>
            <w:tcW w:w="1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A5F" w:rsidRPr="00846D33" w:rsidRDefault="00846D33" w:rsidP="00846D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46D3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Marco macroeconómico y fiscal estable y sostenible para apoyar la viabilidad de los objetivos del programa</w:t>
            </w:r>
          </w:p>
        </w:tc>
      </w:tr>
      <w:tr w:rsidR="00601E37" w:rsidRPr="00F511FC" w:rsidTr="001E0399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7" w:rsidRPr="00F511FC" w:rsidRDefault="00846D33" w:rsidP="000E5B65">
            <w:pPr>
              <w:spacing w:after="12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1)</w:t>
            </w: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Marco de política macroeconómica adecuado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7" w:rsidRPr="00F511FC" w:rsidRDefault="00846D33" w:rsidP="00F83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(1.1)  Que se mantenga un marco de política macroeconómica adecuado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7" w:rsidRPr="00F511FC" w:rsidRDefault="00846D33" w:rsidP="00F83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(1.1)  Que se mantenga un marco de política macroeconómica adecuado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7" w:rsidRPr="00F511FC" w:rsidRDefault="001945FB" w:rsidP="00643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11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Ningún cambio</w:t>
            </w:r>
            <w:r w:rsidR="00D57AD5" w:rsidRPr="00F511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  <w:p w:rsidR="00601E37" w:rsidRPr="00F511FC" w:rsidRDefault="00601E37" w:rsidP="00F83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55A5F" w:rsidRPr="00E84AC3" w:rsidTr="001E0399">
        <w:trPr>
          <w:jc w:val="center"/>
        </w:trPr>
        <w:tc>
          <w:tcPr>
            <w:tcW w:w="1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A5F" w:rsidRPr="00846D33" w:rsidRDefault="00846D33" w:rsidP="00846D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46D3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Apoyo a la consolidación del Sistema de Seguridad Social para mejorar su cobertura y eficiencia</w:t>
            </w:r>
          </w:p>
        </w:tc>
      </w:tr>
      <w:tr w:rsidR="00601E37" w:rsidRPr="00E84AC3" w:rsidTr="001E0399">
        <w:trPr>
          <w:cantSplit/>
          <w:trHeight w:val="100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E37" w:rsidRPr="00F511FC" w:rsidRDefault="00846D33" w:rsidP="00B17979">
            <w:pPr>
              <w:tabs>
                <w:tab w:val="num" w:pos="216"/>
              </w:tabs>
              <w:spacing w:line="240" w:lineRule="auto"/>
              <w:ind w:left="216" w:hanging="216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2)</w:t>
            </w: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El Sistema Dominicano de Seguridad Social  (SDSS) cuenta con un diseño de regímenes de financiamiento que permite expandir la cobertura de la población dominicana con sostenibilidad financiera y promoviendo la integralidad y eficiencia del sistema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E37" w:rsidRPr="00F511FC" w:rsidRDefault="00066835" w:rsidP="00846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(2.1) Que se haya presentado al Congreso </w:t>
            </w:r>
            <w:r w:rsidR="00E84AC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Nacional </w:t>
            </w: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anteproyecto de ley de modificaciones a la Ley 87-01 de Seguridad Social que incluya los temas mencionados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3" w:rsidRPr="003C1F43" w:rsidRDefault="003C1F43" w:rsidP="003C1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DO"/>
              </w:rPr>
            </w:pPr>
            <w:r w:rsidRPr="003C1F43">
              <w:rPr>
                <w:rFonts w:ascii="Times New Roman" w:hAnsi="Times New Roman" w:cs="Times New Roman"/>
                <w:sz w:val="20"/>
                <w:szCs w:val="20"/>
                <w:lang w:val="es-DO"/>
              </w:rPr>
              <w:t xml:space="preserve">(2.1)     Que se haya presentado al Congreso </w:t>
            </w:r>
            <w:r w:rsidR="00E84AC3">
              <w:rPr>
                <w:rFonts w:ascii="Times New Roman" w:hAnsi="Times New Roman" w:cs="Times New Roman"/>
                <w:sz w:val="20"/>
                <w:szCs w:val="20"/>
                <w:lang w:val="es-DO"/>
              </w:rPr>
              <w:t xml:space="preserve">Nacional </w:t>
            </w:r>
            <w:r w:rsidRPr="003C1F43">
              <w:rPr>
                <w:rFonts w:ascii="Times New Roman" w:hAnsi="Times New Roman" w:cs="Times New Roman"/>
                <w:sz w:val="20"/>
                <w:szCs w:val="20"/>
                <w:lang w:val="es-DO"/>
              </w:rPr>
              <w:t xml:space="preserve">el anteproyecto de ley de modificaciones a la Ley 87-01 de Seguridad Social que incluya los siguientes temas </w:t>
            </w:r>
          </w:p>
          <w:p w:rsidR="003C1F43" w:rsidRPr="003C1F43" w:rsidRDefault="003C1F43" w:rsidP="003C1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DO"/>
              </w:rPr>
            </w:pPr>
            <w:r w:rsidRPr="003C1F43">
              <w:rPr>
                <w:rFonts w:ascii="Times New Roman" w:hAnsi="Times New Roman" w:cs="Times New Roman"/>
                <w:sz w:val="20"/>
                <w:szCs w:val="20"/>
                <w:lang w:val="es-DO"/>
              </w:rPr>
              <w:t xml:space="preserve">             (i) definir el tratamiento de los regímenes de financiamiento no implementados  de manera que se eviten distorsiones en el mercado laboral </w:t>
            </w:r>
          </w:p>
          <w:p w:rsidR="003C1F43" w:rsidRPr="003C1F43" w:rsidRDefault="003C1F43" w:rsidP="003C1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DO"/>
              </w:rPr>
            </w:pPr>
            <w:r w:rsidRPr="003C1F43">
              <w:rPr>
                <w:rFonts w:ascii="Times New Roman" w:hAnsi="Times New Roman" w:cs="Times New Roman"/>
                <w:sz w:val="20"/>
                <w:szCs w:val="20"/>
                <w:lang w:val="es-DO"/>
              </w:rPr>
              <w:t xml:space="preserve">             (ii) facultar a la TSS para sancionar los  casos de evasión y elusión de las cotizaciones de la seguridad social</w:t>
            </w:r>
          </w:p>
          <w:p w:rsidR="003C1F43" w:rsidRPr="003C1F43" w:rsidRDefault="003C1F43" w:rsidP="003C1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DO"/>
              </w:rPr>
            </w:pPr>
            <w:r w:rsidRPr="003C1F43">
              <w:rPr>
                <w:rFonts w:ascii="Times New Roman" w:hAnsi="Times New Roman" w:cs="Times New Roman"/>
                <w:sz w:val="20"/>
                <w:szCs w:val="20"/>
                <w:lang w:val="es-DO"/>
              </w:rPr>
              <w:t xml:space="preserve">            (iii) adicionar responsabilidades a la DIDA con la finalidad de medir la calidad y oportunidad en la entrega de prestaciones e informaciones recibidas por los afiliados</w:t>
            </w:r>
          </w:p>
          <w:p w:rsidR="003C1F43" w:rsidRPr="003C1F43" w:rsidRDefault="003C1F43" w:rsidP="003C1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DO"/>
              </w:rPr>
            </w:pPr>
            <w:r w:rsidRPr="003C1F43">
              <w:rPr>
                <w:rFonts w:ascii="Times New Roman" w:hAnsi="Times New Roman" w:cs="Times New Roman"/>
                <w:sz w:val="20"/>
                <w:szCs w:val="20"/>
                <w:lang w:val="es-DO"/>
              </w:rPr>
              <w:t xml:space="preserve">            (iv) determinar la indexación de las pensiones con periodicidad específica</w:t>
            </w:r>
          </w:p>
          <w:p w:rsidR="00601E37" w:rsidRPr="003C1F43" w:rsidRDefault="00601E37" w:rsidP="0092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DO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0" w:rsidRPr="00F511FC" w:rsidRDefault="001E68A9" w:rsidP="00DE61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E61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 mantiene la misma condición y se refuerza uno de sus cuatro incisos</w:t>
            </w:r>
            <w:r w:rsidR="00DE61E7" w:rsidRPr="00DE61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 La justificación de este refuerzo es que se consideró necesario extender la revisión de artículos en la Ley 87-01 que pueden implicar distorsiones en el mercado laboral en un sentido más amplio que el especificado en la operación anterior</w:t>
            </w:r>
            <w:r w:rsidR="00DE61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</w:tr>
      <w:tr w:rsidR="00BC7B93" w:rsidRPr="00E84AC3" w:rsidTr="001E0399">
        <w:trPr>
          <w:cantSplit/>
          <w:trHeight w:val="100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B93" w:rsidRPr="00F511FC" w:rsidRDefault="00846D33" w:rsidP="00846D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3)</w:t>
            </w: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La implementación del Régimen Subsidiado (RS) en pensiones se ha iniciado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3" w:rsidRPr="00F511FC" w:rsidRDefault="00066835" w:rsidP="00874A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(3.1) Que el padrón de hogares elegibles del RS de pensiones se haya determinado utilizando el índice del SIUBEN como principal instrumento del protocolo de implementación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F" w:rsidRPr="00F511FC" w:rsidRDefault="00926EC0" w:rsidP="000E5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(3.1) Que el padrón de hogares elegibles del RS de pensiones se haya determinado utilizando el índice del SIUBEN como principal instrumento del protocolo de implementación, resguardando la sostenibilidad financiera y equidad del sistema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1" w:rsidRPr="00F511FC" w:rsidRDefault="00B32946" w:rsidP="00F328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E61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Se mantiene la misma condición </w:t>
            </w:r>
            <w:r w:rsidRPr="00B3294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 se refuerza</w:t>
            </w:r>
            <w:r w:rsidRPr="00B32946">
              <w:rPr>
                <w:lang w:val="es-ES_tradnl"/>
              </w:rPr>
              <w:t xml:space="preserve"> </w:t>
            </w:r>
            <w:r w:rsidRPr="00B3294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texto para enfatizar la importancia de que se resguarde  la sostenibilidad financiera y equidad del sistema en preparación a la implementación de esta medida.</w:t>
            </w:r>
          </w:p>
        </w:tc>
      </w:tr>
      <w:tr w:rsidR="00BC7B93" w:rsidRPr="00846D33" w:rsidTr="001E0399">
        <w:trPr>
          <w:cantSplit/>
          <w:trHeight w:val="100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B93" w:rsidRPr="00846D33" w:rsidRDefault="00846D33" w:rsidP="00846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4)</w:t>
            </w: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El SDSS se encuentra unificado y cuenta con un subsistema de pensiones de reparto estatal que se adecúa a su nuevo marco jurídico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B93" w:rsidRPr="00F511FC" w:rsidRDefault="00066835" w:rsidP="000E5B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(4.1) Que se haya presentado al Congreso</w:t>
            </w:r>
            <w:r w:rsidR="00E84AC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Nacional</w:t>
            </w: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el anteproyecto de Ley del Sistema de Pensiones de Reparto Estatal (SISPRE) que organiza y establece un nuevo marco regulatorio para el SISPRE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3" w:rsidRPr="00F511FC" w:rsidRDefault="00926EC0" w:rsidP="008C0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(4.1) Que se haya presentado al Congreso</w:t>
            </w:r>
            <w:r w:rsidR="00E84AC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Nac</w:t>
            </w:r>
            <w:bookmarkStart w:id="0" w:name="_GoBack"/>
            <w:bookmarkEnd w:id="0"/>
            <w:r w:rsidR="00E84AC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ional</w:t>
            </w: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el anteproyecto de Ley del Sistema de Pensiones de Reparto Estatal (SISPRE) que organiza y establece un nuevo marco regulatorio para el SISPRE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0" w:rsidRPr="00F511FC" w:rsidRDefault="00926EC0" w:rsidP="0092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11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Ningún cambio.</w:t>
            </w:r>
          </w:p>
          <w:p w:rsidR="00BC7B93" w:rsidRPr="00F511FC" w:rsidRDefault="00BC7B93" w:rsidP="000E5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BC7B93" w:rsidRPr="00846D33" w:rsidTr="001E0399">
        <w:trPr>
          <w:cantSplit/>
          <w:trHeight w:val="100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B93" w:rsidRPr="00846D33" w:rsidRDefault="00846D33" w:rsidP="00846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5)</w:t>
            </w: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La cobertura del régimen contributivo (RC) se ha incrementado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3" w:rsidRPr="00F511FC" w:rsidRDefault="00066835" w:rsidP="00846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(5.1) Que las campañas de información  hayan incorporado los cambios promovidos en el SDSS por esta operación para apoyar su socialización entre la población beneficiaria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6" w:rsidRPr="008C0DF6" w:rsidRDefault="00926EC0" w:rsidP="008C0DF6">
            <w:pPr>
              <w:pStyle w:val="NormalWeb"/>
              <w:rPr>
                <w:bCs/>
                <w:color w:val="000000"/>
                <w:sz w:val="20"/>
                <w:szCs w:val="20"/>
              </w:rPr>
            </w:pPr>
            <w:r w:rsidRPr="00926EC0">
              <w:rPr>
                <w:bCs/>
                <w:color w:val="000000"/>
                <w:sz w:val="20"/>
                <w:szCs w:val="20"/>
              </w:rPr>
              <w:t>(5.1) Que las campañas de información  hayan incorporado los cambios promovidos en el SDSS por esta operación para apoyar su socialización entre la población beneficiaria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0" w:rsidRPr="00F511FC" w:rsidRDefault="00926EC0" w:rsidP="0092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11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Ningún cambio.</w:t>
            </w:r>
          </w:p>
          <w:p w:rsidR="00BC7B93" w:rsidRPr="00F511FC" w:rsidRDefault="00BC7B93" w:rsidP="00302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7AAD" w:rsidRPr="00E84AC3" w:rsidTr="001E0399">
        <w:trPr>
          <w:cantSplit/>
          <w:trHeight w:val="3077"/>
          <w:jc w:val="center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AD" w:rsidRPr="00F511FC" w:rsidRDefault="00846D33" w:rsidP="007F5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6)</w:t>
            </w: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 El SDSS cuenta con un sistema integral de monitoreo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AD" w:rsidRPr="00F511FC" w:rsidRDefault="00066835" w:rsidP="009C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(6.1) Que el Sistema de Monitoreo y Evaluación del SDSS haya entrado en funcionamiento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8" w:rsidRPr="00F511FC" w:rsidRDefault="00926EC0" w:rsidP="000E5B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(6.1)</w:t>
            </w: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Que se haya cumplido con el plan operativo establecido para </w:t>
            </w:r>
            <w:r w:rsidR="007966B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el año </w:t>
            </w: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2015 para que el sistema de monitoreo entre en funcionamiento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AD" w:rsidRPr="00F511FC" w:rsidRDefault="00E7430E" w:rsidP="00B329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Se modificó la condición para </w:t>
            </w:r>
            <w:r w:rsidR="00B32946" w:rsidRPr="00B3294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asegurarse que se ejecuten las metas propuestas para 2015 por el Comité Intersectorial</w:t>
            </w:r>
            <w:r w:rsidR="00B3294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el cual incluye </w:t>
            </w:r>
            <w:r w:rsidR="00B32946" w:rsidRPr="00B3294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todas las actividades necesarias para desarrollar el sistema y preparar la puesta en funcionamiento del sistema de monitoreo</w:t>
            </w:r>
            <w:r w:rsidR="00B3294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</w:tr>
      <w:tr w:rsidR="00846D33" w:rsidRPr="00E84AC3" w:rsidTr="001E0399">
        <w:trPr>
          <w:cantSplit/>
          <w:trHeight w:val="3077"/>
          <w:jc w:val="center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33" w:rsidRPr="00846D33" w:rsidRDefault="00846D33" w:rsidP="007F5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7)</w:t>
            </w:r>
            <w:r w:rsidRPr="00846D3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Los beneficios de la seguridad social y el ahorro son valorados y conocidos por la población de distintas edades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3" w:rsidRPr="00846D33" w:rsidRDefault="00066835" w:rsidP="009C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(7.1) Que el Comité Interinstitucional haya desarrollado las pautas, normas, lineamientos técnicos y legales, y los procedimientos para la formulación, evaluación, aprobación y ejecución del Acuerdo Nacional que promueva la cultura previsional y financiera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3" w:rsidRPr="00F511FC" w:rsidRDefault="00926EC0" w:rsidP="000E5B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(7.1) Que el Comité Interinstitucional haya desarrollado planes de acción basados en el Plan Estratégico del SDSS, incluyendo: i) las instituciones responsables, ii)  sus actividades, y iii) un presupuesto definido para la promoción de la cultura previsional y financiera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3" w:rsidRPr="00F511FC" w:rsidRDefault="00B32946" w:rsidP="009E39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Se modificó la condición para </w:t>
            </w:r>
            <w:r w:rsidRPr="00B3294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reflejar las metas operativas anuales definidas </w:t>
            </w:r>
            <w:r w:rsidR="009E397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por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comité intersectorial</w:t>
            </w:r>
            <w:r w:rsidR="009E397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creado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="009E397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las cuales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permiti</w:t>
            </w:r>
            <w:r w:rsidRPr="00B3294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rá</w:t>
            </w:r>
            <w:r w:rsidR="009E397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B3294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avanzar más concretamente en la preparación de actividades principales para la implementación del plan de educación financiera</w:t>
            </w:r>
          </w:p>
        </w:tc>
      </w:tr>
      <w:tr w:rsidR="00944E88" w:rsidRPr="00E84AC3" w:rsidTr="001E0399">
        <w:trPr>
          <w:cantSplit/>
          <w:trHeight w:val="215"/>
          <w:jc w:val="center"/>
        </w:trPr>
        <w:tc>
          <w:tcPr>
            <w:tcW w:w="136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4E88" w:rsidRPr="00846D33" w:rsidRDefault="00846D33" w:rsidP="00846D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846D3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Mejora de la eficienci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 del Sistema Nacional de Salud</w:t>
            </w:r>
          </w:p>
        </w:tc>
      </w:tr>
      <w:tr w:rsidR="00AD7AAD" w:rsidRPr="00E84AC3" w:rsidTr="001E0399">
        <w:trPr>
          <w:cantSplit/>
          <w:trHeight w:val="262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C4" w:rsidRPr="00F511FC" w:rsidRDefault="00B61AE0" w:rsidP="006F1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61AE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8)</w:t>
            </w:r>
            <w:r w:rsidRPr="00B61AE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Se inicia la separación de funciones de rectoría y provisión del Ministerio de Salud Pública (MSP)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35" w:rsidRPr="00066835" w:rsidRDefault="00066835" w:rsidP="00066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(8.1) Que la DGCSPS (anteriormente llamado Vice-Ministerio de Atención a las Personas) esté coordinando los servicios regionales de provisión y que haya:</w:t>
            </w:r>
          </w:p>
          <w:p w:rsidR="00066835" w:rsidRPr="00066835" w:rsidRDefault="00066835" w:rsidP="00066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i.</w:t>
            </w: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definido  e implementado un modelo estandarizado de gestión de los servicios regionales de salud,</w:t>
            </w:r>
          </w:p>
          <w:p w:rsidR="00066835" w:rsidRPr="00066835" w:rsidRDefault="00066835" w:rsidP="00066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ii.</w:t>
            </w: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aprobado los contratos y convenios suscritos por los servicios regionales de salud,</w:t>
            </w:r>
          </w:p>
          <w:p w:rsidR="00AD7AAD" w:rsidRPr="00F511FC" w:rsidRDefault="00066835" w:rsidP="00066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iii.</w:t>
            </w: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aprobado los presupuestos de los servicios regionales de salud correspondientes al 2016 o al año anterior al que se realice la evaluación de cumplimiento  los desencadenantes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AD" w:rsidRPr="00F511FC" w:rsidRDefault="00926EC0" w:rsidP="007F5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(8.1) Que haya entrado en vigencia la Ley que crea el Servicio Nacional de Salud (SNS), una entidad pública con personalidad jurídica propia y autonomía administrativa, financiera y técnica para promover, coordinar y gestionar la prestación de servicios, con el apoyo de unidades regionales desconcentradas – los SRS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43" w:rsidRPr="00F511FC" w:rsidRDefault="003C1F43" w:rsidP="003C1F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Se</w:t>
            </w:r>
            <w:r w:rsidRPr="003C1F4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reforzó la condición original con una medida de mayor alcance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y sostenibilidad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del proceso de separación de funciones al </w:t>
            </w:r>
            <w:r w:rsidR="00E91B78" w:rsidRPr="00E91B7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garantizar la institucionalización y autonomía de la DGCSS</w:t>
            </w:r>
            <w:r w:rsidR="00574DE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para el ejercicio de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su función de provisión.</w:t>
            </w:r>
          </w:p>
          <w:p w:rsidR="003C1F43" w:rsidRPr="00F511FC" w:rsidRDefault="003C1F43" w:rsidP="00574D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7AAD" w:rsidRPr="00846D33" w:rsidTr="001E0399">
        <w:trPr>
          <w:cantSplit/>
          <w:trHeight w:val="1988"/>
          <w:jc w:val="center"/>
        </w:trPr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AD" w:rsidRPr="00F511FC" w:rsidRDefault="00066835" w:rsidP="007F5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9)</w:t>
            </w: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 La provisión de servicios se ha reorganizado y con la atención primaria como puerta de entrada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AD" w:rsidRPr="00F511FC" w:rsidRDefault="00066835" w:rsidP="009C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(9.1) Que se hayan dimensionado los recursos necesarios (físicos, humanos y tecnológicos) para el desarrollo del modelo de atención a nivel nacional (en los nueve Servicios Regionales de Salud existentes en el país) y se haya iniciado su implementación en al menos tres de estos Servicios Regionales de Salud (la implementación en el país será realizada de manera gradual)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AD" w:rsidRPr="00F511FC" w:rsidRDefault="00926EC0" w:rsidP="007F5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(9.1) Que se hayan dimensionado los recursos necesarios (físicos, humanos y tecnológicos) para el desarrollo del modelo de atención a nivel nacional (en los nueve Servicios Regionales de Salud existentes en el país) y se haya iniciado su implementación en al menos tres de estos Servicios Regionales de Salud (la implementación en el país será realizada de manera gradual)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0" w:rsidRPr="00F511FC" w:rsidRDefault="00926EC0" w:rsidP="0092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11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Ningún cambio.</w:t>
            </w:r>
          </w:p>
          <w:p w:rsidR="00AD7AAD" w:rsidRPr="00F511FC" w:rsidRDefault="00AD7AAD" w:rsidP="007F5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6F16C4" w:rsidRPr="00846D33" w:rsidTr="001E0399">
        <w:trPr>
          <w:cantSplit/>
          <w:trHeight w:val="1682"/>
          <w:jc w:val="center"/>
        </w:trPr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6C4" w:rsidRPr="00F511FC" w:rsidRDefault="00066835" w:rsidP="007F5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10)</w:t>
            </w: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El MSP desarrolla efectivamente su rol rector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C4" w:rsidRDefault="00066835" w:rsidP="00066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(10.1) Que la nueva estructura organizacional y funcional del MSP, enfocada en su función rectora, haya entrado en funcionamiento</w:t>
            </w:r>
          </w:p>
          <w:p w:rsidR="00066835" w:rsidRPr="00F511FC" w:rsidRDefault="00066835" w:rsidP="00066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(10.2) Que se haya aprobado un Plan Estratégico del MSP 2015-2018, el cual deberá: i) enfocar las líneas de acción del MSP dentro de las principales dimensiones de la función rectora, a saber: conducción sectorial, inteligencia sanitaria, y regulación y supervisión; ii) estar alineado a los objetivos estratégicos planteados en la Estrategia Nacional de Desarrollo- 2030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C0" w:rsidRPr="00926EC0" w:rsidRDefault="00926EC0" w:rsidP="0092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(10.1) Que la nueva estructura organizacional y funcional del MSP, enfocada en su función rectora, haya entrado en funcionamiento</w:t>
            </w:r>
          </w:p>
          <w:p w:rsidR="00926EC0" w:rsidRPr="00926EC0" w:rsidRDefault="00926EC0" w:rsidP="0092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6F16C4" w:rsidRPr="00F511FC" w:rsidRDefault="00926EC0" w:rsidP="0092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(10.2) Que se haya aprobado un Plan Estratégico del MSP 2015-2018, el cual deberá: i) enfocar las líneas de acción del MSP dentro de las principales dimensiones de la función rectora, a saber: conducción sectorial, inteligencia sanitaria, y regulación y supervisión; ii) estar alineado a los objetivos estratégicos planteados en la Estrategia Nacional de Desarrollo- 2030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C0" w:rsidRPr="00F511FC" w:rsidRDefault="00926EC0" w:rsidP="0092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11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Ningún cambio.</w:t>
            </w:r>
          </w:p>
          <w:p w:rsidR="006F16C4" w:rsidRPr="00F511FC" w:rsidRDefault="006F16C4" w:rsidP="00567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66835" w:rsidRPr="00846D33" w:rsidTr="001E0399">
        <w:trPr>
          <w:cantSplit/>
          <w:trHeight w:val="1682"/>
          <w:jc w:val="center"/>
        </w:trPr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35" w:rsidRPr="00F511FC" w:rsidRDefault="00066835" w:rsidP="007F5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11)</w:t>
            </w: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 El Sistema Nacional de Salud cuenta con una política de calidad en salud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35" w:rsidRPr="00F511FC" w:rsidRDefault="00066835" w:rsidP="007E07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(11.1) Que el MSP haya puesto en vigencia la política de calidad de salud y se haya avanzado en la habilitación de los establecimientos del sector salud y la definición de parámetros para monitorear la calidad de la asistencia materno-infantil, en todos los niveles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35" w:rsidRPr="00F511FC" w:rsidRDefault="00926EC0" w:rsidP="00567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(11.1) Que el MSP haya puesto en vigencia la política de calidad de salud y se haya avanzado en la habilitación de los establecimientos del sector salud y la definición de parámetros para monitorear la calidad de la asistencia materno-infantil, en todos los niveles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C0" w:rsidRPr="00F511FC" w:rsidRDefault="00926EC0" w:rsidP="0092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11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Ningún cambio.</w:t>
            </w:r>
          </w:p>
          <w:p w:rsidR="00066835" w:rsidRPr="00F511FC" w:rsidRDefault="00066835" w:rsidP="00567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66835" w:rsidRPr="00E84AC3" w:rsidTr="001E0399">
        <w:trPr>
          <w:cantSplit/>
          <w:trHeight w:val="1727"/>
          <w:jc w:val="center"/>
        </w:trPr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35" w:rsidRPr="00F511FC" w:rsidRDefault="00066835" w:rsidP="007F5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12)</w:t>
            </w: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 xml:space="preserve"> Los recursos humanos del SNS cuentan con incentivos para la distribución geográfica equitativa y con reglamentos para el ejercicio de la profesión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35" w:rsidRPr="00F511FC" w:rsidRDefault="00066835" w:rsidP="007E07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(12.1) Que hayan entrado en vigencia los reglamentos complementarios previstos en la Ley de la Carrera Sanitaria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35" w:rsidRPr="00F511FC" w:rsidRDefault="00926EC0" w:rsidP="00567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(12.1) Que se haya</w:t>
            </w:r>
            <w:r w:rsidR="007966B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elaborado los reglamentos complementarios previstos en la Ley de la Carrera Sanitaria y sometido al poder ejecutivo para su aprobación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35" w:rsidRPr="007E768F" w:rsidRDefault="00BA0EF2" w:rsidP="00BA0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</w:t>
            </w:r>
            <w:r w:rsidRPr="00BA0EF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urante el desarrollo de la primera operación se ha identificado la necesidad de replantear esta condición  para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BA0EF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reforzar tanto la factibilidad de su entrada en vigencia y posterior implementación, como su sostenibilidad en el tiemp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o</w:t>
            </w:r>
            <w:r w:rsidRPr="00BA0EF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ya que es una reglamentación que genera</w:t>
            </w:r>
            <w:r w:rsidRPr="00BA0EF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alta sensibilidad gremial,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involucra</w:t>
            </w:r>
            <w:r w:rsidRPr="00BA0EF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múltiples actores y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cuya elaboración es compleja</w:t>
            </w:r>
            <w:r w:rsidRPr="00BA0EF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desde el punto de vista técnico.</w:t>
            </w:r>
            <w:r w:rsidRPr="00BA0EF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s-DO"/>
              </w:rPr>
              <w:t xml:space="preserve">Para ello se apoya el compromiso de la elaborar </w:t>
            </w:r>
            <w:r w:rsidR="00055030" w:rsidRPr="00055030">
              <w:rPr>
                <w:rFonts w:ascii="Times New Roman" w:hAnsi="Times New Roman" w:cs="Times New Roman"/>
                <w:bCs/>
                <w:sz w:val="20"/>
                <w:szCs w:val="20"/>
                <w:lang w:val="es-DO"/>
              </w:rPr>
              <w:t xml:space="preserve"> los reglamentos </w:t>
            </w:r>
            <w:r w:rsidR="00055030">
              <w:rPr>
                <w:rFonts w:ascii="Times New Roman" w:hAnsi="Times New Roman" w:cs="Times New Roman"/>
                <w:bCs/>
                <w:sz w:val="20"/>
                <w:szCs w:val="20"/>
                <w:lang w:val="es-DO"/>
              </w:rPr>
              <w:t xml:space="preserve">incorporando las mejores prácticas en </w:t>
            </w:r>
            <w:r w:rsidR="00055030" w:rsidRPr="00055030">
              <w:rPr>
                <w:rFonts w:ascii="Times New Roman" w:hAnsi="Times New Roman" w:cs="Times New Roman"/>
                <w:bCs/>
                <w:sz w:val="20"/>
                <w:szCs w:val="20"/>
                <w:lang w:val="es-DO"/>
              </w:rPr>
              <w:t xml:space="preserve"> la región en desarrollo de Carrera Sanitaria</w:t>
            </w:r>
            <w:r w:rsidR="00055030">
              <w:rPr>
                <w:rFonts w:ascii="Times New Roman" w:hAnsi="Times New Roman" w:cs="Times New Roman"/>
                <w:bCs/>
                <w:sz w:val="20"/>
                <w:szCs w:val="20"/>
                <w:lang w:val="es-DO"/>
              </w:rPr>
              <w:t xml:space="preserve"> </w:t>
            </w:r>
            <w:r w:rsidR="003C1F43">
              <w:rPr>
                <w:rFonts w:ascii="Times New Roman" w:hAnsi="Times New Roman" w:cs="Times New Roman"/>
                <w:bCs/>
                <w:sz w:val="20"/>
                <w:szCs w:val="20"/>
                <w:lang w:val="es-DO"/>
              </w:rPr>
              <w:t xml:space="preserve">y </w:t>
            </w:r>
            <w:r w:rsidR="007909BF">
              <w:rPr>
                <w:rFonts w:ascii="Times New Roman" w:hAnsi="Times New Roman" w:cs="Times New Roman"/>
                <w:bCs/>
                <w:sz w:val="20"/>
                <w:szCs w:val="20"/>
                <w:lang w:val="es-DO"/>
              </w:rPr>
              <w:t>luego proceder al proceso de aprobación</w:t>
            </w:r>
          </w:p>
        </w:tc>
      </w:tr>
      <w:tr w:rsidR="006F16C4" w:rsidRPr="00846D33" w:rsidTr="001E0399">
        <w:trPr>
          <w:cantSplit/>
          <w:trHeight w:val="800"/>
          <w:jc w:val="center"/>
        </w:trPr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6C4" w:rsidRPr="00F511FC" w:rsidRDefault="00066835" w:rsidP="007F5C4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13)</w:t>
            </w: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El Catálogo del Plan de Servicios de Salud (PDSS) del Seguro Familiar de Salud  se encuentra actualizado de acuerdo al perfil epidemiológico dominicano y las necesidades sanitarias de la población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F16C4" w:rsidRPr="00F511FC" w:rsidRDefault="00066835" w:rsidP="00942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(13.1) Que se haya actualizado el Catálogo del PDSS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4" w:rsidRPr="00F511FC" w:rsidRDefault="00926EC0" w:rsidP="007F5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(13.1) Que se haya actualizado el Catálogo del PDSS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4" w:space="0" w:color="auto"/>
            </w:tcBorders>
          </w:tcPr>
          <w:p w:rsidR="00926EC0" w:rsidRPr="00F511FC" w:rsidRDefault="00926EC0" w:rsidP="0092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11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Ningún cambio.</w:t>
            </w:r>
          </w:p>
          <w:p w:rsidR="006F16C4" w:rsidRPr="00F511FC" w:rsidRDefault="006F16C4" w:rsidP="000E5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66835" w:rsidRPr="00846D33" w:rsidTr="001E0399">
        <w:trPr>
          <w:cantSplit/>
          <w:trHeight w:val="1448"/>
          <w:jc w:val="center"/>
        </w:trPr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35" w:rsidRPr="00066835" w:rsidRDefault="00926EC0" w:rsidP="007F5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14)</w:t>
            </w: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SeNaSa cuenta con la capacidad necesaria para generar análisis actuariales y seguir la evolución del perfil de riesgo y costos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066835" w:rsidRPr="00066835" w:rsidRDefault="00066835" w:rsidP="00942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683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(14.1) Que la Unidad de Análisis Actuarial esté en funcionamiento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35" w:rsidRPr="00F511FC" w:rsidRDefault="00926EC0" w:rsidP="007F5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(14.1) Que la Unidad de Análisis Actuarial </w:t>
            </w:r>
            <w:r w:rsidR="007966B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de SENASA </w:t>
            </w:r>
            <w:r w:rsidRPr="00926EC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esté en funcionamiento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0" w:rsidRPr="00F511FC" w:rsidRDefault="00926EC0" w:rsidP="00926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11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Ningún cambio.</w:t>
            </w:r>
          </w:p>
          <w:p w:rsidR="00066835" w:rsidRPr="00F511FC" w:rsidRDefault="00066835" w:rsidP="000E5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AD7AAD" w:rsidRPr="00F511FC" w:rsidRDefault="00AD7AAD" w:rsidP="000E5B65">
      <w:pPr>
        <w:spacing w:line="240" w:lineRule="auto"/>
        <w:rPr>
          <w:rFonts w:ascii="Times New Roman" w:hAnsi="Times New Roman" w:cs="Times New Roman"/>
          <w:lang w:val="es-ES"/>
        </w:rPr>
      </w:pPr>
    </w:p>
    <w:sectPr w:rsidR="00AD7AAD" w:rsidRPr="00F511FC" w:rsidSect="00E95CEF">
      <w:headerReference w:type="even" r:id="rId9"/>
      <w:headerReference w:type="defaul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31" w:rsidRDefault="00C44C31" w:rsidP="002E5FA7">
      <w:pPr>
        <w:spacing w:after="0" w:line="240" w:lineRule="auto"/>
      </w:pPr>
      <w:r>
        <w:separator/>
      </w:r>
    </w:p>
  </w:endnote>
  <w:endnote w:type="continuationSeparator" w:id="0">
    <w:p w:rsidR="00C44C31" w:rsidRDefault="00C44C31" w:rsidP="002E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31" w:rsidRDefault="00C44C31" w:rsidP="002E5FA7">
      <w:pPr>
        <w:spacing w:after="0" w:line="240" w:lineRule="auto"/>
      </w:pPr>
      <w:r>
        <w:separator/>
      </w:r>
    </w:p>
  </w:footnote>
  <w:footnote w:type="continuationSeparator" w:id="0">
    <w:p w:rsidR="00C44C31" w:rsidRDefault="00C44C31" w:rsidP="002E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278488527"/>
      <w:docPartObj>
        <w:docPartGallery w:val="Page Numbers (Top of Page)"/>
        <w:docPartUnique/>
      </w:docPartObj>
    </w:sdtPr>
    <w:sdtEndPr/>
    <w:sdtContent>
      <w:p w:rsidR="00E95CEF" w:rsidRPr="00F511FC" w:rsidRDefault="00E95CEF" w:rsidP="00E95CEF">
        <w:pPr>
          <w:pStyle w:val="Header"/>
          <w:rPr>
            <w:rFonts w:ascii="Times New Roman" w:hAnsi="Times New Roman" w:cs="Times New Roman"/>
            <w:sz w:val="20"/>
            <w:szCs w:val="20"/>
            <w:lang w:val="es-ES"/>
          </w:rPr>
        </w:pPr>
        <w:r>
          <w:rPr>
            <w:rFonts w:ascii="Times New Roman" w:hAnsi="Times New Roman" w:cs="Times New Roman"/>
            <w:sz w:val="20"/>
            <w:szCs w:val="20"/>
            <w:lang w:val="es-ES"/>
          </w:rPr>
          <w:t>RD</w:t>
        </w:r>
        <w:r w:rsidRPr="00F511FC">
          <w:rPr>
            <w:rFonts w:ascii="Times New Roman" w:hAnsi="Times New Roman" w:cs="Times New Roman"/>
            <w:sz w:val="20"/>
            <w:szCs w:val="20"/>
            <w:lang w:val="es-ES"/>
          </w:rPr>
          <w:t>-L</w:t>
        </w:r>
        <w:r>
          <w:rPr>
            <w:rFonts w:ascii="Times New Roman" w:hAnsi="Times New Roman" w:cs="Times New Roman"/>
            <w:sz w:val="20"/>
            <w:szCs w:val="20"/>
            <w:lang w:val="es-ES"/>
          </w:rPr>
          <w:t>1079</w:t>
        </w:r>
      </w:p>
      <w:p w:rsidR="00E95CEF" w:rsidRDefault="00E95CEF" w:rsidP="00E95CEF">
        <w:pPr>
          <w:pStyle w:val="Header"/>
          <w:rPr>
            <w:rFonts w:ascii="Times New Roman" w:hAnsi="Times New Roman" w:cs="Times New Roman"/>
            <w:sz w:val="20"/>
            <w:szCs w:val="20"/>
          </w:rPr>
        </w:pPr>
        <w:r w:rsidRPr="007F5C40">
          <w:rPr>
            <w:rFonts w:ascii="Times New Roman" w:hAnsi="Times New Roman" w:cs="Times New Roman"/>
            <w:sz w:val="20"/>
            <w:szCs w:val="20"/>
            <w:lang w:val="pt-BR"/>
          </w:rPr>
          <w:t xml:space="preserve">Página </w:t>
        </w:r>
        <w:r w:rsidRPr="007F5C4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7F5C40">
          <w:rPr>
            <w:rFonts w:ascii="Times New Roman" w:hAnsi="Times New Roman" w:cs="Times New Roman"/>
            <w:bCs/>
            <w:sz w:val="20"/>
            <w:szCs w:val="20"/>
            <w:lang w:val="pt-BR"/>
          </w:rPr>
          <w:instrText xml:space="preserve"> PAGE </w:instrText>
        </w:r>
        <w:r w:rsidRPr="007F5C4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E84AC3">
          <w:rPr>
            <w:rFonts w:ascii="Times New Roman" w:hAnsi="Times New Roman" w:cs="Times New Roman"/>
            <w:bCs/>
            <w:noProof/>
            <w:sz w:val="20"/>
            <w:szCs w:val="20"/>
            <w:lang w:val="pt-BR"/>
          </w:rPr>
          <w:t>2</w:t>
        </w:r>
        <w:r w:rsidRPr="007F5C4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7F5C40">
          <w:rPr>
            <w:rFonts w:ascii="Times New Roman" w:hAnsi="Times New Roman" w:cs="Times New Roman"/>
            <w:sz w:val="20"/>
            <w:szCs w:val="20"/>
            <w:lang w:val="pt-BR"/>
          </w:rPr>
          <w:t xml:space="preserve"> de </w:t>
        </w:r>
        <w:r w:rsidRPr="007F5C4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7F5C40">
          <w:rPr>
            <w:rFonts w:ascii="Times New Roman" w:hAnsi="Times New Roman" w:cs="Times New Roman"/>
            <w:bCs/>
            <w:sz w:val="20"/>
            <w:szCs w:val="20"/>
            <w:lang w:val="pt-BR"/>
          </w:rPr>
          <w:instrText xml:space="preserve"> NUMPAGES  </w:instrText>
        </w:r>
        <w:r w:rsidRPr="007F5C4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E84AC3">
          <w:rPr>
            <w:rFonts w:ascii="Times New Roman" w:hAnsi="Times New Roman" w:cs="Times New Roman"/>
            <w:bCs/>
            <w:noProof/>
            <w:sz w:val="20"/>
            <w:szCs w:val="20"/>
            <w:lang w:val="pt-BR"/>
          </w:rPr>
          <w:t>6</w:t>
        </w:r>
        <w:r w:rsidRPr="007F5C4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E95CEF" w:rsidRPr="00E95CEF" w:rsidRDefault="00E95CEF" w:rsidP="00E95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7F5C40" w:rsidRPr="00F511FC" w:rsidRDefault="00846D33">
        <w:pPr>
          <w:pStyle w:val="Header"/>
          <w:jc w:val="right"/>
          <w:rPr>
            <w:rFonts w:ascii="Times New Roman" w:hAnsi="Times New Roman" w:cs="Times New Roman"/>
            <w:sz w:val="20"/>
            <w:szCs w:val="20"/>
            <w:lang w:val="es-ES"/>
          </w:rPr>
        </w:pPr>
        <w:r>
          <w:rPr>
            <w:rFonts w:ascii="Times New Roman" w:hAnsi="Times New Roman" w:cs="Times New Roman"/>
            <w:sz w:val="20"/>
            <w:szCs w:val="20"/>
            <w:lang w:val="es-ES"/>
          </w:rPr>
          <w:t>RD</w:t>
        </w:r>
        <w:r w:rsidR="007F5C40" w:rsidRPr="00F511FC">
          <w:rPr>
            <w:rFonts w:ascii="Times New Roman" w:hAnsi="Times New Roman" w:cs="Times New Roman"/>
            <w:sz w:val="20"/>
            <w:szCs w:val="20"/>
            <w:lang w:val="es-ES"/>
          </w:rPr>
          <w:t>-L</w:t>
        </w:r>
        <w:r>
          <w:rPr>
            <w:rFonts w:ascii="Times New Roman" w:hAnsi="Times New Roman" w:cs="Times New Roman"/>
            <w:sz w:val="20"/>
            <w:szCs w:val="20"/>
            <w:lang w:val="es-ES"/>
          </w:rPr>
          <w:t>1079</w:t>
        </w:r>
      </w:p>
      <w:p w:rsidR="007F5C40" w:rsidRPr="007F5C40" w:rsidRDefault="007F5C40">
        <w:pPr>
          <w:pStyle w:val="Header"/>
          <w:jc w:val="right"/>
          <w:rPr>
            <w:rFonts w:ascii="Times New Roman" w:hAnsi="Times New Roman" w:cs="Times New Roman"/>
            <w:sz w:val="20"/>
            <w:szCs w:val="20"/>
            <w:lang w:val="pt-BR"/>
          </w:rPr>
        </w:pPr>
        <w:r w:rsidRPr="007F5C40">
          <w:rPr>
            <w:rFonts w:ascii="Times New Roman" w:hAnsi="Times New Roman" w:cs="Times New Roman"/>
            <w:sz w:val="20"/>
            <w:szCs w:val="20"/>
            <w:lang w:val="pt-BR"/>
          </w:rPr>
          <w:t xml:space="preserve">Página </w:t>
        </w:r>
        <w:r w:rsidR="00357DB5" w:rsidRPr="007F5C4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7F5C40">
          <w:rPr>
            <w:rFonts w:ascii="Times New Roman" w:hAnsi="Times New Roman" w:cs="Times New Roman"/>
            <w:bCs/>
            <w:sz w:val="20"/>
            <w:szCs w:val="20"/>
            <w:lang w:val="pt-BR"/>
          </w:rPr>
          <w:instrText xml:space="preserve"> PAGE </w:instrText>
        </w:r>
        <w:r w:rsidR="00357DB5" w:rsidRPr="007F5C4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E84AC3">
          <w:rPr>
            <w:rFonts w:ascii="Times New Roman" w:hAnsi="Times New Roman" w:cs="Times New Roman"/>
            <w:bCs/>
            <w:noProof/>
            <w:sz w:val="20"/>
            <w:szCs w:val="20"/>
            <w:lang w:val="pt-BR"/>
          </w:rPr>
          <w:t>3</w:t>
        </w:r>
        <w:r w:rsidR="00357DB5" w:rsidRPr="007F5C4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7F5C40">
          <w:rPr>
            <w:rFonts w:ascii="Times New Roman" w:hAnsi="Times New Roman" w:cs="Times New Roman"/>
            <w:sz w:val="20"/>
            <w:szCs w:val="20"/>
            <w:lang w:val="pt-BR"/>
          </w:rPr>
          <w:t xml:space="preserve"> de </w:t>
        </w:r>
        <w:r w:rsidR="00357DB5" w:rsidRPr="007F5C40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7F5C40">
          <w:rPr>
            <w:rFonts w:ascii="Times New Roman" w:hAnsi="Times New Roman" w:cs="Times New Roman"/>
            <w:bCs/>
            <w:sz w:val="20"/>
            <w:szCs w:val="20"/>
            <w:lang w:val="pt-BR"/>
          </w:rPr>
          <w:instrText xml:space="preserve"> NUMPAGES  </w:instrText>
        </w:r>
        <w:r w:rsidR="00357DB5" w:rsidRPr="007F5C40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E84AC3">
          <w:rPr>
            <w:rFonts w:ascii="Times New Roman" w:hAnsi="Times New Roman" w:cs="Times New Roman"/>
            <w:bCs/>
            <w:noProof/>
            <w:sz w:val="20"/>
            <w:szCs w:val="20"/>
            <w:lang w:val="pt-BR"/>
          </w:rPr>
          <w:t>6</w:t>
        </w:r>
        <w:r w:rsidR="00357DB5" w:rsidRPr="007F5C40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2E5FA7" w:rsidRPr="007F5C40" w:rsidRDefault="002E5FA7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84D"/>
    <w:multiLevelType w:val="multilevel"/>
    <w:tmpl w:val="2CBA39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071615DB"/>
    <w:multiLevelType w:val="hybridMultilevel"/>
    <w:tmpl w:val="F09A0E1E"/>
    <w:lvl w:ilvl="0" w:tplc="53D2FE42">
      <w:start w:val="1"/>
      <w:numFmt w:val="lowerRoman"/>
      <w:lvlText w:val="%1)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0D594768"/>
    <w:multiLevelType w:val="multilevel"/>
    <w:tmpl w:val="DCEA8FCC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3231F9B"/>
    <w:multiLevelType w:val="hybridMultilevel"/>
    <w:tmpl w:val="4EA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25DFE"/>
    <w:multiLevelType w:val="multilevel"/>
    <w:tmpl w:val="5CA80F24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25920B9F"/>
    <w:multiLevelType w:val="hybridMultilevel"/>
    <w:tmpl w:val="9A3A3466"/>
    <w:lvl w:ilvl="0" w:tplc="7640D0A2">
      <w:start w:val="1"/>
      <w:numFmt w:val="decimal"/>
      <w:pStyle w:val="FirstHeading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37847AC1"/>
    <w:multiLevelType w:val="hybridMultilevel"/>
    <w:tmpl w:val="E348BF44"/>
    <w:lvl w:ilvl="0" w:tplc="17BCCF7E">
      <w:start w:val="1"/>
      <w:numFmt w:val="lowerRoman"/>
      <w:lvlText w:val="%1)"/>
      <w:lvlJc w:val="left"/>
      <w:pPr>
        <w:ind w:left="77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>
    <w:nsid w:val="3C0F4DC6"/>
    <w:multiLevelType w:val="multilevel"/>
    <w:tmpl w:val="63A2AAD0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ED36F46"/>
    <w:multiLevelType w:val="hybridMultilevel"/>
    <w:tmpl w:val="0360DFD8"/>
    <w:lvl w:ilvl="0" w:tplc="A55E70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E2A78"/>
    <w:multiLevelType w:val="multilevel"/>
    <w:tmpl w:val="1FA69AB4"/>
    <w:lvl w:ilvl="0">
      <w:start w:val="1"/>
      <w:numFmt w:val="decimal"/>
      <w:pStyle w:val="Chapt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4DB434C1"/>
    <w:multiLevelType w:val="hybridMultilevel"/>
    <w:tmpl w:val="FCBE9A74"/>
    <w:lvl w:ilvl="0" w:tplc="5F4C69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05129"/>
    <w:multiLevelType w:val="hybridMultilevel"/>
    <w:tmpl w:val="ACE0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A0273"/>
    <w:multiLevelType w:val="hybridMultilevel"/>
    <w:tmpl w:val="A5EE4612"/>
    <w:lvl w:ilvl="0" w:tplc="4B5A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1085D"/>
    <w:multiLevelType w:val="hybridMultilevel"/>
    <w:tmpl w:val="E88AACE0"/>
    <w:lvl w:ilvl="0" w:tplc="2EFE2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C7F3C"/>
    <w:multiLevelType w:val="multilevel"/>
    <w:tmpl w:val="EF508C1E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872"/>
        </w:tabs>
        <w:ind w:left="1872" w:hanging="576"/>
      </w:pPr>
      <w:rPr>
        <w:b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16628A8"/>
    <w:multiLevelType w:val="multilevel"/>
    <w:tmpl w:val="B8D4263A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762D6801"/>
    <w:multiLevelType w:val="multilevel"/>
    <w:tmpl w:val="F836B99A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D43487D"/>
    <w:multiLevelType w:val="hybridMultilevel"/>
    <w:tmpl w:val="6602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13"/>
  </w:num>
  <w:num w:numId="16">
    <w:abstractNumId w:val="1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D5"/>
    <w:rsid w:val="0000218D"/>
    <w:rsid w:val="000165B5"/>
    <w:rsid w:val="00020FFC"/>
    <w:rsid w:val="000376E1"/>
    <w:rsid w:val="00037A7E"/>
    <w:rsid w:val="00055030"/>
    <w:rsid w:val="000628EA"/>
    <w:rsid w:val="00066835"/>
    <w:rsid w:val="000812B7"/>
    <w:rsid w:val="000875C5"/>
    <w:rsid w:val="00090403"/>
    <w:rsid w:val="000C5AAD"/>
    <w:rsid w:val="000D462B"/>
    <w:rsid w:val="000E5B65"/>
    <w:rsid w:val="00101403"/>
    <w:rsid w:val="001257B7"/>
    <w:rsid w:val="00131D8C"/>
    <w:rsid w:val="0013238F"/>
    <w:rsid w:val="00137DAB"/>
    <w:rsid w:val="001540D1"/>
    <w:rsid w:val="00154794"/>
    <w:rsid w:val="00156F9F"/>
    <w:rsid w:val="00157426"/>
    <w:rsid w:val="0016605A"/>
    <w:rsid w:val="00170637"/>
    <w:rsid w:val="00170BB3"/>
    <w:rsid w:val="001869E7"/>
    <w:rsid w:val="001945FB"/>
    <w:rsid w:val="00197DF1"/>
    <w:rsid w:val="001A67DB"/>
    <w:rsid w:val="001C28C8"/>
    <w:rsid w:val="001C7B9C"/>
    <w:rsid w:val="001D0A60"/>
    <w:rsid w:val="001D5BCC"/>
    <w:rsid w:val="001E0399"/>
    <w:rsid w:val="001E68A9"/>
    <w:rsid w:val="001F0395"/>
    <w:rsid w:val="001F5072"/>
    <w:rsid w:val="002000B7"/>
    <w:rsid w:val="00203128"/>
    <w:rsid w:val="002041B6"/>
    <w:rsid w:val="00212CD1"/>
    <w:rsid w:val="002167C7"/>
    <w:rsid w:val="0021797F"/>
    <w:rsid w:val="0023093A"/>
    <w:rsid w:val="002752AE"/>
    <w:rsid w:val="00285568"/>
    <w:rsid w:val="002873B7"/>
    <w:rsid w:val="0029174C"/>
    <w:rsid w:val="00293DA9"/>
    <w:rsid w:val="002A5894"/>
    <w:rsid w:val="002C5687"/>
    <w:rsid w:val="002D778B"/>
    <w:rsid w:val="002E5FA7"/>
    <w:rsid w:val="002F2232"/>
    <w:rsid w:val="00302E79"/>
    <w:rsid w:val="00304455"/>
    <w:rsid w:val="00313582"/>
    <w:rsid w:val="00330415"/>
    <w:rsid w:val="003400B1"/>
    <w:rsid w:val="003534B8"/>
    <w:rsid w:val="00357DB5"/>
    <w:rsid w:val="00383418"/>
    <w:rsid w:val="003B1AA8"/>
    <w:rsid w:val="003B3C75"/>
    <w:rsid w:val="003C1F43"/>
    <w:rsid w:val="003D252E"/>
    <w:rsid w:val="003D7DCE"/>
    <w:rsid w:val="003F4481"/>
    <w:rsid w:val="003F5068"/>
    <w:rsid w:val="003F6EBC"/>
    <w:rsid w:val="004252D5"/>
    <w:rsid w:val="004518B1"/>
    <w:rsid w:val="00457EBF"/>
    <w:rsid w:val="00476A13"/>
    <w:rsid w:val="00480586"/>
    <w:rsid w:val="004C0268"/>
    <w:rsid w:val="004E4EDF"/>
    <w:rsid w:val="004F4A34"/>
    <w:rsid w:val="004F781D"/>
    <w:rsid w:val="0051447F"/>
    <w:rsid w:val="005231B9"/>
    <w:rsid w:val="00547457"/>
    <w:rsid w:val="00550139"/>
    <w:rsid w:val="00567E9B"/>
    <w:rsid w:val="00574B0A"/>
    <w:rsid w:val="00574DE0"/>
    <w:rsid w:val="00581677"/>
    <w:rsid w:val="00582D1F"/>
    <w:rsid w:val="00591392"/>
    <w:rsid w:val="00594AF0"/>
    <w:rsid w:val="005A0243"/>
    <w:rsid w:val="005A2567"/>
    <w:rsid w:val="005A3250"/>
    <w:rsid w:val="005D5881"/>
    <w:rsid w:val="005D6A27"/>
    <w:rsid w:val="005E2217"/>
    <w:rsid w:val="005E6A3E"/>
    <w:rsid w:val="005F5D70"/>
    <w:rsid w:val="00601E37"/>
    <w:rsid w:val="00620FD8"/>
    <w:rsid w:val="00660413"/>
    <w:rsid w:val="00664B49"/>
    <w:rsid w:val="006C0710"/>
    <w:rsid w:val="006D1D61"/>
    <w:rsid w:val="006D6D1C"/>
    <w:rsid w:val="006E2591"/>
    <w:rsid w:val="006F16C4"/>
    <w:rsid w:val="006F5AEC"/>
    <w:rsid w:val="007002A4"/>
    <w:rsid w:val="007062F8"/>
    <w:rsid w:val="00724361"/>
    <w:rsid w:val="0073552F"/>
    <w:rsid w:val="007401EC"/>
    <w:rsid w:val="00746B4A"/>
    <w:rsid w:val="0075094E"/>
    <w:rsid w:val="00755A5F"/>
    <w:rsid w:val="00770221"/>
    <w:rsid w:val="00776A94"/>
    <w:rsid w:val="007909BF"/>
    <w:rsid w:val="007958BC"/>
    <w:rsid w:val="007966B8"/>
    <w:rsid w:val="007A1AC9"/>
    <w:rsid w:val="007A7191"/>
    <w:rsid w:val="007B249E"/>
    <w:rsid w:val="007B2E89"/>
    <w:rsid w:val="007D25BF"/>
    <w:rsid w:val="007D4DBA"/>
    <w:rsid w:val="007E00CD"/>
    <w:rsid w:val="007E768F"/>
    <w:rsid w:val="007E7FA3"/>
    <w:rsid w:val="007F0AA5"/>
    <w:rsid w:val="007F5C40"/>
    <w:rsid w:val="00805246"/>
    <w:rsid w:val="00805AA8"/>
    <w:rsid w:val="008165E0"/>
    <w:rsid w:val="0084390F"/>
    <w:rsid w:val="00846D33"/>
    <w:rsid w:val="00874A47"/>
    <w:rsid w:val="00886E0B"/>
    <w:rsid w:val="008A3B8D"/>
    <w:rsid w:val="008C0DF6"/>
    <w:rsid w:val="008C48A3"/>
    <w:rsid w:val="008C5986"/>
    <w:rsid w:val="00910EAF"/>
    <w:rsid w:val="0091348D"/>
    <w:rsid w:val="00926EC0"/>
    <w:rsid w:val="009428D7"/>
    <w:rsid w:val="00944BEC"/>
    <w:rsid w:val="00944E88"/>
    <w:rsid w:val="009563C2"/>
    <w:rsid w:val="009608D7"/>
    <w:rsid w:val="00970BBB"/>
    <w:rsid w:val="00982DEC"/>
    <w:rsid w:val="009C09D8"/>
    <w:rsid w:val="009C1BB0"/>
    <w:rsid w:val="009C4300"/>
    <w:rsid w:val="009E397E"/>
    <w:rsid w:val="009F0424"/>
    <w:rsid w:val="00A0275F"/>
    <w:rsid w:val="00A13407"/>
    <w:rsid w:val="00A33F92"/>
    <w:rsid w:val="00A408E3"/>
    <w:rsid w:val="00A80512"/>
    <w:rsid w:val="00A83166"/>
    <w:rsid w:val="00A913D1"/>
    <w:rsid w:val="00A92C8B"/>
    <w:rsid w:val="00A97225"/>
    <w:rsid w:val="00AA5553"/>
    <w:rsid w:val="00AB2C1F"/>
    <w:rsid w:val="00AD7AAD"/>
    <w:rsid w:val="00AE0F14"/>
    <w:rsid w:val="00AE14ED"/>
    <w:rsid w:val="00AE789C"/>
    <w:rsid w:val="00B00720"/>
    <w:rsid w:val="00B00747"/>
    <w:rsid w:val="00B00C3F"/>
    <w:rsid w:val="00B1279E"/>
    <w:rsid w:val="00B17979"/>
    <w:rsid w:val="00B32946"/>
    <w:rsid w:val="00B374A8"/>
    <w:rsid w:val="00B376E8"/>
    <w:rsid w:val="00B473E9"/>
    <w:rsid w:val="00B61AE0"/>
    <w:rsid w:val="00B64450"/>
    <w:rsid w:val="00B97F71"/>
    <w:rsid w:val="00BA0EF2"/>
    <w:rsid w:val="00BB68C6"/>
    <w:rsid w:val="00BC2ED0"/>
    <w:rsid w:val="00BC3BA3"/>
    <w:rsid w:val="00BC7B93"/>
    <w:rsid w:val="00BE7378"/>
    <w:rsid w:val="00BF7926"/>
    <w:rsid w:val="00C0415C"/>
    <w:rsid w:val="00C04AF6"/>
    <w:rsid w:val="00C127B0"/>
    <w:rsid w:val="00C2312D"/>
    <w:rsid w:val="00C26C9C"/>
    <w:rsid w:val="00C35F61"/>
    <w:rsid w:val="00C44C31"/>
    <w:rsid w:val="00C51812"/>
    <w:rsid w:val="00C6418A"/>
    <w:rsid w:val="00C70EE3"/>
    <w:rsid w:val="00C76990"/>
    <w:rsid w:val="00C771DF"/>
    <w:rsid w:val="00D03467"/>
    <w:rsid w:val="00D24970"/>
    <w:rsid w:val="00D32601"/>
    <w:rsid w:val="00D327CA"/>
    <w:rsid w:val="00D47677"/>
    <w:rsid w:val="00D5398F"/>
    <w:rsid w:val="00D57AD5"/>
    <w:rsid w:val="00D57AD9"/>
    <w:rsid w:val="00D64D9B"/>
    <w:rsid w:val="00D730CA"/>
    <w:rsid w:val="00D82BCE"/>
    <w:rsid w:val="00D8650F"/>
    <w:rsid w:val="00DA2460"/>
    <w:rsid w:val="00DA3579"/>
    <w:rsid w:val="00DA7B9E"/>
    <w:rsid w:val="00DB049F"/>
    <w:rsid w:val="00DB4811"/>
    <w:rsid w:val="00DC5880"/>
    <w:rsid w:val="00DC7E36"/>
    <w:rsid w:val="00DE56BF"/>
    <w:rsid w:val="00DE61E7"/>
    <w:rsid w:val="00E03A90"/>
    <w:rsid w:val="00E24085"/>
    <w:rsid w:val="00E273E5"/>
    <w:rsid w:val="00E36737"/>
    <w:rsid w:val="00E4764F"/>
    <w:rsid w:val="00E7430E"/>
    <w:rsid w:val="00E820C4"/>
    <w:rsid w:val="00E84AC3"/>
    <w:rsid w:val="00E91B78"/>
    <w:rsid w:val="00E95CEF"/>
    <w:rsid w:val="00EB3481"/>
    <w:rsid w:val="00ED6741"/>
    <w:rsid w:val="00EE76D1"/>
    <w:rsid w:val="00EF22CE"/>
    <w:rsid w:val="00F14152"/>
    <w:rsid w:val="00F14A63"/>
    <w:rsid w:val="00F212E1"/>
    <w:rsid w:val="00F27000"/>
    <w:rsid w:val="00F32878"/>
    <w:rsid w:val="00F34673"/>
    <w:rsid w:val="00F35E14"/>
    <w:rsid w:val="00F37155"/>
    <w:rsid w:val="00F4704A"/>
    <w:rsid w:val="00F50683"/>
    <w:rsid w:val="00F50715"/>
    <w:rsid w:val="00F511FC"/>
    <w:rsid w:val="00F53488"/>
    <w:rsid w:val="00F56CC0"/>
    <w:rsid w:val="00F60FC4"/>
    <w:rsid w:val="00F610EA"/>
    <w:rsid w:val="00F74396"/>
    <w:rsid w:val="00F76ECE"/>
    <w:rsid w:val="00F803E9"/>
    <w:rsid w:val="00F83C76"/>
    <w:rsid w:val="00FA508D"/>
    <w:rsid w:val="00FB4BC4"/>
    <w:rsid w:val="00FB54A1"/>
    <w:rsid w:val="00FB746B"/>
    <w:rsid w:val="00FC0578"/>
    <w:rsid w:val="00FC4F91"/>
    <w:rsid w:val="00FD36AD"/>
    <w:rsid w:val="00FD4163"/>
    <w:rsid w:val="00FF1E76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C40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C4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C4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C4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C40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C4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C4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C4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252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A7"/>
  </w:style>
  <w:style w:type="paragraph" w:styleId="Footer">
    <w:name w:val="footer"/>
    <w:basedOn w:val="Normal"/>
    <w:link w:val="FooterChar"/>
    <w:uiPriority w:val="99"/>
    <w:unhideWhenUsed/>
    <w:rsid w:val="002E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A7"/>
  </w:style>
  <w:style w:type="paragraph" w:styleId="BalloonText">
    <w:name w:val="Balloon Text"/>
    <w:basedOn w:val="Normal"/>
    <w:link w:val="BalloonTextChar"/>
    <w:uiPriority w:val="99"/>
    <w:semiHidden/>
    <w:unhideWhenUsed/>
    <w:rsid w:val="002E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2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1403"/>
    <w:pPr>
      <w:ind w:left="720"/>
      <w:contextualSpacing/>
    </w:pPr>
  </w:style>
  <w:style w:type="paragraph" w:customStyle="1" w:styleId="Chapter">
    <w:name w:val="Chapter"/>
    <w:basedOn w:val="Normal"/>
    <w:next w:val="Normal"/>
    <w:link w:val="ChapterChar"/>
    <w:rsid w:val="007F5C40"/>
    <w:pPr>
      <w:keepNext/>
      <w:numPr>
        <w:numId w:val="5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hAnsi="Times New Roman" w:cs="Times New Roman"/>
      <w:b/>
      <w:smallCaps/>
      <w:sz w:val="24"/>
      <w:szCs w:val="20"/>
      <w:lang w:val="es-ES_tradnl"/>
    </w:rPr>
  </w:style>
  <w:style w:type="character" w:customStyle="1" w:styleId="ChapterChar">
    <w:name w:val="Chapter Char"/>
    <w:basedOn w:val="DefaultParagraphFont"/>
    <w:link w:val="Chapter"/>
    <w:rsid w:val="007F5C40"/>
    <w:rPr>
      <w:rFonts w:ascii="Times New Roman" w:hAnsi="Times New Roman" w:cs="Times New Roman"/>
      <w:b/>
      <w:smallCaps/>
      <w:sz w:val="24"/>
      <w:szCs w:val="20"/>
      <w:lang w:val="es-ES_tradnl"/>
    </w:rPr>
  </w:style>
  <w:style w:type="paragraph" w:customStyle="1" w:styleId="FirstHeading">
    <w:name w:val="FirstHeading"/>
    <w:basedOn w:val="Normal"/>
    <w:next w:val="Normal"/>
    <w:link w:val="FirstHeadingChar"/>
    <w:rsid w:val="007F5C40"/>
    <w:pPr>
      <w:keepNext/>
      <w:numPr>
        <w:numId w:val="1"/>
      </w:numPr>
      <w:tabs>
        <w:tab w:val="clear" w:pos="360"/>
        <w:tab w:val="left" w:pos="0"/>
        <w:tab w:val="left" w:pos="86"/>
      </w:tabs>
      <w:spacing w:before="120" w:after="120" w:line="240" w:lineRule="auto"/>
      <w:ind w:left="720" w:hanging="720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FirstHeadingChar">
    <w:name w:val="FirstHeading Char"/>
    <w:basedOn w:val="DefaultParagraphFont"/>
    <w:link w:val="FirstHeading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SecHeading">
    <w:name w:val="SecHeading"/>
    <w:basedOn w:val="Normal"/>
    <w:next w:val="Paragraph"/>
    <w:link w:val="SecHeadingChar"/>
    <w:rsid w:val="007F5C40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SecHeadingChar">
    <w:name w:val="SecHeading Char"/>
    <w:basedOn w:val="DefaultParagraphFont"/>
    <w:link w:val="SecHeading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SubHeading1">
    <w:name w:val="SubHeading1"/>
    <w:basedOn w:val="SecHeading"/>
    <w:link w:val="SubHeading1Char"/>
    <w:rsid w:val="007F5C40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Subheading2">
    <w:name w:val="Subheading2"/>
    <w:basedOn w:val="SecHeading"/>
    <w:link w:val="Subheading2Char"/>
    <w:rsid w:val="007F5C40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DefaultParagraphFont"/>
    <w:link w:val="Subheading2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Paragraph">
    <w:name w:val="Paragraph"/>
    <w:basedOn w:val="BodyTextIndent"/>
    <w:link w:val="ParagraphChar"/>
    <w:rsid w:val="007F5C40"/>
    <w:pPr>
      <w:tabs>
        <w:tab w:val="num" w:pos="720"/>
      </w:tabs>
      <w:spacing w:before="120"/>
      <w:ind w:left="720" w:hanging="720"/>
      <w:jc w:val="both"/>
      <w:outlineLvl w:val="1"/>
    </w:pPr>
    <w:rPr>
      <w:szCs w:val="20"/>
      <w:lang w:val="es-ES_tradnl"/>
    </w:rPr>
  </w:style>
  <w:style w:type="character" w:customStyle="1" w:styleId="ParagraphChar">
    <w:name w:val="Paragraph Char"/>
    <w:basedOn w:val="DefaultParagraphFont"/>
    <w:link w:val="Paragraph"/>
    <w:rsid w:val="007F5C40"/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subpar">
    <w:name w:val="subpar"/>
    <w:basedOn w:val="BodyTextIndent3"/>
    <w:link w:val="subparChar"/>
    <w:rsid w:val="007F5C40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/>
    </w:rPr>
  </w:style>
  <w:style w:type="character" w:customStyle="1" w:styleId="subparChar">
    <w:name w:val="subpar Char"/>
    <w:basedOn w:val="DefaultParagraphFont"/>
    <w:link w:val="subpar"/>
    <w:rsid w:val="007F5C40"/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SubSubPar">
    <w:name w:val="SubSubPar"/>
    <w:basedOn w:val="subpar"/>
    <w:link w:val="SubSubParChar"/>
    <w:rsid w:val="007F5C40"/>
    <w:pPr>
      <w:tabs>
        <w:tab w:val="clear" w:pos="1152"/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basedOn w:val="DefaultParagraphFont"/>
    <w:link w:val="SubSubPar"/>
    <w:rsid w:val="007F5C40"/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Regtable">
    <w:name w:val="Regtable"/>
    <w:basedOn w:val="Normal"/>
    <w:link w:val="RegtableChar"/>
    <w:rsid w:val="007F5C40"/>
    <w:pPr>
      <w:keepLines/>
      <w:framePr w:wrap="around" w:vAnchor="text" w:hAnchor="text" w:y="1"/>
      <w:tabs>
        <w:tab w:val="num" w:pos="216"/>
      </w:tabs>
      <w:spacing w:before="20" w:after="2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RegtableChar">
    <w:name w:val="Regtable Char"/>
    <w:basedOn w:val="DefaultParagraphFont"/>
    <w:link w:val="Regtable"/>
    <w:rsid w:val="007F5C40"/>
    <w:rPr>
      <w:rFonts w:ascii="Times New Roman" w:hAnsi="Times New Roman" w:cs="Times New Roman"/>
      <w:sz w:val="20"/>
      <w:szCs w:val="20"/>
      <w:lang w:val="es-ES_tradnl"/>
    </w:rPr>
  </w:style>
  <w:style w:type="paragraph" w:customStyle="1" w:styleId="TableTitle">
    <w:name w:val="TableTitle"/>
    <w:basedOn w:val="Normal"/>
    <w:link w:val="TableTitleChar"/>
    <w:rsid w:val="007F5C40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 w:cs="Times New Roman"/>
      <w:b/>
      <w:spacing w:val="-3"/>
      <w:sz w:val="20"/>
      <w:szCs w:val="20"/>
      <w:lang w:val="es-ES_tradnl"/>
    </w:rPr>
  </w:style>
  <w:style w:type="character" w:customStyle="1" w:styleId="TableTitleChar">
    <w:name w:val="TableTitle Char"/>
    <w:basedOn w:val="DefaultParagraphFont"/>
    <w:link w:val="TableTitle"/>
    <w:rsid w:val="007F5C40"/>
    <w:rPr>
      <w:rFonts w:ascii="Times New Roman Bold" w:hAnsi="Times New Roman Bold" w:cs="Times New Roman"/>
      <w:b/>
      <w:spacing w:val="-3"/>
      <w:sz w:val="20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C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C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C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C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C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C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C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5C40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5C40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5C40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5C40"/>
    <w:rPr>
      <w:rFonts w:ascii="Times New Roman" w:hAnsi="Times New Roman" w:cs="Times New Roman"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C40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C40"/>
    <w:rPr>
      <w:rFonts w:ascii="Times New Roman" w:hAnsi="Times New Roman" w:cs="Times New Roman"/>
      <w:spacing w:val="-3"/>
      <w:sz w:val="20"/>
      <w:szCs w:val="20"/>
    </w:rPr>
  </w:style>
  <w:style w:type="paragraph" w:customStyle="1" w:styleId="Default">
    <w:name w:val="Default"/>
    <w:rsid w:val="003F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0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C40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C4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C4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C4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C40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C4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C4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C4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252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A7"/>
  </w:style>
  <w:style w:type="paragraph" w:styleId="Footer">
    <w:name w:val="footer"/>
    <w:basedOn w:val="Normal"/>
    <w:link w:val="FooterChar"/>
    <w:uiPriority w:val="99"/>
    <w:unhideWhenUsed/>
    <w:rsid w:val="002E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A7"/>
  </w:style>
  <w:style w:type="paragraph" w:styleId="BalloonText">
    <w:name w:val="Balloon Text"/>
    <w:basedOn w:val="Normal"/>
    <w:link w:val="BalloonTextChar"/>
    <w:uiPriority w:val="99"/>
    <w:semiHidden/>
    <w:unhideWhenUsed/>
    <w:rsid w:val="002E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2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1403"/>
    <w:pPr>
      <w:ind w:left="720"/>
      <w:contextualSpacing/>
    </w:pPr>
  </w:style>
  <w:style w:type="paragraph" w:customStyle="1" w:styleId="Chapter">
    <w:name w:val="Chapter"/>
    <w:basedOn w:val="Normal"/>
    <w:next w:val="Normal"/>
    <w:link w:val="ChapterChar"/>
    <w:rsid w:val="007F5C40"/>
    <w:pPr>
      <w:keepNext/>
      <w:numPr>
        <w:numId w:val="5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hAnsi="Times New Roman" w:cs="Times New Roman"/>
      <w:b/>
      <w:smallCaps/>
      <w:sz w:val="24"/>
      <w:szCs w:val="20"/>
      <w:lang w:val="es-ES_tradnl"/>
    </w:rPr>
  </w:style>
  <w:style w:type="character" w:customStyle="1" w:styleId="ChapterChar">
    <w:name w:val="Chapter Char"/>
    <w:basedOn w:val="DefaultParagraphFont"/>
    <w:link w:val="Chapter"/>
    <w:rsid w:val="007F5C40"/>
    <w:rPr>
      <w:rFonts w:ascii="Times New Roman" w:hAnsi="Times New Roman" w:cs="Times New Roman"/>
      <w:b/>
      <w:smallCaps/>
      <w:sz w:val="24"/>
      <w:szCs w:val="20"/>
      <w:lang w:val="es-ES_tradnl"/>
    </w:rPr>
  </w:style>
  <w:style w:type="paragraph" w:customStyle="1" w:styleId="FirstHeading">
    <w:name w:val="FirstHeading"/>
    <w:basedOn w:val="Normal"/>
    <w:next w:val="Normal"/>
    <w:link w:val="FirstHeadingChar"/>
    <w:rsid w:val="007F5C40"/>
    <w:pPr>
      <w:keepNext/>
      <w:numPr>
        <w:numId w:val="1"/>
      </w:numPr>
      <w:tabs>
        <w:tab w:val="clear" w:pos="360"/>
        <w:tab w:val="left" w:pos="0"/>
        <w:tab w:val="left" w:pos="86"/>
      </w:tabs>
      <w:spacing w:before="120" w:after="120" w:line="240" w:lineRule="auto"/>
      <w:ind w:left="720" w:hanging="720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FirstHeadingChar">
    <w:name w:val="FirstHeading Char"/>
    <w:basedOn w:val="DefaultParagraphFont"/>
    <w:link w:val="FirstHeading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SecHeading">
    <w:name w:val="SecHeading"/>
    <w:basedOn w:val="Normal"/>
    <w:next w:val="Paragraph"/>
    <w:link w:val="SecHeadingChar"/>
    <w:rsid w:val="007F5C40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SecHeadingChar">
    <w:name w:val="SecHeading Char"/>
    <w:basedOn w:val="DefaultParagraphFont"/>
    <w:link w:val="SecHeading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SubHeading1">
    <w:name w:val="SubHeading1"/>
    <w:basedOn w:val="SecHeading"/>
    <w:link w:val="SubHeading1Char"/>
    <w:rsid w:val="007F5C40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Subheading2">
    <w:name w:val="Subheading2"/>
    <w:basedOn w:val="SecHeading"/>
    <w:link w:val="Subheading2Char"/>
    <w:rsid w:val="007F5C40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DefaultParagraphFont"/>
    <w:link w:val="Subheading2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Paragraph">
    <w:name w:val="Paragraph"/>
    <w:basedOn w:val="BodyTextIndent"/>
    <w:link w:val="ParagraphChar"/>
    <w:rsid w:val="007F5C40"/>
    <w:pPr>
      <w:tabs>
        <w:tab w:val="num" w:pos="720"/>
      </w:tabs>
      <w:spacing w:before="120"/>
      <w:ind w:left="720" w:hanging="720"/>
      <w:jc w:val="both"/>
      <w:outlineLvl w:val="1"/>
    </w:pPr>
    <w:rPr>
      <w:szCs w:val="20"/>
      <w:lang w:val="es-ES_tradnl"/>
    </w:rPr>
  </w:style>
  <w:style w:type="character" w:customStyle="1" w:styleId="ParagraphChar">
    <w:name w:val="Paragraph Char"/>
    <w:basedOn w:val="DefaultParagraphFont"/>
    <w:link w:val="Paragraph"/>
    <w:rsid w:val="007F5C40"/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subpar">
    <w:name w:val="subpar"/>
    <w:basedOn w:val="BodyTextIndent3"/>
    <w:link w:val="subparChar"/>
    <w:rsid w:val="007F5C40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/>
    </w:rPr>
  </w:style>
  <w:style w:type="character" w:customStyle="1" w:styleId="subparChar">
    <w:name w:val="subpar Char"/>
    <w:basedOn w:val="DefaultParagraphFont"/>
    <w:link w:val="subpar"/>
    <w:rsid w:val="007F5C40"/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SubSubPar">
    <w:name w:val="SubSubPar"/>
    <w:basedOn w:val="subpar"/>
    <w:link w:val="SubSubParChar"/>
    <w:rsid w:val="007F5C40"/>
    <w:pPr>
      <w:tabs>
        <w:tab w:val="clear" w:pos="1152"/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basedOn w:val="DefaultParagraphFont"/>
    <w:link w:val="SubSubPar"/>
    <w:rsid w:val="007F5C40"/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Regtable">
    <w:name w:val="Regtable"/>
    <w:basedOn w:val="Normal"/>
    <w:link w:val="RegtableChar"/>
    <w:rsid w:val="007F5C40"/>
    <w:pPr>
      <w:keepLines/>
      <w:framePr w:wrap="around" w:vAnchor="text" w:hAnchor="text" w:y="1"/>
      <w:tabs>
        <w:tab w:val="num" w:pos="216"/>
      </w:tabs>
      <w:spacing w:before="20" w:after="2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RegtableChar">
    <w:name w:val="Regtable Char"/>
    <w:basedOn w:val="DefaultParagraphFont"/>
    <w:link w:val="Regtable"/>
    <w:rsid w:val="007F5C40"/>
    <w:rPr>
      <w:rFonts w:ascii="Times New Roman" w:hAnsi="Times New Roman" w:cs="Times New Roman"/>
      <w:sz w:val="20"/>
      <w:szCs w:val="20"/>
      <w:lang w:val="es-ES_tradnl"/>
    </w:rPr>
  </w:style>
  <w:style w:type="paragraph" w:customStyle="1" w:styleId="TableTitle">
    <w:name w:val="TableTitle"/>
    <w:basedOn w:val="Normal"/>
    <w:link w:val="TableTitleChar"/>
    <w:rsid w:val="007F5C40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 w:cs="Times New Roman"/>
      <w:b/>
      <w:spacing w:val="-3"/>
      <w:sz w:val="20"/>
      <w:szCs w:val="20"/>
      <w:lang w:val="es-ES_tradnl"/>
    </w:rPr>
  </w:style>
  <w:style w:type="character" w:customStyle="1" w:styleId="TableTitleChar">
    <w:name w:val="TableTitle Char"/>
    <w:basedOn w:val="DefaultParagraphFont"/>
    <w:link w:val="TableTitle"/>
    <w:rsid w:val="007F5C40"/>
    <w:rPr>
      <w:rFonts w:ascii="Times New Roman Bold" w:hAnsi="Times New Roman Bold" w:cs="Times New Roman"/>
      <w:b/>
      <w:spacing w:val="-3"/>
      <w:sz w:val="20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C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C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C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C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C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C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C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5C40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5C40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5C40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5C40"/>
    <w:rPr>
      <w:rFonts w:ascii="Times New Roman" w:hAnsi="Times New Roman" w:cs="Times New Roman"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C40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C40"/>
    <w:rPr>
      <w:rFonts w:ascii="Times New Roman" w:hAnsi="Times New Roman" w:cs="Times New Roman"/>
      <w:spacing w:val="-3"/>
      <w:sz w:val="20"/>
      <w:szCs w:val="20"/>
    </w:rPr>
  </w:style>
  <w:style w:type="paragraph" w:customStyle="1" w:styleId="Default">
    <w:name w:val="Default"/>
    <w:rsid w:val="003F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0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C4C6AAB38837F54AB634A2A1FB43321F" ma:contentTypeVersion="0" ma:contentTypeDescription="A content type to manage public (operations) IDB documents" ma:contentTypeScope="" ma:versionID="baa12fa05fbe02a3a3095ecf0849af6d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45c9d5cafd7537b97511b59754489fff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  <xsd:element ref="ns2:Disclosed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8a84bd1-1035-476f-8cad-03954ea82a02}" ma:internalName="TaxCatchAll" ma:showField="CatchAllData" ma:web="7cacd91a-41c5-45c2-9b33-9a9f3c840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8a84bd1-1035-476f-8cad-03954ea82a02}" ma:internalName="TaxCatchAllLabel" ma:readOnly="true" ma:showField="CatchAllDataLabel" ma:web="7cacd91a-41c5-45c2-9b33-9a9f3c840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Record_x0020_Number xmlns="9c571b2f-e523-4ab2-ba2e-09e151a03ef4" xsi:nil="true"/>
    <Abstract xmlns="9c571b2f-e523-4ab2-ba2e-09e151a03ef4" xsi:nil="true"/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SCL/SPH</Division_x0020_or_x0020_Unit>
    <Other_x0020_Author xmlns="9c571b2f-e523-4ab2-ba2e-09e151a03ef4" xsi:nil="true"/>
    <Region xmlns="9c571b2f-e523-4ab2-ba2e-09e151a03ef4" xsi:nil="true"/>
    <IDBDocs_x0020_Number xmlns="9c571b2f-e523-4ab2-ba2e-09e151a03ef4">39856547</IDBDocs_x0020_Number>
    <Document_x0020_Author xmlns="9c571b2f-e523-4ab2-ba2e-09e151a03ef4">Pinto Masis, Diana Margarita</Document_x0020_Author>
    <Publication_x0020_Type xmlns="9c571b2f-e523-4ab2-ba2e-09e151a03ef4" xsi:nil="true"/>
    <Operation_x0020_Type xmlns="9c571b2f-e523-4ab2-ba2e-09e151a03ef4" xsi:nil="true"/>
    <TaxCatchAll xmlns="9c571b2f-e523-4ab2-ba2e-09e151a03ef4">
      <Value>9</Value>
      <Value>1</Value>
      <Value>2</Value>
    </TaxCatchAll>
    <Fiscal_x0020_Year_x0020_IDB xmlns="9c571b2f-e523-4ab2-ba2e-09e151a03ef4">2015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DR-L1079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Loan Proposal</TermName>
          <TermId xmlns="http://schemas.microsoft.com/office/infopath/2007/PartnerControls">6ee86b6f-6e46-485b-8bfb-87a1f44622ac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WORD&lt;/APPLICATION&gt;&lt;STAGE_CODE&gt;LP&lt;/STAGE_CODE&gt;&lt;USER_STAGE&gt;Loan Proposal&lt;/USER_STAGE&gt;&lt;PD_OBJ_TYPE&gt;0&lt;/PD_OBJ_TYPE&gt;&lt;MAKERECORD&gt;N&lt;/MAKERECORD&gt;&lt;PD_FILEPT_NO&gt;RI-Reg-PR-E&lt;/PD_FILEPT_NO&gt;&lt;PD_FILE_PART&gt;2253907&lt;/PD_FILE_PART&gt;&lt;SPRSEDEBYDOC&gt;&lt;/SPRSEDEBYDOC&gt;&lt;/Data&gt;</Migration_x0020_Info>
    <Approval_x0020_Number xmlns="9c571b2f-e523-4ab2-ba2e-09e151a03ef4" xsi:nil="true"/>
    <Access_x0020_to_x0020_Information_x00a0_Policy xmlns="9c571b2f-e523-4ab2-ba2e-09e151a03ef4">Confidential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Health</Webtopic>
    <Identifier xmlns="9c571b2f-e523-4ab2-ba2e-09e151a03ef4"> TECFILE</Identifier>
    <Publishing_x0020_House xmlns="9c571b2f-e523-4ab2-ba2e-09e151a03ef4" xsi:nil="true"/>
    <Disclosed xmlns="9c571b2f-e523-4ab2-ba2e-09e151a03ef4">false</Disclosed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  <j8b96605ee2f4c4e988849e658583fee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Dominican Republic</TermName>
          <TermId xmlns="http://schemas.microsoft.com/office/infopath/2007/PartnerControls">19e8fe34-75bb-4d09-b676-0e9a3c6f1862</TermId>
        </TermInfo>
      </Terms>
    </j8b96605ee2f4c4e988849e658583fee>
  </documentManagement>
</p:properties>
</file>

<file path=customXml/itemProps1.xml><?xml version="1.0" encoding="utf-8"?>
<ds:datastoreItem xmlns:ds="http://schemas.openxmlformats.org/officeDocument/2006/customXml" ds:itemID="{29CCF1AB-12FA-4993-9304-787F4F8E71B1}"/>
</file>

<file path=customXml/itemProps2.xml><?xml version="1.0" encoding="utf-8"?>
<ds:datastoreItem xmlns:ds="http://schemas.openxmlformats.org/officeDocument/2006/customXml" ds:itemID="{7B061056-0575-434F-AE01-E78947334E5F}"/>
</file>

<file path=customXml/itemProps3.xml><?xml version="1.0" encoding="utf-8"?>
<ds:datastoreItem xmlns:ds="http://schemas.openxmlformats.org/officeDocument/2006/customXml" ds:itemID="{B814BCD3-174A-49A1-8F14-9C10D9051D85}"/>
</file>

<file path=customXml/itemProps4.xml><?xml version="1.0" encoding="utf-8"?>
<ds:datastoreItem xmlns:ds="http://schemas.openxmlformats.org/officeDocument/2006/customXml" ds:itemID="{FBD2B1D0-B827-48E8-962D-80944BBDB847}"/>
</file>

<file path=customXml/itemProps5.xml><?xml version="1.0" encoding="utf-8"?>
<ds:datastoreItem xmlns:ds="http://schemas.openxmlformats.org/officeDocument/2006/customXml" ds:itemID="{66FF196A-7A80-4768-862D-C9D891B2EBA8}"/>
</file>

<file path=customXml/itemProps6.xml><?xml version="1.0" encoding="utf-8"?>
<ds:datastoreItem xmlns:ds="http://schemas.openxmlformats.org/officeDocument/2006/customXml" ds:itemID="{3B6B3A1E-EE9D-4BE4-BF02-6490B157FC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Matriz Comparativa</dc:title>
  <dc:creator>Inter-American Development Bank</dc:creator>
  <cp:lastModifiedBy>Test</cp:lastModifiedBy>
  <cp:revision>3</cp:revision>
  <cp:lastPrinted>2015-02-11T22:03:00Z</cp:lastPrinted>
  <dcterms:created xsi:type="dcterms:W3CDTF">2015-10-14T12:16:00Z</dcterms:created>
  <dcterms:modified xsi:type="dcterms:W3CDTF">2015-10-23T13:21:00Z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0x01010046CF21643EE8D14686A648AA6DAD089200C4C6AAB38837F54AB634A2A1FB43321F</vt:lpwstr>
  </property>
  <property fmtid="{D5CDD505-2E9C-101B-9397-08002B2CF9AE}" pid="5" name="TaxKeywordTaxHTField">
    <vt:lpwstr/>
  </property>
  <property fmtid="{D5CDD505-2E9C-101B-9397-08002B2CF9AE}" pid="6" name="Series Operations IDB">
    <vt:lpwstr>9;#Loan Proposal|6ee86b6f-6e46-485b-8bfb-87a1f44622ac</vt:lpwstr>
  </property>
  <property fmtid="{D5CDD505-2E9C-101B-9397-08002B2CF9AE}" pid="7" name="Sub-Sector">
    <vt:lpwstr/>
  </property>
  <property fmtid="{D5CDD505-2E9C-101B-9397-08002B2CF9AE}" pid="8" name="Country">
    <vt:lpwstr>2;#Dominican Republic|19e8fe34-75bb-4d09-b676-0e9a3c6f1862</vt:lpwstr>
  </property>
  <property fmtid="{D5CDD505-2E9C-101B-9397-08002B2CF9AE}" pid="9" name="Fund IDB">
    <vt:lpwstr/>
  </property>
  <property fmtid="{D5CDD505-2E9C-101B-9397-08002B2CF9AE}" pid="10" name="Series_x0020_Operations_x0020_IDB">
    <vt:lpwstr>9;#Loan Proposal|6ee86b6f-6e46-485b-8bfb-87a1f44622ac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1;#Project Preparation, Planning and Design|29ca0c72-1fc4-435f-a09c-28585cb5eac9</vt:lpwstr>
  </property>
</Properties>
</file>